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38536" w14:textId="77777777" w:rsidR="00E44B80" w:rsidRPr="00F637B3" w:rsidRDefault="00E44B80" w:rsidP="00E44B80">
      <w:pPr>
        <w:jc w:val="center"/>
        <w:rPr>
          <w:b/>
          <w:szCs w:val="20"/>
        </w:rPr>
      </w:pPr>
      <w:r w:rsidRPr="00F637B3">
        <w:rPr>
          <w:b/>
          <w:noProof/>
          <w:szCs w:val="20"/>
          <w:lang w:val="en-US"/>
        </w:rPr>
        <w:drawing>
          <wp:inline distT="0" distB="0" distL="0" distR="0" wp14:anchorId="3340DC06" wp14:editId="5A45A520">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7EA50C4" w14:textId="319EFB54" w:rsidR="008B2610" w:rsidRDefault="00E50F47" w:rsidP="00F971CC">
      <w:pPr>
        <w:pStyle w:val="Title"/>
        <w:spacing w:before="2600"/>
      </w:pPr>
      <w:r>
        <w:t xml:space="preserve">MSAC </w:t>
      </w:r>
      <w:r w:rsidR="008B2610" w:rsidRPr="001906CD">
        <w:t xml:space="preserve">Application </w:t>
      </w:r>
      <w:r>
        <w:t>1717</w:t>
      </w:r>
    </w:p>
    <w:p w14:paraId="03295B7B" w14:textId="77777777" w:rsidR="0056015F" w:rsidRDefault="0056015F" w:rsidP="0056015F"/>
    <w:p w14:paraId="64A71CDA" w14:textId="77777777" w:rsidR="002A544A" w:rsidRDefault="00840305" w:rsidP="00840305">
      <w:pPr>
        <w:pStyle w:val="Title"/>
        <w:spacing w:before="240"/>
        <w:rPr>
          <w:color w:val="548DD4" w:themeColor="text2" w:themeTint="99"/>
        </w:rPr>
      </w:pPr>
      <w:r>
        <w:rPr>
          <w:color w:val="548DD4" w:themeColor="text2" w:themeTint="99"/>
        </w:rPr>
        <w:t>Extravascular i</w:t>
      </w:r>
      <w:r w:rsidR="002A544A" w:rsidRPr="002A544A">
        <w:rPr>
          <w:color w:val="548DD4" w:themeColor="text2" w:themeTint="99"/>
        </w:rPr>
        <w:t xml:space="preserve">mplantable cardioverter defibrillator (EV-ICD) </w:t>
      </w:r>
      <w:r>
        <w:rPr>
          <w:color w:val="548DD4" w:themeColor="text2" w:themeTint="99"/>
        </w:rPr>
        <w:t>therapy</w:t>
      </w:r>
      <w:r w:rsidR="00183481">
        <w:rPr>
          <w:color w:val="548DD4" w:themeColor="text2" w:themeTint="99"/>
        </w:rPr>
        <w:t xml:space="preserve"> for patients at risk of ventricular arrhythmia</w:t>
      </w:r>
    </w:p>
    <w:p w14:paraId="624DCAD2"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5D6ACF7A"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65A65874"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399C51E0" w14:textId="77777777" w:rsidR="009F5758" w:rsidRPr="00154B00" w:rsidRDefault="009F5758" w:rsidP="003F7CB9">
      <w:pPr>
        <w:spacing w:before="0" w:after="0"/>
      </w:pPr>
    </w:p>
    <w:p w14:paraId="3CFDE241" w14:textId="6EF9AFC2" w:rsidR="009F5758" w:rsidRPr="006A51B7" w:rsidRDefault="009F5758" w:rsidP="003F7CB9">
      <w:pPr>
        <w:spacing w:before="0" w:after="0"/>
        <w:rPr>
          <w:lang w:val="fr-FR"/>
        </w:rPr>
      </w:pPr>
      <w:proofErr w:type="gramStart"/>
      <w:r w:rsidRPr="006A51B7">
        <w:rPr>
          <w:lang w:val="fr-FR"/>
        </w:rPr>
        <w:t>Email:</w:t>
      </w:r>
      <w:proofErr w:type="gramEnd"/>
      <w:r w:rsidRPr="006A51B7">
        <w:rPr>
          <w:lang w:val="fr-FR"/>
        </w:rPr>
        <w:t xml:space="preserve"> </w:t>
      </w:r>
      <w:hyperlink r:id="rId12" w:history="1">
        <w:r w:rsidR="00D505BE" w:rsidRPr="00D41968">
          <w:rPr>
            <w:rStyle w:val="Hyperlink"/>
            <w:szCs w:val="20"/>
            <w:lang w:val="fr-FR"/>
          </w:rPr>
          <w:t>hta@health.gov.au</w:t>
        </w:r>
      </w:hyperlink>
    </w:p>
    <w:p w14:paraId="18B233C6" w14:textId="13E20DF6" w:rsidR="007C0C00" w:rsidRPr="006A51B7" w:rsidRDefault="007C0C00" w:rsidP="007C0C00">
      <w:pPr>
        <w:spacing w:before="0" w:after="0"/>
        <w:rPr>
          <w:lang w:val="fr-FR"/>
        </w:rPr>
      </w:pPr>
      <w:proofErr w:type="spellStart"/>
      <w:proofErr w:type="gramStart"/>
      <w:r w:rsidRPr="006A51B7">
        <w:rPr>
          <w:lang w:val="fr-FR"/>
        </w:rPr>
        <w:t>Website</w:t>
      </w:r>
      <w:proofErr w:type="spellEnd"/>
      <w:r w:rsidRPr="006A51B7">
        <w:rPr>
          <w:lang w:val="fr-FR"/>
        </w:rPr>
        <w:t>:</w:t>
      </w:r>
      <w:proofErr w:type="gramEnd"/>
      <w:r w:rsidRPr="006A51B7">
        <w:rPr>
          <w:lang w:val="fr-FR"/>
        </w:rPr>
        <w:t xml:space="preserve"> </w:t>
      </w:r>
      <w:hyperlink r:id="rId13" w:history="1">
        <w:r w:rsidR="00D505BE" w:rsidRPr="00D41968">
          <w:rPr>
            <w:rStyle w:val="Hyperlink"/>
            <w:lang w:val="fr-FR"/>
          </w:rPr>
          <w:t>www.msac.gov.au</w:t>
        </w:r>
      </w:hyperlink>
      <w:r w:rsidRPr="006A51B7">
        <w:rPr>
          <w:lang w:val="fr-FR"/>
        </w:rPr>
        <w:t xml:space="preserve">  </w:t>
      </w:r>
    </w:p>
    <w:p w14:paraId="72DDB652" w14:textId="0778E429" w:rsidR="009F5758" w:rsidRPr="006A51B7" w:rsidRDefault="009F5758" w:rsidP="003F7CB9">
      <w:pPr>
        <w:spacing w:before="0" w:after="0"/>
        <w:rPr>
          <w:lang w:val="fr-FR"/>
        </w:rPr>
      </w:pPr>
    </w:p>
    <w:p w14:paraId="3EA85868" w14:textId="77777777" w:rsidR="00E04FB3" w:rsidRPr="00C776B1" w:rsidRDefault="00D73646" w:rsidP="0056015F">
      <w:pPr>
        <w:pStyle w:val="Heading1"/>
      </w:pPr>
      <w:bookmarkStart w:id="0" w:name="_Toc443555803"/>
      <w:r w:rsidRPr="006A51B7">
        <w:rPr>
          <w:rStyle w:val="IntenseReference"/>
          <w:lang w:val="fr-FR"/>
        </w:rPr>
        <w:br w:type="page"/>
      </w:r>
      <w:bookmarkEnd w:id="0"/>
      <w:r w:rsidR="00494011">
        <w:lastRenderedPageBreak/>
        <w:t>PART 1</w:t>
      </w:r>
      <w:r w:rsidR="00F93784">
        <w:t xml:space="preserve"> – </w:t>
      </w:r>
      <w:r w:rsidR="00E04FB3" w:rsidRPr="00C776B1">
        <w:t>APPLICANT DETAILS</w:t>
      </w:r>
    </w:p>
    <w:p w14:paraId="5B5467EB" w14:textId="77777777" w:rsidR="00392F00" w:rsidRPr="00082192" w:rsidRDefault="00D57F88" w:rsidP="004A0BF4">
      <w:pPr>
        <w:pStyle w:val="Heading2"/>
      </w:pPr>
      <w:r w:rsidRPr="00082192">
        <w:t>Applicant d</w:t>
      </w:r>
      <w:r w:rsidR="00392F00" w:rsidRPr="00082192">
        <w:t>etails</w:t>
      </w:r>
      <w:r w:rsidR="000D066E" w:rsidRPr="00082192">
        <w:t xml:space="preserve"> (primary and alternative contacts)</w:t>
      </w:r>
    </w:p>
    <w:p w14:paraId="50238FEA" w14:textId="77777777" w:rsidR="002A544A" w:rsidRPr="00082192" w:rsidRDefault="002A544A" w:rsidP="002A544A">
      <w:pPr>
        <w:pBdr>
          <w:top w:val="single" w:sz="4" w:space="1" w:color="auto"/>
          <w:left w:val="single" w:sz="4" w:space="4" w:color="auto"/>
          <w:bottom w:val="single" w:sz="4" w:space="1" w:color="auto"/>
          <w:right w:val="single" w:sz="4" w:space="4" w:color="auto"/>
        </w:pBdr>
      </w:pPr>
      <w:r w:rsidRPr="00082192">
        <w:t>Corporation name: Medtronic Australasia Pty Ltd</w:t>
      </w:r>
    </w:p>
    <w:p w14:paraId="7F54F346" w14:textId="77777777" w:rsidR="002A544A" w:rsidRPr="00082192" w:rsidRDefault="002A544A" w:rsidP="002A544A">
      <w:pPr>
        <w:pBdr>
          <w:top w:val="single" w:sz="4" w:space="1" w:color="auto"/>
          <w:left w:val="single" w:sz="4" w:space="4" w:color="auto"/>
          <w:bottom w:val="single" w:sz="4" w:space="1" w:color="auto"/>
          <w:right w:val="single" w:sz="4" w:space="4" w:color="auto"/>
        </w:pBdr>
      </w:pPr>
      <w:r w:rsidRPr="00082192">
        <w:t>ABN: 47 001 162 661</w:t>
      </w:r>
    </w:p>
    <w:p w14:paraId="7905BA83" w14:textId="54E17D9C" w:rsidR="002A544A" w:rsidRPr="00082192" w:rsidRDefault="002A544A" w:rsidP="002A544A">
      <w:pPr>
        <w:pBdr>
          <w:top w:val="single" w:sz="4" w:space="1" w:color="auto"/>
          <w:left w:val="single" w:sz="4" w:space="4" w:color="auto"/>
          <w:bottom w:val="single" w:sz="4" w:space="1" w:color="auto"/>
          <w:right w:val="single" w:sz="4" w:space="4" w:color="auto"/>
        </w:pBdr>
      </w:pPr>
      <w:r w:rsidRPr="00082192">
        <w:t>Business trading name: Medtronic Australasia</w:t>
      </w:r>
      <w:r w:rsidR="006C51CD" w:rsidRPr="00082192">
        <w:t xml:space="preserve"> Pty Ltd</w:t>
      </w:r>
    </w:p>
    <w:p w14:paraId="6BD13DFB" w14:textId="77777777" w:rsidR="00C171FB" w:rsidRPr="00082192" w:rsidRDefault="00C171FB" w:rsidP="00C171FB"/>
    <w:p w14:paraId="5543B2E7" w14:textId="447829FF" w:rsidR="002A544A" w:rsidRPr="00082192" w:rsidRDefault="002A544A" w:rsidP="002A544A">
      <w:pPr>
        <w:rPr>
          <w:b/>
        </w:rPr>
      </w:pPr>
      <w:r w:rsidRPr="00082192">
        <w:rPr>
          <w:b/>
        </w:rPr>
        <w:t xml:space="preserve">Primary contact name: </w:t>
      </w:r>
      <w:r w:rsidR="00E50F47" w:rsidRPr="00082192">
        <w:rPr>
          <w:b/>
          <w:bCs/>
        </w:rPr>
        <w:t>REDACTED</w:t>
      </w:r>
    </w:p>
    <w:p w14:paraId="21333757" w14:textId="77777777" w:rsidR="002A544A" w:rsidRPr="00082192" w:rsidRDefault="002A544A" w:rsidP="002A544A">
      <w:pPr>
        <w:pBdr>
          <w:top w:val="single" w:sz="4" w:space="1" w:color="auto"/>
          <w:left w:val="single" w:sz="4" w:space="4" w:color="auto"/>
          <w:bottom w:val="single" w:sz="4" w:space="1" w:color="auto"/>
          <w:right w:val="single" w:sz="4" w:space="4" w:color="auto"/>
        </w:pBdr>
      </w:pPr>
      <w:r w:rsidRPr="00082192">
        <w:t>Primary contact numbers</w:t>
      </w:r>
    </w:p>
    <w:p w14:paraId="44DEBBE7" w14:textId="077FA175" w:rsidR="002A544A" w:rsidRPr="00082192" w:rsidRDefault="002A544A" w:rsidP="002A544A">
      <w:pPr>
        <w:pBdr>
          <w:top w:val="single" w:sz="4" w:space="1" w:color="auto"/>
          <w:left w:val="single" w:sz="4" w:space="4" w:color="auto"/>
          <w:bottom w:val="single" w:sz="4" w:space="1" w:color="auto"/>
          <w:right w:val="single" w:sz="4" w:space="4" w:color="auto"/>
        </w:pBdr>
      </w:pPr>
      <w:r w:rsidRPr="00082192">
        <w:t xml:space="preserve">Business: </w:t>
      </w:r>
      <w:r w:rsidR="00E50F47" w:rsidRPr="00082192">
        <w:rPr>
          <w:b/>
          <w:bCs/>
        </w:rPr>
        <w:t>REDACTED</w:t>
      </w:r>
    </w:p>
    <w:p w14:paraId="6129D807" w14:textId="77777777" w:rsidR="00E50F47" w:rsidRPr="00082192" w:rsidRDefault="002A544A" w:rsidP="002A544A">
      <w:pPr>
        <w:pBdr>
          <w:top w:val="single" w:sz="4" w:space="1" w:color="auto"/>
          <w:left w:val="single" w:sz="4" w:space="4" w:color="auto"/>
          <w:bottom w:val="single" w:sz="4" w:space="1" w:color="auto"/>
          <w:right w:val="single" w:sz="4" w:space="4" w:color="auto"/>
        </w:pBdr>
      </w:pPr>
      <w:r w:rsidRPr="00082192">
        <w:t>Mobile:</w:t>
      </w:r>
      <w:r w:rsidRPr="00082192">
        <w:tab/>
      </w:r>
      <w:r w:rsidR="00E50F47" w:rsidRPr="00082192">
        <w:rPr>
          <w:b/>
          <w:bCs/>
        </w:rPr>
        <w:t>REDACTED</w:t>
      </w:r>
      <w:r w:rsidR="00E50F47" w:rsidRPr="00082192">
        <w:t xml:space="preserve"> </w:t>
      </w:r>
    </w:p>
    <w:p w14:paraId="0F4CAECA" w14:textId="55B2C65E" w:rsidR="002A544A" w:rsidRPr="00082192" w:rsidRDefault="002A544A" w:rsidP="002A544A">
      <w:pPr>
        <w:pBdr>
          <w:top w:val="single" w:sz="4" w:space="1" w:color="auto"/>
          <w:left w:val="single" w:sz="4" w:space="4" w:color="auto"/>
          <w:bottom w:val="single" w:sz="4" w:space="1" w:color="auto"/>
          <w:right w:val="single" w:sz="4" w:space="4" w:color="auto"/>
        </w:pBdr>
      </w:pPr>
      <w:r w:rsidRPr="00082192">
        <w:t xml:space="preserve">Email: </w:t>
      </w:r>
      <w:r w:rsidR="00E50F47" w:rsidRPr="00082192">
        <w:rPr>
          <w:b/>
          <w:bCs/>
        </w:rPr>
        <w:t>REDACTED</w:t>
      </w:r>
    </w:p>
    <w:p w14:paraId="0BDA365B" w14:textId="77777777" w:rsidR="00C171FB" w:rsidRPr="00082192" w:rsidRDefault="00C171FB" w:rsidP="00C171FB">
      <w:pPr>
        <w:rPr>
          <w:b/>
        </w:rPr>
      </w:pPr>
    </w:p>
    <w:p w14:paraId="4D63F2A9" w14:textId="4668223A" w:rsidR="002A544A" w:rsidRPr="00082192" w:rsidRDefault="002A544A" w:rsidP="002A544A">
      <w:pPr>
        <w:rPr>
          <w:b/>
        </w:rPr>
      </w:pPr>
      <w:r w:rsidRPr="00082192">
        <w:rPr>
          <w:b/>
        </w:rPr>
        <w:t xml:space="preserve">Alternative contact name: </w:t>
      </w:r>
      <w:r w:rsidR="00E50F47" w:rsidRPr="00082192">
        <w:rPr>
          <w:b/>
          <w:bCs/>
        </w:rPr>
        <w:t>REDACTED</w:t>
      </w:r>
    </w:p>
    <w:p w14:paraId="0E6120AE" w14:textId="77777777" w:rsidR="002A544A" w:rsidRPr="00082192" w:rsidRDefault="002A544A" w:rsidP="002A544A">
      <w:pPr>
        <w:pBdr>
          <w:top w:val="single" w:sz="4" w:space="1" w:color="auto"/>
          <w:left w:val="single" w:sz="4" w:space="4" w:color="auto"/>
          <w:bottom w:val="single" w:sz="4" w:space="1" w:color="auto"/>
          <w:right w:val="single" w:sz="4" w:space="4" w:color="auto"/>
        </w:pBdr>
      </w:pPr>
      <w:r w:rsidRPr="00082192">
        <w:t>Alternative contact numbers</w:t>
      </w:r>
      <w:r w:rsidRPr="00082192">
        <w:tab/>
      </w:r>
    </w:p>
    <w:p w14:paraId="3F2F5A2D" w14:textId="00DDE099" w:rsidR="002A544A" w:rsidRPr="00082192" w:rsidRDefault="002A544A" w:rsidP="002A544A">
      <w:pPr>
        <w:pBdr>
          <w:top w:val="single" w:sz="4" w:space="1" w:color="auto"/>
          <w:left w:val="single" w:sz="4" w:space="4" w:color="auto"/>
          <w:bottom w:val="single" w:sz="4" w:space="1" w:color="auto"/>
          <w:right w:val="single" w:sz="4" w:space="4" w:color="auto"/>
        </w:pBdr>
      </w:pPr>
      <w:r w:rsidRPr="00082192">
        <w:t xml:space="preserve">Business: </w:t>
      </w:r>
      <w:r w:rsidR="00E50F47" w:rsidRPr="00082192">
        <w:rPr>
          <w:b/>
          <w:bCs/>
        </w:rPr>
        <w:t>REDACTED</w:t>
      </w:r>
    </w:p>
    <w:p w14:paraId="16A33536" w14:textId="3F7A271E" w:rsidR="002A544A" w:rsidRPr="00082192" w:rsidRDefault="002A544A" w:rsidP="002A544A">
      <w:pPr>
        <w:pBdr>
          <w:top w:val="single" w:sz="4" w:space="1" w:color="auto"/>
          <w:left w:val="single" w:sz="4" w:space="4" w:color="auto"/>
          <w:bottom w:val="single" w:sz="4" w:space="1" w:color="auto"/>
          <w:right w:val="single" w:sz="4" w:space="4" w:color="auto"/>
        </w:pBdr>
      </w:pPr>
      <w:r w:rsidRPr="00082192">
        <w:t xml:space="preserve">Email: </w:t>
      </w:r>
      <w:r w:rsidR="00E50F47" w:rsidRPr="00082192">
        <w:rPr>
          <w:b/>
          <w:bCs/>
        </w:rPr>
        <w:t>REDACTED</w:t>
      </w:r>
    </w:p>
    <w:p w14:paraId="0E3D0953" w14:textId="77777777" w:rsidR="00C171FB" w:rsidRPr="00082192" w:rsidRDefault="00C171FB" w:rsidP="00C171FB"/>
    <w:p w14:paraId="569B6B2D" w14:textId="77777777" w:rsidR="00534C5F" w:rsidRPr="00082192" w:rsidRDefault="00494011" w:rsidP="004A0BF4">
      <w:pPr>
        <w:pStyle w:val="Heading2"/>
      </w:pPr>
      <w:r w:rsidRPr="00082192">
        <w:t xml:space="preserve">(a) </w:t>
      </w:r>
      <w:r w:rsidR="00534C5F" w:rsidRPr="00082192">
        <w:t>Are you a lobbyist acting on behalf of an Applicant?</w:t>
      </w:r>
    </w:p>
    <w:p w14:paraId="236B75C4" w14:textId="7723B765" w:rsidR="00A6491A" w:rsidRPr="00082192" w:rsidRDefault="00D4153A" w:rsidP="00D4153A">
      <w:pPr>
        <w:spacing w:before="0" w:after="0"/>
        <w:ind w:left="426"/>
        <w:rPr>
          <w:szCs w:val="20"/>
        </w:rPr>
      </w:pPr>
      <w:r w:rsidRPr="00082192">
        <w:rPr>
          <w:szCs w:val="20"/>
        </w:rPr>
        <w:fldChar w:fldCharType="begin">
          <w:ffData>
            <w:name w:val="Check2"/>
            <w:enabled/>
            <w:calcOnExit w:val="0"/>
            <w:checkBox>
              <w:sizeAuto/>
              <w:default w:val="1"/>
            </w:checkBox>
          </w:ffData>
        </w:fldChar>
      </w:r>
      <w:r w:rsidRPr="00082192">
        <w:rPr>
          <w:szCs w:val="20"/>
        </w:rPr>
        <w:instrText xml:space="preserve"> FORMCHECKBOX </w:instrText>
      </w:r>
      <w:r w:rsidR="00082192" w:rsidRPr="00082192">
        <w:rPr>
          <w:szCs w:val="20"/>
        </w:rPr>
      </w:r>
      <w:r w:rsidR="00082192" w:rsidRPr="00082192">
        <w:rPr>
          <w:szCs w:val="20"/>
        </w:rPr>
        <w:fldChar w:fldCharType="separate"/>
      </w:r>
      <w:r w:rsidRPr="00082192">
        <w:rPr>
          <w:szCs w:val="20"/>
        </w:rPr>
        <w:fldChar w:fldCharType="end"/>
      </w:r>
      <w:r w:rsidR="00A6491A" w:rsidRPr="00082192">
        <w:rPr>
          <w:szCs w:val="20"/>
        </w:rPr>
        <w:t xml:space="preserve"> Yes</w:t>
      </w:r>
    </w:p>
    <w:p w14:paraId="6C91A090" w14:textId="1247D40D" w:rsidR="00A6491A" w:rsidRPr="00082192" w:rsidRDefault="00D4153A" w:rsidP="00A6491A">
      <w:pPr>
        <w:spacing w:before="0" w:after="0"/>
        <w:ind w:left="426"/>
        <w:rPr>
          <w:szCs w:val="20"/>
        </w:rPr>
      </w:pPr>
      <w:r w:rsidRPr="00082192">
        <w:rPr>
          <w:szCs w:val="20"/>
        </w:rPr>
        <w:fldChar w:fldCharType="begin">
          <w:ffData>
            <w:name w:val="Check1"/>
            <w:enabled/>
            <w:calcOnExit w:val="0"/>
            <w:checkBox>
              <w:sizeAuto/>
              <w:default w:val="0"/>
            </w:checkBox>
          </w:ffData>
        </w:fldChar>
      </w:r>
      <w:r w:rsidRPr="00082192">
        <w:rPr>
          <w:szCs w:val="20"/>
        </w:rPr>
        <w:instrText xml:space="preserve"> FORMCHECKBOX </w:instrText>
      </w:r>
      <w:r w:rsidR="00082192" w:rsidRPr="00082192">
        <w:rPr>
          <w:szCs w:val="20"/>
        </w:rPr>
      </w:r>
      <w:r w:rsidR="00082192" w:rsidRPr="00082192">
        <w:rPr>
          <w:szCs w:val="20"/>
        </w:rPr>
        <w:fldChar w:fldCharType="separate"/>
      </w:r>
      <w:r w:rsidRPr="00082192">
        <w:rPr>
          <w:szCs w:val="20"/>
        </w:rPr>
        <w:fldChar w:fldCharType="end"/>
      </w:r>
      <w:r w:rsidR="00A6491A" w:rsidRPr="00082192">
        <w:rPr>
          <w:szCs w:val="20"/>
        </w:rPr>
        <w:t xml:space="preserve"> No  </w:t>
      </w:r>
    </w:p>
    <w:p w14:paraId="19683C47" w14:textId="5B8EEA38" w:rsidR="00D4153A" w:rsidRPr="00082192" w:rsidRDefault="00D4153A" w:rsidP="00D4153A">
      <w:pPr>
        <w:spacing w:before="0" w:after="0"/>
        <w:rPr>
          <w:szCs w:val="20"/>
        </w:rPr>
      </w:pPr>
    </w:p>
    <w:p w14:paraId="29C9B5A4" w14:textId="77777777" w:rsidR="00534C5F" w:rsidRPr="00082192" w:rsidRDefault="00534C5F" w:rsidP="00494011">
      <w:pPr>
        <w:pStyle w:val="Heading2"/>
        <w:numPr>
          <w:ilvl w:val="0"/>
          <w:numId w:val="23"/>
        </w:numPr>
      </w:pPr>
      <w:r w:rsidRPr="00082192">
        <w:t>If yes, are you listed on the Register of Lobbyists?</w:t>
      </w:r>
    </w:p>
    <w:p w14:paraId="3A4A1BD6" w14:textId="260DF709" w:rsidR="00A6491A" w:rsidRPr="00753C44" w:rsidRDefault="00D4153A" w:rsidP="00A6491A">
      <w:pPr>
        <w:spacing w:before="0" w:after="0"/>
        <w:ind w:left="426"/>
        <w:rPr>
          <w:szCs w:val="20"/>
        </w:rPr>
      </w:pPr>
      <w:r w:rsidRPr="00082192">
        <w:rPr>
          <w:szCs w:val="20"/>
        </w:rPr>
        <w:t>Yes</w:t>
      </w:r>
    </w:p>
    <w:p w14:paraId="481AB09E" w14:textId="77777777" w:rsidR="00E04FB3" w:rsidRDefault="00E04FB3" w:rsidP="005C333E">
      <w:pPr>
        <w:spacing w:before="0" w:after="0"/>
        <w:ind w:left="426"/>
        <w:rPr>
          <w:b/>
          <w:szCs w:val="20"/>
        </w:rPr>
      </w:pPr>
      <w:r w:rsidRPr="00154B00">
        <w:rPr>
          <w:b/>
          <w:szCs w:val="20"/>
        </w:rPr>
        <w:br w:type="page"/>
      </w:r>
    </w:p>
    <w:p w14:paraId="42F66900"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02270968" w14:textId="77777777" w:rsidR="000B3CD0" w:rsidRDefault="000B3CD0" w:rsidP="00840305">
      <w:pPr>
        <w:pStyle w:val="Heading2"/>
        <w:ind w:left="357" w:hanging="357"/>
        <w:contextualSpacing w:val="0"/>
      </w:pPr>
      <w:r w:rsidRPr="00154B00">
        <w:t>Application title</w:t>
      </w:r>
      <w:r w:rsidR="00A8732C">
        <w:t xml:space="preserve"> </w:t>
      </w:r>
    </w:p>
    <w:p w14:paraId="2EA09D8B" w14:textId="77777777" w:rsidR="00840305" w:rsidRPr="006D7478" w:rsidRDefault="00840305" w:rsidP="00E50F47">
      <w:pPr>
        <w:ind w:left="357"/>
        <w:rPr>
          <w:noProof/>
        </w:rPr>
      </w:pPr>
      <w:r w:rsidRPr="00840305">
        <w:rPr>
          <w:noProof/>
        </w:rPr>
        <w:t>Extravascular implantable cardioverter defibrillator (EV-ICD) therapy</w:t>
      </w:r>
      <w:r w:rsidR="00183481">
        <w:rPr>
          <w:noProof/>
        </w:rPr>
        <w:t xml:space="preserve"> for patients at risk of ventricular arrh</w:t>
      </w:r>
      <w:r w:rsidR="008F029C">
        <w:rPr>
          <w:noProof/>
        </w:rPr>
        <w:t>y</w:t>
      </w:r>
      <w:r w:rsidR="00183481">
        <w:rPr>
          <w:noProof/>
        </w:rPr>
        <w:t xml:space="preserve">thmia </w:t>
      </w:r>
      <w:r w:rsidR="008F029C">
        <w:rPr>
          <w:noProof/>
        </w:rPr>
        <w:t>(</w:t>
      </w:r>
      <w:r w:rsidR="008F029C" w:rsidRPr="006D7478">
        <w:rPr>
          <w:noProof/>
        </w:rPr>
        <w:t>VA).</w:t>
      </w:r>
    </w:p>
    <w:p w14:paraId="62C8B144" w14:textId="77777777" w:rsidR="009B4E1E" w:rsidRPr="006D7478" w:rsidRDefault="009B4E1E" w:rsidP="00840305">
      <w:pPr>
        <w:pStyle w:val="Heading2"/>
      </w:pPr>
      <w:r w:rsidRPr="006D7478">
        <w:t>Provide a succinct description of the medical condition relevant to the proposed service</w:t>
      </w:r>
      <w:r w:rsidR="000955E7" w:rsidRPr="006D7478">
        <w:t xml:space="preserve"> (no more than 150 words</w:t>
      </w:r>
      <w:r w:rsidR="00F93784" w:rsidRPr="006D7478">
        <w:t xml:space="preserve"> – </w:t>
      </w:r>
      <w:r w:rsidR="00C847AE" w:rsidRPr="006D7478">
        <w:t>further</w:t>
      </w:r>
      <w:r w:rsidR="00F93784" w:rsidRPr="006D7478">
        <w:t xml:space="preserve"> information will be </w:t>
      </w:r>
      <w:r w:rsidR="00C847AE" w:rsidRPr="006D7478">
        <w:t xml:space="preserve">requested </w:t>
      </w:r>
      <w:r w:rsidR="003F2711" w:rsidRPr="006D7478">
        <w:t>at Part F</w:t>
      </w:r>
      <w:r w:rsidR="00C847AE" w:rsidRPr="006D7478">
        <w:t xml:space="preserve"> of the Application Form</w:t>
      </w:r>
      <w:r w:rsidR="000955E7" w:rsidRPr="006D7478">
        <w:t>)</w:t>
      </w:r>
    </w:p>
    <w:p w14:paraId="48457164" w14:textId="2DE3C9FC" w:rsidR="00DD3119" w:rsidRPr="007D5454" w:rsidRDefault="00F16C54" w:rsidP="00E50F47">
      <w:pPr>
        <w:ind w:left="360"/>
      </w:pPr>
      <w:r>
        <w:t xml:space="preserve">Ventricular arrhythmias </w:t>
      </w:r>
      <w:r w:rsidR="00957B78">
        <w:t xml:space="preserve">are abnormal heartbeats that originate from the ventricles. These types of arrhythmias cause </w:t>
      </w:r>
      <w:r w:rsidR="004F2558">
        <w:t>the</w:t>
      </w:r>
      <w:r w:rsidR="0071465A">
        <w:t xml:space="preserve"> </w:t>
      </w:r>
      <w:r w:rsidR="00957B78" w:rsidRPr="007D5454">
        <w:t>heart</w:t>
      </w:r>
      <w:r w:rsidR="00957B78">
        <w:t xml:space="preserve"> to beat too fast, which prevents oxygen-rich blood from circulating to the brain and body and may result in sudden cardiac death (SCD).</w:t>
      </w:r>
      <w:r w:rsidR="00DD3119">
        <w:t xml:space="preserve"> The most common types of VA are ventricular tachycardia (VT) an</w:t>
      </w:r>
      <w:r w:rsidR="00180D82">
        <w:t>d ventricular fibrillation (VF).</w:t>
      </w:r>
    </w:p>
    <w:p w14:paraId="2B1BF48D" w14:textId="7CEB965B" w:rsidR="00DD3119" w:rsidRPr="007D5454" w:rsidRDefault="00DD3119" w:rsidP="00E50F47">
      <w:pPr>
        <w:ind w:left="360"/>
      </w:pPr>
      <w:r w:rsidRPr="007D5454">
        <w:t xml:space="preserve">The main risk factor for developing </w:t>
      </w:r>
      <w:r w:rsidR="00256D47" w:rsidRPr="007D5454">
        <w:t>VA</w:t>
      </w:r>
      <w:r w:rsidRPr="007D5454">
        <w:t xml:space="preserve"> is ischaemic heart disease (IHD); however, </w:t>
      </w:r>
      <w:r w:rsidR="00B2068E" w:rsidRPr="007D5454">
        <w:t xml:space="preserve">genetic cardiac disease, chronic heart failure (CHF) or </w:t>
      </w:r>
      <w:r w:rsidRPr="007D5454">
        <w:t>a prior</w:t>
      </w:r>
      <w:r w:rsidR="00B2068E" w:rsidRPr="007D5454">
        <w:t xml:space="preserve"> history of hypertension or </w:t>
      </w:r>
      <w:r w:rsidRPr="007D5454">
        <w:t>myocardial infarction (MI) also increases risk</w:t>
      </w:r>
      <w:r w:rsidR="00B2068E" w:rsidRPr="007D5454">
        <w:t xml:space="preserve">.  </w:t>
      </w:r>
      <w:r w:rsidR="00180D82">
        <w:t>S</w:t>
      </w:r>
      <w:r w:rsidR="00180D82" w:rsidRPr="00180D82">
        <w:t xml:space="preserve">ymptoms </w:t>
      </w:r>
      <w:r w:rsidR="00180D82">
        <w:t xml:space="preserve">may </w:t>
      </w:r>
      <w:r w:rsidR="00180D82" w:rsidRPr="00180D82">
        <w:t>include palpitations, light-headedness, syncope, dyspnoea</w:t>
      </w:r>
      <w:r w:rsidR="00180D82">
        <w:t>, chest pain and cardiac arrest</w:t>
      </w:r>
      <w:r w:rsidR="00B2068E" w:rsidRPr="007D5454">
        <w:t>.</w:t>
      </w:r>
      <w:r w:rsidR="00B2068E" w:rsidRPr="007D5454">
        <w:rPr>
          <w:rStyle w:val="FootnoteReference"/>
        </w:rPr>
        <w:t xml:space="preserve"> </w:t>
      </w:r>
      <w:r w:rsidR="00B2068E" w:rsidRPr="007D5454">
        <w:rPr>
          <w:rStyle w:val="FootnoteReference"/>
        </w:rPr>
        <w:footnoteReference w:id="2"/>
      </w:r>
      <w:r w:rsidR="00B2068E" w:rsidRPr="007D5454">
        <w:rPr>
          <w:rStyle w:val="FootnoteReference"/>
        </w:rPr>
        <w:t>,</w:t>
      </w:r>
      <w:r w:rsidR="00B2068E" w:rsidRPr="007D5454">
        <w:rPr>
          <w:rStyle w:val="FootnoteReference"/>
        </w:rPr>
        <w:footnoteReference w:id="3"/>
      </w:r>
      <w:r w:rsidR="00B2068E" w:rsidRPr="007D5454">
        <w:t xml:space="preserve">   </w:t>
      </w:r>
      <w:r w:rsidRPr="007D5454">
        <w:t>Ventricular arrhythmias increase morbidity and are attributable to approximately half of all sudden cardiac deaths</w:t>
      </w:r>
      <w:r w:rsidR="003F40E0" w:rsidRPr="007D5454">
        <w:t xml:space="preserve">. </w:t>
      </w:r>
      <w:r w:rsidR="00B2068E" w:rsidRPr="007D5454">
        <w:rPr>
          <w:vertAlign w:val="superscript"/>
        </w:rPr>
        <w:t>1,</w:t>
      </w:r>
      <w:r w:rsidRPr="007D5454">
        <w:rPr>
          <w:rStyle w:val="FootnoteReference"/>
        </w:rPr>
        <w:footnoteReference w:id="4"/>
      </w:r>
    </w:p>
    <w:p w14:paraId="6A819C49" w14:textId="77777777" w:rsidR="000955E7" w:rsidRPr="007D5454" w:rsidRDefault="000955E7" w:rsidP="004A0BF4">
      <w:pPr>
        <w:pStyle w:val="Heading2"/>
      </w:pPr>
      <w:r w:rsidRPr="007D5454">
        <w:t>Prov</w:t>
      </w:r>
      <w:r w:rsidR="00D11EB1" w:rsidRPr="007D5454">
        <w:t>i</w:t>
      </w:r>
      <w:r w:rsidRPr="007D5454">
        <w:t>de a succinct description of the proposed medical service (no more than 150 words</w:t>
      </w:r>
      <w:r w:rsidR="00C847AE" w:rsidRPr="007D5454">
        <w:t xml:space="preserve"> </w:t>
      </w:r>
      <w:r w:rsidR="00F93784" w:rsidRPr="007D5454">
        <w:t xml:space="preserve">– </w:t>
      </w:r>
      <w:r w:rsidR="00C847AE" w:rsidRPr="007D5454">
        <w:t>further</w:t>
      </w:r>
      <w:r w:rsidR="00F93784" w:rsidRPr="007D5454">
        <w:t xml:space="preserve"> information will be </w:t>
      </w:r>
      <w:r w:rsidR="00C847AE" w:rsidRPr="007D5454">
        <w:t>requested</w:t>
      </w:r>
      <w:r w:rsidR="00F93784" w:rsidRPr="007D5454">
        <w:t xml:space="preserve"> </w:t>
      </w:r>
      <w:r w:rsidR="00883641" w:rsidRPr="007D5454">
        <w:t>at</w:t>
      </w:r>
      <w:r w:rsidR="00C847AE" w:rsidRPr="007D5454">
        <w:t xml:space="preserve"> </w:t>
      </w:r>
      <w:r w:rsidR="00026412" w:rsidRPr="007D5454">
        <w:t>Part 6</w:t>
      </w:r>
      <w:r w:rsidR="00C847AE" w:rsidRPr="007D5454">
        <w:t xml:space="preserve"> of the Application Form</w:t>
      </w:r>
      <w:r w:rsidRPr="007D5454">
        <w:t>)</w:t>
      </w:r>
    </w:p>
    <w:p w14:paraId="26B48F37" w14:textId="51B595B0" w:rsidR="00720982" w:rsidRDefault="00F16C54" w:rsidP="00E50F47">
      <w:pPr>
        <w:ind w:left="360"/>
      </w:pPr>
      <w:r w:rsidRPr="007D5454">
        <w:t xml:space="preserve">The role of a conventional </w:t>
      </w:r>
      <w:r w:rsidR="00180D82" w:rsidRPr="00840305">
        <w:rPr>
          <w:noProof/>
        </w:rPr>
        <w:t>implant</w:t>
      </w:r>
      <w:r w:rsidR="00180D82">
        <w:rPr>
          <w:noProof/>
        </w:rPr>
        <w:t>able cardioverter defibrillation (ICD) i</w:t>
      </w:r>
      <w:r w:rsidRPr="007D5454">
        <w:t>s to continuously monitor cardiac rhythms and provide defibrillation (electronic shocks) and/or post-shock bradycardia pacing therapies for the treatment of life</w:t>
      </w:r>
      <w:r w:rsidR="006338BE">
        <w:t>-</w:t>
      </w:r>
      <w:r w:rsidRPr="007D5454">
        <w:t xml:space="preserve">threatening VA.  </w:t>
      </w:r>
    </w:p>
    <w:p w14:paraId="34CBF27C" w14:textId="68816152" w:rsidR="00043A59" w:rsidRDefault="00F16C54" w:rsidP="00E50F47">
      <w:pPr>
        <w:ind w:left="360"/>
      </w:pPr>
      <w:r w:rsidRPr="007D5454">
        <w:t>The transvenous ICD (TV-ICD)</w:t>
      </w:r>
      <w:r w:rsidR="00A33AFA">
        <w:t>, which</w:t>
      </w:r>
      <w:r w:rsidRPr="007D5454">
        <w:t xml:space="preserve"> is </w:t>
      </w:r>
      <w:r w:rsidR="00C045AF" w:rsidRPr="007D5454">
        <w:t xml:space="preserve">the </w:t>
      </w:r>
      <w:r w:rsidRPr="007D5454">
        <w:t xml:space="preserve">most common </w:t>
      </w:r>
      <w:r w:rsidR="00C045AF" w:rsidRPr="007D5454">
        <w:t>ICD design used</w:t>
      </w:r>
      <w:r w:rsidRPr="007D5454">
        <w:t xml:space="preserve"> in clinical practice, </w:t>
      </w:r>
      <w:r w:rsidR="00C045AF" w:rsidRPr="007D5454">
        <w:t>is associated with vascular injury, cardiac perforation and pneumothorax, and long</w:t>
      </w:r>
      <w:r w:rsidR="00D532BC">
        <w:t>-</w:t>
      </w:r>
      <w:r w:rsidR="00C045AF" w:rsidRPr="007D5454">
        <w:t>term complications include venous obstruction, lead failure and device/lead infection.  T</w:t>
      </w:r>
      <w:r w:rsidRPr="007D5454">
        <w:t xml:space="preserve">he </w:t>
      </w:r>
      <w:r w:rsidR="00720982">
        <w:t xml:space="preserve">EV-ICD </w:t>
      </w:r>
      <w:r w:rsidR="00180D82">
        <w:t>is an alternative option</w:t>
      </w:r>
      <w:r w:rsidRPr="007D5454">
        <w:t xml:space="preserve"> to TV-ICD for patients wh</w:t>
      </w:r>
      <w:r w:rsidR="00D532BC">
        <w:t>ere</w:t>
      </w:r>
      <w:r w:rsidRPr="007D5454">
        <w:t xml:space="preserve"> insertion of a TV-ICD is not ideal or feasible</w:t>
      </w:r>
      <w:r w:rsidR="003A0E71">
        <w:t xml:space="preserve">.  EV-ICD </w:t>
      </w:r>
      <w:r w:rsidRPr="007D5454">
        <w:t xml:space="preserve">offers </w:t>
      </w:r>
      <w:r w:rsidR="00CC707E" w:rsidRPr="007D5454">
        <w:t xml:space="preserve">long-term bradycardia pacing and </w:t>
      </w:r>
      <w:r w:rsidRPr="007D5454">
        <w:t>anti-tachycardia pacing (ATP), unlimited pacing time</w:t>
      </w:r>
      <w:r w:rsidR="003A0E71">
        <w:t xml:space="preserve"> and a</w:t>
      </w:r>
      <w:r w:rsidRPr="007D5454">
        <w:t xml:space="preserve"> small </w:t>
      </w:r>
      <w:r w:rsidR="00C045AF" w:rsidRPr="007D5454">
        <w:t xml:space="preserve">sized </w:t>
      </w:r>
      <w:r w:rsidRPr="007D5454">
        <w:t>generat</w:t>
      </w:r>
      <w:r w:rsidR="003A0E71">
        <w:t>or.</w:t>
      </w:r>
    </w:p>
    <w:p w14:paraId="2E544C41" w14:textId="23230A33" w:rsidR="003A0E71" w:rsidRPr="007D5454" w:rsidRDefault="003A0E71" w:rsidP="00E50F47">
      <w:pPr>
        <w:ind w:left="360"/>
      </w:pPr>
      <w:r w:rsidRPr="007D5454">
        <w:t xml:space="preserve">For </w:t>
      </w:r>
      <w:r>
        <w:t xml:space="preserve">single-chamber </w:t>
      </w:r>
      <w:r w:rsidRPr="007D5454">
        <w:t>EV-ICDs, a battery-powered pulse generator is implanted in a pouch under th</w:t>
      </w:r>
      <w:r>
        <w:t xml:space="preserve">e skin </w:t>
      </w:r>
      <w:r w:rsidR="008B57E1">
        <w:t>near the serratus on the left</w:t>
      </w:r>
      <w:r w:rsidR="00B6375A">
        <w:t xml:space="preserve"> side.</w:t>
      </w:r>
      <w:r w:rsidRPr="007D5454">
        <w:t xml:space="preserve">  The w</w:t>
      </w:r>
      <w:r>
        <w:t>ire (electrode</w:t>
      </w:r>
      <w:r w:rsidRPr="007D5454">
        <w:t>) run</w:t>
      </w:r>
      <w:r w:rsidR="00D532BC">
        <w:t>s</w:t>
      </w:r>
      <w:r w:rsidRPr="007D5454">
        <w:t xml:space="preserve"> from the pulse generator to </w:t>
      </w:r>
      <w:r w:rsidR="00EA5C8A">
        <w:t xml:space="preserve">the </w:t>
      </w:r>
      <w:r w:rsidR="00EA5C8A" w:rsidRPr="00555AB0">
        <w:t>anterior mediastinum</w:t>
      </w:r>
      <w:r w:rsidR="00D532BC">
        <w:t>.</w:t>
      </w:r>
      <w:r w:rsidR="00EA5C8A" w:rsidRPr="007D5454" w:rsidDel="00EA5C8A">
        <w:t xml:space="preserve"> </w:t>
      </w:r>
      <w:r w:rsidRPr="007D5454">
        <w:t xml:space="preserve">  If an abnormal heart rhythm is detected the device will deliver an electric shock (defibrillation)</w:t>
      </w:r>
      <w:r>
        <w:t xml:space="preserve"> to restore a normal heartbeat.</w:t>
      </w:r>
    </w:p>
    <w:p w14:paraId="0F223F6A" w14:textId="77777777" w:rsidR="00D11EB1" w:rsidRPr="007D5454" w:rsidRDefault="00730C04" w:rsidP="004A0BF4">
      <w:pPr>
        <w:pStyle w:val="Heading2"/>
        <w:rPr>
          <w:rStyle w:val="Strong"/>
          <w:rFonts w:asciiTheme="minorHAnsi" w:eastAsiaTheme="minorHAnsi" w:hAnsiTheme="minorHAnsi" w:cstheme="minorBidi"/>
          <w:b/>
        </w:rPr>
      </w:pPr>
      <w:r w:rsidRPr="007D5454">
        <w:rPr>
          <w:rStyle w:val="Strong"/>
          <w:rFonts w:asciiTheme="minorHAnsi" w:eastAsiaTheme="minorHAnsi" w:hAnsiTheme="minorHAnsi" w:cstheme="minorBidi"/>
          <w:b/>
        </w:rPr>
        <w:t xml:space="preserve">(a) </w:t>
      </w:r>
      <w:r w:rsidR="00D11EB1" w:rsidRPr="007D5454">
        <w:rPr>
          <w:rStyle w:val="Strong"/>
          <w:rFonts w:asciiTheme="minorHAnsi" w:eastAsiaTheme="minorHAnsi" w:hAnsiTheme="minorHAnsi" w:cstheme="minorBidi"/>
          <w:b/>
        </w:rPr>
        <w:t>Is this a request for MBS funding?</w:t>
      </w:r>
    </w:p>
    <w:p w14:paraId="2FE77A1C" w14:textId="77777777" w:rsidR="00753C44" w:rsidRPr="007D5454" w:rsidRDefault="002A544A" w:rsidP="00E50F47">
      <w:pPr>
        <w:spacing w:before="0" w:after="0"/>
        <w:ind w:left="360"/>
        <w:rPr>
          <w:szCs w:val="20"/>
        </w:rPr>
      </w:pPr>
      <w:r w:rsidRPr="007D5454">
        <w:rPr>
          <w:szCs w:val="20"/>
        </w:rPr>
        <w:fldChar w:fldCharType="begin">
          <w:ffData>
            <w:name w:val="Check2"/>
            <w:enabled/>
            <w:calcOnExit w:val="0"/>
            <w:checkBox>
              <w:sizeAuto/>
              <w:default w:val="1"/>
            </w:checkBox>
          </w:ffData>
        </w:fldChar>
      </w:r>
      <w:r w:rsidRPr="007D5454">
        <w:rPr>
          <w:szCs w:val="20"/>
        </w:rPr>
        <w:instrText xml:space="preserve"> FORMCHECKBOX </w:instrText>
      </w:r>
      <w:r w:rsidR="00082192">
        <w:rPr>
          <w:szCs w:val="20"/>
        </w:rPr>
      </w:r>
      <w:r w:rsidR="00082192">
        <w:rPr>
          <w:szCs w:val="20"/>
        </w:rPr>
        <w:fldChar w:fldCharType="separate"/>
      </w:r>
      <w:r w:rsidRPr="007D5454">
        <w:rPr>
          <w:szCs w:val="20"/>
        </w:rPr>
        <w:fldChar w:fldCharType="end"/>
      </w:r>
      <w:r w:rsidR="006B6390" w:rsidRPr="007D5454">
        <w:rPr>
          <w:szCs w:val="20"/>
        </w:rPr>
        <w:t xml:space="preserve"> Yes</w:t>
      </w:r>
    </w:p>
    <w:p w14:paraId="5E444B47" w14:textId="77777777" w:rsidR="00753C44" w:rsidRPr="007D5454" w:rsidRDefault="006B6390" w:rsidP="00E50F47">
      <w:pPr>
        <w:spacing w:before="0" w:after="0"/>
        <w:ind w:left="360"/>
        <w:rPr>
          <w:szCs w:val="20"/>
        </w:rPr>
      </w:pPr>
      <w:r w:rsidRPr="007D5454">
        <w:rPr>
          <w:szCs w:val="20"/>
        </w:rPr>
        <w:fldChar w:fldCharType="begin">
          <w:ffData>
            <w:name w:val="Check2"/>
            <w:enabled/>
            <w:calcOnExit w:val="0"/>
            <w:checkBox>
              <w:sizeAuto/>
              <w:default w:val="0"/>
            </w:checkBox>
          </w:ffData>
        </w:fldChar>
      </w:r>
      <w:r w:rsidRPr="007D5454">
        <w:rPr>
          <w:szCs w:val="20"/>
        </w:rPr>
        <w:instrText xml:space="preserve"> FORMCHECKBOX </w:instrText>
      </w:r>
      <w:r w:rsidR="00082192">
        <w:rPr>
          <w:szCs w:val="20"/>
        </w:rPr>
      </w:r>
      <w:r w:rsidR="00082192">
        <w:rPr>
          <w:szCs w:val="20"/>
        </w:rPr>
        <w:fldChar w:fldCharType="separate"/>
      </w:r>
      <w:r w:rsidRPr="007D5454">
        <w:rPr>
          <w:szCs w:val="20"/>
        </w:rPr>
        <w:fldChar w:fldCharType="end"/>
      </w:r>
      <w:r w:rsidRPr="007D5454">
        <w:rPr>
          <w:szCs w:val="20"/>
        </w:rPr>
        <w:t xml:space="preserve"> No</w:t>
      </w:r>
      <w:r w:rsidR="00753C44" w:rsidRPr="007D5454">
        <w:rPr>
          <w:szCs w:val="20"/>
        </w:rPr>
        <w:t xml:space="preserve">  </w:t>
      </w:r>
    </w:p>
    <w:p w14:paraId="7D08CB17" w14:textId="77777777" w:rsidR="000B3CD0" w:rsidRPr="007D5454" w:rsidRDefault="000B3CD0" w:rsidP="00730C04">
      <w:pPr>
        <w:pStyle w:val="Heading2"/>
        <w:numPr>
          <w:ilvl w:val="0"/>
          <w:numId w:val="24"/>
        </w:numPr>
        <w:rPr>
          <w:rStyle w:val="Strong"/>
          <w:rFonts w:asciiTheme="minorHAnsi" w:eastAsiaTheme="minorHAnsi" w:hAnsiTheme="minorHAnsi" w:cstheme="minorBidi"/>
          <w:b/>
        </w:rPr>
      </w:pPr>
      <w:r w:rsidRPr="007D5454">
        <w:rPr>
          <w:rStyle w:val="Strong"/>
          <w:rFonts w:asciiTheme="minorHAnsi" w:eastAsiaTheme="minorHAnsi" w:hAnsiTheme="minorHAnsi" w:cstheme="minorBidi"/>
          <w:b/>
        </w:rPr>
        <w:t>I</w:t>
      </w:r>
      <w:r w:rsidR="003020B5" w:rsidRPr="007D5454">
        <w:rPr>
          <w:rStyle w:val="Strong"/>
          <w:rFonts w:asciiTheme="minorHAnsi" w:eastAsiaTheme="minorHAnsi" w:hAnsiTheme="minorHAnsi" w:cstheme="minorBidi"/>
          <w:b/>
        </w:rPr>
        <w:t xml:space="preserve">f </w:t>
      </w:r>
      <w:r w:rsidR="00D11EB1" w:rsidRPr="007D5454">
        <w:rPr>
          <w:rStyle w:val="Strong"/>
          <w:rFonts w:asciiTheme="minorHAnsi" w:eastAsiaTheme="minorHAnsi" w:hAnsiTheme="minorHAnsi" w:cstheme="minorBidi"/>
          <w:b/>
        </w:rPr>
        <w:t xml:space="preserve">yes, is </w:t>
      </w:r>
      <w:r w:rsidRPr="007D5454">
        <w:rPr>
          <w:rStyle w:val="Strong"/>
          <w:rFonts w:asciiTheme="minorHAnsi" w:eastAsiaTheme="minorHAnsi" w:hAnsiTheme="minorHAnsi" w:cstheme="minorBidi"/>
          <w:b/>
        </w:rPr>
        <w:t>the medical service</w:t>
      </w:r>
      <w:r w:rsidR="005D0677" w:rsidRPr="007D5454">
        <w:rPr>
          <w:rStyle w:val="Strong"/>
          <w:rFonts w:asciiTheme="minorHAnsi" w:eastAsiaTheme="minorHAnsi" w:hAnsiTheme="minorHAnsi" w:cstheme="minorBidi"/>
          <w:b/>
        </w:rPr>
        <w:t>(s)</w:t>
      </w:r>
      <w:r w:rsidRPr="007D5454">
        <w:rPr>
          <w:rStyle w:val="Strong"/>
          <w:rFonts w:asciiTheme="minorHAnsi" w:eastAsiaTheme="minorHAnsi" w:hAnsiTheme="minorHAnsi" w:cstheme="minorBidi"/>
          <w:b/>
        </w:rPr>
        <w:t xml:space="preserve"> </w:t>
      </w:r>
      <w:r w:rsidR="00F83566" w:rsidRPr="007D5454">
        <w:rPr>
          <w:rStyle w:val="Strong"/>
          <w:rFonts w:asciiTheme="minorHAnsi" w:eastAsiaTheme="minorHAnsi" w:hAnsiTheme="minorHAnsi" w:cstheme="minorBidi"/>
          <w:b/>
        </w:rPr>
        <w:t xml:space="preserve">proposed to be </w:t>
      </w:r>
      <w:r w:rsidRPr="007D5454">
        <w:rPr>
          <w:rStyle w:val="Strong"/>
          <w:rFonts w:asciiTheme="minorHAnsi" w:eastAsiaTheme="minorHAnsi" w:hAnsiTheme="minorHAnsi" w:cstheme="minorBidi"/>
          <w:b/>
        </w:rPr>
        <w:t xml:space="preserve">covered under an existing </w:t>
      </w:r>
      <w:r w:rsidR="00F83566" w:rsidRPr="007D5454">
        <w:rPr>
          <w:rStyle w:val="Strong"/>
          <w:rFonts w:asciiTheme="minorHAnsi" w:eastAsiaTheme="minorHAnsi" w:hAnsiTheme="minorHAnsi" w:cstheme="minorBidi"/>
          <w:b/>
        </w:rPr>
        <w:t>MBS item number</w:t>
      </w:r>
      <w:r w:rsidR="005D0677" w:rsidRPr="007D5454">
        <w:rPr>
          <w:rStyle w:val="Strong"/>
          <w:rFonts w:asciiTheme="minorHAnsi" w:eastAsiaTheme="minorHAnsi" w:hAnsiTheme="minorHAnsi" w:cstheme="minorBidi"/>
          <w:b/>
        </w:rPr>
        <w:t>(s)</w:t>
      </w:r>
      <w:r w:rsidR="003020B5" w:rsidRPr="007D5454">
        <w:rPr>
          <w:rStyle w:val="Strong"/>
          <w:rFonts w:asciiTheme="minorHAnsi" w:eastAsiaTheme="minorHAnsi" w:hAnsiTheme="minorHAnsi" w:cstheme="minorBidi"/>
          <w:b/>
        </w:rPr>
        <w:t xml:space="preserve"> or is a new MBS item</w:t>
      </w:r>
      <w:r w:rsidR="005D0677" w:rsidRPr="007D5454">
        <w:rPr>
          <w:rStyle w:val="Strong"/>
          <w:rFonts w:asciiTheme="minorHAnsi" w:eastAsiaTheme="minorHAnsi" w:hAnsiTheme="minorHAnsi" w:cstheme="minorBidi"/>
          <w:b/>
        </w:rPr>
        <w:t>(s)</w:t>
      </w:r>
      <w:r w:rsidR="003020B5" w:rsidRPr="007D5454">
        <w:rPr>
          <w:rStyle w:val="Strong"/>
          <w:rFonts w:asciiTheme="minorHAnsi" w:eastAsiaTheme="minorHAnsi" w:hAnsiTheme="minorHAnsi" w:cstheme="minorBidi"/>
          <w:b/>
        </w:rPr>
        <w:t xml:space="preserve"> being sought altogether</w:t>
      </w:r>
      <w:r w:rsidRPr="007D5454">
        <w:rPr>
          <w:rStyle w:val="Strong"/>
          <w:rFonts w:asciiTheme="minorHAnsi" w:eastAsiaTheme="minorHAnsi" w:hAnsiTheme="minorHAnsi" w:cstheme="minorBidi"/>
          <w:b/>
        </w:rPr>
        <w:t>?</w:t>
      </w:r>
    </w:p>
    <w:p w14:paraId="55642B90" w14:textId="77777777" w:rsidR="00753C44" w:rsidRPr="007D5454" w:rsidRDefault="006B6390" w:rsidP="00E50F47">
      <w:pPr>
        <w:spacing w:before="0" w:after="0"/>
        <w:ind w:left="360"/>
        <w:rPr>
          <w:szCs w:val="20"/>
        </w:rPr>
      </w:pPr>
      <w:r w:rsidRPr="007D5454">
        <w:rPr>
          <w:szCs w:val="20"/>
        </w:rPr>
        <w:fldChar w:fldCharType="begin">
          <w:ffData>
            <w:name w:val="Check2"/>
            <w:enabled/>
            <w:calcOnExit w:val="0"/>
            <w:checkBox>
              <w:sizeAuto/>
              <w:default w:val="0"/>
            </w:checkBox>
          </w:ffData>
        </w:fldChar>
      </w:r>
      <w:r w:rsidRPr="007D5454">
        <w:rPr>
          <w:szCs w:val="20"/>
        </w:rPr>
        <w:instrText xml:space="preserve"> FORMCHECKBOX </w:instrText>
      </w:r>
      <w:r w:rsidR="00082192">
        <w:rPr>
          <w:szCs w:val="20"/>
        </w:rPr>
      </w:r>
      <w:r w:rsidR="00082192">
        <w:rPr>
          <w:szCs w:val="20"/>
        </w:rPr>
        <w:fldChar w:fldCharType="separate"/>
      </w:r>
      <w:r w:rsidRPr="007D5454">
        <w:rPr>
          <w:szCs w:val="20"/>
        </w:rPr>
        <w:fldChar w:fldCharType="end"/>
      </w:r>
      <w:r w:rsidRPr="007D5454">
        <w:rPr>
          <w:szCs w:val="20"/>
        </w:rPr>
        <w:t xml:space="preserve"> </w:t>
      </w:r>
      <w:r w:rsidR="00753C44" w:rsidRPr="007D5454">
        <w:rPr>
          <w:szCs w:val="20"/>
        </w:rPr>
        <w:t>Amendment to existing MBS item(s)</w:t>
      </w:r>
    </w:p>
    <w:p w14:paraId="7EE8170A" w14:textId="77777777" w:rsidR="00753C44" w:rsidRPr="007D5454" w:rsidRDefault="002A544A" w:rsidP="00E50F47">
      <w:pPr>
        <w:spacing w:before="0" w:after="0"/>
        <w:ind w:left="360"/>
        <w:rPr>
          <w:szCs w:val="20"/>
        </w:rPr>
      </w:pPr>
      <w:r w:rsidRPr="007D5454">
        <w:rPr>
          <w:szCs w:val="20"/>
        </w:rPr>
        <w:fldChar w:fldCharType="begin">
          <w:ffData>
            <w:name w:val="Check2"/>
            <w:enabled/>
            <w:calcOnExit w:val="0"/>
            <w:checkBox>
              <w:sizeAuto/>
              <w:default w:val="1"/>
            </w:checkBox>
          </w:ffData>
        </w:fldChar>
      </w:r>
      <w:r w:rsidRPr="007D5454">
        <w:rPr>
          <w:szCs w:val="20"/>
        </w:rPr>
        <w:instrText xml:space="preserve"> FORMCHECKBOX </w:instrText>
      </w:r>
      <w:r w:rsidR="00082192">
        <w:rPr>
          <w:szCs w:val="20"/>
        </w:rPr>
      </w:r>
      <w:r w:rsidR="00082192">
        <w:rPr>
          <w:szCs w:val="20"/>
        </w:rPr>
        <w:fldChar w:fldCharType="separate"/>
      </w:r>
      <w:r w:rsidRPr="007D5454">
        <w:rPr>
          <w:szCs w:val="20"/>
        </w:rPr>
        <w:fldChar w:fldCharType="end"/>
      </w:r>
      <w:r w:rsidR="006B6390" w:rsidRPr="007D5454">
        <w:rPr>
          <w:szCs w:val="20"/>
        </w:rPr>
        <w:t xml:space="preserve"> </w:t>
      </w:r>
      <w:r w:rsidR="00753C44" w:rsidRPr="007D5454">
        <w:rPr>
          <w:szCs w:val="20"/>
        </w:rPr>
        <w:t>New MBS item(s)</w:t>
      </w:r>
    </w:p>
    <w:p w14:paraId="28C8D1C5" w14:textId="77777777" w:rsidR="000B3CD0" w:rsidRPr="007D5454" w:rsidRDefault="000B3CD0" w:rsidP="00730C04">
      <w:pPr>
        <w:pStyle w:val="Heading2"/>
        <w:numPr>
          <w:ilvl w:val="0"/>
          <w:numId w:val="24"/>
        </w:numPr>
        <w:rPr>
          <w:rStyle w:val="Strong"/>
          <w:rFonts w:asciiTheme="minorHAnsi" w:eastAsiaTheme="minorHAnsi" w:hAnsiTheme="minorHAnsi" w:cstheme="minorBidi"/>
          <w:b/>
        </w:rPr>
      </w:pPr>
      <w:r w:rsidRPr="007D5454">
        <w:rPr>
          <w:rStyle w:val="Strong"/>
          <w:rFonts w:asciiTheme="minorHAnsi" w:eastAsiaTheme="minorHAnsi" w:hAnsiTheme="minorHAnsi" w:cstheme="minorBidi"/>
          <w:b/>
        </w:rPr>
        <w:lastRenderedPageBreak/>
        <w:t xml:space="preserve">If </w:t>
      </w:r>
      <w:r w:rsidR="00126B33" w:rsidRPr="007D5454">
        <w:rPr>
          <w:rStyle w:val="Strong"/>
          <w:rFonts w:asciiTheme="minorHAnsi" w:eastAsiaTheme="minorHAnsi" w:hAnsiTheme="minorHAnsi" w:cstheme="minorBidi"/>
          <w:b/>
        </w:rPr>
        <w:t xml:space="preserve">an amendment </w:t>
      </w:r>
      <w:r w:rsidR="003020B5" w:rsidRPr="007D5454">
        <w:rPr>
          <w:rStyle w:val="Strong"/>
          <w:rFonts w:asciiTheme="minorHAnsi" w:eastAsiaTheme="minorHAnsi" w:hAnsiTheme="minorHAnsi" w:cstheme="minorBidi"/>
          <w:b/>
        </w:rPr>
        <w:t xml:space="preserve">to </w:t>
      </w:r>
      <w:r w:rsidR="00126B33" w:rsidRPr="007D5454">
        <w:rPr>
          <w:rStyle w:val="Strong"/>
          <w:rFonts w:asciiTheme="minorHAnsi" w:eastAsiaTheme="minorHAnsi" w:hAnsiTheme="minorHAnsi" w:cstheme="minorBidi"/>
          <w:b/>
        </w:rPr>
        <w:t xml:space="preserve">an </w:t>
      </w:r>
      <w:r w:rsidR="003020B5" w:rsidRPr="007D5454">
        <w:rPr>
          <w:rStyle w:val="Strong"/>
          <w:rFonts w:asciiTheme="minorHAnsi" w:eastAsiaTheme="minorHAnsi" w:hAnsiTheme="minorHAnsi" w:cstheme="minorBidi"/>
          <w:b/>
        </w:rPr>
        <w:t>existing item</w:t>
      </w:r>
      <w:r w:rsidR="005D0677" w:rsidRPr="007D5454">
        <w:rPr>
          <w:rStyle w:val="Strong"/>
          <w:rFonts w:asciiTheme="minorHAnsi" w:eastAsiaTheme="minorHAnsi" w:hAnsiTheme="minorHAnsi" w:cstheme="minorBidi"/>
          <w:b/>
        </w:rPr>
        <w:t>(s)</w:t>
      </w:r>
      <w:r w:rsidR="00126B33" w:rsidRPr="007D5454">
        <w:rPr>
          <w:rStyle w:val="Strong"/>
          <w:rFonts w:asciiTheme="minorHAnsi" w:eastAsiaTheme="minorHAnsi" w:hAnsiTheme="minorHAnsi" w:cstheme="minorBidi"/>
          <w:b/>
        </w:rPr>
        <w:t xml:space="preserve"> is being sought</w:t>
      </w:r>
      <w:r w:rsidR="003020B5" w:rsidRPr="007D5454">
        <w:rPr>
          <w:rStyle w:val="Strong"/>
          <w:rFonts w:asciiTheme="minorHAnsi" w:eastAsiaTheme="minorHAnsi" w:hAnsiTheme="minorHAnsi" w:cstheme="minorBidi"/>
          <w:b/>
        </w:rPr>
        <w:t>,</w:t>
      </w:r>
      <w:r w:rsidRPr="007D5454">
        <w:rPr>
          <w:rStyle w:val="Strong"/>
          <w:rFonts w:asciiTheme="minorHAnsi" w:eastAsiaTheme="minorHAnsi" w:hAnsiTheme="minorHAnsi" w:cstheme="minorBidi"/>
          <w:b/>
        </w:rPr>
        <w:t xml:space="preserve"> please </w:t>
      </w:r>
      <w:r w:rsidR="00126B33" w:rsidRPr="007D5454">
        <w:rPr>
          <w:rStyle w:val="Strong"/>
          <w:rFonts w:asciiTheme="minorHAnsi" w:eastAsiaTheme="minorHAnsi" w:hAnsiTheme="minorHAnsi" w:cstheme="minorBidi"/>
          <w:b/>
        </w:rPr>
        <w:t xml:space="preserve">list </w:t>
      </w:r>
      <w:r w:rsidRPr="007D5454">
        <w:rPr>
          <w:rStyle w:val="Strong"/>
          <w:rFonts w:asciiTheme="minorHAnsi" w:eastAsiaTheme="minorHAnsi" w:hAnsiTheme="minorHAnsi" w:cstheme="minorBidi"/>
          <w:b/>
        </w:rPr>
        <w:t xml:space="preserve">the relevant MBS item number(s) </w:t>
      </w:r>
      <w:r w:rsidR="009C03FB" w:rsidRPr="007D5454">
        <w:rPr>
          <w:rStyle w:val="Strong"/>
          <w:rFonts w:asciiTheme="minorHAnsi" w:eastAsiaTheme="minorHAnsi" w:hAnsiTheme="minorHAnsi" w:cstheme="minorBidi"/>
          <w:b/>
        </w:rPr>
        <w:t xml:space="preserve">that </w:t>
      </w:r>
      <w:r w:rsidR="00126B33" w:rsidRPr="007D5454">
        <w:rPr>
          <w:rStyle w:val="Strong"/>
          <w:rFonts w:asciiTheme="minorHAnsi" w:eastAsiaTheme="minorHAnsi" w:hAnsiTheme="minorHAnsi" w:cstheme="minorBidi"/>
          <w:b/>
        </w:rPr>
        <w:t xml:space="preserve">are </w:t>
      </w:r>
      <w:r w:rsidR="005A6AB9" w:rsidRPr="007D5454">
        <w:rPr>
          <w:rStyle w:val="Strong"/>
          <w:rFonts w:asciiTheme="minorHAnsi" w:eastAsiaTheme="minorHAnsi" w:hAnsiTheme="minorHAnsi" w:cstheme="minorBidi"/>
          <w:b/>
        </w:rPr>
        <w:t xml:space="preserve">to be </w:t>
      </w:r>
      <w:r w:rsidR="00126B33" w:rsidRPr="007D5454">
        <w:rPr>
          <w:rStyle w:val="Strong"/>
          <w:rFonts w:asciiTheme="minorHAnsi" w:eastAsiaTheme="minorHAnsi" w:hAnsiTheme="minorHAnsi" w:cstheme="minorBidi"/>
          <w:b/>
        </w:rPr>
        <w:t xml:space="preserve">amended </w:t>
      </w:r>
      <w:r w:rsidR="005A6AB9" w:rsidRPr="007D5454">
        <w:rPr>
          <w:rStyle w:val="Strong"/>
          <w:rFonts w:asciiTheme="minorHAnsi" w:eastAsiaTheme="minorHAnsi" w:hAnsiTheme="minorHAnsi" w:cstheme="minorBidi"/>
          <w:b/>
        </w:rPr>
        <w:t xml:space="preserve">to </w:t>
      </w:r>
      <w:r w:rsidR="00A93F58" w:rsidRPr="007D5454">
        <w:rPr>
          <w:rStyle w:val="Strong"/>
          <w:rFonts w:asciiTheme="minorHAnsi" w:eastAsiaTheme="minorHAnsi" w:hAnsiTheme="minorHAnsi" w:cstheme="minorBidi"/>
          <w:b/>
        </w:rPr>
        <w:t xml:space="preserve">include </w:t>
      </w:r>
      <w:r w:rsidR="005A6AB9" w:rsidRPr="007D5454">
        <w:rPr>
          <w:rStyle w:val="Strong"/>
          <w:rFonts w:asciiTheme="minorHAnsi" w:eastAsiaTheme="minorHAnsi" w:hAnsiTheme="minorHAnsi" w:cstheme="minorBidi"/>
          <w:b/>
        </w:rPr>
        <w:t>the proposed medical service</w:t>
      </w:r>
      <w:r w:rsidR="00802553" w:rsidRPr="007D5454">
        <w:rPr>
          <w:rStyle w:val="Strong"/>
          <w:rFonts w:asciiTheme="minorHAnsi" w:eastAsiaTheme="minorHAnsi" w:hAnsiTheme="minorHAnsi" w:cstheme="minorBidi"/>
          <w:b/>
        </w:rPr>
        <w:t>:</w:t>
      </w:r>
      <w:r w:rsidR="00E06102" w:rsidRPr="007D5454">
        <w:rPr>
          <w:rStyle w:val="Strong"/>
          <w:rFonts w:asciiTheme="minorHAnsi" w:eastAsiaTheme="minorHAnsi" w:hAnsiTheme="minorHAnsi" w:cstheme="minorBidi"/>
          <w:b/>
        </w:rPr>
        <w:t xml:space="preserve"> </w:t>
      </w:r>
    </w:p>
    <w:p w14:paraId="3B244537" w14:textId="77777777" w:rsidR="003D795C" w:rsidRPr="007D5454" w:rsidRDefault="00AE0737" w:rsidP="00E50F47">
      <w:pPr>
        <w:ind w:left="284" w:firstLine="76"/>
      </w:pPr>
      <w:r w:rsidRPr="007D5454">
        <w:t>N/A</w:t>
      </w:r>
    </w:p>
    <w:p w14:paraId="79800FDD" w14:textId="77777777" w:rsidR="006C0843" w:rsidRPr="007D5454" w:rsidRDefault="006C0843" w:rsidP="00730C04">
      <w:pPr>
        <w:pStyle w:val="Heading2"/>
        <w:numPr>
          <w:ilvl w:val="0"/>
          <w:numId w:val="24"/>
        </w:numPr>
        <w:rPr>
          <w:rStyle w:val="Strong"/>
          <w:rFonts w:asciiTheme="minorHAnsi" w:eastAsiaTheme="minorHAnsi" w:hAnsiTheme="minorHAnsi" w:cstheme="minorBidi"/>
          <w:b/>
        </w:rPr>
      </w:pPr>
      <w:r w:rsidRPr="007D5454">
        <w:rPr>
          <w:rStyle w:val="Strong"/>
          <w:rFonts w:asciiTheme="minorHAnsi" w:eastAsiaTheme="minorHAnsi" w:hAnsiTheme="minorHAnsi" w:cstheme="minorBidi"/>
          <w:b/>
        </w:rPr>
        <w:t>If an amendment to an existing item</w:t>
      </w:r>
      <w:r w:rsidR="003E30FB" w:rsidRPr="007D5454">
        <w:rPr>
          <w:rStyle w:val="Strong"/>
          <w:rFonts w:asciiTheme="minorHAnsi" w:eastAsiaTheme="minorHAnsi" w:hAnsiTheme="minorHAnsi" w:cstheme="minorBidi"/>
          <w:b/>
        </w:rPr>
        <w:t>(s)</w:t>
      </w:r>
      <w:r w:rsidRPr="007D5454">
        <w:rPr>
          <w:rStyle w:val="Strong"/>
          <w:rFonts w:asciiTheme="minorHAnsi" w:eastAsiaTheme="minorHAnsi" w:hAnsiTheme="minorHAnsi" w:cstheme="minorBidi"/>
          <w:b/>
        </w:rPr>
        <w:t xml:space="preserve"> is being sought, what is the nature of the amendment</w:t>
      </w:r>
      <w:r w:rsidR="00C01121" w:rsidRPr="007D5454">
        <w:rPr>
          <w:rStyle w:val="Strong"/>
          <w:rFonts w:asciiTheme="minorHAnsi" w:eastAsiaTheme="minorHAnsi" w:hAnsiTheme="minorHAnsi" w:cstheme="minorBidi"/>
          <w:b/>
        </w:rPr>
        <w:t>(s)</w:t>
      </w:r>
      <w:r w:rsidR="00E06102" w:rsidRPr="007D5454">
        <w:rPr>
          <w:rStyle w:val="Strong"/>
          <w:rFonts w:asciiTheme="minorHAnsi" w:eastAsiaTheme="minorHAnsi" w:hAnsiTheme="minorHAnsi" w:cstheme="minorBidi"/>
          <w:b/>
        </w:rPr>
        <w:t>?</w:t>
      </w:r>
    </w:p>
    <w:p w14:paraId="4E357DB9" w14:textId="77777777" w:rsidR="002A270B" w:rsidRPr="007D5454" w:rsidRDefault="00AE0737" w:rsidP="00E50F47">
      <w:pPr>
        <w:ind w:left="284" w:firstLine="76"/>
      </w:pPr>
      <w:r w:rsidRPr="007D5454">
        <w:t>N/A</w:t>
      </w:r>
    </w:p>
    <w:p w14:paraId="7524F586" w14:textId="77777777" w:rsidR="00534C5F" w:rsidRPr="007D5454" w:rsidRDefault="000770BA" w:rsidP="00730C04">
      <w:pPr>
        <w:pStyle w:val="Heading2"/>
        <w:numPr>
          <w:ilvl w:val="0"/>
          <w:numId w:val="24"/>
        </w:numPr>
        <w:rPr>
          <w:rStyle w:val="Strong"/>
          <w:rFonts w:asciiTheme="minorHAnsi" w:eastAsiaTheme="minorHAnsi" w:hAnsiTheme="minorHAnsi" w:cstheme="minorBidi"/>
          <w:b/>
        </w:rPr>
      </w:pPr>
      <w:r w:rsidRPr="007D5454">
        <w:rPr>
          <w:rStyle w:val="Strong"/>
          <w:rFonts w:asciiTheme="minorHAnsi" w:eastAsiaTheme="minorHAnsi" w:hAnsiTheme="minorHAnsi" w:cstheme="minorBidi"/>
          <w:b/>
        </w:rPr>
        <w:t>If a new item</w:t>
      </w:r>
      <w:r w:rsidR="005D0677" w:rsidRPr="007D5454">
        <w:rPr>
          <w:rStyle w:val="Strong"/>
          <w:rFonts w:asciiTheme="minorHAnsi" w:eastAsiaTheme="minorHAnsi" w:hAnsiTheme="minorHAnsi" w:cstheme="minorBidi"/>
          <w:b/>
        </w:rPr>
        <w:t>(s)</w:t>
      </w:r>
      <w:r w:rsidR="003433D1" w:rsidRPr="007D5454">
        <w:rPr>
          <w:rStyle w:val="Strong"/>
          <w:rFonts w:asciiTheme="minorHAnsi" w:eastAsiaTheme="minorHAnsi" w:hAnsiTheme="minorHAnsi" w:cstheme="minorBidi"/>
          <w:b/>
        </w:rPr>
        <w:t xml:space="preserve"> is being requested</w:t>
      </w:r>
      <w:r w:rsidRPr="007D5454">
        <w:rPr>
          <w:rStyle w:val="Strong"/>
          <w:rFonts w:asciiTheme="minorHAnsi" w:eastAsiaTheme="minorHAnsi" w:hAnsiTheme="minorHAnsi" w:cstheme="minorBidi"/>
          <w:b/>
        </w:rPr>
        <w:t>, what is the nature of the change to the MBS being sought?</w:t>
      </w:r>
    </w:p>
    <w:p w14:paraId="25EC1549" w14:textId="77777777" w:rsidR="006B6390" w:rsidRPr="00E50F47" w:rsidRDefault="006B6390" w:rsidP="00E50F47">
      <w:pPr>
        <w:spacing w:before="0" w:after="0"/>
        <w:ind w:left="360"/>
        <w:rPr>
          <w:rStyle w:val="Strong"/>
          <w:b w:val="0"/>
        </w:rPr>
      </w:pPr>
      <w:r w:rsidRPr="00E50F47">
        <w:rPr>
          <w:b/>
          <w:szCs w:val="20"/>
        </w:rPr>
        <w:fldChar w:fldCharType="begin">
          <w:ffData>
            <w:name w:val="Check2"/>
            <w:enabled/>
            <w:calcOnExit w:val="0"/>
            <w:checkBox>
              <w:sizeAuto/>
              <w:default w:val="0"/>
            </w:checkBox>
          </w:ffData>
        </w:fldChar>
      </w:r>
      <w:r w:rsidRPr="00E50F47">
        <w:rPr>
          <w:b/>
          <w:szCs w:val="20"/>
        </w:rPr>
        <w:instrText xml:space="preserve"> FORMCHECKBOX </w:instrText>
      </w:r>
      <w:r w:rsidR="00082192">
        <w:rPr>
          <w:b/>
          <w:szCs w:val="20"/>
        </w:rPr>
      </w:r>
      <w:r w:rsidR="00082192">
        <w:rPr>
          <w:b/>
          <w:szCs w:val="20"/>
        </w:rPr>
        <w:fldChar w:fldCharType="separate"/>
      </w:r>
      <w:r w:rsidRPr="00E50F47">
        <w:rPr>
          <w:b/>
          <w:szCs w:val="20"/>
        </w:rPr>
        <w:fldChar w:fldCharType="end"/>
      </w:r>
      <w:r w:rsidRPr="00E50F47">
        <w:rPr>
          <w:b/>
          <w:szCs w:val="20"/>
        </w:rPr>
        <w:t xml:space="preserve"> </w:t>
      </w:r>
      <w:r w:rsidRPr="00E50F47">
        <w:rPr>
          <w:rStyle w:val="Strong"/>
          <w:b w:val="0"/>
        </w:rPr>
        <w:t>A new item which also seeks to allow access to the MBS for a specific health practitioner group</w:t>
      </w:r>
    </w:p>
    <w:p w14:paraId="6CF951E1" w14:textId="77777777" w:rsidR="006B6390" w:rsidRPr="00E50F47" w:rsidRDefault="00AE0737" w:rsidP="00D505BE">
      <w:pPr>
        <w:spacing w:before="0" w:after="0"/>
        <w:ind w:left="567" w:hanging="207"/>
        <w:rPr>
          <w:rStyle w:val="Strong"/>
          <w:b w:val="0"/>
        </w:rPr>
      </w:pPr>
      <w:r w:rsidRPr="00E50F47">
        <w:rPr>
          <w:szCs w:val="20"/>
        </w:rPr>
        <w:fldChar w:fldCharType="begin">
          <w:ffData>
            <w:name w:val="Check2"/>
            <w:enabled/>
            <w:calcOnExit w:val="0"/>
            <w:checkBox>
              <w:sizeAuto/>
              <w:default w:val="1"/>
            </w:checkBox>
          </w:ffData>
        </w:fldChar>
      </w:r>
      <w:r w:rsidRPr="00E50F47">
        <w:rPr>
          <w:szCs w:val="20"/>
        </w:rPr>
        <w:instrText xml:space="preserve"> FORMCHECKBOX </w:instrText>
      </w:r>
      <w:r w:rsidR="00082192">
        <w:rPr>
          <w:szCs w:val="20"/>
        </w:rPr>
      </w:r>
      <w:r w:rsidR="00082192">
        <w:rPr>
          <w:szCs w:val="20"/>
        </w:rPr>
        <w:fldChar w:fldCharType="separate"/>
      </w:r>
      <w:r w:rsidRPr="00E50F47">
        <w:rPr>
          <w:szCs w:val="20"/>
        </w:rPr>
        <w:fldChar w:fldCharType="end"/>
      </w:r>
      <w:r w:rsidR="006B6390" w:rsidRPr="00E50F47">
        <w:rPr>
          <w:b/>
          <w:szCs w:val="20"/>
        </w:rPr>
        <w:t xml:space="preserve"> </w:t>
      </w:r>
      <w:r w:rsidR="006B6390" w:rsidRPr="00E50F47">
        <w:rPr>
          <w:rStyle w:val="Strong"/>
          <w:b w:val="0"/>
        </w:rPr>
        <w:t>A new item that is proposing a way of clinically delivering a service that is new to the MBS (in terms of new technology and / or population)</w:t>
      </w:r>
    </w:p>
    <w:p w14:paraId="33C72611" w14:textId="77777777" w:rsidR="006B6390" w:rsidRPr="00E50F47" w:rsidRDefault="006B6390" w:rsidP="00E50F47">
      <w:pPr>
        <w:spacing w:before="0" w:after="0"/>
        <w:ind w:left="360"/>
        <w:rPr>
          <w:rStyle w:val="Strong"/>
          <w:b w:val="0"/>
        </w:rPr>
      </w:pPr>
      <w:r w:rsidRPr="00E50F47">
        <w:rPr>
          <w:b/>
          <w:szCs w:val="20"/>
        </w:rPr>
        <w:fldChar w:fldCharType="begin">
          <w:ffData>
            <w:name w:val="Check2"/>
            <w:enabled/>
            <w:calcOnExit w:val="0"/>
            <w:checkBox>
              <w:sizeAuto/>
              <w:default w:val="0"/>
            </w:checkBox>
          </w:ffData>
        </w:fldChar>
      </w:r>
      <w:r w:rsidRPr="00E50F47">
        <w:rPr>
          <w:b/>
          <w:szCs w:val="20"/>
        </w:rPr>
        <w:instrText xml:space="preserve"> FORMCHECKBOX </w:instrText>
      </w:r>
      <w:r w:rsidR="00082192">
        <w:rPr>
          <w:b/>
          <w:szCs w:val="20"/>
        </w:rPr>
      </w:r>
      <w:r w:rsidR="00082192">
        <w:rPr>
          <w:b/>
          <w:szCs w:val="20"/>
        </w:rPr>
        <w:fldChar w:fldCharType="separate"/>
      </w:r>
      <w:r w:rsidRPr="00E50F47">
        <w:rPr>
          <w:b/>
          <w:szCs w:val="20"/>
        </w:rPr>
        <w:fldChar w:fldCharType="end"/>
      </w:r>
      <w:r w:rsidRPr="00E50F47">
        <w:rPr>
          <w:b/>
          <w:szCs w:val="20"/>
        </w:rPr>
        <w:t xml:space="preserve"> </w:t>
      </w:r>
      <w:r w:rsidRPr="00E50F47">
        <w:rPr>
          <w:rStyle w:val="Strong"/>
          <w:b w:val="0"/>
        </w:rPr>
        <w:t>A new item for a specific single consultation item</w:t>
      </w:r>
    </w:p>
    <w:p w14:paraId="7A0C216E" w14:textId="77777777" w:rsidR="006B6390" w:rsidRPr="00E50F47" w:rsidRDefault="006B6390" w:rsidP="00E50F47">
      <w:pPr>
        <w:spacing w:before="0" w:after="0"/>
        <w:ind w:left="360"/>
        <w:rPr>
          <w:rStyle w:val="Strong"/>
          <w:b w:val="0"/>
        </w:rPr>
      </w:pPr>
      <w:r w:rsidRPr="00E50F47">
        <w:rPr>
          <w:b/>
          <w:szCs w:val="20"/>
        </w:rPr>
        <w:fldChar w:fldCharType="begin">
          <w:ffData>
            <w:name w:val="Check2"/>
            <w:enabled/>
            <w:calcOnExit w:val="0"/>
            <w:checkBox>
              <w:sizeAuto/>
              <w:default w:val="0"/>
            </w:checkBox>
          </w:ffData>
        </w:fldChar>
      </w:r>
      <w:r w:rsidRPr="00E50F47">
        <w:rPr>
          <w:b/>
          <w:szCs w:val="20"/>
        </w:rPr>
        <w:instrText xml:space="preserve"> FORMCHECKBOX </w:instrText>
      </w:r>
      <w:r w:rsidR="00082192">
        <w:rPr>
          <w:b/>
          <w:szCs w:val="20"/>
        </w:rPr>
      </w:r>
      <w:r w:rsidR="00082192">
        <w:rPr>
          <w:b/>
          <w:szCs w:val="20"/>
        </w:rPr>
        <w:fldChar w:fldCharType="separate"/>
      </w:r>
      <w:r w:rsidRPr="00E50F47">
        <w:rPr>
          <w:b/>
          <w:szCs w:val="20"/>
        </w:rPr>
        <w:fldChar w:fldCharType="end"/>
      </w:r>
      <w:r w:rsidRPr="00E50F47">
        <w:rPr>
          <w:b/>
          <w:szCs w:val="20"/>
        </w:rPr>
        <w:t xml:space="preserve"> </w:t>
      </w:r>
      <w:r w:rsidRPr="00E50F47">
        <w:rPr>
          <w:rStyle w:val="Strong"/>
          <w:b w:val="0"/>
        </w:rPr>
        <w:t>A new item for a global consultation item(s)</w:t>
      </w:r>
    </w:p>
    <w:p w14:paraId="3E6B6F33" w14:textId="77777777" w:rsidR="003027BB" w:rsidRPr="007D5454" w:rsidRDefault="00F30C22" w:rsidP="00730C04">
      <w:pPr>
        <w:pStyle w:val="Heading2"/>
        <w:numPr>
          <w:ilvl w:val="0"/>
          <w:numId w:val="24"/>
        </w:numPr>
        <w:rPr>
          <w:rStyle w:val="Strong"/>
          <w:rFonts w:asciiTheme="minorHAnsi" w:eastAsiaTheme="minorHAnsi" w:hAnsiTheme="minorHAnsi" w:cstheme="minorBidi"/>
          <w:b/>
        </w:rPr>
      </w:pPr>
      <w:r w:rsidRPr="007D5454">
        <w:rPr>
          <w:rStyle w:val="Strong"/>
          <w:rFonts w:asciiTheme="minorHAnsi" w:eastAsiaTheme="minorHAnsi" w:hAnsiTheme="minorHAnsi" w:cstheme="minorBidi"/>
          <w:b/>
        </w:rPr>
        <w:t>Is the proposed service seeking public funding other than the MBS?</w:t>
      </w:r>
    </w:p>
    <w:p w14:paraId="3A95C348" w14:textId="77777777" w:rsidR="000A5B32" w:rsidRPr="007D5454" w:rsidRDefault="000A5B32" w:rsidP="00E50F47">
      <w:pPr>
        <w:spacing w:before="0" w:after="0"/>
        <w:ind w:left="360"/>
        <w:rPr>
          <w:szCs w:val="20"/>
        </w:rPr>
      </w:pPr>
      <w:r w:rsidRPr="007D5454">
        <w:rPr>
          <w:szCs w:val="20"/>
        </w:rPr>
        <w:fldChar w:fldCharType="begin">
          <w:ffData>
            <w:name w:val="Check1"/>
            <w:enabled/>
            <w:calcOnExit w:val="0"/>
            <w:checkBox>
              <w:sizeAuto/>
              <w:default w:val="0"/>
            </w:checkBox>
          </w:ffData>
        </w:fldChar>
      </w:r>
      <w:r w:rsidRPr="007D5454">
        <w:rPr>
          <w:szCs w:val="20"/>
        </w:rPr>
        <w:instrText xml:space="preserve"> FORMCHECKBOX </w:instrText>
      </w:r>
      <w:r w:rsidR="00082192">
        <w:rPr>
          <w:szCs w:val="20"/>
        </w:rPr>
      </w:r>
      <w:r w:rsidR="00082192">
        <w:rPr>
          <w:szCs w:val="20"/>
        </w:rPr>
        <w:fldChar w:fldCharType="separate"/>
      </w:r>
      <w:r w:rsidRPr="007D5454">
        <w:rPr>
          <w:szCs w:val="20"/>
        </w:rPr>
        <w:fldChar w:fldCharType="end"/>
      </w:r>
      <w:r w:rsidRPr="007D5454">
        <w:rPr>
          <w:szCs w:val="20"/>
        </w:rPr>
        <w:t xml:space="preserve"> Yes</w:t>
      </w:r>
    </w:p>
    <w:p w14:paraId="1E716D23" w14:textId="77777777" w:rsidR="00626365" w:rsidRPr="007D5454" w:rsidRDefault="002A544A" w:rsidP="00E50F47">
      <w:pPr>
        <w:spacing w:before="0" w:after="0"/>
        <w:ind w:left="360"/>
        <w:rPr>
          <w:szCs w:val="20"/>
        </w:rPr>
      </w:pPr>
      <w:r w:rsidRPr="007D5454">
        <w:rPr>
          <w:szCs w:val="20"/>
        </w:rPr>
        <w:fldChar w:fldCharType="begin">
          <w:ffData>
            <w:name w:val="Check2"/>
            <w:enabled/>
            <w:calcOnExit w:val="0"/>
            <w:checkBox>
              <w:sizeAuto/>
              <w:default w:val="1"/>
            </w:checkBox>
          </w:ffData>
        </w:fldChar>
      </w:r>
      <w:r w:rsidRPr="007D5454">
        <w:rPr>
          <w:szCs w:val="20"/>
        </w:rPr>
        <w:instrText xml:space="preserve"> FORMCHECKBOX </w:instrText>
      </w:r>
      <w:r w:rsidR="00082192">
        <w:rPr>
          <w:szCs w:val="20"/>
        </w:rPr>
      </w:r>
      <w:r w:rsidR="00082192">
        <w:rPr>
          <w:szCs w:val="20"/>
        </w:rPr>
        <w:fldChar w:fldCharType="separate"/>
      </w:r>
      <w:r w:rsidRPr="007D5454">
        <w:rPr>
          <w:szCs w:val="20"/>
        </w:rPr>
        <w:fldChar w:fldCharType="end"/>
      </w:r>
      <w:r w:rsidR="000A5B32" w:rsidRPr="007D5454">
        <w:rPr>
          <w:szCs w:val="20"/>
        </w:rPr>
        <w:t xml:space="preserve"> No</w:t>
      </w:r>
    </w:p>
    <w:p w14:paraId="0074923D" w14:textId="77777777" w:rsidR="003027BB" w:rsidRPr="007D5454" w:rsidRDefault="003027BB" w:rsidP="00730C04">
      <w:pPr>
        <w:pStyle w:val="Heading2"/>
        <w:numPr>
          <w:ilvl w:val="0"/>
          <w:numId w:val="24"/>
        </w:numPr>
        <w:rPr>
          <w:rStyle w:val="Strong"/>
          <w:rFonts w:asciiTheme="minorHAnsi" w:eastAsiaTheme="minorHAnsi" w:hAnsiTheme="minorHAnsi" w:cstheme="minorBidi"/>
          <w:b/>
        </w:rPr>
      </w:pPr>
      <w:r w:rsidRPr="007D5454">
        <w:rPr>
          <w:rStyle w:val="Strong"/>
          <w:rFonts w:asciiTheme="minorHAnsi" w:eastAsiaTheme="minorHAnsi" w:hAnsiTheme="minorHAnsi" w:cstheme="minorBidi"/>
          <w:b/>
        </w:rPr>
        <w:t>If yes, please advise:</w:t>
      </w:r>
    </w:p>
    <w:p w14:paraId="131ADC52" w14:textId="77777777" w:rsidR="000A5B32" w:rsidRPr="007D5454" w:rsidRDefault="002A544A" w:rsidP="00E50F47">
      <w:pPr>
        <w:ind w:left="284" w:firstLine="76"/>
        <w:rPr>
          <w:rStyle w:val="Strong"/>
        </w:rPr>
      </w:pPr>
      <w:r w:rsidRPr="007D5454">
        <w:t>N/A</w:t>
      </w:r>
    </w:p>
    <w:p w14:paraId="0882E513" w14:textId="77777777" w:rsidR="000B3CD0" w:rsidRPr="007D5454" w:rsidRDefault="000B3CD0" w:rsidP="00730C04">
      <w:pPr>
        <w:pStyle w:val="Heading2"/>
      </w:pPr>
      <w:r w:rsidRPr="007D5454">
        <w:t xml:space="preserve">What is the type of </w:t>
      </w:r>
      <w:proofErr w:type="gramStart"/>
      <w:r w:rsidRPr="007D5454">
        <w:t>service:</w:t>
      </w:r>
      <w:proofErr w:type="gramEnd"/>
    </w:p>
    <w:p w14:paraId="209ABA1F" w14:textId="77777777" w:rsidR="00A6594E" w:rsidRPr="007D5454" w:rsidRDefault="002A544A" w:rsidP="00E50F47">
      <w:pPr>
        <w:spacing w:before="0" w:after="0"/>
        <w:ind w:left="360"/>
      </w:pPr>
      <w:r w:rsidRPr="007D5454">
        <w:rPr>
          <w:szCs w:val="20"/>
        </w:rPr>
        <w:fldChar w:fldCharType="begin">
          <w:ffData>
            <w:name w:val="Check2"/>
            <w:enabled/>
            <w:calcOnExit w:val="0"/>
            <w:checkBox>
              <w:sizeAuto/>
              <w:default w:val="1"/>
            </w:checkBox>
          </w:ffData>
        </w:fldChar>
      </w:r>
      <w:r w:rsidRPr="007D5454">
        <w:rPr>
          <w:szCs w:val="20"/>
        </w:rPr>
        <w:instrText xml:space="preserve"> FORMCHECKBOX </w:instrText>
      </w:r>
      <w:r w:rsidR="00082192">
        <w:rPr>
          <w:szCs w:val="20"/>
        </w:rPr>
      </w:r>
      <w:r w:rsidR="00082192">
        <w:rPr>
          <w:szCs w:val="20"/>
        </w:rPr>
        <w:fldChar w:fldCharType="separate"/>
      </w:r>
      <w:r w:rsidRPr="007D5454">
        <w:rPr>
          <w:szCs w:val="20"/>
        </w:rPr>
        <w:fldChar w:fldCharType="end"/>
      </w:r>
      <w:r w:rsidRPr="007D5454">
        <w:rPr>
          <w:szCs w:val="20"/>
        </w:rPr>
        <w:t xml:space="preserve"> </w:t>
      </w:r>
      <w:r w:rsidR="00A6594E" w:rsidRPr="007D5454">
        <w:t>Therapeutic medical service</w:t>
      </w:r>
    </w:p>
    <w:p w14:paraId="6AE2F989" w14:textId="77777777" w:rsidR="00A6594E" w:rsidRPr="007D5454" w:rsidRDefault="00A6594E" w:rsidP="00E50F47">
      <w:pPr>
        <w:spacing w:before="0" w:after="0"/>
        <w:ind w:left="360"/>
      </w:pPr>
      <w:r w:rsidRPr="007D5454">
        <w:rPr>
          <w:b/>
          <w:szCs w:val="20"/>
        </w:rPr>
        <w:fldChar w:fldCharType="begin">
          <w:ffData>
            <w:name w:val="Check2"/>
            <w:enabled/>
            <w:calcOnExit w:val="0"/>
            <w:checkBox>
              <w:sizeAuto/>
              <w:default w:val="0"/>
            </w:checkBox>
          </w:ffData>
        </w:fldChar>
      </w:r>
      <w:r w:rsidRPr="007D5454">
        <w:rPr>
          <w:b/>
          <w:szCs w:val="20"/>
        </w:rPr>
        <w:instrText xml:space="preserve"> FORMCHECKBOX </w:instrText>
      </w:r>
      <w:r w:rsidR="00082192">
        <w:rPr>
          <w:b/>
          <w:szCs w:val="20"/>
        </w:rPr>
      </w:r>
      <w:r w:rsidR="00082192">
        <w:rPr>
          <w:b/>
          <w:szCs w:val="20"/>
        </w:rPr>
        <w:fldChar w:fldCharType="separate"/>
      </w:r>
      <w:r w:rsidRPr="007D5454">
        <w:rPr>
          <w:b/>
          <w:szCs w:val="20"/>
        </w:rPr>
        <w:fldChar w:fldCharType="end"/>
      </w:r>
      <w:r w:rsidRPr="007D5454">
        <w:rPr>
          <w:b/>
          <w:szCs w:val="20"/>
        </w:rPr>
        <w:t xml:space="preserve"> </w:t>
      </w:r>
      <w:r w:rsidRPr="007D5454">
        <w:t>Investigative medical service</w:t>
      </w:r>
    </w:p>
    <w:p w14:paraId="208BDCCB" w14:textId="77777777" w:rsidR="00A6594E" w:rsidRPr="007D5454" w:rsidRDefault="00A6594E" w:rsidP="00E50F47">
      <w:pPr>
        <w:spacing w:before="0" w:after="0"/>
        <w:ind w:left="360"/>
      </w:pPr>
      <w:r w:rsidRPr="007D5454">
        <w:rPr>
          <w:b/>
          <w:szCs w:val="20"/>
        </w:rPr>
        <w:fldChar w:fldCharType="begin">
          <w:ffData>
            <w:name w:val="Check2"/>
            <w:enabled/>
            <w:calcOnExit w:val="0"/>
            <w:checkBox>
              <w:sizeAuto/>
              <w:default w:val="0"/>
            </w:checkBox>
          </w:ffData>
        </w:fldChar>
      </w:r>
      <w:r w:rsidRPr="007D5454">
        <w:rPr>
          <w:b/>
          <w:szCs w:val="20"/>
        </w:rPr>
        <w:instrText xml:space="preserve"> FORMCHECKBOX </w:instrText>
      </w:r>
      <w:r w:rsidR="00082192">
        <w:rPr>
          <w:b/>
          <w:szCs w:val="20"/>
        </w:rPr>
      </w:r>
      <w:r w:rsidR="00082192">
        <w:rPr>
          <w:b/>
          <w:szCs w:val="20"/>
        </w:rPr>
        <w:fldChar w:fldCharType="separate"/>
      </w:r>
      <w:r w:rsidRPr="007D5454">
        <w:rPr>
          <w:b/>
          <w:szCs w:val="20"/>
        </w:rPr>
        <w:fldChar w:fldCharType="end"/>
      </w:r>
      <w:r w:rsidRPr="007D5454">
        <w:rPr>
          <w:b/>
          <w:szCs w:val="20"/>
        </w:rPr>
        <w:t xml:space="preserve"> </w:t>
      </w:r>
      <w:r w:rsidRPr="007D5454">
        <w:t>Single consultation medical service</w:t>
      </w:r>
    </w:p>
    <w:p w14:paraId="30A215B7" w14:textId="77777777" w:rsidR="00A6594E" w:rsidRPr="007D5454" w:rsidRDefault="00A6594E" w:rsidP="00E50F47">
      <w:pPr>
        <w:spacing w:before="0" w:after="0"/>
        <w:ind w:left="360"/>
      </w:pPr>
      <w:r w:rsidRPr="007D5454">
        <w:rPr>
          <w:b/>
          <w:szCs w:val="20"/>
        </w:rPr>
        <w:fldChar w:fldCharType="begin">
          <w:ffData>
            <w:name w:val="Check2"/>
            <w:enabled/>
            <w:calcOnExit w:val="0"/>
            <w:checkBox>
              <w:sizeAuto/>
              <w:default w:val="0"/>
            </w:checkBox>
          </w:ffData>
        </w:fldChar>
      </w:r>
      <w:r w:rsidRPr="007D5454">
        <w:rPr>
          <w:b/>
          <w:szCs w:val="20"/>
        </w:rPr>
        <w:instrText xml:space="preserve"> FORMCHECKBOX </w:instrText>
      </w:r>
      <w:r w:rsidR="00082192">
        <w:rPr>
          <w:b/>
          <w:szCs w:val="20"/>
        </w:rPr>
      </w:r>
      <w:r w:rsidR="00082192">
        <w:rPr>
          <w:b/>
          <w:szCs w:val="20"/>
        </w:rPr>
        <w:fldChar w:fldCharType="separate"/>
      </w:r>
      <w:r w:rsidRPr="007D5454">
        <w:rPr>
          <w:b/>
          <w:szCs w:val="20"/>
        </w:rPr>
        <w:fldChar w:fldCharType="end"/>
      </w:r>
      <w:r w:rsidRPr="007D5454">
        <w:rPr>
          <w:b/>
          <w:szCs w:val="20"/>
        </w:rPr>
        <w:t xml:space="preserve"> </w:t>
      </w:r>
      <w:r w:rsidRPr="007D5454">
        <w:t>Global consultation medical service</w:t>
      </w:r>
    </w:p>
    <w:p w14:paraId="5527C946" w14:textId="77777777" w:rsidR="00A6594E" w:rsidRPr="007D5454" w:rsidRDefault="00A6594E" w:rsidP="00E50F47">
      <w:pPr>
        <w:spacing w:before="0" w:after="0"/>
        <w:ind w:left="360"/>
      </w:pPr>
      <w:r w:rsidRPr="007D5454">
        <w:rPr>
          <w:b/>
          <w:szCs w:val="20"/>
        </w:rPr>
        <w:fldChar w:fldCharType="begin">
          <w:ffData>
            <w:name w:val="Check2"/>
            <w:enabled/>
            <w:calcOnExit w:val="0"/>
            <w:checkBox>
              <w:sizeAuto/>
              <w:default w:val="0"/>
            </w:checkBox>
          </w:ffData>
        </w:fldChar>
      </w:r>
      <w:r w:rsidRPr="007D5454">
        <w:rPr>
          <w:b/>
          <w:szCs w:val="20"/>
        </w:rPr>
        <w:instrText xml:space="preserve"> FORMCHECKBOX </w:instrText>
      </w:r>
      <w:r w:rsidR="00082192">
        <w:rPr>
          <w:b/>
          <w:szCs w:val="20"/>
        </w:rPr>
      </w:r>
      <w:r w:rsidR="00082192">
        <w:rPr>
          <w:b/>
          <w:szCs w:val="20"/>
        </w:rPr>
        <w:fldChar w:fldCharType="separate"/>
      </w:r>
      <w:r w:rsidRPr="007D5454">
        <w:rPr>
          <w:b/>
          <w:szCs w:val="20"/>
        </w:rPr>
        <w:fldChar w:fldCharType="end"/>
      </w:r>
      <w:r w:rsidRPr="007D5454">
        <w:rPr>
          <w:b/>
          <w:szCs w:val="20"/>
        </w:rPr>
        <w:t xml:space="preserve"> </w:t>
      </w:r>
      <w:r w:rsidRPr="007D5454">
        <w:t>Allied health service</w:t>
      </w:r>
    </w:p>
    <w:p w14:paraId="72615A51" w14:textId="77777777" w:rsidR="00A6594E" w:rsidRPr="007D5454" w:rsidRDefault="00A6594E" w:rsidP="00E50F47">
      <w:pPr>
        <w:spacing w:before="0" w:after="0"/>
        <w:ind w:left="360"/>
      </w:pPr>
      <w:r w:rsidRPr="007D5454">
        <w:rPr>
          <w:b/>
          <w:szCs w:val="20"/>
        </w:rPr>
        <w:fldChar w:fldCharType="begin">
          <w:ffData>
            <w:name w:val="Check2"/>
            <w:enabled/>
            <w:calcOnExit w:val="0"/>
            <w:checkBox>
              <w:sizeAuto/>
              <w:default w:val="0"/>
            </w:checkBox>
          </w:ffData>
        </w:fldChar>
      </w:r>
      <w:r w:rsidRPr="007D5454">
        <w:rPr>
          <w:b/>
          <w:szCs w:val="20"/>
        </w:rPr>
        <w:instrText xml:space="preserve"> FORMCHECKBOX </w:instrText>
      </w:r>
      <w:r w:rsidR="00082192">
        <w:rPr>
          <w:b/>
          <w:szCs w:val="20"/>
        </w:rPr>
      </w:r>
      <w:r w:rsidR="00082192">
        <w:rPr>
          <w:b/>
          <w:szCs w:val="20"/>
        </w:rPr>
        <w:fldChar w:fldCharType="separate"/>
      </w:r>
      <w:r w:rsidRPr="007D5454">
        <w:rPr>
          <w:b/>
          <w:szCs w:val="20"/>
        </w:rPr>
        <w:fldChar w:fldCharType="end"/>
      </w:r>
      <w:r w:rsidRPr="007D5454">
        <w:rPr>
          <w:b/>
          <w:szCs w:val="20"/>
        </w:rPr>
        <w:t xml:space="preserve"> </w:t>
      </w:r>
      <w:r w:rsidRPr="007D5454">
        <w:t>Co-dependent technology</w:t>
      </w:r>
    </w:p>
    <w:p w14:paraId="1BD2D81A" w14:textId="77777777" w:rsidR="00A6594E" w:rsidRPr="007D5454" w:rsidRDefault="00A6594E" w:rsidP="00E50F47">
      <w:pPr>
        <w:spacing w:before="0" w:after="0"/>
        <w:ind w:left="360"/>
      </w:pPr>
      <w:r w:rsidRPr="007D5454">
        <w:rPr>
          <w:b/>
          <w:szCs w:val="20"/>
        </w:rPr>
        <w:fldChar w:fldCharType="begin">
          <w:ffData>
            <w:name w:val="Check2"/>
            <w:enabled/>
            <w:calcOnExit w:val="0"/>
            <w:checkBox>
              <w:sizeAuto/>
              <w:default w:val="0"/>
            </w:checkBox>
          </w:ffData>
        </w:fldChar>
      </w:r>
      <w:r w:rsidRPr="007D5454">
        <w:rPr>
          <w:b/>
          <w:szCs w:val="20"/>
        </w:rPr>
        <w:instrText xml:space="preserve"> FORMCHECKBOX </w:instrText>
      </w:r>
      <w:r w:rsidR="00082192">
        <w:rPr>
          <w:b/>
          <w:szCs w:val="20"/>
        </w:rPr>
      </w:r>
      <w:r w:rsidR="00082192">
        <w:rPr>
          <w:b/>
          <w:szCs w:val="20"/>
        </w:rPr>
        <w:fldChar w:fldCharType="separate"/>
      </w:r>
      <w:r w:rsidRPr="007D5454">
        <w:rPr>
          <w:b/>
          <w:szCs w:val="20"/>
        </w:rPr>
        <w:fldChar w:fldCharType="end"/>
      </w:r>
      <w:r w:rsidRPr="007D5454">
        <w:rPr>
          <w:b/>
          <w:szCs w:val="20"/>
        </w:rPr>
        <w:t xml:space="preserve"> </w:t>
      </w:r>
      <w:r w:rsidRPr="007D5454">
        <w:t>Hybrid health technology</w:t>
      </w:r>
    </w:p>
    <w:p w14:paraId="02B92EE5" w14:textId="77777777" w:rsidR="0054594B" w:rsidRPr="007D5454" w:rsidRDefault="0054594B" w:rsidP="00730C04">
      <w:pPr>
        <w:pStyle w:val="Heading2"/>
      </w:pPr>
      <w:r w:rsidRPr="007D5454">
        <w:t xml:space="preserve">For investigative services, </w:t>
      </w:r>
      <w:r w:rsidR="00154B00" w:rsidRPr="007D5454">
        <w:t>advise</w:t>
      </w:r>
      <w:r w:rsidRPr="007D5454">
        <w:t xml:space="preserve"> the specific purpose of performing the service </w:t>
      </w:r>
      <w:r w:rsidRPr="007D5454">
        <w:rPr>
          <w:i/>
        </w:rPr>
        <w:t>(which could be one or more of the following</w:t>
      </w:r>
      <w:r w:rsidR="00154B00" w:rsidRPr="007D5454">
        <w:rPr>
          <w:i/>
        </w:rPr>
        <w:t>)</w:t>
      </w:r>
      <w:r w:rsidRPr="007D5454">
        <w:t>:</w:t>
      </w:r>
    </w:p>
    <w:p w14:paraId="6D31DB52" w14:textId="77777777" w:rsidR="00AE0737" w:rsidRPr="007D5454" w:rsidRDefault="00AE0737" w:rsidP="00AE0737">
      <w:pPr>
        <w:spacing w:before="0" w:after="0"/>
        <w:ind w:left="426"/>
      </w:pPr>
      <w:r w:rsidRPr="007D5454">
        <w:t>N/A</w:t>
      </w:r>
    </w:p>
    <w:p w14:paraId="2CB7DC4A" w14:textId="77777777" w:rsidR="000B3CD0" w:rsidRPr="007D5454" w:rsidRDefault="000B3CD0" w:rsidP="00730C04">
      <w:pPr>
        <w:pStyle w:val="Heading2"/>
      </w:pPr>
      <w:r w:rsidRPr="007D5454">
        <w:t xml:space="preserve">Does </w:t>
      </w:r>
      <w:r w:rsidR="00C209C2" w:rsidRPr="007D5454">
        <w:t>your</w:t>
      </w:r>
      <w:r w:rsidRPr="007D5454">
        <w:t xml:space="preserve"> service rely on another medical </w:t>
      </w:r>
      <w:r w:rsidR="001E1180" w:rsidRPr="007D5454">
        <w:t>product</w:t>
      </w:r>
      <w:r w:rsidRPr="007D5454">
        <w:t xml:space="preserve"> to achieve or to enhance its intended effect?</w:t>
      </w:r>
    </w:p>
    <w:p w14:paraId="248AD455" w14:textId="77777777" w:rsidR="00FE16C1" w:rsidRPr="007D5454" w:rsidRDefault="00FE16C1" w:rsidP="00E50F47">
      <w:pPr>
        <w:spacing w:before="0" w:after="0"/>
        <w:ind w:left="360"/>
      </w:pPr>
      <w:r w:rsidRPr="007D5454">
        <w:rPr>
          <w:b/>
          <w:szCs w:val="20"/>
        </w:rPr>
        <w:fldChar w:fldCharType="begin">
          <w:ffData>
            <w:name w:val="Check2"/>
            <w:enabled/>
            <w:calcOnExit w:val="0"/>
            <w:checkBox>
              <w:sizeAuto/>
              <w:default w:val="0"/>
            </w:checkBox>
          </w:ffData>
        </w:fldChar>
      </w:r>
      <w:r w:rsidRPr="007D5454">
        <w:rPr>
          <w:b/>
          <w:szCs w:val="20"/>
        </w:rPr>
        <w:instrText xml:space="preserve"> FORMCHECKBOX </w:instrText>
      </w:r>
      <w:r w:rsidR="00082192">
        <w:rPr>
          <w:b/>
          <w:szCs w:val="20"/>
        </w:rPr>
      </w:r>
      <w:r w:rsidR="00082192">
        <w:rPr>
          <w:b/>
          <w:szCs w:val="20"/>
        </w:rPr>
        <w:fldChar w:fldCharType="separate"/>
      </w:r>
      <w:r w:rsidRPr="007D5454">
        <w:rPr>
          <w:b/>
          <w:szCs w:val="20"/>
        </w:rPr>
        <w:fldChar w:fldCharType="end"/>
      </w:r>
      <w:r w:rsidRPr="007D5454">
        <w:rPr>
          <w:b/>
          <w:szCs w:val="20"/>
        </w:rPr>
        <w:t xml:space="preserve"> </w:t>
      </w:r>
      <w:r w:rsidRPr="007D5454">
        <w:t>Pharmaceutical / Biological</w:t>
      </w:r>
    </w:p>
    <w:p w14:paraId="7D00855C" w14:textId="77777777" w:rsidR="00FE16C1" w:rsidRPr="007D5454" w:rsidRDefault="002A544A" w:rsidP="00E50F47">
      <w:pPr>
        <w:spacing w:before="0" w:after="0"/>
        <w:ind w:left="360"/>
      </w:pPr>
      <w:r w:rsidRPr="007D5454">
        <w:rPr>
          <w:szCs w:val="20"/>
        </w:rPr>
        <w:fldChar w:fldCharType="begin">
          <w:ffData>
            <w:name w:val="Check2"/>
            <w:enabled/>
            <w:calcOnExit w:val="0"/>
            <w:checkBox>
              <w:sizeAuto/>
              <w:default w:val="1"/>
            </w:checkBox>
          </w:ffData>
        </w:fldChar>
      </w:r>
      <w:r w:rsidRPr="007D5454">
        <w:rPr>
          <w:szCs w:val="20"/>
        </w:rPr>
        <w:instrText xml:space="preserve"> FORMCHECKBOX </w:instrText>
      </w:r>
      <w:r w:rsidR="00082192">
        <w:rPr>
          <w:szCs w:val="20"/>
        </w:rPr>
      </w:r>
      <w:r w:rsidR="00082192">
        <w:rPr>
          <w:szCs w:val="20"/>
        </w:rPr>
        <w:fldChar w:fldCharType="separate"/>
      </w:r>
      <w:r w:rsidRPr="007D5454">
        <w:rPr>
          <w:szCs w:val="20"/>
        </w:rPr>
        <w:fldChar w:fldCharType="end"/>
      </w:r>
      <w:r w:rsidR="00FE16C1" w:rsidRPr="007D5454">
        <w:rPr>
          <w:b/>
          <w:szCs w:val="20"/>
        </w:rPr>
        <w:t xml:space="preserve"> </w:t>
      </w:r>
      <w:r w:rsidR="00FE16C1" w:rsidRPr="007D5454">
        <w:t>Prosthesis or device</w:t>
      </w:r>
    </w:p>
    <w:p w14:paraId="18091B60" w14:textId="77777777" w:rsidR="00FE16C1" w:rsidRPr="007D5454" w:rsidRDefault="00FE16C1" w:rsidP="00E50F47">
      <w:pPr>
        <w:spacing w:before="0" w:after="0"/>
        <w:ind w:left="360"/>
      </w:pPr>
      <w:r w:rsidRPr="007D5454">
        <w:rPr>
          <w:b/>
          <w:szCs w:val="20"/>
        </w:rPr>
        <w:fldChar w:fldCharType="begin">
          <w:ffData>
            <w:name w:val="Check2"/>
            <w:enabled/>
            <w:calcOnExit w:val="0"/>
            <w:checkBox>
              <w:sizeAuto/>
              <w:default w:val="0"/>
            </w:checkBox>
          </w:ffData>
        </w:fldChar>
      </w:r>
      <w:r w:rsidRPr="007D5454">
        <w:rPr>
          <w:b/>
          <w:szCs w:val="20"/>
        </w:rPr>
        <w:instrText xml:space="preserve"> FORMCHECKBOX </w:instrText>
      </w:r>
      <w:r w:rsidR="00082192">
        <w:rPr>
          <w:b/>
          <w:szCs w:val="20"/>
        </w:rPr>
      </w:r>
      <w:r w:rsidR="00082192">
        <w:rPr>
          <w:b/>
          <w:szCs w:val="20"/>
        </w:rPr>
        <w:fldChar w:fldCharType="separate"/>
      </w:r>
      <w:r w:rsidRPr="007D5454">
        <w:rPr>
          <w:b/>
          <w:szCs w:val="20"/>
        </w:rPr>
        <w:fldChar w:fldCharType="end"/>
      </w:r>
      <w:r w:rsidRPr="007D5454">
        <w:rPr>
          <w:b/>
          <w:szCs w:val="20"/>
        </w:rPr>
        <w:t xml:space="preserve"> </w:t>
      </w:r>
      <w:r w:rsidRPr="007D5454">
        <w:t>No</w:t>
      </w:r>
    </w:p>
    <w:p w14:paraId="306BFC94" w14:textId="77777777" w:rsidR="000E5439" w:rsidRPr="007D5454" w:rsidRDefault="00530204" w:rsidP="00730C04">
      <w:pPr>
        <w:pStyle w:val="Heading2"/>
      </w:pPr>
      <w:r w:rsidRPr="007D5454">
        <w:t xml:space="preserve">(a)  </w:t>
      </w:r>
      <w:r w:rsidR="000E5439" w:rsidRPr="007D5454">
        <w:t>If the proposed service has a pharmaceutical component to it, is it already covered under an existing Pharmaceutical Benefits Scheme (PBS) listing?</w:t>
      </w:r>
    </w:p>
    <w:p w14:paraId="39C59747" w14:textId="77777777" w:rsidR="00FE16C1" w:rsidRPr="007D5454" w:rsidRDefault="002A544A" w:rsidP="00E50F47">
      <w:pPr>
        <w:spacing w:before="0" w:after="0"/>
        <w:ind w:left="284" w:firstLine="76"/>
        <w:rPr>
          <w:szCs w:val="20"/>
        </w:rPr>
      </w:pPr>
      <w:r w:rsidRPr="007D5454">
        <w:rPr>
          <w:szCs w:val="20"/>
        </w:rPr>
        <w:t>N/A</w:t>
      </w:r>
    </w:p>
    <w:p w14:paraId="6C494CA4" w14:textId="77777777" w:rsidR="00EC127A" w:rsidRPr="007D5454" w:rsidRDefault="000E5439" w:rsidP="00530204">
      <w:pPr>
        <w:pStyle w:val="Heading2"/>
        <w:numPr>
          <w:ilvl w:val="0"/>
          <w:numId w:val="25"/>
        </w:numPr>
      </w:pPr>
      <w:r w:rsidRPr="007D5454">
        <w:t xml:space="preserve">If yes, </w:t>
      </w:r>
      <w:r w:rsidR="00BB003A" w:rsidRPr="007D5454">
        <w:t>please list</w:t>
      </w:r>
      <w:r w:rsidRPr="007D5454">
        <w:t xml:space="preserve"> the</w:t>
      </w:r>
      <w:r w:rsidR="00BB003A" w:rsidRPr="007D5454">
        <w:t xml:space="preserve"> relevant</w:t>
      </w:r>
      <w:r w:rsidRPr="007D5454">
        <w:t xml:space="preserve"> PBS </w:t>
      </w:r>
      <w:r w:rsidR="001E23EA" w:rsidRPr="007D5454">
        <w:t>item code</w:t>
      </w:r>
      <w:r w:rsidRPr="007D5454">
        <w:t>(s)</w:t>
      </w:r>
      <w:r w:rsidR="007E39E4" w:rsidRPr="007D5454">
        <w:t>:</w:t>
      </w:r>
    </w:p>
    <w:p w14:paraId="530E2537" w14:textId="77777777" w:rsidR="007E39E4" w:rsidRPr="007D5454" w:rsidRDefault="002A544A" w:rsidP="00E50F47">
      <w:pPr>
        <w:ind w:left="284" w:firstLine="76"/>
        <w:rPr>
          <w:b/>
          <w:szCs w:val="20"/>
        </w:rPr>
      </w:pPr>
      <w:r w:rsidRPr="007D5454">
        <w:t>N/A</w:t>
      </w:r>
    </w:p>
    <w:p w14:paraId="60B68FB6" w14:textId="77777777" w:rsidR="00411735" w:rsidRPr="007D5454" w:rsidRDefault="00411735" w:rsidP="00530204">
      <w:pPr>
        <w:pStyle w:val="Heading2"/>
        <w:numPr>
          <w:ilvl w:val="0"/>
          <w:numId w:val="25"/>
        </w:numPr>
      </w:pPr>
      <w:r w:rsidRPr="007D5454">
        <w:t xml:space="preserve">If no, is an application </w:t>
      </w:r>
      <w:r w:rsidR="001E23EA" w:rsidRPr="007D5454">
        <w:t xml:space="preserve">(submission) </w:t>
      </w:r>
      <w:r w:rsidRPr="007D5454">
        <w:t xml:space="preserve">in the process of being considered by the </w:t>
      </w:r>
      <w:r w:rsidR="00802553" w:rsidRPr="007D5454">
        <w:t>Pharmaceutical Benefits Advisory Committee (</w:t>
      </w:r>
      <w:r w:rsidRPr="007D5454">
        <w:t>PBAC</w:t>
      </w:r>
      <w:r w:rsidR="00802553" w:rsidRPr="007D5454">
        <w:t>)</w:t>
      </w:r>
      <w:r w:rsidRPr="007D5454">
        <w:t>?</w:t>
      </w:r>
    </w:p>
    <w:p w14:paraId="56B42610" w14:textId="77777777" w:rsidR="001E6919" w:rsidRPr="007D5454" w:rsidRDefault="002A544A" w:rsidP="00E50F47">
      <w:pPr>
        <w:spacing w:before="0" w:after="0"/>
        <w:ind w:left="284" w:firstLine="76"/>
        <w:rPr>
          <w:szCs w:val="20"/>
        </w:rPr>
      </w:pPr>
      <w:r w:rsidRPr="007D5454">
        <w:rPr>
          <w:szCs w:val="20"/>
        </w:rPr>
        <w:t>N/A</w:t>
      </w:r>
    </w:p>
    <w:p w14:paraId="582511B2" w14:textId="77777777" w:rsidR="000E5439" w:rsidRPr="007D5454" w:rsidRDefault="000E5439" w:rsidP="00530204">
      <w:pPr>
        <w:pStyle w:val="Heading2"/>
        <w:numPr>
          <w:ilvl w:val="0"/>
          <w:numId w:val="25"/>
        </w:numPr>
      </w:pPr>
      <w:r w:rsidRPr="007D5454">
        <w:t>If you are seeking both MBS and PBS listing</w:t>
      </w:r>
      <w:r w:rsidR="00B75965" w:rsidRPr="007D5454">
        <w:t>, what is the trade name and generic name of the pharmaceutical?</w:t>
      </w:r>
    </w:p>
    <w:p w14:paraId="2124CA5C" w14:textId="77777777" w:rsidR="001E6958" w:rsidRPr="001E6958" w:rsidRDefault="002A544A" w:rsidP="00E50F47">
      <w:pPr>
        <w:spacing w:before="0" w:after="0"/>
        <w:ind w:left="284" w:firstLine="76"/>
      </w:pPr>
      <w:r w:rsidRPr="007D5454">
        <w:t>N/A</w:t>
      </w:r>
    </w:p>
    <w:p w14:paraId="6FD7D163" w14:textId="77777777" w:rsidR="00E50F47" w:rsidRDefault="00E50F47">
      <w:pPr>
        <w:spacing w:before="0" w:after="200" w:line="276" w:lineRule="auto"/>
        <w:rPr>
          <w:b/>
          <w:szCs w:val="20"/>
        </w:rPr>
      </w:pPr>
      <w:r>
        <w:br w:type="page"/>
      </w:r>
    </w:p>
    <w:p w14:paraId="1B73E618" w14:textId="1B218429" w:rsidR="00B75965" w:rsidRDefault="00530204" w:rsidP="00530204">
      <w:pPr>
        <w:pStyle w:val="Heading2"/>
      </w:pPr>
      <w:r>
        <w:lastRenderedPageBreak/>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484EE2D0" w14:textId="77777777" w:rsidR="001E6958" w:rsidRPr="007D5454" w:rsidRDefault="001E6958" w:rsidP="00E50F47">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82192">
        <w:rPr>
          <w:szCs w:val="20"/>
        </w:rPr>
      </w:r>
      <w:r w:rsidR="00082192">
        <w:rPr>
          <w:szCs w:val="20"/>
        </w:rPr>
        <w:fldChar w:fldCharType="separate"/>
      </w:r>
      <w:r w:rsidRPr="000A5B32">
        <w:rPr>
          <w:szCs w:val="20"/>
        </w:rPr>
        <w:fldChar w:fldCharType="end"/>
      </w:r>
      <w:r w:rsidRPr="000A5B32">
        <w:rPr>
          <w:szCs w:val="20"/>
        </w:rPr>
        <w:t xml:space="preserve"> </w:t>
      </w:r>
      <w:r w:rsidRPr="007D5454">
        <w:rPr>
          <w:szCs w:val="20"/>
        </w:rPr>
        <w:t>Yes</w:t>
      </w:r>
    </w:p>
    <w:p w14:paraId="156012F7" w14:textId="77777777" w:rsidR="001E6958" w:rsidRPr="007D5454" w:rsidRDefault="00C045AF" w:rsidP="00E50F47">
      <w:pPr>
        <w:spacing w:before="0" w:after="0"/>
        <w:ind w:left="360"/>
        <w:rPr>
          <w:szCs w:val="20"/>
        </w:rPr>
      </w:pPr>
      <w:r w:rsidRPr="007D5454">
        <w:rPr>
          <w:szCs w:val="20"/>
        </w:rPr>
        <w:fldChar w:fldCharType="begin">
          <w:ffData>
            <w:name w:val="Check2"/>
            <w:enabled/>
            <w:calcOnExit w:val="0"/>
            <w:checkBox>
              <w:sizeAuto/>
              <w:default w:val="1"/>
            </w:checkBox>
          </w:ffData>
        </w:fldChar>
      </w:r>
      <w:r w:rsidRPr="007D5454">
        <w:rPr>
          <w:szCs w:val="20"/>
        </w:rPr>
        <w:instrText xml:space="preserve"> FORMCHECKBOX </w:instrText>
      </w:r>
      <w:r w:rsidR="00082192">
        <w:rPr>
          <w:szCs w:val="20"/>
        </w:rPr>
      </w:r>
      <w:r w:rsidR="00082192">
        <w:rPr>
          <w:szCs w:val="20"/>
        </w:rPr>
        <w:fldChar w:fldCharType="separate"/>
      </w:r>
      <w:r w:rsidRPr="007D5454">
        <w:rPr>
          <w:szCs w:val="20"/>
        </w:rPr>
        <w:fldChar w:fldCharType="end"/>
      </w:r>
      <w:r w:rsidR="001E6958" w:rsidRPr="007D5454">
        <w:rPr>
          <w:szCs w:val="20"/>
        </w:rPr>
        <w:t xml:space="preserve"> No  </w:t>
      </w:r>
    </w:p>
    <w:p w14:paraId="04AC95E6" w14:textId="77777777" w:rsidR="00B75965" w:rsidRPr="007D5454" w:rsidRDefault="00B75965" w:rsidP="00530204">
      <w:pPr>
        <w:pStyle w:val="Heading2"/>
        <w:numPr>
          <w:ilvl w:val="0"/>
          <w:numId w:val="26"/>
        </w:numPr>
      </w:pPr>
      <w:r w:rsidRPr="007D5454">
        <w:t xml:space="preserve">If yes, </w:t>
      </w:r>
      <w:r w:rsidR="00C73B62" w:rsidRPr="007D5454">
        <w:t xml:space="preserve">please provide the following information (where relevant): </w:t>
      </w:r>
    </w:p>
    <w:p w14:paraId="4FC55982" w14:textId="77777777" w:rsidR="007D5454" w:rsidRPr="001E6958" w:rsidRDefault="007D5454" w:rsidP="007D5454">
      <w:pPr>
        <w:spacing w:before="0" w:after="0"/>
        <w:ind w:left="360"/>
      </w:pPr>
      <w:r w:rsidRPr="007D5454">
        <w:t>N/A</w:t>
      </w:r>
    </w:p>
    <w:p w14:paraId="14DBBA0B" w14:textId="77777777" w:rsidR="00411735" w:rsidRPr="00720982" w:rsidRDefault="00411735" w:rsidP="00530204">
      <w:pPr>
        <w:pStyle w:val="Heading2"/>
        <w:numPr>
          <w:ilvl w:val="0"/>
          <w:numId w:val="26"/>
        </w:numPr>
      </w:pPr>
      <w:r w:rsidRPr="00720982">
        <w:t xml:space="preserve">If no, is an application in the process of being considered by </w:t>
      </w:r>
      <w:r w:rsidR="003433D1" w:rsidRPr="00720982">
        <w:t xml:space="preserve">a Clinical Advisory Group or </w:t>
      </w:r>
      <w:r w:rsidRPr="00720982">
        <w:t>the</w:t>
      </w:r>
      <w:r w:rsidR="00BB003A" w:rsidRPr="00720982">
        <w:t xml:space="preserve"> Prostheses List Advisory Committee</w:t>
      </w:r>
      <w:r w:rsidRPr="00720982">
        <w:t xml:space="preserve"> </w:t>
      </w:r>
      <w:r w:rsidR="00BB003A" w:rsidRPr="00720982">
        <w:t>(</w:t>
      </w:r>
      <w:r w:rsidRPr="00720982">
        <w:t>PLAC</w:t>
      </w:r>
      <w:r w:rsidR="00BB003A" w:rsidRPr="00720982">
        <w:t>)</w:t>
      </w:r>
      <w:r w:rsidRPr="00720982">
        <w:t>?</w:t>
      </w:r>
    </w:p>
    <w:p w14:paraId="4C7CF24A" w14:textId="37BF98D5" w:rsidR="009939DC" w:rsidRPr="00720982" w:rsidRDefault="007D5454" w:rsidP="00E50F47">
      <w:pPr>
        <w:spacing w:before="0" w:after="0"/>
        <w:ind w:left="360"/>
        <w:rPr>
          <w:szCs w:val="20"/>
        </w:rPr>
      </w:pPr>
      <w:r w:rsidRPr="00720982">
        <w:rPr>
          <w:szCs w:val="20"/>
        </w:rPr>
        <w:fldChar w:fldCharType="begin">
          <w:ffData>
            <w:name w:val="Check2"/>
            <w:enabled/>
            <w:calcOnExit w:val="0"/>
            <w:checkBox>
              <w:sizeAuto/>
              <w:default w:val="0"/>
            </w:checkBox>
          </w:ffData>
        </w:fldChar>
      </w:r>
      <w:r w:rsidRPr="00720982">
        <w:rPr>
          <w:szCs w:val="20"/>
        </w:rPr>
        <w:instrText xml:space="preserve"> FORMCHECKBOX </w:instrText>
      </w:r>
      <w:r w:rsidR="00082192">
        <w:rPr>
          <w:szCs w:val="20"/>
        </w:rPr>
      </w:r>
      <w:r w:rsidR="00082192">
        <w:rPr>
          <w:szCs w:val="20"/>
        </w:rPr>
        <w:fldChar w:fldCharType="separate"/>
      </w:r>
      <w:r w:rsidRPr="00720982">
        <w:rPr>
          <w:szCs w:val="20"/>
        </w:rPr>
        <w:fldChar w:fldCharType="end"/>
      </w:r>
      <w:r w:rsidR="009939DC" w:rsidRPr="00720982">
        <w:rPr>
          <w:szCs w:val="20"/>
        </w:rPr>
        <w:t xml:space="preserve"> Yes</w:t>
      </w:r>
    </w:p>
    <w:p w14:paraId="7067E6DC" w14:textId="24A2AE49" w:rsidR="001E6958" w:rsidRPr="00720982" w:rsidRDefault="00720982" w:rsidP="00E50F47">
      <w:pPr>
        <w:spacing w:before="0" w:after="0"/>
        <w:ind w:left="360"/>
        <w:rPr>
          <w:szCs w:val="20"/>
        </w:rPr>
      </w:pPr>
      <w:r w:rsidRPr="00720982">
        <w:rPr>
          <w:szCs w:val="20"/>
        </w:rPr>
        <w:fldChar w:fldCharType="begin">
          <w:ffData>
            <w:name w:val="Check2"/>
            <w:enabled/>
            <w:calcOnExit w:val="0"/>
            <w:checkBox>
              <w:sizeAuto/>
              <w:default w:val="1"/>
            </w:checkBox>
          </w:ffData>
        </w:fldChar>
      </w:r>
      <w:r w:rsidRPr="00720982">
        <w:rPr>
          <w:szCs w:val="20"/>
        </w:rPr>
        <w:instrText xml:space="preserve"> FORMCHECKBOX </w:instrText>
      </w:r>
      <w:r w:rsidR="00082192">
        <w:rPr>
          <w:szCs w:val="20"/>
        </w:rPr>
      </w:r>
      <w:r w:rsidR="00082192">
        <w:rPr>
          <w:szCs w:val="20"/>
        </w:rPr>
        <w:fldChar w:fldCharType="separate"/>
      </w:r>
      <w:r w:rsidRPr="00720982">
        <w:rPr>
          <w:szCs w:val="20"/>
        </w:rPr>
        <w:fldChar w:fldCharType="end"/>
      </w:r>
      <w:r w:rsidR="009939DC" w:rsidRPr="00720982">
        <w:rPr>
          <w:szCs w:val="20"/>
        </w:rPr>
        <w:t xml:space="preserve"> No  </w:t>
      </w:r>
    </w:p>
    <w:p w14:paraId="312F4C35" w14:textId="7D26346E" w:rsidR="00C64937" w:rsidRDefault="00C64937" w:rsidP="00A6491A">
      <w:pPr>
        <w:spacing w:before="0" w:after="0"/>
        <w:ind w:left="284"/>
        <w:rPr>
          <w:szCs w:val="20"/>
        </w:rPr>
      </w:pPr>
    </w:p>
    <w:p w14:paraId="3DB66376" w14:textId="2525921C" w:rsidR="00090A42" w:rsidRPr="00090A42" w:rsidRDefault="00090A42" w:rsidP="00090A42">
      <w:pPr>
        <w:spacing w:before="0" w:after="0"/>
        <w:ind w:left="284" w:firstLine="76"/>
        <w:rPr>
          <w:b/>
          <w:bCs/>
          <w:szCs w:val="20"/>
        </w:rPr>
      </w:pPr>
      <w:r w:rsidRPr="00090A42">
        <w:rPr>
          <w:b/>
          <w:bCs/>
          <w:szCs w:val="20"/>
        </w:rPr>
        <w:t>REDACTED</w:t>
      </w:r>
    </w:p>
    <w:p w14:paraId="5D1067ED" w14:textId="77777777" w:rsidR="00016B6E" w:rsidRPr="00A5089C" w:rsidRDefault="00016B6E" w:rsidP="00530204">
      <w:pPr>
        <w:pStyle w:val="Heading2"/>
        <w:numPr>
          <w:ilvl w:val="0"/>
          <w:numId w:val="26"/>
        </w:numPr>
      </w:pPr>
      <w:r w:rsidRPr="00A5089C">
        <w:t>Are there any other sponsor(s) and / or manufacturer(</w:t>
      </w:r>
      <w:r w:rsidR="008B729C" w:rsidRPr="00A5089C">
        <w:t>s) that have a similar prosthesi</w:t>
      </w:r>
      <w:r w:rsidRPr="00A5089C">
        <w:t xml:space="preserve">s or device component in the Australian </w:t>
      </w:r>
      <w:proofErr w:type="gramStart"/>
      <w:r w:rsidRPr="00A5089C">
        <w:t>market place</w:t>
      </w:r>
      <w:proofErr w:type="gramEnd"/>
      <w:r w:rsidRPr="00A5089C">
        <w:t xml:space="preserve"> which this application is relevant to?</w:t>
      </w:r>
    </w:p>
    <w:p w14:paraId="3B12B949" w14:textId="77777777" w:rsidR="00555AB0" w:rsidRPr="00555AB0" w:rsidRDefault="00555AB0" w:rsidP="00555AB0">
      <w:pPr>
        <w:spacing w:before="0" w:after="0"/>
        <w:ind w:left="360"/>
        <w:rPr>
          <w:szCs w:val="20"/>
        </w:rPr>
      </w:pPr>
      <w:r w:rsidRPr="00555AB0">
        <w:rPr>
          <w:szCs w:val="20"/>
        </w:rPr>
        <w:fldChar w:fldCharType="begin">
          <w:ffData>
            <w:name w:val="Check2"/>
            <w:enabled/>
            <w:calcOnExit w:val="0"/>
            <w:checkBox>
              <w:sizeAuto/>
              <w:default w:val="0"/>
            </w:checkBox>
          </w:ffData>
        </w:fldChar>
      </w:r>
      <w:r w:rsidRPr="00555AB0">
        <w:rPr>
          <w:szCs w:val="20"/>
        </w:rPr>
        <w:instrText xml:space="preserve"> FORMCHECKBOX </w:instrText>
      </w:r>
      <w:r w:rsidR="00082192">
        <w:rPr>
          <w:szCs w:val="20"/>
        </w:rPr>
      </w:r>
      <w:r w:rsidR="00082192">
        <w:rPr>
          <w:szCs w:val="20"/>
        </w:rPr>
        <w:fldChar w:fldCharType="separate"/>
      </w:r>
      <w:r w:rsidRPr="00555AB0">
        <w:rPr>
          <w:szCs w:val="20"/>
        </w:rPr>
        <w:fldChar w:fldCharType="end"/>
      </w:r>
      <w:r w:rsidRPr="00555AB0">
        <w:rPr>
          <w:szCs w:val="20"/>
        </w:rPr>
        <w:t xml:space="preserve"> Yes</w:t>
      </w:r>
    </w:p>
    <w:p w14:paraId="585AED00" w14:textId="77777777" w:rsidR="00555AB0" w:rsidRPr="00555AB0" w:rsidRDefault="00555AB0" w:rsidP="00555AB0">
      <w:pPr>
        <w:spacing w:before="0" w:after="0"/>
        <w:ind w:firstLine="360"/>
        <w:rPr>
          <w:szCs w:val="20"/>
        </w:rPr>
      </w:pPr>
      <w:r w:rsidRPr="00555AB0">
        <w:rPr>
          <w:szCs w:val="20"/>
        </w:rPr>
        <w:fldChar w:fldCharType="begin">
          <w:ffData>
            <w:name w:val="Check2"/>
            <w:enabled/>
            <w:calcOnExit w:val="0"/>
            <w:checkBox>
              <w:sizeAuto/>
              <w:default w:val="1"/>
            </w:checkBox>
          </w:ffData>
        </w:fldChar>
      </w:r>
      <w:r w:rsidRPr="00555AB0">
        <w:rPr>
          <w:szCs w:val="20"/>
        </w:rPr>
        <w:instrText xml:space="preserve"> FORMCHECKBOX </w:instrText>
      </w:r>
      <w:r w:rsidR="00082192">
        <w:rPr>
          <w:szCs w:val="20"/>
        </w:rPr>
      </w:r>
      <w:r w:rsidR="00082192">
        <w:rPr>
          <w:szCs w:val="20"/>
        </w:rPr>
        <w:fldChar w:fldCharType="separate"/>
      </w:r>
      <w:r w:rsidRPr="00555AB0">
        <w:rPr>
          <w:szCs w:val="20"/>
        </w:rPr>
        <w:fldChar w:fldCharType="end"/>
      </w:r>
      <w:r w:rsidRPr="00555AB0">
        <w:rPr>
          <w:szCs w:val="20"/>
        </w:rPr>
        <w:t xml:space="preserve"> No  </w:t>
      </w:r>
    </w:p>
    <w:p w14:paraId="45D05E29" w14:textId="77777777" w:rsidR="00555AB0" w:rsidRDefault="00555AB0" w:rsidP="00555AB0">
      <w:pPr>
        <w:rPr>
          <w:highlight w:val="cyan"/>
        </w:rPr>
      </w:pPr>
    </w:p>
    <w:p w14:paraId="1C5FA320" w14:textId="4DD6D5AE" w:rsidR="0084657B" w:rsidRPr="00FC58EF" w:rsidRDefault="00A9062D" w:rsidP="00530204">
      <w:pPr>
        <w:pStyle w:val="Heading2"/>
      </w:pPr>
      <w:r w:rsidRPr="00FC58EF">
        <w:t>P</w:t>
      </w:r>
      <w:r w:rsidR="0084657B" w:rsidRPr="00FC58EF">
        <w:t xml:space="preserve">lease identify </w:t>
      </w:r>
      <w:r w:rsidR="00E8649B" w:rsidRPr="00FC58EF">
        <w:t xml:space="preserve">any single </w:t>
      </w:r>
      <w:r w:rsidR="00016B6E" w:rsidRPr="00FC58EF">
        <w:t>and / or multi-</w:t>
      </w:r>
      <w:r w:rsidR="00E8649B" w:rsidRPr="00FC58EF">
        <w:t>use consumables</w:t>
      </w:r>
      <w:r w:rsidR="0084657B" w:rsidRPr="00FC58EF">
        <w:t xml:space="preserve"> </w:t>
      </w:r>
      <w:r w:rsidR="00E8649B" w:rsidRPr="00FC58EF">
        <w:t>delivered as part of the service?</w:t>
      </w:r>
    </w:p>
    <w:p w14:paraId="29E06AE7" w14:textId="43F469F5" w:rsidR="00A42973" w:rsidRPr="00082192" w:rsidRDefault="00A42973" w:rsidP="00E50F47">
      <w:pPr>
        <w:spacing w:before="0" w:after="0"/>
        <w:ind w:left="360"/>
        <w:rPr>
          <w:u w:val="single"/>
        </w:rPr>
      </w:pPr>
      <w:r w:rsidRPr="00082192">
        <w:rPr>
          <w:u w:val="single"/>
        </w:rPr>
        <w:t>Single-use consumables</w:t>
      </w:r>
    </w:p>
    <w:p w14:paraId="1E32942C" w14:textId="1999AA1F" w:rsidR="00A42973" w:rsidRPr="00082192" w:rsidRDefault="00A42973" w:rsidP="00E50F47">
      <w:pPr>
        <w:pStyle w:val="ListParagraph"/>
        <w:numPr>
          <w:ilvl w:val="0"/>
          <w:numId w:val="42"/>
        </w:numPr>
        <w:spacing w:before="0" w:after="0"/>
        <w:ind w:left="720"/>
      </w:pPr>
      <w:r w:rsidRPr="00082192">
        <w:t xml:space="preserve">Medtronic </w:t>
      </w:r>
      <w:proofErr w:type="spellStart"/>
      <w:r w:rsidRPr="00082192">
        <w:t>Epsila</w:t>
      </w:r>
      <w:proofErr w:type="spellEnd"/>
      <w:r w:rsidRPr="00082192">
        <w:t xml:space="preserve"> EV Model EAZ101 sternal </w:t>
      </w:r>
      <w:proofErr w:type="spellStart"/>
      <w:r w:rsidRPr="00082192">
        <w:t>tunneling</w:t>
      </w:r>
      <w:proofErr w:type="spellEnd"/>
      <w:r w:rsidRPr="00082192">
        <w:t xml:space="preserve"> tool - will deliver the introducer and EV lead into the anterior mediastinum during implant of the EV-ICD system.</w:t>
      </w:r>
    </w:p>
    <w:p w14:paraId="0D821DC5" w14:textId="07C2D6BF" w:rsidR="00F301F1" w:rsidRPr="00855944" w:rsidRDefault="00A42973" w:rsidP="00E50F47">
      <w:pPr>
        <w:pStyle w:val="ListParagraph"/>
        <w:numPr>
          <w:ilvl w:val="0"/>
          <w:numId w:val="42"/>
        </w:numPr>
        <w:spacing w:before="0" w:after="0"/>
        <w:ind w:left="720"/>
      </w:pPr>
      <w:r w:rsidRPr="00082192">
        <w:t xml:space="preserve">Medtronic </w:t>
      </w:r>
      <w:proofErr w:type="spellStart"/>
      <w:r w:rsidRPr="00082192">
        <w:t>Epsila</w:t>
      </w:r>
      <w:proofErr w:type="spellEnd"/>
      <w:r w:rsidRPr="00082192">
        <w:t xml:space="preserve"> EV Model EAZ201 transverse </w:t>
      </w:r>
      <w:proofErr w:type="spellStart"/>
      <w:r w:rsidRPr="00082192">
        <w:t>tunneling</w:t>
      </w:r>
      <w:proofErr w:type="spellEnd"/>
      <w:r w:rsidRPr="00082192">
        <w:t xml:space="preserve"> tool – will deliver the proximal portion of the EV lead to the device pocket during implant of the EV-ICD system.</w:t>
      </w:r>
      <w:r w:rsidR="00F301F1" w:rsidRPr="00855944">
        <w:br w:type="page"/>
      </w:r>
    </w:p>
    <w:p w14:paraId="53BCC27E"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0B7E30E5" w14:textId="77777777" w:rsidR="001A1ADF" w:rsidRPr="00555AB0"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555AB0">
        <w:t xml:space="preserve">pharmaceutical product, </w:t>
      </w:r>
      <w:r w:rsidR="001A1ADF" w:rsidRPr="00555AB0">
        <w:t xml:space="preserve">radioactive </w:t>
      </w:r>
      <w:proofErr w:type="gramStart"/>
      <w:r w:rsidR="001A1ADF" w:rsidRPr="00555AB0">
        <w:t>tracer</w:t>
      </w:r>
      <w:proofErr w:type="gramEnd"/>
      <w:r w:rsidR="001A1ADF" w:rsidRPr="00555AB0">
        <w:t xml:space="preserve"> or any other type of therape</w:t>
      </w:r>
      <w:r w:rsidR="008127C0" w:rsidRPr="00555AB0">
        <w:t xml:space="preserve">utic good, please </w:t>
      </w:r>
      <w:r w:rsidR="001A1ADF" w:rsidRPr="00555AB0">
        <w:t xml:space="preserve">provide </w:t>
      </w:r>
      <w:r w:rsidR="008127C0" w:rsidRPr="00555AB0">
        <w:t>the following details</w:t>
      </w:r>
      <w:r w:rsidR="001A1ADF" w:rsidRPr="00555AB0">
        <w:t>:</w:t>
      </w:r>
    </w:p>
    <w:p w14:paraId="032681DC" w14:textId="3002348B" w:rsidR="00F64D3A" w:rsidRPr="00082192" w:rsidRDefault="00F64D3A" w:rsidP="00F33F15">
      <w:pPr>
        <w:spacing w:before="0" w:after="0"/>
        <w:ind w:left="284"/>
        <w:rPr>
          <w:szCs w:val="20"/>
        </w:rPr>
      </w:pPr>
      <w:r w:rsidRPr="00082192">
        <w:rPr>
          <w:szCs w:val="20"/>
        </w:rPr>
        <w:t>Type of therape</w:t>
      </w:r>
      <w:r w:rsidR="00F33F15" w:rsidRPr="00082192">
        <w:rPr>
          <w:szCs w:val="20"/>
        </w:rPr>
        <w:t xml:space="preserve">utic good: </w:t>
      </w:r>
      <w:r w:rsidR="0006476C" w:rsidRPr="00082192">
        <w:rPr>
          <w:szCs w:val="20"/>
        </w:rPr>
        <w:t xml:space="preserve">Defibrillator for the </w:t>
      </w:r>
      <w:r w:rsidR="00F33F15" w:rsidRPr="00082192">
        <w:rPr>
          <w:szCs w:val="20"/>
        </w:rPr>
        <w:t xml:space="preserve">EV-ICD </w:t>
      </w:r>
      <w:r w:rsidR="0006476C" w:rsidRPr="00082192">
        <w:rPr>
          <w:szCs w:val="20"/>
        </w:rPr>
        <w:t>system</w:t>
      </w:r>
    </w:p>
    <w:p w14:paraId="77507F07" w14:textId="443566CC" w:rsidR="00F64D3A" w:rsidRPr="00082192" w:rsidRDefault="00F64D3A" w:rsidP="00F64D3A">
      <w:pPr>
        <w:spacing w:before="0" w:after="0"/>
        <w:ind w:left="284"/>
        <w:rPr>
          <w:szCs w:val="20"/>
        </w:rPr>
      </w:pPr>
      <w:r w:rsidRPr="00082192">
        <w:rPr>
          <w:szCs w:val="20"/>
        </w:rPr>
        <w:t xml:space="preserve">Product Name: </w:t>
      </w:r>
      <w:r w:rsidR="00412476" w:rsidRPr="00082192">
        <w:rPr>
          <w:rFonts w:ascii="Avenir Next World" w:hAnsi="Avenir Next World" w:cs="Avenir Next World"/>
          <w:szCs w:val="20"/>
        </w:rPr>
        <w:t xml:space="preserve"> </w:t>
      </w:r>
      <w:r w:rsidR="00412476" w:rsidRPr="00082192">
        <w:rPr>
          <w:szCs w:val="20"/>
        </w:rPr>
        <w:t>Aurora EV-ICD</w:t>
      </w:r>
      <w:r w:rsidR="00412476" w:rsidRPr="00082192">
        <w:rPr>
          <w:szCs w:val="20"/>
          <w:lang w:val="en-US"/>
        </w:rPr>
        <w:t>™</w:t>
      </w:r>
      <w:r w:rsidR="00412476" w:rsidRPr="00082192">
        <w:rPr>
          <w:szCs w:val="20"/>
        </w:rPr>
        <w:t xml:space="preserve"> MRI </w:t>
      </w:r>
      <w:proofErr w:type="spellStart"/>
      <w:r w:rsidR="00412476" w:rsidRPr="00082192">
        <w:rPr>
          <w:szCs w:val="20"/>
        </w:rPr>
        <w:t>SureScan</w:t>
      </w:r>
      <w:proofErr w:type="spellEnd"/>
      <w:r w:rsidR="00412476" w:rsidRPr="00082192">
        <w:rPr>
          <w:szCs w:val="20"/>
          <w:lang w:val="en-US"/>
        </w:rPr>
        <w:t>™</w:t>
      </w:r>
      <w:r w:rsidR="00412476" w:rsidRPr="00082192">
        <w:rPr>
          <w:szCs w:val="20"/>
        </w:rPr>
        <w:t xml:space="preserve"> DVEA3E4</w:t>
      </w:r>
    </w:p>
    <w:p w14:paraId="662632E5" w14:textId="5FA7FCA0" w:rsidR="00F64D3A" w:rsidRPr="00082192" w:rsidRDefault="00F64D3A" w:rsidP="00F64D3A">
      <w:pPr>
        <w:spacing w:before="0" w:after="0"/>
        <w:ind w:left="284"/>
        <w:rPr>
          <w:szCs w:val="20"/>
        </w:rPr>
      </w:pPr>
      <w:r w:rsidRPr="00082192">
        <w:rPr>
          <w:szCs w:val="20"/>
        </w:rPr>
        <w:t xml:space="preserve">Manufacturer’s name: </w:t>
      </w:r>
      <w:r w:rsidR="00403523" w:rsidRPr="00082192">
        <w:rPr>
          <w:szCs w:val="20"/>
        </w:rPr>
        <w:t xml:space="preserve"> Medtronic plc</w:t>
      </w:r>
    </w:p>
    <w:p w14:paraId="627B55A1" w14:textId="77777777" w:rsidR="00F64D3A" w:rsidRPr="00082192" w:rsidRDefault="00F64D3A" w:rsidP="00F64D3A">
      <w:pPr>
        <w:spacing w:before="0" w:after="0"/>
        <w:ind w:left="284"/>
        <w:rPr>
          <w:szCs w:val="20"/>
        </w:rPr>
      </w:pPr>
      <w:r w:rsidRPr="00082192">
        <w:rPr>
          <w:szCs w:val="20"/>
        </w:rPr>
        <w:t>Sponsor’s name: Medtronic Australasia Pty Ltd</w:t>
      </w:r>
    </w:p>
    <w:p w14:paraId="3090E48B" w14:textId="77777777" w:rsidR="00F64D3A" w:rsidRPr="00082192" w:rsidRDefault="00F64D3A" w:rsidP="00F64D3A">
      <w:pPr>
        <w:spacing w:before="0" w:after="0"/>
        <w:ind w:left="284"/>
        <w:rPr>
          <w:szCs w:val="20"/>
        </w:rPr>
      </w:pPr>
    </w:p>
    <w:p w14:paraId="419C8748" w14:textId="3D597F0A" w:rsidR="00F64D3A" w:rsidRPr="00082192" w:rsidRDefault="00F64D3A" w:rsidP="00F64D3A">
      <w:pPr>
        <w:spacing w:before="0" w:after="0"/>
        <w:ind w:left="284"/>
        <w:rPr>
          <w:szCs w:val="20"/>
        </w:rPr>
      </w:pPr>
      <w:r w:rsidRPr="00082192">
        <w:rPr>
          <w:szCs w:val="20"/>
        </w:rPr>
        <w:t xml:space="preserve">Type of therapeutic good: </w:t>
      </w:r>
      <w:r w:rsidR="00F33F15" w:rsidRPr="00082192">
        <w:rPr>
          <w:szCs w:val="20"/>
        </w:rPr>
        <w:t>EV-ICD quadripolar lead with passive fixation</w:t>
      </w:r>
    </w:p>
    <w:p w14:paraId="2CFEA661" w14:textId="0A5FB9A2" w:rsidR="00F64D3A" w:rsidRPr="00082192" w:rsidRDefault="00F64D3A" w:rsidP="00F64D3A">
      <w:pPr>
        <w:spacing w:before="0" w:after="0"/>
        <w:ind w:left="284"/>
        <w:rPr>
          <w:szCs w:val="20"/>
        </w:rPr>
      </w:pPr>
      <w:r w:rsidRPr="00082192">
        <w:rPr>
          <w:szCs w:val="20"/>
        </w:rPr>
        <w:t xml:space="preserve">Product Name: </w:t>
      </w:r>
      <w:r w:rsidR="00795E5A" w:rsidRPr="00082192">
        <w:rPr>
          <w:szCs w:val="20"/>
        </w:rPr>
        <w:t xml:space="preserve"> </w:t>
      </w:r>
      <w:proofErr w:type="spellStart"/>
      <w:r w:rsidR="00F6614D" w:rsidRPr="00082192">
        <w:rPr>
          <w:szCs w:val="20"/>
        </w:rPr>
        <w:t>Epsila</w:t>
      </w:r>
      <w:proofErr w:type="spellEnd"/>
      <w:r w:rsidR="00F6614D" w:rsidRPr="00082192">
        <w:rPr>
          <w:szCs w:val="20"/>
        </w:rPr>
        <w:t xml:space="preserve"> EV</w:t>
      </w:r>
      <w:r w:rsidR="00F6614D" w:rsidRPr="00082192">
        <w:rPr>
          <w:szCs w:val="20"/>
          <w:lang w:val="en-US"/>
        </w:rPr>
        <w:t>™</w:t>
      </w:r>
      <w:r w:rsidR="00F6614D" w:rsidRPr="00082192">
        <w:rPr>
          <w:szCs w:val="20"/>
        </w:rPr>
        <w:t xml:space="preserve"> MRI </w:t>
      </w:r>
      <w:proofErr w:type="spellStart"/>
      <w:r w:rsidR="00F6614D" w:rsidRPr="00082192">
        <w:rPr>
          <w:szCs w:val="20"/>
        </w:rPr>
        <w:t>SureScan</w:t>
      </w:r>
      <w:proofErr w:type="spellEnd"/>
      <w:r w:rsidR="00F6614D" w:rsidRPr="00082192">
        <w:rPr>
          <w:szCs w:val="20"/>
          <w:lang w:val="en-US"/>
        </w:rPr>
        <w:t>™</w:t>
      </w:r>
      <w:r w:rsidR="00F6614D" w:rsidRPr="00082192">
        <w:rPr>
          <w:szCs w:val="20"/>
        </w:rPr>
        <w:t xml:space="preserve"> EV2401</w:t>
      </w:r>
    </w:p>
    <w:p w14:paraId="4041AD2E" w14:textId="71E72D8A" w:rsidR="00F64D3A" w:rsidRPr="00082192" w:rsidRDefault="00F64D3A" w:rsidP="00F64D3A">
      <w:pPr>
        <w:spacing w:before="0" w:after="0"/>
        <w:ind w:left="284"/>
        <w:rPr>
          <w:szCs w:val="20"/>
        </w:rPr>
      </w:pPr>
      <w:r w:rsidRPr="00082192">
        <w:rPr>
          <w:szCs w:val="20"/>
        </w:rPr>
        <w:t xml:space="preserve">Manufacturer’s name: </w:t>
      </w:r>
      <w:r w:rsidR="00403523" w:rsidRPr="00082192">
        <w:rPr>
          <w:szCs w:val="20"/>
        </w:rPr>
        <w:t xml:space="preserve"> Medtronic plc</w:t>
      </w:r>
    </w:p>
    <w:p w14:paraId="329DA4AA" w14:textId="1B807833" w:rsidR="00F64D3A" w:rsidRPr="00555AB0" w:rsidRDefault="00F64D3A" w:rsidP="00F64D3A">
      <w:pPr>
        <w:spacing w:before="0" w:after="0"/>
        <w:ind w:left="284"/>
      </w:pPr>
      <w:r w:rsidRPr="00082192">
        <w:rPr>
          <w:szCs w:val="20"/>
        </w:rPr>
        <w:t xml:space="preserve">Sponsor’s name: </w:t>
      </w:r>
      <w:r w:rsidR="00F33F15" w:rsidRPr="00082192">
        <w:rPr>
          <w:szCs w:val="20"/>
        </w:rPr>
        <w:t>Medtronic Australasia Pty Ltd</w:t>
      </w:r>
    </w:p>
    <w:p w14:paraId="64C2D743" w14:textId="77777777" w:rsidR="005E2CE3" w:rsidRPr="00555AB0" w:rsidRDefault="005E2CE3" w:rsidP="0011369B">
      <w:pPr>
        <w:pStyle w:val="Heading2"/>
        <w:numPr>
          <w:ilvl w:val="0"/>
          <w:numId w:val="27"/>
        </w:numPr>
      </w:pPr>
      <w:r w:rsidRPr="00555AB0">
        <w:t>Is the medical device classified by the TGA as either a Class III or Active Implantable Medical Device (AIMD) against the TGA regulatory scheme for devices?</w:t>
      </w:r>
    </w:p>
    <w:p w14:paraId="21C90673" w14:textId="0D7990B5" w:rsidR="00615F42" w:rsidRPr="00555AB0" w:rsidRDefault="00555AB0" w:rsidP="00E50F47">
      <w:pPr>
        <w:spacing w:before="0" w:after="0"/>
        <w:ind w:left="360"/>
        <w:rPr>
          <w:szCs w:val="20"/>
        </w:rPr>
      </w:pPr>
      <w:r w:rsidRPr="00555AB0">
        <w:rPr>
          <w:szCs w:val="20"/>
        </w:rPr>
        <w:fldChar w:fldCharType="begin">
          <w:ffData>
            <w:name w:val="Check1"/>
            <w:enabled/>
            <w:calcOnExit w:val="0"/>
            <w:checkBox>
              <w:sizeAuto/>
              <w:default w:val="1"/>
            </w:checkBox>
          </w:ffData>
        </w:fldChar>
      </w:r>
      <w:r w:rsidRPr="00555AB0">
        <w:rPr>
          <w:szCs w:val="20"/>
        </w:rPr>
        <w:instrText xml:space="preserve"> FORMCHECKBOX </w:instrText>
      </w:r>
      <w:r w:rsidR="00082192">
        <w:rPr>
          <w:szCs w:val="20"/>
        </w:rPr>
      </w:r>
      <w:r w:rsidR="00082192">
        <w:rPr>
          <w:szCs w:val="20"/>
        </w:rPr>
        <w:fldChar w:fldCharType="separate"/>
      </w:r>
      <w:r w:rsidRPr="00555AB0">
        <w:rPr>
          <w:szCs w:val="20"/>
        </w:rPr>
        <w:fldChar w:fldCharType="end"/>
      </w:r>
      <w:r w:rsidR="00615F42" w:rsidRPr="00555AB0">
        <w:rPr>
          <w:szCs w:val="20"/>
        </w:rPr>
        <w:t xml:space="preserve"> Class III</w:t>
      </w:r>
      <w:r w:rsidRPr="00555AB0">
        <w:rPr>
          <w:szCs w:val="20"/>
        </w:rPr>
        <w:t xml:space="preserve"> (lead and battery)</w:t>
      </w:r>
    </w:p>
    <w:p w14:paraId="38092CD7" w14:textId="77777777" w:rsidR="00615F42" w:rsidRPr="00555AB0" w:rsidRDefault="00615F42" w:rsidP="00E50F47">
      <w:pPr>
        <w:spacing w:before="0" w:after="0"/>
        <w:ind w:left="360"/>
        <w:rPr>
          <w:szCs w:val="20"/>
        </w:rPr>
      </w:pPr>
      <w:r w:rsidRPr="00555AB0">
        <w:rPr>
          <w:szCs w:val="20"/>
        </w:rPr>
        <w:fldChar w:fldCharType="begin">
          <w:ffData>
            <w:name w:val="Check1"/>
            <w:enabled/>
            <w:calcOnExit w:val="0"/>
            <w:checkBox>
              <w:sizeAuto/>
              <w:default w:val="0"/>
            </w:checkBox>
          </w:ffData>
        </w:fldChar>
      </w:r>
      <w:r w:rsidRPr="00555AB0">
        <w:rPr>
          <w:szCs w:val="20"/>
        </w:rPr>
        <w:instrText xml:space="preserve"> FORMCHECKBOX </w:instrText>
      </w:r>
      <w:r w:rsidR="00082192">
        <w:rPr>
          <w:szCs w:val="20"/>
        </w:rPr>
      </w:r>
      <w:r w:rsidR="00082192">
        <w:rPr>
          <w:szCs w:val="20"/>
        </w:rPr>
        <w:fldChar w:fldCharType="separate"/>
      </w:r>
      <w:r w:rsidRPr="00555AB0">
        <w:rPr>
          <w:szCs w:val="20"/>
        </w:rPr>
        <w:fldChar w:fldCharType="end"/>
      </w:r>
      <w:r w:rsidRPr="00555AB0">
        <w:rPr>
          <w:szCs w:val="20"/>
        </w:rPr>
        <w:t xml:space="preserve"> AIMD</w:t>
      </w:r>
    </w:p>
    <w:p w14:paraId="5309FD62" w14:textId="77777777" w:rsidR="005E2CE3" w:rsidRPr="00555AB0" w:rsidRDefault="00615F42" w:rsidP="00E50F47">
      <w:pPr>
        <w:spacing w:before="0" w:after="0"/>
        <w:ind w:left="360"/>
        <w:rPr>
          <w:szCs w:val="20"/>
        </w:rPr>
      </w:pPr>
      <w:r w:rsidRPr="00555AB0">
        <w:rPr>
          <w:szCs w:val="20"/>
        </w:rPr>
        <w:fldChar w:fldCharType="begin">
          <w:ffData>
            <w:name w:val="Check1"/>
            <w:enabled/>
            <w:calcOnExit w:val="0"/>
            <w:checkBox>
              <w:sizeAuto/>
              <w:default w:val="0"/>
            </w:checkBox>
          </w:ffData>
        </w:fldChar>
      </w:r>
      <w:r w:rsidRPr="00555AB0">
        <w:rPr>
          <w:szCs w:val="20"/>
        </w:rPr>
        <w:instrText xml:space="preserve"> FORMCHECKBOX </w:instrText>
      </w:r>
      <w:r w:rsidR="00082192">
        <w:rPr>
          <w:szCs w:val="20"/>
        </w:rPr>
      </w:r>
      <w:r w:rsidR="00082192">
        <w:rPr>
          <w:szCs w:val="20"/>
        </w:rPr>
        <w:fldChar w:fldCharType="separate"/>
      </w:r>
      <w:r w:rsidRPr="00555AB0">
        <w:rPr>
          <w:szCs w:val="20"/>
        </w:rPr>
        <w:fldChar w:fldCharType="end"/>
      </w:r>
      <w:r w:rsidRPr="00555AB0">
        <w:rPr>
          <w:szCs w:val="20"/>
        </w:rPr>
        <w:t xml:space="preserve"> N/A</w:t>
      </w:r>
    </w:p>
    <w:p w14:paraId="414A8B2B" w14:textId="77777777" w:rsidR="003421AE" w:rsidRPr="0006476C" w:rsidRDefault="0011369B" w:rsidP="00530204">
      <w:pPr>
        <w:pStyle w:val="Heading2"/>
      </w:pPr>
      <w:r w:rsidRPr="00555AB0">
        <w:t xml:space="preserve">(a) </w:t>
      </w:r>
      <w:r w:rsidR="003421AE" w:rsidRPr="00555AB0">
        <w:t>Is the therapeutic</w:t>
      </w:r>
      <w:r w:rsidR="003421AE" w:rsidRPr="0006476C">
        <w:t xml:space="preserve"> good to be used in the service exempt from the regulatory requirements of the </w:t>
      </w:r>
      <w:r w:rsidR="003421AE" w:rsidRPr="0006476C">
        <w:rPr>
          <w:i/>
        </w:rPr>
        <w:t>Therapeutic Goods Act 1989</w:t>
      </w:r>
      <w:r w:rsidR="003421AE" w:rsidRPr="0006476C">
        <w:t>?</w:t>
      </w:r>
    </w:p>
    <w:p w14:paraId="63C9C00B" w14:textId="77777777" w:rsidR="00615F42" w:rsidRPr="0006476C" w:rsidRDefault="00615F42" w:rsidP="00E50F47">
      <w:pPr>
        <w:spacing w:before="0" w:after="0"/>
        <w:ind w:left="360"/>
        <w:rPr>
          <w:szCs w:val="20"/>
        </w:rPr>
      </w:pPr>
      <w:r w:rsidRPr="0006476C">
        <w:rPr>
          <w:szCs w:val="20"/>
        </w:rPr>
        <w:fldChar w:fldCharType="begin">
          <w:ffData>
            <w:name w:val="Check1"/>
            <w:enabled/>
            <w:calcOnExit w:val="0"/>
            <w:checkBox>
              <w:sizeAuto/>
              <w:default w:val="0"/>
            </w:checkBox>
          </w:ffData>
        </w:fldChar>
      </w:r>
      <w:r w:rsidRPr="0006476C">
        <w:rPr>
          <w:szCs w:val="20"/>
        </w:rPr>
        <w:instrText xml:space="preserve"> FORMCHECKBOX </w:instrText>
      </w:r>
      <w:r w:rsidR="00082192">
        <w:rPr>
          <w:szCs w:val="20"/>
        </w:rPr>
      </w:r>
      <w:r w:rsidR="00082192">
        <w:rPr>
          <w:szCs w:val="20"/>
        </w:rPr>
        <w:fldChar w:fldCharType="separate"/>
      </w:r>
      <w:r w:rsidRPr="0006476C">
        <w:rPr>
          <w:szCs w:val="20"/>
        </w:rPr>
        <w:fldChar w:fldCharType="end"/>
      </w:r>
      <w:r w:rsidRPr="0006476C">
        <w:rPr>
          <w:szCs w:val="20"/>
        </w:rPr>
        <w:t xml:space="preserve"> Yes (If yes, please provide supporting documentation as an attachment to this application form)</w:t>
      </w:r>
    </w:p>
    <w:p w14:paraId="4DD95484" w14:textId="77777777" w:rsidR="003421AE" w:rsidRPr="0006476C" w:rsidRDefault="00CA1E35" w:rsidP="00E50F47">
      <w:pPr>
        <w:spacing w:before="0" w:after="0"/>
        <w:ind w:left="360"/>
        <w:rPr>
          <w:b/>
          <w:szCs w:val="20"/>
        </w:rPr>
      </w:pPr>
      <w:r w:rsidRPr="0006476C">
        <w:rPr>
          <w:szCs w:val="20"/>
        </w:rPr>
        <w:fldChar w:fldCharType="begin">
          <w:ffData>
            <w:name w:val="Check1"/>
            <w:enabled/>
            <w:calcOnExit w:val="0"/>
            <w:checkBox>
              <w:sizeAuto/>
              <w:default w:val="1"/>
            </w:checkBox>
          </w:ffData>
        </w:fldChar>
      </w:r>
      <w:bookmarkStart w:id="1" w:name="Check1"/>
      <w:r w:rsidRPr="0006476C">
        <w:rPr>
          <w:szCs w:val="20"/>
        </w:rPr>
        <w:instrText xml:space="preserve"> FORMCHECKBOX </w:instrText>
      </w:r>
      <w:r w:rsidR="00082192">
        <w:rPr>
          <w:szCs w:val="20"/>
        </w:rPr>
      </w:r>
      <w:r w:rsidR="00082192">
        <w:rPr>
          <w:szCs w:val="20"/>
        </w:rPr>
        <w:fldChar w:fldCharType="separate"/>
      </w:r>
      <w:r w:rsidRPr="0006476C">
        <w:rPr>
          <w:szCs w:val="20"/>
        </w:rPr>
        <w:fldChar w:fldCharType="end"/>
      </w:r>
      <w:bookmarkEnd w:id="1"/>
      <w:r w:rsidR="00615F42" w:rsidRPr="0006476C">
        <w:rPr>
          <w:szCs w:val="20"/>
        </w:rPr>
        <w:t xml:space="preserve"> No</w:t>
      </w:r>
    </w:p>
    <w:p w14:paraId="258C22B9" w14:textId="77777777" w:rsidR="00D85676" w:rsidRPr="0006476C" w:rsidRDefault="00D85676" w:rsidP="0011369B">
      <w:pPr>
        <w:pStyle w:val="Heading2"/>
        <w:numPr>
          <w:ilvl w:val="0"/>
          <w:numId w:val="28"/>
        </w:numPr>
      </w:pPr>
      <w:r w:rsidRPr="0006476C">
        <w:t>If no, has it been listed or registered or included in the Australian Register of Therapeutic Goods (ARTG) by the Therapeutic Goods Administration (TGA)</w:t>
      </w:r>
      <w:r w:rsidR="00403333" w:rsidRPr="0006476C">
        <w:t>?</w:t>
      </w:r>
    </w:p>
    <w:p w14:paraId="0C1CD3B9" w14:textId="77777777" w:rsidR="0043654D" w:rsidRPr="0006476C" w:rsidRDefault="0043654D" w:rsidP="00E50F47">
      <w:pPr>
        <w:spacing w:before="0" w:after="0"/>
        <w:ind w:left="360"/>
        <w:rPr>
          <w:szCs w:val="20"/>
        </w:rPr>
      </w:pPr>
      <w:r w:rsidRPr="0006476C">
        <w:rPr>
          <w:szCs w:val="20"/>
        </w:rPr>
        <w:fldChar w:fldCharType="begin">
          <w:ffData>
            <w:name w:val="Check1"/>
            <w:enabled/>
            <w:calcOnExit w:val="0"/>
            <w:checkBox>
              <w:sizeAuto/>
              <w:default w:val="0"/>
            </w:checkBox>
          </w:ffData>
        </w:fldChar>
      </w:r>
      <w:r w:rsidRPr="0006476C">
        <w:rPr>
          <w:szCs w:val="20"/>
        </w:rPr>
        <w:instrText xml:space="preserve"> FORMCHECKBOX </w:instrText>
      </w:r>
      <w:r w:rsidR="00082192">
        <w:rPr>
          <w:szCs w:val="20"/>
        </w:rPr>
      </w:r>
      <w:r w:rsidR="00082192">
        <w:rPr>
          <w:szCs w:val="20"/>
        </w:rPr>
        <w:fldChar w:fldCharType="separate"/>
      </w:r>
      <w:r w:rsidRPr="0006476C">
        <w:rPr>
          <w:szCs w:val="20"/>
        </w:rPr>
        <w:fldChar w:fldCharType="end"/>
      </w:r>
      <w:r w:rsidRPr="0006476C">
        <w:rPr>
          <w:szCs w:val="20"/>
        </w:rPr>
        <w:t xml:space="preserve"> Yes (if yes, please provide details below)</w:t>
      </w:r>
    </w:p>
    <w:p w14:paraId="48F322BE" w14:textId="77777777" w:rsidR="0043654D" w:rsidRPr="0006476C" w:rsidRDefault="00CA1E35" w:rsidP="00E50F47">
      <w:pPr>
        <w:spacing w:before="0" w:after="0"/>
        <w:ind w:left="360"/>
        <w:rPr>
          <w:szCs w:val="20"/>
        </w:rPr>
      </w:pPr>
      <w:r w:rsidRPr="0006476C">
        <w:rPr>
          <w:szCs w:val="20"/>
        </w:rPr>
        <w:fldChar w:fldCharType="begin">
          <w:ffData>
            <w:name w:val="Check1"/>
            <w:enabled/>
            <w:calcOnExit w:val="0"/>
            <w:checkBox>
              <w:sizeAuto/>
              <w:default w:val="1"/>
            </w:checkBox>
          </w:ffData>
        </w:fldChar>
      </w:r>
      <w:r w:rsidRPr="0006476C">
        <w:rPr>
          <w:szCs w:val="20"/>
        </w:rPr>
        <w:instrText xml:space="preserve"> FORMCHECKBOX </w:instrText>
      </w:r>
      <w:r w:rsidR="00082192">
        <w:rPr>
          <w:szCs w:val="20"/>
        </w:rPr>
      </w:r>
      <w:r w:rsidR="00082192">
        <w:rPr>
          <w:szCs w:val="20"/>
        </w:rPr>
        <w:fldChar w:fldCharType="separate"/>
      </w:r>
      <w:r w:rsidRPr="0006476C">
        <w:rPr>
          <w:szCs w:val="20"/>
        </w:rPr>
        <w:fldChar w:fldCharType="end"/>
      </w:r>
      <w:r w:rsidR="0043654D" w:rsidRPr="0006476C">
        <w:rPr>
          <w:szCs w:val="20"/>
        </w:rPr>
        <w:t xml:space="preserve"> No</w:t>
      </w:r>
    </w:p>
    <w:p w14:paraId="11163A37" w14:textId="77777777" w:rsidR="00C0796F" w:rsidRPr="0006476C" w:rsidRDefault="00C0796F" w:rsidP="00530204">
      <w:pPr>
        <w:pStyle w:val="Heading2"/>
      </w:pPr>
      <w:r w:rsidRPr="0006476C">
        <w:t xml:space="preserve">If the therapeutic good has not been listed, </w:t>
      </w:r>
      <w:proofErr w:type="gramStart"/>
      <w:r w:rsidRPr="0006476C">
        <w:t>registered</w:t>
      </w:r>
      <w:proofErr w:type="gramEnd"/>
      <w:r w:rsidRPr="0006476C">
        <w:t xml:space="preserve"> or included in the ARTG, is the therapeutic good in the process of being considered for inclusion by the TGA?</w:t>
      </w:r>
    </w:p>
    <w:p w14:paraId="2949C85C" w14:textId="77777777" w:rsidR="00555AB0" w:rsidRPr="0006476C" w:rsidRDefault="00555AB0" w:rsidP="00E50F47">
      <w:pPr>
        <w:spacing w:before="0" w:after="0"/>
        <w:ind w:left="360"/>
        <w:rPr>
          <w:szCs w:val="20"/>
        </w:rPr>
      </w:pPr>
      <w:r w:rsidRPr="0006476C">
        <w:rPr>
          <w:szCs w:val="20"/>
        </w:rPr>
        <w:fldChar w:fldCharType="begin">
          <w:ffData>
            <w:name w:val="Check1"/>
            <w:enabled/>
            <w:calcOnExit w:val="0"/>
            <w:checkBox>
              <w:sizeAuto/>
              <w:default w:val="0"/>
            </w:checkBox>
          </w:ffData>
        </w:fldChar>
      </w:r>
      <w:r w:rsidRPr="0006476C">
        <w:rPr>
          <w:szCs w:val="20"/>
        </w:rPr>
        <w:instrText xml:space="preserve"> FORMCHECKBOX </w:instrText>
      </w:r>
      <w:r w:rsidR="00082192">
        <w:rPr>
          <w:szCs w:val="20"/>
        </w:rPr>
      </w:r>
      <w:r w:rsidR="00082192">
        <w:rPr>
          <w:szCs w:val="20"/>
        </w:rPr>
        <w:fldChar w:fldCharType="separate"/>
      </w:r>
      <w:r w:rsidRPr="0006476C">
        <w:rPr>
          <w:szCs w:val="20"/>
        </w:rPr>
        <w:fldChar w:fldCharType="end"/>
      </w:r>
      <w:r w:rsidRPr="0006476C">
        <w:rPr>
          <w:szCs w:val="20"/>
        </w:rPr>
        <w:t xml:space="preserve"> Yes (if yes, please provide details below)</w:t>
      </w:r>
    </w:p>
    <w:p w14:paraId="114D3ADA" w14:textId="3B9ECB2B" w:rsidR="0047581D" w:rsidRPr="00D505BE" w:rsidRDefault="00555AB0" w:rsidP="00D505BE">
      <w:pPr>
        <w:spacing w:before="0" w:after="0"/>
        <w:ind w:left="360"/>
        <w:rPr>
          <w:szCs w:val="20"/>
        </w:rPr>
      </w:pPr>
      <w:r w:rsidRPr="0006476C">
        <w:rPr>
          <w:szCs w:val="20"/>
        </w:rPr>
        <w:fldChar w:fldCharType="begin">
          <w:ffData>
            <w:name w:val="Check1"/>
            <w:enabled/>
            <w:calcOnExit w:val="0"/>
            <w:checkBox>
              <w:sizeAuto/>
              <w:default w:val="1"/>
            </w:checkBox>
          </w:ffData>
        </w:fldChar>
      </w:r>
      <w:r w:rsidRPr="0006476C">
        <w:rPr>
          <w:szCs w:val="20"/>
        </w:rPr>
        <w:instrText xml:space="preserve"> FORMCHECKBOX </w:instrText>
      </w:r>
      <w:r w:rsidR="00082192">
        <w:rPr>
          <w:szCs w:val="20"/>
        </w:rPr>
      </w:r>
      <w:r w:rsidR="00082192">
        <w:rPr>
          <w:szCs w:val="20"/>
        </w:rPr>
        <w:fldChar w:fldCharType="separate"/>
      </w:r>
      <w:r w:rsidRPr="0006476C">
        <w:rPr>
          <w:szCs w:val="20"/>
        </w:rPr>
        <w:fldChar w:fldCharType="end"/>
      </w:r>
      <w:r w:rsidRPr="0006476C">
        <w:rPr>
          <w:szCs w:val="20"/>
        </w:rPr>
        <w:t xml:space="preserve"> No</w:t>
      </w:r>
    </w:p>
    <w:p w14:paraId="2E8BC336" w14:textId="77777777" w:rsidR="00C0796F" w:rsidRPr="00555AB0" w:rsidRDefault="000A110D" w:rsidP="00530204">
      <w:pPr>
        <w:pStyle w:val="Heading2"/>
      </w:pPr>
      <w:r w:rsidRPr="00555AB0">
        <w:t>I</w:t>
      </w:r>
      <w:r w:rsidR="00C0796F" w:rsidRPr="00555AB0">
        <w:t xml:space="preserve">f the therapeutic good </w:t>
      </w:r>
      <w:r w:rsidR="00F83A9D" w:rsidRPr="00555AB0">
        <w:t>is not in the process of being considered for listing</w:t>
      </w:r>
      <w:r w:rsidR="00C0796F" w:rsidRPr="00555AB0">
        <w:t xml:space="preserve">, </w:t>
      </w:r>
      <w:proofErr w:type="gramStart"/>
      <w:r w:rsidR="00F83A9D" w:rsidRPr="00555AB0">
        <w:t>registration</w:t>
      </w:r>
      <w:proofErr w:type="gramEnd"/>
      <w:r w:rsidR="00F83A9D" w:rsidRPr="00555AB0">
        <w:t xml:space="preserve"> </w:t>
      </w:r>
      <w:r w:rsidR="00C0796F" w:rsidRPr="00555AB0">
        <w:t xml:space="preserve">or </w:t>
      </w:r>
      <w:r w:rsidR="00F83A9D" w:rsidRPr="00555AB0">
        <w:t>inclusion by the TGA, is an application to the TGA being prepared?</w:t>
      </w:r>
    </w:p>
    <w:p w14:paraId="42CCB054" w14:textId="132BBA29" w:rsidR="000A110D" w:rsidRPr="00555AB0" w:rsidRDefault="00555AB0" w:rsidP="00E50F47">
      <w:pPr>
        <w:spacing w:before="0" w:after="0"/>
        <w:ind w:left="360"/>
        <w:rPr>
          <w:szCs w:val="20"/>
        </w:rPr>
      </w:pPr>
      <w:r w:rsidRPr="00555AB0">
        <w:rPr>
          <w:szCs w:val="20"/>
        </w:rPr>
        <w:fldChar w:fldCharType="begin">
          <w:ffData>
            <w:name w:val="Check1"/>
            <w:enabled/>
            <w:calcOnExit w:val="0"/>
            <w:checkBox>
              <w:sizeAuto/>
              <w:default w:val="1"/>
            </w:checkBox>
          </w:ffData>
        </w:fldChar>
      </w:r>
      <w:r w:rsidRPr="00555AB0">
        <w:rPr>
          <w:szCs w:val="20"/>
        </w:rPr>
        <w:instrText xml:space="preserve"> FORMCHECKBOX </w:instrText>
      </w:r>
      <w:r w:rsidR="00082192">
        <w:rPr>
          <w:szCs w:val="20"/>
        </w:rPr>
      </w:r>
      <w:r w:rsidR="00082192">
        <w:rPr>
          <w:szCs w:val="20"/>
        </w:rPr>
        <w:fldChar w:fldCharType="separate"/>
      </w:r>
      <w:r w:rsidRPr="00555AB0">
        <w:rPr>
          <w:szCs w:val="20"/>
        </w:rPr>
        <w:fldChar w:fldCharType="end"/>
      </w:r>
      <w:r w:rsidR="000A110D" w:rsidRPr="00555AB0">
        <w:rPr>
          <w:szCs w:val="20"/>
        </w:rPr>
        <w:t xml:space="preserve"> Yes (please provide details below)</w:t>
      </w:r>
    </w:p>
    <w:p w14:paraId="41956BD2" w14:textId="77777777" w:rsidR="000A110D" w:rsidRPr="00555AB0" w:rsidRDefault="000A110D" w:rsidP="00E50F47">
      <w:pPr>
        <w:spacing w:before="0" w:after="0"/>
        <w:ind w:left="360"/>
        <w:rPr>
          <w:szCs w:val="20"/>
        </w:rPr>
      </w:pPr>
      <w:r w:rsidRPr="00555AB0">
        <w:rPr>
          <w:szCs w:val="20"/>
        </w:rPr>
        <w:fldChar w:fldCharType="begin">
          <w:ffData>
            <w:name w:val="Check1"/>
            <w:enabled/>
            <w:calcOnExit w:val="0"/>
            <w:checkBox>
              <w:sizeAuto/>
              <w:default w:val="0"/>
            </w:checkBox>
          </w:ffData>
        </w:fldChar>
      </w:r>
      <w:r w:rsidRPr="00555AB0">
        <w:rPr>
          <w:szCs w:val="20"/>
        </w:rPr>
        <w:instrText xml:space="preserve"> FORMCHECKBOX </w:instrText>
      </w:r>
      <w:r w:rsidR="00082192">
        <w:rPr>
          <w:szCs w:val="20"/>
        </w:rPr>
      </w:r>
      <w:r w:rsidR="00082192">
        <w:rPr>
          <w:szCs w:val="20"/>
        </w:rPr>
        <w:fldChar w:fldCharType="separate"/>
      </w:r>
      <w:r w:rsidRPr="00555AB0">
        <w:rPr>
          <w:szCs w:val="20"/>
        </w:rPr>
        <w:fldChar w:fldCharType="end"/>
      </w:r>
      <w:r w:rsidRPr="00555AB0">
        <w:rPr>
          <w:szCs w:val="20"/>
        </w:rPr>
        <w:t xml:space="preserve"> No</w:t>
      </w:r>
    </w:p>
    <w:p w14:paraId="1C5620F2" w14:textId="77777777" w:rsidR="000A110D" w:rsidRPr="00555AB0" w:rsidRDefault="000A110D" w:rsidP="00971EDB">
      <w:pPr>
        <w:spacing w:before="0" w:after="0"/>
        <w:rPr>
          <w:szCs w:val="20"/>
        </w:rPr>
      </w:pPr>
    </w:p>
    <w:p w14:paraId="2F3AAC99" w14:textId="580DF84D" w:rsidR="00971EDB" w:rsidRPr="00555AB0" w:rsidRDefault="00971EDB" w:rsidP="00E50F47">
      <w:pPr>
        <w:spacing w:before="0" w:after="0"/>
        <w:ind w:left="360"/>
        <w:rPr>
          <w:szCs w:val="20"/>
        </w:rPr>
      </w:pPr>
      <w:r w:rsidRPr="00555AB0">
        <w:rPr>
          <w:szCs w:val="20"/>
        </w:rPr>
        <w:t xml:space="preserve">Estimated date of </w:t>
      </w:r>
      <w:r w:rsidRPr="00090A42">
        <w:rPr>
          <w:szCs w:val="20"/>
        </w:rPr>
        <w:t xml:space="preserve">submission to TGA: </w:t>
      </w:r>
      <w:r w:rsidR="00090A42" w:rsidRPr="00090A42">
        <w:rPr>
          <w:b/>
          <w:bCs/>
          <w:szCs w:val="20"/>
        </w:rPr>
        <w:t>REDACTED</w:t>
      </w:r>
    </w:p>
    <w:p w14:paraId="305FB976" w14:textId="12B7A2C2" w:rsidR="00F10F60" w:rsidRPr="00082192" w:rsidRDefault="00971EDB" w:rsidP="00E50F47">
      <w:pPr>
        <w:spacing w:before="0" w:after="0"/>
        <w:ind w:left="360"/>
        <w:rPr>
          <w:rFonts w:ascii="Arial" w:hAnsi="Arial" w:cs="Arial"/>
          <w:szCs w:val="20"/>
          <w:shd w:val="clear" w:color="auto" w:fill="FAF9F8"/>
        </w:rPr>
      </w:pPr>
      <w:r w:rsidRPr="00082192">
        <w:rPr>
          <w:szCs w:val="20"/>
        </w:rPr>
        <w:t xml:space="preserve">Proposed indication(s), if applicable:  </w:t>
      </w:r>
      <w:r w:rsidR="00FE245A" w:rsidRPr="00082192">
        <w:rPr>
          <w:rFonts w:ascii="Arial" w:hAnsi="Arial" w:cs="Arial"/>
          <w:szCs w:val="20"/>
          <w:shd w:val="clear" w:color="auto" w:fill="FAF9F8"/>
        </w:rPr>
        <w:t xml:space="preserve"> </w:t>
      </w:r>
    </w:p>
    <w:p w14:paraId="0A8F45E4" w14:textId="00149333" w:rsidR="00FE245A" w:rsidRPr="00082192" w:rsidRDefault="00FE245A" w:rsidP="00F10F60">
      <w:pPr>
        <w:pStyle w:val="ListParagraph"/>
        <w:numPr>
          <w:ilvl w:val="0"/>
          <w:numId w:val="40"/>
        </w:numPr>
        <w:spacing w:before="0" w:after="0"/>
      </w:pPr>
      <w:r w:rsidRPr="00082192">
        <w:t xml:space="preserve">The Aurora EV-ICD MRI </w:t>
      </w:r>
      <w:proofErr w:type="spellStart"/>
      <w:r w:rsidRPr="00082192">
        <w:t>SureScan</w:t>
      </w:r>
      <w:proofErr w:type="spellEnd"/>
      <w:r w:rsidRPr="00082192">
        <w:t xml:space="preserve"> Model DVEA3E4 device is indicated for the automated treatment of patients who have experienced, or are at significant risk of developing, life-threatening ventricular tachyarrhythmias through the delivery of </w:t>
      </w:r>
      <w:proofErr w:type="spellStart"/>
      <w:r w:rsidRPr="00082192">
        <w:t>antitachycardia</w:t>
      </w:r>
      <w:proofErr w:type="spellEnd"/>
      <w:r w:rsidRPr="00082192">
        <w:t xml:space="preserve"> pacing, cardioversion, and defibrillation therapies. </w:t>
      </w:r>
    </w:p>
    <w:p w14:paraId="3578F9B8" w14:textId="77777777" w:rsidR="00FE245A" w:rsidRPr="00082192" w:rsidRDefault="00FE245A" w:rsidP="00F10F60">
      <w:pPr>
        <w:pStyle w:val="ListParagraph"/>
        <w:numPr>
          <w:ilvl w:val="0"/>
          <w:numId w:val="40"/>
        </w:numPr>
        <w:spacing w:before="0" w:after="0"/>
      </w:pPr>
      <w:r w:rsidRPr="00082192">
        <w:t xml:space="preserve">The </w:t>
      </w:r>
      <w:proofErr w:type="spellStart"/>
      <w:r w:rsidRPr="00082192">
        <w:t>Epsila</w:t>
      </w:r>
      <w:proofErr w:type="spellEnd"/>
      <w:r w:rsidRPr="00082192">
        <w:t xml:space="preserve"> EV MRI </w:t>
      </w:r>
      <w:proofErr w:type="spellStart"/>
      <w:r w:rsidRPr="00082192">
        <w:t>SureScan</w:t>
      </w:r>
      <w:proofErr w:type="spellEnd"/>
      <w:r w:rsidRPr="00082192">
        <w:t xml:space="preserve"> Model EV2401 extravascular lead is intended for use in the anterior mediastinum for cardioversion and defibrillation when an extravascular implantable cardioverter defibrillator is indicated.</w:t>
      </w:r>
      <w:r w:rsidRPr="00082192" w:rsidDel="002175E8">
        <w:t xml:space="preserve"> </w:t>
      </w:r>
    </w:p>
    <w:p w14:paraId="78FC2466" w14:textId="7D10E307" w:rsidR="00971EDB" w:rsidRPr="00555AB0" w:rsidRDefault="00971EDB" w:rsidP="00971EDB">
      <w:pPr>
        <w:spacing w:before="0" w:after="0"/>
        <w:rPr>
          <w:szCs w:val="20"/>
        </w:rPr>
      </w:pPr>
    </w:p>
    <w:p w14:paraId="4BD564CF" w14:textId="77777777" w:rsidR="00D505BE" w:rsidRDefault="00D505BE">
      <w:pPr>
        <w:spacing w:before="0" w:after="200" w:line="276" w:lineRule="auto"/>
        <w:rPr>
          <w:szCs w:val="20"/>
        </w:rPr>
      </w:pPr>
      <w:r>
        <w:rPr>
          <w:szCs w:val="20"/>
        </w:rPr>
        <w:br w:type="page"/>
      </w:r>
    </w:p>
    <w:p w14:paraId="428E6568" w14:textId="55E4F69A" w:rsidR="00F10F60" w:rsidRPr="00082192" w:rsidRDefault="00971EDB" w:rsidP="00F10F60">
      <w:pPr>
        <w:spacing w:before="0" w:after="0"/>
        <w:rPr>
          <w:rFonts w:ascii="Arial" w:hAnsi="Arial" w:cs="Arial"/>
          <w:szCs w:val="20"/>
          <w:shd w:val="clear" w:color="auto" w:fill="FAF9F8"/>
        </w:rPr>
      </w:pPr>
      <w:r w:rsidRPr="00082192">
        <w:rPr>
          <w:szCs w:val="20"/>
        </w:rPr>
        <w:lastRenderedPageBreak/>
        <w:t xml:space="preserve">Proposed purpose(s), if applicable:  </w:t>
      </w:r>
      <w:r w:rsidR="00F10F60" w:rsidRPr="00082192">
        <w:rPr>
          <w:rFonts w:ascii="Arial" w:hAnsi="Arial" w:cs="Arial"/>
          <w:szCs w:val="20"/>
          <w:shd w:val="clear" w:color="auto" w:fill="FAF9F8"/>
        </w:rPr>
        <w:t xml:space="preserve"> </w:t>
      </w:r>
    </w:p>
    <w:p w14:paraId="2A2E84AA" w14:textId="4EEFD014" w:rsidR="00F10F60" w:rsidRPr="00082192" w:rsidRDefault="00F10F60" w:rsidP="00F10F60">
      <w:pPr>
        <w:pStyle w:val="ListParagraph"/>
        <w:numPr>
          <w:ilvl w:val="0"/>
          <w:numId w:val="39"/>
        </w:numPr>
        <w:spacing w:before="0" w:after="0"/>
      </w:pPr>
      <w:r w:rsidRPr="00082192">
        <w:t xml:space="preserve">The </w:t>
      </w:r>
      <w:r w:rsidR="00A76546" w:rsidRPr="00082192">
        <w:t xml:space="preserve">Aurora EV-ICD MRI </w:t>
      </w:r>
      <w:proofErr w:type="spellStart"/>
      <w:r w:rsidR="00A76546" w:rsidRPr="00082192">
        <w:t>SureScan</w:t>
      </w:r>
      <w:proofErr w:type="spellEnd"/>
      <w:r w:rsidRPr="00082192">
        <w:t xml:space="preserve"> Model DVEA3E4 device is a sterile, single-use only, MRI-compatible, extravascular active implantable medical device intended to monitor and regulate the patient’s heart rate.</w:t>
      </w:r>
    </w:p>
    <w:p w14:paraId="55A444C0" w14:textId="2498FDA4" w:rsidR="00F10F60" w:rsidRPr="00082192" w:rsidRDefault="00F10F60" w:rsidP="00F10F60">
      <w:pPr>
        <w:pStyle w:val="ListParagraph"/>
        <w:numPr>
          <w:ilvl w:val="0"/>
          <w:numId w:val="39"/>
        </w:numPr>
        <w:spacing w:before="0" w:after="0"/>
      </w:pPr>
      <w:r w:rsidRPr="00082192">
        <w:t xml:space="preserve">The </w:t>
      </w:r>
      <w:proofErr w:type="spellStart"/>
      <w:r w:rsidR="00A76546" w:rsidRPr="00082192">
        <w:t>Epsila</w:t>
      </w:r>
      <w:proofErr w:type="spellEnd"/>
      <w:r w:rsidR="00A76546" w:rsidRPr="00082192">
        <w:t xml:space="preserve"> EV MRI </w:t>
      </w:r>
      <w:proofErr w:type="spellStart"/>
      <w:r w:rsidR="00A76546" w:rsidRPr="00082192">
        <w:t>SureScan</w:t>
      </w:r>
      <w:proofErr w:type="spellEnd"/>
      <w:r w:rsidRPr="00082192">
        <w:t xml:space="preserve"> Model EV2401 lead is a sterile, single-use only implantable medical device intended to provide cardiac therapies in the anterior mediastinum with an extravascular implantable cardioverter defibrillator (EV-ICD).</w:t>
      </w:r>
      <w:r w:rsidRPr="00082192" w:rsidDel="002175E8">
        <w:t xml:space="preserve"> </w:t>
      </w:r>
    </w:p>
    <w:p w14:paraId="7C0D4D72" w14:textId="19EE4F2C" w:rsidR="00971EDB" w:rsidRPr="00971EDB" w:rsidRDefault="00971EDB" w:rsidP="00971EDB">
      <w:pPr>
        <w:spacing w:before="0" w:after="0"/>
        <w:rPr>
          <w:szCs w:val="20"/>
        </w:rPr>
      </w:pPr>
    </w:p>
    <w:p w14:paraId="2560F9F0" w14:textId="77777777" w:rsidR="00F83A9D" w:rsidRPr="00154B00" w:rsidRDefault="00F83A9D" w:rsidP="00F83A9D">
      <w:pPr>
        <w:rPr>
          <w:szCs w:val="20"/>
        </w:rPr>
      </w:pPr>
    </w:p>
    <w:p w14:paraId="146138D8" w14:textId="77777777" w:rsidR="00DD308E" w:rsidRDefault="00DD308E">
      <w:pPr>
        <w:rPr>
          <w:b/>
          <w:sz w:val="32"/>
          <w:szCs w:val="32"/>
        </w:rPr>
        <w:sectPr w:rsidR="00DD308E" w:rsidSect="00991EE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0"/>
          <w:cols w:space="708"/>
          <w:titlePg/>
          <w:docGrid w:linePitch="360"/>
        </w:sectPr>
      </w:pPr>
    </w:p>
    <w:p w14:paraId="70CE62F9"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38B7E69D" w14:textId="77777777" w:rsidR="00DD308E" w:rsidRPr="0006476C" w:rsidRDefault="00DD308E" w:rsidP="005C3AE7">
      <w:pPr>
        <w:pStyle w:val="Heading2"/>
        <w:rPr>
          <w:i/>
        </w:rPr>
      </w:pPr>
      <w:r w:rsidRPr="00F222BE">
        <w:t xml:space="preserve">Provide an </w:t>
      </w:r>
      <w:r w:rsidRPr="0006476C">
        <w:t xml:space="preserve">overview of all key journal articles or research published in the public domain related to the proposed service that is for your application (limiting these to the English language only).  </w:t>
      </w:r>
      <w:r w:rsidRPr="0006476C">
        <w:rPr>
          <w:i/>
        </w:rPr>
        <w:t>Please do not attach full text articles, this is just intended to be a summary.</w:t>
      </w:r>
    </w:p>
    <w:tbl>
      <w:tblPr>
        <w:tblStyle w:val="TableGrid"/>
        <w:tblW w:w="5080" w:type="pct"/>
        <w:tblLayout w:type="fixed"/>
        <w:tblLook w:val="04A0" w:firstRow="1" w:lastRow="0" w:firstColumn="1" w:lastColumn="0" w:noHBand="0" w:noVBand="1"/>
        <w:tblCaption w:val="Summary of Evidence - Published"/>
      </w:tblPr>
      <w:tblGrid>
        <w:gridCol w:w="368"/>
        <w:gridCol w:w="1471"/>
        <w:gridCol w:w="2976"/>
        <w:gridCol w:w="5385"/>
        <w:gridCol w:w="2698"/>
        <w:gridCol w:w="1273"/>
      </w:tblGrid>
      <w:tr w:rsidR="00B939F9" w:rsidRPr="0006476C" w14:paraId="423B08D3" w14:textId="77777777" w:rsidTr="00E50F47">
        <w:trPr>
          <w:cantSplit/>
          <w:tblHeader/>
        </w:trPr>
        <w:tc>
          <w:tcPr>
            <w:tcW w:w="130" w:type="pct"/>
          </w:tcPr>
          <w:p w14:paraId="0216EE21" w14:textId="77777777" w:rsidR="00DD308E" w:rsidRPr="0006476C" w:rsidRDefault="00DD308E" w:rsidP="00492F9D">
            <w:pPr>
              <w:pStyle w:val="TableHEADER"/>
              <w:contextualSpacing/>
            </w:pPr>
          </w:p>
        </w:tc>
        <w:tc>
          <w:tcPr>
            <w:tcW w:w="519" w:type="pct"/>
          </w:tcPr>
          <w:p w14:paraId="44BA1A57" w14:textId="61C6E48D" w:rsidR="00DD308E" w:rsidRPr="0006476C" w:rsidRDefault="0042509F" w:rsidP="00492F9D">
            <w:pPr>
              <w:pStyle w:val="TableHEADER"/>
              <w:contextualSpacing/>
            </w:pPr>
            <w:r>
              <w:t>Type of study design</w:t>
            </w:r>
          </w:p>
        </w:tc>
        <w:tc>
          <w:tcPr>
            <w:tcW w:w="1050" w:type="pct"/>
          </w:tcPr>
          <w:p w14:paraId="329157D8" w14:textId="3F44C492" w:rsidR="00DD308E" w:rsidRPr="0006476C" w:rsidRDefault="00DD308E" w:rsidP="00492F9D">
            <w:pPr>
              <w:pStyle w:val="TableHEADER"/>
              <w:contextualSpacing/>
            </w:pPr>
            <w:r w:rsidRPr="0006476C">
              <w:t>Title of journal article or research project</w:t>
            </w:r>
          </w:p>
        </w:tc>
        <w:tc>
          <w:tcPr>
            <w:tcW w:w="1900" w:type="pct"/>
          </w:tcPr>
          <w:p w14:paraId="0CE3DAF4" w14:textId="4246AB95" w:rsidR="00DD308E" w:rsidRPr="0006476C" w:rsidRDefault="00DD308E" w:rsidP="00492F9D">
            <w:pPr>
              <w:pStyle w:val="TableHEADER"/>
              <w:contextualSpacing/>
            </w:pPr>
            <w:r w:rsidRPr="0006476C">
              <w:t>Short descripti</w:t>
            </w:r>
            <w:r w:rsidR="0042509F">
              <w:t>on of research</w:t>
            </w:r>
          </w:p>
        </w:tc>
        <w:tc>
          <w:tcPr>
            <w:tcW w:w="952" w:type="pct"/>
          </w:tcPr>
          <w:p w14:paraId="1C53822F" w14:textId="553E2ECD" w:rsidR="00DD308E" w:rsidRPr="0006476C" w:rsidRDefault="00DD308E" w:rsidP="00492F9D">
            <w:pPr>
              <w:pStyle w:val="TableHEADER"/>
              <w:contextualSpacing/>
            </w:pPr>
            <w:r w:rsidRPr="0006476C">
              <w:t>Website link to journal ar</w:t>
            </w:r>
            <w:r w:rsidR="0042509F">
              <w:t>ticle or research</w:t>
            </w:r>
          </w:p>
        </w:tc>
        <w:tc>
          <w:tcPr>
            <w:tcW w:w="449" w:type="pct"/>
          </w:tcPr>
          <w:p w14:paraId="4AB5F9C0" w14:textId="0AFE82CE" w:rsidR="00DD308E" w:rsidRPr="0006476C" w:rsidRDefault="0042509F" w:rsidP="00492F9D">
            <w:pPr>
              <w:pStyle w:val="TableHEADER"/>
              <w:contextualSpacing/>
            </w:pPr>
            <w:r>
              <w:t>Date of publication</w:t>
            </w:r>
          </w:p>
        </w:tc>
      </w:tr>
      <w:tr w:rsidR="00B939F9" w:rsidRPr="00E27AED" w14:paraId="28477B26" w14:textId="77777777" w:rsidTr="00E50F47">
        <w:trPr>
          <w:cantSplit/>
        </w:trPr>
        <w:tc>
          <w:tcPr>
            <w:tcW w:w="130" w:type="pct"/>
          </w:tcPr>
          <w:p w14:paraId="6DCE6AD4" w14:textId="6D44CFB5" w:rsidR="00DD308E" w:rsidRPr="0006476C" w:rsidRDefault="00DD308E" w:rsidP="00492F9D">
            <w:pPr>
              <w:contextualSpacing/>
              <w:rPr>
                <w:szCs w:val="20"/>
              </w:rPr>
            </w:pPr>
            <w:r w:rsidRPr="0006476C">
              <w:rPr>
                <w:szCs w:val="20"/>
              </w:rPr>
              <w:t>1</w:t>
            </w:r>
          </w:p>
        </w:tc>
        <w:tc>
          <w:tcPr>
            <w:tcW w:w="519" w:type="pct"/>
          </w:tcPr>
          <w:p w14:paraId="22E5419A" w14:textId="77777777" w:rsidR="00DD308E" w:rsidRPr="0006476C" w:rsidRDefault="001023F1" w:rsidP="00492F9D">
            <w:pPr>
              <w:contextualSpacing/>
              <w:rPr>
                <w:b/>
                <w:szCs w:val="20"/>
              </w:rPr>
            </w:pPr>
            <w:r w:rsidRPr="0006476C">
              <w:rPr>
                <w:szCs w:val="20"/>
              </w:rPr>
              <w:t xml:space="preserve">Non-randomised case series </w:t>
            </w:r>
            <w:r w:rsidR="00D247AB" w:rsidRPr="0006476C">
              <w:rPr>
                <w:szCs w:val="20"/>
              </w:rPr>
              <w:t>- feasibility</w:t>
            </w:r>
          </w:p>
        </w:tc>
        <w:tc>
          <w:tcPr>
            <w:tcW w:w="1050" w:type="pct"/>
          </w:tcPr>
          <w:p w14:paraId="50126AB7" w14:textId="77777777" w:rsidR="00A10DAD" w:rsidRPr="0006476C" w:rsidRDefault="00A10DAD" w:rsidP="00492F9D">
            <w:pPr>
              <w:contextualSpacing/>
              <w:rPr>
                <w:szCs w:val="20"/>
              </w:rPr>
            </w:pPr>
            <w:r w:rsidRPr="00555AB0">
              <w:rPr>
                <w:szCs w:val="20"/>
                <w:lang w:val="fr-FR"/>
              </w:rPr>
              <w:t xml:space="preserve">Chan, J.Y.S. et al. </w:t>
            </w:r>
            <w:r w:rsidRPr="0006476C">
              <w:rPr>
                <w:szCs w:val="20"/>
              </w:rPr>
              <w:t xml:space="preserve">Novel extravascular defibrillation configuration with a coil in the substernal space: The ASD clinical study. JACC Clin </w:t>
            </w:r>
            <w:proofErr w:type="spellStart"/>
            <w:r w:rsidRPr="0006476C">
              <w:rPr>
                <w:szCs w:val="20"/>
              </w:rPr>
              <w:t>Electrophysiol</w:t>
            </w:r>
            <w:proofErr w:type="spellEnd"/>
            <w:r w:rsidRPr="0006476C">
              <w:rPr>
                <w:szCs w:val="20"/>
              </w:rPr>
              <w:t>. 2017 Aug;3(8):905-910.</w:t>
            </w:r>
          </w:p>
          <w:p w14:paraId="6D94CA0A" w14:textId="77777777" w:rsidR="00DD308E" w:rsidRPr="0006476C" w:rsidRDefault="00DD308E" w:rsidP="00492F9D">
            <w:pPr>
              <w:contextualSpacing/>
              <w:rPr>
                <w:b/>
                <w:szCs w:val="20"/>
              </w:rPr>
            </w:pPr>
          </w:p>
        </w:tc>
        <w:tc>
          <w:tcPr>
            <w:tcW w:w="1900" w:type="pct"/>
          </w:tcPr>
          <w:p w14:paraId="0017E07E" w14:textId="77777777" w:rsidR="0068674C" w:rsidRPr="0006476C" w:rsidRDefault="0068674C" w:rsidP="00492F9D">
            <w:pPr>
              <w:contextualSpacing/>
              <w:rPr>
                <w:szCs w:val="20"/>
                <w:u w:val="single"/>
              </w:rPr>
            </w:pPr>
            <w:r w:rsidRPr="0006476C">
              <w:rPr>
                <w:szCs w:val="20"/>
                <w:u w:val="single"/>
              </w:rPr>
              <w:t>ASD</w:t>
            </w:r>
          </w:p>
          <w:p w14:paraId="2F0BE2D1" w14:textId="79D550C3" w:rsidR="004A3680" w:rsidRPr="0006476C" w:rsidRDefault="00A10DAD" w:rsidP="00492F9D">
            <w:pPr>
              <w:contextualSpacing/>
              <w:rPr>
                <w:b/>
                <w:szCs w:val="20"/>
              </w:rPr>
            </w:pPr>
            <w:r w:rsidRPr="0006476C">
              <w:rPr>
                <w:szCs w:val="20"/>
              </w:rPr>
              <w:t>Prospective, non</w:t>
            </w:r>
            <w:r w:rsidR="00D35C21" w:rsidRPr="0006476C">
              <w:rPr>
                <w:szCs w:val="20"/>
              </w:rPr>
              <w:t>-</w:t>
            </w:r>
            <w:r w:rsidRPr="0006476C">
              <w:rPr>
                <w:szCs w:val="20"/>
              </w:rPr>
              <w:t xml:space="preserve">randomised, feasibility </w:t>
            </w:r>
            <w:r w:rsidR="00D35C21" w:rsidRPr="0006476C">
              <w:rPr>
                <w:szCs w:val="20"/>
              </w:rPr>
              <w:t xml:space="preserve">and safety </w:t>
            </w:r>
            <w:r w:rsidRPr="0006476C">
              <w:rPr>
                <w:szCs w:val="20"/>
              </w:rPr>
              <w:t xml:space="preserve">study </w:t>
            </w:r>
            <w:r w:rsidR="004A3680" w:rsidRPr="0006476C">
              <w:rPr>
                <w:szCs w:val="20"/>
              </w:rPr>
              <w:t xml:space="preserve">of 16 patients </w:t>
            </w:r>
            <w:r w:rsidRPr="0006476C">
              <w:rPr>
                <w:szCs w:val="20"/>
              </w:rPr>
              <w:t>scheduled for midline sternotomy or implant of ICD.</w:t>
            </w:r>
            <w:r w:rsidR="00E27AED" w:rsidRPr="0006476C">
              <w:rPr>
                <w:szCs w:val="20"/>
              </w:rPr>
              <w:t xml:space="preserve">  </w:t>
            </w:r>
            <w:r w:rsidR="004A3680" w:rsidRPr="0006476C">
              <w:rPr>
                <w:szCs w:val="20"/>
              </w:rPr>
              <w:t>Primary endpoint was the defibrillation efficacy of a 35 J induced ventricular fibrillation</w:t>
            </w:r>
            <w:r w:rsidR="0006476C" w:rsidRPr="0006476C">
              <w:rPr>
                <w:szCs w:val="20"/>
              </w:rPr>
              <w:t xml:space="preserve">.  Other </w:t>
            </w:r>
            <w:r w:rsidR="00D35C21" w:rsidRPr="0006476C">
              <w:rPr>
                <w:szCs w:val="20"/>
              </w:rPr>
              <w:t xml:space="preserve">endpoints were </w:t>
            </w:r>
            <w:r w:rsidR="00E27AED" w:rsidRPr="0006476C">
              <w:rPr>
                <w:szCs w:val="20"/>
              </w:rPr>
              <w:t>procedure/device complications.</w:t>
            </w:r>
          </w:p>
        </w:tc>
        <w:tc>
          <w:tcPr>
            <w:tcW w:w="952" w:type="pct"/>
          </w:tcPr>
          <w:p w14:paraId="28F6D8CA" w14:textId="77777777" w:rsidR="00C47883" w:rsidRDefault="00082192" w:rsidP="00C47883">
            <w:pPr>
              <w:contextualSpacing/>
              <w:rPr>
                <w:rStyle w:val="Hyperlink"/>
                <w:szCs w:val="20"/>
              </w:rPr>
            </w:pPr>
            <w:hyperlink r:id="rId20" w:history="1">
              <w:r w:rsidR="00C47883" w:rsidRPr="0006476C">
                <w:rPr>
                  <w:rStyle w:val="Hyperlink"/>
                  <w:szCs w:val="20"/>
                </w:rPr>
                <w:t>https://pubmed.ncbi.nlm.nih.gov/29759788/</w:t>
              </w:r>
            </w:hyperlink>
          </w:p>
          <w:p w14:paraId="5D5EA8A8" w14:textId="77777777" w:rsidR="00AF3000" w:rsidRPr="0006476C" w:rsidRDefault="00AF3000" w:rsidP="00492F9D">
            <w:pPr>
              <w:contextualSpacing/>
              <w:rPr>
                <w:b/>
                <w:szCs w:val="20"/>
              </w:rPr>
            </w:pPr>
          </w:p>
        </w:tc>
        <w:tc>
          <w:tcPr>
            <w:tcW w:w="449" w:type="pct"/>
          </w:tcPr>
          <w:p w14:paraId="13791C83" w14:textId="77777777" w:rsidR="00DD308E" w:rsidRPr="0006476C" w:rsidRDefault="00D247AB" w:rsidP="00492F9D">
            <w:pPr>
              <w:contextualSpacing/>
              <w:rPr>
                <w:b/>
                <w:szCs w:val="20"/>
              </w:rPr>
            </w:pPr>
            <w:r w:rsidRPr="0006476C">
              <w:rPr>
                <w:szCs w:val="20"/>
              </w:rPr>
              <w:t>April 2018</w:t>
            </w:r>
          </w:p>
        </w:tc>
      </w:tr>
      <w:tr w:rsidR="00B939F9" w:rsidRPr="00E27AED" w14:paraId="619DA89F" w14:textId="77777777" w:rsidTr="00E50F47">
        <w:trPr>
          <w:cantSplit/>
        </w:trPr>
        <w:tc>
          <w:tcPr>
            <w:tcW w:w="130" w:type="pct"/>
          </w:tcPr>
          <w:p w14:paraId="594C2510" w14:textId="03E1501D" w:rsidR="00AF3000" w:rsidRPr="0006476C" w:rsidRDefault="00AF3000" w:rsidP="00492F9D">
            <w:pPr>
              <w:contextualSpacing/>
              <w:rPr>
                <w:szCs w:val="20"/>
              </w:rPr>
            </w:pPr>
            <w:r w:rsidRPr="0006476C">
              <w:rPr>
                <w:szCs w:val="20"/>
              </w:rPr>
              <w:t>2</w:t>
            </w:r>
          </w:p>
        </w:tc>
        <w:tc>
          <w:tcPr>
            <w:tcW w:w="519" w:type="pct"/>
          </w:tcPr>
          <w:p w14:paraId="5936C2DC" w14:textId="77777777" w:rsidR="00AF3000" w:rsidRPr="0006476C" w:rsidRDefault="001023F1" w:rsidP="00492F9D">
            <w:pPr>
              <w:contextualSpacing/>
              <w:rPr>
                <w:szCs w:val="20"/>
              </w:rPr>
            </w:pPr>
            <w:r w:rsidRPr="0006476C">
              <w:rPr>
                <w:szCs w:val="20"/>
              </w:rPr>
              <w:t xml:space="preserve">Non-randomised case series </w:t>
            </w:r>
            <w:r w:rsidR="00D247AB" w:rsidRPr="0006476C">
              <w:rPr>
                <w:szCs w:val="20"/>
              </w:rPr>
              <w:t>- feasibility</w:t>
            </w:r>
          </w:p>
        </w:tc>
        <w:tc>
          <w:tcPr>
            <w:tcW w:w="1050" w:type="pct"/>
          </w:tcPr>
          <w:p w14:paraId="24DE48EA" w14:textId="77777777" w:rsidR="00A10DAD" w:rsidRPr="0006476C" w:rsidRDefault="00A10DAD" w:rsidP="00492F9D">
            <w:pPr>
              <w:contextualSpacing/>
              <w:rPr>
                <w:b/>
                <w:szCs w:val="20"/>
              </w:rPr>
            </w:pPr>
            <w:proofErr w:type="spellStart"/>
            <w:r w:rsidRPr="0006476C">
              <w:rPr>
                <w:szCs w:val="20"/>
              </w:rPr>
              <w:t>Sholevar</w:t>
            </w:r>
            <w:proofErr w:type="spellEnd"/>
            <w:r w:rsidRPr="0006476C">
              <w:rPr>
                <w:szCs w:val="20"/>
              </w:rPr>
              <w:t>, D.P. et al. Feasibility of extravascular pacing with a novel substernal electrode configuration: The Substernal Pacing Acute Clinical Evaluation study. Heart Rhythm. 2018 Apr;15(4):536-542.</w:t>
            </w:r>
          </w:p>
        </w:tc>
        <w:tc>
          <w:tcPr>
            <w:tcW w:w="1900" w:type="pct"/>
          </w:tcPr>
          <w:p w14:paraId="7EA00E6C" w14:textId="77777777" w:rsidR="0068674C" w:rsidRPr="0006476C" w:rsidRDefault="0068674C" w:rsidP="00492F9D">
            <w:pPr>
              <w:contextualSpacing/>
              <w:rPr>
                <w:szCs w:val="20"/>
                <w:u w:val="single"/>
              </w:rPr>
            </w:pPr>
            <w:r w:rsidRPr="0006476C">
              <w:rPr>
                <w:szCs w:val="20"/>
                <w:u w:val="single"/>
              </w:rPr>
              <w:t>SPACE</w:t>
            </w:r>
          </w:p>
          <w:p w14:paraId="5D564822" w14:textId="4A53ACE9" w:rsidR="00AF3000" w:rsidRPr="0006476C" w:rsidRDefault="00D247AB" w:rsidP="00492F9D">
            <w:pPr>
              <w:contextualSpacing/>
              <w:rPr>
                <w:szCs w:val="20"/>
              </w:rPr>
            </w:pPr>
            <w:r w:rsidRPr="0006476C">
              <w:rPr>
                <w:szCs w:val="20"/>
              </w:rPr>
              <w:t xml:space="preserve">Prospective, non-randomized, </w:t>
            </w:r>
            <w:proofErr w:type="spellStart"/>
            <w:r w:rsidRPr="0006476C">
              <w:rPr>
                <w:szCs w:val="20"/>
              </w:rPr>
              <w:t>multicenter</w:t>
            </w:r>
            <w:proofErr w:type="spellEnd"/>
            <w:r w:rsidRPr="0006476C">
              <w:rPr>
                <w:szCs w:val="20"/>
              </w:rPr>
              <w:t xml:space="preserve">, </w:t>
            </w:r>
            <w:r w:rsidR="004D0A63" w:rsidRPr="0006476C">
              <w:rPr>
                <w:szCs w:val="20"/>
              </w:rPr>
              <w:t xml:space="preserve">acute </w:t>
            </w:r>
            <w:r w:rsidRPr="0006476C">
              <w:rPr>
                <w:szCs w:val="20"/>
              </w:rPr>
              <w:t xml:space="preserve">feasibility study of 26 patients. The primary objective was to evaluate the feasibility of pacing with an electrophysiology catheter implanted into the extravascular substernal space (anterior mediastinum) in patients undergoing cardiac procedures. Secondary objectives </w:t>
            </w:r>
            <w:r w:rsidR="0006476C" w:rsidRPr="0006476C">
              <w:rPr>
                <w:szCs w:val="20"/>
              </w:rPr>
              <w:t xml:space="preserve">assessed electrogram data and </w:t>
            </w:r>
            <w:r w:rsidRPr="0006476C">
              <w:rPr>
                <w:szCs w:val="20"/>
              </w:rPr>
              <w:t>degree of chest wall stimulation observed during substernal pacing.</w:t>
            </w:r>
          </w:p>
        </w:tc>
        <w:tc>
          <w:tcPr>
            <w:tcW w:w="952" w:type="pct"/>
          </w:tcPr>
          <w:p w14:paraId="0B44F88A" w14:textId="04611AA0" w:rsidR="0068674C" w:rsidRDefault="0068674C" w:rsidP="00492F9D">
            <w:pPr>
              <w:contextualSpacing/>
              <w:rPr>
                <w:rStyle w:val="Hyperlink"/>
                <w:szCs w:val="20"/>
              </w:rPr>
            </w:pPr>
          </w:p>
          <w:p w14:paraId="6FFF6A2C" w14:textId="77777777" w:rsidR="00C47883" w:rsidRPr="0006476C" w:rsidRDefault="00082192" w:rsidP="00C47883">
            <w:pPr>
              <w:contextualSpacing/>
              <w:rPr>
                <w:szCs w:val="20"/>
              </w:rPr>
            </w:pPr>
            <w:hyperlink r:id="rId21" w:history="1">
              <w:r w:rsidR="00C47883" w:rsidRPr="0006476C">
                <w:rPr>
                  <w:rStyle w:val="Hyperlink"/>
                  <w:szCs w:val="20"/>
                </w:rPr>
                <w:t>https://pubmed.ncbi.nlm.nih.gov/29197657/</w:t>
              </w:r>
            </w:hyperlink>
          </w:p>
          <w:p w14:paraId="504E85BF" w14:textId="35C2BFCD" w:rsidR="0068674C" w:rsidRPr="0006476C" w:rsidRDefault="0068674C" w:rsidP="00492F9D">
            <w:pPr>
              <w:contextualSpacing/>
              <w:rPr>
                <w:szCs w:val="20"/>
              </w:rPr>
            </w:pPr>
          </w:p>
        </w:tc>
        <w:tc>
          <w:tcPr>
            <w:tcW w:w="449" w:type="pct"/>
          </w:tcPr>
          <w:p w14:paraId="6F6DC7FA" w14:textId="77777777" w:rsidR="00AF3000" w:rsidRPr="0006476C" w:rsidRDefault="00D247AB" w:rsidP="00492F9D">
            <w:pPr>
              <w:contextualSpacing/>
              <w:rPr>
                <w:b/>
                <w:szCs w:val="20"/>
              </w:rPr>
            </w:pPr>
            <w:r w:rsidRPr="0006476C">
              <w:rPr>
                <w:szCs w:val="20"/>
              </w:rPr>
              <w:t>August 2017</w:t>
            </w:r>
          </w:p>
        </w:tc>
      </w:tr>
      <w:tr w:rsidR="00B939F9" w:rsidRPr="00E27AED" w14:paraId="2E356841" w14:textId="77777777" w:rsidTr="00E50F47">
        <w:trPr>
          <w:cantSplit/>
        </w:trPr>
        <w:tc>
          <w:tcPr>
            <w:tcW w:w="130" w:type="pct"/>
          </w:tcPr>
          <w:p w14:paraId="785ABDB1" w14:textId="75CB17A9" w:rsidR="00AF3000" w:rsidRPr="00E27AED" w:rsidRDefault="00AF3000" w:rsidP="00492F9D">
            <w:pPr>
              <w:contextualSpacing/>
              <w:rPr>
                <w:szCs w:val="20"/>
              </w:rPr>
            </w:pPr>
            <w:r w:rsidRPr="00E27AED">
              <w:rPr>
                <w:szCs w:val="20"/>
              </w:rPr>
              <w:t>3</w:t>
            </w:r>
          </w:p>
        </w:tc>
        <w:tc>
          <w:tcPr>
            <w:tcW w:w="519" w:type="pct"/>
          </w:tcPr>
          <w:p w14:paraId="4C2C18A6" w14:textId="77777777" w:rsidR="00AF3000" w:rsidRPr="00D61308" w:rsidRDefault="001023F1" w:rsidP="00492F9D">
            <w:pPr>
              <w:contextualSpacing/>
              <w:rPr>
                <w:szCs w:val="20"/>
              </w:rPr>
            </w:pPr>
            <w:r w:rsidRPr="00D61308">
              <w:rPr>
                <w:szCs w:val="20"/>
              </w:rPr>
              <w:t xml:space="preserve">Non-randomised case series </w:t>
            </w:r>
            <w:r w:rsidR="00D247AB" w:rsidRPr="00D61308">
              <w:rPr>
                <w:szCs w:val="20"/>
              </w:rPr>
              <w:t>- feasibility</w:t>
            </w:r>
          </w:p>
        </w:tc>
        <w:tc>
          <w:tcPr>
            <w:tcW w:w="1050" w:type="pct"/>
          </w:tcPr>
          <w:p w14:paraId="52BA8121" w14:textId="77777777" w:rsidR="00AF3000" w:rsidRPr="00D61308" w:rsidRDefault="00AF3000" w:rsidP="00492F9D">
            <w:pPr>
              <w:contextualSpacing/>
              <w:rPr>
                <w:b/>
                <w:szCs w:val="20"/>
              </w:rPr>
            </w:pPr>
            <w:r w:rsidRPr="00555AB0">
              <w:rPr>
                <w:szCs w:val="20"/>
                <w:lang w:val="fr-FR"/>
              </w:rPr>
              <w:t xml:space="preserve">Boersma, L.V.A. et al. </w:t>
            </w:r>
            <w:r w:rsidRPr="00D61308">
              <w:rPr>
                <w:szCs w:val="20"/>
              </w:rPr>
              <w:t xml:space="preserve">Therapy from a novel substernal lead: The ASD2 Study. JACC Clin </w:t>
            </w:r>
            <w:proofErr w:type="spellStart"/>
            <w:r w:rsidRPr="00D61308">
              <w:rPr>
                <w:szCs w:val="20"/>
              </w:rPr>
              <w:t>Electrophysiol</w:t>
            </w:r>
            <w:proofErr w:type="spellEnd"/>
            <w:r w:rsidRPr="00D61308">
              <w:rPr>
                <w:szCs w:val="20"/>
              </w:rPr>
              <w:t>. 2019 Feb;5(2):186-196.</w:t>
            </w:r>
          </w:p>
        </w:tc>
        <w:tc>
          <w:tcPr>
            <w:tcW w:w="1900" w:type="pct"/>
          </w:tcPr>
          <w:p w14:paraId="57F8AD3F" w14:textId="77777777" w:rsidR="0068674C" w:rsidRPr="00D61308" w:rsidRDefault="0068674C" w:rsidP="00492F9D">
            <w:pPr>
              <w:contextualSpacing/>
              <w:rPr>
                <w:szCs w:val="20"/>
                <w:u w:val="single"/>
              </w:rPr>
            </w:pPr>
            <w:r w:rsidRPr="00D61308">
              <w:rPr>
                <w:szCs w:val="20"/>
                <w:u w:val="single"/>
              </w:rPr>
              <w:t>ASD2</w:t>
            </w:r>
          </w:p>
          <w:p w14:paraId="7A1B370E" w14:textId="1F4F1A74" w:rsidR="00AF3000" w:rsidRPr="00D61308" w:rsidRDefault="004D0A63" w:rsidP="00492F9D">
            <w:pPr>
              <w:contextualSpacing/>
              <w:rPr>
                <w:szCs w:val="20"/>
              </w:rPr>
            </w:pPr>
            <w:r w:rsidRPr="00D61308">
              <w:rPr>
                <w:szCs w:val="20"/>
              </w:rPr>
              <w:t xml:space="preserve">Prospective, </w:t>
            </w:r>
            <w:proofErr w:type="spellStart"/>
            <w:r w:rsidRPr="00D61308">
              <w:rPr>
                <w:szCs w:val="20"/>
              </w:rPr>
              <w:t>multicenter</w:t>
            </w:r>
            <w:proofErr w:type="spellEnd"/>
            <w:r w:rsidRPr="00D61308">
              <w:rPr>
                <w:szCs w:val="20"/>
              </w:rPr>
              <w:t>, non-randomised, acute feasibility study of 79 patients.</w:t>
            </w:r>
            <w:r w:rsidR="00A10DAD" w:rsidRPr="00D61308">
              <w:rPr>
                <w:szCs w:val="20"/>
              </w:rPr>
              <w:t xml:space="preserve"> Primary endpoint was defibrillation efficacy at implantation and other endpoints included device/procedure adverse events.</w:t>
            </w:r>
          </w:p>
        </w:tc>
        <w:tc>
          <w:tcPr>
            <w:tcW w:w="952" w:type="pct"/>
          </w:tcPr>
          <w:p w14:paraId="011C06E1" w14:textId="77777777" w:rsidR="00AF3000" w:rsidRPr="00D61308" w:rsidRDefault="00082192" w:rsidP="00492F9D">
            <w:pPr>
              <w:contextualSpacing/>
              <w:rPr>
                <w:szCs w:val="20"/>
              </w:rPr>
            </w:pPr>
            <w:hyperlink r:id="rId22" w:history="1">
              <w:r w:rsidR="0068674C" w:rsidRPr="00D61308">
                <w:rPr>
                  <w:rStyle w:val="Hyperlink"/>
                  <w:szCs w:val="20"/>
                </w:rPr>
                <w:t>https://pubmed.ncbi.nlm.nih.gov/30784689/</w:t>
              </w:r>
            </w:hyperlink>
          </w:p>
          <w:p w14:paraId="2B40A3B5" w14:textId="77777777" w:rsidR="0068674C" w:rsidRPr="00D61308" w:rsidRDefault="0068674C" w:rsidP="00492F9D">
            <w:pPr>
              <w:contextualSpacing/>
              <w:rPr>
                <w:b/>
                <w:szCs w:val="20"/>
              </w:rPr>
            </w:pPr>
          </w:p>
        </w:tc>
        <w:tc>
          <w:tcPr>
            <w:tcW w:w="449" w:type="pct"/>
          </w:tcPr>
          <w:p w14:paraId="69D5128C" w14:textId="77777777" w:rsidR="00AF3000" w:rsidRPr="00D61308" w:rsidRDefault="00D247AB" w:rsidP="00492F9D">
            <w:pPr>
              <w:contextualSpacing/>
              <w:rPr>
                <w:b/>
                <w:szCs w:val="20"/>
              </w:rPr>
            </w:pPr>
            <w:r w:rsidRPr="00D61308">
              <w:rPr>
                <w:szCs w:val="20"/>
              </w:rPr>
              <w:t>Feb 2019</w:t>
            </w:r>
          </w:p>
        </w:tc>
      </w:tr>
      <w:tr w:rsidR="00B939F9" w:rsidRPr="00E27AED" w14:paraId="23BB4EF5" w14:textId="77777777" w:rsidTr="00E50F47">
        <w:trPr>
          <w:cantSplit/>
        </w:trPr>
        <w:tc>
          <w:tcPr>
            <w:tcW w:w="130" w:type="pct"/>
          </w:tcPr>
          <w:p w14:paraId="51ED4A3F" w14:textId="0B57B844" w:rsidR="00AF3000" w:rsidRPr="00D61308" w:rsidRDefault="00AF3000" w:rsidP="00492F9D">
            <w:pPr>
              <w:contextualSpacing/>
              <w:rPr>
                <w:szCs w:val="20"/>
              </w:rPr>
            </w:pPr>
            <w:r w:rsidRPr="00D61308">
              <w:rPr>
                <w:szCs w:val="20"/>
              </w:rPr>
              <w:lastRenderedPageBreak/>
              <w:t>4</w:t>
            </w:r>
          </w:p>
        </w:tc>
        <w:tc>
          <w:tcPr>
            <w:tcW w:w="519" w:type="pct"/>
          </w:tcPr>
          <w:p w14:paraId="17463B6A" w14:textId="77777777" w:rsidR="00AF3000" w:rsidRPr="00D61308" w:rsidRDefault="001023F1" w:rsidP="00492F9D">
            <w:pPr>
              <w:contextualSpacing/>
              <w:rPr>
                <w:szCs w:val="20"/>
              </w:rPr>
            </w:pPr>
            <w:r w:rsidRPr="00D61308">
              <w:rPr>
                <w:szCs w:val="20"/>
              </w:rPr>
              <w:t>Non-randomised c</w:t>
            </w:r>
            <w:r w:rsidR="00AF3000" w:rsidRPr="00D61308">
              <w:rPr>
                <w:szCs w:val="20"/>
              </w:rPr>
              <w:t>ase series</w:t>
            </w:r>
          </w:p>
        </w:tc>
        <w:tc>
          <w:tcPr>
            <w:tcW w:w="1050" w:type="pct"/>
          </w:tcPr>
          <w:p w14:paraId="7C6213E4" w14:textId="77777777" w:rsidR="00F77E27" w:rsidRPr="00D61308" w:rsidRDefault="00F77E27" w:rsidP="00492F9D">
            <w:pPr>
              <w:contextualSpacing/>
              <w:rPr>
                <w:szCs w:val="20"/>
              </w:rPr>
            </w:pPr>
            <w:r w:rsidRPr="00D61308">
              <w:rPr>
                <w:szCs w:val="20"/>
              </w:rPr>
              <w:t>ANZ Pilot Study</w:t>
            </w:r>
          </w:p>
          <w:p w14:paraId="59A20F7B" w14:textId="77777777" w:rsidR="00F77E27" w:rsidRPr="00D61308" w:rsidRDefault="00F77E27" w:rsidP="00492F9D">
            <w:pPr>
              <w:contextualSpacing/>
              <w:rPr>
                <w:szCs w:val="20"/>
              </w:rPr>
            </w:pPr>
            <w:r w:rsidRPr="00D61308">
              <w:rPr>
                <w:szCs w:val="20"/>
              </w:rPr>
              <w:t>NCT03608670</w:t>
            </w:r>
          </w:p>
          <w:p w14:paraId="3938D30D" w14:textId="77777777" w:rsidR="00B84134" w:rsidRPr="00D61308" w:rsidRDefault="001D7920" w:rsidP="00492F9D">
            <w:pPr>
              <w:contextualSpacing/>
              <w:rPr>
                <w:szCs w:val="20"/>
              </w:rPr>
            </w:pPr>
            <w:r w:rsidRPr="00D61308">
              <w:rPr>
                <w:szCs w:val="20"/>
              </w:rPr>
              <w:t xml:space="preserve">Crozier, I. et al. First-in-Human Chronic Implant Experience of the Substernal Extravascular Implantable Cardioverter-Defibrillator. JACC Clin </w:t>
            </w:r>
            <w:proofErr w:type="spellStart"/>
            <w:r w:rsidRPr="00D61308">
              <w:rPr>
                <w:szCs w:val="20"/>
              </w:rPr>
              <w:t>Electrophysiol</w:t>
            </w:r>
            <w:proofErr w:type="spellEnd"/>
            <w:r w:rsidRPr="00D61308">
              <w:rPr>
                <w:szCs w:val="20"/>
              </w:rPr>
              <w:t>. 2020 Nov;6(12):1525-1536.</w:t>
            </w:r>
          </w:p>
          <w:p w14:paraId="6F2998C0" w14:textId="77777777" w:rsidR="00D4577B" w:rsidRPr="00D61308" w:rsidRDefault="00D4577B" w:rsidP="00492F9D">
            <w:pPr>
              <w:contextualSpacing/>
              <w:rPr>
                <w:szCs w:val="20"/>
              </w:rPr>
            </w:pPr>
            <w:proofErr w:type="spellStart"/>
            <w:r w:rsidRPr="00D61308">
              <w:rPr>
                <w:szCs w:val="20"/>
              </w:rPr>
              <w:t>Swerdlow</w:t>
            </w:r>
            <w:proofErr w:type="spellEnd"/>
            <w:r w:rsidRPr="00D61308">
              <w:rPr>
                <w:szCs w:val="20"/>
              </w:rPr>
              <w:t xml:space="preserve">, C.D. et al. Design and Preliminary Results of Sensing and Detection for an Extravascular Implantable Cardioverter-Defibrillator. JACC Clin </w:t>
            </w:r>
            <w:proofErr w:type="spellStart"/>
            <w:r w:rsidRPr="00D61308">
              <w:rPr>
                <w:szCs w:val="20"/>
              </w:rPr>
              <w:t>Electrophysiol</w:t>
            </w:r>
            <w:proofErr w:type="spellEnd"/>
            <w:r w:rsidRPr="00D61308">
              <w:rPr>
                <w:szCs w:val="20"/>
              </w:rPr>
              <w:t xml:space="preserve">. 2021 Apr </w:t>
            </w:r>
            <w:proofErr w:type="gramStart"/>
            <w:r w:rsidRPr="00D61308">
              <w:rPr>
                <w:szCs w:val="20"/>
              </w:rPr>
              <w:t>22:S</w:t>
            </w:r>
            <w:proofErr w:type="gramEnd"/>
            <w:r w:rsidRPr="00D61308">
              <w:rPr>
                <w:szCs w:val="20"/>
              </w:rPr>
              <w:t xml:space="preserve">2405-500X(21)00215-2. </w:t>
            </w:r>
          </w:p>
        </w:tc>
        <w:tc>
          <w:tcPr>
            <w:tcW w:w="1900" w:type="pct"/>
          </w:tcPr>
          <w:p w14:paraId="29D5F4E3" w14:textId="77777777" w:rsidR="0068674C" w:rsidRPr="00D61308" w:rsidRDefault="001D7920" w:rsidP="00492F9D">
            <w:pPr>
              <w:contextualSpacing/>
              <w:rPr>
                <w:szCs w:val="20"/>
                <w:u w:val="single"/>
              </w:rPr>
            </w:pPr>
            <w:r w:rsidRPr="00D61308">
              <w:rPr>
                <w:szCs w:val="20"/>
                <w:u w:val="single"/>
              </w:rPr>
              <w:t>ANZ Pilot EV-ICD study</w:t>
            </w:r>
          </w:p>
          <w:p w14:paraId="10207B1D" w14:textId="77777777" w:rsidR="00AF3000" w:rsidRPr="00D61308" w:rsidRDefault="0068674C" w:rsidP="00492F9D">
            <w:pPr>
              <w:contextualSpacing/>
              <w:rPr>
                <w:b/>
                <w:szCs w:val="20"/>
              </w:rPr>
            </w:pPr>
            <w:r w:rsidRPr="00D61308">
              <w:rPr>
                <w:szCs w:val="20"/>
              </w:rPr>
              <w:t>Prospective, non</w:t>
            </w:r>
            <w:r w:rsidR="00E34C35" w:rsidRPr="00D61308">
              <w:rPr>
                <w:szCs w:val="20"/>
              </w:rPr>
              <w:t>-</w:t>
            </w:r>
            <w:r w:rsidR="00DD50BA" w:rsidRPr="00D61308">
              <w:rPr>
                <w:szCs w:val="20"/>
              </w:rPr>
              <w:t>randomis</w:t>
            </w:r>
            <w:r w:rsidR="00E34C35" w:rsidRPr="00D61308">
              <w:rPr>
                <w:szCs w:val="20"/>
              </w:rPr>
              <w:t>ed</w:t>
            </w:r>
            <w:r w:rsidRPr="00D61308">
              <w:rPr>
                <w:szCs w:val="20"/>
              </w:rPr>
              <w:t xml:space="preserve"> </w:t>
            </w:r>
            <w:r w:rsidR="00E34C35" w:rsidRPr="00D61308">
              <w:rPr>
                <w:szCs w:val="20"/>
              </w:rPr>
              <w:t xml:space="preserve">ANZ </w:t>
            </w:r>
            <w:r w:rsidRPr="00D61308">
              <w:rPr>
                <w:szCs w:val="20"/>
              </w:rPr>
              <w:t xml:space="preserve">pilot study </w:t>
            </w:r>
            <w:r w:rsidR="00E34C35" w:rsidRPr="00D61308">
              <w:rPr>
                <w:szCs w:val="20"/>
              </w:rPr>
              <w:t xml:space="preserve">of 21 patients </w:t>
            </w:r>
            <w:r w:rsidR="00576A8E" w:rsidRPr="00D61308">
              <w:rPr>
                <w:szCs w:val="20"/>
              </w:rPr>
              <w:t xml:space="preserve">at 4 centres </w:t>
            </w:r>
            <w:r w:rsidR="00E34C35" w:rsidRPr="00D61308">
              <w:rPr>
                <w:szCs w:val="20"/>
              </w:rPr>
              <w:t>who received an EV-ICD system.</w:t>
            </w:r>
            <w:r w:rsidR="00576A8E" w:rsidRPr="00D61308">
              <w:rPr>
                <w:szCs w:val="20"/>
              </w:rPr>
              <w:t xml:space="preserve"> </w:t>
            </w:r>
            <w:r w:rsidR="00E34C35" w:rsidRPr="00D61308">
              <w:rPr>
                <w:szCs w:val="20"/>
              </w:rPr>
              <w:t xml:space="preserve"> Primary endpoint was defibrillation efficacy </w:t>
            </w:r>
            <w:r w:rsidR="00DD50BA" w:rsidRPr="00D61308">
              <w:rPr>
                <w:szCs w:val="20"/>
              </w:rPr>
              <w:t xml:space="preserve">at implantation by inducing, detecting, and converting VF episodes.  The primary safety endpoint were device/procedure complications that resulted in death, system revision, hospitalisation, prolongation of a hospitalisation, or permanent loss of defibrillation function at 90 days. </w:t>
            </w:r>
          </w:p>
        </w:tc>
        <w:tc>
          <w:tcPr>
            <w:tcW w:w="952" w:type="pct"/>
          </w:tcPr>
          <w:p w14:paraId="491FC86C" w14:textId="77777777" w:rsidR="001D7920" w:rsidRPr="00D61308" w:rsidRDefault="00082192" w:rsidP="00492F9D">
            <w:pPr>
              <w:contextualSpacing/>
              <w:rPr>
                <w:szCs w:val="20"/>
              </w:rPr>
            </w:pPr>
            <w:hyperlink r:id="rId23" w:history="1">
              <w:r w:rsidR="001D7920" w:rsidRPr="00D61308">
                <w:rPr>
                  <w:rStyle w:val="Hyperlink"/>
                  <w:szCs w:val="20"/>
                </w:rPr>
                <w:t>https://pubmed.ncbi.nlm.nih.gov/33213813/</w:t>
              </w:r>
            </w:hyperlink>
          </w:p>
          <w:p w14:paraId="6358BC9C" w14:textId="77777777" w:rsidR="0068674C" w:rsidRPr="00D61308" w:rsidRDefault="0068674C" w:rsidP="00492F9D">
            <w:pPr>
              <w:contextualSpacing/>
              <w:rPr>
                <w:b/>
                <w:szCs w:val="20"/>
              </w:rPr>
            </w:pPr>
          </w:p>
        </w:tc>
        <w:tc>
          <w:tcPr>
            <w:tcW w:w="449" w:type="pct"/>
          </w:tcPr>
          <w:p w14:paraId="5E48A3A8" w14:textId="77777777" w:rsidR="00AF3000" w:rsidRPr="00D61308" w:rsidRDefault="0068674C" w:rsidP="00492F9D">
            <w:pPr>
              <w:contextualSpacing/>
              <w:rPr>
                <w:b/>
                <w:szCs w:val="20"/>
              </w:rPr>
            </w:pPr>
            <w:r w:rsidRPr="00D61308">
              <w:rPr>
                <w:szCs w:val="20"/>
              </w:rPr>
              <w:t>Nov 2020</w:t>
            </w:r>
          </w:p>
        </w:tc>
      </w:tr>
    </w:tbl>
    <w:p w14:paraId="0CFA6EFA" w14:textId="3354BB50" w:rsidR="00DD308E" w:rsidRDefault="00D2134C">
      <w:pPr>
        <w:rPr>
          <w:b/>
          <w:sz w:val="32"/>
          <w:szCs w:val="32"/>
        </w:rPr>
        <w:sectPr w:rsidR="00DD308E" w:rsidSect="00DD308E">
          <w:pgSz w:w="16838" w:h="11906" w:orient="landscape"/>
          <w:pgMar w:top="1440" w:right="1440" w:bottom="1440" w:left="1440" w:header="708" w:footer="708" w:gutter="0"/>
          <w:cols w:space="708"/>
          <w:docGrid w:linePitch="360"/>
        </w:sectPr>
      </w:pPr>
      <w:r>
        <w:rPr>
          <w:rFonts w:ascii="Arial Narrow" w:hAnsi="Arial Narrow"/>
          <w:sz w:val="18"/>
          <w:szCs w:val="18"/>
        </w:rPr>
        <w:t xml:space="preserve">ANZ, Australia &amp; New Zealand; </w:t>
      </w:r>
      <w:r w:rsidRPr="00D2134C">
        <w:rPr>
          <w:rFonts w:ascii="Arial Narrow" w:hAnsi="Arial Narrow"/>
          <w:sz w:val="18"/>
          <w:szCs w:val="18"/>
        </w:rPr>
        <w:t>EV-ICD, extravascular implantable cardioverter defibrillator;</w:t>
      </w:r>
      <w:r>
        <w:rPr>
          <w:rFonts w:ascii="Arial Narrow" w:hAnsi="Arial Narrow"/>
          <w:sz w:val="18"/>
          <w:szCs w:val="18"/>
        </w:rPr>
        <w:t xml:space="preserve"> ICD, </w:t>
      </w:r>
      <w:r w:rsidRPr="00D2134C">
        <w:rPr>
          <w:rFonts w:ascii="Arial Narrow" w:hAnsi="Arial Narrow"/>
          <w:sz w:val="18"/>
          <w:szCs w:val="18"/>
        </w:rPr>
        <w:t xml:space="preserve">implantable cardioverter defibrillator; </w:t>
      </w:r>
      <w:r>
        <w:rPr>
          <w:rFonts w:ascii="Arial Narrow" w:hAnsi="Arial Narrow"/>
          <w:sz w:val="18"/>
          <w:szCs w:val="18"/>
        </w:rPr>
        <w:t>n, number of patients; PSM, propensity score matched;</w:t>
      </w:r>
      <w:r w:rsidRPr="00D2134C">
        <w:rPr>
          <w:rFonts w:ascii="Arial Narrow" w:hAnsi="Arial Narrow"/>
          <w:sz w:val="18"/>
          <w:szCs w:val="18"/>
        </w:rPr>
        <w:t xml:space="preserve"> </w:t>
      </w:r>
      <w:r>
        <w:rPr>
          <w:rFonts w:ascii="Arial Narrow" w:hAnsi="Arial Narrow"/>
          <w:sz w:val="18"/>
          <w:szCs w:val="18"/>
        </w:rPr>
        <w:t xml:space="preserve">S-ICD, subcutaneous </w:t>
      </w:r>
      <w:r w:rsidRPr="00D2134C">
        <w:rPr>
          <w:rFonts w:ascii="Arial Narrow" w:hAnsi="Arial Narrow"/>
          <w:sz w:val="18"/>
          <w:szCs w:val="18"/>
        </w:rPr>
        <w:t xml:space="preserve">implantable cardioverter defibrillator; </w:t>
      </w:r>
      <w:r>
        <w:rPr>
          <w:rFonts w:ascii="Arial Narrow" w:hAnsi="Arial Narrow"/>
          <w:sz w:val="18"/>
          <w:szCs w:val="18"/>
        </w:rPr>
        <w:t>TV-ICD, transvenous</w:t>
      </w:r>
      <w:r w:rsidRPr="00D2134C">
        <w:rPr>
          <w:rFonts w:ascii="Arial Narrow" w:hAnsi="Arial Narrow"/>
          <w:sz w:val="18"/>
          <w:szCs w:val="18"/>
        </w:rPr>
        <w:t xml:space="preserve"> implanta</w:t>
      </w:r>
      <w:r w:rsidR="0042509F">
        <w:rPr>
          <w:rFonts w:ascii="Arial Narrow" w:hAnsi="Arial Narrow"/>
          <w:sz w:val="18"/>
          <w:szCs w:val="18"/>
        </w:rPr>
        <w:t>ble cardioverter defibrillator</w:t>
      </w:r>
    </w:p>
    <w:p w14:paraId="7E801A39" w14:textId="77777777" w:rsidR="004C49EF" w:rsidRDefault="004C49EF" w:rsidP="00530204">
      <w:pPr>
        <w:pStyle w:val="Heading2"/>
      </w:pPr>
      <w:r w:rsidRPr="00E82F54">
        <w:lastRenderedPageBreak/>
        <w:t xml:space="preserve">Identify yet to be published research that may have results available </w:t>
      </w:r>
      <w:proofErr w:type="gramStart"/>
      <w:r w:rsidRPr="00E82F54">
        <w:t>in the near future</w:t>
      </w:r>
      <w:proofErr w:type="gramEnd"/>
      <w:r w:rsidRPr="00E82F54">
        <w:t xml:space="preserve"> that could be relevant in the consideration of your application by MSAC</w:t>
      </w:r>
      <w:r>
        <w:t xml:space="preserve"> (limiting these to the English language only).</w:t>
      </w:r>
      <w:r w:rsidRPr="001130B0">
        <w:rPr>
          <w:i/>
        </w:rPr>
        <w:t xml:space="preserve"> </w:t>
      </w:r>
    </w:p>
    <w:tbl>
      <w:tblPr>
        <w:tblStyle w:val="TableGrid"/>
        <w:tblW w:w="5080" w:type="pct"/>
        <w:tblLayout w:type="fixed"/>
        <w:tblLook w:val="04A0" w:firstRow="1" w:lastRow="0" w:firstColumn="1" w:lastColumn="0" w:noHBand="0" w:noVBand="1"/>
        <w:tblCaption w:val="Summary of Evidence - Yet to be Published"/>
      </w:tblPr>
      <w:tblGrid>
        <w:gridCol w:w="372"/>
        <w:gridCol w:w="1465"/>
        <w:gridCol w:w="2698"/>
        <w:gridCol w:w="5388"/>
        <w:gridCol w:w="2545"/>
        <w:gridCol w:w="1703"/>
      </w:tblGrid>
      <w:tr w:rsidR="00E50F47" w:rsidRPr="001D7920" w14:paraId="1EDAD3DA" w14:textId="77777777" w:rsidTr="00E50F47">
        <w:trPr>
          <w:cantSplit/>
          <w:tblHeader/>
        </w:trPr>
        <w:tc>
          <w:tcPr>
            <w:tcW w:w="131" w:type="pct"/>
          </w:tcPr>
          <w:p w14:paraId="137AFFC2" w14:textId="77777777" w:rsidR="004C49EF" w:rsidRPr="001D7920" w:rsidRDefault="004C49EF" w:rsidP="00492F9D">
            <w:pPr>
              <w:pStyle w:val="TableHEADER"/>
              <w:contextualSpacing/>
            </w:pPr>
          </w:p>
        </w:tc>
        <w:tc>
          <w:tcPr>
            <w:tcW w:w="517" w:type="pct"/>
          </w:tcPr>
          <w:p w14:paraId="70B28379" w14:textId="288B4B28" w:rsidR="004C49EF" w:rsidRPr="001D7920" w:rsidRDefault="00FF42E0" w:rsidP="00492F9D">
            <w:pPr>
              <w:pStyle w:val="TableHEADER"/>
              <w:contextualSpacing/>
            </w:pPr>
            <w:r>
              <w:t>Type of study design</w:t>
            </w:r>
          </w:p>
        </w:tc>
        <w:tc>
          <w:tcPr>
            <w:tcW w:w="952" w:type="pct"/>
          </w:tcPr>
          <w:p w14:paraId="0B6ABC89" w14:textId="1D9972CF" w:rsidR="004C49EF" w:rsidRPr="001D7920" w:rsidRDefault="004C49EF" w:rsidP="00492F9D">
            <w:pPr>
              <w:pStyle w:val="TableHEADER"/>
              <w:contextualSpacing/>
            </w:pPr>
            <w:r w:rsidRPr="001D7920">
              <w:t xml:space="preserve">Title of research </w:t>
            </w:r>
          </w:p>
        </w:tc>
        <w:tc>
          <w:tcPr>
            <w:tcW w:w="1901" w:type="pct"/>
          </w:tcPr>
          <w:p w14:paraId="18CF85C0" w14:textId="22D636FC" w:rsidR="004C49EF" w:rsidRPr="001D7920" w:rsidRDefault="00367C1B" w:rsidP="00492F9D">
            <w:pPr>
              <w:pStyle w:val="TableHEADER"/>
              <w:contextualSpacing/>
            </w:pPr>
            <w:r w:rsidRPr="001D7920">
              <w:t xml:space="preserve">Short description of research </w:t>
            </w:r>
          </w:p>
        </w:tc>
        <w:tc>
          <w:tcPr>
            <w:tcW w:w="898" w:type="pct"/>
          </w:tcPr>
          <w:p w14:paraId="6C4AD025" w14:textId="442C9813" w:rsidR="004C49EF" w:rsidRPr="001D7920" w:rsidRDefault="004C49EF" w:rsidP="00492F9D">
            <w:pPr>
              <w:pStyle w:val="TableHEADER"/>
              <w:contextualSpacing/>
            </w:pPr>
            <w:r w:rsidRPr="001D7920">
              <w:t xml:space="preserve">Website link to research </w:t>
            </w:r>
          </w:p>
        </w:tc>
        <w:tc>
          <w:tcPr>
            <w:tcW w:w="601" w:type="pct"/>
          </w:tcPr>
          <w:p w14:paraId="0D1FFA87" w14:textId="636649E3" w:rsidR="004C49EF" w:rsidRPr="001D7920" w:rsidRDefault="00FF42E0" w:rsidP="00492F9D">
            <w:pPr>
              <w:pStyle w:val="TableHEADER"/>
              <w:contextualSpacing/>
            </w:pPr>
            <w:r>
              <w:t>Date</w:t>
            </w:r>
          </w:p>
        </w:tc>
      </w:tr>
      <w:tr w:rsidR="00E50F47" w:rsidRPr="001D7920" w14:paraId="2B4769C1" w14:textId="77777777" w:rsidTr="00E50F47">
        <w:trPr>
          <w:cantSplit/>
        </w:trPr>
        <w:tc>
          <w:tcPr>
            <w:tcW w:w="131" w:type="pct"/>
          </w:tcPr>
          <w:p w14:paraId="4BFE1E9F" w14:textId="77777777" w:rsidR="004C49EF" w:rsidRPr="001D7920" w:rsidRDefault="004C49EF" w:rsidP="00492F9D">
            <w:pPr>
              <w:contextualSpacing/>
              <w:rPr>
                <w:szCs w:val="20"/>
              </w:rPr>
            </w:pPr>
            <w:r w:rsidRPr="001D7920">
              <w:rPr>
                <w:szCs w:val="20"/>
              </w:rPr>
              <w:t>1.</w:t>
            </w:r>
          </w:p>
        </w:tc>
        <w:tc>
          <w:tcPr>
            <w:tcW w:w="517" w:type="pct"/>
          </w:tcPr>
          <w:p w14:paraId="6EE99E17" w14:textId="77777777" w:rsidR="004C49EF" w:rsidRPr="00FF42E0" w:rsidRDefault="001023F1" w:rsidP="00492F9D">
            <w:pPr>
              <w:contextualSpacing/>
              <w:rPr>
                <w:b/>
                <w:szCs w:val="20"/>
              </w:rPr>
            </w:pPr>
            <w:r w:rsidRPr="00FF42E0">
              <w:rPr>
                <w:szCs w:val="20"/>
              </w:rPr>
              <w:t>Non-randomised case series – pivotal study</w:t>
            </w:r>
          </w:p>
        </w:tc>
        <w:tc>
          <w:tcPr>
            <w:tcW w:w="952" w:type="pct"/>
          </w:tcPr>
          <w:p w14:paraId="1362BA84" w14:textId="77777777" w:rsidR="003B57A7" w:rsidRPr="00FF42E0" w:rsidRDefault="001D7920" w:rsidP="00492F9D">
            <w:pPr>
              <w:contextualSpacing/>
              <w:rPr>
                <w:szCs w:val="20"/>
              </w:rPr>
            </w:pPr>
            <w:r w:rsidRPr="00FF42E0">
              <w:rPr>
                <w:szCs w:val="20"/>
              </w:rPr>
              <w:t>EV-ICD p</w:t>
            </w:r>
            <w:r w:rsidR="003B57A7" w:rsidRPr="00FF42E0">
              <w:rPr>
                <w:szCs w:val="20"/>
              </w:rPr>
              <w:t>ivotal study</w:t>
            </w:r>
          </w:p>
          <w:p w14:paraId="4D9A0BA1" w14:textId="77777777" w:rsidR="004C49EF" w:rsidRPr="00FF42E0" w:rsidRDefault="001023F1" w:rsidP="00492F9D">
            <w:pPr>
              <w:contextualSpacing/>
              <w:rPr>
                <w:szCs w:val="20"/>
              </w:rPr>
            </w:pPr>
            <w:r w:rsidRPr="00FF42E0">
              <w:rPr>
                <w:szCs w:val="20"/>
              </w:rPr>
              <w:t>NCT04060680</w:t>
            </w:r>
          </w:p>
          <w:p w14:paraId="29BD09BD" w14:textId="77777777" w:rsidR="001023F1" w:rsidRPr="00FF42E0" w:rsidRDefault="001023F1" w:rsidP="00492F9D">
            <w:pPr>
              <w:contextualSpacing/>
              <w:rPr>
                <w:szCs w:val="20"/>
              </w:rPr>
            </w:pPr>
            <w:r w:rsidRPr="00FF42E0">
              <w:rPr>
                <w:szCs w:val="20"/>
              </w:rPr>
              <w:t xml:space="preserve">Crozier, I. et al. The extravascular implantable cardioverter-defibrillator: The pivotal study plan. J Cardiovasc </w:t>
            </w:r>
            <w:proofErr w:type="spellStart"/>
            <w:r w:rsidRPr="00FF42E0">
              <w:rPr>
                <w:szCs w:val="20"/>
              </w:rPr>
              <w:t>Electroph</w:t>
            </w:r>
            <w:r w:rsidR="008C1F80" w:rsidRPr="00FF42E0">
              <w:rPr>
                <w:szCs w:val="20"/>
              </w:rPr>
              <w:t>ysiol</w:t>
            </w:r>
            <w:proofErr w:type="spellEnd"/>
            <w:r w:rsidR="008C1F80" w:rsidRPr="00FF42E0">
              <w:rPr>
                <w:szCs w:val="20"/>
              </w:rPr>
              <w:t>. 2021 Sep;32(9):2371-2378 (protocol only)</w:t>
            </w:r>
          </w:p>
          <w:p w14:paraId="542B60DD" w14:textId="77777777" w:rsidR="001023F1" w:rsidRPr="00FF42E0" w:rsidRDefault="001023F1" w:rsidP="00492F9D">
            <w:pPr>
              <w:contextualSpacing/>
              <w:rPr>
                <w:b/>
                <w:szCs w:val="20"/>
              </w:rPr>
            </w:pPr>
          </w:p>
        </w:tc>
        <w:tc>
          <w:tcPr>
            <w:tcW w:w="1901" w:type="pct"/>
          </w:tcPr>
          <w:p w14:paraId="1F2FE9E2" w14:textId="77777777" w:rsidR="004C49EF" w:rsidRPr="00FF42E0" w:rsidRDefault="00023F78" w:rsidP="00492F9D">
            <w:pPr>
              <w:contextualSpacing/>
              <w:rPr>
                <w:szCs w:val="20"/>
              </w:rPr>
            </w:pPr>
            <w:r w:rsidRPr="00FF42E0">
              <w:rPr>
                <w:szCs w:val="20"/>
              </w:rPr>
              <w:t>The EV-</w:t>
            </w:r>
            <w:r w:rsidR="001D7920" w:rsidRPr="00FF42E0">
              <w:rPr>
                <w:szCs w:val="20"/>
              </w:rPr>
              <w:t xml:space="preserve">ICD pivotal study is a prospective, </w:t>
            </w:r>
            <w:proofErr w:type="spellStart"/>
            <w:r w:rsidR="001D7920" w:rsidRPr="00FF42E0">
              <w:rPr>
                <w:szCs w:val="20"/>
              </w:rPr>
              <w:t>multicenter</w:t>
            </w:r>
            <w:proofErr w:type="spellEnd"/>
            <w:r w:rsidR="001D7920" w:rsidRPr="00FF42E0">
              <w:rPr>
                <w:szCs w:val="20"/>
              </w:rPr>
              <w:t>, single-arm, non-randomis</w:t>
            </w:r>
            <w:r w:rsidRPr="00FF42E0">
              <w:rPr>
                <w:szCs w:val="20"/>
              </w:rPr>
              <w:t xml:space="preserve">ed, premarket </w:t>
            </w:r>
            <w:r w:rsidR="001D7920" w:rsidRPr="00FF42E0">
              <w:rPr>
                <w:szCs w:val="20"/>
              </w:rPr>
              <w:t>study to examine the safety and acute efficacy of the</w:t>
            </w:r>
            <w:r w:rsidRPr="00FF42E0">
              <w:rPr>
                <w:szCs w:val="20"/>
              </w:rPr>
              <w:t xml:space="preserve"> EV-ICD</w:t>
            </w:r>
            <w:r w:rsidR="001D7920" w:rsidRPr="00FF42E0">
              <w:rPr>
                <w:szCs w:val="20"/>
              </w:rPr>
              <w:t xml:space="preserve"> system</w:t>
            </w:r>
            <w:r w:rsidRPr="00FF42E0">
              <w:rPr>
                <w:szCs w:val="20"/>
              </w:rPr>
              <w:t xml:space="preserve"> in up to 400 patients with </w:t>
            </w:r>
            <w:r w:rsidR="001D7920" w:rsidRPr="00FF42E0">
              <w:rPr>
                <w:szCs w:val="20"/>
              </w:rPr>
              <w:t xml:space="preserve">3.5 </w:t>
            </w:r>
            <w:r w:rsidRPr="00FF42E0">
              <w:rPr>
                <w:szCs w:val="20"/>
              </w:rPr>
              <w:t xml:space="preserve">years’ follow-up.  The primary efficacy endpoint is defibrillation success, safety endpoint is </w:t>
            </w:r>
            <w:r w:rsidR="001D7920" w:rsidRPr="00FF42E0">
              <w:rPr>
                <w:szCs w:val="20"/>
              </w:rPr>
              <w:t>fr</w:t>
            </w:r>
            <w:r w:rsidRPr="00FF42E0">
              <w:rPr>
                <w:szCs w:val="20"/>
              </w:rPr>
              <w:t>eedom from major complications</w:t>
            </w:r>
            <w:r w:rsidR="00E62C67" w:rsidRPr="00FF42E0">
              <w:rPr>
                <w:szCs w:val="20"/>
              </w:rPr>
              <w:t xml:space="preserve"> at 6 months post-procedure.  O</w:t>
            </w:r>
            <w:r w:rsidRPr="00FF42E0">
              <w:rPr>
                <w:szCs w:val="20"/>
              </w:rPr>
              <w:t xml:space="preserve">ther endpoints include </w:t>
            </w:r>
            <w:proofErr w:type="spellStart"/>
            <w:r w:rsidRPr="00FF42E0">
              <w:rPr>
                <w:szCs w:val="20"/>
              </w:rPr>
              <w:t>a</w:t>
            </w:r>
            <w:r w:rsidR="001D7920" w:rsidRPr="00FF42E0">
              <w:rPr>
                <w:szCs w:val="20"/>
              </w:rPr>
              <w:t>ntitachycardia</w:t>
            </w:r>
            <w:proofErr w:type="spellEnd"/>
            <w:r w:rsidR="001D7920" w:rsidRPr="00FF42E0">
              <w:rPr>
                <w:szCs w:val="20"/>
              </w:rPr>
              <w:t xml:space="preserve"> pacing performance, electrical performance, extracardiac pacing sensation, asystole pacing</w:t>
            </w:r>
            <w:r w:rsidR="00E62C67" w:rsidRPr="00FF42E0">
              <w:rPr>
                <w:szCs w:val="20"/>
              </w:rPr>
              <w:t xml:space="preserve"> and </w:t>
            </w:r>
            <w:r w:rsidR="001D7920" w:rsidRPr="00FF42E0">
              <w:rPr>
                <w:szCs w:val="20"/>
              </w:rPr>
              <w:t>appropria</w:t>
            </w:r>
            <w:r w:rsidR="00E62C67" w:rsidRPr="00FF42E0">
              <w:rPr>
                <w:szCs w:val="20"/>
              </w:rPr>
              <w:t>te and inappropriate shocks.</w:t>
            </w:r>
          </w:p>
          <w:p w14:paraId="0C2C56A6" w14:textId="732478C0" w:rsidR="00B939F9" w:rsidRPr="00FF42E0" w:rsidRDefault="00B939F9" w:rsidP="00425825">
            <w:pPr>
              <w:contextualSpacing/>
              <w:rPr>
                <w:i/>
                <w:szCs w:val="20"/>
              </w:rPr>
            </w:pPr>
          </w:p>
        </w:tc>
        <w:tc>
          <w:tcPr>
            <w:tcW w:w="898" w:type="pct"/>
          </w:tcPr>
          <w:p w14:paraId="1C04E617" w14:textId="0811A683" w:rsidR="001D7920" w:rsidRPr="00D505BE" w:rsidRDefault="00082192" w:rsidP="00492F9D">
            <w:pPr>
              <w:contextualSpacing/>
              <w:rPr>
                <w:szCs w:val="20"/>
                <w:lang w:val="pt-BR"/>
              </w:rPr>
            </w:pPr>
            <w:hyperlink r:id="rId24" w:history="1">
              <w:r w:rsidR="001D7920" w:rsidRPr="00D505BE">
                <w:rPr>
                  <w:rStyle w:val="Hyperlink"/>
                  <w:szCs w:val="20"/>
                  <w:lang w:val="pt-BR"/>
                </w:rPr>
                <w:t>https://pubmed.ncbi.nlm.nih.gov/34322918/</w:t>
              </w:r>
            </w:hyperlink>
            <w:r w:rsidR="001D7920" w:rsidRPr="00D505BE">
              <w:rPr>
                <w:szCs w:val="20"/>
                <w:lang w:val="pt-BR"/>
              </w:rPr>
              <w:t xml:space="preserve"> (protocol only)</w:t>
            </w:r>
          </w:p>
          <w:p w14:paraId="282DB773" w14:textId="7CE371AB" w:rsidR="00E348FB" w:rsidRPr="00D505BE" w:rsidRDefault="00E348FB" w:rsidP="00492F9D">
            <w:pPr>
              <w:contextualSpacing/>
              <w:rPr>
                <w:szCs w:val="20"/>
                <w:lang w:val="pt-BR"/>
              </w:rPr>
            </w:pPr>
          </w:p>
          <w:p w14:paraId="3C8CA47B" w14:textId="7A8EEA28" w:rsidR="00E348FB" w:rsidRPr="00D505BE" w:rsidRDefault="00082192" w:rsidP="00492F9D">
            <w:pPr>
              <w:contextualSpacing/>
              <w:rPr>
                <w:szCs w:val="20"/>
                <w:lang w:val="pt-BR"/>
              </w:rPr>
            </w:pPr>
            <w:hyperlink r:id="rId25" w:history="1">
              <w:r w:rsidR="00E348FB" w:rsidRPr="00D505BE">
                <w:rPr>
                  <w:rStyle w:val="Hyperlink"/>
                  <w:szCs w:val="20"/>
                  <w:lang w:val="pt-BR"/>
                </w:rPr>
                <w:t>https://clinicaltrials.gov/ct2/show/study/NCT04060680</w:t>
              </w:r>
            </w:hyperlink>
          </w:p>
          <w:p w14:paraId="165585D4" w14:textId="77777777" w:rsidR="00492F9D" w:rsidRPr="00D505BE" w:rsidRDefault="00492F9D" w:rsidP="00492F9D">
            <w:pPr>
              <w:contextualSpacing/>
              <w:rPr>
                <w:szCs w:val="20"/>
                <w:lang w:val="pt-BR"/>
              </w:rPr>
            </w:pPr>
          </w:p>
          <w:p w14:paraId="02FBB449" w14:textId="70ECBD0D" w:rsidR="004C49EF" w:rsidRPr="00D505BE" w:rsidRDefault="004C49EF" w:rsidP="00492F9D">
            <w:pPr>
              <w:contextualSpacing/>
              <w:rPr>
                <w:b/>
                <w:szCs w:val="20"/>
                <w:lang w:val="pt-BR"/>
              </w:rPr>
            </w:pPr>
          </w:p>
        </w:tc>
        <w:tc>
          <w:tcPr>
            <w:tcW w:w="601" w:type="pct"/>
          </w:tcPr>
          <w:p w14:paraId="0D400347" w14:textId="0712DFC5" w:rsidR="00E62C67" w:rsidRDefault="00E62C67" w:rsidP="00492F9D">
            <w:pPr>
              <w:contextualSpacing/>
              <w:rPr>
                <w:szCs w:val="20"/>
              </w:rPr>
            </w:pPr>
            <w:r w:rsidRPr="00FF42E0">
              <w:rPr>
                <w:szCs w:val="20"/>
              </w:rPr>
              <w:t>Study results</w:t>
            </w:r>
            <w:r w:rsidR="00F55C49">
              <w:rPr>
                <w:szCs w:val="20"/>
              </w:rPr>
              <w:t xml:space="preserve"> expected</w:t>
            </w:r>
            <w:r w:rsidR="001A0759">
              <w:rPr>
                <w:szCs w:val="20"/>
              </w:rPr>
              <w:t xml:space="preserve"> to </w:t>
            </w:r>
            <w:proofErr w:type="gramStart"/>
            <w:r w:rsidR="001A0759">
              <w:rPr>
                <w:szCs w:val="20"/>
              </w:rPr>
              <w:t>be</w:t>
            </w:r>
            <w:r w:rsidRPr="00FF42E0">
              <w:rPr>
                <w:szCs w:val="20"/>
              </w:rPr>
              <w:t xml:space="preserve">  available</w:t>
            </w:r>
            <w:proofErr w:type="gramEnd"/>
            <w:r w:rsidRPr="00FF42E0">
              <w:rPr>
                <w:szCs w:val="20"/>
              </w:rPr>
              <w:t xml:space="preserve"> Q3 2022.</w:t>
            </w:r>
          </w:p>
          <w:p w14:paraId="2FC101DF" w14:textId="77777777" w:rsidR="00492F9D" w:rsidRPr="00FF42E0" w:rsidRDefault="00492F9D" w:rsidP="00492F9D">
            <w:pPr>
              <w:contextualSpacing/>
              <w:rPr>
                <w:szCs w:val="20"/>
              </w:rPr>
            </w:pPr>
          </w:p>
          <w:p w14:paraId="51EF1EF8" w14:textId="77777777" w:rsidR="00E62C67" w:rsidRPr="00FF42E0" w:rsidRDefault="00E62C67" w:rsidP="00492F9D">
            <w:pPr>
              <w:contextualSpacing/>
              <w:rPr>
                <w:szCs w:val="20"/>
              </w:rPr>
            </w:pPr>
          </w:p>
          <w:p w14:paraId="5D83FB2A" w14:textId="77777777" w:rsidR="004C49EF" w:rsidRPr="00FF42E0" w:rsidRDefault="00E62C67" w:rsidP="00492F9D">
            <w:pPr>
              <w:contextualSpacing/>
              <w:rPr>
                <w:b/>
                <w:szCs w:val="20"/>
              </w:rPr>
            </w:pPr>
            <w:r w:rsidRPr="00FF42E0">
              <w:rPr>
                <w:szCs w:val="20"/>
              </w:rPr>
              <w:t xml:space="preserve"> </w:t>
            </w:r>
          </w:p>
        </w:tc>
      </w:tr>
      <w:tr w:rsidR="00E50F47" w:rsidRPr="001D7920" w14:paraId="104F6E75" w14:textId="77777777" w:rsidTr="00E50F47">
        <w:trPr>
          <w:cantSplit/>
        </w:trPr>
        <w:tc>
          <w:tcPr>
            <w:tcW w:w="131" w:type="pct"/>
          </w:tcPr>
          <w:p w14:paraId="6DB0CF60" w14:textId="77777777" w:rsidR="004C49EF" w:rsidRPr="001D7920" w:rsidRDefault="004C49EF" w:rsidP="00492F9D">
            <w:pPr>
              <w:contextualSpacing/>
              <w:rPr>
                <w:szCs w:val="20"/>
              </w:rPr>
            </w:pPr>
            <w:r w:rsidRPr="001D7920">
              <w:rPr>
                <w:szCs w:val="20"/>
              </w:rPr>
              <w:t>2.</w:t>
            </w:r>
          </w:p>
        </w:tc>
        <w:tc>
          <w:tcPr>
            <w:tcW w:w="517" w:type="pct"/>
          </w:tcPr>
          <w:p w14:paraId="331093E8" w14:textId="77777777" w:rsidR="004C49EF" w:rsidRPr="00FF42E0" w:rsidRDefault="008C115A" w:rsidP="00492F9D">
            <w:pPr>
              <w:contextualSpacing/>
              <w:rPr>
                <w:b/>
                <w:szCs w:val="20"/>
              </w:rPr>
            </w:pPr>
            <w:r w:rsidRPr="00FF42E0">
              <w:rPr>
                <w:szCs w:val="20"/>
              </w:rPr>
              <w:t>Non-randomised case series – extended safety study</w:t>
            </w:r>
          </w:p>
        </w:tc>
        <w:tc>
          <w:tcPr>
            <w:tcW w:w="952" w:type="pct"/>
          </w:tcPr>
          <w:p w14:paraId="1E06F2D7" w14:textId="77777777" w:rsidR="004C49EF" w:rsidRPr="00FF42E0" w:rsidRDefault="003B57A7" w:rsidP="00492F9D">
            <w:pPr>
              <w:contextualSpacing/>
              <w:rPr>
                <w:szCs w:val="20"/>
              </w:rPr>
            </w:pPr>
            <w:r w:rsidRPr="00FF42E0">
              <w:rPr>
                <w:szCs w:val="20"/>
              </w:rPr>
              <w:t>EV-ICD continued access study</w:t>
            </w:r>
          </w:p>
          <w:p w14:paraId="0B9EE77E" w14:textId="77777777" w:rsidR="003B57A7" w:rsidRPr="00FF42E0" w:rsidRDefault="003B57A7" w:rsidP="00492F9D">
            <w:pPr>
              <w:contextualSpacing/>
              <w:rPr>
                <w:b/>
                <w:szCs w:val="20"/>
              </w:rPr>
            </w:pPr>
            <w:r w:rsidRPr="00FF42E0">
              <w:rPr>
                <w:szCs w:val="20"/>
              </w:rPr>
              <w:t>NCT05049720</w:t>
            </w:r>
          </w:p>
        </w:tc>
        <w:tc>
          <w:tcPr>
            <w:tcW w:w="1901" w:type="pct"/>
          </w:tcPr>
          <w:p w14:paraId="6A2387E4" w14:textId="77777777" w:rsidR="004C49EF" w:rsidRPr="00FF42E0" w:rsidRDefault="00AC1D50" w:rsidP="00492F9D">
            <w:pPr>
              <w:contextualSpacing/>
              <w:rPr>
                <w:b/>
                <w:szCs w:val="20"/>
              </w:rPr>
            </w:pPr>
            <w:r w:rsidRPr="00FF42E0">
              <w:rPr>
                <w:szCs w:val="20"/>
              </w:rPr>
              <w:t>Long-term safety study of the EV-ICD system and/or procedure related adverse events</w:t>
            </w:r>
            <w:r w:rsidR="008C115A" w:rsidRPr="00FF42E0">
              <w:rPr>
                <w:szCs w:val="20"/>
              </w:rPr>
              <w:t xml:space="preserve"> for approximately 200 patients</w:t>
            </w:r>
            <w:r w:rsidRPr="00FF42E0">
              <w:rPr>
                <w:szCs w:val="20"/>
              </w:rPr>
              <w:t xml:space="preserve">. </w:t>
            </w:r>
            <w:r w:rsidR="008C115A" w:rsidRPr="00FF42E0">
              <w:rPr>
                <w:szCs w:val="20"/>
              </w:rPr>
              <w:t xml:space="preserve">Planned </w:t>
            </w:r>
            <w:r w:rsidRPr="00FF42E0">
              <w:rPr>
                <w:szCs w:val="20"/>
              </w:rPr>
              <w:t>follow-up</w:t>
            </w:r>
            <w:r w:rsidR="008C115A" w:rsidRPr="00FF42E0">
              <w:rPr>
                <w:szCs w:val="20"/>
              </w:rPr>
              <w:t xml:space="preserve"> period</w:t>
            </w:r>
            <w:r w:rsidRPr="00FF42E0">
              <w:rPr>
                <w:szCs w:val="20"/>
              </w:rPr>
              <w:t>: 18 months.</w:t>
            </w:r>
          </w:p>
        </w:tc>
        <w:tc>
          <w:tcPr>
            <w:tcW w:w="898" w:type="pct"/>
          </w:tcPr>
          <w:p w14:paraId="70211BBA" w14:textId="77777777" w:rsidR="00AC1D50" w:rsidRPr="00D505BE" w:rsidRDefault="00082192" w:rsidP="00492F9D">
            <w:pPr>
              <w:contextualSpacing/>
              <w:rPr>
                <w:szCs w:val="20"/>
              </w:rPr>
            </w:pPr>
            <w:hyperlink r:id="rId26" w:history="1">
              <w:r w:rsidR="00AC1D50" w:rsidRPr="00D505BE">
                <w:rPr>
                  <w:rStyle w:val="Hyperlink"/>
                  <w:szCs w:val="20"/>
                </w:rPr>
                <w:t>https://clinicaltrials.gov/ct2/show/NCT05049720</w:t>
              </w:r>
            </w:hyperlink>
          </w:p>
          <w:p w14:paraId="4131AFF9" w14:textId="77777777" w:rsidR="004C49EF" w:rsidRPr="00D505BE" w:rsidRDefault="00AC1D50" w:rsidP="00492F9D">
            <w:pPr>
              <w:contextualSpacing/>
              <w:rPr>
                <w:szCs w:val="20"/>
              </w:rPr>
            </w:pPr>
            <w:r w:rsidRPr="00D505BE">
              <w:rPr>
                <w:szCs w:val="20"/>
              </w:rPr>
              <w:t xml:space="preserve"> </w:t>
            </w:r>
          </w:p>
          <w:p w14:paraId="2A38B19C" w14:textId="77777777" w:rsidR="00AC1D50" w:rsidRPr="00D505BE" w:rsidRDefault="00AC1D50" w:rsidP="00492F9D">
            <w:pPr>
              <w:contextualSpacing/>
              <w:rPr>
                <w:b/>
                <w:szCs w:val="20"/>
              </w:rPr>
            </w:pPr>
          </w:p>
        </w:tc>
        <w:tc>
          <w:tcPr>
            <w:tcW w:w="601" w:type="pct"/>
          </w:tcPr>
          <w:p w14:paraId="5C027274" w14:textId="77777777" w:rsidR="00AC1D50" w:rsidRPr="00FF42E0" w:rsidRDefault="00AC1D50" w:rsidP="00492F9D">
            <w:pPr>
              <w:contextualSpacing/>
              <w:rPr>
                <w:szCs w:val="20"/>
              </w:rPr>
            </w:pPr>
            <w:r w:rsidRPr="00FF42E0">
              <w:rPr>
                <w:szCs w:val="20"/>
              </w:rPr>
              <w:t>Estimated Study Start Date: 01-Nov-2021</w:t>
            </w:r>
          </w:p>
          <w:p w14:paraId="64EDC29A" w14:textId="77777777" w:rsidR="004C49EF" w:rsidRPr="00FF42E0" w:rsidRDefault="00AC1D50" w:rsidP="00492F9D">
            <w:pPr>
              <w:contextualSpacing/>
              <w:rPr>
                <w:b/>
                <w:szCs w:val="20"/>
              </w:rPr>
            </w:pPr>
            <w:r w:rsidRPr="00FF42E0">
              <w:rPr>
                <w:szCs w:val="20"/>
              </w:rPr>
              <w:t>Estimated Primary Completion Date: 28-Jul-2023</w:t>
            </w:r>
          </w:p>
        </w:tc>
      </w:tr>
    </w:tbl>
    <w:p w14:paraId="4B20CFEF" w14:textId="12DDC0CD" w:rsidR="00DD308E" w:rsidRDefault="0042509F" w:rsidP="00492F9D">
      <w:pPr>
        <w:spacing w:before="0"/>
        <w:rPr>
          <w:b/>
          <w:sz w:val="32"/>
          <w:szCs w:val="32"/>
        </w:rPr>
        <w:sectPr w:rsidR="00DD308E" w:rsidSect="00DD308E">
          <w:pgSz w:w="16838" w:h="11906" w:orient="landscape"/>
          <w:pgMar w:top="1440" w:right="1440" w:bottom="1440" w:left="1440" w:header="708" w:footer="708" w:gutter="0"/>
          <w:cols w:space="708"/>
          <w:docGrid w:linePitch="360"/>
        </w:sectPr>
      </w:pPr>
      <w:r>
        <w:rPr>
          <w:rFonts w:ascii="Arial Narrow" w:hAnsi="Arial Narrow"/>
          <w:sz w:val="18"/>
          <w:szCs w:val="18"/>
        </w:rPr>
        <w:t xml:space="preserve">BMI, body mass index; </w:t>
      </w:r>
      <w:r w:rsidRPr="00D2134C">
        <w:rPr>
          <w:rFonts w:ascii="Arial Narrow" w:hAnsi="Arial Narrow"/>
          <w:sz w:val="18"/>
          <w:szCs w:val="18"/>
        </w:rPr>
        <w:t>EV-ICD, extravascular implantable cardioverter defibrillator;</w:t>
      </w:r>
      <w:r>
        <w:rPr>
          <w:rFonts w:ascii="Arial Narrow" w:hAnsi="Arial Narrow"/>
          <w:sz w:val="18"/>
          <w:szCs w:val="18"/>
        </w:rPr>
        <w:t xml:space="preserve"> ICD, </w:t>
      </w:r>
      <w:r w:rsidRPr="00D2134C">
        <w:rPr>
          <w:rFonts w:ascii="Arial Narrow" w:hAnsi="Arial Narrow"/>
          <w:sz w:val="18"/>
          <w:szCs w:val="18"/>
        </w:rPr>
        <w:t xml:space="preserve">implantable cardioverter defibrillator; </w:t>
      </w:r>
      <w:r>
        <w:rPr>
          <w:rFonts w:ascii="Arial Narrow" w:hAnsi="Arial Narrow"/>
          <w:sz w:val="18"/>
          <w:szCs w:val="18"/>
        </w:rPr>
        <w:t xml:space="preserve">n, number of patients; NYHA, </w:t>
      </w:r>
      <w:r w:rsidRPr="0042509F">
        <w:rPr>
          <w:rFonts w:ascii="Arial Narrow" w:hAnsi="Arial Narrow"/>
          <w:sz w:val="18"/>
          <w:szCs w:val="18"/>
        </w:rPr>
        <w:t>New York Heart Association</w:t>
      </w:r>
      <w:r>
        <w:rPr>
          <w:rFonts w:ascii="Arial Narrow" w:hAnsi="Arial Narrow"/>
          <w:sz w:val="18"/>
          <w:szCs w:val="18"/>
        </w:rPr>
        <w:t>; PSM, propensity score matched;</w:t>
      </w:r>
      <w:r w:rsidRPr="00D2134C">
        <w:rPr>
          <w:rFonts w:ascii="Arial Narrow" w:hAnsi="Arial Narrow"/>
          <w:sz w:val="18"/>
          <w:szCs w:val="18"/>
        </w:rPr>
        <w:t xml:space="preserve"> </w:t>
      </w:r>
      <w:r>
        <w:rPr>
          <w:rFonts w:ascii="Arial Narrow" w:hAnsi="Arial Narrow"/>
          <w:sz w:val="18"/>
          <w:szCs w:val="18"/>
        </w:rPr>
        <w:t>TV-ICD, transvenous</w:t>
      </w:r>
      <w:r w:rsidRPr="00D2134C">
        <w:rPr>
          <w:rFonts w:ascii="Arial Narrow" w:hAnsi="Arial Narrow"/>
          <w:sz w:val="18"/>
          <w:szCs w:val="18"/>
        </w:rPr>
        <w:t xml:space="preserve"> implanta</w:t>
      </w:r>
      <w:r>
        <w:rPr>
          <w:rFonts w:ascii="Arial Narrow" w:hAnsi="Arial Narrow"/>
          <w:sz w:val="18"/>
          <w:szCs w:val="18"/>
        </w:rPr>
        <w:t>ble cardioverter defibrillator</w:t>
      </w:r>
      <w:r w:rsidR="00F301F1">
        <w:rPr>
          <w:b/>
          <w:sz w:val="32"/>
          <w:szCs w:val="32"/>
        </w:rPr>
        <w:br w:type="page"/>
      </w:r>
    </w:p>
    <w:p w14:paraId="44D5E1C9"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5C43AD51" w14:textId="77777777" w:rsidR="00E82F54" w:rsidRPr="00425825" w:rsidRDefault="00E82F54" w:rsidP="005C3AE7">
      <w:pPr>
        <w:pStyle w:val="Heading2"/>
      </w:pPr>
      <w:r w:rsidRPr="00425825">
        <w:t xml:space="preserve">List </w:t>
      </w:r>
      <w:r w:rsidR="00EA173C" w:rsidRPr="00425825">
        <w:t>all appropriate professional bodies / organisations</w:t>
      </w:r>
      <w:r w:rsidRPr="00425825">
        <w:t xml:space="preserve"> representing the group(s) of health profess</w:t>
      </w:r>
      <w:r w:rsidR="00EA173C" w:rsidRPr="00425825">
        <w:t xml:space="preserve">ionals who provide the service </w:t>
      </w:r>
      <w:r w:rsidR="00F93784" w:rsidRPr="00425825">
        <w:t xml:space="preserve">(please </w:t>
      </w:r>
      <w:r w:rsidR="00EA173C" w:rsidRPr="00425825">
        <w:t>attach</w:t>
      </w:r>
      <w:r w:rsidR="00F93784" w:rsidRPr="00425825">
        <w:t xml:space="preserve"> a </w:t>
      </w:r>
      <w:r w:rsidR="00254813" w:rsidRPr="00425825">
        <w:t>statement of clinical relevance from</w:t>
      </w:r>
      <w:r w:rsidR="00EA173C" w:rsidRPr="00425825">
        <w:t xml:space="preserve"> each </w:t>
      </w:r>
      <w:r w:rsidR="00F93784" w:rsidRPr="00425825">
        <w:t>group</w:t>
      </w:r>
      <w:r w:rsidR="00EA173C" w:rsidRPr="00425825">
        <w:t xml:space="preserve"> nominated</w:t>
      </w:r>
      <w:r w:rsidR="00F93784" w:rsidRPr="00425825">
        <w:t>)</w:t>
      </w:r>
      <w:r w:rsidR="00A727B6" w:rsidRPr="00425825">
        <w:t>:</w:t>
      </w:r>
    </w:p>
    <w:p w14:paraId="1147A5FE" w14:textId="329C18AE" w:rsidR="001928FC" w:rsidRPr="00425825" w:rsidRDefault="001928FC" w:rsidP="00A727B6">
      <w:pPr>
        <w:ind w:left="426"/>
      </w:pPr>
      <w:r w:rsidRPr="00425825">
        <w:t>Cardiac Society of Australia and New Zealand (CSANZ)</w:t>
      </w:r>
      <w:r w:rsidR="00A73095" w:rsidRPr="00425825">
        <w:t xml:space="preserve"> </w:t>
      </w:r>
      <w:r w:rsidR="00425825" w:rsidRPr="00425825">
        <w:t>– statement of clinical relevance to follow</w:t>
      </w:r>
    </w:p>
    <w:p w14:paraId="240A9B13" w14:textId="77777777" w:rsidR="00EA173C" w:rsidRPr="00425825" w:rsidRDefault="00EA173C" w:rsidP="00530204">
      <w:pPr>
        <w:pStyle w:val="Heading2"/>
      </w:pPr>
      <w:r w:rsidRPr="00425825">
        <w:t>List any professional bodies / organisations that may be impacted by this medical service</w:t>
      </w:r>
      <w:r w:rsidR="00F93784" w:rsidRPr="00425825">
        <w:t xml:space="preserve"> (</w:t>
      </w:r>
      <w:proofErr w:type="gramStart"/>
      <w:r w:rsidR="00F93784" w:rsidRPr="00425825">
        <w:t>i.e.</w:t>
      </w:r>
      <w:proofErr w:type="gramEnd"/>
      <w:r w:rsidR="00F93784" w:rsidRPr="00425825">
        <w:t xml:space="preserve"> those who provide the comparator service)</w:t>
      </w:r>
      <w:r w:rsidR="00197D29" w:rsidRPr="00425825">
        <w:t>:</w:t>
      </w:r>
    </w:p>
    <w:p w14:paraId="5D1C67B8" w14:textId="4591DAA7" w:rsidR="001928FC" w:rsidRPr="00425825" w:rsidRDefault="001928FC" w:rsidP="001928FC">
      <w:pPr>
        <w:ind w:left="426"/>
      </w:pPr>
      <w:r w:rsidRPr="00425825">
        <w:t>Cardiac Society of Australia and New Zealand (CSANZ)</w:t>
      </w:r>
    </w:p>
    <w:p w14:paraId="07A7633F" w14:textId="77777777" w:rsidR="00E82F54" w:rsidRPr="00425825" w:rsidRDefault="00E82F54" w:rsidP="00530204">
      <w:pPr>
        <w:pStyle w:val="Heading2"/>
      </w:pPr>
      <w:r w:rsidRPr="00425825">
        <w:t>List the consumer organisations relevant to the proposed medical service</w:t>
      </w:r>
      <w:r w:rsidR="00C12C5C" w:rsidRPr="00425825">
        <w:t xml:space="preserve"> (please attach a letter of support for each consumer organisation nominated)</w:t>
      </w:r>
      <w:r w:rsidR="00197D29" w:rsidRPr="00425825">
        <w:t>:</w:t>
      </w:r>
    </w:p>
    <w:p w14:paraId="3B971658" w14:textId="1ED8E2C2" w:rsidR="00E82F54" w:rsidRPr="00425825" w:rsidRDefault="001B408F" w:rsidP="00A727B6">
      <w:pPr>
        <w:ind w:left="426"/>
      </w:pPr>
      <w:r w:rsidRPr="00425825">
        <w:t>Hearts4Heart</w:t>
      </w:r>
      <w:r w:rsidR="00404C75">
        <w:t xml:space="preserve"> (letter of support to follow)</w:t>
      </w:r>
    </w:p>
    <w:p w14:paraId="2E40F920" w14:textId="7FBF0A2D" w:rsidR="003433D1" w:rsidRPr="00425825" w:rsidRDefault="003433D1" w:rsidP="00530204">
      <w:pPr>
        <w:pStyle w:val="Heading2"/>
      </w:pPr>
      <w:r w:rsidRPr="00425825">
        <w:t xml:space="preserve">List the relevant sponsor(s) and / or manufacturer(s) who produce similar products relevant </w:t>
      </w:r>
      <w:r w:rsidR="00197D29" w:rsidRPr="00425825">
        <w:t>to the proposed medical service:</w:t>
      </w:r>
    </w:p>
    <w:p w14:paraId="5EF64BDE" w14:textId="2CFD236F" w:rsidR="00425825" w:rsidRPr="00425825" w:rsidRDefault="00425825" w:rsidP="00425825">
      <w:pPr>
        <w:ind w:firstLine="360"/>
      </w:pPr>
      <w:r w:rsidRPr="00425825">
        <w:t>n/a</w:t>
      </w:r>
    </w:p>
    <w:p w14:paraId="28BBB2E7" w14:textId="5A90B424" w:rsidR="00A96329" w:rsidRPr="00425825" w:rsidRDefault="00E82F54" w:rsidP="00A96329">
      <w:pPr>
        <w:pStyle w:val="Heading2"/>
      </w:pPr>
      <w:r w:rsidRPr="00425825">
        <w:t>Nominate two experts who could be approached about the proposed medical service and the current clinical management of the service(s):</w:t>
      </w:r>
    </w:p>
    <w:p w14:paraId="43CB135F" w14:textId="140B09E6" w:rsidR="00987ABE" w:rsidRPr="00885218" w:rsidRDefault="00987ABE" w:rsidP="00987ABE">
      <w:pPr>
        <w:ind w:left="426"/>
        <w:rPr>
          <w:szCs w:val="20"/>
          <w:highlight w:val="yellow"/>
        </w:rPr>
      </w:pPr>
      <w:r w:rsidRPr="00425825">
        <w:rPr>
          <w:szCs w:val="20"/>
        </w:rPr>
        <w:t xml:space="preserve">Name of expert 1: </w:t>
      </w:r>
      <w:r w:rsidR="00E50F47" w:rsidRPr="00E50F47">
        <w:rPr>
          <w:b/>
          <w:bCs/>
        </w:rPr>
        <w:t>REDACTED</w:t>
      </w:r>
    </w:p>
    <w:p w14:paraId="60B2F9FA" w14:textId="310C9DA5" w:rsidR="00987ABE" w:rsidRPr="00E50F47" w:rsidRDefault="00987ABE" w:rsidP="00987ABE">
      <w:pPr>
        <w:ind w:left="426"/>
        <w:rPr>
          <w:szCs w:val="20"/>
        </w:rPr>
      </w:pPr>
      <w:r w:rsidRPr="00E50F47">
        <w:rPr>
          <w:szCs w:val="20"/>
        </w:rPr>
        <w:t xml:space="preserve">Telephone number(s): </w:t>
      </w:r>
      <w:r w:rsidR="00E50F47" w:rsidRPr="00E50F47">
        <w:rPr>
          <w:b/>
          <w:bCs/>
        </w:rPr>
        <w:t>REDACTED</w:t>
      </w:r>
    </w:p>
    <w:p w14:paraId="4D2CDD30" w14:textId="7A2C40F6" w:rsidR="00987ABE" w:rsidRPr="00E50F47" w:rsidRDefault="00987ABE" w:rsidP="00987ABE">
      <w:pPr>
        <w:ind w:left="426"/>
        <w:rPr>
          <w:szCs w:val="20"/>
        </w:rPr>
      </w:pPr>
      <w:r w:rsidRPr="00E50F47">
        <w:rPr>
          <w:szCs w:val="20"/>
        </w:rPr>
        <w:t xml:space="preserve">Email address: </w:t>
      </w:r>
      <w:r w:rsidR="00E50F47" w:rsidRPr="00E50F47">
        <w:rPr>
          <w:b/>
          <w:bCs/>
        </w:rPr>
        <w:t>REDACTED</w:t>
      </w:r>
    </w:p>
    <w:p w14:paraId="4D2E4D75" w14:textId="647390D5" w:rsidR="00987ABE" w:rsidRPr="00E50F47" w:rsidRDefault="00987ABE" w:rsidP="00987ABE">
      <w:pPr>
        <w:ind w:left="426"/>
        <w:rPr>
          <w:szCs w:val="20"/>
        </w:rPr>
      </w:pPr>
      <w:r w:rsidRPr="00E50F47">
        <w:rPr>
          <w:szCs w:val="20"/>
        </w:rPr>
        <w:t xml:space="preserve">Justification of expertise: </w:t>
      </w:r>
      <w:r w:rsidR="00E50F47" w:rsidRPr="00E50F47">
        <w:rPr>
          <w:b/>
          <w:bCs/>
        </w:rPr>
        <w:t>REDACTED</w:t>
      </w:r>
    </w:p>
    <w:p w14:paraId="045E653D" w14:textId="77777777" w:rsidR="00987ABE" w:rsidRPr="00E50F47" w:rsidRDefault="00987ABE" w:rsidP="00987ABE">
      <w:pPr>
        <w:ind w:left="426"/>
        <w:rPr>
          <w:szCs w:val="20"/>
        </w:rPr>
      </w:pPr>
    </w:p>
    <w:p w14:paraId="345E7F92" w14:textId="48FCA8FE" w:rsidR="00987ABE" w:rsidRPr="00E50F47" w:rsidRDefault="00987ABE" w:rsidP="00987ABE">
      <w:pPr>
        <w:ind w:left="426"/>
        <w:rPr>
          <w:szCs w:val="20"/>
        </w:rPr>
      </w:pPr>
      <w:bookmarkStart w:id="2" w:name="_Hlk97885200"/>
      <w:r w:rsidRPr="00E50F47">
        <w:rPr>
          <w:szCs w:val="20"/>
        </w:rPr>
        <w:t xml:space="preserve">Name of expert 2: </w:t>
      </w:r>
      <w:r w:rsidR="00E50F47" w:rsidRPr="00E50F47">
        <w:rPr>
          <w:b/>
          <w:bCs/>
        </w:rPr>
        <w:t>REDACTED</w:t>
      </w:r>
    </w:p>
    <w:p w14:paraId="2850D689" w14:textId="6624188B" w:rsidR="00987ABE" w:rsidRPr="00E50F47" w:rsidRDefault="00987ABE" w:rsidP="00987ABE">
      <w:pPr>
        <w:ind w:left="426"/>
        <w:rPr>
          <w:szCs w:val="20"/>
        </w:rPr>
      </w:pPr>
      <w:r w:rsidRPr="00E50F47">
        <w:rPr>
          <w:szCs w:val="20"/>
        </w:rPr>
        <w:t xml:space="preserve">Telephone number(s): </w:t>
      </w:r>
      <w:r w:rsidR="00E50F47" w:rsidRPr="00E50F47">
        <w:rPr>
          <w:b/>
          <w:bCs/>
        </w:rPr>
        <w:t>REDACTED</w:t>
      </w:r>
    </w:p>
    <w:p w14:paraId="40431F16" w14:textId="434E29B7" w:rsidR="00987ABE" w:rsidRPr="00E50F47" w:rsidRDefault="00987ABE" w:rsidP="00987ABE">
      <w:pPr>
        <w:ind w:left="426"/>
        <w:rPr>
          <w:szCs w:val="20"/>
        </w:rPr>
      </w:pPr>
      <w:r w:rsidRPr="00E50F47">
        <w:rPr>
          <w:szCs w:val="20"/>
        </w:rPr>
        <w:t xml:space="preserve">Email address: </w:t>
      </w:r>
      <w:r w:rsidR="00E50F47" w:rsidRPr="00E50F47">
        <w:rPr>
          <w:b/>
          <w:bCs/>
        </w:rPr>
        <w:t>REDACTED</w:t>
      </w:r>
    </w:p>
    <w:p w14:paraId="6A0C563F" w14:textId="1778CBDB" w:rsidR="00E82F54" w:rsidRPr="00425825" w:rsidRDefault="00987ABE" w:rsidP="00987ABE">
      <w:pPr>
        <w:ind w:left="426"/>
        <w:rPr>
          <w:szCs w:val="20"/>
        </w:rPr>
      </w:pPr>
      <w:r w:rsidRPr="00E50F47">
        <w:rPr>
          <w:szCs w:val="20"/>
        </w:rPr>
        <w:t xml:space="preserve">Justification of expertise: </w:t>
      </w:r>
      <w:r w:rsidR="00E50F47" w:rsidRPr="00E50F47">
        <w:rPr>
          <w:b/>
          <w:bCs/>
        </w:rPr>
        <w:t>REDACTED</w:t>
      </w:r>
    </w:p>
    <w:bookmarkEnd w:id="2"/>
    <w:p w14:paraId="7655A51F" w14:textId="77777777" w:rsidR="00987ABE" w:rsidRPr="00390776" w:rsidRDefault="00987ABE" w:rsidP="00E82F54">
      <w:pPr>
        <w:ind w:left="426"/>
        <w:rPr>
          <w:i/>
          <w:szCs w:val="20"/>
          <w:highlight w:val="cyan"/>
        </w:rPr>
      </w:pPr>
    </w:p>
    <w:p w14:paraId="4EAC883A" w14:textId="77777777" w:rsidR="00E82F54" w:rsidRPr="00154B00" w:rsidRDefault="00E82F54" w:rsidP="00E82F54">
      <w:pPr>
        <w:ind w:left="426"/>
        <w:rPr>
          <w:i/>
          <w:szCs w:val="20"/>
        </w:rPr>
      </w:pPr>
      <w:r w:rsidRPr="00F44456">
        <w:rPr>
          <w:i/>
          <w:szCs w:val="20"/>
        </w:rPr>
        <w:t>Please note that the Department may also consult with other referrers, proceduralists and disease specialists to obtain their insight.</w:t>
      </w:r>
    </w:p>
    <w:p w14:paraId="2779BF0B" w14:textId="77777777" w:rsidR="00425825" w:rsidRDefault="00425825">
      <w:pPr>
        <w:spacing w:before="0" w:after="200" w:line="276" w:lineRule="auto"/>
        <w:rPr>
          <w:bCs/>
          <w:color w:val="4F81BD" w:themeColor="accent1"/>
          <w:sz w:val="40"/>
          <w:szCs w:val="32"/>
        </w:rPr>
      </w:pPr>
      <w:r>
        <w:br w:type="page"/>
      </w:r>
    </w:p>
    <w:p w14:paraId="43F5D3F4" w14:textId="5AA92EEA"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48D1074A" w14:textId="77777777" w:rsidR="0021185D" w:rsidRPr="005C3AE7" w:rsidRDefault="005C3AE7" w:rsidP="00E50F47">
      <w:pPr>
        <w:pStyle w:val="Subtitle"/>
        <w:ind w:left="0"/>
      </w:pPr>
      <w:r w:rsidRPr="005C3AE7">
        <w:t xml:space="preserve">PART 6a – </w:t>
      </w:r>
      <w:r w:rsidR="0021185D" w:rsidRPr="005C3AE7">
        <w:t>INFORMATION ABOUT THE PROPOSED POPULATION</w:t>
      </w:r>
    </w:p>
    <w:p w14:paraId="16117EF2" w14:textId="77777777" w:rsidR="0021185D" w:rsidRPr="00F7241A" w:rsidRDefault="0021185D" w:rsidP="005C3AE7">
      <w:pPr>
        <w:pStyle w:val="Heading2"/>
      </w:pPr>
      <w:r w:rsidRPr="00A96329">
        <w:t xml:space="preserve">Define </w:t>
      </w:r>
      <w:r w:rsidRPr="007E4181">
        <w:t xml:space="preserve">the medical </w:t>
      </w:r>
      <w:r w:rsidRPr="00F7241A">
        <w:t>condition, including providing information</w:t>
      </w:r>
      <w:r w:rsidR="00DF0C51" w:rsidRPr="00F7241A">
        <w:t xml:space="preserve"> on the natural history of the </w:t>
      </w:r>
      <w:r w:rsidRPr="00F7241A">
        <w:t>condition</w:t>
      </w:r>
      <w:r w:rsidR="0018630F" w:rsidRPr="00F7241A">
        <w:t xml:space="preserve"> and a </w:t>
      </w:r>
      <w:proofErr w:type="gramStart"/>
      <w:r w:rsidR="0018630F" w:rsidRPr="00F7241A">
        <w:t>high level</w:t>
      </w:r>
      <w:proofErr w:type="gramEnd"/>
      <w:r w:rsidR="009C03FB" w:rsidRPr="00F7241A">
        <w:t xml:space="preserve"> summary of associated </w:t>
      </w:r>
      <w:r w:rsidR="0018630F" w:rsidRPr="00F7241A">
        <w:t>burden of disea</w:t>
      </w:r>
      <w:r w:rsidR="009C03FB" w:rsidRPr="00F7241A">
        <w:t>se</w:t>
      </w:r>
      <w:r w:rsidR="0054594B" w:rsidRPr="00F7241A">
        <w:t xml:space="preserve"> in terms of both morbidity and mortality</w:t>
      </w:r>
      <w:r w:rsidR="00197D29" w:rsidRPr="00F7241A">
        <w:t>:</w:t>
      </w:r>
    </w:p>
    <w:p w14:paraId="4D7328BF" w14:textId="2040D975" w:rsidR="00E6470A" w:rsidRDefault="00E6470A" w:rsidP="00E6470A">
      <w:pPr>
        <w:ind w:left="360"/>
      </w:pPr>
      <w:r>
        <w:t xml:space="preserve">Ventricular arrhythmias are potentially fatal and </w:t>
      </w:r>
      <w:r w:rsidRPr="00E6470A">
        <w:t>caused by electrical activation originating from an abnormal focus or electrical circuit in the myocardium of the ventricles</w:t>
      </w:r>
      <w:r>
        <w:t>.  A</w:t>
      </w:r>
      <w:r w:rsidRPr="00E6470A">
        <w:t xml:space="preserve">pproximately 25% of deaths are attributable to </w:t>
      </w:r>
      <w:r>
        <w:t>SCD</w:t>
      </w:r>
      <w:r w:rsidRPr="00E6470A">
        <w:t xml:space="preserve"> (</w:t>
      </w:r>
      <w:r>
        <w:t xml:space="preserve">males: </w:t>
      </w:r>
      <w:r w:rsidRPr="00E6470A">
        <w:t>6.7 per 100,000 person years</w:t>
      </w:r>
      <w:r>
        <w:t xml:space="preserve"> vs females: 1.4 per 100,000 person years</w:t>
      </w:r>
      <w:r w:rsidRPr="00E6470A">
        <w:t>)</w:t>
      </w:r>
      <w:r>
        <w:t xml:space="preserve"> wh</w:t>
      </w:r>
      <w:r w:rsidRPr="00E6470A">
        <w:t>ich is an established conseque</w:t>
      </w:r>
      <w:r w:rsidR="00D55A0B">
        <w:t>nce of ventricular arrhythmias.</w:t>
      </w:r>
      <w:r w:rsidR="00D55A0B">
        <w:rPr>
          <w:rStyle w:val="FootnoteReference"/>
        </w:rPr>
        <w:footnoteReference w:id="5"/>
      </w:r>
    </w:p>
    <w:p w14:paraId="7BE20F3B" w14:textId="3574BC54" w:rsidR="00ED19C7" w:rsidRPr="00FC58EF" w:rsidRDefault="00E6470A" w:rsidP="00FC58EF">
      <w:pPr>
        <w:ind w:left="360"/>
      </w:pPr>
      <w:r w:rsidRPr="00E6470A">
        <w:t xml:space="preserve">The risk of VT and of consequent SCD varies </w:t>
      </w:r>
      <w:proofErr w:type="gramStart"/>
      <w:r w:rsidRPr="00E6470A">
        <w:t>on the basis of</w:t>
      </w:r>
      <w:proofErr w:type="gramEnd"/>
      <w:r w:rsidRPr="00E6470A">
        <w:t xml:space="preserve"> underlying cardiac conditions as well as other medical</w:t>
      </w:r>
      <w:r>
        <w:t xml:space="preserve"> and genetic predispositions.</w:t>
      </w:r>
      <w:r>
        <w:rPr>
          <w:rStyle w:val="FootnoteReference"/>
        </w:rPr>
        <w:footnoteReference w:id="6"/>
      </w:r>
    </w:p>
    <w:p w14:paraId="7F9FAEF7" w14:textId="77777777" w:rsidR="00AA5FDA" w:rsidRPr="00F7241A" w:rsidRDefault="00AA5FDA" w:rsidP="00530204">
      <w:pPr>
        <w:pStyle w:val="Heading2"/>
      </w:pPr>
      <w:r w:rsidRPr="00F7241A">
        <w:t>Specify any characteristics of patients with the medical condition</w:t>
      </w:r>
      <w:r w:rsidR="00707D4D" w:rsidRPr="00F7241A">
        <w:t>, or suspected of,</w:t>
      </w:r>
      <w:r w:rsidRPr="00F7241A">
        <w:t xml:space="preserve"> who are proposed to be eligible for the proposed medical service</w:t>
      </w:r>
      <w:r w:rsidR="00102686" w:rsidRPr="00F7241A">
        <w:t>, including any details of how a patient w</w:t>
      </w:r>
      <w:r w:rsidR="0054594B" w:rsidRPr="00F7241A">
        <w:t>ould be</w:t>
      </w:r>
      <w:r w:rsidR="00102686" w:rsidRPr="00F7241A">
        <w:t xml:space="preserve"> </w:t>
      </w:r>
      <w:r w:rsidR="0018630F" w:rsidRPr="00F7241A">
        <w:t>investigated</w:t>
      </w:r>
      <w:r w:rsidR="0054594B" w:rsidRPr="00F7241A">
        <w:t>,</w:t>
      </w:r>
      <w:r w:rsidR="0018630F" w:rsidRPr="00F7241A">
        <w:t xml:space="preserve"> </w:t>
      </w:r>
      <w:proofErr w:type="gramStart"/>
      <w:r w:rsidR="0018630F" w:rsidRPr="00F7241A">
        <w:t>managed</w:t>
      </w:r>
      <w:proofErr w:type="gramEnd"/>
      <w:r w:rsidR="0018630F" w:rsidRPr="00F7241A">
        <w:t xml:space="preserve"> </w:t>
      </w:r>
      <w:r w:rsidR="0054594B" w:rsidRPr="00F7241A">
        <w:t xml:space="preserve">and referred </w:t>
      </w:r>
      <w:r w:rsidR="007D2358" w:rsidRPr="00F7241A">
        <w:t xml:space="preserve">within the Australian health care system </w:t>
      </w:r>
      <w:r w:rsidR="0018630F" w:rsidRPr="00F7241A">
        <w:t xml:space="preserve">in the lead up to being considered </w:t>
      </w:r>
      <w:r w:rsidR="00DF6D37" w:rsidRPr="00F7241A">
        <w:t xml:space="preserve">eligible </w:t>
      </w:r>
      <w:r w:rsidR="0018630F" w:rsidRPr="00F7241A">
        <w:t>for the service</w:t>
      </w:r>
      <w:r w:rsidR="00197D29" w:rsidRPr="00F7241A">
        <w:t>:</w:t>
      </w:r>
    </w:p>
    <w:p w14:paraId="67B53B12" w14:textId="2D453721" w:rsidR="006428E3" w:rsidRPr="00F7241A" w:rsidRDefault="006428E3" w:rsidP="00E50F47">
      <w:pPr>
        <w:ind w:left="360"/>
        <w:rPr>
          <w:szCs w:val="20"/>
        </w:rPr>
      </w:pPr>
      <w:r w:rsidRPr="00F7241A">
        <w:rPr>
          <w:szCs w:val="20"/>
        </w:rPr>
        <w:t xml:space="preserve">The proposed population is patients who are indicated for single-chamber ICD therapy with/without the need for pacing. Specifically, patients who have one of the following: (a) a history of </w:t>
      </w:r>
      <w:proofErr w:type="spellStart"/>
      <w:r w:rsidRPr="00F7241A">
        <w:rPr>
          <w:szCs w:val="20"/>
        </w:rPr>
        <w:t>haemodynamically</w:t>
      </w:r>
      <w:proofErr w:type="spellEnd"/>
      <w:r w:rsidRPr="00F7241A">
        <w:rPr>
          <w:szCs w:val="20"/>
        </w:rPr>
        <w:t xml:space="preserve"> significant ventricular arrhythmias in the presence of structural heart disease; (b) documented high-risk genetic cardiac disease; (c) ischaemic heart disease, with a left ventricular ejection fraction of less than 30% at least one month after experiencing a myocardial infarction and while on optimised medical therapy; (d) chronic heart failure, classified as New York Heart Association class II or III, with a left ventricular ejection fraction of less than 35% (despite optimised medical therapy).</w:t>
      </w:r>
      <w:r w:rsidR="00D55A0B">
        <w:rPr>
          <w:rStyle w:val="FootnoteReference"/>
          <w:szCs w:val="20"/>
        </w:rPr>
        <w:footnoteReference w:id="7"/>
      </w:r>
    </w:p>
    <w:p w14:paraId="53586F7F" w14:textId="0EDCA632" w:rsidR="00C045AF" w:rsidRPr="00F7241A" w:rsidRDefault="00034317" w:rsidP="00E50F47">
      <w:pPr>
        <w:ind w:left="360"/>
      </w:pPr>
      <w:r>
        <w:t>The EV-ICD system provides an</w:t>
      </w:r>
      <w:r w:rsidR="00056A3E" w:rsidRPr="00F7241A">
        <w:t xml:space="preserve"> alternative for all patients in need of defibrillation therapy</w:t>
      </w:r>
      <w:r w:rsidR="00440753" w:rsidRPr="00F7241A">
        <w:t xml:space="preserve"> and pacing</w:t>
      </w:r>
      <w:r w:rsidR="00056A3E" w:rsidRPr="00F7241A">
        <w:t xml:space="preserve"> for the treatment of </w:t>
      </w:r>
      <w:r w:rsidR="00440753" w:rsidRPr="00F7241A">
        <w:t>life-threatening</w:t>
      </w:r>
      <w:r w:rsidR="00056A3E" w:rsidRPr="00F7241A">
        <w:t xml:space="preserve"> VA</w:t>
      </w:r>
      <w:r w:rsidR="00440753" w:rsidRPr="00F7241A">
        <w:t xml:space="preserve">.  EV-ICD therapy </w:t>
      </w:r>
      <w:r w:rsidR="00056A3E" w:rsidRPr="00F7241A">
        <w:t xml:space="preserve">may be preferable </w:t>
      </w:r>
      <w:r w:rsidR="00440753" w:rsidRPr="00F7241A">
        <w:t xml:space="preserve">to TV-ICD therapy </w:t>
      </w:r>
      <w:r w:rsidR="00056A3E" w:rsidRPr="00F7241A">
        <w:t>for certain patient groups such as</w:t>
      </w:r>
      <w:r w:rsidR="00440753" w:rsidRPr="00F7241A">
        <w:t xml:space="preserve"> </w:t>
      </w:r>
      <w:r w:rsidR="009679C7" w:rsidRPr="00F7241A">
        <w:t xml:space="preserve">patients with </w:t>
      </w:r>
      <w:r w:rsidR="00056A3E" w:rsidRPr="00F7241A">
        <w:t xml:space="preserve">high–risk of infection </w:t>
      </w:r>
      <w:proofErr w:type="gramStart"/>
      <w:r w:rsidR="007B1987" w:rsidRPr="00F7241A">
        <w:t>e</w:t>
      </w:r>
      <w:r w:rsidR="00056A3E" w:rsidRPr="00F7241A">
        <w:t>.g.</w:t>
      </w:r>
      <w:proofErr w:type="gramEnd"/>
      <w:r w:rsidR="00056A3E" w:rsidRPr="00F7241A">
        <w:t xml:space="preserve"> </w:t>
      </w:r>
      <w:r w:rsidR="007B1987" w:rsidRPr="00F7241A">
        <w:t>patients</w:t>
      </w:r>
      <w:r w:rsidR="00056A3E" w:rsidRPr="00F7241A">
        <w:t xml:space="preserve"> with renal impairment, diabetes, paediatric or small patients</w:t>
      </w:r>
      <w:r w:rsidR="00440753" w:rsidRPr="00F7241A">
        <w:t xml:space="preserve"> or </w:t>
      </w:r>
      <w:r w:rsidR="00056A3E" w:rsidRPr="00F7241A">
        <w:t>patients with difficult venous anatomy</w:t>
      </w:r>
      <w:r w:rsidR="00124796">
        <w:t xml:space="preserve">. </w:t>
      </w:r>
    </w:p>
    <w:p w14:paraId="4FA62E7C" w14:textId="70A569E0" w:rsidR="00C045AF" w:rsidRPr="00F7241A" w:rsidRDefault="006428E3" w:rsidP="00E50F47">
      <w:pPr>
        <w:ind w:left="360"/>
      </w:pPr>
      <w:r w:rsidRPr="00F7241A">
        <w:t xml:space="preserve">A cardiologist or cardiac specialist will assess each patient for suitability for EV-ICD therapy in the clinical setting and the diagnostic tests required are the same as for TV-ICD.  </w:t>
      </w:r>
    </w:p>
    <w:p w14:paraId="35521BBF" w14:textId="77777777" w:rsidR="0018630F" w:rsidRPr="00F7241A" w:rsidRDefault="0018630F" w:rsidP="00530204">
      <w:pPr>
        <w:pStyle w:val="Heading2"/>
      </w:pPr>
      <w:r w:rsidRPr="00F7241A">
        <w:t xml:space="preserve">Define and summarise the current clinical management pathway </w:t>
      </w:r>
      <w:r w:rsidRPr="00F7241A">
        <w:rPr>
          <w:i/>
        </w:rPr>
        <w:t>before</w:t>
      </w:r>
      <w:r w:rsidRPr="00F7241A">
        <w:t xml:space="preserve"> patients would be eligible for the proposed medical service (supplement this summary with </w:t>
      </w:r>
      <w:r w:rsidR="00F33F1A" w:rsidRPr="00F7241A">
        <w:t xml:space="preserve">an </w:t>
      </w:r>
      <w:proofErr w:type="gramStart"/>
      <w:r w:rsidR="00F33F1A" w:rsidRPr="00F7241A">
        <w:t>easy to follow</w:t>
      </w:r>
      <w:proofErr w:type="gramEnd"/>
      <w:r w:rsidR="00F33F1A" w:rsidRPr="00F7241A">
        <w:t xml:space="preserve"> flowchart </w:t>
      </w:r>
      <w:r w:rsidR="00DF0C51" w:rsidRPr="00F7241A">
        <w:t xml:space="preserve">[as an attachment to the Application Form] </w:t>
      </w:r>
      <w:r w:rsidR="00F33F1A" w:rsidRPr="00F7241A">
        <w:t>dep</w:t>
      </w:r>
      <w:r w:rsidRPr="00F7241A">
        <w:t>icting the current clinical manag</w:t>
      </w:r>
      <w:r w:rsidR="00197D29" w:rsidRPr="00F7241A">
        <w:t>ement pathway up to this point):</w:t>
      </w:r>
    </w:p>
    <w:p w14:paraId="6AAAEB48" w14:textId="4C304A16" w:rsidR="00CA1541" w:rsidRPr="00F7241A" w:rsidRDefault="006428E3" w:rsidP="00CA1541">
      <w:pPr>
        <w:ind w:left="426"/>
      </w:pPr>
      <w:r w:rsidRPr="00F7241A">
        <w:t>The most common methods for treating VA are antiarrhythmic medications (</w:t>
      </w:r>
      <w:proofErr w:type="gramStart"/>
      <w:r w:rsidRPr="00F7241A">
        <w:t>i.e.</w:t>
      </w:r>
      <w:proofErr w:type="gramEnd"/>
      <w:r w:rsidRPr="00F7241A">
        <w:t xml:space="preserve"> beta blockers), ICDs and cardiac ablation surgery.</w:t>
      </w:r>
      <w:r w:rsidRPr="00F7241A">
        <w:rPr>
          <w:rStyle w:val="FootnoteReference"/>
        </w:rPr>
        <w:footnoteReference w:id="8"/>
      </w:r>
      <w:r w:rsidRPr="00F7241A">
        <w:t xml:space="preserve"> </w:t>
      </w:r>
      <w:r w:rsidR="00C969E9" w:rsidRPr="00F7241A">
        <w:t xml:space="preserve">A cardiologist or cardiac specialist will assess each patient for suitability for EV-ICD therapy in the clinical setting and the </w:t>
      </w:r>
      <w:r w:rsidR="007B1987" w:rsidRPr="00F7241A">
        <w:t xml:space="preserve">diagnostic tests required are the same as for TV-ICD.  </w:t>
      </w:r>
      <w:r w:rsidR="00CA1541" w:rsidRPr="00F7241A">
        <w:t>The clinician will select the appropriate defibrillation system based on the necessary functions of that system (defibrillation, pacing, resynchronisation etc.) and risks involved.</w:t>
      </w:r>
    </w:p>
    <w:p w14:paraId="7BEB93CA" w14:textId="291B4A97" w:rsidR="00CA1541" w:rsidRPr="00F7241A" w:rsidRDefault="003F6638" w:rsidP="006428E3">
      <w:pPr>
        <w:ind w:left="426"/>
      </w:pPr>
      <w:r w:rsidRPr="00F7241A">
        <w:lastRenderedPageBreak/>
        <w:t xml:space="preserve">Tests prior to EV-ICD/TV-ICD implantation include an electrocardiogram and cardiac echocardiogram, possibly cardiac catheterisation, cardiac </w:t>
      </w:r>
      <w:proofErr w:type="gramStart"/>
      <w:r w:rsidRPr="00F7241A">
        <w:t>MRI</w:t>
      </w:r>
      <w:proofErr w:type="gramEnd"/>
      <w:r w:rsidRPr="00F7241A">
        <w:t xml:space="preserve"> and cardiac biopsy.  </w:t>
      </w:r>
      <w:r w:rsidR="007B1987" w:rsidRPr="00F7241A">
        <w:t>Optimal medical and pharmaceutical therapy for</w:t>
      </w:r>
      <w:r w:rsidR="00CA1541" w:rsidRPr="00F7241A">
        <w:t xml:space="preserve"> chronic heart failure is </w:t>
      </w:r>
      <w:r w:rsidR="007B1987" w:rsidRPr="00F7241A">
        <w:t>provided in accordance with Australian clinical practice guidelines.</w:t>
      </w:r>
      <w:r w:rsidR="007B1987" w:rsidRPr="00F7241A">
        <w:rPr>
          <w:rStyle w:val="FootnoteReference"/>
        </w:rPr>
        <w:footnoteReference w:id="9"/>
      </w:r>
      <w:r w:rsidR="007B1987" w:rsidRPr="00F7241A">
        <w:t xml:space="preserve"> </w:t>
      </w:r>
      <w:r w:rsidR="006428E3" w:rsidRPr="00F7241A">
        <w:t xml:space="preserve"> </w:t>
      </w:r>
    </w:p>
    <w:p w14:paraId="30CE1D19" w14:textId="4681C83D" w:rsidR="007B1987" w:rsidRPr="00F7241A" w:rsidRDefault="006428E3" w:rsidP="006428E3">
      <w:pPr>
        <w:ind w:left="426"/>
      </w:pPr>
      <w:r w:rsidRPr="00F7241A">
        <w:t>See Attachment A – Clinical management algorithm attached.</w:t>
      </w:r>
    </w:p>
    <w:p w14:paraId="3F5DA372" w14:textId="77777777" w:rsidR="002A50FD" w:rsidRPr="00F7241A" w:rsidRDefault="005C3AE7" w:rsidP="00E50F47">
      <w:pPr>
        <w:pStyle w:val="Subtitle"/>
        <w:ind w:left="0"/>
      </w:pPr>
      <w:r w:rsidRPr="00F7241A">
        <w:t xml:space="preserve">PART 6b – </w:t>
      </w:r>
      <w:r w:rsidR="002A50FD" w:rsidRPr="00F7241A">
        <w:t>INFORMATION ABOUT THE INTERVENTION</w:t>
      </w:r>
    </w:p>
    <w:p w14:paraId="0654134D" w14:textId="77777777" w:rsidR="002A50FD" w:rsidRPr="00F7241A" w:rsidRDefault="002A6753" w:rsidP="00530204">
      <w:pPr>
        <w:pStyle w:val="Heading2"/>
      </w:pPr>
      <w:r w:rsidRPr="00F7241A">
        <w:t xml:space="preserve">Describe the </w:t>
      </w:r>
      <w:r w:rsidR="00DF6D37" w:rsidRPr="00F7241A">
        <w:t>key components and</w:t>
      </w:r>
      <w:r w:rsidR="00B771AD" w:rsidRPr="00F7241A">
        <w:t xml:space="preserve"> clinical</w:t>
      </w:r>
      <w:r w:rsidR="00DF6D37" w:rsidRPr="00F7241A">
        <w:t xml:space="preserve"> steps involved in delivering </w:t>
      </w:r>
      <w:r w:rsidR="00C05A45" w:rsidRPr="00F7241A">
        <w:t xml:space="preserve">the </w:t>
      </w:r>
      <w:r w:rsidR="00197D29" w:rsidRPr="00F7241A">
        <w:t>proposed medical service:</w:t>
      </w:r>
    </w:p>
    <w:p w14:paraId="517F7B2C" w14:textId="415D4417" w:rsidR="007C1D9B" w:rsidRPr="00F7241A" w:rsidRDefault="007C1D9B" w:rsidP="00B62D18">
      <w:pPr>
        <w:ind w:left="426"/>
      </w:pPr>
      <w:r w:rsidRPr="00F7241A">
        <w:t xml:space="preserve">EV-ICD system implantation is commonly provided under conscious or general sedation, as is TV-ICD.  An anaesthetist may be required to provide the appropriate level of sedation and a chest x-ray with fluoroscopic screening is required.  </w:t>
      </w:r>
    </w:p>
    <w:p w14:paraId="5B9E4DA8" w14:textId="7A3B8B9A" w:rsidR="008E12B8" w:rsidRPr="00F7241A" w:rsidRDefault="00DE1269" w:rsidP="007A30F0">
      <w:pPr>
        <w:ind w:left="426"/>
        <w:rPr>
          <w:szCs w:val="20"/>
        </w:rPr>
      </w:pPr>
      <w:r w:rsidRPr="00F7241A">
        <w:rPr>
          <w:szCs w:val="20"/>
        </w:rPr>
        <w:t>The battery-powered pulse generator is implanted in a pouch under the skin</w:t>
      </w:r>
      <w:r w:rsidR="008E12B8">
        <w:rPr>
          <w:szCs w:val="20"/>
        </w:rPr>
        <w:t xml:space="preserve"> </w:t>
      </w:r>
      <w:r w:rsidR="008E12B8">
        <w:t>near the serratus on the left side</w:t>
      </w:r>
      <w:r w:rsidR="000B0F3C">
        <w:t xml:space="preserve"> of the patient</w:t>
      </w:r>
      <w:r w:rsidR="00D532BC">
        <w:t xml:space="preserve">. </w:t>
      </w:r>
      <w:r w:rsidR="00720982">
        <w:rPr>
          <w:szCs w:val="20"/>
        </w:rPr>
        <w:t xml:space="preserve">The wire </w:t>
      </w:r>
      <w:r w:rsidRPr="00F7241A">
        <w:rPr>
          <w:szCs w:val="20"/>
        </w:rPr>
        <w:t>(electrode) run</w:t>
      </w:r>
      <w:r w:rsidR="00720982">
        <w:rPr>
          <w:szCs w:val="20"/>
        </w:rPr>
        <w:t>s</w:t>
      </w:r>
      <w:r w:rsidRPr="00F7241A">
        <w:rPr>
          <w:szCs w:val="20"/>
        </w:rPr>
        <w:t xml:space="preserve"> from the pulse generator to the </w:t>
      </w:r>
      <w:r w:rsidR="008E12B8" w:rsidRPr="00555AB0">
        <w:t>anterior mediastinum</w:t>
      </w:r>
      <w:r w:rsidR="003B41E2">
        <w:t>.</w:t>
      </w:r>
      <w:r w:rsidR="008E12B8" w:rsidRPr="007D5454" w:rsidDel="00EA5C8A">
        <w:t xml:space="preserve"> </w:t>
      </w:r>
      <w:r w:rsidR="008E12B8" w:rsidRPr="007D5454">
        <w:t xml:space="preserve">  </w:t>
      </w:r>
    </w:p>
    <w:p w14:paraId="04DC7F93" w14:textId="67A96E2F" w:rsidR="00B62D18" w:rsidRPr="00082192" w:rsidRDefault="00CA1E35" w:rsidP="00DE1269">
      <w:pPr>
        <w:ind w:left="426"/>
        <w:rPr>
          <w:szCs w:val="20"/>
        </w:rPr>
      </w:pPr>
      <w:r w:rsidRPr="00F7241A">
        <w:t>The EV ICD System consists of a 33 cm</w:t>
      </w:r>
      <w:r w:rsidRPr="00F7241A">
        <w:rPr>
          <w:vertAlign w:val="superscript"/>
        </w:rPr>
        <w:t>3</w:t>
      </w:r>
      <w:r w:rsidRPr="00F7241A">
        <w:t xml:space="preserve"> </w:t>
      </w:r>
      <w:r w:rsidR="00B62D18" w:rsidRPr="00F7241A">
        <w:t>defibrillator</w:t>
      </w:r>
      <w:r w:rsidRPr="00F7241A">
        <w:t xml:space="preserve"> </w:t>
      </w:r>
      <w:r w:rsidR="00B62D18" w:rsidRPr="00F7241A">
        <w:t>capable of delivering up to 40 J of defibrillation</w:t>
      </w:r>
      <w:r w:rsidRPr="00F7241A">
        <w:t xml:space="preserve"> e</w:t>
      </w:r>
      <w:r w:rsidR="00B62D18" w:rsidRPr="00F7241A">
        <w:t>nergy</w:t>
      </w:r>
      <w:r w:rsidRPr="00F7241A">
        <w:t xml:space="preserve"> an</w:t>
      </w:r>
      <w:r w:rsidR="009E46D3" w:rsidRPr="00F7241A">
        <w:t xml:space="preserve">d multi-lumen epsilon‐shaped leads designed for </w:t>
      </w:r>
      <w:r w:rsidR="00B62D18" w:rsidRPr="00F7241A">
        <w:rPr>
          <w:szCs w:val="20"/>
        </w:rPr>
        <w:t>fixat</w:t>
      </w:r>
      <w:r w:rsidR="007C1D9B" w:rsidRPr="00F7241A">
        <w:rPr>
          <w:szCs w:val="20"/>
        </w:rPr>
        <w:t>ion within the substernal space.</w:t>
      </w:r>
      <w:r w:rsidR="00DE1269" w:rsidRPr="00F7241A">
        <w:rPr>
          <w:szCs w:val="20"/>
        </w:rPr>
        <w:t xml:space="preserve">  </w:t>
      </w:r>
      <w:r w:rsidR="00B62D18" w:rsidRPr="00F7241A">
        <w:rPr>
          <w:szCs w:val="20"/>
        </w:rPr>
        <w:t>There are two pace/sense electrodes and two defibrillation coil</w:t>
      </w:r>
      <w:r w:rsidRPr="00F7241A">
        <w:rPr>
          <w:szCs w:val="20"/>
        </w:rPr>
        <w:t xml:space="preserve"> </w:t>
      </w:r>
      <w:r w:rsidR="00B62D18" w:rsidRPr="00F7241A">
        <w:rPr>
          <w:szCs w:val="20"/>
        </w:rPr>
        <w:t>segments that are electrically coupled during defibrillation to form an</w:t>
      </w:r>
      <w:r w:rsidRPr="00F7241A">
        <w:rPr>
          <w:szCs w:val="20"/>
        </w:rPr>
        <w:t xml:space="preserve"> </w:t>
      </w:r>
      <w:r w:rsidR="00B62D18" w:rsidRPr="00F7241A">
        <w:rPr>
          <w:szCs w:val="20"/>
        </w:rPr>
        <w:t xml:space="preserve">8 cm defibrillation coil. </w:t>
      </w:r>
      <w:r w:rsidRPr="00F7241A">
        <w:rPr>
          <w:szCs w:val="20"/>
        </w:rPr>
        <w:t xml:space="preserve"> </w:t>
      </w:r>
      <w:r w:rsidR="00DE1269" w:rsidRPr="00F7241A">
        <w:rPr>
          <w:szCs w:val="20"/>
        </w:rPr>
        <w:t xml:space="preserve">During surgery, the electrodes are orientated </w:t>
      </w:r>
      <w:r w:rsidR="007C1D9B" w:rsidRPr="00F7241A">
        <w:rPr>
          <w:szCs w:val="20"/>
        </w:rPr>
        <w:t xml:space="preserve">to the left to optimise sensing and pacing therapies and the coils </w:t>
      </w:r>
      <w:r w:rsidR="00DE1269" w:rsidRPr="00F7241A">
        <w:rPr>
          <w:szCs w:val="20"/>
        </w:rPr>
        <w:t xml:space="preserve">are orientated </w:t>
      </w:r>
      <w:r w:rsidR="007C1D9B" w:rsidRPr="00F7241A">
        <w:rPr>
          <w:szCs w:val="20"/>
        </w:rPr>
        <w:t xml:space="preserve">to the right to facilitate </w:t>
      </w:r>
      <w:r w:rsidR="007C1D9B" w:rsidRPr="00082192">
        <w:rPr>
          <w:szCs w:val="20"/>
        </w:rPr>
        <w:t>defibrillation therapy.</w:t>
      </w:r>
    </w:p>
    <w:p w14:paraId="7978FBD9" w14:textId="36B0D7DC" w:rsidR="002A6753" w:rsidRPr="00082192" w:rsidRDefault="002A6753" w:rsidP="00E50F47">
      <w:pPr>
        <w:pStyle w:val="Heading2"/>
        <w:ind w:left="357" w:hanging="357"/>
        <w:contextualSpacing w:val="0"/>
      </w:pPr>
      <w:r w:rsidRPr="00082192">
        <w:t>Does the proposed medical service include a registered trademark</w:t>
      </w:r>
      <w:r w:rsidR="00707D4D" w:rsidRPr="00082192">
        <w:t xml:space="preserve"> component</w:t>
      </w:r>
      <w:r w:rsidRPr="00082192">
        <w:t xml:space="preserve"> with characteristics that distinguishes it from other similar health </w:t>
      </w:r>
      <w:r w:rsidR="00707D4D" w:rsidRPr="00082192">
        <w:t>components</w:t>
      </w:r>
      <w:r w:rsidRPr="00082192">
        <w:t>?</w:t>
      </w:r>
    </w:p>
    <w:p w14:paraId="225C6CF2" w14:textId="636D8484" w:rsidR="00F43E50" w:rsidRPr="00082192" w:rsidRDefault="00F43E50" w:rsidP="00E50F47">
      <w:pPr>
        <w:pStyle w:val="Heading2"/>
        <w:numPr>
          <w:ilvl w:val="0"/>
          <w:numId w:val="0"/>
        </w:numPr>
        <w:ind w:left="357"/>
        <w:contextualSpacing w:val="0"/>
        <w:rPr>
          <w:b w:val="0"/>
          <w:szCs w:val="22"/>
        </w:rPr>
      </w:pPr>
      <w:r w:rsidRPr="00082192">
        <w:rPr>
          <w:b w:val="0"/>
          <w:szCs w:val="22"/>
        </w:rPr>
        <w:t xml:space="preserve">Aurora EV-ICD is trademarked </w:t>
      </w:r>
    </w:p>
    <w:p w14:paraId="31A77A32" w14:textId="3BE9E46D" w:rsidR="00C22AD8" w:rsidRPr="00082192" w:rsidRDefault="00C22AD8" w:rsidP="00F43E50">
      <w:pPr>
        <w:pStyle w:val="Heading2"/>
      </w:pPr>
      <w:r w:rsidRPr="00082192">
        <w:t>If the proposed medical service has a prosthesis or device component to it, does it involve a new approach towards managing a particular sub-group of the population with the specific medical condition?</w:t>
      </w:r>
    </w:p>
    <w:p w14:paraId="1A3D8623" w14:textId="67D088E9" w:rsidR="00413F36" w:rsidRPr="00082192" w:rsidRDefault="00413F36" w:rsidP="00E357B9">
      <w:pPr>
        <w:ind w:left="426"/>
        <w:rPr>
          <w:szCs w:val="20"/>
        </w:rPr>
      </w:pPr>
      <w:r w:rsidRPr="00082192">
        <w:rPr>
          <w:szCs w:val="20"/>
        </w:rPr>
        <w:t>Patients who are not candidates for TV-ICD including those who have high–risk of infection (</w:t>
      </w:r>
      <w:proofErr w:type="gramStart"/>
      <w:r w:rsidRPr="00082192">
        <w:rPr>
          <w:szCs w:val="20"/>
        </w:rPr>
        <w:t>e.g.</w:t>
      </w:r>
      <w:proofErr w:type="gramEnd"/>
      <w:r w:rsidRPr="00082192">
        <w:rPr>
          <w:szCs w:val="20"/>
        </w:rPr>
        <w:t xml:space="preserve"> dialysis patients) or have venous occlusions.</w:t>
      </w:r>
      <w:r w:rsidR="00F7241A" w:rsidRPr="00082192">
        <w:rPr>
          <w:szCs w:val="20"/>
        </w:rPr>
        <w:t xml:space="preserve">  </w:t>
      </w:r>
      <w:r w:rsidR="00F7241A" w:rsidRPr="00082192">
        <w:t>See Questions 49 and 50 for further information.</w:t>
      </w:r>
    </w:p>
    <w:p w14:paraId="454FB7F2" w14:textId="77777777" w:rsidR="006B1B49" w:rsidRPr="00082192" w:rsidRDefault="006B1B49" w:rsidP="00530204">
      <w:pPr>
        <w:pStyle w:val="Heading2"/>
      </w:pPr>
      <w:r w:rsidRPr="00082192">
        <w:t xml:space="preserve">If applicable, are there any limitations on the </w:t>
      </w:r>
      <w:r w:rsidR="00DF0C51" w:rsidRPr="00082192">
        <w:t xml:space="preserve">provision </w:t>
      </w:r>
      <w:r w:rsidRPr="00082192">
        <w:t>of the proposed medical se</w:t>
      </w:r>
      <w:r w:rsidR="00DF0C51" w:rsidRPr="00082192">
        <w:t xml:space="preserve">rvice delivered to the patient </w:t>
      </w:r>
      <w:r w:rsidR="00D30BDC" w:rsidRPr="00082192">
        <w:t>(</w:t>
      </w:r>
      <w:proofErr w:type="gramStart"/>
      <w:r w:rsidR="00DF0C51" w:rsidRPr="00082192">
        <w:t>i</w:t>
      </w:r>
      <w:r w:rsidR="00812EDD" w:rsidRPr="00082192">
        <w:t>.</w:t>
      </w:r>
      <w:r w:rsidR="00DF0C51" w:rsidRPr="00082192">
        <w:t>e.</w:t>
      </w:r>
      <w:proofErr w:type="gramEnd"/>
      <w:r w:rsidR="00DF0C51" w:rsidRPr="00082192">
        <w:t xml:space="preserve"> </w:t>
      </w:r>
      <w:r w:rsidR="00707D4D" w:rsidRPr="00082192">
        <w:t xml:space="preserve">accessibility, </w:t>
      </w:r>
      <w:r w:rsidR="00DF0C51" w:rsidRPr="00082192">
        <w:t>dosage, quantity, duration or frequency</w:t>
      </w:r>
      <w:r w:rsidR="00D30BDC" w:rsidRPr="00082192">
        <w:t>)</w:t>
      </w:r>
      <w:r w:rsidR="00AE1188" w:rsidRPr="00082192">
        <w:t>:</w:t>
      </w:r>
    </w:p>
    <w:p w14:paraId="6BAB4E91" w14:textId="07461D0F" w:rsidR="005B1B6E" w:rsidRPr="00082192" w:rsidRDefault="005B1B6E" w:rsidP="00056A3E">
      <w:pPr>
        <w:ind w:left="426"/>
        <w:rPr>
          <w:szCs w:val="20"/>
        </w:rPr>
      </w:pPr>
      <w:r w:rsidRPr="00082192">
        <w:rPr>
          <w:szCs w:val="20"/>
        </w:rPr>
        <w:t>It is anticipated that in nearly all cases that EV-ICD would be delivered only once in a lifetime.</w:t>
      </w:r>
      <w:r w:rsidR="00056A3E" w:rsidRPr="00082192">
        <w:rPr>
          <w:szCs w:val="20"/>
        </w:rPr>
        <w:t xml:space="preserve">  If the patient requires a new generator (in the event </w:t>
      </w:r>
      <w:r w:rsidR="00157302" w:rsidRPr="00082192">
        <w:rPr>
          <w:szCs w:val="20"/>
        </w:rPr>
        <w:t>of battery depletion</w:t>
      </w:r>
      <w:r w:rsidR="00056A3E" w:rsidRPr="00082192">
        <w:rPr>
          <w:szCs w:val="20"/>
        </w:rPr>
        <w:t>) then the new generator can be connected to the existing EV-ICD lead.</w:t>
      </w:r>
    </w:p>
    <w:p w14:paraId="1316DBE0" w14:textId="77777777" w:rsidR="00791C8D" w:rsidRPr="00082192" w:rsidRDefault="00791C8D" w:rsidP="00530204">
      <w:pPr>
        <w:pStyle w:val="Heading2"/>
      </w:pPr>
      <w:r w:rsidRPr="00082192">
        <w:t xml:space="preserve">If applicable, identify any healthcare resources </w:t>
      </w:r>
      <w:r w:rsidR="007522E3" w:rsidRPr="00082192">
        <w:t xml:space="preserve">or other medical services </w:t>
      </w:r>
      <w:r w:rsidRPr="00082192">
        <w:t xml:space="preserve">that would need to be delivered </w:t>
      </w:r>
      <w:r w:rsidRPr="00082192">
        <w:rPr>
          <w:u w:val="single"/>
        </w:rPr>
        <w:t>at the same time</w:t>
      </w:r>
      <w:r w:rsidRPr="00082192">
        <w:t xml:space="preserve"> </w:t>
      </w:r>
      <w:r w:rsidR="00197D29" w:rsidRPr="00082192">
        <w:t>as the proposed medical service:</w:t>
      </w:r>
    </w:p>
    <w:p w14:paraId="1E8EABAB" w14:textId="6AACACC7" w:rsidR="005B1B6E" w:rsidRPr="00082192" w:rsidRDefault="005B1B6E" w:rsidP="005B1B6E">
      <w:pPr>
        <w:ind w:left="360"/>
      </w:pPr>
      <w:r w:rsidRPr="00082192">
        <w:t xml:space="preserve">It is not anticipated that additional resources or medical services would be delivered at the same time, other than those that would occur during the EV-ICD admission. </w:t>
      </w:r>
    </w:p>
    <w:p w14:paraId="1CF9C9BF" w14:textId="77777777" w:rsidR="00B17E26" w:rsidRPr="00082192" w:rsidRDefault="00B17E26" w:rsidP="00530204">
      <w:pPr>
        <w:pStyle w:val="Heading2"/>
      </w:pPr>
      <w:r w:rsidRPr="00082192">
        <w:t>If applicable, advise which health profession</w:t>
      </w:r>
      <w:r w:rsidR="00E4321E" w:rsidRPr="00082192">
        <w:t xml:space="preserve">als </w:t>
      </w:r>
      <w:r w:rsidRPr="00082192">
        <w:t>will</w:t>
      </w:r>
      <w:r w:rsidR="00E4321E" w:rsidRPr="00082192">
        <w:t xml:space="preserve"> </w:t>
      </w:r>
      <w:r w:rsidR="007D2358" w:rsidRPr="00082192">
        <w:t xml:space="preserve">primarily deliver the </w:t>
      </w:r>
      <w:r w:rsidR="00E4321E" w:rsidRPr="00082192">
        <w:t xml:space="preserve">proposed </w:t>
      </w:r>
      <w:r w:rsidR="00AE1188" w:rsidRPr="00082192">
        <w:t>service:</w:t>
      </w:r>
    </w:p>
    <w:p w14:paraId="61E073E8" w14:textId="7ECAA51A" w:rsidR="005B1B6E" w:rsidRPr="00082192" w:rsidRDefault="005B1B6E" w:rsidP="00884E69">
      <w:pPr>
        <w:ind w:left="426"/>
        <w:rPr>
          <w:szCs w:val="20"/>
        </w:rPr>
      </w:pPr>
      <w:r w:rsidRPr="00082192">
        <w:rPr>
          <w:szCs w:val="20"/>
        </w:rPr>
        <w:t xml:space="preserve">An </w:t>
      </w:r>
      <w:r w:rsidR="001A4504" w:rsidRPr="00082192">
        <w:rPr>
          <w:szCs w:val="20"/>
        </w:rPr>
        <w:t>electrophysiolog</w:t>
      </w:r>
      <w:r w:rsidR="00AC4F2F" w:rsidRPr="00082192">
        <w:rPr>
          <w:szCs w:val="20"/>
        </w:rPr>
        <w:t>y</w:t>
      </w:r>
      <w:r w:rsidRPr="00082192">
        <w:rPr>
          <w:szCs w:val="20"/>
        </w:rPr>
        <w:t xml:space="preserve"> cardiologist or </w:t>
      </w:r>
      <w:r w:rsidR="00CA1541" w:rsidRPr="00082192">
        <w:rPr>
          <w:szCs w:val="20"/>
        </w:rPr>
        <w:t xml:space="preserve">cardiothoracic </w:t>
      </w:r>
      <w:r w:rsidRPr="00082192">
        <w:rPr>
          <w:szCs w:val="20"/>
        </w:rPr>
        <w:t>surgeon must perform the procedure.</w:t>
      </w:r>
    </w:p>
    <w:p w14:paraId="3D89F7D1" w14:textId="77777777" w:rsidR="00B17E26" w:rsidRPr="00082192" w:rsidRDefault="00B17E26" w:rsidP="00530204">
      <w:pPr>
        <w:pStyle w:val="Heading2"/>
      </w:pPr>
      <w:r w:rsidRPr="00082192">
        <w:t>If applicable, advise whether the proposed medical service could be delegated or referred to another professional for delive</w:t>
      </w:r>
      <w:r w:rsidR="00AE1188" w:rsidRPr="00082192">
        <w:t>ry:</w:t>
      </w:r>
    </w:p>
    <w:p w14:paraId="08B9A726" w14:textId="77777777" w:rsidR="00861FAF" w:rsidRPr="00082192" w:rsidRDefault="00861FAF" w:rsidP="00861FAF">
      <w:pPr>
        <w:ind w:firstLine="360"/>
      </w:pPr>
      <w:r w:rsidRPr="00082192">
        <w:t>The service cannot be delegated.</w:t>
      </w:r>
    </w:p>
    <w:p w14:paraId="7EC9F8EC" w14:textId="77777777" w:rsidR="00EA0E25" w:rsidRPr="00082192" w:rsidRDefault="00EA0E25" w:rsidP="00530204">
      <w:pPr>
        <w:pStyle w:val="Heading2"/>
      </w:pPr>
      <w:r w:rsidRPr="00082192">
        <w:t xml:space="preserve">If applicable, specify any proposed limitations on who might deliver the proposed medical service, or who </w:t>
      </w:r>
      <w:r w:rsidR="00AE1188" w:rsidRPr="00082192">
        <w:t>might provide a referral for it:</w:t>
      </w:r>
    </w:p>
    <w:p w14:paraId="212301F4" w14:textId="6651B338" w:rsidR="00CA1541" w:rsidRPr="00082192" w:rsidRDefault="00CA1541" w:rsidP="00BC424B">
      <w:pPr>
        <w:ind w:left="426"/>
        <w:rPr>
          <w:szCs w:val="20"/>
        </w:rPr>
      </w:pPr>
      <w:r w:rsidRPr="00082192">
        <w:rPr>
          <w:szCs w:val="20"/>
        </w:rPr>
        <w:t>MBS funding is only available for cardiothoracic surgeons or</w:t>
      </w:r>
      <w:r w:rsidR="00124796" w:rsidRPr="00082192">
        <w:rPr>
          <w:szCs w:val="20"/>
        </w:rPr>
        <w:t xml:space="preserve"> </w:t>
      </w:r>
      <w:r w:rsidR="00364961" w:rsidRPr="00082192">
        <w:rPr>
          <w:szCs w:val="20"/>
        </w:rPr>
        <w:t>electroph</w:t>
      </w:r>
      <w:r w:rsidR="006D0228" w:rsidRPr="00082192">
        <w:rPr>
          <w:szCs w:val="20"/>
        </w:rPr>
        <w:t>ysi</w:t>
      </w:r>
      <w:r w:rsidR="00707C39" w:rsidRPr="00082192">
        <w:rPr>
          <w:szCs w:val="20"/>
        </w:rPr>
        <w:t>ology</w:t>
      </w:r>
      <w:r w:rsidRPr="00082192">
        <w:rPr>
          <w:szCs w:val="20"/>
        </w:rPr>
        <w:t xml:space="preserve"> cardiologists.</w:t>
      </w:r>
    </w:p>
    <w:p w14:paraId="5A8146D4" w14:textId="77777777" w:rsidR="00EA0E25" w:rsidRPr="00082192" w:rsidRDefault="00EA0E25" w:rsidP="00530204">
      <w:pPr>
        <w:pStyle w:val="Heading2"/>
      </w:pPr>
      <w:r w:rsidRPr="00082192">
        <w:lastRenderedPageBreak/>
        <w:t xml:space="preserve">If applicable, advise what type of training </w:t>
      </w:r>
      <w:r w:rsidR="009C03FB" w:rsidRPr="00082192">
        <w:t xml:space="preserve">or qualifications </w:t>
      </w:r>
      <w:r w:rsidRPr="00082192">
        <w:t xml:space="preserve">would be required to perform the </w:t>
      </w:r>
      <w:r w:rsidR="007522E3" w:rsidRPr="00082192">
        <w:t xml:space="preserve">proposed </w:t>
      </w:r>
      <w:r w:rsidRPr="00082192">
        <w:t>service</w:t>
      </w:r>
      <w:r w:rsidR="003904AC" w:rsidRPr="00082192">
        <w:t>,</w:t>
      </w:r>
      <w:r w:rsidR="00257FF2" w:rsidRPr="00082192">
        <w:t xml:space="preserve"> as well as any accreditation requirements to suppor</w:t>
      </w:r>
      <w:r w:rsidR="009C03FB" w:rsidRPr="00082192">
        <w:t xml:space="preserve">t </w:t>
      </w:r>
      <w:r w:rsidR="00257FF2" w:rsidRPr="00082192">
        <w:t>service</w:t>
      </w:r>
      <w:r w:rsidR="009C03FB" w:rsidRPr="00082192">
        <w:t xml:space="preserve"> delivery</w:t>
      </w:r>
      <w:r w:rsidR="00AE1188" w:rsidRPr="00082192">
        <w:t>:</w:t>
      </w:r>
    </w:p>
    <w:p w14:paraId="53363927" w14:textId="77777777" w:rsidR="00CA1541" w:rsidRPr="00082192" w:rsidRDefault="00CA1541" w:rsidP="00CA1541">
      <w:pPr>
        <w:ind w:left="426"/>
        <w:rPr>
          <w:szCs w:val="20"/>
        </w:rPr>
      </w:pPr>
      <w:r w:rsidRPr="00082192">
        <w:rPr>
          <w:szCs w:val="20"/>
        </w:rPr>
        <w:t xml:space="preserve">Cardiothoracic surgeons must have completed the Cardiothoracic Surgery Program and be eligible to be a Fellow of the Royal Australasian College of Surgeons or otherwise qualified to practice cardiothoracic surgery in Australia. </w:t>
      </w:r>
    </w:p>
    <w:p w14:paraId="623B80A1" w14:textId="7941437C" w:rsidR="00CA1541" w:rsidRPr="00082192" w:rsidRDefault="002264DD" w:rsidP="00CA1541">
      <w:pPr>
        <w:ind w:left="426"/>
        <w:rPr>
          <w:szCs w:val="20"/>
        </w:rPr>
      </w:pPr>
      <w:r w:rsidRPr="00082192">
        <w:rPr>
          <w:szCs w:val="20"/>
        </w:rPr>
        <w:t>Electrophysiol</w:t>
      </w:r>
      <w:r w:rsidR="00644EFA" w:rsidRPr="00082192">
        <w:rPr>
          <w:szCs w:val="20"/>
        </w:rPr>
        <w:t>ogy</w:t>
      </w:r>
      <w:r w:rsidR="00CA1541" w:rsidRPr="00082192">
        <w:rPr>
          <w:szCs w:val="20"/>
        </w:rPr>
        <w:t xml:space="preserve"> Cardiologists must have completed the Advanced Training Curriculum in Cardiology and be eligible to be a Fellow of the Royal Australasian College of Physicians or otherwise qualified to practice interventional cardiology in Australia.</w:t>
      </w:r>
    </w:p>
    <w:p w14:paraId="0D4F0BA8" w14:textId="166893F3" w:rsidR="00187FBA" w:rsidRPr="00082192" w:rsidRDefault="00187FBA" w:rsidP="00187FBA">
      <w:pPr>
        <w:ind w:left="426"/>
        <w:rPr>
          <w:szCs w:val="20"/>
        </w:rPr>
      </w:pPr>
      <w:r w:rsidRPr="00082192">
        <w:rPr>
          <w:szCs w:val="20"/>
        </w:rPr>
        <w:t xml:space="preserve">Medtronic propose to provide </w:t>
      </w:r>
      <w:r w:rsidR="00644EFA" w:rsidRPr="00082192">
        <w:rPr>
          <w:szCs w:val="20"/>
        </w:rPr>
        <w:t>extensive</w:t>
      </w:r>
      <w:r w:rsidRPr="00082192">
        <w:rPr>
          <w:szCs w:val="20"/>
        </w:rPr>
        <w:t xml:space="preserve"> </w:t>
      </w:r>
      <w:r w:rsidR="008F5F01" w:rsidRPr="00082192">
        <w:rPr>
          <w:szCs w:val="20"/>
        </w:rPr>
        <w:t xml:space="preserve">theoretical and practical </w:t>
      </w:r>
      <w:r w:rsidRPr="00082192">
        <w:rPr>
          <w:szCs w:val="20"/>
        </w:rPr>
        <w:t xml:space="preserve">training </w:t>
      </w:r>
      <w:r w:rsidR="00E5791D" w:rsidRPr="00082192">
        <w:rPr>
          <w:szCs w:val="20"/>
        </w:rPr>
        <w:t xml:space="preserve">in </w:t>
      </w:r>
      <w:r w:rsidRPr="00082192">
        <w:rPr>
          <w:szCs w:val="20"/>
        </w:rPr>
        <w:t xml:space="preserve">EV-ICD </w:t>
      </w:r>
      <w:r w:rsidR="00F2602C" w:rsidRPr="00082192">
        <w:rPr>
          <w:szCs w:val="20"/>
        </w:rPr>
        <w:t>implant</w:t>
      </w:r>
      <w:r w:rsidR="000C4853" w:rsidRPr="00082192">
        <w:rPr>
          <w:szCs w:val="20"/>
        </w:rPr>
        <w:t xml:space="preserve">ation and </w:t>
      </w:r>
      <w:r w:rsidRPr="00082192">
        <w:rPr>
          <w:szCs w:val="20"/>
        </w:rPr>
        <w:t xml:space="preserve">therapy to </w:t>
      </w:r>
      <w:r w:rsidR="00E749E1" w:rsidRPr="00082192">
        <w:rPr>
          <w:szCs w:val="20"/>
        </w:rPr>
        <w:t>implanting physicians</w:t>
      </w:r>
      <w:r w:rsidRPr="00082192">
        <w:rPr>
          <w:szCs w:val="20"/>
        </w:rPr>
        <w:t>.</w:t>
      </w:r>
    </w:p>
    <w:p w14:paraId="576BF80B" w14:textId="5C52D18A" w:rsidR="005F3F07" w:rsidRPr="00082192" w:rsidRDefault="00187FBA" w:rsidP="00530204">
      <w:pPr>
        <w:pStyle w:val="Heading2"/>
      </w:pPr>
      <w:r w:rsidRPr="00082192">
        <w:t xml:space="preserve"> </w:t>
      </w:r>
      <w:r w:rsidR="005C3AE7" w:rsidRPr="00082192">
        <w:t xml:space="preserve">(a) </w:t>
      </w:r>
      <w:r w:rsidR="005F3F07" w:rsidRPr="00082192">
        <w:t>Indicate the proposed setting</w:t>
      </w:r>
      <w:r w:rsidR="00D30BDC" w:rsidRPr="00082192">
        <w:t>(</w:t>
      </w:r>
      <w:r w:rsidR="005F3F07" w:rsidRPr="00082192">
        <w:t>s</w:t>
      </w:r>
      <w:r w:rsidR="00D30BDC" w:rsidRPr="00082192">
        <w:t>)</w:t>
      </w:r>
      <w:r w:rsidR="005F3F07" w:rsidRPr="00082192">
        <w:t xml:space="preserve"> in which the proposed medical service will be delivered</w:t>
      </w:r>
      <w:r w:rsidR="00D30BDC" w:rsidRPr="00082192">
        <w:t xml:space="preserve"> (select </w:t>
      </w:r>
      <w:r w:rsidR="0079354C" w:rsidRPr="00082192">
        <w:rPr>
          <w:u w:val="single"/>
        </w:rPr>
        <w:t>ALL</w:t>
      </w:r>
      <w:r w:rsidR="0079354C" w:rsidRPr="00082192">
        <w:t xml:space="preserve"> </w:t>
      </w:r>
      <w:r w:rsidR="00D30BDC" w:rsidRPr="00082192">
        <w:t>relevant settings)</w:t>
      </w:r>
      <w:r w:rsidR="00AE1188" w:rsidRPr="00082192">
        <w:t>:</w:t>
      </w:r>
    </w:p>
    <w:p w14:paraId="6417A8B1" w14:textId="77777777" w:rsidR="000A478F" w:rsidRPr="00082192" w:rsidRDefault="00E536DE" w:rsidP="000A478F">
      <w:pPr>
        <w:spacing w:before="0" w:after="0"/>
        <w:ind w:left="426"/>
      </w:pPr>
      <w:r w:rsidRPr="00082192">
        <w:rPr>
          <w:szCs w:val="20"/>
        </w:rPr>
        <w:fldChar w:fldCharType="begin">
          <w:ffData>
            <w:name w:val=""/>
            <w:enabled/>
            <w:calcOnExit w:val="0"/>
            <w:checkBox>
              <w:sizeAuto/>
              <w:default w:val="1"/>
            </w:checkBox>
          </w:ffData>
        </w:fldChar>
      </w:r>
      <w:r w:rsidRPr="00082192">
        <w:rPr>
          <w:szCs w:val="20"/>
        </w:rPr>
        <w:instrText xml:space="preserve"> FORMCHECKBOX </w:instrText>
      </w:r>
      <w:r w:rsidR="00082192" w:rsidRPr="00082192">
        <w:rPr>
          <w:szCs w:val="20"/>
        </w:rPr>
      </w:r>
      <w:r w:rsidR="00082192" w:rsidRPr="00082192">
        <w:rPr>
          <w:szCs w:val="20"/>
        </w:rPr>
        <w:fldChar w:fldCharType="separate"/>
      </w:r>
      <w:r w:rsidRPr="00082192">
        <w:rPr>
          <w:szCs w:val="20"/>
        </w:rPr>
        <w:fldChar w:fldCharType="end"/>
      </w:r>
      <w:r w:rsidR="000A478F" w:rsidRPr="00082192">
        <w:rPr>
          <w:szCs w:val="20"/>
        </w:rPr>
        <w:t xml:space="preserve"> </w:t>
      </w:r>
      <w:r w:rsidR="000A478F" w:rsidRPr="00082192">
        <w:t>Inpatient private hospital</w:t>
      </w:r>
      <w:r w:rsidR="0079354C" w:rsidRPr="00082192">
        <w:t xml:space="preserve"> (admitted patient)</w:t>
      </w:r>
    </w:p>
    <w:p w14:paraId="7AAF8150" w14:textId="77777777" w:rsidR="000A478F" w:rsidRPr="00082192" w:rsidRDefault="00E536DE" w:rsidP="000A478F">
      <w:pPr>
        <w:spacing w:before="0" w:after="0"/>
        <w:ind w:left="426"/>
      </w:pPr>
      <w:r w:rsidRPr="00082192">
        <w:rPr>
          <w:szCs w:val="20"/>
        </w:rPr>
        <w:fldChar w:fldCharType="begin">
          <w:ffData>
            <w:name w:val=""/>
            <w:enabled/>
            <w:calcOnExit w:val="0"/>
            <w:checkBox>
              <w:sizeAuto/>
              <w:default w:val="1"/>
            </w:checkBox>
          </w:ffData>
        </w:fldChar>
      </w:r>
      <w:r w:rsidRPr="00082192">
        <w:rPr>
          <w:szCs w:val="20"/>
        </w:rPr>
        <w:instrText xml:space="preserve"> FORMCHECKBOX </w:instrText>
      </w:r>
      <w:r w:rsidR="00082192" w:rsidRPr="00082192">
        <w:rPr>
          <w:szCs w:val="20"/>
        </w:rPr>
      </w:r>
      <w:r w:rsidR="00082192" w:rsidRPr="00082192">
        <w:rPr>
          <w:szCs w:val="20"/>
        </w:rPr>
        <w:fldChar w:fldCharType="separate"/>
      </w:r>
      <w:r w:rsidRPr="00082192">
        <w:rPr>
          <w:szCs w:val="20"/>
        </w:rPr>
        <w:fldChar w:fldCharType="end"/>
      </w:r>
      <w:r w:rsidR="000A478F" w:rsidRPr="00082192">
        <w:rPr>
          <w:szCs w:val="20"/>
        </w:rPr>
        <w:t xml:space="preserve"> </w:t>
      </w:r>
      <w:r w:rsidR="000A478F" w:rsidRPr="00082192">
        <w:t>Inpatient public hospital</w:t>
      </w:r>
      <w:r w:rsidR="0079354C" w:rsidRPr="00082192">
        <w:t xml:space="preserve"> (admitted patient)</w:t>
      </w:r>
    </w:p>
    <w:p w14:paraId="3A00D34C" w14:textId="77777777" w:rsidR="000A478F" w:rsidRPr="00082192" w:rsidRDefault="000A478F" w:rsidP="000A478F">
      <w:pPr>
        <w:spacing w:before="0" w:after="0"/>
        <w:ind w:left="426"/>
      </w:pPr>
      <w:r w:rsidRPr="00082192">
        <w:rPr>
          <w:szCs w:val="20"/>
        </w:rPr>
        <w:fldChar w:fldCharType="begin">
          <w:ffData>
            <w:name w:val="Check1"/>
            <w:enabled/>
            <w:calcOnExit w:val="0"/>
            <w:checkBox>
              <w:sizeAuto/>
              <w:default w:val="0"/>
            </w:checkBox>
          </w:ffData>
        </w:fldChar>
      </w:r>
      <w:r w:rsidRPr="00082192">
        <w:rPr>
          <w:szCs w:val="20"/>
        </w:rPr>
        <w:instrText xml:space="preserve"> FORMCHECKBOX </w:instrText>
      </w:r>
      <w:r w:rsidR="00082192" w:rsidRPr="00082192">
        <w:rPr>
          <w:szCs w:val="20"/>
        </w:rPr>
      </w:r>
      <w:r w:rsidR="00082192" w:rsidRPr="00082192">
        <w:rPr>
          <w:szCs w:val="20"/>
        </w:rPr>
        <w:fldChar w:fldCharType="separate"/>
      </w:r>
      <w:r w:rsidRPr="00082192">
        <w:rPr>
          <w:szCs w:val="20"/>
        </w:rPr>
        <w:fldChar w:fldCharType="end"/>
      </w:r>
      <w:r w:rsidRPr="00082192">
        <w:rPr>
          <w:szCs w:val="20"/>
        </w:rPr>
        <w:t xml:space="preserve"> </w:t>
      </w:r>
      <w:r w:rsidR="003904AC" w:rsidRPr="00082192">
        <w:rPr>
          <w:szCs w:val="20"/>
        </w:rPr>
        <w:t>Private o</w:t>
      </w:r>
      <w:r w:rsidRPr="00082192">
        <w:t>utpatient clinic</w:t>
      </w:r>
    </w:p>
    <w:p w14:paraId="4CB6E08D" w14:textId="77777777" w:rsidR="0079354C" w:rsidRPr="00082192" w:rsidRDefault="0079354C" w:rsidP="000A478F">
      <w:pPr>
        <w:spacing w:before="0" w:after="0"/>
        <w:ind w:left="426"/>
        <w:rPr>
          <w:szCs w:val="20"/>
        </w:rPr>
      </w:pPr>
      <w:r w:rsidRPr="00082192">
        <w:rPr>
          <w:szCs w:val="20"/>
        </w:rPr>
        <w:fldChar w:fldCharType="begin">
          <w:ffData>
            <w:name w:val="Check1"/>
            <w:enabled/>
            <w:calcOnExit w:val="0"/>
            <w:checkBox>
              <w:sizeAuto/>
              <w:default w:val="0"/>
            </w:checkBox>
          </w:ffData>
        </w:fldChar>
      </w:r>
      <w:r w:rsidRPr="00082192">
        <w:rPr>
          <w:szCs w:val="20"/>
        </w:rPr>
        <w:instrText xml:space="preserve"> FORMCHECKBOX </w:instrText>
      </w:r>
      <w:r w:rsidR="00082192" w:rsidRPr="00082192">
        <w:rPr>
          <w:szCs w:val="20"/>
        </w:rPr>
      </w:r>
      <w:r w:rsidR="00082192" w:rsidRPr="00082192">
        <w:rPr>
          <w:szCs w:val="20"/>
        </w:rPr>
        <w:fldChar w:fldCharType="separate"/>
      </w:r>
      <w:r w:rsidRPr="00082192">
        <w:rPr>
          <w:szCs w:val="20"/>
        </w:rPr>
        <w:fldChar w:fldCharType="end"/>
      </w:r>
      <w:r w:rsidRPr="00082192">
        <w:rPr>
          <w:szCs w:val="20"/>
        </w:rPr>
        <w:t xml:space="preserve"> Public outpatient clinic</w:t>
      </w:r>
    </w:p>
    <w:p w14:paraId="1ED1682D" w14:textId="77777777" w:rsidR="000A478F" w:rsidRPr="00082192" w:rsidRDefault="000A478F" w:rsidP="000A478F">
      <w:pPr>
        <w:spacing w:before="0" w:after="0"/>
        <w:ind w:left="426"/>
      </w:pPr>
      <w:r w:rsidRPr="00082192">
        <w:rPr>
          <w:szCs w:val="20"/>
        </w:rPr>
        <w:fldChar w:fldCharType="begin">
          <w:ffData>
            <w:name w:val="Check1"/>
            <w:enabled/>
            <w:calcOnExit w:val="0"/>
            <w:checkBox>
              <w:sizeAuto/>
              <w:default w:val="0"/>
            </w:checkBox>
          </w:ffData>
        </w:fldChar>
      </w:r>
      <w:r w:rsidRPr="00082192">
        <w:rPr>
          <w:szCs w:val="20"/>
        </w:rPr>
        <w:instrText xml:space="preserve"> FORMCHECKBOX </w:instrText>
      </w:r>
      <w:r w:rsidR="00082192" w:rsidRPr="00082192">
        <w:rPr>
          <w:szCs w:val="20"/>
        </w:rPr>
      </w:r>
      <w:r w:rsidR="00082192" w:rsidRPr="00082192">
        <w:rPr>
          <w:szCs w:val="20"/>
        </w:rPr>
        <w:fldChar w:fldCharType="separate"/>
      </w:r>
      <w:r w:rsidRPr="00082192">
        <w:rPr>
          <w:szCs w:val="20"/>
        </w:rPr>
        <w:fldChar w:fldCharType="end"/>
      </w:r>
      <w:r w:rsidRPr="00082192">
        <w:rPr>
          <w:szCs w:val="20"/>
        </w:rPr>
        <w:t xml:space="preserve"> </w:t>
      </w:r>
      <w:r w:rsidRPr="00082192">
        <w:t>Emergency Department</w:t>
      </w:r>
    </w:p>
    <w:p w14:paraId="62964FDA" w14:textId="77777777" w:rsidR="000A478F" w:rsidRPr="00082192" w:rsidRDefault="000A478F" w:rsidP="000A478F">
      <w:pPr>
        <w:spacing w:before="0" w:after="0"/>
        <w:ind w:left="426"/>
      </w:pPr>
      <w:r w:rsidRPr="00082192">
        <w:rPr>
          <w:szCs w:val="20"/>
        </w:rPr>
        <w:fldChar w:fldCharType="begin">
          <w:ffData>
            <w:name w:val="Check1"/>
            <w:enabled/>
            <w:calcOnExit w:val="0"/>
            <w:checkBox>
              <w:sizeAuto/>
              <w:default w:val="0"/>
            </w:checkBox>
          </w:ffData>
        </w:fldChar>
      </w:r>
      <w:r w:rsidRPr="00082192">
        <w:rPr>
          <w:szCs w:val="20"/>
        </w:rPr>
        <w:instrText xml:space="preserve"> FORMCHECKBOX </w:instrText>
      </w:r>
      <w:r w:rsidR="00082192" w:rsidRPr="00082192">
        <w:rPr>
          <w:szCs w:val="20"/>
        </w:rPr>
      </w:r>
      <w:r w:rsidR="00082192" w:rsidRPr="00082192">
        <w:rPr>
          <w:szCs w:val="20"/>
        </w:rPr>
        <w:fldChar w:fldCharType="separate"/>
      </w:r>
      <w:r w:rsidRPr="00082192">
        <w:rPr>
          <w:szCs w:val="20"/>
        </w:rPr>
        <w:fldChar w:fldCharType="end"/>
      </w:r>
      <w:r w:rsidRPr="00082192">
        <w:rPr>
          <w:szCs w:val="20"/>
        </w:rPr>
        <w:t xml:space="preserve"> </w:t>
      </w:r>
      <w:r w:rsidR="003904AC" w:rsidRPr="00082192">
        <w:rPr>
          <w:szCs w:val="20"/>
        </w:rPr>
        <w:t xml:space="preserve">Private </w:t>
      </w:r>
      <w:r w:rsidR="0079354C" w:rsidRPr="00082192">
        <w:t>c</w:t>
      </w:r>
      <w:r w:rsidRPr="00082192">
        <w:t>onsulting rooms</w:t>
      </w:r>
      <w:r w:rsidR="0079354C" w:rsidRPr="00082192">
        <w:t xml:space="preserve"> - GP</w:t>
      </w:r>
    </w:p>
    <w:p w14:paraId="3B823F4E" w14:textId="77777777" w:rsidR="0079354C" w:rsidRPr="00082192" w:rsidRDefault="0079354C" w:rsidP="000A478F">
      <w:pPr>
        <w:spacing w:before="0" w:after="0"/>
        <w:ind w:left="426"/>
        <w:rPr>
          <w:szCs w:val="20"/>
        </w:rPr>
      </w:pPr>
      <w:r w:rsidRPr="00082192">
        <w:rPr>
          <w:szCs w:val="20"/>
        </w:rPr>
        <w:fldChar w:fldCharType="begin">
          <w:ffData>
            <w:name w:val="Check1"/>
            <w:enabled/>
            <w:calcOnExit w:val="0"/>
            <w:checkBox>
              <w:sizeAuto/>
              <w:default w:val="0"/>
            </w:checkBox>
          </w:ffData>
        </w:fldChar>
      </w:r>
      <w:r w:rsidRPr="00082192">
        <w:rPr>
          <w:szCs w:val="20"/>
        </w:rPr>
        <w:instrText xml:space="preserve"> FORMCHECKBOX </w:instrText>
      </w:r>
      <w:r w:rsidR="00082192" w:rsidRPr="00082192">
        <w:rPr>
          <w:szCs w:val="20"/>
        </w:rPr>
      </w:r>
      <w:r w:rsidR="00082192" w:rsidRPr="00082192">
        <w:rPr>
          <w:szCs w:val="20"/>
        </w:rPr>
        <w:fldChar w:fldCharType="separate"/>
      </w:r>
      <w:r w:rsidRPr="00082192">
        <w:rPr>
          <w:szCs w:val="20"/>
        </w:rPr>
        <w:fldChar w:fldCharType="end"/>
      </w:r>
      <w:r w:rsidRPr="00082192">
        <w:rPr>
          <w:szCs w:val="20"/>
        </w:rPr>
        <w:t xml:space="preserve"> Private consulting rooms – specialist</w:t>
      </w:r>
    </w:p>
    <w:p w14:paraId="0EC35666" w14:textId="77777777" w:rsidR="0079354C" w:rsidRPr="00082192" w:rsidRDefault="0079354C" w:rsidP="000A478F">
      <w:pPr>
        <w:spacing w:before="0" w:after="0"/>
        <w:ind w:left="426"/>
      </w:pPr>
      <w:r w:rsidRPr="00082192">
        <w:rPr>
          <w:szCs w:val="20"/>
        </w:rPr>
        <w:fldChar w:fldCharType="begin">
          <w:ffData>
            <w:name w:val="Check1"/>
            <w:enabled/>
            <w:calcOnExit w:val="0"/>
            <w:checkBox>
              <w:sizeAuto/>
              <w:default w:val="0"/>
            </w:checkBox>
          </w:ffData>
        </w:fldChar>
      </w:r>
      <w:r w:rsidRPr="00082192">
        <w:rPr>
          <w:szCs w:val="20"/>
        </w:rPr>
        <w:instrText xml:space="preserve"> FORMCHECKBOX </w:instrText>
      </w:r>
      <w:r w:rsidR="00082192" w:rsidRPr="00082192">
        <w:rPr>
          <w:szCs w:val="20"/>
        </w:rPr>
      </w:r>
      <w:r w:rsidR="00082192" w:rsidRPr="00082192">
        <w:rPr>
          <w:szCs w:val="20"/>
        </w:rPr>
        <w:fldChar w:fldCharType="separate"/>
      </w:r>
      <w:r w:rsidRPr="00082192">
        <w:rPr>
          <w:szCs w:val="20"/>
        </w:rPr>
        <w:fldChar w:fldCharType="end"/>
      </w:r>
      <w:r w:rsidRPr="00082192">
        <w:rPr>
          <w:szCs w:val="20"/>
        </w:rPr>
        <w:t xml:space="preserve"> Private consulting rooms – other health practitioner (nurse or allied health)</w:t>
      </w:r>
    </w:p>
    <w:p w14:paraId="76D65055" w14:textId="77777777" w:rsidR="000A478F" w:rsidRPr="00082192" w:rsidRDefault="000A478F" w:rsidP="000A478F">
      <w:pPr>
        <w:spacing w:before="0" w:after="0"/>
        <w:ind w:left="426"/>
      </w:pPr>
      <w:r w:rsidRPr="00082192">
        <w:rPr>
          <w:szCs w:val="20"/>
        </w:rPr>
        <w:fldChar w:fldCharType="begin">
          <w:ffData>
            <w:name w:val="Check1"/>
            <w:enabled/>
            <w:calcOnExit w:val="0"/>
            <w:checkBox>
              <w:sizeAuto/>
              <w:default w:val="0"/>
            </w:checkBox>
          </w:ffData>
        </w:fldChar>
      </w:r>
      <w:r w:rsidRPr="00082192">
        <w:rPr>
          <w:szCs w:val="20"/>
        </w:rPr>
        <w:instrText xml:space="preserve"> FORMCHECKBOX </w:instrText>
      </w:r>
      <w:r w:rsidR="00082192" w:rsidRPr="00082192">
        <w:rPr>
          <w:szCs w:val="20"/>
        </w:rPr>
      </w:r>
      <w:r w:rsidR="00082192" w:rsidRPr="00082192">
        <w:rPr>
          <w:szCs w:val="20"/>
        </w:rPr>
        <w:fldChar w:fldCharType="separate"/>
      </w:r>
      <w:r w:rsidRPr="00082192">
        <w:rPr>
          <w:szCs w:val="20"/>
        </w:rPr>
        <w:fldChar w:fldCharType="end"/>
      </w:r>
      <w:r w:rsidRPr="00082192">
        <w:rPr>
          <w:szCs w:val="20"/>
        </w:rPr>
        <w:t xml:space="preserve"> </w:t>
      </w:r>
      <w:r w:rsidR="0079354C" w:rsidRPr="00082192">
        <w:rPr>
          <w:szCs w:val="20"/>
        </w:rPr>
        <w:t>Private d</w:t>
      </w:r>
      <w:r w:rsidRPr="00082192">
        <w:t>ay surgery c</w:t>
      </w:r>
      <w:r w:rsidR="0079354C" w:rsidRPr="00082192">
        <w:t>linic (admitted patient)</w:t>
      </w:r>
    </w:p>
    <w:p w14:paraId="16D4BF72" w14:textId="77777777" w:rsidR="0079354C" w:rsidRPr="00082192" w:rsidRDefault="0079354C" w:rsidP="000A478F">
      <w:pPr>
        <w:spacing w:before="0" w:after="0"/>
        <w:ind w:left="426"/>
      </w:pPr>
      <w:r w:rsidRPr="00082192">
        <w:rPr>
          <w:szCs w:val="20"/>
        </w:rPr>
        <w:fldChar w:fldCharType="begin">
          <w:ffData>
            <w:name w:val="Check1"/>
            <w:enabled/>
            <w:calcOnExit w:val="0"/>
            <w:checkBox>
              <w:sizeAuto/>
              <w:default w:val="0"/>
            </w:checkBox>
          </w:ffData>
        </w:fldChar>
      </w:r>
      <w:r w:rsidRPr="00082192">
        <w:rPr>
          <w:szCs w:val="20"/>
        </w:rPr>
        <w:instrText xml:space="preserve"> FORMCHECKBOX </w:instrText>
      </w:r>
      <w:r w:rsidR="00082192" w:rsidRPr="00082192">
        <w:rPr>
          <w:szCs w:val="20"/>
        </w:rPr>
      </w:r>
      <w:r w:rsidR="00082192" w:rsidRPr="00082192">
        <w:rPr>
          <w:szCs w:val="20"/>
        </w:rPr>
        <w:fldChar w:fldCharType="separate"/>
      </w:r>
      <w:r w:rsidRPr="00082192">
        <w:rPr>
          <w:szCs w:val="20"/>
        </w:rPr>
        <w:fldChar w:fldCharType="end"/>
      </w:r>
      <w:r w:rsidRPr="00082192">
        <w:rPr>
          <w:szCs w:val="20"/>
        </w:rPr>
        <w:t xml:space="preserve"> Private day surgery clinic (non-admitted patient)</w:t>
      </w:r>
    </w:p>
    <w:p w14:paraId="7AC147E9" w14:textId="77777777" w:rsidR="0079354C" w:rsidRPr="00082192" w:rsidRDefault="0079354C" w:rsidP="000A478F">
      <w:pPr>
        <w:spacing w:before="0" w:after="0"/>
        <w:ind w:left="426"/>
        <w:rPr>
          <w:szCs w:val="20"/>
        </w:rPr>
      </w:pPr>
      <w:r w:rsidRPr="00082192">
        <w:rPr>
          <w:szCs w:val="20"/>
        </w:rPr>
        <w:fldChar w:fldCharType="begin">
          <w:ffData>
            <w:name w:val="Check1"/>
            <w:enabled/>
            <w:calcOnExit w:val="0"/>
            <w:checkBox>
              <w:sizeAuto/>
              <w:default w:val="0"/>
            </w:checkBox>
          </w:ffData>
        </w:fldChar>
      </w:r>
      <w:r w:rsidRPr="00082192">
        <w:rPr>
          <w:szCs w:val="20"/>
        </w:rPr>
        <w:instrText xml:space="preserve"> FORMCHECKBOX </w:instrText>
      </w:r>
      <w:r w:rsidR="00082192" w:rsidRPr="00082192">
        <w:rPr>
          <w:szCs w:val="20"/>
        </w:rPr>
      </w:r>
      <w:r w:rsidR="00082192" w:rsidRPr="00082192">
        <w:rPr>
          <w:szCs w:val="20"/>
        </w:rPr>
        <w:fldChar w:fldCharType="separate"/>
      </w:r>
      <w:r w:rsidRPr="00082192">
        <w:rPr>
          <w:szCs w:val="20"/>
        </w:rPr>
        <w:fldChar w:fldCharType="end"/>
      </w:r>
      <w:r w:rsidRPr="00082192">
        <w:rPr>
          <w:szCs w:val="20"/>
        </w:rPr>
        <w:t xml:space="preserve"> Public day surgery clinic (admitted patient)</w:t>
      </w:r>
    </w:p>
    <w:p w14:paraId="63F0AB21" w14:textId="77777777" w:rsidR="0079354C" w:rsidRPr="00082192" w:rsidRDefault="0079354C" w:rsidP="000A478F">
      <w:pPr>
        <w:spacing w:before="0" w:after="0"/>
        <w:ind w:left="426"/>
      </w:pPr>
      <w:r w:rsidRPr="00082192">
        <w:rPr>
          <w:szCs w:val="20"/>
        </w:rPr>
        <w:fldChar w:fldCharType="begin">
          <w:ffData>
            <w:name w:val="Check1"/>
            <w:enabled/>
            <w:calcOnExit w:val="0"/>
            <w:checkBox>
              <w:sizeAuto/>
              <w:default w:val="0"/>
            </w:checkBox>
          </w:ffData>
        </w:fldChar>
      </w:r>
      <w:r w:rsidRPr="00082192">
        <w:rPr>
          <w:szCs w:val="20"/>
        </w:rPr>
        <w:instrText xml:space="preserve"> FORMCHECKBOX </w:instrText>
      </w:r>
      <w:r w:rsidR="00082192" w:rsidRPr="00082192">
        <w:rPr>
          <w:szCs w:val="20"/>
        </w:rPr>
      </w:r>
      <w:r w:rsidR="00082192" w:rsidRPr="00082192">
        <w:rPr>
          <w:szCs w:val="20"/>
        </w:rPr>
        <w:fldChar w:fldCharType="separate"/>
      </w:r>
      <w:r w:rsidRPr="00082192">
        <w:rPr>
          <w:szCs w:val="20"/>
        </w:rPr>
        <w:fldChar w:fldCharType="end"/>
      </w:r>
      <w:r w:rsidRPr="00082192">
        <w:rPr>
          <w:szCs w:val="20"/>
        </w:rPr>
        <w:t xml:space="preserve"> Public day surgery clinic (non-admitted patient)</w:t>
      </w:r>
    </w:p>
    <w:p w14:paraId="22E20A00" w14:textId="77777777" w:rsidR="000A478F" w:rsidRPr="00082192" w:rsidRDefault="000A478F" w:rsidP="000A478F">
      <w:pPr>
        <w:spacing w:before="0" w:after="0"/>
        <w:ind w:left="426"/>
      </w:pPr>
      <w:r w:rsidRPr="00082192">
        <w:rPr>
          <w:szCs w:val="20"/>
        </w:rPr>
        <w:fldChar w:fldCharType="begin">
          <w:ffData>
            <w:name w:val="Check1"/>
            <w:enabled/>
            <w:calcOnExit w:val="0"/>
            <w:checkBox>
              <w:sizeAuto/>
              <w:default w:val="0"/>
            </w:checkBox>
          </w:ffData>
        </w:fldChar>
      </w:r>
      <w:r w:rsidRPr="00082192">
        <w:rPr>
          <w:szCs w:val="20"/>
        </w:rPr>
        <w:instrText xml:space="preserve"> FORMCHECKBOX </w:instrText>
      </w:r>
      <w:r w:rsidR="00082192" w:rsidRPr="00082192">
        <w:rPr>
          <w:szCs w:val="20"/>
        </w:rPr>
      </w:r>
      <w:r w:rsidR="00082192" w:rsidRPr="00082192">
        <w:rPr>
          <w:szCs w:val="20"/>
        </w:rPr>
        <w:fldChar w:fldCharType="separate"/>
      </w:r>
      <w:r w:rsidRPr="00082192">
        <w:rPr>
          <w:szCs w:val="20"/>
        </w:rPr>
        <w:fldChar w:fldCharType="end"/>
      </w:r>
      <w:r w:rsidRPr="00082192">
        <w:rPr>
          <w:szCs w:val="20"/>
        </w:rPr>
        <w:t xml:space="preserve"> </w:t>
      </w:r>
      <w:r w:rsidRPr="00082192">
        <w:t>Residential aged care facility</w:t>
      </w:r>
    </w:p>
    <w:p w14:paraId="54A662E3" w14:textId="77777777" w:rsidR="000A478F" w:rsidRPr="00082192" w:rsidRDefault="000A478F" w:rsidP="000A478F">
      <w:pPr>
        <w:spacing w:before="0" w:after="0"/>
        <w:ind w:left="426"/>
      </w:pPr>
      <w:r w:rsidRPr="00082192">
        <w:rPr>
          <w:szCs w:val="20"/>
        </w:rPr>
        <w:fldChar w:fldCharType="begin">
          <w:ffData>
            <w:name w:val="Check1"/>
            <w:enabled/>
            <w:calcOnExit w:val="0"/>
            <w:checkBox>
              <w:sizeAuto/>
              <w:default w:val="0"/>
            </w:checkBox>
          </w:ffData>
        </w:fldChar>
      </w:r>
      <w:r w:rsidRPr="00082192">
        <w:rPr>
          <w:szCs w:val="20"/>
        </w:rPr>
        <w:instrText xml:space="preserve"> FORMCHECKBOX </w:instrText>
      </w:r>
      <w:r w:rsidR="00082192" w:rsidRPr="00082192">
        <w:rPr>
          <w:szCs w:val="20"/>
        </w:rPr>
      </w:r>
      <w:r w:rsidR="00082192" w:rsidRPr="00082192">
        <w:rPr>
          <w:szCs w:val="20"/>
        </w:rPr>
        <w:fldChar w:fldCharType="separate"/>
      </w:r>
      <w:r w:rsidRPr="00082192">
        <w:rPr>
          <w:szCs w:val="20"/>
        </w:rPr>
        <w:fldChar w:fldCharType="end"/>
      </w:r>
      <w:r w:rsidRPr="00082192">
        <w:rPr>
          <w:szCs w:val="20"/>
        </w:rPr>
        <w:t xml:space="preserve"> </w:t>
      </w:r>
      <w:r w:rsidRPr="00082192">
        <w:t>Patient’s home</w:t>
      </w:r>
    </w:p>
    <w:p w14:paraId="0E2C83D9" w14:textId="77777777" w:rsidR="000A478F" w:rsidRPr="00082192" w:rsidRDefault="000A478F" w:rsidP="000A478F">
      <w:pPr>
        <w:spacing w:before="0" w:after="0"/>
        <w:ind w:left="426"/>
      </w:pPr>
      <w:r w:rsidRPr="00082192">
        <w:rPr>
          <w:szCs w:val="20"/>
        </w:rPr>
        <w:fldChar w:fldCharType="begin">
          <w:ffData>
            <w:name w:val="Check1"/>
            <w:enabled/>
            <w:calcOnExit w:val="0"/>
            <w:checkBox>
              <w:sizeAuto/>
              <w:default w:val="0"/>
            </w:checkBox>
          </w:ffData>
        </w:fldChar>
      </w:r>
      <w:r w:rsidRPr="00082192">
        <w:rPr>
          <w:szCs w:val="20"/>
        </w:rPr>
        <w:instrText xml:space="preserve"> FORMCHECKBOX </w:instrText>
      </w:r>
      <w:r w:rsidR="00082192" w:rsidRPr="00082192">
        <w:rPr>
          <w:szCs w:val="20"/>
        </w:rPr>
      </w:r>
      <w:r w:rsidR="00082192" w:rsidRPr="00082192">
        <w:rPr>
          <w:szCs w:val="20"/>
        </w:rPr>
        <w:fldChar w:fldCharType="separate"/>
      </w:r>
      <w:r w:rsidRPr="00082192">
        <w:rPr>
          <w:szCs w:val="20"/>
        </w:rPr>
        <w:fldChar w:fldCharType="end"/>
      </w:r>
      <w:r w:rsidRPr="00082192">
        <w:rPr>
          <w:szCs w:val="20"/>
        </w:rPr>
        <w:t xml:space="preserve"> </w:t>
      </w:r>
      <w:r w:rsidRPr="00082192">
        <w:t>Laboratory</w:t>
      </w:r>
    </w:p>
    <w:p w14:paraId="5CCAC617" w14:textId="77777777" w:rsidR="000A478F" w:rsidRPr="00082192" w:rsidRDefault="000A478F" w:rsidP="000A478F">
      <w:pPr>
        <w:spacing w:before="0" w:after="0"/>
        <w:ind w:left="426"/>
      </w:pPr>
      <w:r w:rsidRPr="00082192">
        <w:rPr>
          <w:szCs w:val="20"/>
        </w:rPr>
        <w:fldChar w:fldCharType="begin">
          <w:ffData>
            <w:name w:val="Check1"/>
            <w:enabled/>
            <w:calcOnExit w:val="0"/>
            <w:checkBox>
              <w:sizeAuto/>
              <w:default w:val="0"/>
            </w:checkBox>
          </w:ffData>
        </w:fldChar>
      </w:r>
      <w:r w:rsidRPr="00082192">
        <w:rPr>
          <w:szCs w:val="20"/>
        </w:rPr>
        <w:instrText xml:space="preserve"> FORMCHECKBOX </w:instrText>
      </w:r>
      <w:r w:rsidR="00082192" w:rsidRPr="00082192">
        <w:rPr>
          <w:szCs w:val="20"/>
        </w:rPr>
      </w:r>
      <w:r w:rsidR="00082192" w:rsidRPr="00082192">
        <w:rPr>
          <w:szCs w:val="20"/>
        </w:rPr>
        <w:fldChar w:fldCharType="separate"/>
      </w:r>
      <w:r w:rsidRPr="00082192">
        <w:rPr>
          <w:szCs w:val="20"/>
        </w:rPr>
        <w:fldChar w:fldCharType="end"/>
      </w:r>
      <w:r w:rsidRPr="00082192">
        <w:rPr>
          <w:szCs w:val="20"/>
        </w:rPr>
        <w:t xml:space="preserve"> </w:t>
      </w:r>
      <w:r w:rsidRPr="00082192">
        <w:t>Other – please specify below</w:t>
      </w:r>
    </w:p>
    <w:p w14:paraId="273AC45A" w14:textId="77777777" w:rsidR="003433D1" w:rsidRPr="00082192" w:rsidRDefault="00E048ED" w:rsidP="005C3AE7">
      <w:pPr>
        <w:pStyle w:val="ListParagraph"/>
        <w:numPr>
          <w:ilvl w:val="0"/>
          <w:numId w:val="29"/>
        </w:numPr>
        <w:rPr>
          <w:b/>
          <w:szCs w:val="20"/>
        </w:rPr>
      </w:pPr>
      <w:r w:rsidRPr="00082192">
        <w:rPr>
          <w:b/>
          <w:szCs w:val="20"/>
        </w:rPr>
        <w:t>Where the proposed medical service is provided in more than one setting, please describ</w:t>
      </w:r>
      <w:r w:rsidR="00AE1188" w:rsidRPr="00082192">
        <w:rPr>
          <w:b/>
          <w:szCs w:val="20"/>
        </w:rPr>
        <w:t>e the rationale related to each:</w:t>
      </w:r>
    </w:p>
    <w:p w14:paraId="789ADD47" w14:textId="6DD165D0" w:rsidR="003E04C2" w:rsidRDefault="003E04C2" w:rsidP="0073597B">
      <w:pPr>
        <w:ind w:left="426"/>
        <w:rPr>
          <w:b/>
          <w:szCs w:val="20"/>
        </w:rPr>
      </w:pPr>
      <w:r>
        <w:t xml:space="preserve">The EV-ICD procedure </w:t>
      </w:r>
      <w:r w:rsidRPr="003E04C2">
        <w:t>may be provided in eith</w:t>
      </w:r>
      <w:r>
        <w:t>er a public or private hospital.</w:t>
      </w:r>
    </w:p>
    <w:p w14:paraId="4568DCCF" w14:textId="77777777" w:rsidR="003E30FB" w:rsidRDefault="003E30FB" w:rsidP="00530204">
      <w:pPr>
        <w:pStyle w:val="Heading2"/>
      </w:pPr>
      <w:r>
        <w:t xml:space="preserve">Is the </w:t>
      </w:r>
      <w:r w:rsidRPr="001B29A1">
        <w:t>proposed</w:t>
      </w:r>
      <w:r>
        <w:t xml:space="preserve"> medical service intended to be entirely rendered in Australia?</w:t>
      </w:r>
    </w:p>
    <w:p w14:paraId="62EBBFA6" w14:textId="46E9EAE0" w:rsidR="000A478F" w:rsidRDefault="003E04C2"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82192">
        <w:rPr>
          <w:szCs w:val="20"/>
        </w:rPr>
      </w:r>
      <w:r w:rsidR="00082192">
        <w:rPr>
          <w:szCs w:val="20"/>
        </w:rPr>
        <w:fldChar w:fldCharType="separate"/>
      </w:r>
      <w:r>
        <w:rPr>
          <w:szCs w:val="20"/>
        </w:rPr>
        <w:fldChar w:fldCharType="end"/>
      </w:r>
      <w:r w:rsidR="000A478F">
        <w:rPr>
          <w:szCs w:val="20"/>
        </w:rPr>
        <w:t xml:space="preserve"> Yes</w:t>
      </w:r>
    </w:p>
    <w:p w14:paraId="092423F7"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82192">
        <w:rPr>
          <w:szCs w:val="20"/>
        </w:rPr>
      </w:r>
      <w:r w:rsidR="00082192">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284637C7" w14:textId="07AE1284" w:rsidR="00E60529" w:rsidRPr="003E04C2" w:rsidRDefault="005C3AE7" w:rsidP="00E50F47">
      <w:pPr>
        <w:pStyle w:val="Subtitle"/>
        <w:ind w:left="0"/>
      </w:pPr>
      <w:r w:rsidRPr="003E04C2">
        <w:t xml:space="preserve">PART 6c – </w:t>
      </w:r>
      <w:r w:rsidR="00E60529" w:rsidRPr="003E04C2">
        <w:t>INFORMATION ABOUT THE COMPARATOR</w:t>
      </w:r>
      <w:r w:rsidR="00A83EC6" w:rsidRPr="003E04C2">
        <w:t>(S)</w:t>
      </w:r>
    </w:p>
    <w:p w14:paraId="28D68B7C" w14:textId="77777777" w:rsidR="00E60529" w:rsidRPr="003E04C2" w:rsidRDefault="00A83EC6" w:rsidP="00530204">
      <w:pPr>
        <w:pStyle w:val="Heading2"/>
      </w:pPr>
      <w:r w:rsidRPr="003E04C2">
        <w:t>Nominate the appropriate comparator(s) for the proposed medical service</w:t>
      </w:r>
      <w:r w:rsidR="00757232" w:rsidRPr="003E04C2">
        <w:t xml:space="preserve">, </w:t>
      </w:r>
      <w:proofErr w:type="gramStart"/>
      <w:r w:rsidR="00757232" w:rsidRPr="003E04C2">
        <w:t>i</w:t>
      </w:r>
      <w:r w:rsidR="00D30BDC" w:rsidRPr="003E04C2">
        <w:t>.</w:t>
      </w:r>
      <w:r w:rsidR="000159B9" w:rsidRPr="003E04C2">
        <w:t>e.</w:t>
      </w:r>
      <w:proofErr w:type="gramEnd"/>
      <w:r w:rsidR="000159B9" w:rsidRPr="003E04C2">
        <w:t xml:space="preserve"> how is the proposed population currently managed in </w:t>
      </w:r>
      <w:r w:rsidR="00707D4D" w:rsidRPr="003E04C2">
        <w:t>the</w:t>
      </w:r>
      <w:r w:rsidR="000159B9" w:rsidRPr="003E04C2">
        <w:t xml:space="preserve"> absence of the proposed medical service </w:t>
      </w:r>
      <w:r w:rsidR="00257FF2" w:rsidRPr="003E04C2">
        <w:t>being available in the Australian health care system (</w:t>
      </w:r>
      <w:r w:rsidR="00757232" w:rsidRPr="003E04C2">
        <w:t xml:space="preserve">including </w:t>
      </w:r>
      <w:r w:rsidR="00257FF2" w:rsidRPr="003E04C2">
        <w:t>identify</w:t>
      </w:r>
      <w:r w:rsidR="00757232" w:rsidRPr="003E04C2">
        <w:t>ing</w:t>
      </w:r>
      <w:r w:rsidR="00E4321E" w:rsidRPr="003E04C2">
        <w:t xml:space="preserve"> health care resources that </w:t>
      </w:r>
      <w:r w:rsidR="00257FF2" w:rsidRPr="003E04C2">
        <w:t xml:space="preserve">are </w:t>
      </w:r>
      <w:r w:rsidR="00E4321E" w:rsidRPr="003E04C2">
        <w:t>need</w:t>
      </w:r>
      <w:r w:rsidR="00757232" w:rsidRPr="003E04C2">
        <w:t>ed</w:t>
      </w:r>
      <w:r w:rsidR="00E4321E" w:rsidRPr="003E04C2">
        <w:t xml:space="preserve"> to be delivered at </w:t>
      </w:r>
      <w:r w:rsidR="00257FF2" w:rsidRPr="003E04C2">
        <w:t xml:space="preserve">the </w:t>
      </w:r>
      <w:r w:rsidR="00E4321E" w:rsidRPr="003E04C2">
        <w:t xml:space="preserve">same time </w:t>
      </w:r>
      <w:r w:rsidR="00257FF2" w:rsidRPr="003E04C2">
        <w:t>as the</w:t>
      </w:r>
      <w:r w:rsidR="00E4321E" w:rsidRPr="003E04C2">
        <w:t xml:space="preserve"> </w:t>
      </w:r>
      <w:r w:rsidR="00257FF2" w:rsidRPr="003E04C2">
        <w:t xml:space="preserve">comparator </w:t>
      </w:r>
      <w:r w:rsidR="00E4321E" w:rsidRPr="003E04C2">
        <w:t>service</w:t>
      </w:r>
      <w:r w:rsidR="00257FF2" w:rsidRPr="003E04C2">
        <w:t>)</w:t>
      </w:r>
      <w:r w:rsidR="00AE1188" w:rsidRPr="003E04C2">
        <w:t>:</w:t>
      </w:r>
    </w:p>
    <w:p w14:paraId="62A67598" w14:textId="146E8405" w:rsidR="00035E21" w:rsidRDefault="00035E21" w:rsidP="00E50F47">
      <w:pPr>
        <w:ind w:left="360"/>
      </w:pPr>
      <w:r>
        <w:t>The TV-ICD is the comparator for EV-ICD given that these devices both have the same functionality, that is, they can deliver electric shocks (defibrillation) and long-term bradycardia pacing and anti-tachycardia pacing (ATP).</w:t>
      </w:r>
    </w:p>
    <w:p w14:paraId="49B1E4BF" w14:textId="22F6BBBF" w:rsidR="00E60529" w:rsidRPr="003E04C2" w:rsidRDefault="00C06303" w:rsidP="00E50F47">
      <w:pPr>
        <w:ind w:left="360"/>
        <w:rPr>
          <w:szCs w:val="20"/>
        </w:rPr>
      </w:pPr>
      <w:r w:rsidRPr="003E04C2">
        <w:t xml:space="preserve">The </w:t>
      </w:r>
      <w:r w:rsidR="00035E21">
        <w:t>TV-ICD</w:t>
      </w:r>
      <w:r w:rsidRPr="003E04C2">
        <w:t xml:space="preserve"> generator is typically implanted in the left shoulder area, near the collarbone, and the lead(s) are fed through a vein into the heart wall.  </w:t>
      </w:r>
      <w:r w:rsidR="00686B48" w:rsidRPr="003E04C2">
        <w:t>As with the EV-ICD procedure, it is not anticipated that other resources would be required at the same time other than those that are provided during the TV-ICD procedure.</w:t>
      </w:r>
    </w:p>
    <w:p w14:paraId="3306B81B" w14:textId="77777777" w:rsidR="00E50F47" w:rsidRDefault="00E50F47">
      <w:pPr>
        <w:spacing w:before="0" w:after="200" w:line="276" w:lineRule="auto"/>
        <w:rPr>
          <w:b/>
          <w:szCs w:val="20"/>
        </w:rPr>
      </w:pPr>
      <w:r>
        <w:br w:type="page"/>
      </w:r>
    </w:p>
    <w:p w14:paraId="48A13EEA" w14:textId="1F4EF481" w:rsidR="00757232" w:rsidRPr="003E04C2" w:rsidRDefault="00AF5D1E" w:rsidP="00530204">
      <w:pPr>
        <w:pStyle w:val="Heading2"/>
      </w:pPr>
      <w:r w:rsidRPr="003E04C2">
        <w:lastRenderedPageBreak/>
        <w:t xml:space="preserve">Does the medical service </w:t>
      </w:r>
      <w:r w:rsidR="003904AC" w:rsidRPr="003E04C2">
        <w:t>(</w:t>
      </w:r>
      <w:r w:rsidRPr="003E04C2">
        <w:t>that has been nominated as the comparator</w:t>
      </w:r>
      <w:r w:rsidR="003904AC" w:rsidRPr="003E04C2">
        <w:t>)</w:t>
      </w:r>
      <w:r w:rsidR="000159B9" w:rsidRPr="003E04C2">
        <w:t xml:space="preserve"> </w:t>
      </w:r>
      <w:r w:rsidRPr="003E04C2">
        <w:t>have an existing MBS item number</w:t>
      </w:r>
      <w:r w:rsidR="00D30BDC" w:rsidRPr="003E04C2">
        <w:t>(s)</w:t>
      </w:r>
      <w:r w:rsidR="00757232" w:rsidRPr="003E04C2">
        <w:t>?</w:t>
      </w:r>
    </w:p>
    <w:p w14:paraId="6CF77471" w14:textId="53DB99D1" w:rsidR="006A1038" w:rsidRPr="003E04C2" w:rsidRDefault="0005494D" w:rsidP="006A1038">
      <w:pPr>
        <w:spacing w:before="0" w:after="0"/>
        <w:ind w:left="426"/>
        <w:rPr>
          <w:szCs w:val="20"/>
        </w:rPr>
      </w:pPr>
      <w:r w:rsidRPr="003E04C2">
        <w:rPr>
          <w:szCs w:val="20"/>
        </w:rPr>
        <w:fldChar w:fldCharType="begin">
          <w:ffData>
            <w:name w:val="Check1"/>
            <w:enabled/>
            <w:calcOnExit w:val="0"/>
            <w:checkBox>
              <w:sizeAuto/>
              <w:default w:val="1"/>
            </w:checkBox>
          </w:ffData>
        </w:fldChar>
      </w:r>
      <w:r w:rsidRPr="003E04C2">
        <w:rPr>
          <w:szCs w:val="20"/>
        </w:rPr>
        <w:instrText xml:space="preserve"> FORMCHECKBOX </w:instrText>
      </w:r>
      <w:r w:rsidR="00082192">
        <w:rPr>
          <w:szCs w:val="20"/>
        </w:rPr>
      </w:r>
      <w:r w:rsidR="00082192">
        <w:rPr>
          <w:szCs w:val="20"/>
        </w:rPr>
        <w:fldChar w:fldCharType="separate"/>
      </w:r>
      <w:r w:rsidRPr="003E04C2">
        <w:rPr>
          <w:szCs w:val="20"/>
        </w:rPr>
        <w:fldChar w:fldCharType="end"/>
      </w:r>
      <w:r w:rsidR="006A1038" w:rsidRPr="003E04C2">
        <w:rPr>
          <w:szCs w:val="20"/>
        </w:rPr>
        <w:t xml:space="preserve"> Yes (please </w:t>
      </w:r>
      <w:r w:rsidR="003904AC" w:rsidRPr="003E04C2">
        <w:rPr>
          <w:szCs w:val="20"/>
        </w:rPr>
        <w:t xml:space="preserve">list </w:t>
      </w:r>
      <w:r w:rsidR="006A1038" w:rsidRPr="003E04C2">
        <w:rPr>
          <w:szCs w:val="20"/>
        </w:rPr>
        <w:t>all relevant MBS item numbers below)</w:t>
      </w:r>
    </w:p>
    <w:p w14:paraId="6C3B004B" w14:textId="77777777" w:rsidR="000159B9" w:rsidRPr="003E04C2" w:rsidRDefault="006A1038" w:rsidP="006A1038">
      <w:pPr>
        <w:spacing w:before="0" w:after="0"/>
        <w:ind w:left="426"/>
        <w:rPr>
          <w:szCs w:val="20"/>
        </w:rPr>
      </w:pPr>
      <w:r w:rsidRPr="003E04C2">
        <w:rPr>
          <w:szCs w:val="20"/>
        </w:rPr>
        <w:fldChar w:fldCharType="begin">
          <w:ffData>
            <w:name w:val="Check2"/>
            <w:enabled/>
            <w:calcOnExit w:val="0"/>
            <w:checkBox>
              <w:sizeAuto/>
              <w:default w:val="0"/>
            </w:checkBox>
          </w:ffData>
        </w:fldChar>
      </w:r>
      <w:r w:rsidRPr="003E04C2">
        <w:rPr>
          <w:szCs w:val="20"/>
        </w:rPr>
        <w:instrText xml:space="preserve"> FORMCHECKBOX </w:instrText>
      </w:r>
      <w:r w:rsidR="00082192">
        <w:rPr>
          <w:szCs w:val="20"/>
        </w:rPr>
      </w:r>
      <w:r w:rsidR="00082192">
        <w:rPr>
          <w:szCs w:val="20"/>
        </w:rPr>
        <w:fldChar w:fldCharType="separate"/>
      </w:r>
      <w:r w:rsidRPr="003E04C2">
        <w:rPr>
          <w:szCs w:val="20"/>
        </w:rPr>
        <w:fldChar w:fldCharType="end"/>
      </w:r>
      <w:r w:rsidRPr="003E04C2">
        <w:rPr>
          <w:szCs w:val="20"/>
        </w:rPr>
        <w:t xml:space="preserve"> No  </w:t>
      </w:r>
    </w:p>
    <w:p w14:paraId="4CC49086" w14:textId="0B9015B1" w:rsidR="0005494D" w:rsidRPr="003E04C2" w:rsidRDefault="0005494D" w:rsidP="0005494D">
      <w:pPr>
        <w:ind w:left="426"/>
        <w:rPr>
          <w:szCs w:val="20"/>
        </w:rPr>
      </w:pPr>
      <w:r w:rsidRPr="003E04C2">
        <w:rPr>
          <w:szCs w:val="20"/>
        </w:rPr>
        <w:t xml:space="preserve">TV </w:t>
      </w:r>
      <w:proofErr w:type="gramStart"/>
      <w:r w:rsidRPr="003E04C2">
        <w:rPr>
          <w:szCs w:val="20"/>
        </w:rPr>
        <w:t>lead</w:t>
      </w:r>
      <w:proofErr w:type="gramEnd"/>
      <w:r w:rsidRPr="003E04C2">
        <w:rPr>
          <w:szCs w:val="20"/>
        </w:rPr>
        <w:t xml:space="preserve"> insertion: Historical MBS items wer</w:t>
      </w:r>
      <w:r w:rsidR="00866FA1">
        <w:rPr>
          <w:szCs w:val="20"/>
        </w:rPr>
        <w:t xml:space="preserve">e </w:t>
      </w:r>
      <w:r w:rsidRPr="003E04C2">
        <w:rPr>
          <w:szCs w:val="20"/>
        </w:rPr>
        <w:t xml:space="preserve">38384 and 38390.  In </w:t>
      </w:r>
      <w:r w:rsidR="00425825">
        <w:rPr>
          <w:szCs w:val="20"/>
        </w:rPr>
        <w:t>July 2021</w:t>
      </w:r>
      <w:r w:rsidRPr="003E04C2">
        <w:rPr>
          <w:szCs w:val="20"/>
        </w:rPr>
        <w:t>, these MBS item numbers were consolidated and replaced with MBS item 38471.</w:t>
      </w:r>
    </w:p>
    <w:p w14:paraId="145BC164" w14:textId="77777777" w:rsidR="00AF5D1E" w:rsidRPr="003E04C2" w:rsidRDefault="00AF5D1E" w:rsidP="00530204">
      <w:pPr>
        <w:pStyle w:val="Heading2"/>
      </w:pPr>
      <w:r w:rsidRPr="003E04C2">
        <w:t>Define and summarise the current cl</w:t>
      </w:r>
      <w:r w:rsidR="00F33F1A" w:rsidRPr="003E04C2">
        <w:t>inical management pathway</w:t>
      </w:r>
      <w:r w:rsidR="003904AC" w:rsidRPr="003E04C2">
        <w:t>/</w:t>
      </w:r>
      <w:r w:rsidR="00F33F1A" w:rsidRPr="003E04C2">
        <w:t xml:space="preserve">s that patients may follow </w:t>
      </w:r>
      <w:r w:rsidR="00F33F1A" w:rsidRPr="003E04C2">
        <w:rPr>
          <w:i/>
        </w:rPr>
        <w:t>after</w:t>
      </w:r>
      <w:r w:rsidR="00757232" w:rsidRPr="003E04C2">
        <w:t xml:space="preserve"> they receive</w:t>
      </w:r>
      <w:r w:rsidRPr="003E04C2">
        <w:t xml:space="preserve"> </w:t>
      </w:r>
      <w:r w:rsidR="00F33F1A" w:rsidRPr="003E04C2">
        <w:t xml:space="preserve">the medical service that has been nominated as the comparator </w:t>
      </w:r>
      <w:r w:rsidRPr="003E04C2">
        <w:t xml:space="preserve">(supplement this summary with </w:t>
      </w:r>
      <w:r w:rsidR="00F33F1A" w:rsidRPr="003E04C2">
        <w:t xml:space="preserve">an </w:t>
      </w:r>
      <w:proofErr w:type="gramStart"/>
      <w:r w:rsidR="00F33F1A" w:rsidRPr="003E04C2">
        <w:t>easy to follow</w:t>
      </w:r>
      <w:proofErr w:type="gramEnd"/>
      <w:r w:rsidR="00F33F1A" w:rsidRPr="003E04C2">
        <w:t xml:space="preserve"> flowchart </w:t>
      </w:r>
      <w:r w:rsidR="00757232" w:rsidRPr="003E04C2">
        <w:t xml:space="preserve">[as an attachment to the Application Form] </w:t>
      </w:r>
      <w:r w:rsidR="00F33F1A" w:rsidRPr="003E04C2">
        <w:t>dep</w:t>
      </w:r>
      <w:r w:rsidRPr="003E04C2">
        <w:t>icting the current c</w:t>
      </w:r>
      <w:r w:rsidR="0054594B" w:rsidRPr="003E04C2">
        <w:t>linical management pathway</w:t>
      </w:r>
      <w:r w:rsidR="00757232" w:rsidRPr="003E04C2">
        <w:t xml:space="preserve"> </w:t>
      </w:r>
      <w:r w:rsidR="0054594B" w:rsidRPr="003E04C2">
        <w:t>that patients may follow from the point of receiving the comparator onwards</w:t>
      </w:r>
      <w:r w:rsidR="003904AC" w:rsidRPr="003E04C2">
        <w:t>,</w:t>
      </w:r>
      <w:r w:rsidR="00E4321E" w:rsidRPr="003E04C2">
        <w:t xml:space="preserve"> including health care resources</w:t>
      </w:r>
      <w:r w:rsidR="00AE1188" w:rsidRPr="003E04C2">
        <w:t>):</w:t>
      </w:r>
    </w:p>
    <w:p w14:paraId="086D00A9" w14:textId="123CBB59" w:rsidR="003F6638" w:rsidRPr="003E04C2" w:rsidRDefault="003F6638" w:rsidP="00E50F47">
      <w:pPr>
        <w:ind w:left="360"/>
        <w:rPr>
          <w:szCs w:val="20"/>
        </w:rPr>
      </w:pPr>
      <w:r w:rsidRPr="003E04C2">
        <w:rPr>
          <w:szCs w:val="20"/>
        </w:rPr>
        <w:t>Patients receiving EV-ICD</w:t>
      </w:r>
      <w:r w:rsidR="0005494D" w:rsidRPr="003E04C2">
        <w:rPr>
          <w:szCs w:val="20"/>
        </w:rPr>
        <w:t xml:space="preserve"> will receive an echocardiogram </w:t>
      </w:r>
      <w:r w:rsidRPr="003E04C2">
        <w:rPr>
          <w:szCs w:val="20"/>
        </w:rPr>
        <w:t>every 6 months</w:t>
      </w:r>
      <w:r w:rsidR="0005494D" w:rsidRPr="003E04C2">
        <w:rPr>
          <w:szCs w:val="20"/>
        </w:rPr>
        <w:t xml:space="preserve">.  </w:t>
      </w:r>
      <w:r w:rsidRPr="003E04C2">
        <w:rPr>
          <w:szCs w:val="20"/>
        </w:rPr>
        <w:t>Potential complications of EV-ICD</w:t>
      </w:r>
      <w:r w:rsidR="0005494D" w:rsidRPr="003E04C2">
        <w:rPr>
          <w:szCs w:val="20"/>
        </w:rPr>
        <w:t xml:space="preserve"> </w:t>
      </w:r>
      <w:r w:rsidR="00DD7528">
        <w:rPr>
          <w:szCs w:val="20"/>
        </w:rPr>
        <w:t xml:space="preserve">are </w:t>
      </w:r>
      <w:proofErr w:type="gramStart"/>
      <w:r w:rsidR="00DD7528">
        <w:rPr>
          <w:szCs w:val="20"/>
        </w:rPr>
        <w:t>similar to</w:t>
      </w:r>
      <w:proofErr w:type="gramEnd"/>
      <w:r w:rsidR="00DD7528">
        <w:rPr>
          <w:szCs w:val="20"/>
        </w:rPr>
        <w:t xml:space="preserve"> those of TV-ICD and </w:t>
      </w:r>
      <w:r w:rsidR="0005494D" w:rsidRPr="003E04C2">
        <w:rPr>
          <w:szCs w:val="20"/>
        </w:rPr>
        <w:t xml:space="preserve">include </w:t>
      </w:r>
      <w:r w:rsidR="00FB3861" w:rsidRPr="003E04C2">
        <w:rPr>
          <w:szCs w:val="20"/>
        </w:rPr>
        <w:t xml:space="preserve">pain, inappropriate shocks, lead failure and device/lead infection.  </w:t>
      </w:r>
      <w:r w:rsidR="0005494D" w:rsidRPr="003E04C2">
        <w:rPr>
          <w:szCs w:val="20"/>
        </w:rPr>
        <w:t xml:space="preserve">If these events occur, patients will receive the required treatment and be followed-up.  It is also possible that a re-operation will be required, </w:t>
      </w:r>
      <w:r w:rsidR="00B14111">
        <w:rPr>
          <w:szCs w:val="20"/>
        </w:rPr>
        <w:t>although this is rare.  S</w:t>
      </w:r>
      <w:r w:rsidR="0005494D" w:rsidRPr="003E04C2">
        <w:rPr>
          <w:szCs w:val="20"/>
        </w:rPr>
        <w:t>ee Attachmen</w:t>
      </w:r>
      <w:r w:rsidRPr="003E04C2">
        <w:rPr>
          <w:szCs w:val="20"/>
        </w:rPr>
        <w:t>t A ‘Clinical Algorithm</w:t>
      </w:r>
      <w:r w:rsidR="006A459D">
        <w:rPr>
          <w:szCs w:val="20"/>
        </w:rPr>
        <w:t>’</w:t>
      </w:r>
      <w:r w:rsidRPr="003E04C2">
        <w:rPr>
          <w:szCs w:val="20"/>
        </w:rPr>
        <w:t>.</w:t>
      </w:r>
    </w:p>
    <w:p w14:paraId="49D85FB4" w14:textId="77777777" w:rsidR="00A83EC6" w:rsidRPr="003E04C2" w:rsidRDefault="005C3AE7" w:rsidP="00530204">
      <w:pPr>
        <w:pStyle w:val="Heading2"/>
      </w:pPr>
      <w:r w:rsidRPr="003E04C2">
        <w:t xml:space="preserve">(a) </w:t>
      </w:r>
      <w:r w:rsidR="00CD7A7D" w:rsidRPr="003E04C2">
        <w:t xml:space="preserve">Will </w:t>
      </w:r>
      <w:r w:rsidR="00A83EC6" w:rsidRPr="003E04C2">
        <w:t>the proposed medical service be used in addition to, or instead of, the nominated comparator(s)</w:t>
      </w:r>
      <w:r w:rsidR="00D30BDC" w:rsidRPr="003E04C2">
        <w:t>?</w:t>
      </w:r>
    </w:p>
    <w:p w14:paraId="0CDC63CC" w14:textId="77777777" w:rsidR="001B29A1" w:rsidRPr="003E04C2" w:rsidRDefault="001B29A1" w:rsidP="001B29A1">
      <w:pPr>
        <w:spacing w:before="0" w:after="0"/>
        <w:ind w:left="426"/>
        <w:rPr>
          <w:szCs w:val="20"/>
        </w:rPr>
      </w:pPr>
      <w:r w:rsidRPr="003E04C2">
        <w:rPr>
          <w:szCs w:val="20"/>
        </w:rPr>
        <w:fldChar w:fldCharType="begin">
          <w:ffData>
            <w:name w:val="Check1"/>
            <w:enabled/>
            <w:calcOnExit w:val="0"/>
            <w:checkBox>
              <w:sizeAuto/>
              <w:default w:val="0"/>
            </w:checkBox>
          </w:ffData>
        </w:fldChar>
      </w:r>
      <w:r w:rsidRPr="003E04C2">
        <w:rPr>
          <w:szCs w:val="20"/>
        </w:rPr>
        <w:instrText xml:space="preserve"> FORMCHECKBOX </w:instrText>
      </w:r>
      <w:r w:rsidR="00082192">
        <w:rPr>
          <w:szCs w:val="20"/>
        </w:rPr>
      </w:r>
      <w:r w:rsidR="00082192">
        <w:rPr>
          <w:szCs w:val="20"/>
        </w:rPr>
        <w:fldChar w:fldCharType="separate"/>
      </w:r>
      <w:r w:rsidRPr="003E04C2">
        <w:rPr>
          <w:szCs w:val="20"/>
        </w:rPr>
        <w:fldChar w:fldCharType="end"/>
      </w:r>
      <w:r w:rsidRPr="003E04C2">
        <w:rPr>
          <w:szCs w:val="20"/>
        </w:rPr>
        <w:t xml:space="preserve"> </w:t>
      </w:r>
      <w:r w:rsidR="00282BE8" w:rsidRPr="003E04C2">
        <w:rPr>
          <w:szCs w:val="20"/>
        </w:rPr>
        <w:t>In addition to (</w:t>
      </w:r>
      <w:proofErr w:type="gramStart"/>
      <w:r w:rsidR="00282BE8" w:rsidRPr="003E04C2">
        <w:rPr>
          <w:szCs w:val="20"/>
        </w:rPr>
        <w:t>i.e.</w:t>
      </w:r>
      <w:proofErr w:type="gramEnd"/>
      <w:r w:rsidR="00282BE8" w:rsidRPr="003E04C2">
        <w:rPr>
          <w:szCs w:val="20"/>
        </w:rPr>
        <w:t xml:space="preserve"> it is an add-on service)</w:t>
      </w:r>
      <w:r w:rsidRPr="003E04C2">
        <w:rPr>
          <w:szCs w:val="20"/>
        </w:rPr>
        <w:t xml:space="preserve"> </w:t>
      </w:r>
    </w:p>
    <w:p w14:paraId="7DED2FB2" w14:textId="5E56A6B2" w:rsidR="001B29A1" w:rsidRPr="003E04C2" w:rsidRDefault="0005494D" w:rsidP="001B29A1">
      <w:pPr>
        <w:spacing w:before="0" w:after="0"/>
        <w:ind w:left="426"/>
        <w:rPr>
          <w:szCs w:val="20"/>
        </w:rPr>
      </w:pPr>
      <w:r w:rsidRPr="003E04C2">
        <w:rPr>
          <w:szCs w:val="20"/>
        </w:rPr>
        <w:fldChar w:fldCharType="begin">
          <w:ffData>
            <w:name w:val="Check1"/>
            <w:enabled/>
            <w:calcOnExit w:val="0"/>
            <w:checkBox>
              <w:sizeAuto/>
              <w:default w:val="1"/>
            </w:checkBox>
          </w:ffData>
        </w:fldChar>
      </w:r>
      <w:r w:rsidRPr="003E04C2">
        <w:rPr>
          <w:szCs w:val="20"/>
        </w:rPr>
        <w:instrText xml:space="preserve"> FORMCHECKBOX </w:instrText>
      </w:r>
      <w:r w:rsidR="00082192">
        <w:rPr>
          <w:szCs w:val="20"/>
        </w:rPr>
      </w:r>
      <w:r w:rsidR="00082192">
        <w:rPr>
          <w:szCs w:val="20"/>
        </w:rPr>
        <w:fldChar w:fldCharType="separate"/>
      </w:r>
      <w:r w:rsidRPr="003E04C2">
        <w:rPr>
          <w:szCs w:val="20"/>
        </w:rPr>
        <w:fldChar w:fldCharType="end"/>
      </w:r>
      <w:r w:rsidR="001B29A1" w:rsidRPr="003E04C2">
        <w:rPr>
          <w:szCs w:val="20"/>
        </w:rPr>
        <w:t xml:space="preserve"> </w:t>
      </w:r>
      <w:r w:rsidR="00282BE8" w:rsidRPr="003E04C2">
        <w:rPr>
          <w:szCs w:val="20"/>
        </w:rPr>
        <w:t>Instead of (</w:t>
      </w:r>
      <w:proofErr w:type="gramStart"/>
      <w:r w:rsidR="00282BE8" w:rsidRPr="003E04C2">
        <w:rPr>
          <w:szCs w:val="20"/>
        </w:rPr>
        <w:t>i.e.</w:t>
      </w:r>
      <w:proofErr w:type="gramEnd"/>
      <w:r w:rsidR="00282BE8" w:rsidRPr="003E04C2">
        <w:rPr>
          <w:szCs w:val="20"/>
        </w:rPr>
        <w:t xml:space="preserve"> it is a replacement or alternative)</w:t>
      </w:r>
    </w:p>
    <w:p w14:paraId="0F4BAE69" w14:textId="77777777" w:rsidR="00E70D86" w:rsidRPr="003E04C2" w:rsidRDefault="00E70D86" w:rsidP="005C3AE7">
      <w:pPr>
        <w:pStyle w:val="Heading2"/>
        <w:numPr>
          <w:ilvl w:val="0"/>
          <w:numId w:val="30"/>
        </w:numPr>
      </w:pPr>
      <w:r w:rsidRPr="003E04C2">
        <w:t xml:space="preserve">If </w:t>
      </w:r>
      <w:r w:rsidR="00723446" w:rsidRPr="003E04C2">
        <w:t>instead of (</w:t>
      </w:r>
      <w:proofErr w:type="gramStart"/>
      <w:r w:rsidR="00723446" w:rsidRPr="003E04C2">
        <w:t>i.e.</w:t>
      </w:r>
      <w:proofErr w:type="gramEnd"/>
      <w:r w:rsidR="00723446" w:rsidRPr="003E04C2">
        <w:t xml:space="preserve"> alternative service)</w:t>
      </w:r>
      <w:r w:rsidR="00D00122" w:rsidRPr="003E04C2">
        <w:t xml:space="preserve">, </w:t>
      </w:r>
      <w:r w:rsidRPr="003E04C2">
        <w:t xml:space="preserve">please </w:t>
      </w:r>
      <w:r w:rsidR="00F33F1A" w:rsidRPr="003E04C2">
        <w:t xml:space="preserve">outline </w:t>
      </w:r>
      <w:r w:rsidR="00723446" w:rsidRPr="003E04C2">
        <w:t xml:space="preserve">the extent to </w:t>
      </w:r>
      <w:r w:rsidR="00F33F1A" w:rsidRPr="003E04C2">
        <w:t xml:space="preserve">which </w:t>
      </w:r>
      <w:r w:rsidR="00D00122" w:rsidRPr="003E04C2">
        <w:t xml:space="preserve">the </w:t>
      </w:r>
      <w:r w:rsidR="00F33F1A" w:rsidRPr="003E04C2">
        <w:t xml:space="preserve">current service/comparator is expected to be </w:t>
      </w:r>
      <w:r w:rsidR="00AE1188" w:rsidRPr="003E04C2">
        <w:t>substituted:</w:t>
      </w:r>
    </w:p>
    <w:p w14:paraId="4E02092B" w14:textId="07471CF7" w:rsidR="0005494D" w:rsidRPr="003E04C2" w:rsidRDefault="0005494D" w:rsidP="0005494D">
      <w:pPr>
        <w:ind w:left="360"/>
      </w:pPr>
      <w:r w:rsidRPr="003E04C2">
        <w:t>I</w:t>
      </w:r>
      <w:r w:rsidR="00686B48" w:rsidRPr="003E04C2">
        <w:t>t is estimated that as many as 20% of patients may access EV-ICD in Year 1</w:t>
      </w:r>
      <w:r w:rsidRPr="003E04C2">
        <w:t xml:space="preserve">, should the service be included on the MBS.  </w:t>
      </w:r>
      <w:r w:rsidR="00686B48" w:rsidRPr="003E04C2">
        <w:t xml:space="preserve">It is also estimated that an additional 5% of patients with VA (not suitable for TV-ICD) will access EV-ICD.  </w:t>
      </w:r>
      <w:r w:rsidRPr="003E04C2">
        <w:t>Please see Questions 49 and 50 for further information.</w:t>
      </w:r>
    </w:p>
    <w:p w14:paraId="63867765" w14:textId="77777777" w:rsidR="0054594B" w:rsidRPr="003E04C2" w:rsidRDefault="009C03FB" w:rsidP="00530204">
      <w:pPr>
        <w:pStyle w:val="Heading2"/>
      </w:pPr>
      <w:r w:rsidRPr="003E04C2">
        <w:t>Define and summarise how</w:t>
      </w:r>
      <w:r w:rsidR="00F33F1A" w:rsidRPr="003E04C2">
        <w:t xml:space="preserve"> curr</w:t>
      </w:r>
      <w:r w:rsidRPr="003E04C2">
        <w:t>ent clinical management pathways (from the point of service delivery onwards) are</w:t>
      </w:r>
      <w:r w:rsidR="00F33F1A" w:rsidRPr="003E04C2">
        <w:t xml:space="preserve"> expected to change </w:t>
      </w:r>
      <w:proofErr w:type="gramStart"/>
      <w:r w:rsidR="00F33F1A" w:rsidRPr="003E04C2">
        <w:t>as a consequence of</w:t>
      </w:r>
      <w:proofErr w:type="gramEnd"/>
      <w:r w:rsidR="00F33F1A" w:rsidRPr="003E04C2">
        <w:t xml:space="preserve"> introducing the proposed medical service</w:t>
      </w:r>
      <w:r w:rsidR="003904AC" w:rsidRPr="003E04C2">
        <w:t>,</w:t>
      </w:r>
      <w:r w:rsidR="00F33F1A" w:rsidRPr="003E04C2">
        <w:t xml:space="preserve"> </w:t>
      </w:r>
      <w:r w:rsidR="007D2358" w:rsidRPr="003E04C2">
        <w:t xml:space="preserve">including variation in health care resources </w:t>
      </w:r>
      <w:r w:rsidRPr="003E04C2">
        <w:t>(</w:t>
      </w:r>
      <w:r w:rsidR="002053F2" w:rsidRPr="003E04C2">
        <w:t xml:space="preserve">Refer to </w:t>
      </w:r>
      <w:r w:rsidR="00F33F1A" w:rsidRPr="003E04C2">
        <w:t xml:space="preserve">Question </w:t>
      </w:r>
      <w:r w:rsidR="00197D29" w:rsidRPr="003E04C2">
        <w:t>39</w:t>
      </w:r>
      <w:r w:rsidR="00F33F1A" w:rsidRPr="003E04C2">
        <w:t xml:space="preserve"> as baseline)</w:t>
      </w:r>
      <w:r w:rsidR="00AE1188" w:rsidRPr="003E04C2">
        <w:t>:</w:t>
      </w:r>
    </w:p>
    <w:p w14:paraId="1D628F61" w14:textId="77777777" w:rsidR="00E50F47" w:rsidRDefault="001B63BA" w:rsidP="00E50F47">
      <w:pPr>
        <w:pStyle w:val="ListParagraph"/>
        <w:ind w:left="357"/>
        <w:contextualSpacing w:val="0"/>
      </w:pPr>
      <w:r w:rsidRPr="003E04C2">
        <w:t xml:space="preserve">The clinical pathway will be essentially the same after EV-ICD as it is for TV-ICD therapy.  The length of hospital </w:t>
      </w:r>
      <w:proofErr w:type="gramStart"/>
      <w:r w:rsidRPr="003E04C2">
        <w:t>stay</w:t>
      </w:r>
      <w:proofErr w:type="gramEnd"/>
      <w:r w:rsidRPr="003E04C2">
        <w:t xml:space="preserve"> and recovery time for EV-ICD lead and generator insertion is expected to be similar to insertion of TV-ICD</w:t>
      </w:r>
      <w:r w:rsidR="003E04C2" w:rsidRPr="003E04C2">
        <w:t xml:space="preserve"> leads and generators</w:t>
      </w:r>
      <w:r w:rsidRPr="003E04C2">
        <w:t>.</w:t>
      </w:r>
    </w:p>
    <w:p w14:paraId="529836C6" w14:textId="08184BD8" w:rsidR="002C7430" w:rsidRPr="00082192" w:rsidRDefault="002C7430" w:rsidP="00E50F47">
      <w:pPr>
        <w:pStyle w:val="ListParagraph"/>
        <w:ind w:left="357"/>
        <w:contextualSpacing w:val="0"/>
      </w:pPr>
      <w:r w:rsidRPr="00082192">
        <w:rPr>
          <w:szCs w:val="20"/>
        </w:rPr>
        <w:t>As commented above, there is additional training the implanting physicians need to undertake.  Medtronic intend to provide extensive theoretical and practical training in EV-ICD implantation and therapy to these physicians.</w:t>
      </w:r>
    </w:p>
    <w:p w14:paraId="575CC6C0" w14:textId="121B1369" w:rsidR="00DF0D47" w:rsidRPr="00082192" w:rsidRDefault="005C3AE7" w:rsidP="00E50F47">
      <w:pPr>
        <w:pStyle w:val="Subtitle"/>
        <w:ind w:left="0"/>
      </w:pPr>
      <w:r w:rsidRPr="00082192">
        <w:t xml:space="preserve">PART 6d – </w:t>
      </w:r>
      <w:r w:rsidR="00DF0D47" w:rsidRPr="00082192">
        <w:t xml:space="preserve">INFORMATION ABOUT THE </w:t>
      </w:r>
      <w:r w:rsidR="00CF5AD8" w:rsidRPr="00082192">
        <w:t xml:space="preserve">CLINICAL </w:t>
      </w:r>
      <w:r w:rsidR="00DF0D47" w:rsidRPr="00082192">
        <w:t>OUTCOME</w:t>
      </w:r>
    </w:p>
    <w:p w14:paraId="1D4189D8" w14:textId="77777777" w:rsidR="004E3CC7" w:rsidRPr="00082192" w:rsidRDefault="004E3CC7" w:rsidP="00530204">
      <w:pPr>
        <w:pStyle w:val="Heading2"/>
      </w:pPr>
      <w:r w:rsidRPr="00082192">
        <w:t>Summarise the clinical claims for the proposed medical service against the appropriate comparator(s), in terms of consequences for health outcomes</w:t>
      </w:r>
      <w:r w:rsidR="00CF5AD8" w:rsidRPr="00082192">
        <w:t xml:space="preserve"> (</w:t>
      </w:r>
      <w:r w:rsidR="009F0C02" w:rsidRPr="00082192">
        <w:t>comparative benefits and harms)</w:t>
      </w:r>
      <w:r w:rsidR="00AE1188" w:rsidRPr="00082192">
        <w:t>:</w:t>
      </w:r>
    </w:p>
    <w:p w14:paraId="252BC105" w14:textId="70409BD6" w:rsidR="003F40E0" w:rsidRPr="003E04C2" w:rsidRDefault="003F40E0" w:rsidP="003F40E0">
      <w:pPr>
        <w:ind w:left="426"/>
        <w:rPr>
          <w:szCs w:val="20"/>
        </w:rPr>
      </w:pPr>
      <w:r w:rsidRPr="00082192">
        <w:rPr>
          <w:szCs w:val="20"/>
        </w:rPr>
        <w:t xml:space="preserve">EV-ICD is non-inferior to TV-ICD in patients at risk of </w:t>
      </w:r>
      <w:r w:rsidR="001269E9" w:rsidRPr="00082192">
        <w:rPr>
          <w:szCs w:val="20"/>
        </w:rPr>
        <w:t>VA</w:t>
      </w:r>
      <w:r w:rsidRPr="00082192">
        <w:rPr>
          <w:szCs w:val="20"/>
        </w:rPr>
        <w:t xml:space="preserve"> in terms of overall survival and appropriate</w:t>
      </w:r>
      <w:r w:rsidRPr="003E04C2">
        <w:rPr>
          <w:szCs w:val="20"/>
        </w:rPr>
        <w:t xml:space="preserve"> shocks.  </w:t>
      </w:r>
    </w:p>
    <w:p w14:paraId="50E4D29F" w14:textId="3706A1E1" w:rsidR="003275B1" w:rsidRPr="00EE4B36" w:rsidRDefault="003F40E0" w:rsidP="003F40E0">
      <w:pPr>
        <w:ind w:left="426"/>
        <w:rPr>
          <w:szCs w:val="20"/>
        </w:rPr>
      </w:pPr>
      <w:r w:rsidRPr="003E04C2">
        <w:rPr>
          <w:szCs w:val="20"/>
        </w:rPr>
        <w:t xml:space="preserve">EV-ICD is superior to TV-ICD </w:t>
      </w:r>
      <w:r w:rsidR="001269E9" w:rsidRPr="003E04C2">
        <w:rPr>
          <w:szCs w:val="20"/>
        </w:rPr>
        <w:t>in patients at risk of VA in</w:t>
      </w:r>
      <w:r w:rsidRPr="003E04C2">
        <w:rPr>
          <w:szCs w:val="20"/>
        </w:rPr>
        <w:t xml:space="preserve"> terms of safety (fewe</w:t>
      </w:r>
      <w:r w:rsidR="003275B1" w:rsidRPr="003E04C2">
        <w:rPr>
          <w:szCs w:val="20"/>
        </w:rPr>
        <w:t>r all-cause ICD-related complications and inappropriate shocks).</w:t>
      </w:r>
    </w:p>
    <w:p w14:paraId="40BD84E6" w14:textId="77777777" w:rsidR="004E3CC7" w:rsidRPr="00EE4B36" w:rsidRDefault="004E3CC7" w:rsidP="00530204">
      <w:pPr>
        <w:pStyle w:val="Heading2"/>
      </w:pPr>
      <w:r w:rsidRPr="00EE4B36">
        <w:t xml:space="preserve">Please advise if the </w:t>
      </w:r>
      <w:r w:rsidR="00CF5AD8" w:rsidRPr="00EE4B36">
        <w:t xml:space="preserve">overall </w:t>
      </w:r>
      <w:r w:rsidRPr="00EE4B36">
        <w:t>clinical claim is for:</w:t>
      </w:r>
    </w:p>
    <w:p w14:paraId="41A04D7C" w14:textId="77777777" w:rsidR="001B29A1" w:rsidRPr="00EE4B36" w:rsidRDefault="001B29A1" w:rsidP="001B29A1">
      <w:pPr>
        <w:spacing w:before="0" w:after="0"/>
        <w:ind w:left="426"/>
        <w:rPr>
          <w:szCs w:val="20"/>
        </w:rPr>
      </w:pPr>
      <w:r w:rsidRPr="00EE4B36">
        <w:rPr>
          <w:szCs w:val="20"/>
        </w:rPr>
        <w:fldChar w:fldCharType="begin">
          <w:ffData>
            <w:name w:val="Check1"/>
            <w:enabled/>
            <w:calcOnExit w:val="0"/>
            <w:checkBox>
              <w:sizeAuto/>
              <w:default w:val="0"/>
            </w:checkBox>
          </w:ffData>
        </w:fldChar>
      </w:r>
      <w:r w:rsidRPr="00EE4B36">
        <w:rPr>
          <w:szCs w:val="20"/>
        </w:rPr>
        <w:instrText xml:space="preserve"> FORMCHECKBOX </w:instrText>
      </w:r>
      <w:r w:rsidR="00082192">
        <w:rPr>
          <w:szCs w:val="20"/>
        </w:rPr>
      </w:r>
      <w:r w:rsidR="00082192">
        <w:rPr>
          <w:szCs w:val="20"/>
        </w:rPr>
        <w:fldChar w:fldCharType="separate"/>
      </w:r>
      <w:r w:rsidRPr="00EE4B36">
        <w:rPr>
          <w:szCs w:val="20"/>
        </w:rPr>
        <w:fldChar w:fldCharType="end"/>
      </w:r>
      <w:r w:rsidRPr="00EE4B36">
        <w:rPr>
          <w:szCs w:val="20"/>
        </w:rPr>
        <w:t xml:space="preserve"> Superiority</w:t>
      </w:r>
      <w:r w:rsidRPr="00EE4B36">
        <w:rPr>
          <w:szCs w:val="20"/>
        </w:rPr>
        <w:tab/>
      </w:r>
    </w:p>
    <w:p w14:paraId="3DC97766" w14:textId="7D2F42A5" w:rsidR="004E3CC7" w:rsidRPr="00EE4B36" w:rsidRDefault="003F40E0" w:rsidP="001B29A1">
      <w:pPr>
        <w:spacing w:before="0" w:after="0"/>
        <w:ind w:left="426"/>
        <w:rPr>
          <w:szCs w:val="20"/>
        </w:rPr>
      </w:pPr>
      <w:r w:rsidRPr="00EE4B36">
        <w:rPr>
          <w:szCs w:val="20"/>
        </w:rPr>
        <w:fldChar w:fldCharType="begin">
          <w:ffData>
            <w:name w:val="Check1"/>
            <w:enabled/>
            <w:calcOnExit w:val="0"/>
            <w:checkBox>
              <w:sizeAuto/>
              <w:default w:val="1"/>
            </w:checkBox>
          </w:ffData>
        </w:fldChar>
      </w:r>
      <w:r w:rsidRPr="00EE4B36">
        <w:rPr>
          <w:szCs w:val="20"/>
        </w:rPr>
        <w:instrText xml:space="preserve"> FORMCHECKBOX </w:instrText>
      </w:r>
      <w:r w:rsidR="00082192">
        <w:rPr>
          <w:szCs w:val="20"/>
        </w:rPr>
      </w:r>
      <w:r w:rsidR="00082192">
        <w:rPr>
          <w:szCs w:val="20"/>
        </w:rPr>
        <w:fldChar w:fldCharType="separate"/>
      </w:r>
      <w:r w:rsidRPr="00EE4B36">
        <w:rPr>
          <w:szCs w:val="20"/>
        </w:rPr>
        <w:fldChar w:fldCharType="end"/>
      </w:r>
      <w:r w:rsidR="001B29A1" w:rsidRPr="00EE4B36">
        <w:rPr>
          <w:szCs w:val="20"/>
        </w:rPr>
        <w:t xml:space="preserve"> Non-inferiority</w:t>
      </w:r>
      <w:r w:rsidR="001B29A1" w:rsidRPr="00EE4B36">
        <w:rPr>
          <w:szCs w:val="20"/>
        </w:rPr>
        <w:tab/>
      </w:r>
    </w:p>
    <w:p w14:paraId="6B401D4F" w14:textId="77777777" w:rsidR="00E50F47" w:rsidRDefault="00E50F47">
      <w:pPr>
        <w:spacing w:before="0" w:after="200" w:line="276" w:lineRule="auto"/>
        <w:rPr>
          <w:b/>
          <w:szCs w:val="20"/>
        </w:rPr>
      </w:pPr>
      <w:r>
        <w:br w:type="page"/>
      </w:r>
    </w:p>
    <w:p w14:paraId="74F6465D" w14:textId="516279C1" w:rsidR="00B25D20" w:rsidRPr="00EE4B36" w:rsidRDefault="00E50F47" w:rsidP="00530204">
      <w:pPr>
        <w:pStyle w:val="Heading2"/>
      </w:pPr>
      <w:r>
        <w:lastRenderedPageBreak/>
        <w:t>L</w:t>
      </w:r>
      <w:r w:rsidR="00B25D20" w:rsidRPr="00EE4B36">
        <w:t xml:space="preserve">ist the key health outcomes </w:t>
      </w:r>
      <w:r w:rsidR="00707D4D" w:rsidRPr="00EE4B36">
        <w:t xml:space="preserve">(major and minor – prioritising major key health outcomes first) </w:t>
      </w:r>
      <w:r w:rsidR="00B25D20" w:rsidRPr="00EE4B36">
        <w:t>that will ne</w:t>
      </w:r>
      <w:r w:rsidR="00AD37D4" w:rsidRPr="00EE4B36">
        <w:t xml:space="preserve">ed to be specifically measured </w:t>
      </w:r>
      <w:r w:rsidR="00B25D20" w:rsidRPr="00EE4B36">
        <w:t>in assessing the clinical claim of the proposed medica</w:t>
      </w:r>
      <w:r w:rsidR="001B29A1" w:rsidRPr="00EE4B36">
        <w:t>l service versus the comparator</w:t>
      </w:r>
      <w:r w:rsidR="00AD37D4" w:rsidRPr="00EE4B36">
        <w:t>:</w:t>
      </w:r>
    </w:p>
    <w:p w14:paraId="26F65479" w14:textId="77777777" w:rsidR="001B29A1" w:rsidRPr="00EE4B36" w:rsidRDefault="001B29A1" w:rsidP="00333BD5">
      <w:pPr>
        <w:pBdr>
          <w:top w:val="single" w:sz="4" w:space="1" w:color="auto"/>
          <w:left w:val="single" w:sz="4" w:space="0" w:color="auto"/>
          <w:bottom w:val="single" w:sz="4" w:space="1" w:color="auto"/>
          <w:right w:val="single" w:sz="4" w:space="4" w:color="auto"/>
        </w:pBdr>
        <w:ind w:left="142" w:firstLine="142"/>
      </w:pPr>
      <w:r w:rsidRPr="00EE4B36">
        <w:rPr>
          <w:b/>
          <w:szCs w:val="20"/>
        </w:rPr>
        <w:t xml:space="preserve">Safety Outcomes: </w:t>
      </w:r>
    </w:p>
    <w:p w14:paraId="46583444" w14:textId="77598AE8" w:rsidR="00C12A4F" w:rsidRPr="00EE4B36" w:rsidRDefault="00C12A4F" w:rsidP="00333BD5">
      <w:pPr>
        <w:pBdr>
          <w:top w:val="single" w:sz="4" w:space="1" w:color="auto"/>
          <w:left w:val="single" w:sz="4" w:space="0" w:color="auto"/>
          <w:bottom w:val="single" w:sz="4" w:space="1" w:color="auto"/>
          <w:right w:val="single" w:sz="4" w:space="4" w:color="auto"/>
        </w:pBdr>
        <w:ind w:left="142" w:firstLine="142"/>
      </w:pPr>
      <w:r w:rsidRPr="00EE4B36">
        <w:t>Composite of all-cause ICD-related complications and inappropriate shocks</w:t>
      </w:r>
    </w:p>
    <w:p w14:paraId="008333BA" w14:textId="77777777" w:rsidR="003275B1" w:rsidRPr="00EE4B36" w:rsidRDefault="003275B1" w:rsidP="00333BD5">
      <w:pPr>
        <w:pBdr>
          <w:top w:val="single" w:sz="4" w:space="1" w:color="auto"/>
          <w:left w:val="single" w:sz="4" w:space="0" w:color="auto"/>
          <w:bottom w:val="single" w:sz="4" w:space="1" w:color="auto"/>
          <w:right w:val="single" w:sz="4" w:space="4" w:color="auto"/>
        </w:pBdr>
        <w:ind w:left="142" w:firstLine="142"/>
      </w:pPr>
      <w:r w:rsidRPr="00EE4B36">
        <w:t>Inappropriate shocks</w:t>
      </w:r>
    </w:p>
    <w:p w14:paraId="44640BF6" w14:textId="77777777" w:rsidR="003275B1" w:rsidRPr="00EE4B36" w:rsidRDefault="003275B1" w:rsidP="00333BD5">
      <w:pPr>
        <w:pBdr>
          <w:top w:val="single" w:sz="4" w:space="1" w:color="auto"/>
          <w:left w:val="single" w:sz="4" w:space="0" w:color="auto"/>
          <w:bottom w:val="single" w:sz="4" w:space="1" w:color="auto"/>
          <w:right w:val="single" w:sz="4" w:space="4" w:color="auto"/>
        </w:pBdr>
        <w:ind w:left="142" w:firstLine="142"/>
      </w:pPr>
      <w:r w:rsidRPr="00EE4B36">
        <w:t>Serious adverse events</w:t>
      </w:r>
    </w:p>
    <w:p w14:paraId="6B3119A8" w14:textId="77777777" w:rsidR="00C12A4F" w:rsidRPr="00EE4B36" w:rsidRDefault="00C12A4F" w:rsidP="00333BD5">
      <w:pPr>
        <w:pBdr>
          <w:top w:val="single" w:sz="4" w:space="1" w:color="auto"/>
          <w:left w:val="single" w:sz="4" w:space="0" w:color="auto"/>
          <w:bottom w:val="single" w:sz="4" w:space="1" w:color="auto"/>
          <w:right w:val="single" w:sz="4" w:space="4" w:color="auto"/>
        </w:pBdr>
        <w:ind w:left="142" w:firstLine="142"/>
      </w:pPr>
      <w:r w:rsidRPr="00EE4B36">
        <w:t>Device-related complications (pocket or lead complications)</w:t>
      </w:r>
    </w:p>
    <w:p w14:paraId="55B244EE" w14:textId="77777777" w:rsidR="00C12A4F" w:rsidRPr="00EE4B36" w:rsidRDefault="00C12A4F" w:rsidP="00333BD5">
      <w:pPr>
        <w:pBdr>
          <w:top w:val="single" w:sz="4" w:space="1" w:color="auto"/>
          <w:left w:val="single" w:sz="4" w:space="0" w:color="auto"/>
          <w:bottom w:val="single" w:sz="4" w:space="1" w:color="auto"/>
          <w:right w:val="single" w:sz="4" w:space="4" w:color="auto"/>
        </w:pBdr>
        <w:ind w:left="142" w:firstLine="142"/>
      </w:pPr>
      <w:r w:rsidRPr="00EE4B36">
        <w:t>Procedure complications</w:t>
      </w:r>
    </w:p>
    <w:p w14:paraId="330B44E4" w14:textId="77777777" w:rsidR="00C12A4F" w:rsidRPr="00EE4B36" w:rsidRDefault="00C12A4F" w:rsidP="00333BD5">
      <w:pPr>
        <w:pBdr>
          <w:top w:val="single" w:sz="4" w:space="1" w:color="auto"/>
          <w:left w:val="single" w:sz="4" w:space="0" w:color="auto"/>
          <w:bottom w:val="single" w:sz="4" w:space="1" w:color="auto"/>
          <w:right w:val="single" w:sz="4" w:space="4" w:color="auto"/>
        </w:pBdr>
        <w:ind w:left="142" w:firstLine="142"/>
      </w:pPr>
      <w:r w:rsidRPr="00EE4B36">
        <w:t>Replacement procedures or conversion to TV-ICD</w:t>
      </w:r>
    </w:p>
    <w:p w14:paraId="07657257" w14:textId="77777777" w:rsidR="001B29A1" w:rsidRPr="00EE4B36" w:rsidRDefault="001B29A1" w:rsidP="00333BD5">
      <w:pPr>
        <w:pBdr>
          <w:top w:val="single" w:sz="4" w:space="1" w:color="auto"/>
          <w:left w:val="single" w:sz="4" w:space="0" w:color="auto"/>
          <w:bottom w:val="single" w:sz="4" w:space="1" w:color="auto"/>
          <w:right w:val="single" w:sz="4" w:space="4" w:color="auto"/>
        </w:pBdr>
        <w:ind w:left="142" w:firstLine="142"/>
        <w:rPr>
          <w:b/>
          <w:szCs w:val="20"/>
        </w:rPr>
      </w:pPr>
    </w:p>
    <w:p w14:paraId="08285838" w14:textId="24696476" w:rsidR="009D194A" w:rsidRPr="00EE4B36" w:rsidRDefault="001B29A1" w:rsidP="00333BD5">
      <w:pPr>
        <w:pBdr>
          <w:top w:val="single" w:sz="4" w:space="1" w:color="auto"/>
          <w:left w:val="single" w:sz="4" w:space="0" w:color="auto"/>
          <w:bottom w:val="single" w:sz="4" w:space="1" w:color="auto"/>
          <w:right w:val="single" w:sz="4" w:space="4" w:color="auto"/>
        </w:pBdr>
        <w:ind w:left="142" w:firstLine="142"/>
      </w:pPr>
      <w:r w:rsidRPr="00EE4B36">
        <w:rPr>
          <w:b/>
          <w:szCs w:val="20"/>
        </w:rPr>
        <w:t xml:space="preserve">Clinical Effectiveness Outcomes: </w:t>
      </w:r>
    </w:p>
    <w:p w14:paraId="0ECD00D6" w14:textId="76AD279D" w:rsidR="007778D1" w:rsidRPr="00EE4B36" w:rsidRDefault="00C12A4F" w:rsidP="00333BD5">
      <w:pPr>
        <w:pBdr>
          <w:top w:val="single" w:sz="4" w:space="1" w:color="auto"/>
          <w:left w:val="single" w:sz="4" w:space="0" w:color="auto"/>
          <w:bottom w:val="single" w:sz="4" w:space="1" w:color="auto"/>
          <w:right w:val="single" w:sz="4" w:space="4" w:color="auto"/>
        </w:pBdr>
        <w:ind w:left="142" w:firstLine="142"/>
      </w:pPr>
      <w:r w:rsidRPr="00EE4B36">
        <w:t>All-cause mortality</w:t>
      </w:r>
    </w:p>
    <w:p w14:paraId="6BD5B755" w14:textId="0F9FE635" w:rsidR="00C12A4F" w:rsidRPr="00EE4B36" w:rsidRDefault="00C12A4F" w:rsidP="00333BD5">
      <w:pPr>
        <w:pBdr>
          <w:top w:val="single" w:sz="4" w:space="1" w:color="auto"/>
          <w:left w:val="single" w:sz="4" w:space="0" w:color="auto"/>
          <w:bottom w:val="single" w:sz="4" w:space="1" w:color="auto"/>
          <w:right w:val="single" w:sz="4" w:space="4" w:color="auto"/>
        </w:pBdr>
        <w:ind w:left="142" w:firstLine="142"/>
      </w:pPr>
      <w:r w:rsidRPr="00EE4B36">
        <w:t>Appropriate shocks (to prevent SCD)</w:t>
      </w:r>
    </w:p>
    <w:p w14:paraId="69A5D6D3" w14:textId="77777777" w:rsidR="009D194A" w:rsidRPr="00EE4B36" w:rsidRDefault="009D194A" w:rsidP="00333BD5">
      <w:pPr>
        <w:pBdr>
          <w:top w:val="single" w:sz="4" w:space="1" w:color="auto"/>
          <w:left w:val="single" w:sz="4" w:space="0" w:color="auto"/>
          <w:bottom w:val="single" w:sz="4" w:space="1" w:color="auto"/>
          <w:right w:val="single" w:sz="4" w:space="4" w:color="auto"/>
        </w:pBdr>
        <w:ind w:left="142" w:firstLine="142"/>
      </w:pPr>
      <w:r w:rsidRPr="00EE4B36">
        <w:t>Procedure time</w:t>
      </w:r>
    </w:p>
    <w:p w14:paraId="1CB37559" w14:textId="77777777" w:rsidR="006A7506" w:rsidRPr="00EE4B36" w:rsidRDefault="006A7506" w:rsidP="00333BD5">
      <w:pPr>
        <w:pBdr>
          <w:top w:val="single" w:sz="4" w:space="1" w:color="auto"/>
          <w:left w:val="single" w:sz="4" w:space="0" w:color="auto"/>
          <w:bottom w:val="single" w:sz="4" w:space="1" w:color="auto"/>
          <w:right w:val="single" w:sz="4" w:space="4" w:color="auto"/>
        </w:pBdr>
        <w:ind w:left="142" w:firstLine="142"/>
      </w:pPr>
      <w:r w:rsidRPr="00EE4B36">
        <w:t>Costs (procedure, device, tests, ongoing monitoring)</w:t>
      </w:r>
    </w:p>
    <w:p w14:paraId="229814DD" w14:textId="5E1FE2C3" w:rsidR="001B29A1" w:rsidRPr="00333BD5" w:rsidRDefault="007778D1" w:rsidP="00333BD5">
      <w:pPr>
        <w:pBdr>
          <w:top w:val="single" w:sz="4" w:space="1" w:color="auto"/>
          <w:left w:val="single" w:sz="4" w:space="0" w:color="auto"/>
          <w:bottom w:val="single" w:sz="4" w:space="1" w:color="auto"/>
          <w:right w:val="single" w:sz="4" w:space="4" w:color="auto"/>
        </w:pBdr>
        <w:ind w:left="142" w:firstLine="142"/>
        <w:rPr>
          <w:szCs w:val="20"/>
        </w:rPr>
      </w:pPr>
      <w:r w:rsidRPr="00EE4B36">
        <w:t>Quality of life</w:t>
      </w:r>
    </w:p>
    <w:p w14:paraId="3F652F03"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27C95FEE" w14:textId="77777777" w:rsidR="006C74B1" w:rsidRPr="00EA0624" w:rsidRDefault="00BE0FDE" w:rsidP="001B5169">
      <w:pPr>
        <w:pStyle w:val="Heading2"/>
      </w:pPr>
      <w:r w:rsidRPr="00EA0624">
        <w:t>Estimate</w:t>
      </w:r>
      <w:r w:rsidR="00974D50" w:rsidRPr="00EA0624">
        <w:t xml:space="preserve"> the prevalence</w:t>
      </w:r>
      <w:r w:rsidR="00B771AD" w:rsidRPr="00EA0624">
        <w:t xml:space="preserve"> and/or incidence</w:t>
      </w:r>
      <w:r w:rsidR="00974D50" w:rsidRPr="00EA0624">
        <w:t xml:space="preserve"> of </w:t>
      </w:r>
      <w:r w:rsidR="00AE1188" w:rsidRPr="00EA0624">
        <w:t>the proposed population:</w:t>
      </w:r>
    </w:p>
    <w:p w14:paraId="13ACB967" w14:textId="0E27E9F8" w:rsidR="00044891" w:rsidRPr="00F7241A" w:rsidRDefault="00044891" w:rsidP="00E50F47">
      <w:pPr>
        <w:ind w:left="360"/>
        <w:rPr>
          <w:szCs w:val="20"/>
        </w:rPr>
      </w:pPr>
      <w:r w:rsidRPr="00F7241A">
        <w:rPr>
          <w:szCs w:val="20"/>
        </w:rPr>
        <w:t>Prevalence of VA is uncertain due to its spontaneous and variable occurrence</w:t>
      </w:r>
      <w:r w:rsidRPr="00F7241A">
        <w:rPr>
          <w:rStyle w:val="FootnoteReference"/>
          <w:szCs w:val="20"/>
        </w:rPr>
        <w:footnoteReference w:id="10"/>
      </w:r>
      <w:r w:rsidRPr="00F7241A">
        <w:rPr>
          <w:szCs w:val="20"/>
        </w:rPr>
        <w:t xml:space="preserve"> although it is known that VA is present in most patients with heart failure, and its severity increases with the severity of heart failure.</w:t>
      </w:r>
      <w:r w:rsidRPr="00F7241A">
        <w:rPr>
          <w:rStyle w:val="FootnoteReference"/>
          <w:szCs w:val="20"/>
        </w:rPr>
        <w:footnoteReference w:id="11"/>
      </w:r>
      <w:r w:rsidRPr="00F7241A">
        <w:rPr>
          <w:szCs w:val="20"/>
        </w:rPr>
        <w:t xml:space="preserve">  The incidence of electrical storm is approximately 10 – 30% in patients with VT and an ICD.</w:t>
      </w:r>
      <w:r w:rsidRPr="00F7241A">
        <w:rPr>
          <w:rStyle w:val="FootnoteReference"/>
          <w:szCs w:val="20"/>
        </w:rPr>
        <w:footnoteReference w:id="12"/>
      </w:r>
      <w:r w:rsidRPr="00F7241A">
        <w:rPr>
          <w:szCs w:val="20"/>
        </w:rPr>
        <w:t xml:space="preserve"> </w:t>
      </w:r>
    </w:p>
    <w:p w14:paraId="7371FF21" w14:textId="14BC2FF0" w:rsidR="00AD15F5" w:rsidRDefault="00510998" w:rsidP="001E7C46">
      <w:pPr>
        <w:pStyle w:val="Default"/>
        <w:ind w:left="360"/>
        <w:rPr>
          <w:sz w:val="20"/>
          <w:szCs w:val="20"/>
        </w:rPr>
      </w:pPr>
      <w:r w:rsidRPr="00EA0624">
        <w:rPr>
          <w:sz w:val="20"/>
          <w:szCs w:val="20"/>
        </w:rPr>
        <w:t xml:space="preserve">The prevalence of </w:t>
      </w:r>
      <w:r w:rsidR="00AD15F5" w:rsidRPr="00EA0624">
        <w:rPr>
          <w:sz w:val="20"/>
          <w:szCs w:val="20"/>
        </w:rPr>
        <w:t>patients requiring a</w:t>
      </w:r>
      <w:r w:rsidRPr="00EA0624">
        <w:rPr>
          <w:sz w:val="20"/>
          <w:szCs w:val="20"/>
        </w:rPr>
        <w:t>n ICD</w:t>
      </w:r>
      <w:r w:rsidR="001E7C46" w:rsidRPr="00EA0624">
        <w:rPr>
          <w:sz w:val="20"/>
          <w:szCs w:val="20"/>
        </w:rPr>
        <w:t xml:space="preserve"> is </w:t>
      </w:r>
      <w:proofErr w:type="gramStart"/>
      <w:r w:rsidR="00082192" w:rsidRPr="00EA0624">
        <w:rPr>
          <w:sz w:val="20"/>
          <w:szCs w:val="20"/>
        </w:rPr>
        <w:t>age</w:t>
      </w:r>
      <w:r w:rsidR="00963EB5">
        <w:rPr>
          <w:sz w:val="20"/>
          <w:szCs w:val="20"/>
        </w:rPr>
        <w:t>-</w:t>
      </w:r>
      <w:r w:rsidR="00082192" w:rsidRPr="00EA0624">
        <w:rPr>
          <w:sz w:val="20"/>
          <w:szCs w:val="20"/>
        </w:rPr>
        <w:t>dependent</w:t>
      </w:r>
      <w:proofErr w:type="gramEnd"/>
      <w:r w:rsidR="001E7C46" w:rsidRPr="00EA0624">
        <w:rPr>
          <w:sz w:val="20"/>
          <w:szCs w:val="20"/>
        </w:rPr>
        <w:t xml:space="preserve">. </w:t>
      </w:r>
      <w:r w:rsidRPr="00EA0624">
        <w:rPr>
          <w:sz w:val="20"/>
          <w:szCs w:val="20"/>
        </w:rPr>
        <w:t xml:space="preserve">According to </w:t>
      </w:r>
      <w:r w:rsidR="00AD15F5" w:rsidRPr="00EA0624">
        <w:rPr>
          <w:sz w:val="20"/>
          <w:szCs w:val="20"/>
        </w:rPr>
        <w:t>Medicare statistics, the mean age of patients undergoing TV-ICD lead procedures (MBS items 38384 and 38390) in 2020 was 69 years and the majority (77%) of these patients were male</w:t>
      </w:r>
      <w:r w:rsidR="005633F8">
        <w:rPr>
          <w:sz w:val="20"/>
          <w:szCs w:val="20"/>
        </w:rPr>
        <w:t xml:space="preserve"> (Figure 3)</w:t>
      </w:r>
      <w:r w:rsidR="00AD15F5" w:rsidRPr="00EA0624">
        <w:rPr>
          <w:sz w:val="20"/>
          <w:szCs w:val="20"/>
        </w:rPr>
        <w:t xml:space="preserve">. </w:t>
      </w:r>
    </w:p>
    <w:p w14:paraId="5B2EDBA3" w14:textId="152E2B8E" w:rsidR="004F2CEB" w:rsidRPr="00FC58EF" w:rsidRDefault="004F2CEB" w:rsidP="00E50F47">
      <w:pPr>
        <w:pStyle w:val="Caption2"/>
        <w:spacing w:before="240"/>
        <w:ind w:firstLine="357"/>
        <w:rPr>
          <w:vertAlign w:val="superscript"/>
        </w:rPr>
      </w:pPr>
      <w:r w:rsidRPr="004F2CEB">
        <w:t>F</w:t>
      </w:r>
      <w:r w:rsidR="005633F8">
        <w:t>igure 3. Age distribution of patients receiving TV-ICD lead procedures in 2020</w:t>
      </w:r>
      <w:r w:rsidR="00FC58EF">
        <w:rPr>
          <w:vertAlign w:val="superscript"/>
        </w:rPr>
        <w:t>a</w:t>
      </w:r>
    </w:p>
    <w:p w14:paraId="29380B53" w14:textId="77777777" w:rsidR="00AD15F5" w:rsidRPr="00EA0624" w:rsidRDefault="00AD15F5" w:rsidP="001E7C46">
      <w:pPr>
        <w:pStyle w:val="Default"/>
        <w:ind w:left="360"/>
        <w:rPr>
          <w:sz w:val="20"/>
          <w:szCs w:val="20"/>
        </w:rPr>
      </w:pPr>
      <w:r w:rsidRPr="00EA0624">
        <w:rPr>
          <w:noProof/>
        </w:rPr>
        <w:drawing>
          <wp:inline distT="0" distB="0" distL="0" distR="0" wp14:anchorId="5C9FAD0B" wp14:editId="55357C13">
            <wp:extent cx="5279366" cy="2665563"/>
            <wp:effectExtent l="0" t="0" r="17145" b="1905"/>
            <wp:docPr id="2" name="Chart 2" descr="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61741F2" w14:textId="77070CFD" w:rsidR="00AD15F5" w:rsidRDefault="00492F9D" w:rsidP="001E7C46">
      <w:pPr>
        <w:pStyle w:val="Default"/>
        <w:ind w:left="360"/>
        <w:rPr>
          <w:rFonts w:ascii="Arial Narrow" w:hAnsi="Arial Narrow"/>
          <w:sz w:val="18"/>
          <w:szCs w:val="18"/>
        </w:rPr>
      </w:pPr>
      <w:r w:rsidRPr="00492F9D">
        <w:rPr>
          <w:rFonts w:ascii="Arial Narrow" w:hAnsi="Arial Narrow"/>
          <w:sz w:val="18"/>
          <w:szCs w:val="18"/>
        </w:rPr>
        <w:t>TV-ICD, transvenous implantable cardioverter defibrillator</w:t>
      </w:r>
    </w:p>
    <w:p w14:paraId="648A2FA2" w14:textId="42F250F0" w:rsidR="00FC58EF" w:rsidRPr="00492F9D" w:rsidRDefault="00FC58EF" w:rsidP="001E7C46">
      <w:pPr>
        <w:pStyle w:val="Default"/>
        <w:ind w:left="360"/>
        <w:rPr>
          <w:rFonts w:ascii="Arial Narrow" w:hAnsi="Arial Narrow"/>
          <w:sz w:val="18"/>
          <w:szCs w:val="18"/>
        </w:rPr>
      </w:pPr>
      <w:r>
        <w:rPr>
          <w:rFonts w:ascii="Arial Narrow" w:hAnsi="Arial Narrow"/>
          <w:sz w:val="18"/>
          <w:szCs w:val="18"/>
        </w:rPr>
        <w:t>a. In 2020, TV-ICD lead procedures were captured under MBS items 38384 and 38390. On</w:t>
      </w:r>
      <w:r w:rsidRPr="00FC58EF">
        <w:rPr>
          <w:rFonts w:ascii="Arial Narrow" w:hAnsi="Arial Narrow"/>
          <w:sz w:val="18"/>
          <w:szCs w:val="18"/>
        </w:rPr>
        <w:t xml:space="preserve"> 1st July 2021, historical MBS items 38384 and 38390 were consolidated and replaced with MBS item 38471.  </w:t>
      </w:r>
    </w:p>
    <w:p w14:paraId="2549D61B" w14:textId="021A0470" w:rsidR="00AD15F5" w:rsidRPr="00E348FB" w:rsidRDefault="00AD15F5" w:rsidP="00D532BC">
      <w:pPr>
        <w:pStyle w:val="Default"/>
        <w:ind w:left="360"/>
        <w:rPr>
          <w:rFonts w:ascii="Arial Narrow" w:hAnsi="Arial Narrow"/>
          <w:sz w:val="18"/>
          <w:szCs w:val="18"/>
          <w:lang w:val="fr-FR"/>
        </w:rPr>
      </w:pPr>
      <w:proofErr w:type="gramStart"/>
      <w:r w:rsidRPr="00E348FB">
        <w:rPr>
          <w:rFonts w:ascii="Arial Narrow" w:hAnsi="Arial Narrow"/>
          <w:sz w:val="18"/>
          <w:szCs w:val="18"/>
          <w:lang w:val="fr-FR"/>
        </w:rPr>
        <w:t>Source:</w:t>
      </w:r>
      <w:proofErr w:type="gramEnd"/>
      <w:r w:rsidRPr="00E348FB">
        <w:rPr>
          <w:rFonts w:ascii="Arial Narrow" w:hAnsi="Arial Narrow"/>
          <w:sz w:val="18"/>
          <w:szCs w:val="18"/>
          <w:lang w:val="fr-FR"/>
        </w:rPr>
        <w:t xml:space="preserve"> </w:t>
      </w:r>
      <w:hyperlink r:id="rId28" w:history="1">
        <w:r w:rsidR="00D532BC" w:rsidRPr="006C51CD">
          <w:rPr>
            <w:rStyle w:val="Hyperlink"/>
            <w:rFonts w:ascii="Arial Narrow" w:hAnsi="Arial Narrow"/>
            <w:sz w:val="18"/>
            <w:szCs w:val="18"/>
            <w:lang w:val="fr-FR"/>
          </w:rPr>
          <w:t>http://medicarestatistics.humanservices.gov.au/statistics/mbs_item.jsp</w:t>
        </w:r>
      </w:hyperlink>
    </w:p>
    <w:p w14:paraId="1CA78095" w14:textId="77777777" w:rsidR="00AD15F5" w:rsidRPr="00E348FB" w:rsidRDefault="00AD15F5" w:rsidP="001E7C46">
      <w:pPr>
        <w:pStyle w:val="Default"/>
        <w:ind w:left="360"/>
        <w:rPr>
          <w:sz w:val="20"/>
          <w:szCs w:val="20"/>
          <w:lang w:val="fr-FR"/>
        </w:rPr>
      </w:pPr>
    </w:p>
    <w:p w14:paraId="4404483C" w14:textId="68DA32CB" w:rsidR="00044891" w:rsidRDefault="00044891" w:rsidP="00543F08">
      <w:pPr>
        <w:ind w:left="360"/>
        <w:rPr>
          <w:szCs w:val="20"/>
        </w:rPr>
      </w:pPr>
      <w:r w:rsidRPr="00F7241A">
        <w:rPr>
          <w:szCs w:val="20"/>
        </w:rPr>
        <w:t>The incidence of the population for t</w:t>
      </w:r>
      <w:r>
        <w:rPr>
          <w:szCs w:val="20"/>
        </w:rPr>
        <w:t>he proposed EV-ICD lead service</w:t>
      </w:r>
      <w:r w:rsidRPr="00F7241A">
        <w:rPr>
          <w:szCs w:val="20"/>
        </w:rPr>
        <w:t xml:space="preserve"> is based on the historical MBS use of TV-ICD lead services (MBS items 38384</w:t>
      </w:r>
      <w:r>
        <w:rPr>
          <w:szCs w:val="20"/>
        </w:rPr>
        <w:t xml:space="preserve">, </w:t>
      </w:r>
      <w:r w:rsidRPr="00F7241A">
        <w:rPr>
          <w:szCs w:val="20"/>
        </w:rPr>
        <w:t>38390</w:t>
      </w:r>
      <w:r>
        <w:rPr>
          <w:szCs w:val="20"/>
        </w:rPr>
        <w:t xml:space="preserve"> and 38471).  Note that on 1</w:t>
      </w:r>
      <w:r w:rsidRPr="00034317">
        <w:rPr>
          <w:szCs w:val="20"/>
          <w:vertAlign w:val="superscript"/>
        </w:rPr>
        <w:t>st</w:t>
      </w:r>
      <w:r>
        <w:rPr>
          <w:szCs w:val="20"/>
        </w:rPr>
        <w:t xml:space="preserve"> July 2021, h</w:t>
      </w:r>
      <w:r w:rsidRPr="003E04C2">
        <w:rPr>
          <w:szCs w:val="20"/>
        </w:rPr>
        <w:t>istorical MBS it</w:t>
      </w:r>
      <w:r>
        <w:rPr>
          <w:szCs w:val="20"/>
        </w:rPr>
        <w:t xml:space="preserve">ems </w:t>
      </w:r>
      <w:r w:rsidRPr="003E04C2">
        <w:rPr>
          <w:szCs w:val="20"/>
        </w:rPr>
        <w:t>38384 and 38390</w:t>
      </w:r>
      <w:r>
        <w:rPr>
          <w:szCs w:val="20"/>
        </w:rPr>
        <w:t xml:space="preserve"> </w:t>
      </w:r>
      <w:r w:rsidRPr="003E04C2">
        <w:rPr>
          <w:szCs w:val="20"/>
        </w:rPr>
        <w:t>were consolidated and replaced with MBS item 38471.</w:t>
      </w:r>
      <w:r>
        <w:rPr>
          <w:szCs w:val="20"/>
        </w:rPr>
        <w:t xml:space="preserve">  In 2021</w:t>
      </w:r>
      <w:r w:rsidRPr="00F7241A">
        <w:rPr>
          <w:szCs w:val="20"/>
        </w:rPr>
        <w:t xml:space="preserve">, </w:t>
      </w:r>
      <w:r>
        <w:rPr>
          <w:szCs w:val="20"/>
        </w:rPr>
        <w:t>MBS Item 38384, 38390 and 38471 were claimed 725, 475 and 762 times respectively (total = 1,962; Table 1).</w:t>
      </w:r>
    </w:p>
    <w:p w14:paraId="7353F48B" w14:textId="77777777" w:rsidR="00044891" w:rsidRDefault="00044891" w:rsidP="00543F08">
      <w:pPr>
        <w:ind w:left="360"/>
        <w:rPr>
          <w:szCs w:val="20"/>
        </w:rPr>
      </w:pPr>
      <w:r w:rsidRPr="00F7241A">
        <w:rPr>
          <w:szCs w:val="20"/>
        </w:rPr>
        <w:t xml:space="preserve">The MBS data </w:t>
      </w:r>
      <w:r>
        <w:rPr>
          <w:szCs w:val="20"/>
        </w:rPr>
        <w:t xml:space="preserve">also </w:t>
      </w:r>
      <w:r w:rsidRPr="00F7241A">
        <w:rPr>
          <w:szCs w:val="20"/>
        </w:rPr>
        <w:t xml:space="preserve">show that </w:t>
      </w:r>
      <w:r>
        <w:rPr>
          <w:szCs w:val="20"/>
        </w:rPr>
        <w:t>1,868 private sector TV-ICD generator implants/replacements/removals were performed in 2021 for MBS items 38387, 38393 and 38472</w:t>
      </w:r>
      <w:r w:rsidRPr="00F7241A">
        <w:rPr>
          <w:szCs w:val="20"/>
        </w:rPr>
        <w:t>, which roughly correspond to the number of patients undergoing TV-ICD</w:t>
      </w:r>
      <w:r>
        <w:rPr>
          <w:szCs w:val="20"/>
        </w:rPr>
        <w:t xml:space="preserve"> lead services (</w:t>
      </w:r>
      <w:r w:rsidRPr="00F7241A">
        <w:rPr>
          <w:szCs w:val="20"/>
        </w:rPr>
        <w:t xml:space="preserve">a proportion will be repeat procedures on the same patient).  </w:t>
      </w:r>
      <w:r>
        <w:rPr>
          <w:szCs w:val="20"/>
        </w:rPr>
        <w:t>Note that on 1</w:t>
      </w:r>
      <w:r w:rsidRPr="00034317">
        <w:rPr>
          <w:szCs w:val="20"/>
          <w:vertAlign w:val="superscript"/>
        </w:rPr>
        <w:t>st</w:t>
      </w:r>
      <w:r>
        <w:rPr>
          <w:szCs w:val="20"/>
        </w:rPr>
        <w:t xml:space="preserve"> July 2021, h</w:t>
      </w:r>
      <w:r w:rsidRPr="003E04C2">
        <w:rPr>
          <w:szCs w:val="20"/>
        </w:rPr>
        <w:t>istorical MBS it</w:t>
      </w:r>
      <w:r>
        <w:rPr>
          <w:szCs w:val="20"/>
        </w:rPr>
        <w:t xml:space="preserve">ems </w:t>
      </w:r>
      <w:r w:rsidRPr="003E04C2">
        <w:rPr>
          <w:szCs w:val="20"/>
        </w:rPr>
        <w:t>3838</w:t>
      </w:r>
      <w:r>
        <w:rPr>
          <w:szCs w:val="20"/>
        </w:rPr>
        <w:t>7</w:t>
      </w:r>
      <w:r w:rsidRPr="003E04C2">
        <w:rPr>
          <w:szCs w:val="20"/>
        </w:rPr>
        <w:t xml:space="preserve"> and 3839</w:t>
      </w:r>
      <w:r>
        <w:rPr>
          <w:szCs w:val="20"/>
        </w:rPr>
        <w:t xml:space="preserve">3 </w:t>
      </w:r>
      <w:r w:rsidRPr="003E04C2">
        <w:rPr>
          <w:szCs w:val="20"/>
        </w:rPr>
        <w:t>were consolidated and replaced with MBS item 3847</w:t>
      </w:r>
      <w:r>
        <w:rPr>
          <w:szCs w:val="20"/>
        </w:rPr>
        <w:t>2</w:t>
      </w:r>
      <w:r w:rsidRPr="003E04C2">
        <w:rPr>
          <w:szCs w:val="20"/>
        </w:rPr>
        <w:t>.</w:t>
      </w:r>
      <w:r>
        <w:rPr>
          <w:szCs w:val="20"/>
        </w:rPr>
        <w:t xml:space="preserve">  </w:t>
      </w:r>
    </w:p>
    <w:p w14:paraId="76D97506" w14:textId="77777777" w:rsidR="00044891" w:rsidRDefault="00044891" w:rsidP="00543F08">
      <w:pPr>
        <w:ind w:left="360"/>
        <w:rPr>
          <w:szCs w:val="20"/>
        </w:rPr>
      </w:pPr>
      <w:r w:rsidRPr="00F7241A">
        <w:rPr>
          <w:szCs w:val="20"/>
        </w:rPr>
        <w:t>The number of private procedures has been</w:t>
      </w:r>
      <w:r>
        <w:rPr>
          <w:szCs w:val="20"/>
        </w:rPr>
        <w:t xml:space="preserve"> </w:t>
      </w:r>
      <w:r w:rsidRPr="00F7241A">
        <w:rPr>
          <w:szCs w:val="20"/>
        </w:rPr>
        <w:t xml:space="preserve">slightly </w:t>
      </w:r>
      <w:r>
        <w:rPr>
          <w:szCs w:val="20"/>
        </w:rPr>
        <w:t>decreasing since 2016</w:t>
      </w:r>
      <w:r w:rsidRPr="00F7241A">
        <w:rPr>
          <w:szCs w:val="20"/>
        </w:rPr>
        <w:t xml:space="preserve"> (Figure 1</w:t>
      </w:r>
      <w:r>
        <w:rPr>
          <w:szCs w:val="20"/>
        </w:rPr>
        <w:t xml:space="preserve"> and Figure 2</w:t>
      </w:r>
      <w:r w:rsidRPr="00F7241A">
        <w:rPr>
          <w:szCs w:val="20"/>
        </w:rPr>
        <w:t>).</w:t>
      </w:r>
    </w:p>
    <w:p w14:paraId="0F6B6330" w14:textId="77777777" w:rsidR="00044891" w:rsidRPr="00F94FEC" w:rsidRDefault="00044891" w:rsidP="00044891">
      <w:pPr>
        <w:pStyle w:val="Caption2"/>
        <w:keepNext/>
      </w:pPr>
      <w:r>
        <w:lastRenderedPageBreak/>
        <w:t>Table 1</w:t>
      </w:r>
      <w:r w:rsidRPr="00F94FEC">
        <w:t>. MBS service volumes for TV-ICD lead procedures (2016 – 2021)</w:t>
      </w:r>
    </w:p>
    <w:tbl>
      <w:tblPr>
        <w:tblW w:w="8926" w:type="dxa"/>
        <w:tblLayout w:type="fixed"/>
        <w:tblLook w:val="04A0" w:firstRow="1" w:lastRow="0" w:firstColumn="1" w:lastColumn="0" w:noHBand="0" w:noVBand="1"/>
      </w:tblPr>
      <w:tblGrid>
        <w:gridCol w:w="2830"/>
        <w:gridCol w:w="1134"/>
        <w:gridCol w:w="827"/>
        <w:gridCol w:w="827"/>
        <w:gridCol w:w="827"/>
        <w:gridCol w:w="827"/>
        <w:gridCol w:w="827"/>
        <w:gridCol w:w="827"/>
      </w:tblGrid>
      <w:tr w:rsidR="00044891" w:rsidRPr="00F94FEC" w14:paraId="07F02AB5" w14:textId="77777777" w:rsidTr="00543F08">
        <w:trPr>
          <w:trHeight w:val="600"/>
        </w:trPr>
        <w:tc>
          <w:tcPr>
            <w:tcW w:w="2830" w:type="dxa"/>
            <w:tcBorders>
              <w:top w:val="single" w:sz="4" w:space="0" w:color="auto"/>
              <w:left w:val="single" w:sz="4" w:space="0" w:color="auto"/>
              <w:bottom w:val="single" w:sz="4" w:space="0" w:color="auto"/>
              <w:right w:val="single" w:sz="4" w:space="0" w:color="auto"/>
            </w:tcBorders>
            <w:vAlign w:val="center"/>
          </w:tcPr>
          <w:p w14:paraId="25C8F398" w14:textId="77777777" w:rsidR="00044891" w:rsidRPr="00F94FEC" w:rsidRDefault="00044891" w:rsidP="00E50F47">
            <w:pPr>
              <w:spacing w:after="0"/>
              <w:rPr>
                <w:rFonts w:ascii="Arial Narrow" w:eastAsia="Times New Roman" w:hAnsi="Arial Narrow" w:cs="Calibri"/>
                <w:b/>
                <w:bCs/>
                <w:color w:val="000000"/>
                <w:szCs w:val="20"/>
              </w:rPr>
            </w:pPr>
            <w:r w:rsidRPr="00F94FEC">
              <w:rPr>
                <w:rFonts w:ascii="Arial Narrow" w:eastAsia="Times New Roman" w:hAnsi="Arial Narrow" w:cs="Calibri"/>
                <w:b/>
                <w:bCs/>
                <w:color w:val="000000"/>
                <w:szCs w:val="20"/>
              </w:rPr>
              <w:t>Service description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5C8D0" w14:textId="77777777" w:rsidR="00044891" w:rsidRPr="002B1D15" w:rsidRDefault="00044891" w:rsidP="00E50F47">
            <w:pPr>
              <w:spacing w:after="0"/>
              <w:rPr>
                <w:rFonts w:ascii="Arial Narrow" w:eastAsia="Times New Roman" w:hAnsi="Arial Narrow" w:cs="Calibri"/>
                <w:b/>
                <w:bCs/>
                <w:color w:val="000000"/>
                <w:szCs w:val="20"/>
              </w:rPr>
            </w:pPr>
            <w:r w:rsidRPr="002B1D15">
              <w:rPr>
                <w:rFonts w:ascii="Arial Narrow" w:eastAsia="Times New Roman" w:hAnsi="Arial Narrow" w:cs="Calibri"/>
                <w:b/>
                <w:bCs/>
                <w:color w:val="000000"/>
                <w:szCs w:val="20"/>
              </w:rPr>
              <w:t>MBS item #</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0F65AF0E" w14:textId="77777777" w:rsidR="00044891" w:rsidRPr="002B1D15" w:rsidRDefault="00044891" w:rsidP="00E50F47">
            <w:pPr>
              <w:spacing w:after="0"/>
              <w:jc w:val="center"/>
              <w:rPr>
                <w:rFonts w:ascii="Arial Narrow" w:eastAsia="Times New Roman" w:hAnsi="Arial Narrow" w:cs="Calibri"/>
                <w:b/>
                <w:bCs/>
                <w:color w:val="000000"/>
                <w:szCs w:val="20"/>
              </w:rPr>
            </w:pPr>
            <w:r w:rsidRPr="002B1D15">
              <w:rPr>
                <w:rFonts w:ascii="Arial Narrow" w:eastAsia="Times New Roman" w:hAnsi="Arial Narrow" w:cs="Calibri"/>
                <w:b/>
                <w:bCs/>
                <w:color w:val="000000"/>
                <w:szCs w:val="20"/>
              </w:rPr>
              <w:t>2016</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4AF9573F" w14:textId="77777777" w:rsidR="00044891" w:rsidRPr="002B1D15" w:rsidRDefault="00044891" w:rsidP="00E50F47">
            <w:pPr>
              <w:spacing w:after="0"/>
              <w:jc w:val="center"/>
              <w:rPr>
                <w:rFonts w:ascii="Arial Narrow" w:eastAsia="Times New Roman" w:hAnsi="Arial Narrow" w:cs="Calibri"/>
                <w:b/>
                <w:bCs/>
                <w:color w:val="000000"/>
                <w:szCs w:val="20"/>
              </w:rPr>
            </w:pPr>
            <w:r w:rsidRPr="002B1D15">
              <w:rPr>
                <w:rFonts w:ascii="Arial Narrow" w:eastAsia="Times New Roman" w:hAnsi="Arial Narrow" w:cs="Calibri"/>
                <w:b/>
                <w:bCs/>
                <w:color w:val="000000"/>
                <w:szCs w:val="20"/>
              </w:rPr>
              <w:t>2017</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5A94D757" w14:textId="77777777" w:rsidR="00044891" w:rsidRPr="002B1D15" w:rsidRDefault="00044891" w:rsidP="00E50F47">
            <w:pPr>
              <w:spacing w:after="0"/>
              <w:jc w:val="center"/>
              <w:rPr>
                <w:rFonts w:ascii="Arial Narrow" w:eastAsia="Times New Roman" w:hAnsi="Arial Narrow" w:cs="Calibri"/>
                <w:b/>
                <w:bCs/>
                <w:color w:val="000000"/>
                <w:szCs w:val="20"/>
              </w:rPr>
            </w:pPr>
            <w:r w:rsidRPr="002B1D15">
              <w:rPr>
                <w:rFonts w:ascii="Arial Narrow" w:eastAsia="Times New Roman" w:hAnsi="Arial Narrow" w:cs="Calibri"/>
                <w:b/>
                <w:bCs/>
                <w:color w:val="000000"/>
                <w:szCs w:val="20"/>
              </w:rPr>
              <w:t>2018</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1B15FB13" w14:textId="77777777" w:rsidR="00044891" w:rsidRPr="002B1D15" w:rsidRDefault="00044891" w:rsidP="00E50F47">
            <w:pPr>
              <w:spacing w:after="0"/>
              <w:jc w:val="center"/>
              <w:rPr>
                <w:rFonts w:ascii="Arial Narrow" w:eastAsia="Times New Roman" w:hAnsi="Arial Narrow" w:cs="Calibri"/>
                <w:b/>
                <w:bCs/>
                <w:color w:val="000000"/>
                <w:szCs w:val="20"/>
              </w:rPr>
            </w:pPr>
            <w:r w:rsidRPr="002B1D15">
              <w:rPr>
                <w:rFonts w:ascii="Arial Narrow" w:eastAsia="Times New Roman" w:hAnsi="Arial Narrow" w:cs="Calibri"/>
                <w:b/>
                <w:bCs/>
                <w:color w:val="000000"/>
                <w:szCs w:val="20"/>
              </w:rPr>
              <w:t>2019</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354DD2E8" w14:textId="77777777" w:rsidR="00044891" w:rsidRPr="002B1D15" w:rsidRDefault="00044891" w:rsidP="00E50F47">
            <w:pPr>
              <w:spacing w:after="0"/>
              <w:jc w:val="center"/>
              <w:rPr>
                <w:rFonts w:ascii="Arial Narrow" w:eastAsia="Times New Roman" w:hAnsi="Arial Narrow" w:cs="Calibri"/>
                <w:b/>
                <w:bCs/>
                <w:color w:val="000000"/>
                <w:szCs w:val="20"/>
              </w:rPr>
            </w:pPr>
            <w:r w:rsidRPr="002B1D15">
              <w:rPr>
                <w:rFonts w:ascii="Arial Narrow" w:eastAsia="Times New Roman" w:hAnsi="Arial Narrow" w:cs="Calibri"/>
                <w:b/>
                <w:bCs/>
                <w:color w:val="000000"/>
                <w:szCs w:val="20"/>
              </w:rPr>
              <w:t>2020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05A0E14E" w14:textId="77777777" w:rsidR="00044891" w:rsidRPr="002B1D15" w:rsidRDefault="00044891" w:rsidP="00E50F47">
            <w:pPr>
              <w:spacing w:after="0"/>
              <w:jc w:val="center"/>
              <w:rPr>
                <w:rFonts w:ascii="Arial Narrow" w:eastAsia="Times New Roman" w:hAnsi="Arial Narrow" w:cs="Calibri"/>
                <w:b/>
                <w:bCs/>
                <w:color w:val="000000"/>
                <w:szCs w:val="20"/>
              </w:rPr>
            </w:pPr>
            <w:r w:rsidRPr="002B1D15">
              <w:rPr>
                <w:rFonts w:ascii="Arial Narrow" w:eastAsia="Times New Roman" w:hAnsi="Arial Narrow" w:cs="Calibri"/>
                <w:b/>
                <w:bCs/>
                <w:color w:val="000000"/>
                <w:szCs w:val="20"/>
              </w:rPr>
              <w:t>2021</w:t>
            </w:r>
          </w:p>
        </w:tc>
      </w:tr>
      <w:tr w:rsidR="00044891" w:rsidRPr="00F94FEC" w14:paraId="57555E3B" w14:textId="77777777" w:rsidTr="00543F08">
        <w:trPr>
          <w:trHeight w:val="300"/>
        </w:trPr>
        <w:tc>
          <w:tcPr>
            <w:tcW w:w="2830" w:type="dxa"/>
            <w:vMerge w:val="restart"/>
            <w:tcBorders>
              <w:top w:val="nil"/>
              <w:left w:val="single" w:sz="4" w:space="0" w:color="auto"/>
              <w:right w:val="single" w:sz="4" w:space="0" w:color="auto"/>
            </w:tcBorders>
            <w:vAlign w:val="center"/>
          </w:tcPr>
          <w:p w14:paraId="23A30C2A" w14:textId="77777777" w:rsidR="00044891" w:rsidRPr="00446991" w:rsidRDefault="00044891" w:rsidP="00E50F47">
            <w:pPr>
              <w:spacing w:after="0"/>
              <w:rPr>
                <w:rFonts w:ascii="Arial Narrow" w:eastAsia="Times New Roman" w:hAnsi="Arial Narrow" w:cs="Calibri"/>
                <w:color w:val="000000"/>
                <w:szCs w:val="20"/>
                <w:u w:val="single"/>
              </w:rPr>
            </w:pPr>
            <w:r w:rsidRPr="00446991">
              <w:rPr>
                <w:rFonts w:ascii="Arial Narrow" w:eastAsia="Times New Roman" w:hAnsi="Arial Narrow" w:cs="Calibri"/>
                <w:color w:val="000000"/>
                <w:szCs w:val="20"/>
                <w:u w:val="single"/>
              </w:rPr>
              <w:t>Generator</w:t>
            </w:r>
          </w:p>
          <w:p w14:paraId="411679C1" w14:textId="77777777" w:rsidR="00044891" w:rsidRPr="00F94FEC" w:rsidRDefault="00044891" w:rsidP="00E50F47">
            <w:pPr>
              <w:spacing w:after="0"/>
              <w:rPr>
                <w:rFonts w:ascii="Arial Narrow" w:eastAsia="Times New Roman" w:hAnsi="Arial Narrow" w:cs="Calibri"/>
                <w:color w:val="000000"/>
                <w:szCs w:val="20"/>
              </w:rPr>
            </w:pPr>
            <w:r w:rsidRPr="00F94FEC">
              <w:rPr>
                <w:rFonts w:ascii="Arial Narrow" w:eastAsia="Times New Roman" w:hAnsi="Arial Narrow" w:cs="Calibri"/>
                <w:color w:val="000000"/>
                <w:szCs w:val="20"/>
              </w:rPr>
              <w:t xml:space="preserve">Insertion, </w:t>
            </w:r>
            <w:proofErr w:type="gramStart"/>
            <w:r w:rsidRPr="00F94FEC">
              <w:rPr>
                <w:rFonts w:ascii="Arial Narrow" w:eastAsia="Times New Roman" w:hAnsi="Arial Narrow" w:cs="Calibri"/>
                <w:color w:val="000000"/>
                <w:szCs w:val="20"/>
              </w:rPr>
              <w:t>replacement</w:t>
            </w:r>
            <w:proofErr w:type="gramEnd"/>
            <w:r w:rsidRPr="00F94FEC">
              <w:rPr>
                <w:rFonts w:ascii="Arial Narrow" w:eastAsia="Times New Roman" w:hAnsi="Arial Narrow" w:cs="Calibri"/>
                <w:color w:val="000000"/>
                <w:szCs w:val="20"/>
              </w:rPr>
              <w:t xml:space="preserve"> or removal of implantable defibrillator generator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49BA6E" w14:textId="77777777" w:rsidR="00044891" w:rsidRPr="002B1D15" w:rsidRDefault="00044891" w:rsidP="00E50F47">
            <w:pPr>
              <w:spacing w:after="0"/>
              <w:rPr>
                <w:rFonts w:ascii="Arial Narrow" w:eastAsia="Times New Roman" w:hAnsi="Arial Narrow" w:cs="Calibri"/>
                <w:color w:val="000000"/>
                <w:szCs w:val="20"/>
              </w:rPr>
            </w:pPr>
            <w:r w:rsidRPr="002B1D15">
              <w:rPr>
                <w:rFonts w:ascii="Arial Narrow" w:eastAsia="Times New Roman" w:hAnsi="Arial Narrow" w:cs="Calibri"/>
                <w:color w:val="000000"/>
                <w:szCs w:val="20"/>
              </w:rPr>
              <w:t>38387</w:t>
            </w:r>
          </w:p>
        </w:tc>
        <w:tc>
          <w:tcPr>
            <w:tcW w:w="827" w:type="dxa"/>
            <w:tcBorders>
              <w:top w:val="nil"/>
              <w:left w:val="nil"/>
              <w:bottom w:val="single" w:sz="4" w:space="0" w:color="auto"/>
              <w:right w:val="single" w:sz="4" w:space="0" w:color="auto"/>
            </w:tcBorders>
            <w:shd w:val="clear" w:color="auto" w:fill="auto"/>
            <w:noWrap/>
            <w:vAlign w:val="center"/>
            <w:hideMark/>
          </w:tcPr>
          <w:p w14:paraId="2581D538" w14:textId="77777777" w:rsidR="00044891" w:rsidRPr="002B1D15" w:rsidRDefault="00044891" w:rsidP="00E50F47">
            <w:pPr>
              <w:spacing w:after="0"/>
              <w:jc w:val="center"/>
              <w:rPr>
                <w:rFonts w:ascii="Arial Narrow" w:eastAsia="Times New Roman" w:hAnsi="Arial Narrow" w:cs="Calibri"/>
                <w:color w:val="000000"/>
                <w:szCs w:val="20"/>
              </w:rPr>
            </w:pPr>
            <w:r w:rsidRPr="002B1D15">
              <w:rPr>
                <w:rFonts w:ascii="Arial Narrow" w:eastAsia="Times New Roman" w:hAnsi="Arial Narrow" w:cs="Calibri"/>
                <w:color w:val="000000"/>
                <w:szCs w:val="20"/>
              </w:rPr>
              <w:t>958</w:t>
            </w:r>
          </w:p>
        </w:tc>
        <w:tc>
          <w:tcPr>
            <w:tcW w:w="827" w:type="dxa"/>
            <w:tcBorders>
              <w:top w:val="nil"/>
              <w:left w:val="nil"/>
              <w:bottom w:val="single" w:sz="4" w:space="0" w:color="auto"/>
              <w:right w:val="single" w:sz="4" w:space="0" w:color="auto"/>
            </w:tcBorders>
            <w:shd w:val="clear" w:color="auto" w:fill="auto"/>
            <w:noWrap/>
            <w:vAlign w:val="center"/>
            <w:hideMark/>
          </w:tcPr>
          <w:p w14:paraId="00DD9539" w14:textId="77777777" w:rsidR="00044891" w:rsidRPr="002B1D15" w:rsidRDefault="00044891" w:rsidP="00E50F47">
            <w:pPr>
              <w:spacing w:after="0"/>
              <w:jc w:val="center"/>
              <w:rPr>
                <w:rFonts w:ascii="Arial Narrow" w:eastAsia="Times New Roman" w:hAnsi="Arial Narrow" w:cs="Calibri"/>
                <w:color w:val="000000"/>
                <w:szCs w:val="20"/>
              </w:rPr>
            </w:pPr>
            <w:r w:rsidRPr="002B1D15">
              <w:rPr>
                <w:rFonts w:ascii="Arial Narrow" w:eastAsia="Times New Roman" w:hAnsi="Arial Narrow" w:cs="Calibri"/>
                <w:color w:val="000000"/>
                <w:szCs w:val="20"/>
              </w:rPr>
              <w:t>888</w:t>
            </w:r>
          </w:p>
        </w:tc>
        <w:tc>
          <w:tcPr>
            <w:tcW w:w="827" w:type="dxa"/>
            <w:tcBorders>
              <w:top w:val="nil"/>
              <w:left w:val="nil"/>
              <w:bottom w:val="single" w:sz="4" w:space="0" w:color="auto"/>
              <w:right w:val="single" w:sz="4" w:space="0" w:color="auto"/>
            </w:tcBorders>
            <w:shd w:val="clear" w:color="auto" w:fill="auto"/>
            <w:noWrap/>
            <w:vAlign w:val="center"/>
            <w:hideMark/>
          </w:tcPr>
          <w:p w14:paraId="4FB250F2" w14:textId="77777777" w:rsidR="00044891" w:rsidRPr="002B1D15" w:rsidRDefault="00044891" w:rsidP="00E50F47">
            <w:pPr>
              <w:spacing w:after="0"/>
              <w:jc w:val="center"/>
              <w:rPr>
                <w:rFonts w:ascii="Arial Narrow" w:eastAsia="Times New Roman" w:hAnsi="Arial Narrow" w:cs="Calibri"/>
                <w:color w:val="000000"/>
                <w:szCs w:val="20"/>
              </w:rPr>
            </w:pPr>
            <w:r w:rsidRPr="002B1D15">
              <w:rPr>
                <w:rFonts w:ascii="Arial Narrow" w:eastAsia="Times New Roman" w:hAnsi="Arial Narrow" w:cs="Calibri"/>
                <w:color w:val="000000"/>
                <w:szCs w:val="20"/>
              </w:rPr>
              <w:t>979</w:t>
            </w:r>
          </w:p>
        </w:tc>
        <w:tc>
          <w:tcPr>
            <w:tcW w:w="827" w:type="dxa"/>
            <w:tcBorders>
              <w:top w:val="nil"/>
              <w:left w:val="nil"/>
              <w:bottom w:val="single" w:sz="4" w:space="0" w:color="auto"/>
              <w:right w:val="single" w:sz="4" w:space="0" w:color="auto"/>
            </w:tcBorders>
            <w:shd w:val="clear" w:color="auto" w:fill="auto"/>
            <w:noWrap/>
            <w:vAlign w:val="center"/>
            <w:hideMark/>
          </w:tcPr>
          <w:p w14:paraId="06D83853" w14:textId="77777777" w:rsidR="00044891" w:rsidRPr="002B1D15" w:rsidRDefault="00044891" w:rsidP="00E50F47">
            <w:pPr>
              <w:spacing w:after="0"/>
              <w:jc w:val="center"/>
              <w:rPr>
                <w:rFonts w:ascii="Arial Narrow" w:eastAsia="Times New Roman" w:hAnsi="Arial Narrow" w:cs="Calibri"/>
                <w:color w:val="000000"/>
                <w:szCs w:val="20"/>
              </w:rPr>
            </w:pPr>
            <w:r w:rsidRPr="002B1D15">
              <w:rPr>
                <w:rFonts w:ascii="Arial Narrow" w:eastAsia="Times New Roman" w:hAnsi="Arial Narrow" w:cs="Calibri"/>
                <w:color w:val="000000"/>
                <w:szCs w:val="20"/>
              </w:rPr>
              <w:t>942</w:t>
            </w:r>
          </w:p>
        </w:tc>
        <w:tc>
          <w:tcPr>
            <w:tcW w:w="827" w:type="dxa"/>
            <w:tcBorders>
              <w:top w:val="nil"/>
              <w:left w:val="nil"/>
              <w:bottom w:val="single" w:sz="4" w:space="0" w:color="auto"/>
              <w:right w:val="single" w:sz="4" w:space="0" w:color="auto"/>
            </w:tcBorders>
            <w:shd w:val="clear" w:color="auto" w:fill="auto"/>
            <w:noWrap/>
            <w:vAlign w:val="center"/>
            <w:hideMark/>
          </w:tcPr>
          <w:p w14:paraId="2FF57004" w14:textId="77777777" w:rsidR="00044891" w:rsidRPr="002B1D15" w:rsidRDefault="00044891" w:rsidP="00E50F47">
            <w:pPr>
              <w:spacing w:after="0"/>
              <w:jc w:val="center"/>
              <w:rPr>
                <w:rFonts w:ascii="Arial Narrow" w:eastAsia="Times New Roman" w:hAnsi="Arial Narrow" w:cs="Calibri"/>
                <w:color w:val="000000"/>
                <w:szCs w:val="20"/>
              </w:rPr>
            </w:pPr>
            <w:r w:rsidRPr="002B1D15">
              <w:rPr>
                <w:rFonts w:ascii="Arial Narrow" w:eastAsia="Times New Roman" w:hAnsi="Arial Narrow" w:cs="Calibri"/>
                <w:color w:val="000000"/>
                <w:szCs w:val="20"/>
              </w:rPr>
              <w:t>824</w:t>
            </w:r>
          </w:p>
        </w:tc>
        <w:tc>
          <w:tcPr>
            <w:tcW w:w="827" w:type="dxa"/>
            <w:tcBorders>
              <w:top w:val="nil"/>
              <w:left w:val="nil"/>
              <w:bottom w:val="single" w:sz="4" w:space="0" w:color="auto"/>
              <w:right w:val="single" w:sz="4" w:space="0" w:color="auto"/>
            </w:tcBorders>
            <w:shd w:val="clear" w:color="auto" w:fill="auto"/>
            <w:noWrap/>
            <w:vAlign w:val="center"/>
            <w:hideMark/>
          </w:tcPr>
          <w:p w14:paraId="75D71534" w14:textId="77777777" w:rsidR="00044891" w:rsidRPr="002B1D15" w:rsidRDefault="00044891" w:rsidP="00E50F47">
            <w:pPr>
              <w:spacing w:after="0"/>
              <w:jc w:val="center"/>
              <w:rPr>
                <w:rFonts w:ascii="Arial Narrow" w:eastAsia="Times New Roman" w:hAnsi="Arial Narrow" w:cs="Calibri"/>
                <w:color w:val="000000"/>
                <w:szCs w:val="20"/>
              </w:rPr>
            </w:pPr>
            <w:r w:rsidRPr="002B1D15">
              <w:rPr>
                <w:rFonts w:ascii="Arial Narrow" w:eastAsia="Times New Roman" w:hAnsi="Arial Narrow" w:cs="Calibri"/>
                <w:color w:val="000000"/>
                <w:szCs w:val="20"/>
              </w:rPr>
              <w:t>463</w:t>
            </w:r>
          </w:p>
        </w:tc>
      </w:tr>
      <w:tr w:rsidR="00044891" w:rsidRPr="00F94FEC" w14:paraId="2CAC3818" w14:textId="77777777" w:rsidTr="00543F08">
        <w:trPr>
          <w:trHeight w:val="300"/>
        </w:trPr>
        <w:tc>
          <w:tcPr>
            <w:tcW w:w="2830" w:type="dxa"/>
            <w:vMerge/>
            <w:tcBorders>
              <w:left w:val="single" w:sz="4" w:space="0" w:color="auto"/>
              <w:right w:val="single" w:sz="4" w:space="0" w:color="auto"/>
            </w:tcBorders>
            <w:vAlign w:val="center"/>
          </w:tcPr>
          <w:p w14:paraId="010CDE78" w14:textId="77777777" w:rsidR="00044891" w:rsidRPr="00F94FEC" w:rsidRDefault="00044891" w:rsidP="00E50F47">
            <w:pPr>
              <w:spacing w:after="0"/>
              <w:rPr>
                <w:rFonts w:ascii="Arial Narrow" w:eastAsia="Times New Roman" w:hAnsi="Arial Narrow" w:cs="Calibri"/>
                <w:color w:val="00000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BF5DAF" w14:textId="77777777" w:rsidR="00044891" w:rsidRPr="002B1D15" w:rsidRDefault="00044891" w:rsidP="00E50F47">
            <w:pPr>
              <w:spacing w:after="0"/>
              <w:rPr>
                <w:rFonts w:ascii="Arial Narrow" w:eastAsia="Times New Roman" w:hAnsi="Arial Narrow" w:cs="Calibri"/>
                <w:color w:val="000000"/>
                <w:szCs w:val="20"/>
              </w:rPr>
            </w:pPr>
            <w:r w:rsidRPr="002B1D15">
              <w:rPr>
                <w:rFonts w:ascii="Arial Narrow" w:eastAsia="Times New Roman" w:hAnsi="Arial Narrow" w:cs="Calibri"/>
                <w:color w:val="000000"/>
                <w:szCs w:val="20"/>
              </w:rPr>
              <w:t>38393</w:t>
            </w:r>
          </w:p>
        </w:tc>
        <w:tc>
          <w:tcPr>
            <w:tcW w:w="827" w:type="dxa"/>
            <w:tcBorders>
              <w:top w:val="nil"/>
              <w:left w:val="nil"/>
              <w:bottom w:val="single" w:sz="4" w:space="0" w:color="auto"/>
              <w:right w:val="single" w:sz="4" w:space="0" w:color="auto"/>
            </w:tcBorders>
            <w:shd w:val="clear" w:color="auto" w:fill="auto"/>
            <w:noWrap/>
            <w:vAlign w:val="center"/>
            <w:hideMark/>
          </w:tcPr>
          <w:p w14:paraId="7979F656" w14:textId="77777777" w:rsidR="00044891" w:rsidRPr="002B1D15" w:rsidRDefault="00044891" w:rsidP="00E50F47">
            <w:pPr>
              <w:spacing w:after="0"/>
              <w:jc w:val="center"/>
              <w:rPr>
                <w:rFonts w:ascii="Arial Narrow" w:eastAsia="Times New Roman" w:hAnsi="Arial Narrow" w:cs="Calibri"/>
                <w:color w:val="000000"/>
                <w:szCs w:val="20"/>
              </w:rPr>
            </w:pPr>
            <w:r w:rsidRPr="002B1D15">
              <w:rPr>
                <w:rFonts w:ascii="Arial Narrow" w:eastAsia="Times New Roman" w:hAnsi="Arial Narrow" w:cs="Calibri"/>
                <w:color w:val="000000"/>
                <w:szCs w:val="20"/>
              </w:rPr>
              <w:t>1</w:t>
            </w:r>
            <w:r w:rsidRPr="00F94FEC">
              <w:rPr>
                <w:rFonts w:ascii="Arial Narrow" w:eastAsia="Times New Roman" w:hAnsi="Arial Narrow" w:cs="Calibri"/>
                <w:color w:val="000000"/>
                <w:szCs w:val="20"/>
              </w:rPr>
              <w:t>,</w:t>
            </w:r>
            <w:r w:rsidRPr="002B1D15">
              <w:rPr>
                <w:rFonts w:ascii="Arial Narrow" w:eastAsia="Times New Roman" w:hAnsi="Arial Narrow" w:cs="Calibri"/>
                <w:color w:val="000000"/>
                <w:szCs w:val="20"/>
              </w:rPr>
              <w:t>181</w:t>
            </w:r>
          </w:p>
        </w:tc>
        <w:tc>
          <w:tcPr>
            <w:tcW w:w="827" w:type="dxa"/>
            <w:tcBorders>
              <w:top w:val="nil"/>
              <w:left w:val="nil"/>
              <w:bottom w:val="single" w:sz="4" w:space="0" w:color="auto"/>
              <w:right w:val="single" w:sz="4" w:space="0" w:color="auto"/>
            </w:tcBorders>
            <w:shd w:val="clear" w:color="auto" w:fill="auto"/>
            <w:noWrap/>
            <w:vAlign w:val="center"/>
            <w:hideMark/>
          </w:tcPr>
          <w:p w14:paraId="56EC3EE5" w14:textId="77777777" w:rsidR="00044891" w:rsidRPr="002B1D15" w:rsidRDefault="00044891" w:rsidP="00E50F47">
            <w:pPr>
              <w:spacing w:after="0"/>
              <w:jc w:val="center"/>
              <w:rPr>
                <w:rFonts w:ascii="Arial Narrow" w:eastAsia="Times New Roman" w:hAnsi="Arial Narrow" w:cs="Calibri"/>
                <w:color w:val="000000"/>
                <w:szCs w:val="20"/>
              </w:rPr>
            </w:pPr>
            <w:r w:rsidRPr="002B1D15">
              <w:rPr>
                <w:rFonts w:ascii="Arial Narrow" w:eastAsia="Times New Roman" w:hAnsi="Arial Narrow" w:cs="Calibri"/>
                <w:color w:val="000000"/>
                <w:szCs w:val="20"/>
              </w:rPr>
              <w:t>1</w:t>
            </w:r>
            <w:r w:rsidRPr="00F94FEC">
              <w:rPr>
                <w:rFonts w:ascii="Arial Narrow" w:eastAsia="Times New Roman" w:hAnsi="Arial Narrow" w:cs="Calibri"/>
                <w:color w:val="000000"/>
                <w:szCs w:val="20"/>
              </w:rPr>
              <w:t>,</w:t>
            </w:r>
            <w:r w:rsidRPr="002B1D15">
              <w:rPr>
                <w:rFonts w:ascii="Arial Narrow" w:eastAsia="Times New Roman" w:hAnsi="Arial Narrow" w:cs="Calibri"/>
                <w:color w:val="000000"/>
                <w:szCs w:val="20"/>
              </w:rPr>
              <w:t>214</w:t>
            </w:r>
          </w:p>
        </w:tc>
        <w:tc>
          <w:tcPr>
            <w:tcW w:w="827" w:type="dxa"/>
            <w:tcBorders>
              <w:top w:val="nil"/>
              <w:left w:val="nil"/>
              <w:bottom w:val="single" w:sz="4" w:space="0" w:color="auto"/>
              <w:right w:val="single" w:sz="4" w:space="0" w:color="auto"/>
            </w:tcBorders>
            <w:shd w:val="clear" w:color="auto" w:fill="auto"/>
            <w:noWrap/>
            <w:vAlign w:val="center"/>
            <w:hideMark/>
          </w:tcPr>
          <w:p w14:paraId="4035C88F" w14:textId="77777777" w:rsidR="00044891" w:rsidRPr="002B1D15" w:rsidRDefault="00044891" w:rsidP="00E50F47">
            <w:pPr>
              <w:spacing w:after="0"/>
              <w:jc w:val="center"/>
              <w:rPr>
                <w:rFonts w:ascii="Arial Narrow" w:eastAsia="Times New Roman" w:hAnsi="Arial Narrow" w:cs="Calibri"/>
                <w:color w:val="000000"/>
                <w:szCs w:val="20"/>
              </w:rPr>
            </w:pPr>
            <w:r w:rsidRPr="002B1D15">
              <w:rPr>
                <w:rFonts w:ascii="Arial Narrow" w:eastAsia="Times New Roman" w:hAnsi="Arial Narrow" w:cs="Calibri"/>
                <w:color w:val="000000"/>
                <w:szCs w:val="20"/>
              </w:rPr>
              <w:t>1</w:t>
            </w:r>
            <w:r w:rsidRPr="00F94FEC">
              <w:rPr>
                <w:rFonts w:ascii="Arial Narrow" w:eastAsia="Times New Roman" w:hAnsi="Arial Narrow" w:cs="Calibri"/>
                <w:color w:val="000000"/>
                <w:szCs w:val="20"/>
              </w:rPr>
              <w:t>,</w:t>
            </w:r>
            <w:r w:rsidRPr="002B1D15">
              <w:rPr>
                <w:rFonts w:ascii="Arial Narrow" w:eastAsia="Times New Roman" w:hAnsi="Arial Narrow" w:cs="Calibri"/>
                <w:color w:val="000000"/>
                <w:szCs w:val="20"/>
              </w:rPr>
              <w:t>201</w:t>
            </w:r>
          </w:p>
        </w:tc>
        <w:tc>
          <w:tcPr>
            <w:tcW w:w="827" w:type="dxa"/>
            <w:tcBorders>
              <w:top w:val="nil"/>
              <w:left w:val="nil"/>
              <w:bottom w:val="single" w:sz="4" w:space="0" w:color="auto"/>
              <w:right w:val="single" w:sz="4" w:space="0" w:color="auto"/>
            </w:tcBorders>
            <w:shd w:val="clear" w:color="auto" w:fill="auto"/>
            <w:noWrap/>
            <w:vAlign w:val="center"/>
            <w:hideMark/>
          </w:tcPr>
          <w:p w14:paraId="6A5BE8F8" w14:textId="77777777" w:rsidR="00044891" w:rsidRPr="002B1D15" w:rsidRDefault="00044891" w:rsidP="00E50F47">
            <w:pPr>
              <w:spacing w:after="0"/>
              <w:jc w:val="center"/>
              <w:rPr>
                <w:rFonts w:ascii="Arial Narrow" w:eastAsia="Times New Roman" w:hAnsi="Arial Narrow" w:cs="Calibri"/>
                <w:color w:val="000000"/>
                <w:szCs w:val="20"/>
              </w:rPr>
            </w:pPr>
            <w:r w:rsidRPr="002B1D15">
              <w:rPr>
                <w:rFonts w:ascii="Arial Narrow" w:eastAsia="Times New Roman" w:hAnsi="Arial Narrow" w:cs="Calibri"/>
                <w:color w:val="000000"/>
                <w:szCs w:val="20"/>
              </w:rPr>
              <w:t>1</w:t>
            </w:r>
            <w:r w:rsidRPr="00F94FEC">
              <w:rPr>
                <w:rFonts w:ascii="Arial Narrow" w:eastAsia="Times New Roman" w:hAnsi="Arial Narrow" w:cs="Calibri"/>
                <w:color w:val="000000"/>
                <w:szCs w:val="20"/>
              </w:rPr>
              <w:t>,</w:t>
            </w:r>
            <w:r w:rsidRPr="002B1D15">
              <w:rPr>
                <w:rFonts w:ascii="Arial Narrow" w:eastAsia="Times New Roman" w:hAnsi="Arial Narrow" w:cs="Calibri"/>
                <w:color w:val="000000"/>
                <w:szCs w:val="20"/>
              </w:rPr>
              <w:t>166</w:t>
            </w:r>
          </w:p>
        </w:tc>
        <w:tc>
          <w:tcPr>
            <w:tcW w:w="827" w:type="dxa"/>
            <w:tcBorders>
              <w:top w:val="nil"/>
              <w:left w:val="nil"/>
              <w:bottom w:val="single" w:sz="4" w:space="0" w:color="auto"/>
              <w:right w:val="single" w:sz="4" w:space="0" w:color="auto"/>
            </w:tcBorders>
            <w:shd w:val="clear" w:color="auto" w:fill="auto"/>
            <w:noWrap/>
            <w:vAlign w:val="center"/>
            <w:hideMark/>
          </w:tcPr>
          <w:p w14:paraId="630555D2" w14:textId="77777777" w:rsidR="00044891" w:rsidRPr="002B1D15" w:rsidRDefault="00044891" w:rsidP="00E50F47">
            <w:pPr>
              <w:spacing w:after="0"/>
              <w:jc w:val="center"/>
              <w:rPr>
                <w:rFonts w:ascii="Arial Narrow" w:eastAsia="Times New Roman" w:hAnsi="Arial Narrow" w:cs="Calibri"/>
                <w:color w:val="000000"/>
                <w:szCs w:val="20"/>
              </w:rPr>
            </w:pPr>
            <w:r w:rsidRPr="002B1D15">
              <w:rPr>
                <w:rFonts w:ascii="Arial Narrow" w:eastAsia="Times New Roman" w:hAnsi="Arial Narrow" w:cs="Calibri"/>
                <w:color w:val="000000"/>
                <w:szCs w:val="20"/>
              </w:rPr>
              <w:t>1,095</w:t>
            </w:r>
          </w:p>
        </w:tc>
        <w:tc>
          <w:tcPr>
            <w:tcW w:w="827" w:type="dxa"/>
            <w:tcBorders>
              <w:top w:val="nil"/>
              <w:left w:val="nil"/>
              <w:bottom w:val="single" w:sz="4" w:space="0" w:color="auto"/>
              <w:right w:val="single" w:sz="4" w:space="0" w:color="auto"/>
            </w:tcBorders>
            <w:shd w:val="clear" w:color="auto" w:fill="auto"/>
            <w:noWrap/>
            <w:vAlign w:val="center"/>
            <w:hideMark/>
          </w:tcPr>
          <w:p w14:paraId="5EBA506C" w14:textId="77777777" w:rsidR="00044891" w:rsidRPr="002B1D15" w:rsidRDefault="00044891" w:rsidP="00E50F47">
            <w:pPr>
              <w:spacing w:after="0"/>
              <w:jc w:val="center"/>
              <w:rPr>
                <w:rFonts w:ascii="Arial Narrow" w:eastAsia="Times New Roman" w:hAnsi="Arial Narrow" w:cs="Calibri"/>
                <w:color w:val="000000"/>
                <w:szCs w:val="20"/>
              </w:rPr>
            </w:pPr>
            <w:r w:rsidRPr="002B1D15">
              <w:rPr>
                <w:rFonts w:ascii="Arial Narrow" w:eastAsia="Times New Roman" w:hAnsi="Arial Narrow" w:cs="Calibri"/>
                <w:color w:val="000000"/>
                <w:szCs w:val="20"/>
              </w:rPr>
              <w:t>634</w:t>
            </w:r>
          </w:p>
        </w:tc>
      </w:tr>
      <w:tr w:rsidR="00044891" w:rsidRPr="00F94FEC" w14:paraId="06008436" w14:textId="77777777" w:rsidTr="00543F08">
        <w:trPr>
          <w:trHeight w:val="300"/>
        </w:trPr>
        <w:tc>
          <w:tcPr>
            <w:tcW w:w="2830" w:type="dxa"/>
            <w:vMerge/>
            <w:tcBorders>
              <w:left w:val="single" w:sz="4" w:space="0" w:color="auto"/>
              <w:right w:val="single" w:sz="4" w:space="0" w:color="auto"/>
            </w:tcBorders>
            <w:vAlign w:val="center"/>
          </w:tcPr>
          <w:p w14:paraId="65F0CA08" w14:textId="77777777" w:rsidR="00044891" w:rsidRPr="00F94FEC" w:rsidRDefault="00044891" w:rsidP="00E50F47">
            <w:pPr>
              <w:spacing w:after="0"/>
              <w:rPr>
                <w:rFonts w:ascii="Arial Narrow" w:eastAsia="Times New Roman" w:hAnsi="Arial Narrow" w:cs="Calibri"/>
                <w:color w:val="00000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838286" w14:textId="77777777" w:rsidR="00044891" w:rsidRPr="002B1D15" w:rsidRDefault="00044891" w:rsidP="00E50F47">
            <w:pPr>
              <w:spacing w:after="0"/>
              <w:rPr>
                <w:rFonts w:ascii="Arial Narrow" w:eastAsia="Times New Roman" w:hAnsi="Arial Narrow" w:cs="Calibri"/>
                <w:color w:val="000000"/>
                <w:szCs w:val="20"/>
              </w:rPr>
            </w:pPr>
            <w:r w:rsidRPr="00F94FEC">
              <w:rPr>
                <w:rFonts w:ascii="Arial Narrow" w:eastAsia="Times New Roman" w:hAnsi="Arial Narrow" w:cs="Calibri"/>
                <w:color w:val="000000"/>
                <w:szCs w:val="20"/>
              </w:rPr>
              <w:t>38472 (new)</w:t>
            </w:r>
          </w:p>
        </w:tc>
        <w:tc>
          <w:tcPr>
            <w:tcW w:w="827" w:type="dxa"/>
            <w:tcBorders>
              <w:top w:val="nil"/>
              <w:left w:val="nil"/>
              <w:bottom w:val="single" w:sz="4" w:space="0" w:color="auto"/>
              <w:right w:val="single" w:sz="4" w:space="0" w:color="auto"/>
            </w:tcBorders>
            <w:shd w:val="clear" w:color="auto" w:fill="auto"/>
            <w:noWrap/>
            <w:vAlign w:val="center"/>
            <w:hideMark/>
          </w:tcPr>
          <w:p w14:paraId="0D3344EC" w14:textId="77777777" w:rsidR="00044891" w:rsidRPr="002B1D15" w:rsidRDefault="00044891" w:rsidP="00E50F47">
            <w:pPr>
              <w:spacing w:after="0"/>
              <w:jc w:val="center"/>
              <w:rPr>
                <w:rFonts w:ascii="Arial Narrow" w:eastAsia="Times New Roman" w:hAnsi="Arial Narrow" w:cs="Calibri"/>
                <w:color w:val="000000"/>
                <w:szCs w:val="20"/>
              </w:rPr>
            </w:pPr>
            <w:r w:rsidRPr="002B1D15">
              <w:rPr>
                <w:rFonts w:ascii="Arial Narrow" w:eastAsia="Times New Roman" w:hAnsi="Arial Narrow" w:cs="Calibri"/>
                <w:color w:val="000000"/>
                <w:szCs w:val="20"/>
              </w:rPr>
              <w:t>-</w:t>
            </w:r>
          </w:p>
        </w:tc>
        <w:tc>
          <w:tcPr>
            <w:tcW w:w="827" w:type="dxa"/>
            <w:tcBorders>
              <w:top w:val="nil"/>
              <w:left w:val="nil"/>
              <w:bottom w:val="single" w:sz="4" w:space="0" w:color="auto"/>
              <w:right w:val="single" w:sz="4" w:space="0" w:color="auto"/>
            </w:tcBorders>
            <w:shd w:val="clear" w:color="auto" w:fill="auto"/>
            <w:noWrap/>
            <w:vAlign w:val="center"/>
            <w:hideMark/>
          </w:tcPr>
          <w:p w14:paraId="02E7B6FA" w14:textId="77777777" w:rsidR="00044891" w:rsidRPr="002B1D15" w:rsidRDefault="00044891" w:rsidP="00E50F47">
            <w:pPr>
              <w:spacing w:after="0"/>
              <w:jc w:val="center"/>
              <w:rPr>
                <w:rFonts w:ascii="Arial Narrow" w:eastAsia="Times New Roman" w:hAnsi="Arial Narrow" w:cs="Calibri"/>
                <w:color w:val="000000"/>
                <w:szCs w:val="20"/>
              </w:rPr>
            </w:pPr>
            <w:r w:rsidRPr="002B1D15">
              <w:rPr>
                <w:rFonts w:ascii="Arial Narrow" w:eastAsia="Times New Roman" w:hAnsi="Arial Narrow" w:cs="Calibri"/>
                <w:color w:val="000000"/>
                <w:szCs w:val="20"/>
              </w:rPr>
              <w:t>-</w:t>
            </w:r>
          </w:p>
        </w:tc>
        <w:tc>
          <w:tcPr>
            <w:tcW w:w="827" w:type="dxa"/>
            <w:tcBorders>
              <w:top w:val="nil"/>
              <w:left w:val="nil"/>
              <w:bottom w:val="single" w:sz="4" w:space="0" w:color="auto"/>
              <w:right w:val="single" w:sz="4" w:space="0" w:color="auto"/>
            </w:tcBorders>
            <w:shd w:val="clear" w:color="auto" w:fill="auto"/>
            <w:noWrap/>
            <w:vAlign w:val="center"/>
            <w:hideMark/>
          </w:tcPr>
          <w:p w14:paraId="0E6352DD" w14:textId="77777777" w:rsidR="00044891" w:rsidRPr="002B1D15" w:rsidRDefault="00044891" w:rsidP="00E50F47">
            <w:pPr>
              <w:spacing w:after="0"/>
              <w:jc w:val="center"/>
              <w:rPr>
                <w:rFonts w:ascii="Arial Narrow" w:eastAsia="Times New Roman" w:hAnsi="Arial Narrow" w:cs="Calibri"/>
                <w:color w:val="000000"/>
                <w:szCs w:val="20"/>
              </w:rPr>
            </w:pPr>
            <w:r w:rsidRPr="002B1D15">
              <w:rPr>
                <w:rFonts w:ascii="Arial Narrow" w:eastAsia="Times New Roman" w:hAnsi="Arial Narrow" w:cs="Calibri"/>
                <w:color w:val="000000"/>
                <w:szCs w:val="20"/>
              </w:rPr>
              <w:t>-</w:t>
            </w:r>
          </w:p>
        </w:tc>
        <w:tc>
          <w:tcPr>
            <w:tcW w:w="827" w:type="dxa"/>
            <w:tcBorders>
              <w:top w:val="nil"/>
              <w:left w:val="nil"/>
              <w:bottom w:val="single" w:sz="4" w:space="0" w:color="auto"/>
              <w:right w:val="single" w:sz="4" w:space="0" w:color="auto"/>
            </w:tcBorders>
            <w:shd w:val="clear" w:color="auto" w:fill="auto"/>
            <w:noWrap/>
            <w:vAlign w:val="center"/>
            <w:hideMark/>
          </w:tcPr>
          <w:p w14:paraId="136EAB0D" w14:textId="77777777" w:rsidR="00044891" w:rsidRPr="002B1D15" w:rsidRDefault="00044891" w:rsidP="00E50F47">
            <w:pPr>
              <w:spacing w:after="0"/>
              <w:jc w:val="center"/>
              <w:rPr>
                <w:rFonts w:ascii="Arial Narrow" w:eastAsia="Times New Roman" w:hAnsi="Arial Narrow" w:cs="Calibri"/>
                <w:color w:val="000000"/>
                <w:szCs w:val="20"/>
              </w:rPr>
            </w:pPr>
            <w:r w:rsidRPr="002B1D15">
              <w:rPr>
                <w:rFonts w:ascii="Arial Narrow" w:eastAsia="Times New Roman" w:hAnsi="Arial Narrow" w:cs="Calibri"/>
                <w:color w:val="000000"/>
                <w:szCs w:val="20"/>
              </w:rPr>
              <w:t>-</w:t>
            </w:r>
          </w:p>
        </w:tc>
        <w:tc>
          <w:tcPr>
            <w:tcW w:w="827" w:type="dxa"/>
            <w:tcBorders>
              <w:top w:val="nil"/>
              <w:left w:val="nil"/>
              <w:bottom w:val="single" w:sz="4" w:space="0" w:color="auto"/>
              <w:right w:val="single" w:sz="4" w:space="0" w:color="auto"/>
            </w:tcBorders>
            <w:shd w:val="clear" w:color="auto" w:fill="auto"/>
            <w:noWrap/>
            <w:vAlign w:val="center"/>
            <w:hideMark/>
          </w:tcPr>
          <w:p w14:paraId="17A4D623" w14:textId="77777777" w:rsidR="00044891" w:rsidRPr="002B1D15" w:rsidRDefault="00044891" w:rsidP="00E50F47">
            <w:pPr>
              <w:spacing w:after="0"/>
              <w:jc w:val="center"/>
              <w:rPr>
                <w:rFonts w:ascii="Arial Narrow" w:eastAsia="Times New Roman" w:hAnsi="Arial Narrow" w:cs="Calibri"/>
                <w:color w:val="000000"/>
                <w:szCs w:val="20"/>
              </w:rPr>
            </w:pPr>
            <w:r w:rsidRPr="002B1D15">
              <w:rPr>
                <w:rFonts w:ascii="Arial Narrow" w:eastAsia="Times New Roman" w:hAnsi="Arial Narrow" w:cs="Calibri"/>
                <w:color w:val="000000"/>
                <w:szCs w:val="20"/>
              </w:rPr>
              <w:t>-</w:t>
            </w:r>
          </w:p>
        </w:tc>
        <w:tc>
          <w:tcPr>
            <w:tcW w:w="827" w:type="dxa"/>
            <w:tcBorders>
              <w:top w:val="nil"/>
              <w:left w:val="nil"/>
              <w:bottom w:val="single" w:sz="4" w:space="0" w:color="auto"/>
              <w:right w:val="single" w:sz="4" w:space="0" w:color="auto"/>
            </w:tcBorders>
            <w:shd w:val="clear" w:color="auto" w:fill="auto"/>
            <w:noWrap/>
            <w:vAlign w:val="center"/>
            <w:hideMark/>
          </w:tcPr>
          <w:p w14:paraId="29B7A9F9" w14:textId="77777777" w:rsidR="00044891" w:rsidRPr="002B1D15" w:rsidRDefault="00044891" w:rsidP="00E50F47">
            <w:pPr>
              <w:spacing w:after="0"/>
              <w:jc w:val="center"/>
              <w:rPr>
                <w:rFonts w:ascii="Arial Narrow" w:eastAsia="Times New Roman" w:hAnsi="Arial Narrow" w:cs="Calibri"/>
                <w:color w:val="000000"/>
                <w:szCs w:val="20"/>
              </w:rPr>
            </w:pPr>
            <w:r w:rsidRPr="002B1D15">
              <w:rPr>
                <w:rFonts w:ascii="Arial Narrow" w:eastAsia="Times New Roman" w:hAnsi="Arial Narrow" w:cs="Calibri"/>
                <w:color w:val="000000"/>
                <w:szCs w:val="20"/>
              </w:rPr>
              <w:t>731</w:t>
            </w:r>
          </w:p>
        </w:tc>
      </w:tr>
      <w:tr w:rsidR="00044891" w:rsidRPr="00F94FEC" w14:paraId="43AB3680" w14:textId="77777777" w:rsidTr="00543F08">
        <w:trPr>
          <w:trHeight w:val="300"/>
        </w:trPr>
        <w:tc>
          <w:tcPr>
            <w:tcW w:w="2830" w:type="dxa"/>
            <w:vMerge/>
            <w:tcBorders>
              <w:left w:val="single" w:sz="4" w:space="0" w:color="auto"/>
              <w:bottom w:val="single" w:sz="4" w:space="0" w:color="auto"/>
              <w:right w:val="single" w:sz="4" w:space="0" w:color="auto"/>
            </w:tcBorders>
            <w:vAlign w:val="center"/>
          </w:tcPr>
          <w:p w14:paraId="5CDCBB6C" w14:textId="77777777" w:rsidR="00044891" w:rsidRPr="00F94FEC" w:rsidRDefault="00044891" w:rsidP="00E50F47">
            <w:pPr>
              <w:spacing w:after="0"/>
              <w:rPr>
                <w:rFonts w:ascii="Arial Narrow" w:eastAsia="Times New Roman" w:hAnsi="Arial Narrow" w:cs="Calibri"/>
                <w:b/>
                <w:bCs/>
                <w:color w:val="00000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0EF3BB" w14:textId="77777777" w:rsidR="00044891" w:rsidRPr="002B1D15" w:rsidRDefault="00044891" w:rsidP="00E50F47">
            <w:pPr>
              <w:spacing w:after="0"/>
              <w:rPr>
                <w:rFonts w:ascii="Arial Narrow" w:eastAsia="Times New Roman" w:hAnsi="Arial Narrow" w:cs="Calibri"/>
                <w:b/>
                <w:bCs/>
                <w:color w:val="000000"/>
                <w:szCs w:val="20"/>
              </w:rPr>
            </w:pPr>
            <w:r w:rsidRPr="002B1D15">
              <w:rPr>
                <w:rFonts w:ascii="Arial Narrow" w:eastAsia="Times New Roman" w:hAnsi="Arial Narrow" w:cs="Calibri"/>
                <w:b/>
                <w:bCs/>
                <w:color w:val="000000"/>
                <w:szCs w:val="20"/>
              </w:rPr>
              <w:t>TOTAL</w:t>
            </w:r>
          </w:p>
        </w:tc>
        <w:tc>
          <w:tcPr>
            <w:tcW w:w="827" w:type="dxa"/>
            <w:tcBorders>
              <w:top w:val="nil"/>
              <w:left w:val="nil"/>
              <w:bottom w:val="single" w:sz="4" w:space="0" w:color="auto"/>
              <w:right w:val="single" w:sz="4" w:space="0" w:color="auto"/>
            </w:tcBorders>
            <w:shd w:val="clear" w:color="auto" w:fill="auto"/>
            <w:noWrap/>
            <w:vAlign w:val="center"/>
            <w:hideMark/>
          </w:tcPr>
          <w:p w14:paraId="27A90A14" w14:textId="77777777" w:rsidR="00044891" w:rsidRPr="002B1D15" w:rsidRDefault="00044891" w:rsidP="00E50F47">
            <w:pPr>
              <w:spacing w:after="0"/>
              <w:jc w:val="center"/>
              <w:rPr>
                <w:rFonts w:ascii="Arial Narrow" w:eastAsia="Times New Roman" w:hAnsi="Arial Narrow" w:cs="Calibri"/>
                <w:b/>
                <w:bCs/>
                <w:color w:val="000000"/>
                <w:szCs w:val="20"/>
              </w:rPr>
            </w:pPr>
            <w:r w:rsidRPr="002B1D15">
              <w:rPr>
                <w:rFonts w:ascii="Arial Narrow" w:eastAsia="Times New Roman" w:hAnsi="Arial Narrow" w:cs="Calibri"/>
                <w:b/>
                <w:bCs/>
                <w:color w:val="000000"/>
                <w:szCs w:val="20"/>
              </w:rPr>
              <w:t>2</w:t>
            </w:r>
            <w:r w:rsidRPr="00F94FEC">
              <w:rPr>
                <w:rFonts w:ascii="Arial Narrow" w:eastAsia="Times New Roman" w:hAnsi="Arial Narrow" w:cs="Calibri"/>
                <w:b/>
                <w:bCs/>
                <w:color w:val="000000"/>
                <w:szCs w:val="20"/>
              </w:rPr>
              <w:t>,</w:t>
            </w:r>
            <w:r w:rsidRPr="002B1D15">
              <w:rPr>
                <w:rFonts w:ascii="Arial Narrow" w:eastAsia="Times New Roman" w:hAnsi="Arial Narrow" w:cs="Calibri"/>
                <w:b/>
                <w:bCs/>
                <w:color w:val="000000"/>
                <w:szCs w:val="20"/>
              </w:rPr>
              <w:t>139</w:t>
            </w:r>
          </w:p>
        </w:tc>
        <w:tc>
          <w:tcPr>
            <w:tcW w:w="827" w:type="dxa"/>
            <w:tcBorders>
              <w:top w:val="nil"/>
              <w:left w:val="nil"/>
              <w:bottom w:val="single" w:sz="4" w:space="0" w:color="auto"/>
              <w:right w:val="single" w:sz="4" w:space="0" w:color="auto"/>
            </w:tcBorders>
            <w:shd w:val="clear" w:color="auto" w:fill="auto"/>
            <w:noWrap/>
            <w:vAlign w:val="center"/>
            <w:hideMark/>
          </w:tcPr>
          <w:p w14:paraId="1AF45D23" w14:textId="77777777" w:rsidR="00044891" w:rsidRPr="002B1D15" w:rsidRDefault="00044891" w:rsidP="00E50F47">
            <w:pPr>
              <w:spacing w:after="0"/>
              <w:jc w:val="center"/>
              <w:rPr>
                <w:rFonts w:ascii="Arial Narrow" w:eastAsia="Times New Roman" w:hAnsi="Arial Narrow" w:cs="Calibri"/>
                <w:b/>
                <w:bCs/>
                <w:color w:val="000000"/>
                <w:szCs w:val="20"/>
              </w:rPr>
            </w:pPr>
            <w:r w:rsidRPr="002B1D15">
              <w:rPr>
                <w:rFonts w:ascii="Arial Narrow" w:eastAsia="Times New Roman" w:hAnsi="Arial Narrow" w:cs="Calibri"/>
                <w:b/>
                <w:bCs/>
                <w:color w:val="000000"/>
                <w:szCs w:val="20"/>
              </w:rPr>
              <w:t>2</w:t>
            </w:r>
            <w:r w:rsidRPr="00F94FEC">
              <w:rPr>
                <w:rFonts w:ascii="Arial Narrow" w:eastAsia="Times New Roman" w:hAnsi="Arial Narrow" w:cs="Calibri"/>
                <w:b/>
                <w:bCs/>
                <w:color w:val="000000"/>
                <w:szCs w:val="20"/>
              </w:rPr>
              <w:t>,</w:t>
            </w:r>
            <w:r w:rsidRPr="002B1D15">
              <w:rPr>
                <w:rFonts w:ascii="Arial Narrow" w:eastAsia="Times New Roman" w:hAnsi="Arial Narrow" w:cs="Calibri"/>
                <w:b/>
                <w:bCs/>
                <w:color w:val="000000"/>
                <w:szCs w:val="20"/>
              </w:rPr>
              <w:t>102</w:t>
            </w:r>
          </w:p>
        </w:tc>
        <w:tc>
          <w:tcPr>
            <w:tcW w:w="827" w:type="dxa"/>
            <w:tcBorders>
              <w:top w:val="nil"/>
              <w:left w:val="nil"/>
              <w:bottom w:val="single" w:sz="4" w:space="0" w:color="auto"/>
              <w:right w:val="single" w:sz="4" w:space="0" w:color="auto"/>
            </w:tcBorders>
            <w:shd w:val="clear" w:color="auto" w:fill="auto"/>
            <w:noWrap/>
            <w:vAlign w:val="center"/>
            <w:hideMark/>
          </w:tcPr>
          <w:p w14:paraId="2BA5C036" w14:textId="77777777" w:rsidR="00044891" w:rsidRPr="002B1D15" w:rsidRDefault="00044891" w:rsidP="00E50F47">
            <w:pPr>
              <w:spacing w:after="0"/>
              <w:jc w:val="center"/>
              <w:rPr>
                <w:rFonts w:ascii="Arial Narrow" w:eastAsia="Times New Roman" w:hAnsi="Arial Narrow" w:cs="Calibri"/>
                <w:b/>
                <w:bCs/>
                <w:color w:val="000000"/>
                <w:szCs w:val="20"/>
              </w:rPr>
            </w:pPr>
            <w:r w:rsidRPr="002B1D15">
              <w:rPr>
                <w:rFonts w:ascii="Arial Narrow" w:eastAsia="Times New Roman" w:hAnsi="Arial Narrow" w:cs="Calibri"/>
                <w:b/>
                <w:bCs/>
                <w:color w:val="000000"/>
                <w:szCs w:val="20"/>
              </w:rPr>
              <w:t>2</w:t>
            </w:r>
            <w:r w:rsidRPr="00F94FEC">
              <w:rPr>
                <w:rFonts w:ascii="Arial Narrow" w:eastAsia="Times New Roman" w:hAnsi="Arial Narrow" w:cs="Calibri"/>
                <w:b/>
                <w:bCs/>
                <w:color w:val="000000"/>
                <w:szCs w:val="20"/>
              </w:rPr>
              <w:t>,</w:t>
            </w:r>
            <w:r w:rsidRPr="002B1D15">
              <w:rPr>
                <w:rFonts w:ascii="Arial Narrow" w:eastAsia="Times New Roman" w:hAnsi="Arial Narrow" w:cs="Calibri"/>
                <w:b/>
                <w:bCs/>
                <w:color w:val="000000"/>
                <w:szCs w:val="20"/>
              </w:rPr>
              <w:t>180</w:t>
            </w:r>
          </w:p>
        </w:tc>
        <w:tc>
          <w:tcPr>
            <w:tcW w:w="827" w:type="dxa"/>
            <w:tcBorders>
              <w:top w:val="nil"/>
              <w:left w:val="nil"/>
              <w:bottom w:val="single" w:sz="4" w:space="0" w:color="auto"/>
              <w:right w:val="single" w:sz="4" w:space="0" w:color="auto"/>
            </w:tcBorders>
            <w:shd w:val="clear" w:color="auto" w:fill="auto"/>
            <w:noWrap/>
            <w:vAlign w:val="center"/>
            <w:hideMark/>
          </w:tcPr>
          <w:p w14:paraId="10CBAFD0" w14:textId="77777777" w:rsidR="00044891" w:rsidRPr="002B1D15" w:rsidRDefault="00044891" w:rsidP="00E50F47">
            <w:pPr>
              <w:spacing w:after="0"/>
              <w:jc w:val="center"/>
              <w:rPr>
                <w:rFonts w:ascii="Arial Narrow" w:eastAsia="Times New Roman" w:hAnsi="Arial Narrow" w:cs="Calibri"/>
                <w:b/>
                <w:bCs/>
                <w:color w:val="000000"/>
                <w:szCs w:val="20"/>
              </w:rPr>
            </w:pPr>
            <w:r w:rsidRPr="002B1D15">
              <w:rPr>
                <w:rFonts w:ascii="Arial Narrow" w:eastAsia="Times New Roman" w:hAnsi="Arial Narrow" w:cs="Calibri"/>
                <w:b/>
                <w:bCs/>
                <w:color w:val="000000"/>
                <w:szCs w:val="20"/>
              </w:rPr>
              <w:t>2</w:t>
            </w:r>
            <w:r w:rsidRPr="00F94FEC">
              <w:rPr>
                <w:rFonts w:ascii="Arial Narrow" w:eastAsia="Times New Roman" w:hAnsi="Arial Narrow" w:cs="Calibri"/>
                <w:b/>
                <w:bCs/>
                <w:color w:val="000000"/>
                <w:szCs w:val="20"/>
              </w:rPr>
              <w:t>,</w:t>
            </w:r>
            <w:r w:rsidRPr="002B1D15">
              <w:rPr>
                <w:rFonts w:ascii="Arial Narrow" w:eastAsia="Times New Roman" w:hAnsi="Arial Narrow" w:cs="Calibri"/>
                <w:b/>
                <w:bCs/>
                <w:color w:val="000000"/>
                <w:szCs w:val="20"/>
              </w:rPr>
              <w:t>108</w:t>
            </w:r>
          </w:p>
        </w:tc>
        <w:tc>
          <w:tcPr>
            <w:tcW w:w="827" w:type="dxa"/>
            <w:tcBorders>
              <w:top w:val="nil"/>
              <w:left w:val="nil"/>
              <w:bottom w:val="single" w:sz="4" w:space="0" w:color="auto"/>
              <w:right w:val="single" w:sz="4" w:space="0" w:color="auto"/>
            </w:tcBorders>
            <w:shd w:val="clear" w:color="auto" w:fill="auto"/>
            <w:noWrap/>
            <w:vAlign w:val="center"/>
            <w:hideMark/>
          </w:tcPr>
          <w:p w14:paraId="71246A05" w14:textId="77777777" w:rsidR="00044891" w:rsidRPr="002B1D15" w:rsidRDefault="00044891" w:rsidP="00E50F47">
            <w:pPr>
              <w:spacing w:after="0"/>
              <w:jc w:val="center"/>
              <w:rPr>
                <w:rFonts w:ascii="Arial Narrow" w:eastAsia="Times New Roman" w:hAnsi="Arial Narrow" w:cs="Calibri"/>
                <w:b/>
                <w:bCs/>
                <w:color w:val="000000"/>
                <w:szCs w:val="20"/>
              </w:rPr>
            </w:pPr>
            <w:r w:rsidRPr="002B1D15">
              <w:rPr>
                <w:rFonts w:ascii="Arial Narrow" w:eastAsia="Times New Roman" w:hAnsi="Arial Narrow" w:cs="Calibri"/>
                <w:b/>
                <w:bCs/>
                <w:color w:val="000000"/>
                <w:szCs w:val="20"/>
              </w:rPr>
              <w:t>1,919</w:t>
            </w:r>
          </w:p>
        </w:tc>
        <w:tc>
          <w:tcPr>
            <w:tcW w:w="827" w:type="dxa"/>
            <w:tcBorders>
              <w:top w:val="nil"/>
              <w:left w:val="nil"/>
              <w:bottom w:val="single" w:sz="4" w:space="0" w:color="auto"/>
              <w:right w:val="single" w:sz="4" w:space="0" w:color="auto"/>
            </w:tcBorders>
            <w:shd w:val="clear" w:color="auto" w:fill="auto"/>
            <w:noWrap/>
            <w:vAlign w:val="center"/>
            <w:hideMark/>
          </w:tcPr>
          <w:p w14:paraId="1D042925" w14:textId="77777777" w:rsidR="00044891" w:rsidRPr="002B1D15" w:rsidRDefault="00044891" w:rsidP="00E50F47">
            <w:pPr>
              <w:spacing w:after="0"/>
              <w:jc w:val="center"/>
              <w:rPr>
                <w:rFonts w:ascii="Arial Narrow" w:eastAsia="Times New Roman" w:hAnsi="Arial Narrow" w:cs="Calibri"/>
                <w:b/>
                <w:bCs/>
                <w:color w:val="000000"/>
                <w:szCs w:val="20"/>
              </w:rPr>
            </w:pPr>
            <w:r w:rsidRPr="002B1D15">
              <w:rPr>
                <w:rFonts w:ascii="Arial Narrow" w:eastAsia="Times New Roman" w:hAnsi="Arial Narrow" w:cs="Calibri"/>
                <w:b/>
                <w:bCs/>
                <w:color w:val="000000"/>
                <w:szCs w:val="20"/>
              </w:rPr>
              <w:t>1,828</w:t>
            </w:r>
          </w:p>
        </w:tc>
      </w:tr>
      <w:tr w:rsidR="00044891" w:rsidRPr="00F94FEC" w14:paraId="5B3350E5" w14:textId="77777777" w:rsidTr="00543F08">
        <w:trPr>
          <w:trHeight w:val="300"/>
        </w:trPr>
        <w:tc>
          <w:tcPr>
            <w:tcW w:w="2830" w:type="dxa"/>
            <w:vMerge w:val="restart"/>
            <w:tcBorders>
              <w:top w:val="single" w:sz="4" w:space="0" w:color="auto"/>
              <w:left w:val="single" w:sz="4" w:space="0" w:color="auto"/>
              <w:right w:val="single" w:sz="4" w:space="0" w:color="auto"/>
            </w:tcBorders>
            <w:vAlign w:val="center"/>
          </w:tcPr>
          <w:p w14:paraId="1A569FF9" w14:textId="77777777" w:rsidR="00044891" w:rsidRPr="00446991" w:rsidRDefault="00044891" w:rsidP="00E50F47">
            <w:pPr>
              <w:spacing w:after="0"/>
              <w:rPr>
                <w:rFonts w:ascii="Arial Narrow" w:eastAsia="Times New Roman" w:hAnsi="Arial Narrow" w:cs="Calibri"/>
                <w:bCs/>
                <w:color w:val="000000"/>
                <w:szCs w:val="20"/>
                <w:u w:val="single"/>
              </w:rPr>
            </w:pPr>
            <w:r>
              <w:rPr>
                <w:rFonts w:ascii="Arial Narrow" w:eastAsia="Times New Roman" w:hAnsi="Arial Narrow" w:cs="Calibri"/>
                <w:bCs/>
                <w:color w:val="000000"/>
                <w:szCs w:val="20"/>
                <w:u w:val="single"/>
              </w:rPr>
              <w:t>TV l</w:t>
            </w:r>
            <w:r w:rsidRPr="00446991">
              <w:rPr>
                <w:rFonts w:ascii="Arial Narrow" w:eastAsia="Times New Roman" w:hAnsi="Arial Narrow" w:cs="Calibri"/>
                <w:bCs/>
                <w:color w:val="000000"/>
                <w:szCs w:val="20"/>
                <w:u w:val="single"/>
              </w:rPr>
              <w:t>eads</w:t>
            </w:r>
          </w:p>
          <w:p w14:paraId="0843D446" w14:textId="77777777" w:rsidR="00044891" w:rsidRPr="00F94FEC" w:rsidRDefault="00044891" w:rsidP="00E50F47">
            <w:pPr>
              <w:spacing w:after="0"/>
              <w:rPr>
                <w:rFonts w:ascii="Arial Narrow" w:eastAsia="Times New Roman" w:hAnsi="Arial Narrow" w:cs="Calibri"/>
                <w:bCs/>
                <w:color w:val="000000"/>
                <w:szCs w:val="20"/>
              </w:rPr>
            </w:pPr>
            <w:r w:rsidRPr="00F94FEC">
              <w:rPr>
                <w:rFonts w:ascii="Arial Narrow" w:eastAsia="Times New Roman" w:hAnsi="Arial Narrow" w:cs="Calibri"/>
                <w:bCs/>
                <w:color w:val="000000"/>
                <w:szCs w:val="20"/>
              </w:rPr>
              <w:t>Insertion of implantable defibrillator, including insertion of patches for the insertion of one or more TV endocardial leads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3397A" w14:textId="77777777" w:rsidR="00044891" w:rsidRPr="00F94FEC" w:rsidRDefault="00044891" w:rsidP="00E50F47">
            <w:pPr>
              <w:spacing w:after="0"/>
              <w:rPr>
                <w:rFonts w:ascii="Arial Narrow" w:eastAsia="Times New Roman" w:hAnsi="Arial Narrow" w:cs="Calibri"/>
                <w:b/>
                <w:bCs/>
                <w:color w:val="000000"/>
                <w:szCs w:val="20"/>
              </w:rPr>
            </w:pPr>
            <w:r w:rsidRPr="00F94FEC">
              <w:rPr>
                <w:rFonts w:ascii="Arial Narrow" w:hAnsi="Arial Narrow" w:cs="Calibri"/>
                <w:color w:val="000000"/>
                <w:szCs w:val="20"/>
              </w:rPr>
              <w:t>38384</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2130D211" w14:textId="77777777" w:rsidR="00044891" w:rsidRPr="00F94FEC" w:rsidRDefault="00044891" w:rsidP="00E50F47">
            <w:pPr>
              <w:spacing w:after="0"/>
              <w:jc w:val="center"/>
              <w:rPr>
                <w:rFonts w:ascii="Arial Narrow" w:eastAsia="Times New Roman" w:hAnsi="Arial Narrow" w:cs="Calibri"/>
                <w:color w:val="000000"/>
                <w:szCs w:val="20"/>
              </w:rPr>
            </w:pPr>
            <w:r w:rsidRPr="00F94FEC">
              <w:rPr>
                <w:rFonts w:ascii="Arial Narrow" w:eastAsia="Times New Roman" w:hAnsi="Arial Narrow" w:cs="Calibri"/>
                <w:color w:val="000000"/>
                <w:szCs w:val="20"/>
              </w:rPr>
              <w:t>1323</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68F79A5C" w14:textId="77777777" w:rsidR="00044891" w:rsidRPr="00F94FEC" w:rsidRDefault="00044891" w:rsidP="00E50F47">
            <w:pPr>
              <w:spacing w:after="0"/>
              <w:jc w:val="center"/>
              <w:rPr>
                <w:rFonts w:ascii="Arial Narrow" w:eastAsia="Times New Roman" w:hAnsi="Arial Narrow" w:cs="Calibri"/>
                <w:color w:val="000000"/>
                <w:szCs w:val="20"/>
              </w:rPr>
            </w:pPr>
            <w:r w:rsidRPr="00F94FEC">
              <w:rPr>
                <w:rFonts w:ascii="Arial Narrow" w:eastAsia="Times New Roman" w:hAnsi="Arial Narrow" w:cs="Calibri"/>
                <w:color w:val="000000"/>
                <w:szCs w:val="20"/>
              </w:rPr>
              <w:t>1119</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7DE9A07F" w14:textId="77777777" w:rsidR="00044891" w:rsidRPr="00F94FEC" w:rsidRDefault="00044891" w:rsidP="00E50F47">
            <w:pPr>
              <w:spacing w:after="0"/>
              <w:jc w:val="center"/>
              <w:rPr>
                <w:rFonts w:ascii="Arial Narrow" w:eastAsia="Times New Roman" w:hAnsi="Arial Narrow" w:cs="Calibri"/>
                <w:color w:val="000000"/>
                <w:szCs w:val="20"/>
              </w:rPr>
            </w:pPr>
            <w:r w:rsidRPr="00F94FEC">
              <w:rPr>
                <w:rFonts w:ascii="Arial Narrow" w:eastAsia="Times New Roman" w:hAnsi="Arial Narrow" w:cs="Calibri"/>
                <w:color w:val="000000"/>
                <w:szCs w:val="20"/>
              </w:rPr>
              <w:t>1209</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06BF299E" w14:textId="77777777" w:rsidR="00044891" w:rsidRPr="00F94FEC" w:rsidRDefault="00044891" w:rsidP="00E50F47">
            <w:pPr>
              <w:spacing w:after="0"/>
              <w:jc w:val="center"/>
              <w:rPr>
                <w:rFonts w:ascii="Arial Narrow" w:eastAsia="Times New Roman" w:hAnsi="Arial Narrow" w:cs="Calibri"/>
                <w:color w:val="000000"/>
                <w:szCs w:val="20"/>
              </w:rPr>
            </w:pPr>
            <w:r w:rsidRPr="00F94FEC">
              <w:rPr>
                <w:rFonts w:ascii="Arial Narrow" w:eastAsia="Times New Roman" w:hAnsi="Arial Narrow" w:cs="Calibri"/>
                <w:color w:val="000000"/>
                <w:szCs w:val="20"/>
              </w:rPr>
              <w:t>1198</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6EAC4114" w14:textId="77777777" w:rsidR="00044891" w:rsidRPr="00F94FEC" w:rsidRDefault="00044891" w:rsidP="00E50F47">
            <w:pPr>
              <w:spacing w:after="0"/>
              <w:jc w:val="center"/>
              <w:rPr>
                <w:rFonts w:ascii="Arial Narrow" w:eastAsia="Times New Roman" w:hAnsi="Arial Narrow" w:cs="Calibri"/>
                <w:color w:val="000000"/>
                <w:szCs w:val="20"/>
              </w:rPr>
            </w:pPr>
            <w:r w:rsidRPr="00F94FEC">
              <w:rPr>
                <w:rFonts w:ascii="Arial Narrow" w:eastAsia="Times New Roman" w:hAnsi="Arial Narrow" w:cs="Calibri"/>
                <w:color w:val="000000"/>
                <w:szCs w:val="20"/>
              </w:rPr>
              <w:t xml:space="preserve">1,237 </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61497C52" w14:textId="77777777" w:rsidR="00044891" w:rsidRPr="00F94FEC" w:rsidRDefault="00044891" w:rsidP="00E50F47">
            <w:pPr>
              <w:spacing w:after="0"/>
              <w:jc w:val="center"/>
              <w:rPr>
                <w:rFonts w:ascii="Arial Narrow" w:eastAsia="Times New Roman" w:hAnsi="Arial Narrow" w:cs="Calibri"/>
                <w:color w:val="000000"/>
                <w:szCs w:val="20"/>
              </w:rPr>
            </w:pPr>
            <w:r w:rsidRPr="00F94FEC">
              <w:rPr>
                <w:rFonts w:ascii="Arial Narrow" w:eastAsia="Times New Roman" w:hAnsi="Arial Narrow" w:cs="Calibri"/>
                <w:color w:val="000000"/>
                <w:szCs w:val="20"/>
              </w:rPr>
              <w:t xml:space="preserve">725 </w:t>
            </w:r>
          </w:p>
        </w:tc>
      </w:tr>
      <w:tr w:rsidR="00044891" w:rsidRPr="00F94FEC" w14:paraId="6945D15E" w14:textId="77777777" w:rsidTr="00543F08">
        <w:trPr>
          <w:trHeight w:val="300"/>
        </w:trPr>
        <w:tc>
          <w:tcPr>
            <w:tcW w:w="2830" w:type="dxa"/>
            <w:vMerge/>
            <w:tcBorders>
              <w:left w:val="single" w:sz="4" w:space="0" w:color="auto"/>
              <w:right w:val="single" w:sz="4" w:space="0" w:color="auto"/>
            </w:tcBorders>
            <w:vAlign w:val="center"/>
          </w:tcPr>
          <w:p w14:paraId="5AB34BBD" w14:textId="77777777" w:rsidR="00044891" w:rsidRPr="00F94FEC" w:rsidRDefault="00044891" w:rsidP="00E50F47">
            <w:pPr>
              <w:spacing w:after="0"/>
              <w:rPr>
                <w:rFonts w:ascii="Arial Narrow" w:eastAsia="Times New Roman" w:hAnsi="Arial Narrow" w:cs="Calibri"/>
                <w:b/>
                <w:bCs/>
                <w:color w:val="00000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D76BD" w14:textId="77777777" w:rsidR="00044891" w:rsidRPr="00F94FEC" w:rsidRDefault="00044891" w:rsidP="00E50F47">
            <w:pPr>
              <w:spacing w:after="0"/>
              <w:rPr>
                <w:rFonts w:ascii="Arial Narrow" w:eastAsia="Times New Roman" w:hAnsi="Arial Narrow" w:cs="Calibri"/>
                <w:b/>
                <w:bCs/>
                <w:color w:val="000000"/>
                <w:szCs w:val="20"/>
              </w:rPr>
            </w:pPr>
            <w:r w:rsidRPr="00F94FEC">
              <w:rPr>
                <w:rFonts w:ascii="Arial Narrow" w:hAnsi="Arial Narrow" w:cs="Calibri"/>
                <w:color w:val="000000"/>
                <w:szCs w:val="20"/>
              </w:rPr>
              <w:t>38390</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21710BC6" w14:textId="77777777" w:rsidR="00044891" w:rsidRPr="00F94FEC" w:rsidRDefault="00044891" w:rsidP="00E50F47">
            <w:pPr>
              <w:spacing w:after="0"/>
              <w:jc w:val="center"/>
              <w:rPr>
                <w:rFonts w:ascii="Arial Narrow" w:eastAsia="Times New Roman" w:hAnsi="Arial Narrow" w:cs="Calibri"/>
                <w:color w:val="000000"/>
                <w:szCs w:val="20"/>
              </w:rPr>
            </w:pPr>
            <w:r w:rsidRPr="00F94FEC">
              <w:rPr>
                <w:rFonts w:ascii="Arial Narrow" w:eastAsia="Times New Roman" w:hAnsi="Arial Narrow" w:cs="Calibri"/>
                <w:color w:val="000000"/>
                <w:szCs w:val="20"/>
              </w:rPr>
              <w:t>916</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08DD7FFA" w14:textId="77777777" w:rsidR="00044891" w:rsidRPr="00F94FEC" w:rsidRDefault="00044891" w:rsidP="00E50F47">
            <w:pPr>
              <w:spacing w:after="0"/>
              <w:jc w:val="center"/>
              <w:rPr>
                <w:rFonts w:ascii="Arial Narrow" w:eastAsia="Times New Roman" w:hAnsi="Arial Narrow" w:cs="Calibri"/>
                <w:color w:val="000000"/>
                <w:szCs w:val="20"/>
              </w:rPr>
            </w:pPr>
            <w:r w:rsidRPr="00F94FEC">
              <w:rPr>
                <w:rFonts w:ascii="Arial Narrow" w:eastAsia="Times New Roman" w:hAnsi="Arial Narrow" w:cs="Calibri"/>
                <w:color w:val="000000"/>
                <w:szCs w:val="20"/>
              </w:rPr>
              <w:t>825</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34835384" w14:textId="77777777" w:rsidR="00044891" w:rsidRPr="00F94FEC" w:rsidRDefault="00044891" w:rsidP="00E50F47">
            <w:pPr>
              <w:spacing w:after="0"/>
              <w:jc w:val="center"/>
              <w:rPr>
                <w:rFonts w:ascii="Arial Narrow" w:eastAsia="Times New Roman" w:hAnsi="Arial Narrow" w:cs="Calibri"/>
                <w:color w:val="000000"/>
                <w:szCs w:val="20"/>
              </w:rPr>
            </w:pPr>
            <w:r w:rsidRPr="00F94FEC">
              <w:rPr>
                <w:rFonts w:ascii="Arial Narrow" w:eastAsia="Times New Roman" w:hAnsi="Arial Narrow" w:cs="Calibri"/>
                <w:color w:val="000000"/>
                <w:szCs w:val="20"/>
              </w:rPr>
              <w:t>837</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2D27C38C" w14:textId="77777777" w:rsidR="00044891" w:rsidRPr="00F94FEC" w:rsidRDefault="00044891" w:rsidP="00E50F47">
            <w:pPr>
              <w:spacing w:after="0"/>
              <w:jc w:val="center"/>
              <w:rPr>
                <w:rFonts w:ascii="Arial Narrow" w:eastAsia="Times New Roman" w:hAnsi="Arial Narrow" w:cs="Calibri"/>
                <w:color w:val="000000"/>
                <w:szCs w:val="20"/>
              </w:rPr>
            </w:pPr>
            <w:r w:rsidRPr="00F94FEC">
              <w:rPr>
                <w:rFonts w:ascii="Arial Narrow" w:eastAsia="Times New Roman" w:hAnsi="Arial Narrow" w:cs="Calibri"/>
                <w:color w:val="000000"/>
                <w:szCs w:val="20"/>
              </w:rPr>
              <w:t>808</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6985AE78" w14:textId="77777777" w:rsidR="00044891" w:rsidRPr="00F94FEC" w:rsidRDefault="00044891" w:rsidP="00E50F47">
            <w:pPr>
              <w:spacing w:after="0"/>
              <w:rPr>
                <w:rFonts w:ascii="Arial Narrow" w:eastAsia="Times New Roman" w:hAnsi="Arial Narrow" w:cs="Calibri"/>
                <w:color w:val="000000"/>
                <w:szCs w:val="20"/>
              </w:rPr>
            </w:pPr>
            <w:r w:rsidRPr="00F94FEC">
              <w:rPr>
                <w:rFonts w:ascii="Arial Narrow" w:eastAsia="Times New Roman" w:hAnsi="Arial Narrow" w:cs="Calibri"/>
                <w:color w:val="000000"/>
                <w:szCs w:val="20"/>
              </w:rPr>
              <w:t xml:space="preserve">768 </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48831EEA" w14:textId="77777777" w:rsidR="00044891" w:rsidRPr="00F94FEC" w:rsidRDefault="00044891" w:rsidP="00E50F47">
            <w:pPr>
              <w:spacing w:after="0"/>
              <w:jc w:val="center"/>
              <w:rPr>
                <w:rFonts w:ascii="Arial Narrow" w:eastAsia="Times New Roman" w:hAnsi="Arial Narrow" w:cs="Calibri"/>
                <w:color w:val="000000"/>
                <w:szCs w:val="20"/>
              </w:rPr>
            </w:pPr>
            <w:r>
              <w:rPr>
                <w:rFonts w:ascii="Arial Narrow" w:eastAsia="Times New Roman" w:hAnsi="Arial Narrow" w:cs="Calibri"/>
                <w:color w:val="000000"/>
                <w:szCs w:val="20"/>
              </w:rPr>
              <w:t>475</w:t>
            </w:r>
          </w:p>
        </w:tc>
      </w:tr>
      <w:tr w:rsidR="00044891" w:rsidRPr="00F94FEC" w14:paraId="714E9DD4" w14:textId="77777777" w:rsidTr="00543F08">
        <w:trPr>
          <w:trHeight w:val="300"/>
        </w:trPr>
        <w:tc>
          <w:tcPr>
            <w:tcW w:w="2830" w:type="dxa"/>
            <w:vMerge/>
            <w:tcBorders>
              <w:left w:val="single" w:sz="4" w:space="0" w:color="auto"/>
              <w:right w:val="single" w:sz="4" w:space="0" w:color="auto"/>
            </w:tcBorders>
            <w:vAlign w:val="center"/>
          </w:tcPr>
          <w:p w14:paraId="367E0599" w14:textId="77777777" w:rsidR="00044891" w:rsidRPr="00F94FEC" w:rsidRDefault="00044891" w:rsidP="00E50F47">
            <w:pPr>
              <w:spacing w:after="0"/>
              <w:rPr>
                <w:rFonts w:ascii="Arial Narrow" w:eastAsia="Times New Roman" w:hAnsi="Arial Narrow" w:cs="Calibri"/>
                <w:b/>
                <w:bCs/>
                <w:color w:val="00000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9A17D" w14:textId="77777777" w:rsidR="00044891" w:rsidRPr="00F94FEC" w:rsidRDefault="00044891" w:rsidP="00E50F47">
            <w:pPr>
              <w:spacing w:after="0"/>
              <w:rPr>
                <w:rFonts w:ascii="Arial Narrow" w:eastAsia="Times New Roman" w:hAnsi="Arial Narrow" w:cs="Calibri"/>
                <w:b/>
                <w:bCs/>
                <w:color w:val="000000"/>
                <w:szCs w:val="20"/>
              </w:rPr>
            </w:pPr>
            <w:r>
              <w:rPr>
                <w:rFonts w:ascii="Arial Narrow" w:hAnsi="Arial Narrow" w:cs="Calibri"/>
                <w:color w:val="000000"/>
                <w:szCs w:val="20"/>
              </w:rPr>
              <w:t>38471 (new)</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55A50942" w14:textId="77777777" w:rsidR="00044891" w:rsidRPr="00F94FEC" w:rsidRDefault="00044891" w:rsidP="00E50F47">
            <w:pPr>
              <w:spacing w:after="0"/>
              <w:jc w:val="center"/>
              <w:rPr>
                <w:rFonts w:ascii="Arial Narrow" w:eastAsia="Times New Roman" w:hAnsi="Arial Narrow" w:cs="Calibri"/>
                <w:color w:val="000000"/>
                <w:szCs w:val="20"/>
              </w:rPr>
            </w:pPr>
            <w:r>
              <w:rPr>
                <w:rFonts w:ascii="Arial Narrow" w:eastAsia="Times New Roman" w:hAnsi="Arial Narrow" w:cs="Calibri"/>
                <w:color w:val="000000"/>
                <w:szCs w:val="20"/>
              </w:rPr>
              <w:t>-</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37610271" w14:textId="77777777" w:rsidR="00044891" w:rsidRPr="00F94FEC" w:rsidRDefault="00044891" w:rsidP="00E50F47">
            <w:pPr>
              <w:spacing w:after="0"/>
              <w:jc w:val="center"/>
              <w:rPr>
                <w:rFonts w:ascii="Arial Narrow" w:eastAsia="Times New Roman" w:hAnsi="Arial Narrow" w:cs="Calibri"/>
                <w:color w:val="000000"/>
                <w:szCs w:val="20"/>
              </w:rPr>
            </w:pPr>
            <w:r>
              <w:rPr>
                <w:rFonts w:ascii="Arial Narrow" w:eastAsia="Times New Roman" w:hAnsi="Arial Narrow" w:cs="Calibri"/>
                <w:color w:val="000000"/>
                <w:szCs w:val="20"/>
              </w:rPr>
              <w:t>-</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1FA77E3F" w14:textId="77777777" w:rsidR="00044891" w:rsidRPr="00F94FEC" w:rsidRDefault="00044891" w:rsidP="00E50F47">
            <w:pPr>
              <w:spacing w:after="0"/>
              <w:jc w:val="center"/>
              <w:rPr>
                <w:rFonts w:ascii="Arial Narrow" w:eastAsia="Times New Roman" w:hAnsi="Arial Narrow" w:cs="Calibri"/>
                <w:color w:val="000000"/>
                <w:szCs w:val="20"/>
              </w:rPr>
            </w:pPr>
            <w:r>
              <w:rPr>
                <w:rFonts w:ascii="Arial Narrow" w:eastAsia="Times New Roman" w:hAnsi="Arial Narrow" w:cs="Calibri"/>
                <w:color w:val="000000"/>
                <w:szCs w:val="20"/>
              </w:rPr>
              <w:t>-</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77A2FE84" w14:textId="77777777" w:rsidR="00044891" w:rsidRPr="00F94FEC" w:rsidRDefault="00044891" w:rsidP="00E50F47">
            <w:pPr>
              <w:spacing w:after="0"/>
              <w:rPr>
                <w:rFonts w:ascii="Arial Narrow" w:eastAsia="Times New Roman" w:hAnsi="Arial Narrow" w:cs="Calibri"/>
                <w:color w:val="000000"/>
                <w:szCs w:val="20"/>
              </w:rPr>
            </w:pPr>
            <w:r>
              <w:rPr>
                <w:rFonts w:ascii="Arial Narrow" w:eastAsia="Times New Roman" w:hAnsi="Arial Narrow" w:cs="Calibri"/>
                <w:color w:val="000000"/>
                <w:szCs w:val="20"/>
              </w:rPr>
              <w:t>-</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430B00AB" w14:textId="77777777" w:rsidR="00044891" w:rsidRPr="00F94FEC" w:rsidRDefault="00044891" w:rsidP="00E50F47">
            <w:pPr>
              <w:spacing w:after="0"/>
              <w:rPr>
                <w:rFonts w:ascii="Arial Narrow" w:eastAsia="Times New Roman" w:hAnsi="Arial Narrow" w:cs="Calibri"/>
                <w:color w:val="000000"/>
                <w:szCs w:val="20"/>
              </w:rPr>
            </w:pPr>
            <w:r>
              <w:rPr>
                <w:rFonts w:ascii="Arial Narrow" w:eastAsia="Times New Roman" w:hAnsi="Arial Narrow" w:cs="Calibri"/>
                <w:color w:val="000000"/>
                <w:szCs w:val="20"/>
              </w:rPr>
              <w:t>-</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18257D8F" w14:textId="77777777" w:rsidR="00044891" w:rsidRPr="00F94FEC" w:rsidRDefault="00044891" w:rsidP="00E50F47">
            <w:pPr>
              <w:spacing w:after="0"/>
              <w:jc w:val="center"/>
              <w:rPr>
                <w:rFonts w:ascii="Arial Narrow" w:eastAsia="Times New Roman" w:hAnsi="Arial Narrow" w:cs="Calibri"/>
                <w:color w:val="000000"/>
                <w:szCs w:val="20"/>
              </w:rPr>
            </w:pPr>
            <w:r>
              <w:rPr>
                <w:rFonts w:ascii="Arial Narrow" w:eastAsia="Times New Roman" w:hAnsi="Arial Narrow" w:cs="Calibri"/>
                <w:color w:val="000000"/>
                <w:szCs w:val="20"/>
              </w:rPr>
              <w:t>762</w:t>
            </w:r>
          </w:p>
        </w:tc>
      </w:tr>
      <w:tr w:rsidR="00044891" w:rsidRPr="00F94FEC" w14:paraId="3A9BF01C" w14:textId="77777777" w:rsidTr="00543F08">
        <w:trPr>
          <w:trHeight w:val="300"/>
        </w:trPr>
        <w:tc>
          <w:tcPr>
            <w:tcW w:w="2830" w:type="dxa"/>
            <w:vMerge/>
            <w:tcBorders>
              <w:left w:val="single" w:sz="4" w:space="0" w:color="auto"/>
              <w:bottom w:val="single" w:sz="4" w:space="0" w:color="auto"/>
              <w:right w:val="single" w:sz="4" w:space="0" w:color="auto"/>
            </w:tcBorders>
            <w:vAlign w:val="center"/>
          </w:tcPr>
          <w:p w14:paraId="7009C7C6" w14:textId="77777777" w:rsidR="00044891" w:rsidRPr="00F94FEC" w:rsidRDefault="00044891" w:rsidP="00E50F47">
            <w:pPr>
              <w:spacing w:after="0"/>
              <w:rPr>
                <w:rFonts w:ascii="Arial Narrow" w:eastAsia="Times New Roman" w:hAnsi="Arial Narrow" w:cs="Calibri"/>
                <w:b/>
                <w:bCs/>
                <w:color w:val="00000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1D736" w14:textId="77777777" w:rsidR="00044891" w:rsidRPr="00BF7F05" w:rsidRDefault="00044891" w:rsidP="00E50F47">
            <w:pPr>
              <w:spacing w:after="0"/>
              <w:rPr>
                <w:rFonts w:ascii="Arial Narrow" w:eastAsia="Times New Roman" w:hAnsi="Arial Narrow" w:cs="Calibri"/>
                <w:b/>
                <w:bCs/>
                <w:color w:val="000000"/>
                <w:szCs w:val="20"/>
              </w:rPr>
            </w:pPr>
            <w:r w:rsidRPr="00BF7F05">
              <w:rPr>
                <w:rFonts w:ascii="Arial Narrow" w:hAnsi="Arial Narrow" w:cs="Calibri"/>
                <w:b/>
                <w:bCs/>
                <w:color w:val="000000"/>
                <w:szCs w:val="20"/>
              </w:rPr>
              <w:t>TOTAL</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72EA1C30" w14:textId="77777777" w:rsidR="00044891" w:rsidRPr="00BF7F05" w:rsidRDefault="00044891" w:rsidP="00E50F47">
            <w:pPr>
              <w:spacing w:after="0"/>
              <w:jc w:val="center"/>
              <w:rPr>
                <w:rFonts w:ascii="Arial Narrow" w:eastAsia="Times New Roman" w:hAnsi="Arial Narrow" w:cs="Calibri"/>
                <w:b/>
                <w:color w:val="000000"/>
                <w:szCs w:val="20"/>
              </w:rPr>
            </w:pPr>
            <w:r w:rsidRPr="00BF7F05">
              <w:rPr>
                <w:rFonts w:ascii="Arial Narrow" w:eastAsia="Times New Roman" w:hAnsi="Arial Narrow" w:cs="Calibri"/>
                <w:b/>
                <w:color w:val="000000"/>
                <w:szCs w:val="20"/>
              </w:rPr>
              <w:t>2239</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1A485B05" w14:textId="77777777" w:rsidR="00044891" w:rsidRPr="00BF7F05" w:rsidRDefault="00044891" w:rsidP="00E50F47">
            <w:pPr>
              <w:spacing w:after="0"/>
              <w:jc w:val="center"/>
              <w:rPr>
                <w:rFonts w:ascii="Arial Narrow" w:eastAsia="Times New Roman" w:hAnsi="Arial Narrow" w:cs="Calibri"/>
                <w:b/>
                <w:color w:val="000000"/>
                <w:szCs w:val="20"/>
              </w:rPr>
            </w:pPr>
            <w:r w:rsidRPr="00BF7F05">
              <w:rPr>
                <w:rFonts w:ascii="Arial Narrow" w:eastAsia="Times New Roman" w:hAnsi="Arial Narrow" w:cs="Calibri"/>
                <w:b/>
                <w:color w:val="000000"/>
                <w:szCs w:val="20"/>
              </w:rPr>
              <w:t>1944</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64D892C6" w14:textId="77777777" w:rsidR="00044891" w:rsidRPr="00BF7F05" w:rsidRDefault="00044891" w:rsidP="00E50F47">
            <w:pPr>
              <w:spacing w:after="0"/>
              <w:jc w:val="center"/>
              <w:rPr>
                <w:rFonts w:ascii="Arial Narrow" w:eastAsia="Times New Roman" w:hAnsi="Arial Narrow" w:cs="Calibri"/>
                <w:b/>
                <w:color w:val="000000"/>
                <w:szCs w:val="20"/>
              </w:rPr>
            </w:pPr>
            <w:r w:rsidRPr="00BF7F05">
              <w:rPr>
                <w:rFonts w:ascii="Arial Narrow" w:eastAsia="Times New Roman" w:hAnsi="Arial Narrow" w:cs="Calibri"/>
                <w:b/>
                <w:color w:val="000000"/>
                <w:szCs w:val="20"/>
              </w:rPr>
              <w:t>2046</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6383AC77" w14:textId="77777777" w:rsidR="00044891" w:rsidRPr="00BF7F05" w:rsidRDefault="00044891" w:rsidP="00E50F47">
            <w:pPr>
              <w:spacing w:after="0"/>
              <w:jc w:val="center"/>
              <w:rPr>
                <w:rFonts w:ascii="Arial Narrow" w:eastAsia="Times New Roman" w:hAnsi="Arial Narrow" w:cs="Calibri"/>
                <w:b/>
                <w:color w:val="000000"/>
                <w:szCs w:val="20"/>
              </w:rPr>
            </w:pPr>
            <w:r w:rsidRPr="00BF7F05">
              <w:rPr>
                <w:rFonts w:ascii="Arial Narrow" w:eastAsia="Times New Roman" w:hAnsi="Arial Narrow" w:cs="Calibri"/>
                <w:b/>
                <w:color w:val="000000"/>
                <w:szCs w:val="20"/>
              </w:rPr>
              <w:t>2006</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4D7C38B5" w14:textId="77777777" w:rsidR="00044891" w:rsidRPr="00BF7F05" w:rsidRDefault="00044891" w:rsidP="00E50F47">
            <w:pPr>
              <w:spacing w:after="0"/>
              <w:rPr>
                <w:rFonts w:ascii="Arial Narrow" w:eastAsia="Times New Roman" w:hAnsi="Arial Narrow" w:cs="Calibri"/>
                <w:b/>
                <w:color w:val="000000"/>
                <w:szCs w:val="20"/>
              </w:rPr>
            </w:pPr>
            <w:r w:rsidRPr="00BF7F05">
              <w:rPr>
                <w:rFonts w:ascii="Arial Narrow" w:eastAsia="Times New Roman" w:hAnsi="Arial Narrow" w:cs="Calibri"/>
                <w:b/>
                <w:color w:val="000000"/>
                <w:szCs w:val="20"/>
              </w:rPr>
              <w:t xml:space="preserve">2,005 </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31984BAD" w14:textId="77777777" w:rsidR="00044891" w:rsidRPr="00BF7F05" w:rsidRDefault="00044891" w:rsidP="00E50F47">
            <w:pPr>
              <w:spacing w:after="0"/>
              <w:jc w:val="center"/>
              <w:rPr>
                <w:rFonts w:ascii="Arial Narrow" w:eastAsia="Times New Roman" w:hAnsi="Arial Narrow" w:cs="Calibri"/>
                <w:b/>
                <w:color w:val="000000"/>
                <w:szCs w:val="20"/>
              </w:rPr>
            </w:pPr>
            <w:r w:rsidRPr="00BF7F05">
              <w:rPr>
                <w:rFonts w:ascii="Arial Narrow" w:eastAsia="Times New Roman" w:hAnsi="Arial Narrow" w:cs="Calibri"/>
                <w:b/>
                <w:color w:val="000000"/>
                <w:szCs w:val="20"/>
              </w:rPr>
              <w:t xml:space="preserve">1,962 </w:t>
            </w:r>
          </w:p>
        </w:tc>
      </w:tr>
    </w:tbl>
    <w:p w14:paraId="0B5727DC" w14:textId="77777777" w:rsidR="00044891" w:rsidRPr="00082192" w:rsidRDefault="00044891" w:rsidP="00543F08">
      <w:pPr>
        <w:keepNext/>
        <w:keepLines/>
        <w:contextualSpacing/>
        <w:rPr>
          <w:rFonts w:ascii="Arial Narrow" w:hAnsi="Arial Narrow"/>
          <w:sz w:val="17"/>
          <w:szCs w:val="17"/>
        </w:rPr>
      </w:pPr>
      <w:r w:rsidRPr="00082192">
        <w:rPr>
          <w:rFonts w:ascii="Arial Narrow" w:hAnsi="Arial Narrow"/>
          <w:sz w:val="17"/>
          <w:szCs w:val="17"/>
        </w:rPr>
        <w:t>MBS, Medicare Benefits Schedule; TV, transvenous; TV-ICD, transvenous implantable cardioverter defibrillator</w:t>
      </w:r>
    </w:p>
    <w:p w14:paraId="29A0D38D" w14:textId="77777777" w:rsidR="00044891" w:rsidRPr="00082192" w:rsidRDefault="00044891" w:rsidP="00543F08">
      <w:pPr>
        <w:keepLines/>
        <w:contextualSpacing/>
        <w:rPr>
          <w:rFonts w:ascii="Arial Narrow" w:hAnsi="Arial Narrow"/>
          <w:sz w:val="17"/>
          <w:szCs w:val="17"/>
        </w:rPr>
      </w:pPr>
      <w:r w:rsidRPr="00082192">
        <w:rPr>
          <w:rFonts w:ascii="Arial Narrow" w:hAnsi="Arial Narrow"/>
          <w:sz w:val="17"/>
          <w:szCs w:val="17"/>
        </w:rPr>
        <w:t xml:space="preserve">Source: </w:t>
      </w:r>
      <w:hyperlink r:id="rId29" w:history="1">
        <w:r w:rsidRPr="00082192">
          <w:rPr>
            <w:rStyle w:val="Hyperlink"/>
            <w:rFonts w:ascii="Arial Narrow" w:hAnsi="Arial Narrow"/>
            <w:sz w:val="17"/>
            <w:szCs w:val="17"/>
          </w:rPr>
          <w:t>http://medicarestatistics.humanservices.gov.au/statistics/mbs_item.jsp</w:t>
        </w:r>
      </w:hyperlink>
      <w:r w:rsidRPr="00082192">
        <w:rPr>
          <w:rFonts w:ascii="Arial Narrow" w:hAnsi="Arial Narrow"/>
          <w:sz w:val="17"/>
          <w:szCs w:val="17"/>
        </w:rPr>
        <w:t xml:space="preserve"> (accessed 7th March 2022)</w:t>
      </w:r>
    </w:p>
    <w:p w14:paraId="19E09DA5" w14:textId="77777777" w:rsidR="00044891" w:rsidRPr="00F7241A" w:rsidRDefault="00044891" w:rsidP="00044891">
      <w:pPr>
        <w:ind w:left="426"/>
        <w:rPr>
          <w:szCs w:val="20"/>
        </w:rPr>
      </w:pPr>
    </w:p>
    <w:p w14:paraId="590C791D" w14:textId="639913A7" w:rsidR="00044891" w:rsidRPr="00F7241A" w:rsidRDefault="00044891" w:rsidP="00044891">
      <w:pPr>
        <w:pStyle w:val="Caption2"/>
        <w:keepNext/>
      </w:pPr>
      <w:r w:rsidRPr="00F7241A">
        <w:t xml:space="preserve">Figure </w:t>
      </w:r>
      <w:fldSimple w:instr=" SEQ Figure \* ARABIC ">
        <w:r w:rsidR="00EA1EB8">
          <w:rPr>
            <w:noProof/>
          </w:rPr>
          <w:t>1</w:t>
        </w:r>
      </w:fldSimple>
      <w:r w:rsidRPr="00F7241A">
        <w:t>. MBS service volumes for ICD generator and TV-ICD lead procedures</w:t>
      </w:r>
    </w:p>
    <w:p w14:paraId="4E8F33E3" w14:textId="77777777" w:rsidR="00044891" w:rsidRPr="00F7241A" w:rsidRDefault="00044891" w:rsidP="00044891">
      <w:pPr>
        <w:keepNext/>
        <w:keepLines/>
        <w:rPr>
          <w:szCs w:val="20"/>
        </w:rPr>
      </w:pPr>
      <w:r>
        <w:rPr>
          <w:noProof/>
          <w:lang w:val="en-US"/>
        </w:rPr>
        <w:drawing>
          <wp:inline distT="0" distB="0" distL="0" distR="0" wp14:anchorId="54457009" wp14:editId="3AE90F27">
            <wp:extent cx="5731510" cy="2753360"/>
            <wp:effectExtent l="0" t="0" r="2540" b="8890"/>
            <wp:docPr id="4" name="Chart 4" descr="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6C669F3" w14:textId="77777777" w:rsidR="00044891" w:rsidRPr="00082192" w:rsidRDefault="00044891" w:rsidP="00543F08">
      <w:pPr>
        <w:keepNext/>
        <w:keepLines/>
        <w:contextualSpacing/>
        <w:rPr>
          <w:rFonts w:ascii="Arial Narrow" w:hAnsi="Arial Narrow"/>
          <w:sz w:val="17"/>
          <w:szCs w:val="17"/>
        </w:rPr>
      </w:pPr>
      <w:r w:rsidRPr="00082192">
        <w:rPr>
          <w:rFonts w:ascii="Arial Narrow" w:hAnsi="Arial Narrow"/>
          <w:sz w:val="17"/>
          <w:szCs w:val="17"/>
        </w:rPr>
        <w:t>ICD, implantable cardioverter defibrillator; MBS, Medicare Benefits Schedule; TV-ICD, transvenous implantable cardioverter defibrillator</w:t>
      </w:r>
    </w:p>
    <w:p w14:paraId="64DB6AFD" w14:textId="77777777" w:rsidR="00044891" w:rsidRPr="00082192" w:rsidRDefault="00044891" w:rsidP="00543F08">
      <w:pPr>
        <w:keepLines/>
        <w:contextualSpacing/>
        <w:rPr>
          <w:rFonts w:ascii="Arial Narrow" w:hAnsi="Arial Narrow"/>
          <w:sz w:val="17"/>
          <w:szCs w:val="17"/>
        </w:rPr>
      </w:pPr>
      <w:r w:rsidRPr="00082192">
        <w:rPr>
          <w:rFonts w:ascii="Arial Narrow" w:hAnsi="Arial Narrow"/>
          <w:sz w:val="17"/>
          <w:szCs w:val="17"/>
        </w:rPr>
        <w:t xml:space="preserve">Source: </w:t>
      </w:r>
      <w:hyperlink r:id="rId31" w:history="1">
        <w:r w:rsidRPr="00082192">
          <w:rPr>
            <w:rStyle w:val="Hyperlink"/>
            <w:rFonts w:ascii="Arial Narrow" w:hAnsi="Arial Narrow"/>
            <w:sz w:val="17"/>
            <w:szCs w:val="17"/>
          </w:rPr>
          <w:t>http://medicarestatistics.humanservices.gov.au/statistics/mbs_item.jsp</w:t>
        </w:r>
      </w:hyperlink>
      <w:r w:rsidRPr="00082192">
        <w:rPr>
          <w:rFonts w:ascii="Arial Narrow" w:hAnsi="Arial Narrow"/>
          <w:sz w:val="17"/>
          <w:szCs w:val="17"/>
        </w:rPr>
        <w:t xml:space="preserve"> (accessed 7th March 2022)</w:t>
      </w:r>
    </w:p>
    <w:p w14:paraId="50A45256" w14:textId="77777777" w:rsidR="00044891" w:rsidRDefault="00044891" w:rsidP="00044891">
      <w:pPr>
        <w:keepLines/>
        <w:ind w:left="425"/>
        <w:contextualSpacing/>
        <w:rPr>
          <w:rFonts w:ascii="Arial Narrow" w:hAnsi="Arial Narrow"/>
          <w:sz w:val="18"/>
          <w:szCs w:val="18"/>
        </w:rPr>
      </w:pPr>
    </w:p>
    <w:p w14:paraId="4AF792B2" w14:textId="000EEA2D" w:rsidR="00044891" w:rsidRPr="00044891" w:rsidRDefault="00044891" w:rsidP="00044891">
      <w:pPr>
        <w:pStyle w:val="Caption2"/>
        <w:keepNext/>
      </w:pPr>
      <w:r w:rsidRPr="00044891">
        <w:lastRenderedPageBreak/>
        <w:t xml:space="preserve">Figure </w:t>
      </w:r>
      <w:fldSimple w:instr=" SEQ Figure \* ARABIC ">
        <w:r w:rsidR="00EA1EB8">
          <w:rPr>
            <w:noProof/>
          </w:rPr>
          <w:t>2</w:t>
        </w:r>
      </w:fldSimple>
      <w:r w:rsidRPr="00044891">
        <w:t>. MBS service volumes for ICD generator and TV-ICD lead procedures since 2016 with downward linear trendline</w:t>
      </w:r>
    </w:p>
    <w:p w14:paraId="16C38E42" w14:textId="77777777" w:rsidR="00044891" w:rsidRDefault="00044891" w:rsidP="00044891">
      <w:r>
        <w:rPr>
          <w:noProof/>
          <w:lang w:val="en-US"/>
        </w:rPr>
        <w:drawing>
          <wp:inline distT="0" distB="0" distL="0" distR="0" wp14:anchorId="0B39AEE1" wp14:editId="385F3A64">
            <wp:extent cx="5143500" cy="3228975"/>
            <wp:effectExtent l="0" t="0" r="0" b="9525"/>
            <wp:docPr id="8" name="Chart 8" descr="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7353A6A" w14:textId="77777777" w:rsidR="00044891" w:rsidRPr="00F7241A" w:rsidRDefault="00044891" w:rsidP="00044891">
      <w:pPr>
        <w:keepNext/>
        <w:keepLines/>
        <w:ind w:left="425"/>
        <w:contextualSpacing/>
        <w:rPr>
          <w:rFonts w:ascii="Arial Narrow" w:hAnsi="Arial Narrow"/>
          <w:sz w:val="18"/>
          <w:szCs w:val="18"/>
        </w:rPr>
      </w:pPr>
      <w:r>
        <w:rPr>
          <w:rFonts w:ascii="Arial Narrow" w:hAnsi="Arial Narrow"/>
          <w:sz w:val="18"/>
          <w:szCs w:val="18"/>
        </w:rPr>
        <w:t xml:space="preserve">ICD, </w:t>
      </w:r>
      <w:r w:rsidRPr="00D2134C">
        <w:rPr>
          <w:rFonts w:ascii="Arial Narrow" w:hAnsi="Arial Narrow"/>
          <w:sz w:val="18"/>
          <w:szCs w:val="18"/>
        </w:rPr>
        <w:t xml:space="preserve">implantable cardioverter defibrillator; </w:t>
      </w:r>
      <w:r>
        <w:rPr>
          <w:rFonts w:ascii="Arial Narrow" w:hAnsi="Arial Narrow"/>
          <w:sz w:val="18"/>
          <w:szCs w:val="18"/>
        </w:rPr>
        <w:t>MBS, Medicare Benefits Schedule; TV-ICD, transvenous</w:t>
      </w:r>
      <w:r w:rsidRPr="00D2134C">
        <w:rPr>
          <w:rFonts w:ascii="Arial Narrow" w:hAnsi="Arial Narrow"/>
          <w:sz w:val="18"/>
          <w:szCs w:val="18"/>
        </w:rPr>
        <w:t xml:space="preserve"> implanta</w:t>
      </w:r>
      <w:r>
        <w:rPr>
          <w:rFonts w:ascii="Arial Narrow" w:hAnsi="Arial Narrow"/>
          <w:sz w:val="18"/>
          <w:szCs w:val="18"/>
        </w:rPr>
        <w:t>ble cardioverter defibrillator</w:t>
      </w:r>
    </w:p>
    <w:p w14:paraId="000ED671" w14:textId="77777777" w:rsidR="00044891" w:rsidRDefault="00044891" w:rsidP="00044891">
      <w:pPr>
        <w:keepLines/>
        <w:ind w:left="425"/>
        <w:contextualSpacing/>
        <w:rPr>
          <w:rFonts w:ascii="Arial Narrow" w:hAnsi="Arial Narrow"/>
          <w:sz w:val="18"/>
          <w:szCs w:val="18"/>
        </w:rPr>
      </w:pPr>
      <w:r w:rsidRPr="00F7241A">
        <w:rPr>
          <w:rFonts w:ascii="Arial Narrow" w:hAnsi="Arial Narrow"/>
          <w:sz w:val="18"/>
          <w:szCs w:val="18"/>
        </w:rPr>
        <w:t xml:space="preserve">Source: </w:t>
      </w:r>
      <w:hyperlink r:id="rId33" w:history="1">
        <w:r w:rsidRPr="00F7241A">
          <w:rPr>
            <w:rStyle w:val="Hyperlink"/>
            <w:rFonts w:ascii="Arial Narrow" w:hAnsi="Arial Narrow"/>
            <w:sz w:val="18"/>
            <w:szCs w:val="18"/>
          </w:rPr>
          <w:t>http://medicarestatistics.humanservices.gov.au/statistics/mbs_item.jsp</w:t>
        </w:r>
      </w:hyperlink>
      <w:r>
        <w:rPr>
          <w:rFonts w:ascii="Arial Narrow" w:hAnsi="Arial Narrow"/>
          <w:sz w:val="18"/>
          <w:szCs w:val="18"/>
        </w:rPr>
        <w:t xml:space="preserve"> (accessed 7th March 2022</w:t>
      </w:r>
      <w:r w:rsidRPr="00F7241A">
        <w:rPr>
          <w:rFonts w:ascii="Arial Narrow" w:hAnsi="Arial Narrow"/>
          <w:sz w:val="18"/>
          <w:szCs w:val="18"/>
        </w:rPr>
        <w:t>)</w:t>
      </w:r>
    </w:p>
    <w:p w14:paraId="7F9C7EF2" w14:textId="77777777" w:rsidR="00382407" w:rsidRPr="00EA0624" w:rsidRDefault="00382407" w:rsidP="00530204">
      <w:pPr>
        <w:pStyle w:val="Heading2"/>
      </w:pPr>
      <w:r w:rsidRPr="00EA0624">
        <w:t>Estimate the number of times the proposed medical service</w:t>
      </w:r>
      <w:r w:rsidR="005A58BA" w:rsidRPr="00EA0624">
        <w:t>(s)</w:t>
      </w:r>
      <w:r w:rsidRPr="00EA0624">
        <w:t xml:space="preserve"> would be </w:t>
      </w:r>
      <w:r w:rsidR="00AE1188" w:rsidRPr="00EA0624">
        <w:t>delivered to a patient per year:</w:t>
      </w:r>
    </w:p>
    <w:p w14:paraId="31BEFA88" w14:textId="3884340B" w:rsidR="00333E49" w:rsidRPr="00EA0624" w:rsidRDefault="00333E49" w:rsidP="00333E49">
      <w:pPr>
        <w:ind w:left="426"/>
        <w:rPr>
          <w:szCs w:val="20"/>
        </w:rPr>
      </w:pPr>
      <w:r w:rsidRPr="00EA0624">
        <w:rPr>
          <w:szCs w:val="20"/>
        </w:rPr>
        <w:t>As this intervention is usually performed late in life</w:t>
      </w:r>
      <w:r w:rsidR="000F7EEB">
        <w:rPr>
          <w:szCs w:val="20"/>
        </w:rPr>
        <w:t xml:space="preserve"> (mean age 69 years for TV</w:t>
      </w:r>
      <w:r w:rsidR="004F2CEB">
        <w:rPr>
          <w:szCs w:val="20"/>
        </w:rPr>
        <w:t>-</w:t>
      </w:r>
      <w:r w:rsidR="000F7EEB">
        <w:rPr>
          <w:szCs w:val="20"/>
        </w:rPr>
        <w:t>ICD lead procedures as stated for Q46 above)</w:t>
      </w:r>
      <w:r w:rsidRPr="00EA0624">
        <w:rPr>
          <w:szCs w:val="20"/>
        </w:rPr>
        <w:t>, it is anticipated that the service would only be delivered once per patient</w:t>
      </w:r>
      <w:r w:rsidR="006A23A5">
        <w:rPr>
          <w:szCs w:val="20"/>
        </w:rPr>
        <w:t xml:space="preserve"> in their lifetime</w:t>
      </w:r>
      <w:r w:rsidRPr="00EA0624">
        <w:rPr>
          <w:szCs w:val="20"/>
        </w:rPr>
        <w:t>.</w:t>
      </w:r>
    </w:p>
    <w:p w14:paraId="069E0D8C" w14:textId="77777777" w:rsidR="00382407" w:rsidRPr="00EA0624" w:rsidRDefault="00382407" w:rsidP="00530204">
      <w:pPr>
        <w:pStyle w:val="Heading2"/>
      </w:pPr>
      <w:r w:rsidRPr="00EA0624">
        <w:t>How many years would the proposed medical service</w:t>
      </w:r>
      <w:r w:rsidR="005A58BA" w:rsidRPr="00EA0624">
        <w:t>(s)</w:t>
      </w:r>
      <w:r w:rsidRPr="00EA0624">
        <w:t xml:space="preserve"> be required for the patient?</w:t>
      </w:r>
    </w:p>
    <w:p w14:paraId="787A7B0A" w14:textId="0CF7C47D" w:rsidR="00625B05" w:rsidRPr="00EA0624" w:rsidRDefault="00625B05" w:rsidP="00056A3E">
      <w:pPr>
        <w:ind w:left="426"/>
        <w:rPr>
          <w:b/>
          <w:szCs w:val="20"/>
        </w:rPr>
      </w:pPr>
      <w:r w:rsidRPr="00EA0624">
        <w:t>Once in a lifetime.</w:t>
      </w:r>
      <w:r w:rsidR="00056A3E">
        <w:t xml:space="preserve">  If the patient requires a new generator (in the event battery </w:t>
      </w:r>
      <w:r w:rsidR="00227363">
        <w:t>depletion</w:t>
      </w:r>
      <w:r w:rsidR="00056A3E">
        <w:t>) then the new generator can be connected to the existing EV-ICD lead.</w:t>
      </w:r>
    </w:p>
    <w:p w14:paraId="0DCF1DE8" w14:textId="77777777" w:rsidR="002A6753" w:rsidRPr="00EA0624" w:rsidRDefault="000E47E7" w:rsidP="00530204">
      <w:pPr>
        <w:pStyle w:val="Heading2"/>
        <w:rPr>
          <w:b w:val="0"/>
        </w:rPr>
      </w:pPr>
      <w:r w:rsidRPr="00EA0624">
        <w:t xml:space="preserve">Estimate </w:t>
      </w:r>
      <w:r w:rsidR="002A6753" w:rsidRPr="00EA0624">
        <w:t xml:space="preserve">the projected number of patients who will utilise the proposed </w:t>
      </w:r>
      <w:r w:rsidRPr="00EA0624">
        <w:t xml:space="preserve">medical </w:t>
      </w:r>
      <w:r w:rsidR="002A6753" w:rsidRPr="00EA0624">
        <w:t>ser</w:t>
      </w:r>
      <w:r w:rsidR="00AE1188" w:rsidRPr="00EA0624">
        <w:t>vice(s) for the first full year:</w:t>
      </w:r>
    </w:p>
    <w:p w14:paraId="6897B57A" w14:textId="693B02C7" w:rsidR="003263D5" w:rsidRPr="00EA0624" w:rsidRDefault="003263D5" w:rsidP="00543F08">
      <w:pPr>
        <w:pStyle w:val="Default"/>
        <w:spacing w:before="120" w:after="120"/>
        <w:ind w:left="357"/>
        <w:rPr>
          <w:sz w:val="20"/>
          <w:szCs w:val="20"/>
        </w:rPr>
      </w:pPr>
      <w:r w:rsidRPr="00D34086">
        <w:rPr>
          <w:sz w:val="20"/>
          <w:szCs w:val="20"/>
        </w:rPr>
        <w:t xml:space="preserve">A market-share approach was used to derive the number of patients who will </w:t>
      </w:r>
      <w:proofErr w:type="spellStart"/>
      <w:r w:rsidRPr="00D34086">
        <w:rPr>
          <w:sz w:val="20"/>
          <w:szCs w:val="20"/>
        </w:rPr>
        <w:t>utilise</w:t>
      </w:r>
      <w:proofErr w:type="spellEnd"/>
      <w:r w:rsidRPr="00D34086">
        <w:rPr>
          <w:sz w:val="20"/>
          <w:szCs w:val="20"/>
        </w:rPr>
        <w:t xml:space="preserve"> EV-ICD generator and lead services </w:t>
      </w:r>
      <w:r w:rsidR="00532A44" w:rsidRPr="00D34086">
        <w:rPr>
          <w:sz w:val="20"/>
          <w:szCs w:val="20"/>
        </w:rPr>
        <w:t xml:space="preserve">based on the historical MBS use of TV-ICD </w:t>
      </w:r>
      <w:r w:rsidR="00795C0B" w:rsidRPr="00D34086">
        <w:rPr>
          <w:sz w:val="20"/>
          <w:szCs w:val="20"/>
        </w:rPr>
        <w:t>generator (MBS item 38387</w:t>
      </w:r>
      <w:r w:rsidR="00D34086" w:rsidRPr="00D34086">
        <w:rPr>
          <w:sz w:val="20"/>
          <w:szCs w:val="20"/>
        </w:rPr>
        <w:t xml:space="preserve">, </w:t>
      </w:r>
      <w:r w:rsidR="00795C0B" w:rsidRPr="00D34086">
        <w:rPr>
          <w:sz w:val="20"/>
          <w:szCs w:val="20"/>
        </w:rPr>
        <w:t>38393</w:t>
      </w:r>
      <w:r w:rsidR="00D34086" w:rsidRPr="00D34086">
        <w:rPr>
          <w:sz w:val="20"/>
          <w:szCs w:val="20"/>
        </w:rPr>
        <w:t xml:space="preserve"> and 38472</w:t>
      </w:r>
      <w:r w:rsidR="00795C0B" w:rsidRPr="00D34086">
        <w:rPr>
          <w:sz w:val="20"/>
          <w:szCs w:val="20"/>
        </w:rPr>
        <w:t xml:space="preserve">) and lead </w:t>
      </w:r>
      <w:r w:rsidR="00532A44" w:rsidRPr="00D34086">
        <w:rPr>
          <w:sz w:val="20"/>
          <w:szCs w:val="20"/>
        </w:rPr>
        <w:t>insertion services (MBS items 38384</w:t>
      </w:r>
      <w:r w:rsidR="00D34086" w:rsidRPr="00D34086">
        <w:rPr>
          <w:sz w:val="20"/>
          <w:szCs w:val="20"/>
        </w:rPr>
        <w:t xml:space="preserve">, </w:t>
      </w:r>
      <w:r w:rsidR="00532A44" w:rsidRPr="00D34086">
        <w:rPr>
          <w:sz w:val="20"/>
          <w:szCs w:val="20"/>
        </w:rPr>
        <w:t>38390</w:t>
      </w:r>
      <w:r w:rsidR="00D34086" w:rsidRPr="00D34086">
        <w:rPr>
          <w:sz w:val="20"/>
          <w:szCs w:val="20"/>
        </w:rPr>
        <w:t xml:space="preserve"> and 38471</w:t>
      </w:r>
      <w:r w:rsidR="00532A44" w:rsidRPr="00D34086">
        <w:rPr>
          <w:sz w:val="20"/>
          <w:szCs w:val="20"/>
        </w:rPr>
        <w:t xml:space="preserve">).  </w:t>
      </w:r>
      <w:r w:rsidR="00D34086" w:rsidRPr="00D34086">
        <w:rPr>
          <w:sz w:val="20"/>
          <w:szCs w:val="20"/>
        </w:rPr>
        <w:t>In 2021</w:t>
      </w:r>
      <w:r w:rsidR="00795C0B" w:rsidRPr="00D34086">
        <w:rPr>
          <w:sz w:val="20"/>
          <w:szCs w:val="20"/>
        </w:rPr>
        <w:t xml:space="preserve">, </w:t>
      </w:r>
      <w:r w:rsidR="00AD15F5" w:rsidRPr="00D34086">
        <w:rPr>
          <w:sz w:val="20"/>
          <w:szCs w:val="20"/>
        </w:rPr>
        <w:t xml:space="preserve">there were </w:t>
      </w:r>
      <w:r w:rsidR="00D34086" w:rsidRPr="00D34086">
        <w:rPr>
          <w:sz w:val="20"/>
          <w:szCs w:val="20"/>
        </w:rPr>
        <w:t>1,828</w:t>
      </w:r>
      <w:r w:rsidR="00795C0B" w:rsidRPr="00D34086">
        <w:rPr>
          <w:sz w:val="20"/>
          <w:szCs w:val="20"/>
        </w:rPr>
        <w:t xml:space="preserve"> </w:t>
      </w:r>
      <w:r w:rsidR="00AD15F5" w:rsidRPr="00D34086">
        <w:rPr>
          <w:sz w:val="20"/>
          <w:szCs w:val="20"/>
        </w:rPr>
        <w:t>a</w:t>
      </w:r>
      <w:r w:rsidR="00D34086" w:rsidRPr="00D34086">
        <w:rPr>
          <w:sz w:val="20"/>
          <w:szCs w:val="20"/>
        </w:rPr>
        <w:t>nd 1,962</w:t>
      </w:r>
      <w:r w:rsidR="00AD15F5" w:rsidRPr="00D34086">
        <w:rPr>
          <w:sz w:val="20"/>
          <w:szCs w:val="20"/>
        </w:rPr>
        <w:t xml:space="preserve"> </w:t>
      </w:r>
      <w:r w:rsidR="00795C0B" w:rsidRPr="00D34086">
        <w:rPr>
          <w:sz w:val="20"/>
          <w:szCs w:val="20"/>
        </w:rPr>
        <w:t xml:space="preserve">TV-ICD generator </w:t>
      </w:r>
      <w:r w:rsidR="00AD15F5" w:rsidRPr="00D34086">
        <w:rPr>
          <w:sz w:val="20"/>
          <w:szCs w:val="20"/>
        </w:rPr>
        <w:t xml:space="preserve">and lead </w:t>
      </w:r>
      <w:r w:rsidR="00795C0B" w:rsidRPr="00D34086">
        <w:rPr>
          <w:sz w:val="20"/>
          <w:szCs w:val="20"/>
        </w:rPr>
        <w:t>procedures</w:t>
      </w:r>
      <w:r w:rsidR="00AD15F5" w:rsidRPr="00D34086">
        <w:rPr>
          <w:sz w:val="20"/>
          <w:szCs w:val="20"/>
        </w:rPr>
        <w:t xml:space="preserve"> respectively.</w:t>
      </w:r>
      <w:r w:rsidR="00AD15F5" w:rsidRPr="00EA0624">
        <w:rPr>
          <w:sz w:val="20"/>
          <w:szCs w:val="20"/>
        </w:rPr>
        <w:t xml:space="preserve"> </w:t>
      </w:r>
    </w:p>
    <w:p w14:paraId="415FD438" w14:textId="424B2086" w:rsidR="007D744E" w:rsidRPr="00EA0624" w:rsidRDefault="00795C0B" w:rsidP="00543F08">
      <w:pPr>
        <w:pStyle w:val="Default"/>
        <w:spacing w:before="120" w:after="120"/>
        <w:ind w:left="357"/>
        <w:rPr>
          <w:sz w:val="20"/>
          <w:szCs w:val="20"/>
        </w:rPr>
      </w:pPr>
      <w:r w:rsidRPr="00EA0624">
        <w:rPr>
          <w:sz w:val="20"/>
          <w:szCs w:val="20"/>
        </w:rPr>
        <w:t xml:space="preserve">The sponsor expects that EV-ICD use is </w:t>
      </w:r>
      <w:r w:rsidR="003263D5" w:rsidRPr="00EA0624">
        <w:rPr>
          <w:sz w:val="20"/>
          <w:szCs w:val="20"/>
        </w:rPr>
        <w:t xml:space="preserve">expected to grow the </w:t>
      </w:r>
      <w:r w:rsidRPr="00EA0624">
        <w:rPr>
          <w:sz w:val="20"/>
          <w:szCs w:val="20"/>
        </w:rPr>
        <w:t xml:space="preserve">ICD </w:t>
      </w:r>
      <w:r w:rsidR="003263D5" w:rsidRPr="00090A42">
        <w:rPr>
          <w:sz w:val="20"/>
          <w:szCs w:val="20"/>
        </w:rPr>
        <w:t xml:space="preserve">market </w:t>
      </w:r>
      <w:r w:rsidR="007D744E" w:rsidRPr="00090A42">
        <w:rPr>
          <w:sz w:val="20"/>
          <w:szCs w:val="20"/>
        </w:rPr>
        <w:t xml:space="preserve">by </w:t>
      </w:r>
      <w:r w:rsidR="00090A42" w:rsidRPr="00090A42">
        <w:rPr>
          <w:b/>
          <w:bCs/>
          <w:sz w:val="20"/>
          <w:szCs w:val="20"/>
        </w:rPr>
        <w:t>REDACTED</w:t>
      </w:r>
      <w:r w:rsidR="007D744E" w:rsidRPr="00090A42">
        <w:rPr>
          <w:sz w:val="20"/>
          <w:szCs w:val="20"/>
        </w:rPr>
        <w:t xml:space="preserve"> </w:t>
      </w:r>
      <w:r w:rsidR="003263D5" w:rsidRPr="00090A42">
        <w:rPr>
          <w:sz w:val="20"/>
          <w:szCs w:val="20"/>
        </w:rPr>
        <w:t>since</w:t>
      </w:r>
      <w:r w:rsidR="003263D5" w:rsidRPr="00EA0624">
        <w:rPr>
          <w:sz w:val="20"/>
          <w:szCs w:val="20"/>
        </w:rPr>
        <w:t xml:space="preserve"> </w:t>
      </w:r>
      <w:r w:rsidR="007D744E" w:rsidRPr="00EA0624">
        <w:rPr>
          <w:sz w:val="20"/>
          <w:szCs w:val="20"/>
        </w:rPr>
        <w:t>there is currently a pool of patients who are unsuitable for TV-ICD (e.g., due to structural abnormalities or difficult venous anatomy) or who are reluctant to attempt (or re-attempt) ICD therapy with a transvenous system (e.g., patients who are younger or have comorbidities or who have undergone previous ICD explant).</w:t>
      </w:r>
    </w:p>
    <w:p w14:paraId="145D3FA3" w14:textId="66B2C2E7" w:rsidR="003263D5" w:rsidRPr="00EA0624" w:rsidRDefault="007D744E" w:rsidP="00543F08">
      <w:pPr>
        <w:pStyle w:val="Default"/>
        <w:spacing w:before="120" w:after="120"/>
        <w:ind w:left="357"/>
        <w:rPr>
          <w:sz w:val="20"/>
          <w:szCs w:val="20"/>
        </w:rPr>
      </w:pPr>
      <w:r w:rsidRPr="00EA0624">
        <w:rPr>
          <w:sz w:val="20"/>
          <w:szCs w:val="20"/>
        </w:rPr>
        <w:t xml:space="preserve">Assuming an uptake of </w:t>
      </w:r>
      <w:r w:rsidR="00795C0B" w:rsidRPr="00EA0624">
        <w:rPr>
          <w:sz w:val="20"/>
          <w:szCs w:val="20"/>
        </w:rPr>
        <w:t xml:space="preserve">EV-ICD to start </w:t>
      </w:r>
      <w:r w:rsidR="00795C0B" w:rsidRPr="00885218">
        <w:rPr>
          <w:sz w:val="20"/>
          <w:szCs w:val="20"/>
        </w:rPr>
        <w:t xml:space="preserve">with </w:t>
      </w:r>
      <w:r w:rsidR="00090A42" w:rsidRPr="00090A42">
        <w:rPr>
          <w:b/>
          <w:bCs/>
          <w:sz w:val="20"/>
          <w:szCs w:val="20"/>
        </w:rPr>
        <w:t>REDACTED</w:t>
      </w:r>
      <w:r w:rsidR="003263D5" w:rsidRPr="00EA0624">
        <w:rPr>
          <w:sz w:val="20"/>
          <w:szCs w:val="20"/>
        </w:rPr>
        <w:t xml:space="preserve"> of the existing TV-ICD market in Year 1</w:t>
      </w:r>
      <w:r w:rsidRPr="00EA0624">
        <w:rPr>
          <w:sz w:val="20"/>
          <w:szCs w:val="20"/>
        </w:rPr>
        <w:t>, i</w:t>
      </w:r>
      <w:r w:rsidR="003263D5" w:rsidRPr="00EA0624">
        <w:rPr>
          <w:sz w:val="20"/>
          <w:szCs w:val="20"/>
        </w:rPr>
        <w:t xml:space="preserve">t is estimated that </w:t>
      </w:r>
      <w:r w:rsidR="004D2DB4">
        <w:rPr>
          <w:sz w:val="20"/>
          <w:szCs w:val="20"/>
        </w:rPr>
        <w:t xml:space="preserve">394 </w:t>
      </w:r>
      <w:r w:rsidR="003263D5" w:rsidRPr="00EA0624">
        <w:rPr>
          <w:sz w:val="20"/>
          <w:szCs w:val="20"/>
        </w:rPr>
        <w:t xml:space="preserve">patients </w:t>
      </w:r>
      <w:r w:rsidR="00795C0B" w:rsidRPr="00EA0624">
        <w:rPr>
          <w:sz w:val="20"/>
          <w:szCs w:val="20"/>
        </w:rPr>
        <w:t xml:space="preserve">would </w:t>
      </w:r>
      <w:proofErr w:type="spellStart"/>
      <w:r w:rsidR="00795C0B" w:rsidRPr="00EA0624">
        <w:rPr>
          <w:sz w:val="20"/>
          <w:szCs w:val="20"/>
        </w:rPr>
        <w:t>utilise</w:t>
      </w:r>
      <w:proofErr w:type="spellEnd"/>
      <w:r w:rsidR="00795C0B" w:rsidRPr="00EA0624">
        <w:rPr>
          <w:sz w:val="20"/>
          <w:szCs w:val="20"/>
        </w:rPr>
        <w:t xml:space="preserve"> the </w:t>
      </w:r>
      <w:r w:rsidR="003263D5" w:rsidRPr="00EA0624">
        <w:rPr>
          <w:sz w:val="20"/>
          <w:szCs w:val="20"/>
        </w:rPr>
        <w:t xml:space="preserve">proposed </w:t>
      </w:r>
      <w:r w:rsidR="00795C0B" w:rsidRPr="00EA0624">
        <w:rPr>
          <w:sz w:val="20"/>
          <w:szCs w:val="20"/>
        </w:rPr>
        <w:t xml:space="preserve">EV-ICD lead </w:t>
      </w:r>
      <w:r w:rsidRPr="00EA0624">
        <w:rPr>
          <w:sz w:val="20"/>
          <w:szCs w:val="20"/>
        </w:rPr>
        <w:t>service in 2023</w:t>
      </w:r>
      <w:r w:rsidR="00604C88">
        <w:rPr>
          <w:sz w:val="20"/>
          <w:szCs w:val="20"/>
        </w:rPr>
        <w:t xml:space="preserve"> (Table 2)</w:t>
      </w:r>
      <w:r w:rsidR="003263D5" w:rsidRPr="00EA0624">
        <w:rPr>
          <w:sz w:val="20"/>
          <w:szCs w:val="20"/>
        </w:rPr>
        <w:t xml:space="preserve">.  </w:t>
      </w:r>
    </w:p>
    <w:p w14:paraId="585F1B24" w14:textId="77777777" w:rsidR="003263D5" w:rsidRPr="00EA0624" w:rsidRDefault="003263D5" w:rsidP="00625B05">
      <w:pPr>
        <w:pStyle w:val="Default"/>
        <w:ind w:left="360"/>
        <w:rPr>
          <w:sz w:val="20"/>
          <w:szCs w:val="20"/>
        </w:rPr>
      </w:pPr>
    </w:p>
    <w:p w14:paraId="53A1267E" w14:textId="18869FE6" w:rsidR="00444956" w:rsidRPr="00EA0624" w:rsidRDefault="004F2CEB" w:rsidP="00E50F47">
      <w:pPr>
        <w:pStyle w:val="Caption2"/>
        <w:keepNext/>
        <w:ind w:firstLine="360"/>
      </w:pPr>
      <w:r>
        <w:lastRenderedPageBreak/>
        <w:t xml:space="preserve">Table 2. </w:t>
      </w:r>
      <w:r w:rsidR="00D34086">
        <w:t>Determination of forecast service volumes for EV-ICD leads</w:t>
      </w:r>
      <w:r w:rsidR="00604C88">
        <w:t xml:space="preserve"> in Year 1 (2023)</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5386"/>
        <w:gridCol w:w="851"/>
        <w:gridCol w:w="709"/>
        <w:gridCol w:w="1134"/>
      </w:tblGrid>
      <w:tr w:rsidR="00D34086" w:rsidRPr="00EA0624" w14:paraId="736E24E0" w14:textId="77777777" w:rsidTr="00082192">
        <w:trPr>
          <w:trHeight w:val="300"/>
        </w:trPr>
        <w:tc>
          <w:tcPr>
            <w:tcW w:w="425" w:type="dxa"/>
            <w:vMerge w:val="restart"/>
            <w:shd w:val="clear" w:color="auto" w:fill="auto"/>
            <w:vAlign w:val="center"/>
          </w:tcPr>
          <w:p w14:paraId="684E979F" w14:textId="19F37569" w:rsidR="00D34086" w:rsidRPr="00EA0624" w:rsidRDefault="00D34086" w:rsidP="003263D5">
            <w:pPr>
              <w:keepNext/>
              <w:spacing w:before="0" w:after="0"/>
              <w:rPr>
                <w:rFonts w:ascii="Arial Narrow" w:eastAsia="Times New Roman" w:hAnsi="Arial Narrow" w:cs="Calibri"/>
                <w:b/>
                <w:bCs/>
                <w:color w:val="000000"/>
                <w:szCs w:val="20"/>
                <w:lang w:val="en-US"/>
              </w:rPr>
            </w:pPr>
            <w:r w:rsidRPr="00EA0624">
              <w:rPr>
                <w:rFonts w:ascii="Arial Narrow" w:eastAsia="Times New Roman" w:hAnsi="Arial Narrow" w:cs="Calibri"/>
                <w:b/>
                <w:bCs/>
                <w:color w:val="000000"/>
                <w:szCs w:val="20"/>
                <w:lang w:val="en-US"/>
              </w:rPr>
              <w:t> </w:t>
            </w:r>
          </w:p>
        </w:tc>
        <w:tc>
          <w:tcPr>
            <w:tcW w:w="5386" w:type="dxa"/>
            <w:vMerge w:val="restart"/>
            <w:shd w:val="clear" w:color="auto" w:fill="auto"/>
            <w:vAlign w:val="center"/>
          </w:tcPr>
          <w:p w14:paraId="2A1BA586" w14:textId="0DBBFAF7" w:rsidR="00D34086" w:rsidRPr="00EA0624" w:rsidRDefault="00D34086" w:rsidP="003263D5">
            <w:pPr>
              <w:keepNext/>
              <w:spacing w:before="0" w:after="0"/>
              <w:rPr>
                <w:rFonts w:ascii="Arial Narrow" w:eastAsia="Times New Roman" w:hAnsi="Arial Narrow" w:cs="Calibri"/>
                <w:b/>
                <w:bCs/>
                <w:color w:val="000000"/>
                <w:szCs w:val="20"/>
                <w:lang w:val="en-US"/>
              </w:rPr>
            </w:pPr>
            <w:r w:rsidRPr="00EA0624">
              <w:rPr>
                <w:rFonts w:ascii="Arial Narrow" w:eastAsia="Times New Roman" w:hAnsi="Arial Narrow" w:cs="Calibri"/>
                <w:b/>
                <w:bCs/>
                <w:color w:val="000000"/>
                <w:szCs w:val="20"/>
                <w:lang w:val="en-US"/>
              </w:rPr>
              <w:t> </w:t>
            </w:r>
            <w:r>
              <w:rPr>
                <w:rFonts w:ascii="Arial Narrow" w:eastAsia="Times New Roman" w:hAnsi="Arial Narrow" w:cs="Calibri"/>
                <w:b/>
                <w:bCs/>
                <w:color w:val="000000"/>
                <w:szCs w:val="20"/>
                <w:lang w:val="en-US"/>
              </w:rPr>
              <w:t xml:space="preserve">Service </w:t>
            </w:r>
            <w:proofErr w:type="spellStart"/>
            <w:r>
              <w:rPr>
                <w:rFonts w:ascii="Arial Narrow" w:eastAsia="Times New Roman" w:hAnsi="Arial Narrow" w:cs="Calibri"/>
                <w:b/>
                <w:bCs/>
                <w:color w:val="000000"/>
                <w:szCs w:val="20"/>
                <w:lang w:val="en-US"/>
              </w:rPr>
              <w:t>utilised</w:t>
            </w:r>
            <w:proofErr w:type="spellEnd"/>
            <w:r>
              <w:rPr>
                <w:rFonts w:ascii="Arial Narrow" w:eastAsia="Times New Roman" w:hAnsi="Arial Narrow" w:cs="Calibri"/>
                <w:b/>
                <w:bCs/>
                <w:color w:val="000000"/>
                <w:szCs w:val="20"/>
                <w:lang w:val="en-US"/>
              </w:rPr>
              <w:t xml:space="preserve"> (formula)</w:t>
            </w:r>
          </w:p>
        </w:tc>
        <w:tc>
          <w:tcPr>
            <w:tcW w:w="851" w:type="dxa"/>
            <w:shd w:val="clear" w:color="auto" w:fill="auto"/>
            <w:vAlign w:val="center"/>
          </w:tcPr>
          <w:p w14:paraId="01A9DBB4" w14:textId="77777777" w:rsidR="00D34086" w:rsidRPr="00EA0624" w:rsidRDefault="00D34086" w:rsidP="003263D5">
            <w:pPr>
              <w:keepNext/>
              <w:spacing w:before="0" w:after="0"/>
              <w:jc w:val="center"/>
              <w:rPr>
                <w:rFonts w:ascii="Arial Narrow" w:eastAsia="Times New Roman" w:hAnsi="Arial Narrow" w:cs="Calibri"/>
                <w:b/>
                <w:bCs/>
                <w:color w:val="000000"/>
                <w:szCs w:val="20"/>
                <w:lang w:val="en-US"/>
              </w:rPr>
            </w:pPr>
            <w:r w:rsidRPr="00EA0624">
              <w:rPr>
                <w:rFonts w:ascii="Arial Narrow" w:eastAsia="Times New Roman" w:hAnsi="Arial Narrow" w:cs="Calibri"/>
                <w:b/>
                <w:bCs/>
                <w:color w:val="000000"/>
                <w:szCs w:val="20"/>
                <w:lang w:val="en-US"/>
              </w:rPr>
              <w:t>Actual</w:t>
            </w:r>
          </w:p>
        </w:tc>
        <w:tc>
          <w:tcPr>
            <w:tcW w:w="1843" w:type="dxa"/>
            <w:gridSpan w:val="2"/>
            <w:shd w:val="clear" w:color="auto" w:fill="auto"/>
            <w:vAlign w:val="center"/>
          </w:tcPr>
          <w:p w14:paraId="6C5E2995" w14:textId="3844F9CC" w:rsidR="00D34086" w:rsidRPr="00EA0624" w:rsidRDefault="00D34086" w:rsidP="003263D5">
            <w:pPr>
              <w:keepNext/>
              <w:spacing w:before="0" w:after="0"/>
              <w:jc w:val="center"/>
              <w:rPr>
                <w:rFonts w:ascii="Arial Narrow" w:eastAsia="Times New Roman" w:hAnsi="Arial Narrow" w:cs="Calibri"/>
                <w:b/>
                <w:bCs/>
                <w:color w:val="000000"/>
                <w:szCs w:val="20"/>
                <w:lang w:val="en-US"/>
              </w:rPr>
            </w:pPr>
            <w:r w:rsidRPr="00EA0624">
              <w:rPr>
                <w:rFonts w:ascii="Arial Narrow" w:eastAsia="Times New Roman" w:hAnsi="Arial Narrow" w:cs="Calibri"/>
                <w:b/>
                <w:bCs/>
                <w:color w:val="000000"/>
                <w:szCs w:val="20"/>
                <w:lang w:val="en-US"/>
              </w:rPr>
              <w:t>Forecast</w:t>
            </w:r>
          </w:p>
        </w:tc>
      </w:tr>
      <w:tr w:rsidR="00D34086" w:rsidRPr="00EA0624" w14:paraId="67BB4262" w14:textId="77777777" w:rsidTr="00082192">
        <w:trPr>
          <w:trHeight w:val="170"/>
        </w:trPr>
        <w:tc>
          <w:tcPr>
            <w:tcW w:w="425" w:type="dxa"/>
            <w:vMerge/>
            <w:shd w:val="clear" w:color="auto" w:fill="auto"/>
            <w:vAlign w:val="center"/>
            <w:hideMark/>
          </w:tcPr>
          <w:p w14:paraId="63899265" w14:textId="76F7C2A7" w:rsidR="00D34086" w:rsidRPr="00EA0624" w:rsidRDefault="00D34086" w:rsidP="003263D5">
            <w:pPr>
              <w:keepNext/>
              <w:spacing w:before="0" w:after="0"/>
              <w:rPr>
                <w:rFonts w:ascii="Arial Narrow" w:eastAsia="Times New Roman" w:hAnsi="Arial Narrow" w:cs="Calibri"/>
                <w:b/>
                <w:bCs/>
                <w:color w:val="000000"/>
                <w:szCs w:val="20"/>
                <w:lang w:val="en-US"/>
              </w:rPr>
            </w:pPr>
          </w:p>
        </w:tc>
        <w:tc>
          <w:tcPr>
            <w:tcW w:w="5386" w:type="dxa"/>
            <w:vMerge/>
            <w:shd w:val="clear" w:color="auto" w:fill="auto"/>
            <w:vAlign w:val="center"/>
            <w:hideMark/>
          </w:tcPr>
          <w:p w14:paraId="2FC2119F" w14:textId="7B6660C9" w:rsidR="00D34086" w:rsidRPr="00EA0624" w:rsidRDefault="00D34086" w:rsidP="003263D5">
            <w:pPr>
              <w:keepNext/>
              <w:spacing w:before="0" w:after="0"/>
              <w:rPr>
                <w:rFonts w:ascii="Arial Narrow" w:eastAsia="Times New Roman" w:hAnsi="Arial Narrow" w:cs="Calibri"/>
                <w:b/>
                <w:bCs/>
                <w:color w:val="000000"/>
                <w:szCs w:val="20"/>
                <w:lang w:val="en-US"/>
              </w:rPr>
            </w:pPr>
          </w:p>
        </w:tc>
        <w:tc>
          <w:tcPr>
            <w:tcW w:w="851" w:type="dxa"/>
            <w:shd w:val="clear" w:color="auto" w:fill="auto"/>
            <w:vAlign w:val="center"/>
            <w:hideMark/>
          </w:tcPr>
          <w:p w14:paraId="432ACDF0" w14:textId="2329EB13" w:rsidR="00D34086" w:rsidRPr="00EA0624" w:rsidRDefault="00D34086" w:rsidP="003263D5">
            <w:pPr>
              <w:keepNext/>
              <w:spacing w:before="0" w:after="0"/>
              <w:jc w:val="center"/>
              <w:rPr>
                <w:rFonts w:ascii="Arial Narrow" w:eastAsia="Times New Roman" w:hAnsi="Arial Narrow" w:cs="Calibri"/>
                <w:b/>
                <w:bCs/>
                <w:color w:val="000000"/>
                <w:szCs w:val="20"/>
                <w:lang w:val="en-US"/>
              </w:rPr>
            </w:pPr>
            <w:r w:rsidRPr="00EA0624">
              <w:rPr>
                <w:rFonts w:ascii="Arial Narrow" w:eastAsia="Times New Roman" w:hAnsi="Arial Narrow" w:cs="Calibri"/>
                <w:b/>
                <w:bCs/>
                <w:color w:val="000000"/>
                <w:szCs w:val="20"/>
                <w:lang w:val="en-US"/>
              </w:rPr>
              <w:t>202</w:t>
            </w:r>
            <w:r>
              <w:rPr>
                <w:rFonts w:ascii="Arial Narrow" w:eastAsia="Times New Roman" w:hAnsi="Arial Narrow" w:cs="Calibri"/>
                <w:b/>
                <w:bCs/>
                <w:color w:val="000000"/>
                <w:szCs w:val="20"/>
                <w:lang w:val="en-US"/>
              </w:rPr>
              <w:t>1</w:t>
            </w:r>
          </w:p>
        </w:tc>
        <w:tc>
          <w:tcPr>
            <w:tcW w:w="709" w:type="dxa"/>
            <w:shd w:val="clear" w:color="auto" w:fill="auto"/>
            <w:vAlign w:val="center"/>
            <w:hideMark/>
          </w:tcPr>
          <w:p w14:paraId="0447FA45" w14:textId="77777777" w:rsidR="00D34086" w:rsidRPr="00EA0624" w:rsidRDefault="00D34086" w:rsidP="003263D5">
            <w:pPr>
              <w:keepNext/>
              <w:spacing w:before="0" w:after="0"/>
              <w:jc w:val="center"/>
              <w:rPr>
                <w:rFonts w:ascii="Arial Narrow" w:eastAsia="Times New Roman" w:hAnsi="Arial Narrow" w:cs="Calibri"/>
                <w:b/>
                <w:bCs/>
                <w:color w:val="000000"/>
                <w:szCs w:val="20"/>
                <w:lang w:val="en-US"/>
              </w:rPr>
            </w:pPr>
            <w:r w:rsidRPr="00EA0624">
              <w:rPr>
                <w:rFonts w:ascii="Arial Narrow" w:eastAsia="Times New Roman" w:hAnsi="Arial Narrow" w:cs="Calibri"/>
                <w:b/>
                <w:bCs/>
                <w:color w:val="000000"/>
                <w:szCs w:val="20"/>
                <w:lang w:val="en-US"/>
              </w:rPr>
              <w:t>2022</w:t>
            </w:r>
          </w:p>
        </w:tc>
        <w:tc>
          <w:tcPr>
            <w:tcW w:w="1134" w:type="dxa"/>
            <w:vAlign w:val="center"/>
          </w:tcPr>
          <w:p w14:paraId="5858DE57" w14:textId="77777777" w:rsidR="00D34086" w:rsidRPr="00EA0624" w:rsidRDefault="00D34086" w:rsidP="003263D5">
            <w:pPr>
              <w:keepNext/>
              <w:spacing w:before="0" w:after="0"/>
              <w:jc w:val="center"/>
              <w:rPr>
                <w:rFonts w:ascii="Arial Narrow" w:eastAsia="Times New Roman" w:hAnsi="Arial Narrow" w:cs="Calibri"/>
                <w:b/>
                <w:bCs/>
                <w:color w:val="000000"/>
                <w:szCs w:val="20"/>
                <w:lang w:val="en-US"/>
              </w:rPr>
            </w:pPr>
            <w:r w:rsidRPr="00EA0624">
              <w:rPr>
                <w:rFonts w:ascii="Arial Narrow" w:eastAsia="Times New Roman" w:hAnsi="Arial Narrow" w:cs="Calibri"/>
                <w:b/>
                <w:bCs/>
                <w:color w:val="000000"/>
                <w:szCs w:val="20"/>
                <w:lang w:val="en-US"/>
              </w:rPr>
              <w:t>Year 1</w:t>
            </w:r>
          </w:p>
          <w:p w14:paraId="64568F10" w14:textId="77777777" w:rsidR="00D34086" w:rsidRPr="00EA0624" w:rsidRDefault="00D34086" w:rsidP="003263D5">
            <w:pPr>
              <w:keepNext/>
              <w:spacing w:before="0" w:after="0"/>
              <w:jc w:val="center"/>
              <w:rPr>
                <w:rFonts w:ascii="Arial Narrow" w:eastAsia="Times New Roman" w:hAnsi="Arial Narrow" w:cs="Calibri"/>
                <w:b/>
                <w:bCs/>
                <w:color w:val="000000"/>
                <w:szCs w:val="20"/>
                <w:lang w:val="en-US"/>
              </w:rPr>
            </w:pPr>
            <w:r w:rsidRPr="00EA0624">
              <w:rPr>
                <w:rFonts w:ascii="Arial Narrow" w:eastAsia="Times New Roman" w:hAnsi="Arial Narrow" w:cs="Calibri"/>
                <w:b/>
                <w:bCs/>
                <w:color w:val="000000"/>
                <w:szCs w:val="20"/>
                <w:lang w:val="en-US"/>
              </w:rPr>
              <w:t>2023</w:t>
            </w:r>
          </w:p>
        </w:tc>
      </w:tr>
      <w:tr w:rsidR="005F2D06" w:rsidRPr="00885218" w14:paraId="62653793" w14:textId="77777777" w:rsidTr="00082192">
        <w:trPr>
          <w:trHeight w:val="510"/>
        </w:trPr>
        <w:tc>
          <w:tcPr>
            <w:tcW w:w="425" w:type="dxa"/>
            <w:shd w:val="clear" w:color="auto" w:fill="auto"/>
            <w:vAlign w:val="center"/>
            <w:hideMark/>
          </w:tcPr>
          <w:p w14:paraId="380ACB7F" w14:textId="243C1F88" w:rsidR="005F2D06" w:rsidRPr="00EA0624" w:rsidRDefault="005F2D06" w:rsidP="005F2D06">
            <w:pPr>
              <w:keepNext/>
              <w:spacing w:before="0" w:after="0"/>
              <w:rPr>
                <w:rFonts w:ascii="Arial Narrow" w:eastAsia="Times New Roman" w:hAnsi="Arial Narrow" w:cs="Calibri"/>
                <w:bCs/>
                <w:color w:val="000000"/>
                <w:szCs w:val="20"/>
                <w:lang w:val="en-US"/>
              </w:rPr>
            </w:pPr>
            <w:r>
              <w:rPr>
                <w:rFonts w:ascii="Arial Narrow" w:eastAsia="Times New Roman" w:hAnsi="Arial Narrow" w:cs="Calibri"/>
                <w:bCs/>
                <w:color w:val="000000"/>
                <w:szCs w:val="20"/>
                <w:lang w:val="en-US"/>
              </w:rPr>
              <w:t>A</w:t>
            </w:r>
            <w:r w:rsidRPr="00EA0624">
              <w:rPr>
                <w:rFonts w:ascii="Arial Narrow" w:eastAsia="Times New Roman" w:hAnsi="Arial Narrow" w:cs="Calibri"/>
                <w:bCs/>
                <w:color w:val="000000"/>
                <w:szCs w:val="20"/>
                <w:lang w:val="en-US"/>
              </w:rPr>
              <w:t xml:space="preserve"> </w:t>
            </w:r>
          </w:p>
        </w:tc>
        <w:tc>
          <w:tcPr>
            <w:tcW w:w="5386" w:type="dxa"/>
            <w:shd w:val="clear" w:color="auto" w:fill="auto"/>
            <w:vAlign w:val="center"/>
            <w:hideMark/>
          </w:tcPr>
          <w:p w14:paraId="1B88CAE5" w14:textId="5C5DBAD1" w:rsidR="005F2D06" w:rsidRPr="00082192" w:rsidRDefault="005F2D06" w:rsidP="005F2D06">
            <w:pPr>
              <w:keepNext/>
              <w:spacing w:before="0" w:after="0"/>
              <w:rPr>
                <w:rFonts w:ascii="Arial Narrow" w:eastAsia="Times New Roman" w:hAnsi="Arial Narrow" w:cs="Calibri"/>
                <w:bCs/>
                <w:color w:val="000000"/>
                <w:szCs w:val="20"/>
                <w:lang w:val="en-US"/>
              </w:rPr>
            </w:pPr>
            <w:r w:rsidRPr="00EA0624">
              <w:rPr>
                <w:rFonts w:ascii="Arial Narrow" w:eastAsia="Times New Roman" w:hAnsi="Arial Narrow" w:cs="Calibri"/>
                <w:bCs/>
                <w:color w:val="000000"/>
                <w:szCs w:val="20"/>
                <w:lang w:val="en-US"/>
              </w:rPr>
              <w:t>TV-ICD generator (MBS items 38387</w:t>
            </w:r>
            <w:r>
              <w:rPr>
                <w:rFonts w:ascii="Arial Narrow" w:eastAsia="Times New Roman" w:hAnsi="Arial Narrow" w:cs="Calibri"/>
                <w:bCs/>
                <w:color w:val="000000"/>
                <w:szCs w:val="20"/>
                <w:lang w:val="en-US"/>
              </w:rPr>
              <w:t xml:space="preserve">, </w:t>
            </w:r>
            <w:r w:rsidRPr="00EA0624">
              <w:rPr>
                <w:rFonts w:ascii="Arial Narrow" w:eastAsia="Times New Roman" w:hAnsi="Arial Narrow" w:cs="Calibri"/>
                <w:bCs/>
                <w:color w:val="000000"/>
                <w:szCs w:val="20"/>
                <w:lang w:val="en-US"/>
              </w:rPr>
              <w:t>38393</w:t>
            </w:r>
            <w:r>
              <w:rPr>
                <w:rFonts w:ascii="Arial Narrow" w:eastAsia="Times New Roman" w:hAnsi="Arial Narrow" w:cs="Calibri"/>
                <w:bCs/>
                <w:color w:val="000000"/>
                <w:szCs w:val="20"/>
                <w:lang w:val="en-US"/>
              </w:rPr>
              <w:t>, 38472</w:t>
            </w:r>
            <w:r w:rsidRPr="00EA0624">
              <w:rPr>
                <w:rFonts w:ascii="Arial Narrow" w:eastAsia="Times New Roman" w:hAnsi="Arial Narrow" w:cs="Calibri"/>
                <w:bCs/>
                <w:color w:val="000000"/>
                <w:szCs w:val="20"/>
                <w:lang w:val="en-US"/>
              </w:rPr>
              <w:t>)</w:t>
            </w:r>
            <w:r w:rsidR="00082192">
              <w:rPr>
                <w:rFonts w:ascii="Arial Narrow" w:eastAsia="Times New Roman" w:hAnsi="Arial Narrow" w:cs="Calibri"/>
                <w:bCs/>
                <w:color w:val="000000"/>
                <w:szCs w:val="20"/>
                <w:lang w:val="en-US"/>
              </w:rPr>
              <w:t xml:space="preserve"> </w:t>
            </w:r>
            <w:r w:rsidRPr="00EA0624">
              <w:rPr>
                <w:rFonts w:ascii="Arial Narrow" w:eastAsia="Times New Roman" w:hAnsi="Arial Narrow" w:cs="Calibri"/>
                <w:bCs/>
                <w:color w:val="000000"/>
                <w:szCs w:val="20"/>
                <w:lang w:val="en-US"/>
              </w:rPr>
              <w:t xml:space="preserve">(forecast = </w:t>
            </w:r>
            <w:r>
              <w:rPr>
                <w:rFonts w:ascii="Arial Narrow" w:eastAsia="Times New Roman" w:hAnsi="Arial Narrow" w:cs="Calibri"/>
                <w:bCs/>
                <w:color w:val="000000"/>
                <w:szCs w:val="20"/>
                <w:lang w:val="en-US"/>
              </w:rPr>
              <w:t>linear line of best fit for 2016 – 2021 data, y = -62.171x +</w:t>
            </w:r>
            <w:proofErr w:type="gramStart"/>
            <w:r>
              <w:rPr>
                <w:rFonts w:ascii="Arial Narrow" w:eastAsia="Times New Roman" w:hAnsi="Arial Narrow" w:cs="Calibri"/>
                <w:bCs/>
                <w:color w:val="000000"/>
                <w:szCs w:val="20"/>
                <w:lang w:val="en-US"/>
              </w:rPr>
              <w:t>127,539)</w:t>
            </w:r>
            <w:r w:rsidR="00604C88">
              <w:rPr>
                <w:rFonts w:ascii="Arial Narrow" w:eastAsia="Times New Roman" w:hAnsi="Arial Narrow" w:cs="Calibri"/>
                <w:bCs/>
                <w:color w:val="000000"/>
                <w:szCs w:val="20"/>
                <w:vertAlign w:val="superscript"/>
                <w:lang w:val="en-US"/>
              </w:rPr>
              <w:t>a</w:t>
            </w:r>
            <w:proofErr w:type="gramEnd"/>
          </w:p>
        </w:tc>
        <w:tc>
          <w:tcPr>
            <w:tcW w:w="851" w:type="dxa"/>
            <w:shd w:val="clear" w:color="auto" w:fill="auto"/>
            <w:vAlign w:val="center"/>
            <w:hideMark/>
          </w:tcPr>
          <w:p w14:paraId="69DC7C3F" w14:textId="7003C32F" w:rsidR="005F2D06" w:rsidRPr="00EA0624" w:rsidRDefault="005F2D06" w:rsidP="005F2D06">
            <w:pPr>
              <w:spacing w:before="0" w:after="0"/>
              <w:jc w:val="center"/>
              <w:rPr>
                <w:rFonts w:ascii="Arial Narrow" w:hAnsi="Arial Narrow" w:cs="Calibri"/>
                <w:color w:val="000000"/>
                <w:szCs w:val="20"/>
              </w:rPr>
            </w:pPr>
            <w:r w:rsidRPr="00EA0624">
              <w:rPr>
                <w:rFonts w:ascii="Arial Narrow" w:hAnsi="Arial Narrow" w:cs="Calibri"/>
                <w:color w:val="000000"/>
                <w:szCs w:val="20"/>
              </w:rPr>
              <w:t>1,</w:t>
            </w:r>
            <w:r>
              <w:rPr>
                <w:rFonts w:ascii="Arial Narrow" w:hAnsi="Arial Narrow" w:cs="Calibri"/>
                <w:color w:val="000000"/>
                <w:szCs w:val="20"/>
              </w:rPr>
              <w:t>828</w:t>
            </w:r>
          </w:p>
        </w:tc>
        <w:tc>
          <w:tcPr>
            <w:tcW w:w="709" w:type="dxa"/>
            <w:shd w:val="clear" w:color="auto" w:fill="auto"/>
            <w:vAlign w:val="center"/>
            <w:hideMark/>
          </w:tcPr>
          <w:p w14:paraId="2B7988A6" w14:textId="5B63CC06" w:rsidR="005F2D06" w:rsidRPr="00EA0624" w:rsidRDefault="005F2D06" w:rsidP="005F2D06">
            <w:pPr>
              <w:spacing w:before="0" w:after="0"/>
              <w:jc w:val="center"/>
              <w:rPr>
                <w:rFonts w:ascii="Arial Narrow" w:hAnsi="Arial Narrow" w:cs="Calibri"/>
                <w:color w:val="000000"/>
                <w:szCs w:val="20"/>
              </w:rPr>
            </w:pPr>
            <w:r w:rsidRPr="00035E21">
              <w:rPr>
                <w:rFonts w:ascii="Arial Narrow" w:hAnsi="Arial Narrow" w:cs="Calibri"/>
                <w:color w:val="000000"/>
                <w:szCs w:val="20"/>
              </w:rPr>
              <w:t xml:space="preserve">1,829 </w:t>
            </w:r>
          </w:p>
        </w:tc>
        <w:tc>
          <w:tcPr>
            <w:tcW w:w="1134" w:type="dxa"/>
            <w:vAlign w:val="center"/>
          </w:tcPr>
          <w:p w14:paraId="707C0F56" w14:textId="68118800" w:rsidR="005F2D06" w:rsidRPr="00090A42" w:rsidRDefault="00090A42" w:rsidP="005F2D06">
            <w:pPr>
              <w:spacing w:before="0" w:after="0"/>
              <w:jc w:val="center"/>
              <w:rPr>
                <w:rFonts w:ascii="Arial Narrow" w:hAnsi="Arial Narrow" w:cs="Calibri"/>
                <w:b/>
                <w:bCs/>
                <w:color w:val="000000"/>
                <w:szCs w:val="20"/>
                <w:highlight w:val="yellow"/>
              </w:rPr>
            </w:pPr>
            <w:r w:rsidRPr="00090A42">
              <w:rPr>
                <w:rFonts w:ascii="Arial Narrow" w:hAnsi="Arial Narrow" w:cs="Calibri"/>
                <w:b/>
                <w:bCs/>
                <w:szCs w:val="20"/>
              </w:rPr>
              <w:t>REDACTED</w:t>
            </w:r>
            <w:r w:rsidR="005F2D06" w:rsidRPr="00090A42">
              <w:rPr>
                <w:rFonts w:ascii="Arial Narrow" w:hAnsi="Arial Narrow" w:cs="Calibri"/>
                <w:b/>
                <w:bCs/>
                <w:color w:val="000000"/>
                <w:szCs w:val="20"/>
                <w:highlight w:val="yellow"/>
              </w:rPr>
              <w:t xml:space="preserve"> </w:t>
            </w:r>
          </w:p>
        </w:tc>
      </w:tr>
      <w:tr w:rsidR="005F2D06" w:rsidRPr="00885218" w14:paraId="41E62A56" w14:textId="77777777" w:rsidTr="00082192">
        <w:trPr>
          <w:trHeight w:val="510"/>
        </w:trPr>
        <w:tc>
          <w:tcPr>
            <w:tcW w:w="425" w:type="dxa"/>
            <w:shd w:val="clear" w:color="auto" w:fill="auto"/>
            <w:vAlign w:val="center"/>
          </w:tcPr>
          <w:p w14:paraId="6011DA71" w14:textId="1B9D87D6" w:rsidR="005F2D06" w:rsidRPr="00EA0624" w:rsidRDefault="005F2D06" w:rsidP="005F2D06">
            <w:pPr>
              <w:keepNext/>
              <w:spacing w:before="0" w:after="0"/>
              <w:rPr>
                <w:rFonts w:ascii="Arial Narrow" w:eastAsia="Times New Roman" w:hAnsi="Arial Narrow" w:cs="Calibri"/>
                <w:bCs/>
                <w:color w:val="000000"/>
                <w:szCs w:val="20"/>
                <w:lang w:val="en-US"/>
              </w:rPr>
            </w:pPr>
            <w:r>
              <w:rPr>
                <w:rFonts w:ascii="Arial Narrow" w:eastAsia="Times New Roman" w:hAnsi="Arial Narrow" w:cs="Calibri"/>
                <w:bCs/>
                <w:color w:val="000000"/>
                <w:szCs w:val="20"/>
                <w:lang w:val="en-US"/>
              </w:rPr>
              <w:t>B</w:t>
            </w:r>
          </w:p>
        </w:tc>
        <w:tc>
          <w:tcPr>
            <w:tcW w:w="5386" w:type="dxa"/>
            <w:shd w:val="clear" w:color="auto" w:fill="auto"/>
            <w:vAlign w:val="center"/>
          </w:tcPr>
          <w:p w14:paraId="251C522E" w14:textId="5A635AB3" w:rsidR="005F2D06" w:rsidRPr="00082192" w:rsidRDefault="005F2D06" w:rsidP="005F2D06">
            <w:pPr>
              <w:keepNext/>
              <w:spacing w:before="0" w:after="0"/>
              <w:rPr>
                <w:rFonts w:ascii="Arial Narrow" w:eastAsia="Times New Roman" w:hAnsi="Arial Narrow" w:cs="Calibri"/>
                <w:bCs/>
                <w:color w:val="000000"/>
                <w:szCs w:val="20"/>
                <w:lang w:val="en-US"/>
              </w:rPr>
            </w:pPr>
            <w:r w:rsidRPr="00EA0624">
              <w:rPr>
                <w:rFonts w:ascii="Arial Narrow" w:eastAsia="Times New Roman" w:hAnsi="Arial Narrow" w:cs="Calibri"/>
                <w:bCs/>
                <w:color w:val="000000"/>
                <w:szCs w:val="20"/>
                <w:lang w:val="en-US"/>
              </w:rPr>
              <w:t>TV-ICD leads (MBS items 38384</w:t>
            </w:r>
            <w:r>
              <w:rPr>
                <w:rFonts w:ascii="Arial Narrow" w:eastAsia="Times New Roman" w:hAnsi="Arial Narrow" w:cs="Calibri"/>
                <w:bCs/>
                <w:color w:val="000000"/>
                <w:szCs w:val="20"/>
                <w:lang w:val="en-US"/>
              </w:rPr>
              <w:t xml:space="preserve">, </w:t>
            </w:r>
            <w:r w:rsidRPr="00EA0624">
              <w:rPr>
                <w:rFonts w:ascii="Arial Narrow" w:eastAsia="Times New Roman" w:hAnsi="Arial Narrow" w:cs="Calibri"/>
                <w:bCs/>
                <w:color w:val="000000"/>
                <w:szCs w:val="20"/>
                <w:lang w:val="en-US"/>
              </w:rPr>
              <w:t>38390</w:t>
            </w:r>
            <w:r>
              <w:rPr>
                <w:rFonts w:ascii="Arial Narrow" w:eastAsia="Times New Roman" w:hAnsi="Arial Narrow" w:cs="Calibri"/>
                <w:bCs/>
                <w:color w:val="000000"/>
                <w:szCs w:val="20"/>
                <w:lang w:val="en-US"/>
              </w:rPr>
              <w:t>, 38471</w:t>
            </w:r>
            <w:r w:rsidRPr="00EA0624">
              <w:rPr>
                <w:rFonts w:ascii="Arial Narrow" w:eastAsia="Times New Roman" w:hAnsi="Arial Narrow" w:cs="Calibri"/>
                <w:bCs/>
                <w:color w:val="000000"/>
                <w:szCs w:val="20"/>
                <w:lang w:val="en-US"/>
              </w:rPr>
              <w:t>)</w:t>
            </w:r>
            <w:r w:rsidR="00082192">
              <w:rPr>
                <w:rFonts w:ascii="Arial Narrow" w:eastAsia="Times New Roman" w:hAnsi="Arial Narrow" w:cs="Calibri"/>
                <w:bCs/>
                <w:color w:val="000000"/>
                <w:szCs w:val="20"/>
                <w:lang w:val="en-US"/>
              </w:rPr>
              <w:t xml:space="preserve"> </w:t>
            </w:r>
            <w:r w:rsidRPr="00EA0624">
              <w:rPr>
                <w:rFonts w:ascii="Arial Narrow" w:eastAsia="Times New Roman" w:hAnsi="Arial Narrow" w:cs="Calibri"/>
                <w:bCs/>
                <w:color w:val="000000"/>
                <w:szCs w:val="20"/>
                <w:lang w:val="en-US"/>
              </w:rPr>
              <w:t xml:space="preserve">(forecast = </w:t>
            </w:r>
            <w:r>
              <w:rPr>
                <w:rFonts w:ascii="Arial Narrow" w:eastAsia="Times New Roman" w:hAnsi="Arial Narrow" w:cs="Calibri"/>
                <w:bCs/>
                <w:color w:val="000000"/>
                <w:szCs w:val="20"/>
                <w:lang w:val="en-US"/>
              </w:rPr>
              <w:t>linear line of best fit for 2016 – 2021 data, y = -35.486x+</w:t>
            </w:r>
            <w:proofErr w:type="gramStart"/>
            <w:r>
              <w:rPr>
                <w:rFonts w:ascii="Arial Narrow" w:eastAsia="Times New Roman" w:hAnsi="Arial Narrow" w:cs="Calibri"/>
                <w:bCs/>
                <w:color w:val="000000"/>
                <w:szCs w:val="20"/>
                <w:lang w:val="en-US"/>
              </w:rPr>
              <w:t>73,662)</w:t>
            </w:r>
            <w:r w:rsidR="00604C88">
              <w:rPr>
                <w:rFonts w:ascii="Arial Narrow" w:eastAsia="Times New Roman" w:hAnsi="Arial Narrow" w:cs="Calibri"/>
                <w:bCs/>
                <w:color w:val="000000"/>
                <w:szCs w:val="20"/>
                <w:vertAlign w:val="superscript"/>
                <w:lang w:val="en-US"/>
              </w:rPr>
              <w:t>a</w:t>
            </w:r>
            <w:proofErr w:type="gramEnd"/>
          </w:p>
        </w:tc>
        <w:tc>
          <w:tcPr>
            <w:tcW w:w="851" w:type="dxa"/>
            <w:shd w:val="clear" w:color="auto" w:fill="auto"/>
            <w:vAlign w:val="center"/>
          </w:tcPr>
          <w:p w14:paraId="4A8973F2" w14:textId="70448BBD" w:rsidR="005F2D06" w:rsidRPr="00EA0624" w:rsidRDefault="005F2D06" w:rsidP="005F2D06">
            <w:pPr>
              <w:spacing w:before="0" w:after="0"/>
              <w:jc w:val="center"/>
              <w:rPr>
                <w:rFonts w:ascii="Arial Narrow" w:hAnsi="Arial Narrow" w:cs="Calibri"/>
                <w:color w:val="000000"/>
                <w:szCs w:val="20"/>
              </w:rPr>
            </w:pPr>
            <w:r>
              <w:rPr>
                <w:rFonts w:ascii="Arial Narrow" w:hAnsi="Arial Narrow" w:cs="Calibri"/>
                <w:color w:val="000000"/>
                <w:szCs w:val="20"/>
              </w:rPr>
              <w:t>1,962</w:t>
            </w:r>
          </w:p>
        </w:tc>
        <w:tc>
          <w:tcPr>
            <w:tcW w:w="709" w:type="dxa"/>
            <w:shd w:val="clear" w:color="auto" w:fill="auto"/>
            <w:vAlign w:val="center"/>
          </w:tcPr>
          <w:p w14:paraId="12301CA7" w14:textId="10B1D516" w:rsidR="005F2D06" w:rsidRPr="00EA0624" w:rsidRDefault="005F2D06" w:rsidP="005F2D06">
            <w:pPr>
              <w:spacing w:before="0" w:after="0"/>
              <w:jc w:val="center"/>
              <w:rPr>
                <w:rFonts w:ascii="Arial Narrow" w:hAnsi="Arial Narrow" w:cs="Calibri"/>
                <w:color w:val="000000"/>
                <w:szCs w:val="20"/>
              </w:rPr>
            </w:pPr>
            <w:r w:rsidRPr="00035E21">
              <w:rPr>
                <w:rFonts w:ascii="Arial Narrow" w:hAnsi="Arial Narrow" w:cs="Calibri"/>
                <w:color w:val="000000"/>
                <w:szCs w:val="20"/>
              </w:rPr>
              <w:t xml:space="preserve">1,909 </w:t>
            </w:r>
          </w:p>
        </w:tc>
        <w:tc>
          <w:tcPr>
            <w:tcW w:w="1134" w:type="dxa"/>
            <w:vAlign w:val="center"/>
          </w:tcPr>
          <w:p w14:paraId="5AC7E698" w14:textId="1D601AD2" w:rsidR="005F2D06" w:rsidRPr="00885218" w:rsidRDefault="00090A42" w:rsidP="005F2D06">
            <w:pPr>
              <w:spacing w:before="0" w:after="0"/>
              <w:jc w:val="center"/>
              <w:rPr>
                <w:rFonts w:ascii="Arial Narrow" w:hAnsi="Arial Narrow" w:cs="Calibri"/>
                <w:color w:val="000000"/>
                <w:szCs w:val="20"/>
                <w:highlight w:val="yellow"/>
              </w:rPr>
            </w:pPr>
            <w:r w:rsidRPr="00090A42">
              <w:rPr>
                <w:rFonts w:ascii="Arial Narrow" w:hAnsi="Arial Narrow" w:cs="Calibri"/>
                <w:b/>
                <w:bCs/>
                <w:szCs w:val="20"/>
              </w:rPr>
              <w:t>REDACTED</w:t>
            </w:r>
          </w:p>
        </w:tc>
      </w:tr>
      <w:tr w:rsidR="005F2D06" w:rsidRPr="00885218" w14:paraId="3FFC1C7B" w14:textId="77777777" w:rsidTr="00082192">
        <w:trPr>
          <w:trHeight w:val="345"/>
        </w:trPr>
        <w:tc>
          <w:tcPr>
            <w:tcW w:w="425" w:type="dxa"/>
            <w:shd w:val="clear" w:color="auto" w:fill="auto"/>
            <w:vAlign w:val="center"/>
          </w:tcPr>
          <w:p w14:paraId="35F30C45" w14:textId="241F056F" w:rsidR="005F2D06" w:rsidRPr="00EA0624" w:rsidRDefault="005F2D06" w:rsidP="005F2D06">
            <w:pPr>
              <w:keepNext/>
              <w:spacing w:before="0" w:after="0"/>
              <w:rPr>
                <w:rFonts w:ascii="Arial Narrow" w:eastAsia="Times New Roman" w:hAnsi="Arial Narrow" w:cs="Calibri"/>
                <w:bCs/>
                <w:color w:val="000000"/>
                <w:szCs w:val="20"/>
                <w:lang w:val="en-US"/>
              </w:rPr>
            </w:pPr>
            <w:r>
              <w:rPr>
                <w:rFonts w:ascii="Arial Narrow" w:eastAsia="Times New Roman" w:hAnsi="Arial Narrow" w:cs="Calibri"/>
                <w:bCs/>
                <w:color w:val="000000"/>
                <w:szCs w:val="20"/>
                <w:lang w:val="en-US"/>
              </w:rPr>
              <w:t>C</w:t>
            </w:r>
          </w:p>
        </w:tc>
        <w:tc>
          <w:tcPr>
            <w:tcW w:w="5386" w:type="dxa"/>
            <w:shd w:val="clear" w:color="auto" w:fill="auto"/>
            <w:vAlign w:val="center"/>
          </w:tcPr>
          <w:p w14:paraId="482A838A" w14:textId="7A959F13" w:rsidR="005F2D06" w:rsidRPr="00EA0624" w:rsidRDefault="005F2D06" w:rsidP="005F2D06">
            <w:pPr>
              <w:keepNext/>
              <w:spacing w:before="0" w:after="0"/>
              <w:rPr>
                <w:rFonts w:ascii="Arial Narrow" w:eastAsia="Times New Roman" w:hAnsi="Arial Narrow" w:cs="Calibri"/>
                <w:bCs/>
                <w:color w:val="000000"/>
                <w:szCs w:val="20"/>
                <w:lang w:val="en-US"/>
              </w:rPr>
            </w:pPr>
            <w:r w:rsidRPr="00EA0624">
              <w:rPr>
                <w:rFonts w:ascii="Arial Narrow" w:eastAsia="Times New Roman" w:hAnsi="Arial Narrow" w:cs="Calibri"/>
                <w:bCs/>
                <w:color w:val="000000"/>
                <w:szCs w:val="20"/>
                <w:lang w:val="en-US"/>
              </w:rPr>
              <w:t>Extra proportion of patients suitable for EV-ICD, not TV-ICD</w:t>
            </w:r>
          </w:p>
        </w:tc>
        <w:tc>
          <w:tcPr>
            <w:tcW w:w="851" w:type="dxa"/>
            <w:shd w:val="clear" w:color="auto" w:fill="auto"/>
            <w:vAlign w:val="center"/>
          </w:tcPr>
          <w:p w14:paraId="2205221F" w14:textId="77777777" w:rsidR="005F2D06" w:rsidRPr="00EA0624" w:rsidRDefault="005F2D06" w:rsidP="005F2D06">
            <w:pPr>
              <w:keepNext/>
              <w:spacing w:before="0" w:after="0"/>
              <w:jc w:val="center"/>
              <w:rPr>
                <w:rFonts w:ascii="Arial Narrow" w:eastAsia="Times New Roman" w:hAnsi="Arial Narrow" w:cs="Calibri"/>
                <w:bCs/>
                <w:color w:val="000000"/>
                <w:szCs w:val="20"/>
                <w:lang w:val="en-US"/>
              </w:rPr>
            </w:pPr>
            <w:r w:rsidRPr="00EA0624">
              <w:rPr>
                <w:rFonts w:ascii="Arial Narrow" w:eastAsia="Times New Roman" w:hAnsi="Arial Narrow" w:cs="Calibri"/>
                <w:bCs/>
                <w:color w:val="000000"/>
                <w:szCs w:val="20"/>
                <w:lang w:val="en-US"/>
              </w:rPr>
              <w:t>-</w:t>
            </w:r>
          </w:p>
        </w:tc>
        <w:tc>
          <w:tcPr>
            <w:tcW w:w="709" w:type="dxa"/>
            <w:shd w:val="clear" w:color="auto" w:fill="auto"/>
            <w:vAlign w:val="center"/>
          </w:tcPr>
          <w:p w14:paraId="640C12C9" w14:textId="77777777" w:rsidR="005F2D06" w:rsidRPr="00EA0624" w:rsidRDefault="005F2D06" w:rsidP="005F2D06">
            <w:pPr>
              <w:keepNext/>
              <w:spacing w:before="0" w:after="0"/>
              <w:jc w:val="center"/>
              <w:rPr>
                <w:rFonts w:ascii="Arial Narrow" w:eastAsia="Times New Roman" w:hAnsi="Arial Narrow" w:cs="Calibri"/>
                <w:bCs/>
                <w:color w:val="000000"/>
                <w:szCs w:val="20"/>
                <w:lang w:val="en-US"/>
              </w:rPr>
            </w:pPr>
            <w:r w:rsidRPr="00EA0624">
              <w:rPr>
                <w:rFonts w:ascii="Arial Narrow" w:eastAsia="Times New Roman" w:hAnsi="Arial Narrow" w:cs="Calibri"/>
                <w:bCs/>
                <w:color w:val="000000"/>
                <w:szCs w:val="20"/>
                <w:lang w:val="en-US"/>
              </w:rPr>
              <w:t>-</w:t>
            </w:r>
          </w:p>
        </w:tc>
        <w:tc>
          <w:tcPr>
            <w:tcW w:w="1134" w:type="dxa"/>
            <w:vAlign w:val="center"/>
          </w:tcPr>
          <w:p w14:paraId="3E3986FB" w14:textId="7FE2B71E" w:rsidR="005F2D06" w:rsidRPr="00885218" w:rsidRDefault="00090A42" w:rsidP="005F2D06">
            <w:pPr>
              <w:keepNext/>
              <w:spacing w:before="0" w:after="0"/>
              <w:jc w:val="center"/>
              <w:rPr>
                <w:rFonts w:ascii="Arial Narrow" w:eastAsia="Times New Roman" w:hAnsi="Arial Narrow" w:cs="Calibri"/>
                <w:bCs/>
                <w:color w:val="000000"/>
                <w:szCs w:val="20"/>
                <w:highlight w:val="yellow"/>
                <w:lang w:val="en-US"/>
              </w:rPr>
            </w:pPr>
            <w:r w:rsidRPr="00090A42">
              <w:rPr>
                <w:rFonts w:ascii="Arial Narrow" w:hAnsi="Arial Narrow" w:cs="Calibri"/>
                <w:b/>
                <w:bCs/>
                <w:szCs w:val="20"/>
              </w:rPr>
              <w:t>REDACTED</w:t>
            </w:r>
          </w:p>
        </w:tc>
      </w:tr>
      <w:tr w:rsidR="005F2D06" w:rsidRPr="00885218" w14:paraId="75110FA9" w14:textId="77777777" w:rsidTr="00082192">
        <w:trPr>
          <w:trHeight w:val="407"/>
        </w:trPr>
        <w:tc>
          <w:tcPr>
            <w:tcW w:w="425" w:type="dxa"/>
            <w:shd w:val="clear" w:color="auto" w:fill="auto"/>
            <w:vAlign w:val="center"/>
            <w:hideMark/>
          </w:tcPr>
          <w:p w14:paraId="45DD7798" w14:textId="5520496A" w:rsidR="005F2D06" w:rsidRPr="00EA0624" w:rsidRDefault="005F2D06" w:rsidP="005F2D06">
            <w:pPr>
              <w:keepNext/>
              <w:spacing w:before="0" w:after="0"/>
              <w:rPr>
                <w:rFonts w:ascii="Arial Narrow" w:eastAsia="Times New Roman" w:hAnsi="Arial Narrow" w:cs="Calibri"/>
                <w:bCs/>
                <w:color w:val="000000"/>
                <w:szCs w:val="20"/>
                <w:lang w:val="en-US"/>
              </w:rPr>
            </w:pPr>
            <w:r>
              <w:rPr>
                <w:rFonts w:ascii="Arial Narrow" w:eastAsia="Times New Roman" w:hAnsi="Arial Narrow" w:cs="Calibri"/>
                <w:bCs/>
                <w:color w:val="000000"/>
                <w:szCs w:val="20"/>
                <w:lang w:val="en-US"/>
              </w:rPr>
              <w:t>D</w:t>
            </w:r>
          </w:p>
        </w:tc>
        <w:tc>
          <w:tcPr>
            <w:tcW w:w="5386" w:type="dxa"/>
            <w:shd w:val="clear" w:color="auto" w:fill="auto"/>
            <w:vAlign w:val="center"/>
            <w:hideMark/>
          </w:tcPr>
          <w:p w14:paraId="5C41E50C" w14:textId="77777777" w:rsidR="005F2D06" w:rsidRPr="00EA0624" w:rsidRDefault="005F2D06" w:rsidP="005F2D06">
            <w:pPr>
              <w:keepNext/>
              <w:spacing w:before="0" w:after="0"/>
              <w:rPr>
                <w:rFonts w:ascii="Arial Narrow" w:eastAsia="Times New Roman" w:hAnsi="Arial Narrow" w:cs="Calibri"/>
                <w:bCs/>
                <w:color w:val="000000"/>
                <w:szCs w:val="20"/>
                <w:lang w:val="en-US"/>
              </w:rPr>
            </w:pPr>
            <w:r w:rsidRPr="00EA0624">
              <w:rPr>
                <w:rFonts w:ascii="Arial Narrow" w:eastAsia="Times New Roman" w:hAnsi="Arial Narrow" w:cs="Calibri"/>
                <w:bCs/>
                <w:color w:val="000000"/>
                <w:szCs w:val="20"/>
                <w:lang w:val="en-US"/>
              </w:rPr>
              <w:t xml:space="preserve">Proportion of eligible TV-ICD population suitable for EV-ICD </w:t>
            </w:r>
          </w:p>
        </w:tc>
        <w:tc>
          <w:tcPr>
            <w:tcW w:w="851" w:type="dxa"/>
            <w:shd w:val="clear" w:color="auto" w:fill="auto"/>
            <w:vAlign w:val="center"/>
            <w:hideMark/>
          </w:tcPr>
          <w:p w14:paraId="66FCED9A" w14:textId="77777777" w:rsidR="005F2D06" w:rsidRPr="00EA0624" w:rsidRDefault="005F2D06" w:rsidP="005F2D06">
            <w:pPr>
              <w:keepNext/>
              <w:spacing w:before="0" w:after="0"/>
              <w:jc w:val="center"/>
              <w:rPr>
                <w:rFonts w:ascii="Arial Narrow" w:eastAsia="Times New Roman" w:hAnsi="Arial Narrow" w:cs="Calibri"/>
                <w:bCs/>
                <w:color w:val="000000"/>
                <w:szCs w:val="20"/>
                <w:lang w:val="en-US"/>
              </w:rPr>
            </w:pPr>
            <w:r w:rsidRPr="00EA0624">
              <w:rPr>
                <w:rFonts w:ascii="Arial Narrow" w:eastAsia="Times New Roman" w:hAnsi="Arial Narrow" w:cs="Calibri"/>
                <w:bCs/>
                <w:color w:val="000000"/>
                <w:szCs w:val="20"/>
                <w:lang w:val="en-US"/>
              </w:rPr>
              <w:t>-</w:t>
            </w:r>
          </w:p>
        </w:tc>
        <w:tc>
          <w:tcPr>
            <w:tcW w:w="709" w:type="dxa"/>
            <w:shd w:val="clear" w:color="auto" w:fill="auto"/>
            <w:vAlign w:val="center"/>
            <w:hideMark/>
          </w:tcPr>
          <w:p w14:paraId="3784D83A" w14:textId="77777777" w:rsidR="005F2D06" w:rsidRPr="00EA0624" w:rsidRDefault="005F2D06" w:rsidP="005F2D06">
            <w:pPr>
              <w:keepNext/>
              <w:spacing w:before="0" w:after="0"/>
              <w:jc w:val="center"/>
              <w:rPr>
                <w:rFonts w:ascii="Arial Narrow" w:eastAsia="Times New Roman" w:hAnsi="Arial Narrow" w:cs="Calibri"/>
                <w:bCs/>
                <w:color w:val="000000"/>
                <w:szCs w:val="20"/>
                <w:lang w:val="en-US"/>
              </w:rPr>
            </w:pPr>
            <w:r w:rsidRPr="00EA0624">
              <w:rPr>
                <w:rFonts w:ascii="Arial Narrow" w:eastAsia="Times New Roman" w:hAnsi="Arial Narrow" w:cs="Calibri"/>
                <w:bCs/>
                <w:color w:val="000000"/>
                <w:szCs w:val="20"/>
                <w:lang w:val="en-US"/>
              </w:rPr>
              <w:t>-</w:t>
            </w:r>
          </w:p>
        </w:tc>
        <w:tc>
          <w:tcPr>
            <w:tcW w:w="1134" w:type="dxa"/>
            <w:vAlign w:val="center"/>
          </w:tcPr>
          <w:p w14:paraId="7E67F438" w14:textId="5EB8D151" w:rsidR="005F2D06" w:rsidRPr="00885218" w:rsidRDefault="00090A42" w:rsidP="005F2D06">
            <w:pPr>
              <w:keepNext/>
              <w:spacing w:before="0" w:after="0"/>
              <w:jc w:val="center"/>
              <w:rPr>
                <w:rFonts w:ascii="Arial Narrow" w:eastAsia="Times New Roman" w:hAnsi="Arial Narrow" w:cs="Calibri"/>
                <w:bCs/>
                <w:color w:val="000000"/>
                <w:szCs w:val="20"/>
                <w:highlight w:val="yellow"/>
                <w:lang w:val="en-US"/>
              </w:rPr>
            </w:pPr>
            <w:r w:rsidRPr="00090A42">
              <w:rPr>
                <w:rFonts w:ascii="Arial Narrow" w:hAnsi="Arial Narrow" w:cs="Calibri"/>
                <w:b/>
                <w:bCs/>
                <w:szCs w:val="20"/>
              </w:rPr>
              <w:t>REDACTED</w:t>
            </w:r>
          </w:p>
        </w:tc>
      </w:tr>
      <w:tr w:rsidR="005F2D06" w:rsidRPr="00885218" w14:paraId="015A03CE" w14:textId="77777777" w:rsidTr="00082192">
        <w:trPr>
          <w:trHeight w:val="413"/>
        </w:trPr>
        <w:tc>
          <w:tcPr>
            <w:tcW w:w="425" w:type="dxa"/>
            <w:shd w:val="clear" w:color="auto" w:fill="auto"/>
            <w:vAlign w:val="center"/>
          </w:tcPr>
          <w:p w14:paraId="2A92C866" w14:textId="52AD5C65" w:rsidR="005F2D06" w:rsidRPr="00EA0624" w:rsidRDefault="005F2D06" w:rsidP="005F2D06">
            <w:pPr>
              <w:keepNext/>
              <w:spacing w:before="0" w:after="0"/>
              <w:rPr>
                <w:rFonts w:ascii="Arial Narrow" w:eastAsia="Times New Roman" w:hAnsi="Arial Narrow" w:cs="Calibri"/>
                <w:bCs/>
                <w:color w:val="000000"/>
                <w:szCs w:val="20"/>
                <w:lang w:val="en-US"/>
              </w:rPr>
            </w:pPr>
            <w:r>
              <w:rPr>
                <w:rFonts w:ascii="Arial Narrow" w:eastAsia="Times New Roman" w:hAnsi="Arial Narrow" w:cs="Calibri"/>
                <w:bCs/>
                <w:color w:val="000000"/>
                <w:szCs w:val="20"/>
                <w:lang w:val="en-US"/>
              </w:rPr>
              <w:t>E</w:t>
            </w:r>
          </w:p>
        </w:tc>
        <w:tc>
          <w:tcPr>
            <w:tcW w:w="5386" w:type="dxa"/>
            <w:shd w:val="clear" w:color="auto" w:fill="auto"/>
            <w:vAlign w:val="center"/>
          </w:tcPr>
          <w:p w14:paraId="5C1EAA39" w14:textId="77777777" w:rsidR="005F2D06" w:rsidRPr="00EA0624" w:rsidRDefault="005F2D06" w:rsidP="005F2D06">
            <w:pPr>
              <w:keepNext/>
              <w:spacing w:before="0" w:after="0"/>
              <w:rPr>
                <w:rFonts w:ascii="Arial Narrow" w:eastAsia="Times New Roman" w:hAnsi="Arial Narrow" w:cs="Calibri"/>
                <w:bCs/>
                <w:color w:val="000000"/>
                <w:szCs w:val="20"/>
                <w:lang w:val="en-US"/>
              </w:rPr>
            </w:pPr>
            <w:r w:rsidRPr="00EA0624">
              <w:rPr>
                <w:rFonts w:ascii="Arial Narrow" w:eastAsia="Times New Roman" w:hAnsi="Arial Narrow" w:cs="Calibri"/>
                <w:bCs/>
                <w:color w:val="000000"/>
                <w:szCs w:val="20"/>
                <w:lang w:val="en-US"/>
              </w:rPr>
              <w:t>Uptake of EV-ICD</w:t>
            </w:r>
          </w:p>
        </w:tc>
        <w:tc>
          <w:tcPr>
            <w:tcW w:w="851" w:type="dxa"/>
            <w:shd w:val="clear" w:color="auto" w:fill="auto"/>
            <w:vAlign w:val="center"/>
          </w:tcPr>
          <w:p w14:paraId="1F753D40" w14:textId="77777777" w:rsidR="005F2D06" w:rsidRPr="00EA0624" w:rsidRDefault="005F2D06" w:rsidP="005F2D06">
            <w:pPr>
              <w:keepNext/>
              <w:spacing w:before="0" w:after="0"/>
              <w:jc w:val="center"/>
              <w:rPr>
                <w:rFonts w:ascii="Arial Narrow" w:eastAsia="Times New Roman" w:hAnsi="Arial Narrow" w:cs="Calibri"/>
                <w:bCs/>
                <w:color w:val="000000"/>
                <w:szCs w:val="20"/>
                <w:lang w:val="en-US"/>
              </w:rPr>
            </w:pPr>
            <w:r w:rsidRPr="00EA0624">
              <w:rPr>
                <w:rFonts w:ascii="Arial Narrow" w:eastAsia="Times New Roman" w:hAnsi="Arial Narrow" w:cs="Calibri"/>
                <w:bCs/>
                <w:color w:val="000000"/>
                <w:szCs w:val="20"/>
                <w:lang w:val="en-US"/>
              </w:rPr>
              <w:t>-</w:t>
            </w:r>
          </w:p>
        </w:tc>
        <w:tc>
          <w:tcPr>
            <w:tcW w:w="709" w:type="dxa"/>
            <w:shd w:val="clear" w:color="auto" w:fill="auto"/>
            <w:vAlign w:val="center"/>
          </w:tcPr>
          <w:p w14:paraId="0A1081AC" w14:textId="77777777" w:rsidR="005F2D06" w:rsidRPr="00EA0624" w:rsidRDefault="005F2D06" w:rsidP="005F2D06">
            <w:pPr>
              <w:keepNext/>
              <w:spacing w:before="0" w:after="0"/>
              <w:jc w:val="center"/>
              <w:rPr>
                <w:rFonts w:ascii="Arial Narrow" w:eastAsia="Times New Roman" w:hAnsi="Arial Narrow" w:cs="Calibri"/>
                <w:bCs/>
                <w:color w:val="000000"/>
                <w:szCs w:val="20"/>
                <w:lang w:val="en-US"/>
              </w:rPr>
            </w:pPr>
            <w:r w:rsidRPr="00EA0624">
              <w:rPr>
                <w:rFonts w:ascii="Arial Narrow" w:eastAsia="Times New Roman" w:hAnsi="Arial Narrow" w:cs="Calibri"/>
                <w:bCs/>
                <w:color w:val="000000"/>
                <w:szCs w:val="20"/>
                <w:lang w:val="en-US"/>
              </w:rPr>
              <w:t>-</w:t>
            </w:r>
          </w:p>
        </w:tc>
        <w:tc>
          <w:tcPr>
            <w:tcW w:w="1134" w:type="dxa"/>
            <w:vAlign w:val="center"/>
          </w:tcPr>
          <w:p w14:paraId="364B49C6" w14:textId="6F3FCADF" w:rsidR="005F2D06" w:rsidRPr="00885218" w:rsidRDefault="00090A42" w:rsidP="005F2D06">
            <w:pPr>
              <w:keepNext/>
              <w:spacing w:before="0" w:after="0"/>
              <w:jc w:val="center"/>
              <w:rPr>
                <w:rFonts w:ascii="Arial Narrow" w:eastAsia="Times New Roman" w:hAnsi="Arial Narrow" w:cs="Calibri"/>
                <w:bCs/>
                <w:color w:val="000000"/>
                <w:szCs w:val="20"/>
                <w:highlight w:val="yellow"/>
                <w:lang w:val="en-US"/>
              </w:rPr>
            </w:pPr>
            <w:r w:rsidRPr="00090A42">
              <w:rPr>
                <w:rFonts w:ascii="Arial Narrow" w:hAnsi="Arial Narrow" w:cs="Calibri"/>
                <w:b/>
                <w:bCs/>
                <w:szCs w:val="20"/>
              </w:rPr>
              <w:t>REDACTED</w:t>
            </w:r>
          </w:p>
        </w:tc>
      </w:tr>
      <w:tr w:rsidR="005F2D06" w:rsidRPr="00885218" w14:paraId="6735978A" w14:textId="77777777" w:rsidTr="00082192">
        <w:trPr>
          <w:trHeight w:val="419"/>
        </w:trPr>
        <w:tc>
          <w:tcPr>
            <w:tcW w:w="425" w:type="dxa"/>
            <w:shd w:val="clear" w:color="auto" w:fill="auto"/>
            <w:vAlign w:val="center"/>
          </w:tcPr>
          <w:p w14:paraId="7550A543" w14:textId="5FBE7651" w:rsidR="005F2D06" w:rsidRPr="00EA0624" w:rsidRDefault="005F2D06" w:rsidP="005F2D06">
            <w:pPr>
              <w:keepNext/>
              <w:spacing w:before="0" w:after="0"/>
              <w:rPr>
                <w:rFonts w:ascii="Arial Narrow" w:eastAsia="Times New Roman" w:hAnsi="Arial Narrow" w:cs="Calibri"/>
                <w:bCs/>
                <w:color w:val="000000"/>
                <w:szCs w:val="20"/>
                <w:lang w:val="en-US"/>
              </w:rPr>
            </w:pPr>
            <w:r>
              <w:rPr>
                <w:rFonts w:ascii="Arial Narrow" w:eastAsia="Times New Roman" w:hAnsi="Arial Narrow" w:cs="Calibri"/>
                <w:bCs/>
                <w:color w:val="000000"/>
                <w:szCs w:val="20"/>
                <w:lang w:val="en-US"/>
              </w:rPr>
              <w:t>F</w:t>
            </w:r>
          </w:p>
        </w:tc>
        <w:tc>
          <w:tcPr>
            <w:tcW w:w="5386" w:type="dxa"/>
            <w:shd w:val="clear" w:color="auto" w:fill="auto"/>
            <w:vAlign w:val="center"/>
          </w:tcPr>
          <w:p w14:paraId="31E0FAB8" w14:textId="7D952389" w:rsidR="005F2D06" w:rsidRPr="00EA0624" w:rsidRDefault="005F2D06" w:rsidP="005F2D06">
            <w:pPr>
              <w:keepNext/>
              <w:spacing w:before="0" w:after="0"/>
              <w:rPr>
                <w:rFonts w:ascii="Arial Narrow" w:eastAsia="Times New Roman" w:hAnsi="Arial Narrow" w:cs="Calibri"/>
                <w:bCs/>
                <w:color w:val="000000"/>
                <w:szCs w:val="20"/>
                <w:lang w:val="en-US"/>
              </w:rPr>
            </w:pPr>
            <w:r w:rsidRPr="00EA0624">
              <w:rPr>
                <w:rFonts w:ascii="Arial Narrow" w:eastAsia="Times New Roman" w:hAnsi="Arial Narrow" w:cs="Calibri"/>
                <w:bCs/>
                <w:color w:val="000000"/>
                <w:szCs w:val="20"/>
                <w:lang w:val="en-US"/>
              </w:rPr>
              <w:t>EV-ICD generator (</w:t>
            </w:r>
            <w:r>
              <w:rPr>
                <w:rFonts w:ascii="Arial Narrow" w:eastAsia="Times New Roman" w:hAnsi="Arial Narrow" w:cs="Calibri"/>
                <w:bCs/>
                <w:color w:val="000000"/>
                <w:szCs w:val="20"/>
                <w:lang w:val="en-US"/>
              </w:rPr>
              <w:t>A</w:t>
            </w:r>
            <w:r w:rsidRPr="00EA0624">
              <w:rPr>
                <w:rFonts w:ascii="Arial Narrow" w:eastAsia="Times New Roman" w:hAnsi="Arial Narrow" w:cs="Calibri"/>
                <w:bCs/>
                <w:color w:val="000000"/>
                <w:szCs w:val="20"/>
                <w:lang w:val="en-US"/>
              </w:rPr>
              <w:t xml:space="preserve"> x</w:t>
            </w:r>
            <w:r>
              <w:rPr>
                <w:rFonts w:ascii="Arial Narrow" w:eastAsia="Times New Roman" w:hAnsi="Arial Narrow" w:cs="Calibri"/>
                <w:bCs/>
                <w:color w:val="000000"/>
                <w:szCs w:val="20"/>
                <w:lang w:val="en-US"/>
              </w:rPr>
              <w:t xml:space="preserve"> (1+C) x D x E</w:t>
            </w:r>
            <w:r w:rsidRPr="00EA0624">
              <w:rPr>
                <w:rFonts w:ascii="Arial Narrow" w:eastAsia="Times New Roman" w:hAnsi="Arial Narrow" w:cs="Calibri"/>
                <w:bCs/>
                <w:color w:val="000000"/>
                <w:szCs w:val="20"/>
                <w:lang w:val="en-US"/>
              </w:rPr>
              <w:t>)</w:t>
            </w:r>
          </w:p>
        </w:tc>
        <w:tc>
          <w:tcPr>
            <w:tcW w:w="851" w:type="dxa"/>
            <w:shd w:val="clear" w:color="auto" w:fill="auto"/>
            <w:vAlign w:val="center"/>
          </w:tcPr>
          <w:p w14:paraId="1EFF4222" w14:textId="77777777" w:rsidR="005F2D06" w:rsidRPr="00EA0624" w:rsidRDefault="005F2D06" w:rsidP="005F2D06">
            <w:pPr>
              <w:keepNext/>
              <w:spacing w:before="0" w:after="0"/>
              <w:jc w:val="center"/>
              <w:rPr>
                <w:rFonts w:ascii="Arial Narrow" w:eastAsia="Times New Roman" w:hAnsi="Arial Narrow" w:cs="Calibri"/>
                <w:bCs/>
                <w:color w:val="000000"/>
                <w:szCs w:val="20"/>
                <w:lang w:val="en-US"/>
              </w:rPr>
            </w:pPr>
          </w:p>
        </w:tc>
        <w:tc>
          <w:tcPr>
            <w:tcW w:w="709" w:type="dxa"/>
            <w:shd w:val="clear" w:color="auto" w:fill="auto"/>
            <w:vAlign w:val="center"/>
          </w:tcPr>
          <w:p w14:paraId="1DBBFE40" w14:textId="77777777" w:rsidR="005F2D06" w:rsidRPr="00EA0624" w:rsidRDefault="005F2D06" w:rsidP="005F2D06">
            <w:pPr>
              <w:keepNext/>
              <w:spacing w:before="0" w:after="0"/>
              <w:jc w:val="center"/>
              <w:rPr>
                <w:rFonts w:ascii="Arial Narrow" w:eastAsia="Times New Roman" w:hAnsi="Arial Narrow" w:cs="Calibri"/>
                <w:bCs/>
                <w:color w:val="000000"/>
                <w:szCs w:val="20"/>
                <w:lang w:val="en-US"/>
              </w:rPr>
            </w:pPr>
          </w:p>
        </w:tc>
        <w:tc>
          <w:tcPr>
            <w:tcW w:w="1134" w:type="dxa"/>
            <w:vAlign w:val="center"/>
          </w:tcPr>
          <w:p w14:paraId="50159658" w14:textId="4698C33A" w:rsidR="005F2D06" w:rsidRPr="00885218" w:rsidRDefault="00090A42" w:rsidP="005F2D06">
            <w:pPr>
              <w:spacing w:before="0" w:after="0"/>
              <w:jc w:val="center"/>
              <w:rPr>
                <w:rFonts w:ascii="Arial Narrow" w:hAnsi="Arial Narrow" w:cs="Calibri"/>
                <w:color w:val="000000"/>
                <w:szCs w:val="20"/>
                <w:highlight w:val="yellow"/>
              </w:rPr>
            </w:pPr>
            <w:r w:rsidRPr="00090A42">
              <w:rPr>
                <w:rFonts w:ascii="Arial Narrow" w:hAnsi="Arial Narrow" w:cs="Calibri"/>
                <w:b/>
                <w:bCs/>
                <w:szCs w:val="20"/>
              </w:rPr>
              <w:t>REDACTED</w:t>
            </w:r>
          </w:p>
        </w:tc>
      </w:tr>
      <w:tr w:rsidR="005F2D06" w:rsidRPr="00885218" w14:paraId="77990C4F" w14:textId="77777777" w:rsidTr="00082192">
        <w:trPr>
          <w:trHeight w:val="410"/>
        </w:trPr>
        <w:tc>
          <w:tcPr>
            <w:tcW w:w="425" w:type="dxa"/>
            <w:shd w:val="clear" w:color="auto" w:fill="auto"/>
            <w:vAlign w:val="center"/>
          </w:tcPr>
          <w:p w14:paraId="0E0386B7" w14:textId="3F7129A0" w:rsidR="005F2D06" w:rsidRPr="00EA0624" w:rsidRDefault="005F2D06" w:rsidP="005F2D06">
            <w:pPr>
              <w:keepNext/>
              <w:spacing w:before="0" w:after="0"/>
              <w:rPr>
                <w:rFonts w:ascii="Arial Narrow" w:eastAsia="Times New Roman" w:hAnsi="Arial Narrow" w:cs="Calibri"/>
                <w:bCs/>
                <w:color w:val="000000"/>
                <w:szCs w:val="20"/>
                <w:lang w:val="en-US"/>
              </w:rPr>
            </w:pPr>
            <w:r>
              <w:rPr>
                <w:rFonts w:ascii="Arial Narrow" w:eastAsia="Times New Roman" w:hAnsi="Arial Narrow" w:cs="Calibri"/>
                <w:bCs/>
                <w:color w:val="000000"/>
                <w:szCs w:val="20"/>
                <w:lang w:val="en-US"/>
              </w:rPr>
              <w:t>G</w:t>
            </w:r>
          </w:p>
        </w:tc>
        <w:tc>
          <w:tcPr>
            <w:tcW w:w="5386" w:type="dxa"/>
            <w:shd w:val="clear" w:color="auto" w:fill="auto"/>
            <w:vAlign w:val="center"/>
          </w:tcPr>
          <w:p w14:paraId="3853DE71" w14:textId="5FEBD9F2" w:rsidR="005F2D06" w:rsidRPr="00EA0624" w:rsidRDefault="005F2D06" w:rsidP="005F2D06">
            <w:pPr>
              <w:keepNext/>
              <w:spacing w:before="0" w:after="0"/>
              <w:rPr>
                <w:rFonts w:ascii="Arial Narrow" w:eastAsia="Times New Roman" w:hAnsi="Arial Narrow" w:cs="Calibri"/>
                <w:bCs/>
                <w:color w:val="000000"/>
                <w:szCs w:val="20"/>
                <w:lang w:val="en-US"/>
              </w:rPr>
            </w:pPr>
            <w:r w:rsidRPr="00EA0624">
              <w:rPr>
                <w:rFonts w:ascii="Arial Narrow" w:eastAsia="Times New Roman" w:hAnsi="Arial Narrow" w:cs="Calibri"/>
                <w:bCs/>
                <w:color w:val="000000"/>
                <w:szCs w:val="20"/>
                <w:lang w:val="en-US"/>
              </w:rPr>
              <w:t>EV-ICD leads (</w:t>
            </w:r>
            <w:r>
              <w:rPr>
                <w:rFonts w:ascii="Arial Narrow" w:eastAsia="Times New Roman" w:hAnsi="Arial Narrow" w:cs="Calibri"/>
                <w:bCs/>
                <w:color w:val="000000"/>
                <w:szCs w:val="20"/>
                <w:lang w:val="en-US"/>
              </w:rPr>
              <w:t>B</w:t>
            </w:r>
            <w:r w:rsidRPr="00EA0624">
              <w:rPr>
                <w:rFonts w:ascii="Arial Narrow" w:eastAsia="Times New Roman" w:hAnsi="Arial Narrow" w:cs="Calibri"/>
                <w:bCs/>
                <w:color w:val="000000"/>
                <w:szCs w:val="20"/>
                <w:lang w:val="en-US"/>
              </w:rPr>
              <w:t xml:space="preserve"> x</w:t>
            </w:r>
            <w:r>
              <w:rPr>
                <w:rFonts w:ascii="Arial Narrow" w:eastAsia="Times New Roman" w:hAnsi="Arial Narrow" w:cs="Calibri"/>
                <w:bCs/>
                <w:color w:val="000000"/>
                <w:szCs w:val="20"/>
                <w:lang w:val="en-US"/>
              </w:rPr>
              <w:t xml:space="preserve"> (1+C) x D x E</w:t>
            </w:r>
            <w:r w:rsidRPr="00EA0624">
              <w:rPr>
                <w:rFonts w:ascii="Arial Narrow" w:eastAsia="Times New Roman" w:hAnsi="Arial Narrow" w:cs="Calibri"/>
                <w:bCs/>
                <w:color w:val="000000"/>
                <w:szCs w:val="20"/>
                <w:lang w:val="en-US"/>
              </w:rPr>
              <w:t>)</w:t>
            </w:r>
          </w:p>
        </w:tc>
        <w:tc>
          <w:tcPr>
            <w:tcW w:w="851" w:type="dxa"/>
            <w:shd w:val="clear" w:color="auto" w:fill="auto"/>
            <w:vAlign w:val="center"/>
          </w:tcPr>
          <w:p w14:paraId="0489653A" w14:textId="77777777" w:rsidR="005F2D06" w:rsidRPr="00EA0624" w:rsidRDefault="005F2D06" w:rsidP="005F2D06">
            <w:pPr>
              <w:keepNext/>
              <w:spacing w:before="0" w:after="0"/>
              <w:jc w:val="center"/>
              <w:rPr>
                <w:rFonts w:ascii="Arial Narrow" w:eastAsia="Times New Roman" w:hAnsi="Arial Narrow" w:cs="Calibri"/>
                <w:bCs/>
                <w:color w:val="000000"/>
                <w:szCs w:val="20"/>
                <w:lang w:val="en-US"/>
              </w:rPr>
            </w:pPr>
          </w:p>
        </w:tc>
        <w:tc>
          <w:tcPr>
            <w:tcW w:w="709" w:type="dxa"/>
            <w:shd w:val="clear" w:color="auto" w:fill="auto"/>
            <w:vAlign w:val="center"/>
          </w:tcPr>
          <w:p w14:paraId="7B3B95FE" w14:textId="77777777" w:rsidR="005F2D06" w:rsidRPr="00EA0624" w:rsidRDefault="005F2D06" w:rsidP="005F2D06">
            <w:pPr>
              <w:keepNext/>
              <w:spacing w:before="0" w:after="0"/>
              <w:jc w:val="center"/>
              <w:rPr>
                <w:rFonts w:ascii="Arial Narrow" w:eastAsia="Times New Roman" w:hAnsi="Arial Narrow" w:cs="Calibri"/>
                <w:bCs/>
                <w:color w:val="000000"/>
                <w:szCs w:val="20"/>
                <w:lang w:val="en-US"/>
              </w:rPr>
            </w:pPr>
          </w:p>
        </w:tc>
        <w:tc>
          <w:tcPr>
            <w:tcW w:w="1134" w:type="dxa"/>
            <w:vAlign w:val="center"/>
          </w:tcPr>
          <w:p w14:paraId="37F61BE6" w14:textId="1EC61E84" w:rsidR="005F2D06" w:rsidRPr="00885218" w:rsidRDefault="00090A42" w:rsidP="005F2D06">
            <w:pPr>
              <w:spacing w:before="0" w:after="0"/>
              <w:jc w:val="center"/>
              <w:rPr>
                <w:rFonts w:ascii="Arial Narrow" w:hAnsi="Arial Narrow" w:cs="Calibri"/>
                <w:color w:val="000000"/>
                <w:szCs w:val="20"/>
                <w:highlight w:val="yellow"/>
              </w:rPr>
            </w:pPr>
            <w:r w:rsidRPr="00090A42">
              <w:rPr>
                <w:rFonts w:ascii="Arial Narrow" w:hAnsi="Arial Narrow" w:cs="Calibri"/>
                <w:b/>
                <w:bCs/>
                <w:szCs w:val="20"/>
              </w:rPr>
              <w:t>REDACTED</w:t>
            </w:r>
          </w:p>
        </w:tc>
      </w:tr>
    </w:tbl>
    <w:p w14:paraId="79CF8E74" w14:textId="5BF26334" w:rsidR="00492F9D" w:rsidRPr="00082192" w:rsidRDefault="00492F9D" w:rsidP="00492F9D">
      <w:pPr>
        <w:spacing w:before="0" w:after="0"/>
        <w:ind w:left="425"/>
        <w:contextualSpacing/>
        <w:rPr>
          <w:rFonts w:ascii="Arial Narrow" w:hAnsi="Arial Narrow"/>
          <w:sz w:val="17"/>
          <w:szCs w:val="17"/>
        </w:rPr>
      </w:pPr>
      <w:r w:rsidRPr="00082192">
        <w:rPr>
          <w:rFonts w:ascii="Arial Narrow" w:hAnsi="Arial Narrow"/>
          <w:sz w:val="17"/>
          <w:szCs w:val="17"/>
        </w:rPr>
        <w:t>MBS, Medicare Benefits Schedule; EV-ICD, extravascular implantable cardioverter defibrillator; TV, transvenous implantable cardioverter defibrillator</w:t>
      </w:r>
    </w:p>
    <w:p w14:paraId="7CD4BB32" w14:textId="4C39DE4D" w:rsidR="00604C88" w:rsidRPr="00082192" w:rsidRDefault="00604C88" w:rsidP="00492F9D">
      <w:pPr>
        <w:spacing w:before="0" w:after="0"/>
        <w:ind w:left="425"/>
        <w:contextualSpacing/>
        <w:rPr>
          <w:rFonts w:ascii="Arial Narrow" w:hAnsi="Arial Narrow"/>
          <w:sz w:val="17"/>
          <w:szCs w:val="17"/>
        </w:rPr>
      </w:pPr>
      <w:r w:rsidRPr="00082192">
        <w:rPr>
          <w:rFonts w:ascii="Arial Narrow" w:hAnsi="Arial Narrow"/>
          <w:sz w:val="17"/>
          <w:szCs w:val="17"/>
        </w:rPr>
        <w:t>a. Refer to Figure 2 for formula for line of best fit based on 2016 – 2021 data.</w:t>
      </w:r>
    </w:p>
    <w:p w14:paraId="7C9DB2A0" w14:textId="08F05749" w:rsidR="00EC4A11" w:rsidRPr="00082192" w:rsidRDefault="00EC4A11" w:rsidP="00EC4A11">
      <w:pPr>
        <w:spacing w:before="0" w:after="240"/>
        <w:ind w:left="425"/>
        <w:contextualSpacing/>
        <w:rPr>
          <w:rFonts w:ascii="Arial Narrow" w:hAnsi="Arial Narrow"/>
          <w:sz w:val="17"/>
          <w:szCs w:val="17"/>
        </w:rPr>
      </w:pPr>
      <w:r w:rsidRPr="00082192">
        <w:rPr>
          <w:rFonts w:ascii="Arial Narrow" w:hAnsi="Arial Narrow"/>
          <w:sz w:val="17"/>
          <w:szCs w:val="17"/>
        </w:rPr>
        <w:t xml:space="preserve">Source: MBS item volumes sourced from Medicare statistics online (accessed </w:t>
      </w:r>
      <w:r w:rsidR="002C7430" w:rsidRPr="00082192">
        <w:rPr>
          <w:rFonts w:ascii="Arial Narrow" w:hAnsi="Arial Narrow"/>
          <w:sz w:val="17"/>
          <w:szCs w:val="17"/>
        </w:rPr>
        <w:t>7</w:t>
      </w:r>
      <w:r w:rsidR="002C7430" w:rsidRPr="00082192">
        <w:rPr>
          <w:rFonts w:ascii="Arial Narrow" w:hAnsi="Arial Narrow"/>
          <w:sz w:val="17"/>
          <w:szCs w:val="17"/>
          <w:vertAlign w:val="superscript"/>
        </w:rPr>
        <w:t>th</w:t>
      </w:r>
      <w:r w:rsidR="002C7430" w:rsidRPr="00082192">
        <w:rPr>
          <w:rFonts w:ascii="Arial Narrow" w:hAnsi="Arial Narrow"/>
          <w:sz w:val="17"/>
          <w:szCs w:val="17"/>
        </w:rPr>
        <w:t xml:space="preserve"> March 2022).</w:t>
      </w:r>
      <w:r w:rsidR="007D744E" w:rsidRPr="00082192">
        <w:rPr>
          <w:rFonts w:ascii="Arial Narrow" w:hAnsi="Arial Narrow"/>
          <w:sz w:val="17"/>
          <w:szCs w:val="17"/>
        </w:rPr>
        <w:t xml:space="preserve"> </w:t>
      </w:r>
    </w:p>
    <w:p w14:paraId="48DA8EF9" w14:textId="77777777" w:rsidR="00974D50" w:rsidRPr="003E04C2"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w:t>
      </w:r>
      <w:r w:rsidR="001B171D" w:rsidRPr="003E04C2">
        <w:t>health system in meeting the needs of the proposed population (suc</w:t>
      </w:r>
      <w:r w:rsidRPr="003E04C2">
        <w:t>h as supply and demand factors)</w:t>
      </w:r>
      <w:r w:rsidR="001B171D" w:rsidRPr="003E04C2">
        <w:t xml:space="preserve"> as well as </w:t>
      </w:r>
      <w:r w:rsidR="009C03FB" w:rsidRPr="003E04C2">
        <w:t>provide commentary on</w:t>
      </w:r>
      <w:r w:rsidR="001B171D" w:rsidRPr="003E04C2">
        <w:t xml:space="preserve"> risk of ‘leakage’ to populations not targeted by the service</w:t>
      </w:r>
      <w:r w:rsidR="00AE1188" w:rsidRPr="003E04C2">
        <w:t>:</w:t>
      </w:r>
    </w:p>
    <w:p w14:paraId="03ABC133" w14:textId="43DA6E1B" w:rsidR="001E7C46" w:rsidRPr="008D2B92" w:rsidRDefault="00616C0A" w:rsidP="007703DA">
      <w:pPr>
        <w:ind w:left="426"/>
        <w:rPr>
          <w:szCs w:val="20"/>
        </w:rPr>
      </w:pPr>
      <w:r w:rsidRPr="003E04C2">
        <w:rPr>
          <w:szCs w:val="20"/>
        </w:rPr>
        <w:t xml:space="preserve">Insertion/removal/replacement of EV-ICD leads will </w:t>
      </w:r>
      <w:r w:rsidR="001E7C46" w:rsidRPr="003E04C2">
        <w:rPr>
          <w:szCs w:val="20"/>
        </w:rPr>
        <w:t xml:space="preserve">be performed by </w:t>
      </w:r>
      <w:r w:rsidR="00A11D5B" w:rsidRPr="003E04C2">
        <w:rPr>
          <w:szCs w:val="20"/>
        </w:rPr>
        <w:t xml:space="preserve">the </w:t>
      </w:r>
      <w:r w:rsidR="00124796" w:rsidRPr="00124796">
        <w:rPr>
          <w:szCs w:val="20"/>
        </w:rPr>
        <w:t xml:space="preserve">electrophysiology cardiologist or cardiothoracic surgeon </w:t>
      </w:r>
      <w:r w:rsidRPr="003E04C2">
        <w:rPr>
          <w:szCs w:val="20"/>
        </w:rPr>
        <w:t xml:space="preserve">in a private or public hospital.  </w:t>
      </w:r>
      <w:r w:rsidR="001E7C46" w:rsidRPr="003E04C2">
        <w:rPr>
          <w:szCs w:val="20"/>
        </w:rPr>
        <w:t>It is possible that there will be capacity restraints if there are not enough available facilities and trained medical staff to meet demand.  It is likely that capacity will increase in coming years.  However, assuming that capacity is available to meet demand,</w:t>
      </w:r>
      <w:r w:rsidRPr="003E04C2">
        <w:rPr>
          <w:szCs w:val="20"/>
        </w:rPr>
        <w:t xml:space="preserve"> uptake of EV</w:t>
      </w:r>
      <w:r w:rsidR="006D4F55" w:rsidRPr="003E04C2">
        <w:rPr>
          <w:szCs w:val="20"/>
        </w:rPr>
        <w:t>-ICD was assumed to start</w:t>
      </w:r>
      <w:r w:rsidR="006D4F55" w:rsidRPr="00EA0624">
        <w:rPr>
          <w:szCs w:val="20"/>
        </w:rPr>
        <w:t xml:space="preserve"> with </w:t>
      </w:r>
      <w:r w:rsidR="00090A42" w:rsidRPr="00090A42">
        <w:rPr>
          <w:b/>
          <w:bCs/>
          <w:szCs w:val="20"/>
        </w:rPr>
        <w:t>REDACTED</w:t>
      </w:r>
      <w:r w:rsidR="00090A42" w:rsidRPr="00EA0624">
        <w:rPr>
          <w:szCs w:val="20"/>
        </w:rPr>
        <w:t xml:space="preserve"> </w:t>
      </w:r>
      <w:r w:rsidRPr="00EA0624">
        <w:rPr>
          <w:szCs w:val="20"/>
        </w:rPr>
        <w:t xml:space="preserve">of the existing TV-ICD market in Year 1, increasing </w:t>
      </w:r>
      <w:r w:rsidRPr="00885218">
        <w:rPr>
          <w:szCs w:val="20"/>
        </w:rPr>
        <w:t xml:space="preserve">to </w:t>
      </w:r>
      <w:r w:rsidR="00090A42" w:rsidRPr="00090A42">
        <w:rPr>
          <w:b/>
          <w:bCs/>
          <w:szCs w:val="20"/>
        </w:rPr>
        <w:t>REDACTED</w:t>
      </w:r>
      <w:r w:rsidRPr="00EA0624">
        <w:rPr>
          <w:szCs w:val="20"/>
        </w:rPr>
        <w:t xml:space="preserve"> in Year 2 and </w:t>
      </w:r>
      <w:r w:rsidR="00090A42" w:rsidRPr="00090A42">
        <w:rPr>
          <w:b/>
          <w:bCs/>
          <w:szCs w:val="20"/>
        </w:rPr>
        <w:t>REDACTED</w:t>
      </w:r>
      <w:r w:rsidRPr="00EA0624">
        <w:rPr>
          <w:szCs w:val="20"/>
        </w:rPr>
        <w:t xml:space="preserve"> in Year 3</w:t>
      </w:r>
      <w:r w:rsidR="00604C88">
        <w:rPr>
          <w:szCs w:val="20"/>
        </w:rPr>
        <w:t xml:space="preserve"> (Table 3).</w:t>
      </w:r>
    </w:p>
    <w:p w14:paraId="6F1F73BA" w14:textId="2D438A20" w:rsidR="001E7C46" w:rsidRPr="00EA0624" w:rsidRDefault="004F2CEB" w:rsidP="00E50F47">
      <w:pPr>
        <w:pStyle w:val="Caption2"/>
        <w:keepNext/>
        <w:ind w:firstLine="426"/>
      </w:pPr>
      <w:r>
        <w:t xml:space="preserve">Table 3. </w:t>
      </w:r>
      <w:r w:rsidR="00604C88">
        <w:t>Determination of forecast service volumes for EV-ICD leads (years 1 – 3)</w:t>
      </w:r>
    </w:p>
    <w:tbl>
      <w:tblPr>
        <w:tblW w:w="85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678"/>
        <w:gridCol w:w="1134"/>
        <w:gridCol w:w="1134"/>
        <w:gridCol w:w="1145"/>
      </w:tblGrid>
      <w:tr w:rsidR="00C77479" w:rsidRPr="00EA0624" w14:paraId="08352702" w14:textId="77777777" w:rsidTr="00082192">
        <w:trPr>
          <w:trHeight w:val="170"/>
        </w:trPr>
        <w:tc>
          <w:tcPr>
            <w:tcW w:w="425" w:type="dxa"/>
            <w:shd w:val="clear" w:color="auto" w:fill="auto"/>
            <w:vAlign w:val="center"/>
            <w:hideMark/>
          </w:tcPr>
          <w:p w14:paraId="24A79B3C" w14:textId="1D829DF1" w:rsidR="00C77479" w:rsidRPr="00FC58EF" w:rsidRDefault="00C77479" w:rsidP="00C77479">
            <w:pPr>
              <w:keepNext/>
              <w:spacing w:before="0" w:after="0"/>
              <w:rPr>
                <w:rFonts w:ascii="Arial Narrow" w:eastAsia="Times New Roman" w:hAnsi="Arial Narrow" w:cs="Calibri"/>
                <w:bCs/>
                <w:color w:val="000000"/>
                <w:szCs w:val="20"/>
                <w:lang w:val="en-US"/>
              </w:rPr>
            </w:pPr>
          </w:p>
        </w:tc>
        <w:tc>
          <w:tcPr>
            <w:tcW w:w="4678" w:type="dxa"/>
            <w:shd w:val="clear" w:color="auto" w:fill="auto"/>
            <w:vAlign w:val="center"/>
            <w:hideMark/>
          </w:tcPr>
          <w:p w14:paraId="4CFB1F98" w14:textId="77777777" w:rsidR="00C77479" w:rsidRPr="00EA0624" w:rsidRDefault="00C77479" w:rsidP="00C77479">
            <w:pPr>
              <w:keepNext/>
              <w:spacing w:before="0" w:after="0"/>
              <w:rPr>
                <w:rFonts w:ascii="Arial Narrow" w:eastAsia="Times New Roman" w:hAnsi="Arial Narrow" w:cs="Calibri"/>
                <w:b/>
                <w:bCs/>
                <w:color w:val="000000"/>
                <w:szCs w:val="20"/>
                <w:lang w:val="en-US"/>
              </w:rPr>
            </w:pPr>
            <w:r w:rsidRPr="00EA0624">
              <w:rPr>
                <w:rFonts w:ascii="Arial Narrow" w:eastAsia="Times New Roman" w:hAnsi="Arial Narrow" w:cs="Calibri"/>
                <w:b/>
                <w:bCs/>
                <w:color w:val="000000"/>
                <w:szCs w:val="20"/>
                <w:lang w:val="en-US"/>
              </w:rPr>
              <w:t> </w:t>
            </w:r>
          </w:p>
        </w:tc>
        <w:tc>
          <w:tcPr>
            <w:tcW w:w="1134" w:type="dxa"/>
            <w:vAlign w:val="center"/>
          </w:tcPr>
          <w:p w14:paraId="58F7D90B" w14:textId="77777777" w:rsidR="00C77479" w:rsidRPr="00EA0624" w:rsidRDefault="00C77479" w:rsidP="00C77479">
            <w:pPr>
              <w:keepNext/>
              <w:spacing w:before="0" w:after="0"/>
              <w:jc w:val="center"/>
              <w:rPr>
                <w:rFonts w:ascii="Arial Narrow" w:eastAsia="Times New Roman" w:hAnsi="Arial Narrow" w:cs="Calibri"/>
                <w:b/>
                <w:bCs/>
                <w:color w:val="000000"/>
                <w:szCs w:val="20"/>
                <w:lang w:val="en-US"/>
              </w:rPr>
            </w:pPr>
            <w:r w:rsidRPr="00EA0624">
              <w:rPr>
                <w:rFonts w:ascii="Arial Narrow" w:eastAsia="Times New Roman" w:hAnsi="Arial Narrow" w:cs="Calibri"/>
                <w:b/>
                <w:bCs/>
                <w:color w:val="000000"/>
                <w:szCs w:val="20"/>
                <w:lang w:val="en-US"/>
              </w:rPr>
              <w:t>Year 1</w:t>
            </w:r>
          </w:p>
          <w:p w14:paraId="374E5822" w14:textId="77777777" w:rsidR="00C77479" w:rsidRPr="00EA0624" w:rsidRDefault="00C77479" w:rsidP="00C77479">
            <w:pPr>
              <w:keepNext/>
              <w:spacing w:before="0" w:after="0"/>
              <w:jc w:val="center"/>
              <w:rPr>
                <w:rFonts w:ascii="Arial Narrow" w:eastAsia="Times New Roman" w:hAnsi="Arial Narrow" w:cs="Calibri"/>
                <w:b/>
                <w:bCs/>
                <w:color w:val="000000"/>
                <w:szCs w:val="20"/>
                <w:lang w:val="en-US"/>
              </w:rPr>
            </w:pPr>
            <w:r w:rsidRPr="00EA0624">
              <w:rPr>
                <w:rFonts w:ascii="Arial Narrow" w:eastAsia="Times New Roman" w:hAnsi="Arial Narrow" w:cs="Calibri"/>
                <w:b/>
                <w:bCs/>
                <w:color w:val="000000"/>
                <w:szCs w:val="20"/>
                <w:lang w:val="en-US"/>
              </w:rPr>
              <w:t>2023</w:t>
            </w:r>
          </w:p>
        </w:tc>
        <w:tc>
          <w:tcPr>
            <w:tcW w:w="1134" w:type="dxa"/>
            <w:vAlign w:val="center"/>
          </w:tcPr>
          <w:p w14:paraId="5397E1B9" w14:textId="77777777" w:rsidR="00C77479" w:rsidRPr="00EA0624" w:rsidRDefault="00C77479" w:rsidP="00EA0624">
            <w:pPr>
              <w:keepNext/>
              <w:spacing w:before="0" w:after="0"/>
              <w:jc w:val="center"/>
              <w:rPr>
                <w:rFonts w:ascii="Arial Narrow" w:eastAsia="Times New Roman" w:hAnsi="Arial Narrow" w:cs="Calibri"/>
                <w:b/>
                <w:bCs/>
                <w:color w:val="000000"/>
                <w:szCs w:val="20"/>
                <w:lang w:val="en-US"/>
              </w:rPr>
            </w:pPr>
            <w:r w:rsidRPr="00EA0624">
              <w:rPr>
                <w:rFonts w:ascii="Arial Narrow" w:eastAsia="Times New Roman" w:hAnsi="Arial Narrow" w:cs="Calibri"/>
                <w:b/>
                <w:bCs/>
                <w:color w:val="000000"/>
                <w:szCs w:val="20"/>
                <w:lang w:val="en-US"/>
              </w:rPr>
              <w:t>Year 2</w:t>
            </w:r>
          </w:p>
          <w:p w14:paraId="04BB5A17" w14:textId="77777777" w:rsidR="00C77479" w:rsidRPr="00EA0624" w:rsidRDefault="00C77479" w:rsidP="00EA0624">
            <w:pPr>
              <w:keepNext/>
              <w:spacing w:before="0" w:after="0"/>
              <w:jc w:val="center"/>
              <w:rPr>
                <w:rFonts w:ascii="Arial Narrow" w:eastAsia="Times New Roman" w:hAnsi="Arial Narrow" w:cs="Calibri"/>
                <w:b/>
                <w:bCs/>
                <w:color w:val="000000"/>
                <w:szCs w:val="20"/>
                <w:lang w:val="en-US"/>
              </w:rPr>
            </w:pPr>
            <w:r w:rsidRPr="00EA0624">
              <w:rPr>
                <w:rFonts w:ascii="Arial Narrow" w:eastAsia="Times New Roman" w:hAnsi="Arial Narrow" w:cs="Calibri"/>
                <w:b/>
                <w:bCs/>
                <w:color w:val="000000"/>
                <w:szCs w:val="20"/>
                <w:lang w:val="en-US"/>
              </w:rPr>
              <w:t>2024</w:t>
            </w:r>
          </w:p>
        </w:tc>
        <w:tc>
          <w:tcPr>
            <w:tcW w:w="1145" w:type="dxa"/>
            <w:vAlign w:val="center"/>
          </w:tcPr>
          <w:p w14:paraId="227BDCB4" w14:textId="77777777" w:rsidR="00C77479" w:rsidRPr="00EA0624" w:rsidRDefault="009C5D08" w:rsidP="00EA0624">
            <w:pPr>
              <w:keepNext/>
              <w:spacing w:before="0" w:after="0"/>
              <w:jc w:val="center"/>
              <w:rPr>
                <w:rFonts w:ascii="Arial Narrow" w:eastAsia="Times New Roman" w:hAnsi="Arial Narrow" w:cs="Calibri"/>
                <w:b/>
                <w:bCs/>
                <w:color w:val="000000"/>
                <w:szCs w:val="20"/>
                <w:lang w:val="en-US"/>
              </w:rPr>
            </w:pPr>
            <w:r w:rsidRPr="00EA0624">
              <w:rPr>
                <w:rFonts w:ascii="Arial Narrow" w:eastAsia="Times New Roman" w:hAnsi="Arial Narrow" w:cs="Calibri"/>
                <w:b/>
                <w:bCs/>
                <w:color w:val="000000"/>
                <w:szCs w:val="20"/>
                <w:lang w:val="en-US"/>
              </w:rPr>
              <w:t>Year 3</w:t>
            </w:r>
          </w:p>
          <w:p w14:paraId="04CEAFA6" w14:textId="77777777" w:rsidR="00C77479" w:rsidRPr="00EA0624" w:rsidRDefault="00C77479" w:rsidP="00EA0624">
            <w:pPr>
              <w:keepNext/>
              <w:spacing w:before="0" w:after="0"/>
              <w:jc w:val="center"/>
              <w:rPr>
                <w:rFonts w:ascii="Arial Narrow" w:eastAsia="Times New Roman" w:hAnsi="Arial Narrow" w:cs="Calibri"/>
                <w:b/>
                <w:bCs/>
                <w:color w:val="000000"/>
                <w:szCs w:val="20"/>
                <w:lang w:val="en-US"/>
              </w:rPr>
            </w:pPr>
            <w:r w:rsidRPr="00EA0624">
              <w:rPr>
                <w:rFonts w:ascii="Arial Narrow" w:eastAsia="Times New Roman" w:hAnsi="Arial Narrow" w:cs="Calibri"/>
                <w:b/>
                <w:bCs/>
                <w:color w:val="000000"/>
                <w:szCs w:val="20"/>
                <w:lang w:val="en-US"/>
              </w:rPr>
              <w:t>2025</w:t>
            </w:r>
          </w:p>
        </w:tc>
      </w:tr>
      <w:tr w:rsidR="00090A42" w:rsidRPr="00EA0624" w14:paraId="5020F94C" w14:textId="77777777" w:rsidTr="00082192">
        <w:trPr>
          <w:trHeight w:val="510"/>
        </w:trPr>
        <w:tc>
          <w:tcPr>
            <w:tcW w:w="425" w:type="dxa"/>
            <w:shd w:val="clear" w:color="auto" w:fill="auto"/>
            <w:vAlign w:val="center"/>
            <w:hideMark/>
          </w:tcPr>
          <w:p w14:paraId="2D3BB0A5" w14:textId="4A6F92FB" w:rsidR="00090A42" w:rsidRPr="00EA0624" w:rsidRDefault="00090A42" w:rsidP="00090A42">
            <w:pPr>
              <w:keepNext/>
              <w:spacing w:before="0" w:after="0"/>
              <w:rPr>
                <w:rFonts w:ascii="Arial Narrow" w:eastAsia="Times New Roman" w:hAnsi="Arial Narrow" w:cs="Calibri"/>
                <w:bCs/>
                <w:color w:val="000000"/>
                <w:szCs w:val="20"/>
                <w:lang w:val="en-US"/>
              </w:rPr>
            </w:pPr>
            <w:r>
              <w:rPr>
                <w:rFonts w:ascii="Arial Narrow" w:eastAsia="Times New Roman" w:hAnsi="Arial Narrow" w:cs="Calibri"/>
                <w:bCs/>
                <w:color w:val="000000"/>
                <w:szCs w:val="20"/>
                <w:lang w:val="en-US"/>
              </w:rPr>
              <w:t>A</w:t>
            </w:r>
            <w:r w:rsidRPr="00EA0624">
              <w:rPr>
                <w:rFonts w:ascii="Arial Narrow" w:eastAsia="Times New Roman" w:hAnsi="Arial Narrow" w:cs="Calibri"/>
                <w:bCs/>
                <w:color w:val="000000"/>
                <w:szCs w:val="20"/>
                <w:lang w:val="en-US"/>
              </w:rPr>
              <w:t xml:space="preserve"> </w:t>
            </w:r>
          </w:p>
        </w:tc>
        <w:tc>
          <w:tcPr>
            <w:tcW w:w="4678" w:type="dxa"/>
            <w:shd w:val="clear" w:color="auto" w:fill="auto"/>
            <w:vAlign w:val="center"/>
            <w:hideMark/>
          </w:tcPr>
          <w:p w14:paraId="701FF377" w14:textId="5933CA97" w:rsidR="00090A42" w:rsidRDefault="00090A42" w:rsidP="00090A42">
            <w:pPr>
              <w:keepNext/>
              <w:spacing w:before="0" w:after="0"/>
              <w:rPr>
                <w:rFonts w:ascii="Arial Narrow" w:eastAsia="Times New Roman" w:hAnsi="Arial Narrow" w:cs="Calibri"/>
                <w:bCs/>
                <w:color w:val="000000"/>
                <w:szCs w:val="20"/>
                <w:lang w:val="en-US"/>
              </w:rPr>
            </w:pPr>
            <w:r w:rsidRPr="00EA0624">
              <w:rPr>
                <w:rFonts w:ascii="Arial Narrow" w:eastAsia="Times New Roman" w:hAnsi="Arial Narrow" w:cs="Calibri"/>
                <w:bCs/>
                <w:color w:val="000000"/>
                <w:szCs w:val="20"/>
                <w:lang w:val="en-US"/>
              </w:rPr>
              <w:t>TV-ICD generator (MBS items 38387</w:t>
            </w:r>
            <w:r>
              <w:rPr>
                <w:rFonts w:ascii="Arial Narrow" w:eastAsia="Times New Roman" w:hAnsi="Arial Narrow" w:cs="Calibri"/>
                <w:bCs/>
                <w:color w:val="000000"/>
                <w:szCs w:val="20"/>
                <w:lang w:val="en-US"/>
              </w:rPr>
              <w:t xml:space="preserve">, </w:t>
            </w:r>
            <w:r w:rsidRPr="00EA0624">
              <w:rPr>
                <w:rFonts w:ascii="Arial Narrow" w:eastAsia="Times New Roman" w:hAnsi="Arial Narrow" w:cs="Calibri"/>
                <w:bCs/>
                <w:color w:val="000000"/>
                <w:szCs w:val="20"/>
                <w:lang w:val="en-US"/>
              </w:rPr>
              <w:t>38393</w:t>
            </w:r>
            <w:r>
              <w:rPr>
                <w:rFonts w:ascii="Arial Narrow" w:eastAsia="Times New Roman" w:hAnsi="Arial Narrow" w:cs="Calibri"/>
                <w:bCs/>
                <w:color w:val="000000"/>
                <w:szCs w:val="20"/>
                <w:lang w:val="en-US"/>
              </w:rPr>
              <w:t>, 38472</w:t>
            </w:r>
            <w:r w:rsidRPr="00EA0624">
              <w:rPr>
                <w:rFonts w:ascii="Arial Narrow" w:eastAsia="Times New Roman" w:hAnsi="Arial Narrow" w:cs="Calibri"/>
                <w:bCs/>
                <w:color w:val="000000"/>
                <w:szCs w:val="20"/>
                <w:lang w:val="en-US"/>
              </w:rPr>
              <w:t>)</w:t>
            </w:r>
            <w:r w:rsidR="00082192">
              <w:rPr>
                <w:rFonts w:ascii="Arial Narrow" w:eastAsia="Times New Roman" w:hAnsi="Arial Narrow" w:cs="Calibri"/>
                <w:bCs/>
                <w:color w:val="000000"/>
                <w:szCs w:val="20"/>
                <w:lang w:val="en-US"/>
              </w:rPr>
              <w:t xml:space="preserve"> </w:t>
            </w:r>
            <w:r w:rsidRPr="00EA0624">
              <w:rPr>
                <w:rFonts w:ascii="Arial Narrow" w:eastAsia="Times New Roman" w:hAnsi="Arial Narrow" w:cs="Calibri"/>
                <w:bCs/>
                <w:color w:val="000000"/>
                <w:szCs w:val="20"/>
                <w:lang w:val="en-US"/>
              </w:rPr>
              <w:t xml:space="preserve">(forecast = </w:t>
            </w:r>
            <w:r>
              <w:rPr>
                <w:rFonts w:ascii="Arial Narrow" w:eastAsia="Times New Roman" w:hAnsi="Arial Narrow" w:cs="Calibri"/>
                <w:bCs/>
                <w:color w:val="000000"/>
                <w:szCs w:val="20"/>
                <w:lang w:val="en-US"/>
              </w:rPr>
              <w:t xml:space="preserve">linear line of best fit for 2016 – 2021 data, </w:t>
            </w:r>
          </w:p>
          <w:p w14:paraId="702B646E" w14:textId="4DF37737" w:rsidR="00090A42" w:rsidRPr="00604C88" w:rsidRDefault="00090A42" w:rsidP="00090A42">
            <w:pPr>
              <w:keepNext/>
              <w:spacing w:before="0" w:after="0"/>
              <w:rPr>
                <w:rFonts w:ascii="Arial Narrow" w:eastAsia="Times New Roman" w:hAnsi="Arial Narrow" w:cs="Calibri"/>
                <w:bCs/>
                <w:color w:val="000000"/>
                <w:szCs w:val="20"/>
                <w:vertAlign w:val="superscript"/>
                <w:lang w:val="en-US"/>
              </w:rPr>
            </w:pPr>
            <w:r>
              <w:rPr>
                <w:rFonts w:ascii="Arial Narrow" w:eastAsia="Times New Roman" w:hAnsi="Arial Narrow" w:cs="Calibri"/>
                <w:bCs/>
                <w:color w:val="000000"/>
                <w:szCs w:val="20"/>
                <w:lang w:val="en-US"/>
              </w:rPr>
              <w:t>y = -62.171x +</w:t>
            </w:r>
            <w:proofErr w:type="gramStart"/>
            <w:r>
              <w:rPr>
                <w:rFonts w:ascii="Arial Narrow" w:eastAsia="Times New Roman" w:hAnsi="Arial Narrow" w:cs="Calibri"/>
                <w:bCs/>
                <w:color w:val="000000"/>
                <w:szCs w:val="20"/>
                <w:lang w:val="en-US"/>
              </w:rPr>
              <w:t>127,539)</w:t>
            </w:r>
            <w:r>
              <w:rPr>
                <w:rFonts w:ascii="Arial Narrow" w:eastAsia="Times New Roman" w:hAnsi="Arial Narrow" w:cs="Calibri"/>
                <w:bCs/>
                <w:color w:val="000000"/>
                <w:szCs w:val="20"/>
                <w:vertAlign w:val="superscript"/>
                <w:lang w:val="en-US"/>
              </w:rPr>
              <w:t>a</w:t>
            </w:r>
            <w:proofErr w:type="gramEnd"/>
          </w:p>
        </w:tc>
        <w:tc>
          <w:tcPr>
            <w:tcW w:w="1134" w:type="dxa"/>
            <w:vAlign w:val="center"/>
          </w:tcPr>
          <w:p w14:paraId="4BB8BF87" w14:textId="3BDCCBA0" w:rsidR="00090A42" w:rsidRPr="00885218" w:rsidRDefault="00090A42" w:rsidP="00082192">
            <w:pPr>
              <w:keepNext/>
              <w:spacing w:before="0" w:after="0"/>
              <w:jc w:val="center"/>
              <w:rPr>
                <w:rFonts w:ascii="Arial Narrow" w:eastAsia="Times New Roman" w:hAnsi="Arial Narrow" w:cs="Calibri"/>
                <w:bCs/>
                <w:color w:val="000000"/>
                <w:szCs w:val="20"/>
                <w:highlight w:val="yellow"/>
                <w:lang w:val="en-US"/>
              </w:rPr>
            </w:pPr>
            <w:r w:rsidRPr="00D35978">
              <w:rPr>
                <w:b/>
                <w:bCs/>
                <w:szCs w:val="20"/>
              </w:rPr>
              <w:t>REDACTED</w:t>
            </w:r>
          </w:p>
        </w:tc>
        <w:tc>
          <w:tcPr>
            <w:tcW w:w="1134" w:type="dxa"/>
            <w:vAlign w:val="center"/>
          </w:tcPr>
          <w:p w14:paraId="099889B8" w14:textId="0F1B4B17" w:rsidR="00090A42" w:rsidRPr="00885218" w:rsidRDefault="00090A42" w:rsidP="00082192">
            <w:pPr>
              <w:keepNext/>
              <w:spacing w:before="0" w:after="0"/>
              <w:jc w:val="center"/>
              <w:rPr>
                <w:rFonts w:ascii="Arial Narrow" w:eastAsia="Times New Roman" w:hAnsi="Arial Narrow" w:cs="Calibri"/>
                <w:bCs/>
                <w:color w:val="000000"/>
                <w:szCs w:val="20"/>
                <w:highlight w:val="yellow"/>
                <w:lang w:val="en-US"/>
              </w:rPr>
            </w:pPr>
            <w:r w:rsidRPr="00D35978">
              <w:rPr>
                <w:b/>
                <w:bCs/>
                <w:szCs w:val="20"/>
              </w:rPr>
              <w:t>REDACTED</w:t>
            </w:r>
          </w:p>
        </w:tc>
        <w:tc>
          <w:tcPr>
            <w:tcW w:w="1145" w:type="dxa"/>
            <w:vAlign w:val="center"/>
          </w:tcPr>
          <w:p w14:paraId="3BE80BFF" w14:textId="49E87B1D" w:rsidR="00090A42" w:rsidRPr="00885218" w:rsidRDefault="00090A42" w:rsidP="00082192">
            <w:pPr>
              <w:keepNext/>
              <w:spacing w:before="0" w:after="0"/>
              <w:jc w:val="center"/>
              <w:rPr>
                <w:rFonts w:ascii="Arial Narrow" w:eastAsia="Times New Roman" w:hAnsi="Arial Narrow" w:cs="Calibri"/>
                <w:bCs/>
                <w:color w:val="000000"/>
                <w:szCs w:val="20"/>
                <w:highlight w:val="yellow"/>
                <w:lang w:val="en-US"/>
              </w:rPr>
            </w:pPr>
            <w:r w:rsidRPr="00D35978">
              <w:rPr>
                <w:b/>
                <w:bCs/>
                <w:szCs w:val="20"/>
              </w:rPr>
              <w:t>REDACTED</w:t>
            </w:r>
          </w:p>
        </w:tc>
      </w:tr>
      <w:tr w:rsidR="00090A42" w:rsidRPr="00EA0624" w14:paraId="1D4D272D" w14:textId="77777777" w:rsidTr="00082192">
        <w:trPr>
          <w:trHeight w:val="510"/>
        </w:trPr>
        <w:tc>
          <w:tcPr>
            <w:tcW w:w="425" w:type="dxa"/>
            <w:shd w:val="clear" w:color="auto" w:fill="auto"/>
            <w:vAlign w:val="center"/>
          </w:tcPr>
          <w:p w14:paraId="1C08B346" w14:textId="72448E2F" w:rsidR="00090A42" w:rsidRPr="00EA0624" w:rsidRDefault="00090A42" w:rsidP="00090A42">
            <w:pPr>
              <w:keepNext/>
              <w:spacing w:before="0" w:after="0"/>
              <w:rPr>
                <w:rFonts w:ascii="Arial Narrow" w:eastAsia="Times New Roman" w:hAnsi="Arial Narrow" w:cs="Calibri"/>
                <w:bCs/>
                <w:color w:val="000000"/>
                <w:szCs w:val="20"/>
                <w:lang w:val="en-US"/>
              </w:rPr>
            </w:pPr>
            <w:r>
              <w:rPr>
                <w:rFonts w:ascii="Arial Narrow" w:eastAsia="Times New Roman" w:hAnsi="Arial Narrow" w:cs="Calibri"/>
                <w:bCs/>
                <w:color w:val="000000"/>
                <w:szCs w:val="20"/>
                <w:lang w:val="en-US"/>
              </w:rPr>
              <w:t>B</w:t>
            </w:r>
          </w:p>
        </w:tc>
        <w:tc>
          <w:tcPr>
            <w:tcW w:w="4678" w:type="dxa"/>
            <w:shd w:val="clear" w:color="auto" w:fill="auto"/>
            <w:vAlign w:val="center"/>
          </w:tcPr>
          <w:p w14:paraId="14D25608" w14:textId="4B0FA6D2" w:rsidR="00090A42" w:rsidRPr="00EA0624" w:rsidRDefault="00090A42" w:rsidP="00090A42">
            <w:pPr>
              <w:keepNext/>
              <w:spacing w:before="0" w:after="0"/>
              <w:rPr>
                <w:rFonts w:ascii="Arial Narrow" w:eastAsia="Times New Roman" w:hAnsi="Arial Narrow" w:cs="Calibri"/>
                <w:bCs/>
                <w:color w:val="000000"/>
                <w:szCs w:val="20"/>
                <w:lang w:val="en-US"/>
              </w:rPr>
            </w:pPr>
            <w:r w:rsidRPr="00EA0624">
              <w:rPr>
                <w:rFonts w:ascii="Arial Narrow" w:eastAsia="Times New Roman" w:hAnsi="Arial Narrow" w:cs="Calibri"/>
                <w:bCs/>
                <w:color w:val="000000"/>
                <w:szCs w:val="20"/>
                <w:lang w:val="en-US"/>
              </w:rPr>
              <w:t>TV-ICD leads (MBS items 38384</w:t>
            </w:r>
            <w:r>
              <w:rPr>
                <w:rFonts w:ascii="Arial Narrow" w:eastAsia="Times New Roman" w:hAnsi="Arial Narrow" w:cs="Calibri"/>
                <w:bCs/>
                <w:color w:val="000000"/>
                <w:szCs w:val="20"/>
                <w:lang w:val="en-US"/>
              </w:rPr>
              <w:t xml:space="preserve">, </w:t>
            </w:r>
            <w:r w:rsidRPr="00EA0624">
              <w:rPr>
                <w:rFonts w:ascii="Arial Narrow" w:eastAsia="Times New Roman" w:hAnsi="Arial Narrow" w:cs="Calibri"/>
                <w:bCs/>
                <w:color w:val="000000"/>
                <w:szCs w:val="20"/>
                <w:lang w:val="en-US"/>
              </w:rPr>
              <w:t>38390</w:t>
            </w:r>
            <w:r>
              <w:rPr>
                <w:rFonts w:ascii="Arial Narrow" w:eastAsia="Times New Roman" w:hAnsi="Arial Narrow" w:cs="Calibri"/>
                <w:bCs/>
                <w:color w:val="000000"/>
                <w:szCs w:val="20"/>
                <w:lang w:val="en-US"/>
              </w:rPr>
              <w:t>, 38471</w:t>
            </w:r>
            <w:r w:rsidRPr="00EA0624">
              <w:rPr>
                <w:rFonts w:ascii="Arial Narrow" w:eastAsia="Times New Roman" w:hAnsi="Arial Narrow" w:cs="Calibri"/>
                <w:bCs/>
                <w:color w:val="000000"/>
                <w:szCs w:val="20"/>
                <w:lang w:val="en-US"/>
              </w:rPr>
              <w:t>)</w:t>
            </w:r>
          </w:p>
          <w:p w14:paraId="77C84042" w14:textId="77777777" w:rsidR="00090A42" w:rsidRDefault="00090A42" w:rsidP="00090A42">
            <w:pPr>
              <w:keepNext/>
              <w:spacing w:before="0" w:after="0"/>
              <w:rPr>
                <w:rFonts w:ascii="Arial Narrow" w:eastAsia="Times New Roman" w:hAnsi="Arial Narrow" w:cs="Calibri"/>
                <w:bCs/>
                <w:color w:val="000000"/>
                <w:szCs w:val="20"/>
                <w:lang w:val="en-US"/>
              </w:rPr>
            </w:pPr>
            <w:r w:rsidRPr="00EA0624">
              <w:rPr>
                <w:rFonts w:ascii="Arial Narrow" w:eastAsia="Times New Roman" w:hAnsi="Arial Narrow" w:cs="Calibri"/>
                <w:bCs/>
                <w:color w:val="000000"/>
                <w:szCs w:val="20"/>
                <w:lang w:val="en-US"/>
              </w:rPr>
              <w:t xml:space="preserve">(forecast = </w:t>
            </w:r>
            <w:r>
              <w:rPr>
                <w:rFonts w:ascii="Arial Narrow" w:eastAsia="Times New Roman" w:hAnsi="Arial Narrow" w:cs="Calibri"/>
                <w:bCs/>
                <w:color w:val="000000"/>
                <w:szCs w:val="20"/>
                <w:lang w:val="en-US"/>
              </w:rPr>
              <w:t xml:space="preserve">linear line of best fit for 2016 – 2021 data, </w:t>
            </w:r>
          </w:p>
          <w:p w14:paraId="643B1CF6" w14:textId="1B9823D1" w:rsidR="00090A42" w:rsidRPr="00604C88" w:rsidRDefault="00090A42" w:rsidP="00090A42">
            <w:pPr>
              <w:keepNext/>
              <w:spacing w:before="0" w:after="0"/>
              <w:rPr>
                <w:rFonts w:ascii="Arial Narrow" w:eastAsia="Times New Roman" w:hAnsi="Arial Narrow" w:cs="Calibri"/>
                <w:bCs/>
                <w:color w:val="000000"/>
                <w:szCs w:val="20"/>
                <w:vertAlign w:val="superscript"/>
                <w:lang w:val="en-US"/>
              </w:rPr>
            </w:pPr>
            <w:r>
              <w:rPr>
                <w:rFonts w:ascii="Arial Narrow" w:eastAsia="Times New Roman" w:hAnsi="Arial Narrow" w:cs="Calibri"/>
                <w:bCs/>
                <w:color w:val="000000"/>
                <w:szCs w:val="20"/>
                <w:lang w:val="en-US"/>
              </w:rPr>
              <w:t>y = -35.486x+</w:t>
            </w:r>
            <w:proofErr w:type="gramStart"/>
            <w:r>
              <w:rPr>
                <w:rFonts w:ascii="Arial Narrow" w:eastAsia="Times New Roman" w:hAnsi="Arial Narrow" w:cs="Calibri"/>
                <w:bCs/>
                <w:color w:val="000000"/>
                <w:szCs w:val="20"/>
                <w:lang w:val="en-US"/>
              </w:rPr>
              <w:t>73,662)</w:t>
            </w:r>
            <w:r>
              <w:rPr>
                <w:rFonts w:ascii="Arial Narrow" w:eastAsia="Times New Roman" w:hAnsi="Arial Narrow" w:cs="Calibri"/>
                <w:bCs/>
                <w:color w:val="000000"/>
                <w:szCs w:val="20"/>
                <w:vertAlign w:val="superscript"/>
                <w:lang w:val="en-US"/>
              </w:rPr>
              <w:t>a</w:t>
            </w:r>
            <w:proofErr w:type="gramEnd"/>
          </w:p>
        </w:tc>
        <w:tc>
          <w:tcPr>
            <w:tcW w:w="1134" w:type="dxa"/>
            <w:vAlign w:val="center"/>
          </w:tcPr>
          <w:p w14:paraId="4AD30214" w14:textId="64A93036" w:rsidR="00090A42" w:rsidRPr="00885218" w:rsidRDefault="00090A42" w:rsidP="00082192">
            <w:pPr>
              <w:keepNext/>
              <w:spacing w:before="0" w:after="0"/>
              <w:jc w:val="center"/>
              <w:rPr>
                <w:rFonts w:ascii="Arial Narrow" w:eastAsia="Times New Roman" w:hAnsi="Arial Narrow" w:cs="Calibri"/>
                <w:bCs/>
                <w:color w:val="000000"/>
                <w:szCs w:val="20"/>
                <w:highlight w:val="yellow"/>
                <w:lang w:val="en-US"/>
              </w:rPr>
            </w:pPr>
            <w:r w:rsidRPr="00D35978">
              <w:rPr>
                <w:b/>
                <w:bCs/>
                <w:szCs w:val="20"/>
              </w:rPr>
              <w:t>REDACTED</w:t>
            </w:r>
          </w:p>
        </w:tc>
        <w:tc>
          <w:tcPr>
            <w:tcW w:w="1134" w:type="dxa"/>
            <w:vAlign w:val="center"/>
          </w:tcPr>
          <w:p w14:paraId="1C0384A5" w14:textId="5012717F" w:rsidR="00090A42" w:rsidRPr="00885218" w:rsidRDefault="00090A42" w:rsidP="00082192">
            <w:pPr>
              <w:keepNext/>
              <w:spacing w:before="0" w:after="0"/>
              <w:jc w:val="center"/>
              <w:rPr>
                <w:rFonts w:ascii="Arial Narrow" w:eastAsia="Times New Roman" w:hAnsi="Arial Narrow" w:cs="Calibri"/>
                <w:bCs/>
                <w:color w:val="000000"/>
                <w:szCs w:val="20"/>
                <w:highlight w:val="yellow"/>
                <w:lang w:val="en-US"/>
              </w:rPr>
            </w:pPr>
            <w:r w:rsidRPr="00D35978">
              <w:rPr>
                <w:b/>
                <w:bCs/>
                <w:szCs w:val="20"/>
              </w:rPr>
              <w:t>REDACTED</w:t>
            </w:r>
          </w:p>
        </w:tc>
        <w:tc>
          <w:tcPr>
            <w:tcW w:w="1145" w:type="dxa"/>
            <w:vAlign w:val="center"/>
          </w:tcPr>
          <w:p w14:paraId="4E047D71" w14:textId="6C4C1AFC" w:rsidR="00090A42" w:rsidRPr="00885218" w:rsidRDefault="00090A42" w:rsidP="00082192">
            <w:pPr>
              <w:keepNext/>
              <w:spacing w:before="0" w:after="0"/>
              <w:jc w:val="center"/>
              <w:rPr>
                <w:rFonts w:ascii="Arial Narrow" w:eastAsia="Times New Roman" w:hAnsi="Arial Narrow" w:cs="Calibri"/>
                <w:bCs/>
                <w:color w:val="000000"/>
                <w:szCs w:val="20"/>
                <w:highlight w:val="yellow"/>
                <w:lang w:val="en-US"/>
              </w:rPr>
            </w:pPr>
            <w:r w:rsidRPr="00D35978">
              <w:rPr>
                <w:b/>
                <w:bCs/>
                <w:szCs w:val="20"/>
              </w:rPr>
              <w:t>REDACTED</w:t>
            </w:r>
          </w:p>
        </w:tc>
      </w:tr>
      <w:tr w:rsidR="00090A42" w:rsidRPr="00EA0624" w14:paraId="1BC2D180" w14:textId="77777777" w:rsidTr="00082192">
        <w:trPr>
          <w:trHeight w:val="510"/>
        </w:trPr>
        <w:tc>
          <w:tcPr>
            <w:tcW w:w="425" w:type="dxa"/>
            <w:shd w:val="clear" w:color="auto" w:fill="auto"/>
            <w:vAlign w:val="center"/>
          </w:tcPr>
          <w:p w14:paraId="33E4BBFF" w14:textId="6DAC4683" w:rsidR="00090A42" w:rsidRPr="00EA0624" w:rsidRDefault="00090A42" w:rsidP="00090A42">
            <w:pPr>
              <w:keepNext/>
              <w:spacing w:before="0" w:after="0"/>
              <w:rPr>
                <w:rFonts w:ascii="Arial Narrow" w:eastAsia="Times New Roman" w:hAnsi="Arial Narrow" w:cs="Calibri"/>
                <w:bCs/>
                <w:color w:val="000000"/>
                <w:szCs w:val="20"/>
                <w:lang w:val="en-US"/>
              </w:rPr>
            </w:pPr>
            <w:r>
              <w:rPr>
                <w:rFonts w:ascii="Arial Narrow" w:eastAsia="Times New Roman" w:hAnsi="Arial Narrow" w:cs="Calibri"/>
                <w:bCs/>
                <w:color w:val="000000"/>
                <w:szCs w:val="20"/>
                <w:lang w:val="en-US"/>
              </w:rPr>
              <w:t>C</w:t>
            </w:r>
          </w:p>
        </w:tc>
        <w:tc>
          <w:tcPr>
            <w:tcW w:w="4678" w:type="dxa"/>
            <w:shd w:val="clear" w:color="auto" w:fill="auto"/>
            <w:vAlign w:val="center"/>
          </w:tcPr>
          <w:p w14:paraId="690CE686" w14:textId="2EE077C4" w:rsidR="00090A42" w:rsidRPr="00EA0624" w:rsidRDefault="00090A42" w:rsidP="00090A42">
            <w:pPr>
              <w:keepNext/>
              <w:spacing w:before="0" w:after="0"/>
              <w:rPr>
                <w:rFonts w:ascii="Arial Narrow" w:eastAsia="Times New Roman" w:hAnsi="Arial Narrow" w:cs="Calibri"/>
                <w:bCs/>
                <w:color w:val="000000"/>
                <w:szCs w:val="20"/>
                <w:lang w:val="en-US"/>
              </w:rPr>
            </w:pPr>
            <w:r>
              <w:rPr>
                <w:rFonts w:ascii="Arial Narrow" w:eastAsia="Times New Roman" w:hAnsi="Arial Narrow" w:cs="Calibri"/>
                <w:bCs/>
                <w:color w:val="000000"/>
                <w:szCs w:val="20"/>
                <w:lang w:val="en-US"/>
              </w:rPr>
              <w:t>ICD market growth given additional</w:t>
            </w:r>
            <w:r w:rsidRPr="00EA0624">
              <w:rPr>
                <w:rFonts w:ascii="Arial Narrow" w:eastAsia="Times New Roman" w:hAnsi="Arial Narrow" w:cs="Calibri"/>
                <w:bCs/>
                <w:color w:val="000000"/>
                <w:szCs w:val="20"/>
                <w:lang w:val="en-US"/>
              </w:rPr>
              <w:t xml:space="preserve"> proportion of patients suitable for EV-IC</w:t>
            </w:r>
            <w:r>
              <w:rPr>
                <w:rFonts w:ascii="Arial Narrow" w:eastAsia="Times New Roman" w:hAnsi="Arial Narrow" w:cs="Calibri"/>
                <w:bCs/>
                <w:color w:val="000000"/>
                <w:szCs w:val="20"/>
                <w:lang w:val="en-US"/>
              </w:rPr>
              <w:t>D, not TV-ICD</w:t>
            </w:r>
          </w:p>
        </w:tc>
        <w:tc>
          <w:tcPr>
            <w:tcW w:w="1134" w:type="dxa"/>
            <w:vAlign w:val="center"/>
          </w:tcPr>
          <w:p w14:paraId="2EF4880F" w14:textId="54415810" w:rsidR="00090A42" w:rsidRPr="00885218" w:rsidRDefault="00090A42" w:rsidP="00082192">
            <w:pPr>
              <w:keepNext/>
              <w:spacing w:before="0" w:after="0"/>
              <w:jc w:val="center"/>
              <w:rPr>
                <w:rFonts w:ascii="Arial Narrow" w:eastAsia="Times New Roman" w:hAnsi="Arial Narrow" w:cs="Calibri"/>
                <w:bCs/>
                <w:color w:val="000000"/>
                <w:szCs w:val="20"/>
                <w:highlight w:val="yellow"/>
                <w:lang w:val="en-US"/>
              </w:rPr>
            </w:pPr>
            <w:r w:rsidRPr="00D35978">
              <w:rPr>
                <w:b/>
                <w:bCs/>
                <w:szCs w:val="20"/>
              </w:rPr>
              <w:t>REDACTED</w:t>
            </w:r>
          </w:p>
        </w:tc>
        <w:tc>
          <w:tcPr>
            <w:tcW w:w="1134" w:type="dxa"/>
            <w:vAlign w:val="center"/>
          </w:tcPr>
          <w:p w14:paraId="76147812" w14:textId="7ACD0D3B" w:rsidR="00090A42" w:rsidRPr="00885218" w:rsidRDefault="00090A42" w:rsidP="00082192">
            <w:pPr>
              <w:keepNext/>
              <w:spacing w:before="0" w:after="0"/>
              <w:jc w:val="center"/>
              <w:rPr>
                <w:rFonts w:ascii="Arial Narrow" w:eastAsia="Times New Roman" w:hAnsi="Arial Narrow" w:cs="Calibri"/>
                <w:bCs/>
                <w:color w:val="000000"/>
                <w:szCs w:val="20"/>
                <w:highlight w:val="yellow"/>
                <w:lang w:val="en-US"/>
              </w:rPr>
            </w:pPr>
            <w:r w:rsidRPr="00D35978">
              <w:rPr>
                <w:b/>
                <w:bCs/>
                <w:szCs w:val="20"/>
              </w:rPr>
              <w:t>REDACTED</w:t>
            </w:r>
          </w:p>
        </w:tc>
        <w:tc>
          <w:tcPr>
            <w:tcW w:w="1145" w:type="dxa"/>
            <w:vAlign w:val="center"/>
          </w:tcPr>
          <w:p w14:paraId="0A4F3577" w14:textId="2187A39F" w:rsidR="00090A42" w:rsidRPr="00885218" w:rsidRDefault="00090A42" w:rsidP="00082192">
            <w:pPr>
              <w:keepNext/>
              <w:spacing w:before="0" w:after="0"/>
              <w:jc w:val="center"/>
              <w:rPr>
                <w:rFonts w:ascii="Arial Narrow" w:eastAsia="Times New Roman" w:hAnsi="Arial Narrow" w:cs="Calibri"/>
                <w:bCs/>
                <w:color w:val="000000"/>
                <w:szCs w:val="20"/>
                <w:highlight w:val="yellow"/>
                <w:lang w:val="en-US"/>
              </w:rPr>
            </w:pPr>
            <w:r w:rsidRPr="00D35978">
              <w:rPr>
                <w:b/>
                <w:bCs/>
                <w:szCs w:val="20"/>
              </w:rPr>
              <w:t>REDACTED</w:t>
            </w:r>
          </w:p>
        </w:tc>
      </w:tr>
      <w:tr w:rsidR="00090A42" w:rsidRPr="00EA0624" w14:paraId="2D32DAFD" w14:textId="77777777" w:rsidTr="00082192">
        <w:trPr>
          <w:trHeight w:val="349"/>
        </w:trPr>
        <w:tc>
          <w:tcPr>
            <w:tcW w:w="425" w:type="dxa"/>
            <w:shd w:val="clear" w:color="auto" w:fill="auto"/>
            <w:vAlign w:val="center"/>
            <w:hideMark/>
          </w:tcPr>
          <w:p w14:paraId="1BEBE8FA" w14:textId="051A0DB3" w:rsidR="00090A42" w:rsidRPr="00EA0624" w:rsidRDefault="00090A42" w:rsidP="00090A42">
            <w:pPr>
              <w:keepNext/>
              <w:spacing w:before="0" w:after="0"/>
              <w:rPr>
                <w:rFonts w:ascii="Arial Narrow" w:eastAsia="Times New Roman" w:hAnsi="Arial Narrow" w:cs="Calibri"/>
                <w:bCs/>
                <w:color w:val="000000"/>
                <w:szCs w:val="20"/>
                <w:lang w:val="en-US"/>
              </w:rPr>
            </w:pPr>
            <w:r>
              <w:rPr>
                <w:rFonts w:ascii="Arial Narrow" w:eastAsia="Times New Roman" w:hAnsi="Arial Narrow" w:cs="Calibri"/>
                <w:bCs/>
                <w:color w:val="000000"/>
                <w:szCs w:val="20"/>
                <w:lang w:val="en-US"/>
              </w:rPr>
              <w:t>D</w:t>
            </w:r>
          </w:p>
        </w:tc>
        <w:tc>
          <w:tcPr>
            <w:tcW w:w="4678" w:type="dxa"/>
            <w:shd w:val="clear" w:color="auto" w:fill="auto"/>
            <w:vAlign w:val="center"/>
            <w:hideMark/>
          </w:tcPr>
          <w:p w14:paraId="4455919E" w14:textId="77777777" w:rsidR="00090A42" w:rsidRPr="00EA0624" w:rsidRDefault="00090A42" w:rsidP="00090A42">
            <w:pPr>
              <w:keepNext/>
              <w:spacing w:before="0" w:after="0"/>
              <w:rPr>
                <w:rFonts w:ascii="Arial Narrow" w:eastAsia="Times New Roman" w:hAnsi="Arial Narrow" w:cs="Calibri"/>
                <w:bCs/>
                <w:color w:val="000000"/>
                <w:szCs w:val="20"/>
                <w:lang w:val="en-US"/>
              </w:rPr>
            </w:pPr>
            <w:r w:rsidRPr="00EA0624">
              <w:rPr>
                <w:rFonts w:ascii="Arial Narrow" w:eastAsia="Times New Roman" w:hAnsi="Arial Narrow" w:cs="Calibri"/>
                <w:bCs/>
                <w:color w:val="000000"/>
                <w:szCs w:val="20"/>
                <w:lang w:val="en-US"/>
              </w:rPr>
              <w:t xml:space="preserve">Proportion of eligible TV-ICD population suitable for EV-ICD </w:t>
            </w:r>
          </w:p>
        </w:tc>
        <w:tc>
          <w:tcPr>
            <w:tcW w:w="1134" w:type="dxa"/>
            <w:vAlign w:val="center"/>
          </w:tcPr>
          <w:p w14:paraId="21C0293A" w14:textId="43916DD6" w:rsidR="00090A42" w:rsidRPr="00885218" w:rsidRDefault="00090A42" w:rsidP="00082192">
            <w:pPr>
              <w:keepNext/>
              <w:spacing w:before="0" w:after="0"/>
              <w:jc w:val="center"/>
              <w:rPr>
                <w:rFonts w:ascii="Arial Narrow" w:eastAsia="Times New Roman" w:hAnsi="Arial Narrow" w:cs="Calibri"/>
                <w:bCs/>
                <w:color w:val="000000"/>
                <w:szCs w:val="20"/>
                <w:highlight w:val="yellow"/>
                <w:lang w:val="en-US"/>
              </w:rPr>
            </w:pPr>
            <w:r w:rsidRPr="00D35978">
              <w:rPr>
                <w:b/>
                <w:bCs/>
                <w:szCs w:val="20"/>
              </w:rPr>
              <w:t>REDACTED</w:t>
            </w:r>
          </w:p>
        </w:tc>
        <w:tc>
          <w:tcPr>
            <w:tcW w:w="1134" w:type="dxa"/>
            <w:vAlign w:val="center"/>
          </w:tcPr>
          <w:p w14:paraId="63FA4CD7" w14:textId="31EF7F72" w:rsidR="00090A42" w:rsidRPr="00885218" w:rsidRDefault="00090A42" w:rsidP="00082192">
            <w:pPr>
              <w:keepNext/>
              <w:spacing w:before="0" w:after="0"/>
              <w:jc w:val="center"/>
              <w:rPr>
                <w:rFonts w:ascii="Arial Narrow" w:eastAsia="Times New Roman" w:hAnsi="Arial Narrow" w:cs="Calibri"/>
                <w:bCs/>
                <w:color w:val="000000"/>
                <w:szCs w:val="20"/>
                <w:highlight w:val="yellow"/>
                <w:lang w:val="en-US"/>
              </w:rPr>
            </w:pPr>
            <w:r w:rsidRPr="00D35978">
              <w:rPr>
                <w:b/>
                <w:bCs/>
                <w:szCs w:val="20"/>
              </w:rPr>
              <w:t>REDACTED</w:t>
            </w:r>
          </w:p>
        </w:tc>
        <w:tc>
          <w:tcPr>
            <w:tcW w:w="1145" w:type="dxa"/>
            <w:vAlign w:val="center"/>
          </w:tcPr>
          <w:p w14:paraId="1462CBD8" w14:textId="7993C0CD" w:rsidR="00090A42" w:rsidRPr="00885218" w:rsidRDefault="00090A42" w:rsidP="00082192">
            <w:pPr>
              <w:keepNext/>
              <w:spacing w:before="0" w:after="0"/>
              <w:jc w:val="center"/>
              <w:rPr>
                <w:rFonts w:ascii="Arial Narrow" w:eastAsia="Times New Roman" w:hAnsi="Arial Narrow" w:cs="Calibri"/>
                <w:bCs/>
                <w:color w:val="000000"/>
                <w:szCs w:val="20"/>
                <w:highlight w:val="yellow"/>
                <w:lang w:val="en-US"/>
              </w:rPr>
            </w:pPr>
            <w:r w:rsidRPr="00D35978">
              <w:rPr>
                <w:b/>
                <w:bCs/>
                <w:szCs w:val="20"/>
              </w:rPr>
              <w:t>REDACTED</w:t>
            </w:r>
          </w:p>
        </w:tc>
      </w:tr>
      <w:tr w:rsidR="00090A42" w:rsidRPr="00EA0624" w14:paraId="3224A494" w14:textId="77777777" w:rsidTr="00082192">
        <w:trPr>
          <w:trHeight w:val="329"/>
        </w:trPr>
        <w:tc>
          <w:tcPr>
            <w:tcW w:w="425" w:type="dxa"/>
            <w:shd w:val="clear" w:color="auto" w:fill="auto"/>
            <w:vAlign w:val="center"/>
          </w:tcPr>
          <w:p w14:paraId="1307D442" w14:textId="538C341D" w:rsidR="00090A42" w:rsidRPr="00EA0624" w:rsidRDefault="00090A42" w:rsidP="00090A42">
            <w:pPr>
              <w:keepNext/>
              <w:spacing w:before="0" w:after="0"/>
              <w:rPr>
                <w:rFonts w:ascii="Arial Narrow" w:eastAsia="Times New Roman" w:hAnsi="Arial Narrow" w:cs="Calibri"/>
                <w:bCs/>
                <w:color w:val="000000"/>
                <w:szCs w:val="20"/>
                <w:lang w:val="en-US"/>
              </w:rPr>
            </w:pPr>
            <w:r>
              <w:rPr>
                <w:rFonts w:ascii="Arial Narrow" w:eastAsia="Times New Roman" w:hAnsi="Arial Narrow" w:cs="Calibri"/>
                <w:bCs/>
                <w:color w:val="000000"/>
                <w:szCs w:val="20"/>
                <w:lang w:val="en-US"/>
              </w:rPr>
              <w:t>E</w:t>
            </w:r>
          </w:p>
        </w:tc>
        <w:tc>
          <w:tcPr>
            <w:tcW w:w="4678" w:type="dxa"/>
            <w:shd w:val="clear" w:color="auto" w:fill="auto"/>
            <w:vAlign w:val="center"/>
          </w:tcPr>
          <w:p w14:paraId="2E66B23B" w14:textId="77777777" w:rsidR="00090A42" w:rsidRPr="00EA0624" w:rsidRDefault="00090A42" w:rsidP="00090A42">
            <w:pPr>
              <w:keepNext/>
              <w:spacing w:before="0" w:after="0"/>
              <w:rPr>
                <w:rFonts w:ascii="Arial Narrow" w:eastAsia="Times New Roman" w:hAnsi="Arial Narrow" w:cs="Calibri"/>
                <w:bCs/>
                <w:color w:val="000000"/>
                <w:szCs w:val="20"/>
                <w:lang w:val="en-US"/>
              </w:rPr>
            </w:pPr>
            <w:r w:rsidRPr="00EA0624">
              <w:rPr>
                <w:rFonts w:ascii="Arial Narrow" w:eastAsia="Times New Roman" w:hAnsi="Arial Narrow" w:cs="Calibri"/>
                <w:bCs/>
                <w:color w:val="000000"/>
                <w:szCs w:val="20"/>
                <w:lang w:val="en-US"/>
              </w:rPr>
              <w:t>Uptake of EV-ICD</w:t>
            </w:r>
          </w:p>
        </w:tc>
        <w:tc>
          <w:tcPr>
            <w:tcW w:w="1134" w:type="dxa"/>
            <w:vAlign w:val="center"/>
          </w:tcPr>
          <w:p w14:paraId="34D05B80" w14:textId="620CA4AA" w:rsidR="00090A42" w:rsidRPr="00885218" w:rsidRDefault="00090A42" w:rsidP="00082192">
            <w:pPr>
              <w:keepNext/>
              <w:spacing w:before="0" w:after="0"/>
              <w:jc w:val="center"/>
              <w:rPr>
                <w:rFonts w:ascii="Arial Narrow" w:eastAsia="Times New Roman" w:hAnsi="Arial Narrow" w:cs="Calibri"/>
                <w:bCs/>
                <w:color w:val="000000"/>
                <w:szCs w:val="20"/>
                <w:highlight w:val="yellow"/>
                <w:lang w:val="en-US"/>
              </w:rPr>
            </w:pPr>
            <w:r w:rsidRPr="00D35978">
              <w:rPr>
                <w:b/>
                <w:bCs/>
                <w:szCs w:val="20"/>
              </w:rPr>
              <w:t>REDACTED</w:t>
            </w:r>
          </w:p>
        </w:tc>
        <w:tc>
          <w:tcPr>
            <w:tcW w:w="1134" w:type="dxa"/>
            <w:vAlign w:val="center"/>
          </w:tcPr>
          <w:p w14:paraId="3852FDB7" w14:textId="29196902" w:rsidR="00090A42" w:rsidRPr="00885218" w:rsidRDefault="00090A42" w:rsidP="00082192">
            <w:pPr>
              <w:keepNext/>
              <w:spacing w:before="0" w:after="0"/>
              <w:jc w:val="center"/>
              <w:rPr>
                <w:rFonts w:ascii="Arial Narrow" w:eastAsia="Times New Roman" w:hAnsi="Arial Narrow" w:cs="Calibri"/>
                <w:bCs/>
                <w:color w:val="000000"/>
                <w:szCs w:val="20"/>
                <w:highlight w:val="yellow"/>
                <w:lang w:val="en-US"/>
              </w:rPr>
            </w:pPr>
            <w:r w:rsidRPr="00D35978">
              <w:rPr>
                <w:b/>
                <w:bCs/>
                <w:szCs w:val="20"/>
              </w:rPr>
              <w:t>REDACTED</w:t>
            </w:r>
          </w:p>
        </w:tc>
        <w:tc>
          <w:tcPr>
            <w:tcW w:w="1145" w:type="dxa"/>
            <w:vAlign w:val="center"/>
          </w:tcPr>
          <w:p w14:paraId="62DC2281" w14:textId="3E73F51E" w:rsidR="00090A42" w:rsidRPr="00885218" w:rsidRDefault="00090A42" w:rsidP="00082192">
            <w:pPr>
              <w:keepNext/>
              <w:spacing w:before="0" w:after="0"/>
              <w:jc w:val="center"/>
              <w:rPr>
                <w:rFonts w:ascii="Arial Narrow" w:eastAsia="Times New Roman" w:hAnsi="Arial Narrow" w:cs="Calibri"/>
                <w:bCs/>
                <w:color w:val="000000"/>
                <w:szCs w:val="20"/>
                <w:highlight w:val="yellow"/>
                <w:lang w:val="en-US"/>
              </w:rPr>
            </w:pPr>
            <w:r w:rsidRPr="00D35978">
              <w:rPr>
                <w:b/>
                <w:bCs/>
                <w:szCs w:val="20"/>
              </w:rPr>
              <w:t>REDACTED</w:t>
            </w:r>
          </w:p>
        </w:tc>
      </w:tr>
      <w:tr w:rsidR="00090A42" w:rsidRPr="00EA0624" w14:paraId="1021DB49" w14:textId="77777777" w:rsidTr="00082192">
        <w:trPr>
          <w:trHeight w:val="405"/>
        </w:trPr>
        <w:tc>
          <w:tcPr>
            <w:tcW w:w="425" w:type="dxa"/>
            <w:shd w:val="clear" w:color="auto" w:fill="auto"/>
            <w:vAlign w:val="center"/>
          </w:tcPr>
          <w:p w14:paraId="42CA82F4" w14:textId="44B81D31" w:rsidR="00090A42" w:rsidRPr="00EA0624" w:rsidRDefault="00090A42" w:rsidP="00090A42">
            <w:pPr>
              <w:keepNext/>
              <w:spacing w:before="0" w:after="0"/>
              <w:rPr>
                <w:rFonts w:ascii="Arial Narrow" w:eastAsia="Times New Roman" w:hAnsi="Arial Narrow" w:cs="Calibri"/>
                <w:bCs/>
                <w:color w:val="000000"/>
                <w:szCs w:val="20"/>
                <w:lang w:val="en-US"/>
              </w:rPr>
            </w:pPr>
            <w:r>
              <w:rPr>
                <w:rFonts w:ascii="Arial Narrow" w:eastAsia="Times New Roman" w:hAnsi="Arial Narrow" w:cs="Calibri"/>
                <w:bCs/>
                <w:color w:val="000000"/>
                <w:szCs w:val="20"/>
                <w:lang w:val="en-US"/>
              </w:rPr>
              <w:t>F</w:t>
            </w:r>
          </w:p>
        </w:tc>
        <w:tc>
          <w:tcPr>
            <w:tcW w:w="4678" w:type="dxa"/>
            <w:shd w:val="clear" w:color="auto" w:fill="auto"/>
            <w:vAlign w:val="center"/>
          </w:tcPr>
          <w:p w14:paraId="6E0EA587" w14:textId="0DD06B90" w:rsidR="00090A42" w:rsidRPr="00EA0624" w:rsidRDefault="00090A42" w:rsidP="00090A42">
            <w:pPr>
              <w:keepNext/>
              <w:spacing w:before="0" w:after="0"/>
              <w:rPr>
                <w:rFonts w:ascii="Arial Narrow" w:eastAsia="Times New Roman" w:hAnsi="Arial Narrow" w:cs="Calibri"/>
                <w:bCs/>
                <w:color w:val="000000"/>
                <w:szCs w:val="20"/>
                <w:lang w:val="en-US"/>
              </w:rPr>
            </w:pPr>
            <w:r w:rsidRPr="00EA0624">
              <w:rPr>
                <w:rFonts w:ascii="Arial Narrow" w:eastAsia="Times New Roman" w:hAnsi="Arial Narrow" w:cs="Calibri"/>
                <w:bCs/>
                <w:color w:val="000000"/>
                <w:szCs w:val="20"/>
                <w:lang w:val="en-US"/>
              </w:rPr>
              <w:t>EV-ICD generator (</w:t>
            </w:r>
            <w:r>
              <w:rPr>
                <w:rFonts w:ascii="Arial Narrow" w:eastAsia="Times New Roman" w:hAnsi="Arial Narrow" w:cs="Calibri"/>
                <w:bCs/>
                <w:color w:val="000000"/>
                <w:szCs w:val="20"/>
                <w:lang w:val="en-US"/>
              </w:rPr>
              <w:t>A</w:t>
            </w:r>
            <w:r w:rsidRPr="00EA0624">
              <w:rPr>
                <w:rFonts w:ascii="Arial Narrow" w:eastAsia="Times New Roman" w:hAnsi="Arial Narrow" w:cs="Calibri"/>
                <w:bCs/>
                <w:color w:val="000000"/>
                <w:szCs w:val="20"/>
                <w:lang w:val="en-US"/>
              </w:rPr>
              <w:t xml:space="preserve"> x</w:t>
            </w:r>
            <w:r>
              <w:rPr>
                <w:rFonts w:ascii="Arial Narrow" w:eastAsia="Times New Roman" w:hAnsi="Arial Narrow" w:cs="Calibri"/>
                <w:bCs/>
                <w:color w:val="000000"/>
                <w:szCs w:val="20"/>
                <w:lang w:val="en-US"/>
              </w:rPr>
              <w:t xml:space="preserve"> (1+C) x D x E</w:t>
            </w:r>
            <w:r w:rsidRPr="00EA0624">
              <w:rPr>
                <w:rFonts w:ascii="Arial Narrow" w:eastAsia="Times New Roman" w:hAnsi="Arial Narrow" w:cs="Calibri"/>
                <w:bCs/>
                <w:color w:val="000000"/>
                <w:szCs w:val="20"/>
                <w:lang w:val="en-US"/>
              </w:rPr>
              <w:t>)</w:t>
            </w:r>
          </w:p>
        </w:tc>
        <w:tc>
          <w:tcPr>
            <w:tcW w:w="1134" w:type="dxa"/>
            <w:vAlign w:val="center"/>
          </w:tcPr>
          <w:p w14:paraId="42F1128C" w14:textId="5573E97A" w:rsidR="00090A42" w:rsidRPr="00885218" w:rsidRDefault="00090A42" w:rsidP="00082192">
            <w:pPr>
              <w:keepNext/>
              <w:spacing w:before="0" w:after="0"/>
              <w:jc w:val="center"/>
              <w:rPr>
                <w:rFonts w:ascii="Arial Narrow" w:eastAsia="Times New Roman" w:hAnsi="Arial Narrow" w:cs="Calibri"/>
                <w:bCs/>
                <w:color w:val="000000"/>
                <w:szCs w:val="20"/>
                <w:highlight w:val="yellow"/>
                <w:lang w:val="en-US"/>
              </w:rPr>
            </w:pPr>
            <w:r w:rsidRPr="00D35978">
              <w:rPr>
                <w:b/>
                <w:bCs/>
                <w:szCs w:val="20"/>
              </w:rPr>
              <w:t>REDACTED</w:t>
            </w:r>
          </w:p>
        </w:tc>
        <w:tc>
          <w:tcPr>
            <w:tcW w:w="1134" w:type="dxa"/>
            <w:vAlign w:val="center"/>
          </w:tcPr>
          <w:p w14:paraId="35614AEB" w14:textId="3EE0C40D" w:rsidR="00090A42" w:rsidRPr="00885218" w:rsidRDefault="00090A42" w:rsidP="00082192">
            <w:pPr>
              <w:keepNext/>
              <w:spacing w:before="0" w:after="0"/>
              <w:jc w:val="center"/>
              <w:rPr>
                <w:rFonts w:ascii="Arial Narrow" w:eastAsia="Times New Roman" w:hAnsi="Arial Narrow" w:cs="Calibri"/>
                <w:bCs/>
                <w:color w:val="000000"/>
                <w:szCs w:val="20"/>
                <w:highlight w:val="yellow"/>
                <w:lang w:val="en-US"/>
              </w:rPr>
            </w:pPr>
            <w:r w:rsidRPr="00D35978">
              <w:rPr>
                <w:b/>
                <w:bCs/>
                <w:szCs w:val="20"/>
              </w:rPr>
              <w:t>REDACTED</w:t>
            </w:r>
          </w:p>
        </w:tc>
        <w:tc>
          <w:tcPr>
            <w:tcW w:w="1145" w:type="dxa"/>
            <w:vAlign w:val="center"/>
          </w:tcPr>
          <w:p w14:paraId="7083ECD7" w14:textId="70B23904" w:rsidR="00090A42" w:rsidRPr="00885218" w:rsidRDefault="00090A42" w:rsidP="00082192">
            <w:pPr>
              <w:keepNext/>
              <w:spacing w:before="0" w:after="0"/>
              <w:jc w:val="center"/>
              <w:rPr>
                <w:rFonts w:ascii="Arial Narrow" w:eastAsia="Times New Roman" w:hAnsi="Arial Narrow" w:cs="Calibri"/>
                <w:bCs/>
                <w:color w:val="000000"/>
                <w:szCs w:val="20"/>
                <w:highlight w:val="yellow"/>
                <w:lang w:val="en-US"/>
              </w:rPr>
            </w:pPr>
            <w:r w:rsidRPr="00D35978">
              <w:rPr>
                <w:b/>
                <w:bCs/>
                <w:szCs w:val="20"/>
              </w:rPr>
              <w:t>REDACTED</w:t>
            </w:r>
          </w:p>
        </w:tc>
      </w:tr>
      <w:tr w:rsidR="00090A42" w:rsidRPr="00EA0624" w14:paraId="6A02A35A" w14:textId="77777777" w:rsidTr="00082192">
        <w:trPr>
          <w:trHeight w:val="424"/>
        </w:trPr>
        <w:tc>
          <w:tcPr>
            <w:tcW w:w="425" w:type="dxa"/>
            <w:shd w:val="clear" w:color="auto" w:fill="auto"/>
            <w:vAlign w:val="center"/>
          </w:tcPr>
          <w:p w14:paraId="7DE637A3" w14:textId="398C5B64" w:rsidR="00090A42" w:rsidRPr="00EA0624" w:rsidRDefault="00090A42" w:rsidP="00090A42">
            <w:pPr>
              <w:keepNext/>
              <w:spacing w:before="0" w:after="0"/>
              <w:rPr>
                <w:rFonts w:ascii="Arial Narrow" w:eastAsia="Times New Roman" w:hAnsi="Arial Narrow" w:cs="Calibri"/>
                <w:bCs/>
                <w:color w:val="000000"/>
                <w:szCs w:val="20"/>
                <w:lang w:val="en-US"/>
              </w:rPr>
            </w:pPr>
            <w:r>
              <w:rPr>
                <w:rFonts w:ascii="Arial Narrow" w:eastAsia="Times New Roman" w:hAnsi="Arial Narrow" w:cs="Calibri"/>
                <w:bCs/>
                <w:color w:val="000000"/>
                <w:szCs w:val="20"/>
                <w:lang w:val="en-US"/>
              </w:rPr>
              <w:t>G</w:t>
            </w:r>
          </w:p>
        </w:tc>
        <w:tc>
          <w:tcPr>
            <w:tcW w:w="4678" w:type="dxa"/>
            <w:shd w:val="clear" w:color="auto" w:fill="auto"/>
            <w:vAlign w:val="center"/>
          </w:tcPr>
          <w:p w14:paraId="03F16A4B" w14:textId="0F69EE77" w:rsidR="00090A42" w:rsidRPr="00EA0624" w:rsidRDefault="00090A42" w:rsidP="00090A42">
            <w:pPr>
              <w:keepNext/>
              <w:spacing w:before="0" w:after="0"/>
              <w:rPr>
                <w:rFonts w:ascii="Arial Narrow" w:eastAsia="Times New Roman" w:hAnsi="Arial Narrow" w:cs="Calibri"/>
                <w:bCs/>
                <w:color w:val="000000"/>
                <w:szCs w:val="20"/>
                <w:lang w:val="en-US"/>
              </w:rPr>
            </w:pPr>
            <w:r w:rsidRPr="00EA0624">
              <w:rPr>
                <w:rFonts w:ascii="Arial Narrow" w:eastAsia="Times New Roman" w:hAnsi="Arial Narrow" w:cs="Calibri"/>
                <w:bCs/>
                <w:color w:val="000000"/>
                <w:szCs w:val="20"/>
                <w:lang w:val="en-US"/>
              </w:rPr>
              <w:t>EV-ICD leads (</w:t>
            </w:r>
            <w:r>
              <w:rPr>
                <w:rFonts w:ascii="Arial Narrow" w:eastAsia="Times New Roman" w:hAnsi="Arial Narrow" w:cs="Calibri"/>
                <w:bCs/>
                <w:color w:val="000000"/>
                <w:szCs w:val="20"/>
                <w:lang w:val="en-US"/>
              </w:rPr>
              <w:t>B</w:t>
            </w:r>
            <w:r w:rsidRPr="00EA0624">
              <w:rPr>
                <w:rFonts w:ascii="Arial Narrow" w:eastAsia="Times New Roman" w:hAnsi="Arial Narrow" w:cs="Calibri"/>
                <w:bCs/>
                <w:color w:val="000000"/>
                <w:szCs w:val="20"/>
                <w:lang w:val="en-US"/>
              </w:rPr>
              <w:t xml:space="preserve"> x</w:t>
            </w:r>
            <w:r>
              <w:rPr>
                <w:rFonts w:ascii="Arial Narrow" w:eastAsia="Times New Roman" w:hAnsi="Arial Narrow" w:cs="Calibri"/>
                <w:bCs/>
                <w:color w:val="000000"/>
                <w:szCs w:val="20"/>
                <w:lang w:val="en-US"/>
              </w:rPr>
              <w:t xml:space="preserve"> (1+C) x D x E</w:t>
            </w:r>
            <w:r w:rsidRPr="00EA0624">
              <w:rPr>
                <w:rFonts w:ascii="Arial Narrow" w:eastAsia="Times New Roman" w:hAnsi="Arial Narrow" w:cs="Calibri"/>
                <w:bCs/>
                <w:color w:val="000000"/>
                <w:szCs w:val="20"/>
                <w:lang w:val="en-US"/>
              </w:rPr>
              <w:t>)</w:t>
            </w:r>
          </w:p>
        </w:tc>
        <w:tc>
          <w:tcPr>
            <w:tcW w:w="1134" w:type="dxa"/>
            <w:vAlign w:val="center"/>
          </w:tcPr>
          <w:p w14:paraId="5F877F4F" w14:textId="186F2ACF" w:rsidR="00090A42" w:rsidRPr="00885218" w:rsidRDefault="00090A42" w:rsidP="00082192">
            <w:pPr>
              <w:keepNext/>
              <w:spacing w:before="0" w:after="0"/>
              <w:jc w:val="center"/>
              <w:rPr>
                <w:rFonts w:ascii="Arial Narrow" w:eastAsia="Times New Roman" w:hAnsi="Arial Narrow" w:cs="Calibri"/>
                <w:bCs/>
                <w:color w:val="000000"/>
                <w:szCs w:val="20"/>
                <w:highlight w:val="yellow"/>
                <w:lang w:val="en-US"/>
              </w:rPr>
            </w:pPr>
            <w:r w:rsidRPr="00D35978">
              <w:rPr>
                <w:b/>
                <w:bCs/>
                <w:szCs w:val="20"/>
              </w:rPr>
              <w:t>REDACTED</w:t>
            </w:r>
          </w:p>
        </w:tc>
        <w:tc>
          <w:tcPr>
            <w:tcW w:w="1134" w:type="dxa"/>
            <w:vAlign w:val="center"/>
          </w:tcPr>
          <w:p w14:paraId="6C2BDF26" w14:textId="2A2126B5" w:rsidR="00090A42" w:rsidRPr="00885218" w:rsidRDefault="00090A42" w:rsidP="00082192">
            <w:pPr>
              <w:keepNext/>
              <w:spacing w:before="0" w:after="0"/>
              <w:jc w:val="center"/>
              <w:rPr>
                <w:rFonts w:ascii="Arial Narrow" w:eastAsia="Times New Roman" w:hAnsi="Arial Narrow" w:cs="Calibri"/>
                <w:bCs/>
                <w:color w:val="000000"/>
                <w:szCs w:val="20"/>
                <w:highlight w:val="yellow"/>
                <w:lang w:val="en-US"/>
              </w:rPr>
            </w:pPr>
            <w:r w:rsidRPr="00D35978">
              <w:rPr>
                <w:b/>
                <w:bCs/>
                <w:szCs w:val="20"/>
              </w:rPr>
              <w:t>REDACTED</w:t>
            </w:r>
          </w:p>
        </w:tc>
        <w:tc>
          <w:tcPr>
            <w:tcW w:w="1145" w:type="dxa"/>
            <w:vAlign w:val="center"/>
          </w:tcPr>
          <w:p w14:paraId="6A1CB2C2" w14:textId="06D3EE28" w:rsidR="00090A42" w:rsidRPr="00885218" w:rsidRDefault="00090A42" w:rsidP="00082192">
            <w:pPr>
              <w:keepNext/>
              <w:spacing w:before="0" w:after="0"/>
              <w:jc w:val="center"/>
              <w:rPr>
                <w:rFonts w:ascii="Arial Narrow" w:eastAsia="Times New Roman" w:hAnsi="Arial Narrow" w:cs="Calibri"/>
                <w:bCs/>
                <w:color w:val="000000"/>
                <w:szCs w:val="20"/>
                <w:highlight w:val="yellow"/>
                <w:lang w:val="en-US"/>
              </w:rPr>
            </w:pPr>
            <w:r w:rsidRPr="00D35978">
              <w:rPr>
                <w:b/>
                <w:bCs/>
                <w:szCs w:val="20"/>
              </w:rPr>
              <w:t>REDACTED</w:t>
            </w:r>
          </w:p>
        </w:tc>
      </w:tr>
    </w:tbl>
    <w:p w14:paraId="4C8124BC" w14:textId="5DF3EB1C" w:rsidR="00492F9D" w:rsidRPr="00082192" w:rsidRDefault="00492F9D" w:rsidP="00492F9D">
      <w:pPr>
        <w:spacing w:before="0" w:after="0"/>
        <w:ind w:left="425"/>
        <w:contextualSpacing/>
        <w:rPr>
          <w:rFonts w:ascii="Arial Narrow" w:hAnsi="Arial Narrow"/>
          <w:sz w:val="17"/>
          <w:szCs w:val="17"/>
        </w:rPr>
      </w:pPr>
      <w:r w:rsidRPr="00082192">
        <w:rPr>
          <w:rFonts w:ascii="Arial Narrow" w:hAnsi="Arial Narrow"/>
          <w:sz w:val="17"/>
          <w:szCs w:val="17"/>
        </w:rPr>
        <w:t>MBS, Medicare Benefits Schedule; EV-ICD, extravascular implantable cardioverter defibrillator; TV, transvenous implantable cardioverter defibrillator</w:t>
      </w:r>
    </w:p>
    <w:p w14:paraId="718F6A2F" w14:textId="0C71EDE5" w:rsidR="00604C88" w:rsidRPr="00082192" w:rsidRDefault="00604C88" w:rsidP="00492F9D">
      <w:pPr>
        <w:spacing w:before="0" w:after="0"/>
        <w:ind w:left="425"/>
        <w:contextualSpacing/>
        <w:rPr>
          <w:rFonts w:ascii="Arial Narrow" w:hAnsi="Arial Narrow"/>
          <w:sz w:val="17"/>
          <w:szCs w:val="17"/>
        </w:rPr>
      </w:pPr>
      <w:r w:rsidRPr="00082192">
        <w:rPr>
          <w:rFonts w:ascii="Arial Narrow" w:hAnsi="Arial Narrow"/>
          <w:sz w:val="17"/>
          <w:szCs w:val="17"/>
        </w:rPr>
        <w:t>a. Refer to Figure 2 for formula for line of best fit based on 2016 – 2021 data.</w:t>
      </w:r>
    </w:p>
    <w:p w14:paraId="2A215873" w14:textId="6D6732F8" w:rsidR="00C77479" w:rsidRPr="00082192" w:rsidRDefault="00C77479" w:rsidP="00082192">
      <w:pPr>
        <w:spacing w:before="0"/>
        <w:ind w:left="425"/>
        <w:rPr>
          <w:rFonts w:ascii="Arial Narrow" w:hAnsi="Arial Narrow"/>
          <w:sz w:val="17"/>
          <w:szCs w:val="17"/>
        </w:rPr>
      </w:pPr>
      <w:r w:rsidRPr="00082192">
        <w:rPr>
          <w:rFonts w:ascii="Arial Narrow" w:hAnsi="Arial Narrow"/>
          <w:sz w:val="17"/>
          <w:szCs w:val="17"/>
        </w:rPr>
        <w:t>Source: MBS item volumes sourced f</w:t>
      </w:r>
      <w:r w:rsidR="009F7954" w:rsidRPr="00082192">
        <w:rPr>
          <w:rFonts w:ascii="Arial Narrow" w:hAnsi="Arial Narrow"/>
          <w:sz w:val="17"/>
          <w:szCs w:val="17"/>
        </w:rPr>
        <w:t xml:space="preserve">rom Medicare statistics online (accessed </w:t>
      </w:r>
      <w:r w:rsidR="006A39D5" w:rsidRPr="00082192">
        <w:rPr>
          <w:rFonts w:ascii="Arial Narrow" w:hAnsi="Arial Narrow"/>
          <w:sz w:val="17"/>
          <w:szCs w:val="17"/>
        </w:rPr>
        <w:t>7th March 2022</w:t>
      </w:r>
      <w:r w:rsidR="009F7954" w:rsidRPr="00082192">
        <w:rPr>
          <w:rFonts w:ascii="Arial Narrow" w:hAnsi="Arial Narrow"/>
          <w:sz w:val="17"/>
          <w:szCs w:val="17"/>
        </w:rPr>
        <w:t>).</w:t>
      </w:r>
    </w:p>
    <w:p w14:paraId="42DE1709" w14:textId="20B4D107" w:rsidR="001E7C46" w:rsidRPr="008D2B92" w:rsidRDefault="007B1987" w:rsidP="007B1987">
      <w:pPr>
        <w:ind w:left="425"/>
        <w:rPr>
          <w:szCs w:val="20"/>
        </w:rPr>
      </w:pPr>
      <w:r>
        <w:rPr>
          <w:szCs w:val="20"/>
        </w:rPr>
        <w:t xml:space="preserve">Since </w:t>
      </w:r>
      <w:r w:rsidRPr="007B1987">
        <w:rPr>
          <w:szCs w:val="20"/>
        </w:rPr>
        <w:t>ICD technology is not indicated for other conditions</w:t>
      </w:r>
      <w:r w:rsidRPr="00EA0624">
        <w:rPr>
          <w:szCs w:val="20"/>
        </w:rPr>
        <w:t xml:space="preserve"> </w:t>
      </w:r>
      <w:r>
        <w:rPr>
          <w:szCs w:val="20"/>
        </w:rPr>
        <w:t xml:space="preserve">and </w:t>
      </w:r>
      <w:r w:rsidR="00AF4648">
        <w:rPr>
          <w:szCs w:val="20"/>
        </w:rPr>
        <w:t>the proposed population is the same as the TV-ICD</w:t>
      </w:r>
      <w:r w:rsidRPr="00EA0624">
        <w:rPr>
          <w:szCs w:val="20"/>
        </w:rPr>
        <w:t xml:space="preserve"> </w:t>
      </w:r>
      <w:r>
        <w:rPr>
          <w:szCs w:val="20"/>
        </w:rPr>
        <w:t xml:space="preserve">and </w:t>
      </w:r>
      <w:r w:rsidR="001E7C46" w:rsidRPr="00EA0624">
        <w:rPr>
          <w:szCs w:val="20"/>
        </w:rPr>
        <w:t xml:space="preserve">access to </w:t>
      </w:r>
      <w:r w:rsidR="00480309" w:rsidRPr="00EA0624">
        <w:rPr>
          <w:szCs w:val="20"/>
        </w:rPr>
        <w:t xml:space="preserve">EV-ICD </w:t>
      </w:r>
      <w:r w:rsidR="001E7C46" w:rsidRPr="00EA0624">
        <w:rPr>
          <w:szCs w:val="20"/>
        </w:rPr>
        <w:t xml:space="preserve">is determined by </w:t>
      </w:r>
      <w:r w:rsidR="00EA0624" w:rsidRPr="00EA0624">
        <w:rPr>
          <w:szCs w:val="20"/>
        </w:rPr>
        <w:t>cardiologists</w:t>
      </w:r>
      <w:r w:rsidR="00A11D5B">
        <w:rPr>
          <w:szCs w:val="20"/>
        </w:rPr>
        <w:t xml:space="preserve"> or cardiac specialist</w:t>
      </w:r>
      <w:r w:rsidR="00EA0624" w:rsidRPr="00EA0624">
        <w:rPr>
          <w:szCs w:val="20"/>
        </w:rPr>
        <w:t>,</w:t>
      </w:r>
      <w:r w:rsidR="00D83124" w:rsidRPr="00EA0624">
        <w:rPr>
          <w:szCs w:val="20"/>
        </w:rPr>
        <w:t xml:space="preserve"> </w:t>
      </w:r>
      <w:r w:rsidR="001E7C46" w:rsidRPr="00EA0624">
        <w:rPr>
          <w:szCs w:val="20"/>
        </w:rPr>
        <w:t>it is unlikely that there will be leakage to populations outside the eligible population.</w:t>
      </w:r>
      <w:r>
        <w:rPr>
          <w:szCs w:val="20"/>
        </w:rPr>
        <w:t xml:space="preserve"> </w:t>
      </w:r>
    </w:p>
    <w:p w14:paraId="2AD61D77"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733537EB" w14:textId="77777777" w:rsidR="006A649A" w:rsidRPr="00C64937" w:rsidRDefault="006A649A" w:rsidP="001B5169">
      <w:pPr>
        <w:pStyle w:val="Heading2"/>
      </w:pPr>
      <w:r w:rsidRPr="00C64937">
        <w:t>Indicate the likely</w:t>
      </w:r>
      <w:r w:rsidR="005A58BA" w:rsidRPr="00C64937">
        <w:t xml:space="preserve"> </w:t>
      </w:r>
      <w:r w:rsidRPr="00C64937">
        <w:t xml:space="preserve">cost of </w:t>
      </w:r>
      <w:r w:rsidR="005A58BA" w:rsidRPr="00C64937">
        <w:t xml:space="preserve">providing the </w:t>
      </w:r>
      <w:r w:rsidRPr="00C64937">
        <w:t>proposed medical service.</w:t>
      </w:r>
      <w:r w:rsidR="005A5D30" w:rsidRPr="00C64937">
        <w:t xml:space="preserve"> Where possible</w:t>
      </w:r>
      <w:r w:rsidR="00802553" w:rsidRPr="00C64937">
        <w:t>,</w:t>
      </w:r>
      <w:r w:rsidR="005A5D30" w:rsidRPr="00C64937">
        <w:t xml:space="preserve"> please pro</w:t>
      </w:r>
      <w:r w:rsidR="00AE1188" w:rsidRPr="00C64937">
        <w:t>vide overall cost and breakdown:</w:t>
      </w:r>
    </w:p>
    <w:p w14:paraId="5BAF1C78" w14:textId="77B7AAAF" w:rsidR="0081365A" w:rsidRPr="00C64937" w:rsidRDefault="0081365A" w:rsidP="00C00354">
      <w:pPr>
        <w:ind w:left="426"/>
        <w:rPr>
          <w:szCs w:val="20"/>
        </w:rPr>
      </w:pPr>
      <w:r w:rsidRPr="00C64937">
        <w:rPr>
          <w:szCs w:val="20"/>
        </w:rPr>
        <w:t>The sponsor acknowledges that there are some differences between transvenous and extra</w:t>
      </w:r>
      <w:r w:rsidR="00840305" w:rsidRPr="00C64937">
        <w:rPr>
          <w:szCs w:val="20"/>
        </w:rPr>
        <w:t>vascular</w:t>
      </w:r>
      <w:r w:rsidRPr="00C64937">
        <w:rPr>
          <w:szCs w:val="20"/>
        </w:rPr>
        <w:t xml:space="preserve"> lead placement, </w:t>
      </w:r>
      <w:proofErr w:type="gramStart"/>
      <w:r w:rsidR="00C769F1">
        <w:rPr>
          <w:szCs w:val="20"/>
        </w:rPr>
        <w:t>however</w:t>
      </w:r>
      <w:proofErr w:type="gramEnd"/>
      <w:r w:rsidR="00C769F1">
        <w:rPr>
          <w:szCs w:val="20"/>
        </w:rPr>
        <w:t xml:space="preserve"> does not expect there are </w:t>
      </w:r>
      <w:r w:rsidRPr="00C64937">
        <w:rPr>
          <w:szCs w:val="20"/>
        </w:rPr>
        <w:t>appreciable differences in resource use or procedure time</w:t>
      </w:r>
      <w:r w:rsidR="00C769F1">
        <w:rPr>
          <w:szCs w:val="20"/>
        </w:rPr>
        <w:t>s</w:t>
      </w:r>
      <w:r w:rsidRPr="00C64937">
        <w:rPr>
          <w:szCs w:val="20"/>
        </w:rPr>
        <w:t>.</w:t>
      </w:r>
      <w:r w:rsidR="00C00354" w:rsidRPr="00C64937">
        <w:rPr>
          <w:szCs w:val="20"/>
        </w:rPr>
        <w:t xml:space="preserve">  Therefore, the same MBS service fee (100% fee: $1,095.30, 75% $821.50) is proposed as for </w:t>
      </w:r>
      <w:r w:rsidRPr="00C64937">
        <w:rPr>
          <w:szCs w:val="20"/>
        </w:rPr>
        <w:t>TV-ICD lead insertion under MBS item 38471</w:t>
      </w:r>
      <w:r w:rsidR="00C00354" w:rsidRPr="00C64937">
        <w:rPr>
          <w:szCs w:val="20"/>
        </w:rPr>
        <w:t>.</w:t>
      </w:r>
      <w:r w:rsidR="00A14A01">
        <w:rPr>
          <w:szCs w:val="20"/>
        </w:rPr>
        <w:t xml:space="preserve">  The overall cost to provide the proposed medical service is $1,785.06 (75% fee, see Table 4).</w:t>
      </w:r>
    </w:p>
    <w:p w14:paraId="67E40939" w14:textId="723831AE" w:rsidR="0074632A" w:rsidRDefault="0074632A" w:rsidP="00C00354">
      <w:pPr>
        <w:ind w:left="426"/>
        <w:rPr>
          <w:szCs w:val="20"/>
        </w:rPr>
      </w:pPr>
      <w:r w:rsidRPr="00C64937">
        <w:rPr>
          <w:szCs w:val="20"/>
        </w:rPr>
        <w:t>EV-ICD generators and leads are not currently included on the Prosthesis L</w:t>
      </w:r>
      <w:r w:rsidR="00E20F7D" w:rsidRPr="00C64937">
        <w:rPr>
          <w:szCs w:val="20"/>
        </w:rPr>
        <w:t>ist (PL</w:t>
      </w:r>
      <w:proofErr w:type="gramStart"/>
      <w:r w:rsidR="00E20F7D" w:rsidRPr="00C64937">
        <w:rPr>
          <w:szCs w:val="20"/>
        </w:rPr>
        <w:t>),</w:t>
      </w:r>
      <w:proofErr w:type="gramEnd"/>
      <w:r w:rsidR="00E20F7D" w:rsidRPr="00C64937">
        <w:rPr>
          <w:szCs w:val="20"/>
        </w:rPr>
        <w:t xml:space="preserve"> however the sponsor intends to </w:t>
      </w:r>
      <w:r w:rsidR="00C769F1">
        <w:rPr>
          <w:szCs w:val="20"/>
        </w:rPr>
        <w:t xml:space="preserve">apply for PL listing for the generator and leads. </w:t>
      </w:r>
    </w:p>
    <w:p w14:paraId="70D6C9EF" w14:textId="0137EF08" w:rsidR="004F2CEB" w:rsidRPr="004F2CEB" w:rsidRDefault="004F2CEB" w:rsidP="00A14A01">
      <w:pPr>
        <w:keepNext/>
        <w:spacing w:after="0"/>
        <w:ind w:left="425"/>
        <w:rPr>
          <w:b/>
          <w:szCs w:val="20"/>
        </w:rPr>
      </w:pPr>
      <w:r w:rsidRPr="004F2CEB">
        <w:rPr>
          <w:b/>
          <w:szCs w:val="20"/>
        </w:rPr>
        <w:t xml:space="preserve">Table 4. </w:t>
      </w:r>
      <w:r w:rsidR="00A14A01">
        <w:rPr>
          <w:b/>
          <w:szCs w:val="20"/>
        </w:rPr>
        <w:t xml:space="preserve">Medical service costs for new MBS item (EV-ICD lead </w:t>
      </w:r>
      <w:r w:rsidR="00A14A01" w:rsidRPr="00A14A01">
        <w:rPr>
          <w:b/>
          <w:szCs w:val="20"/>
        </w:rPr>
        <w:t>in</w:t>
      </w:r>
      <w:r w:rsidR="00A14A01">
        <w:rPr>
          <w:b/>
          <w:szCs w:val="20"/>
        </w:rPr>
        <w:t xml:space="preserve">sertion, </w:t>
      </w:r>
      <w:proofErr w:type="gramStart"/>
      <w:r w:rsidR="00A14A01">
        <w:rPr>
          <w:b/>
          <w:szCs w:val="20"/>
        </w:rPr>
        <w:t>removal</w:t>
      </w:r>
      <w:proofErr w:type="gramEnd"/>
      <w:r w:rsidR="00A14A01">
        <w:rPr>
          <w:b/>
          <w:szCs w:val="20"/>
        </w:rPr>
        <w:t xml:space="preserve"> or replacement)</w:t>
      </w:r>
    </w:p>
    <w:tbl>
      <w:tblPr>
        <w:tblW w:w="8646" w:type="dxa"/>
        <w:tblInd w:w="421" w:type="dxa"/>
        <w:tblLook w:val="04A0" w:firstRow="1" w:lastRow="0" w:firstColumn="1" w:lastColumn="0" w:noHBand="0" w:noVBand="1"/>
      </w:tblPr>
      <w:tblGrid>
        <w:gridCol w:w="344"/>
        <w:gridCol w:w="3367"/>
        <w:gridCol w:w="991"/>
        <w:gridCol w:w="992"/>
        <w:gridCol w:w="2952"/>
      </w:tblGrid>
      <w:tr w:rsidR="00D0211D" w:rsidRPr="00C64937" w14:paraId="455A6C26" w14:textId="77777777" w:rsidTr="00082192">
        <w:trPr>
          <w:trHeight w:val="255"/>
        </w:trPr>
        <w:tc>
          <w:tcPr>
            <w:tcW w:w="283" w:type="dxa"/>
            <w:tcBorders>
              <w:top w:val="single" w:sz="4" w:space="0" w:color="auto"/>
              <w:left w:val="single" w:sz="4" w:space="0" w:color="auto"/>
              <w:bottom w:val="single" w:sz="4" w:space="0" w:color="auto"/>
              <w:right w:val="nil"/>
            </w:tcBorders>
            <w:shd w:val="clear" w:color="auto" w:fill="auto"/>
            <w:vAlign w:val="center"/>
            <w:hideMark/>
          </w:tcPr>
          <w:p w14:paraId="3242C38C" w14:textId="218FED00" w:rsidR="00E20F7D" w:rsidRPr="00C64937" w:rsidRDefault="00E20F7D" w:rsidP="00E20F7D">
            <w:pPr>
              <w:spacing w:before="0" w:after="0"/>
              <w:rPr>
                <w:rFonts w:ascii="Arial Narrow" w:eastAsia="Times New Roman" w:hAnsi="Arial Narrow" w:cs="Calibri"/>
                <w:b/>
                <w:bCs/>
                <w:color w:val="000000"/>
                <w:szCs w:val="20"/>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4A4A8" w14:textId="77777777" w:rsidR="00E20F7D" w:rsidRPr="00C64937" w:rsidRDefault="00E20F7D" w:rsidP="00E20F7D">
            <w:pPr>
              <w:spacing w:before="0" w:after="0"/>
              <w:rPr>
                <w:rFonts w:ascii="Arial Narrow" w:eastAsia="Times New Roman" w:hAnsi="Arial Narrow" w:cs="Calibri"/>
                <w:b/>
                <w:bCs/>
                <w:color w:val="000000"/>
                <w:szCs w:val="20"/>
                <w:lang w:val="en-US"/>
              </w:rPr>
            </w:pPr>
            <w:r w:rsidRPr="00C64937">
              <w:rPr>
                <w:rFonts w:ascii="Arial Narrow" w:eastAsia="Times New Roman" w:hAnsi="Arial Narrow" w:cs="Calibri"/>
                <w:b/>
                <w:bCs/>
                <w:color w:val="000000"/>
                <w:szCs w:val="20"/>
              </w:rPr>
              <w:t>Cost item</w:t>
            </w:r>
          </w:p>
        </w:tc>
        <w:tc>
          <w:tcPr>
            <w:tcW w:w="992" w:type="dxa"/>
            <w:tcBorders>
              <w:top w:val="single" w:sz="4" w:space="0" w:color="auto"/>
              <w:left w:val="nil"/>
              <w:bottom w:val="single" w:sz="4" w:space="0" w:color="auto"/>
              <w:right w:val="nil"/>
            </w:tcBorders>
            <w:shd w:val="clear" w:color="auto" w:fill="auto"/>
            <w:vAlign w:val="center"/>
            <w:hideMark/>
          </w:tcPr>
          <w:p w14:paraId="383D8FDB" w14:textId="77777777" w:rsidR="00E20F7D" w:rsidRPr="00C64937" w:rsidRDefault="00E20F7D" w:rsidP="00E20F7D">
            <w:pPr>
              <w:spacing w:before="0" w:after="0"/>
              <w:jc w:val="center"/>
              <w:rPr>
                <w:rFonts w:ascii="Arial Narrow" w:eastAsia="Times New Roman" w:hAnsi="Arial Narrow" w:cs="Calibri"/>
                <w:b/>
                <w:bCs/>
                <w:color w:val="000000"/>
                <w:szCs w:val="20"/>
                <w:lang w:val="en-US"/>
              </w:rPr>
            </w:pPr>
            <w:r w:rsidRPr="00C64937">
              <w:rPr>
                <w:rFonts w:ascii="Arial Narrow" w:eastAsia="Times New Roman" w:hAnsi="Arial Narrow" w:cs="Calibri"/>
                <w:b/>
                <w:bCs/>
                <w:color w:val="000000"/>
                <w:szCs w:val="20"/>
              </w:rPr>
              <w:t>100% MBS Fee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4A1B2" w14:textId="77777777" w:rsidR="00E20F7D" w:rsidRPr="00C64937" w:rsidRDefault="00E20F7D" w:rsidP="00E20F7D">
            <w:pPr>
              <w:spacing w:before="0" w:after="0"/>
              <w:jc w:val="center"/>
              <w:rPr>
                <w:rFonts w:ascii="Arial Narrow" w:eastAsia="Times New Roman" w:hAnsi="Arial Narrow" w:cs="Calibri"/>
                <w:b/>
                <w:bCs/>
                <w:color w:val="000000"/>
                <w:szCs w:val="20"/>
                <w:lang w:val="en-US"/>
              </w:rPr>
            </w:pPr>
            <w:r w:rsidRPr="00C64937">
              <w:rPr>
                <w:rFonts w:ascii="Arial Narrow" w:eastAsia="Times New Roman" w:hAnsi="Arial Narrow" w:cs="Calibri"/>
                <w:b/>
                <w:bCs/>
                <w:color w:val="000000"/>
                <w:szCs w:val="20"/>
                <w:lang w:val="en-US"/>
              </w:rPr>
              <w:t>75% Benefit</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0E7BFB0A" w14:textId="77777777" w:rsidR="00E20F7D" w:rsidRPr="00C64937" w:rsidRDefault="00E20F7D" w:rsidP="00E20F7D">
            <w:pPr>
              <w:spacing w:before="0" w:after="0"/>
              <w:rPr>
                <w:rFonts w:ascii="Arial Narrow" w:eastAsia="Times New Roman" w:hAnsi="Arial Narrow" w:cs="Calibri"/>
                <w:b/>
                <w:bCs/>
                <w:color w:val="000000"/>
                <w:szCs w:val="20"/>
                <w:lang w:val="en-US"/>
              </w:rPr>
            </w:pPr>
            <w:r w:rsidRPr="00C64937">
              <w:rPr>
                <w:rFonts w:ascii="Arial Narrow" w:eastAsia="Times New Roman" w:hAnsi="Arial Narrow" w:cs="Calibri"/>
                <w:b/>
                <w:bCs/>
                <w:color w:val="000000"/>
                <w:szCs w:val="20"/>
              </w:rPr>
              <w:t>Source / calculation</w:t>
            </w:r>
          </w:p>
        </w:tc>
      </w:tr>
      <w:tr w:rsidR="00D0211D" w:rsidRPr="00C64937" w14:paraId="7352C575" w14:textId="77777777" w:rsidTr="00082192">
        <w:trPr>
          <w:trHeight w:val="227"/>
        </w:trPr>
        <w:tc>
          <w:tcPr>
            <w:tcW w:w="283" w:type="dxa"/>
            <w:tcBorders>
              <w:top w:val="nil"/>
              <w:left w:val="single" w:sz="4" w:space="0" w:color="auto"/>
              <w:bottom w:val="nil"/>
              <w:right w:val="nil"/>
            </w:tcBorders>
            <w:shd w:val="clear" w:color="auto" w:fill="auto"/>
            <w:vAlign w:val="center"/>
            <w:hideMark/>
          </w:tcPr>
          <w:p w14:paraId="38F3CC84" w14:textId="77777777" w:rsidR="00E20F7D" w:rsidRPr="00C64937" w:rsidRDefault="00E20F7D" w:rsidP="00E20F7D">
            <w:pPr>
              <w:spacing w:before="0" w:after="0"/>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rPr>
              <w:t> </w:t>
            </w:r>
          </w:p>
        </w:tc>
        <w:tc>
          <w:tcPr>
            <w:tcW w:w="3402" w:type="dxa"/>
            <w:tcBorders>
              <w:top w:val="nil"/>
              <w:left w:val="single" w:sz="4" w:space="0" w:color="auto"/>
              <w:bottom w:val="nil"/>
              <w:right w:val="single" w:sz="4" w:space="0" w:color="auto"/>
            </w:tcBorders>
            <w:shd w:val="clear" w:color="auto" w:fill="auto"/>
            <w:vAlign w:val="center"/>
            <w:hideMark/>
          </w:tcPr>
          <w:p w14:paraId="7BF9AE34" w14:textId="77777777" w:rsidR="00E20F7D" w:rsidRPr="00C64937" w:rsidRDefault="00E20F7D" w:rsidP="00E20F7D">
            <w:pPr>
              <w:spacing w:before="0" w:after="0"/>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rPr>
              <w:t>DFT</w:t>
            </w:r>
          </w:p>
        </w:tc>
        <w:tc>
          <w:tcPr>
            <w:tcW w:w="992" w:type="dxa"/>
            <w:tcBorders>
              <w:top w:val="nil"/>
              <w:left w:val="nil"/>
              <w:bottom w:val="nil"/>
              <w:right w:val="nil"/>
            </w:tcBorders>
            <w:shd w:val="clear" w:color="auto" w:fill="auto"/>
            <w:vAlign w:val="center"/>
            <w:hideMark/>
          </w:tcPr>
          <w:p w14:paraId="349D0152" w14:textId="77777777" w:rsidR="00E20F7D" w:rsidRPr="00C64937" w:rsidRDefault="00E20F7D" w:rsidP="00E20F7D">
            <w:pPr>
              <w:spacing w:before="0" w:after="0"/>
              <w:jc w:val="center"/>
              <w:rPr>
                <w:rFonts w:ascii="Arial Narrow" w:eastAsia="Times New Roman" w:hAnsi="Arial Narrow" w:cs="Calibri"/>
                <w:color w:val="000000"/>
                <w:szCs w:val="20"/>
                <w:lang w:val="en-US"/>
              </w:rPr>
            </w:pPr>
          </w:p>
        </w:tc>
        <w:tc>
          <w:tcPr>
            <w:tcW w:w="993" w:type="dxa"/>
            <w:tcBorders>
              <w:top w:val="single" w:sz="4" w:space="0" w:color="auto"/>
              <w:left w:val="single" w:sz="4" w:space="0" w:color="auto"/>
              <w:bottom w:val="nil"/>
              <w:right w:val="single" w:sz="4" w:space="0" w:color="auto"/>
            </w:tcBorders>
            <w:shd w:val="clear" w:color="auto" w:fill="auto"/>
            <w:vAlign w:val="center"/>
            <w:hideMark/>
          </w:tcPr>
          <w:p w14:paraId="06486728" w14:textId="77777777" w:rsidR="00E20F7D" w:rsidRPr="00C64937" w:rsidRDefault="00E20F7D" w:rsidP="00E20F7D">
            <w:pPr>
              <w:spacing w:before="0" w:after="0"/>
              <w:jc w:val="center"/>
              <w:rPr>
                <w:rFonts w:ascii="Arial Narrow" w:eastAsia="Times New Roman" w:hAnsi="Arial Narrow" w:cs="Calibri"/>
                <w:color w:val="000000"/>
                <w:szCs w:val="20"/>
                <w:lang w:val="en-US"/>
              </w:rPr>
            </w:pPr>
          </w:p>
        </w:tc>
        <w:tc>
          <w:tcPr>
            <w:tcW w:w="2976" w:type="dxa"/>
            <w:tcBorders>
              <w:top w:val="nil"/>
              <w:left w:val="nil"/>
              <w:bottom w:val="nil"/>
              <w:right w:val="single" w:sz="4" w:space="0" w:color="auto"/>
            </w:tcBorders>
            <w:shd w:val="clear" w:color="auto" w:fill="auto"/>
            <w:vAlign w:val="center"/>
            <w:hideMark/>
          </w:tcPr>
          <w:p w14:paraId="22AA1E22" w14:textId="77777777" w:rsidR="00E20F7D" w:rsidRPr="00C64937" w:rsidRDefault="00E20F7D" w:rsidP="00E20F7D">
            <w:pPr>
              <w:spacing w:before="0" w:after="0"/>
              <w:rPr>
                <w:rFonts w:ascii="Arial Narrow" w:eastAsia="Times New Roman" w:hAnsi="Arial Narrow" w:cs="Calibri"/>
                <w:color w:val="000000"/>
                <w:szCs w:val="20"/>
                <w:lang w:val="en-US"/>
              </w:rPr>
            </w:pPr>
          </w:p>
        </w:tc>
      </w:tr>
      <w:tr w:rsidR="00D0211D" w:rsidRPr="00C64937" w14:paraId="69C34E6A" w14:textId="77777777" w:rsidTr="00082192">
        <w:trPr>
          <w:trHeight w:val="227"/>
        </w:trPr>
        <w:tc>
          <w:tcPr>
            <w:tcW w:w="283" w:type="dxa"/>
            <w:tcBorders>
              <w:top w:val="nil"/>
              <w:left w:val="single" w:sz="4" w:space="0" w:color="auto"/>
              <w:bottom w:val="nil"/>
              <w:right w:val="nil"/>
            </w:tcBorders>
            <w:shd w:val="clear" w:color="auto" w:fill="auto"/>
            <w:vAlign w:val="center"/>
            <w:hideMark/>
          </w:tcPr>
          <w:p w14:paraId="496E01CE" w14:textId="77777777" w:rsidR="00E20F7D" w:rsidRPr="00C64937" w:rsidRDefault="00E20F7D" w:rsidP="00E20F7D">
            <w:pPr>
              <w:spacing w:before="0" w:after="0"/>
              <w:rPr>
                <w:rFonts w:ascii="Arial Narrow" w:eastAsia="Times New Roman" w:hAnsi="Arial Narrow" w:cs="Calibri"/>
                <w:color w:val="000000"/>
                <w:szCs w:val="20"/>
                <w:lang w:val="en-US"/>
              </w:rPr>
            </w:pPr>
            <w:r w:rsidRPr="00C64937">
              <w:rPr>
                <w:rFonts w:ascii="Arial Narrow" w:eastAsia="Times New Roman" w:hAnsi="Arial Narrow" w:cs="Calibri"/>
                <w:color w:val="000000"/>
                <w:w w:val="99"/>
                <w:szCs w:val="20"/>
              </w:rPr>
              <w:t>A</w:t>
            </w:r>
          </w:p>
        </w:tc>
        <w:tc>
          <w:tcPr>
            <w:tcW w:w="3402" w:type="dxa"/>
            <w:tcBorders>
              <w:top w:val="nil"/>
              <w:left w:val="single" w:sz="4" w:space="0" w:color="auto"/>
              <w:bottom w:val="nil"/>
              <w:right w:val="single" w:sz="4" w:space="0" w:color="auto"/>
            </w:tcBorders>
            <w:shd w:val="clear" w:color="auto" w:fill="auto"/>
            <w:vAlign w:val="center"/>
            <w:hideMark/>
          </w:tcPr>
          <w:p w14:paraId="1C480FAF" w14:textId="77777777" w:rsidR="00E20F7D" w:rsidRPr="00C64937" w:rsidRDefault="00E20F7D" w:rsidP="00E20F7D">
            <w:pPr>
              <w:spacing w:before="0" w:after="0"/>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rPr>
              <w:t>% of patients tested</w:t>
            </w:r>
          </w:p>
        </w:tc>
        <w:tc>
          <w:tcPr>
            <w:tcW w:w="992" w:type="dxa"/>
            <w:tcBorders>
              <w:top w:val="nil"/>
              <w:left w:val="nil"/>
              <w:bottom w:val="nil"/>
              <w:right w:val="single" w:sz="4" w:space="0" w:color="auto"/>
            </w:tcBorders>
            <w:shd w:val="clear" w:color="auto" w:fill="auto"/>
            <w:vAlign w:val="center"/>
            <w:hideMark/>
          </w:tcPr>
          <w:p w14:paraId="138E69DE" w14:textId="3F6E6793" w:rsidR="00E20F7D" w:rsidRPr="00C64937" w:rsidRDefault="00604C88" w:rsidP="00E20F7D">
            <w:pPr>
              <w:spacing w:before="0" w:after="0"/>
              <w:jc w:val="center"/>
              <w:rPr>
                <w:rFonts w:ascii="Arial Narrow" w:eastAsia="Times New Roman" w:hAnsi="Arial Narrow" w:cs="Calibri"/>
                <w:color w:val="000000"/>
                <w:szCs w:val="20"/>
                <w:lang w:val="en-US"/>
              </w:rPr>
            </w:pPr>
            <w:r>
              <w:rPr>
                <w:rFonts w:ascii="Arial Narrow" w:eastAsia="Times New Roman" w:hAnsi="Arial Narrow" w:cs="Calibri"/>
                <w:color w:val="000000"/>
                <w:szCs w:val="20"/>
              </w:rPr>
              <w:t>100</w:t>
            </w:r>
            <w:r w:rsidR="00E20F7D" w:rsidRPr="00C64937">
              <w:rPr>
                <w:rFonts w:ascii="Arial Narrow" w:eastAsia="Times New Roman" w:hAnsi="Arial Narrow" w:cs="Calibri"/>
                <w:color w:val="000000"/>
                <w:szCs w:val="20"/>
              </w:rPr>
              <w:t>%</w:t>
            </w:r>
          </w:p>
        </w:tc>
        <w:tc>
          <w:tcPr>
            <w:tcW w:w="993" w:type="dxa"/>
            <w:tcBorders>
              <w:top w:val="nil"/>
              <w:left w:val="single" w:sz="4" w:space="0" w:color="auto"/>
              <w:bottom w:val="single" w:sz="4" w:space="0" w:color="auto"/>
              <w:right w:val="nil"/>
            </w:tcBorders>
            <w:shd w:val="clear" w:color="auto" w:fill="auto"/>
            <w:vAlign w:val="center"/>
            <w:hideMark/>
          </w:tcPr>
          <w:p w14:paraId="59803374" w14:textId="78E8A5BB" w:rsidR="00E20F7D" w:rsidRPr="00C64937" w:rsidRDefault="00604C88" w:rsidP="00E20F7D">
            <w:pPr>
              <w:spacing w:before="0" w:after="0"/>
              <w:jc w:val="center"/>
              <w:rPr>
                <w:rFonts w:ascii="Arial Narrow" w:eastAsia="Times New Roman" w:hAnsi="Arial Narrow" w:cs="Calibri"/>
                <w:color w:val="000000"/>
                <w:szCs w:val="20"/>
                <w:lang w:val="en-US"/>
              </w:rPr>
            </w:pPr>
            <w:r>
              <w:rPr>
                <w:rFonts w:ascii="Arial Narrow" w:eastAsia="Times New Roman" w:hAnsi="Arial Narrow" w:cs="Calibri"/>
                <w:color w:val="000000"/>
                <w:szCs w:val="20"/>
              </w:rPr>
              <w:t>100</w:t>
            </w:r>
            <w:r w:rsidR="00E20F7D" w:rsidRPr="00C64937">
              <w:rPr>
                <w:rFonts w:ascii="Arial Narrow" w:eastAsia="Times New Roman" w:hAnsi="Arial Narrow" w:cs="Calibri"/>
                <w:color w:val="000000"/>
                <w:szCs w:val="20"/>
              </w:rPr>
              <w:t>%</w:t>
            </w:r>
          </w:p>
        </w:tc>
        <w:tc>
          <w:tcPr>
            <w:tcW w:w="2976" w:type="dxa"/>
            <w:tcBorders>
              <w:top w:val="nil"/>
              <w:left w:val="single" w:sz="4" w:space="0" w:color="auto"/>
              <w:bottom w:val="nil"/>
              <w:right w:val="single" w:sz="4" w:space="0" w:color="auto"/>
            </w:tcBorders>
            <w:shd w:val="clear" w:color="auto" w:fill="auto"/>
            <w:vAlign w:val="center"/>
            <w:hideMark/>
          </w:tcPr>
          <w:p w14:paraId="2642BFC2" w14:textId="77777777" w:rsidR="00E20F7D" w:rsidRPr="00C64937" w:rsidRDefault="00E20F7D" w:rsidP="00E20F7D">
            <w:pPr>
              <w:spacing w:before="0" w:after="0"/>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rPr>
              <w:t>Assume 100% of patients require DFT for base case</w:t>
            </w:r>
          </w:p>
        </w:tc>
      </w:tr>
      <w:tr w:rsidR="00E20F7D" w:rsidRPr="00C64937" w14:paraId="2C73A0C5" w14:textId="77777777" w:rsidTr="00082192">
        <w:trPr>
          <w:trHeight w:val="34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429A7" w14:textId="77777777" w:rsidR="00E20F7D" w:rsidRPr="00C64937" w:rsidRDefault="00E20F7D" w:rsidP="00E20F7D">
            <w:pPr>
              <w:spacing w:before="0" w:after="0"/>
              <w:rPr>
                <w:rFonts w:ascii="Arial Narrow" w:eastAsia="Times New Roman" w:hAnsi="Arial Narrow" w:cs="Calibri"/>
                <w:color w:val="000000"/>
                <w:szCs w:val="20"/>
                <w:lang w:val="en-US"/>
              </w:rPr>
            </w:pPr>
            <w:r w:rsidRPr="00C64937">
              <w:rPr>
                <w:rFonts w:ascii="Arial Narrow" w:eastAsia="Times New Roman" w:hAnsi="Arial Narrow" w:cs="Calibri"/>
                <w:color w:val="000000"/>
                <w:w w:val="99"/>
                <w:szCs w:val="20"/>
              </w:rPr>
              <w:t>B</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8DEA9C9" w14:textId="77777777" w:rsidR="00E20F7D" w:rsidRPr="00C64937" w:rsidRDefault="00E20F7D" w:rsidP="00E20F7D">
            <w:pPr>
              <w:spacing w:before="0" w:after="0"/>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rPr>
              <w:t>Cost of DFT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244DC1" w14:textId="77777777" w:rsidR="00E20F7D" w:rsidRPr="00C64937" w:rsidRDefault="00E20F7D" w:rsidP="00E20F7D">
            <w:pPr>
              <w:spacing w:before="0" w:after="0"/>
              <w:jc w:val="center"/>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rPr>
              <w:t>$1,428.05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8C78E66" w14:textId="77777777" w:rsidR="00E20F7D" w:rsidRPr="00C64937" w:rsidRDefault="00E20F7D" w:rsidP="00E20F7D">
            <w:pPr>
              <w:spacing w:before="0" w:after="0"/>
              <w:jc w:val="center"/>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lang w:val="en-US"/>
              </w:rPr>
              <w:t>$1,071.05</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AAEBC1E" w14:textId="77777777" w:rsidR="00E20F7D" w:rsidRPr="00C64937" w:rsidRDefault="00E20F7D" w:rsidP="00E20F7D">
            <w:pPr>
              <w:spacing w:before="0" w:after="0"/>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rPr>
              <w:t>MBS item 38212 (fee x 100% of patients)</w:t>
            </w:r>
          </w:p>
        </w:tc>
      </w:tr>
      <w:tr w:rsidR="00B1280E" w:rsidRPr="00C64937" w14:paraId="4BF6AF48" w14:textId="77777777" w:rsidTr="00082192">
        <w:trPr>
          <w:trHeight w:val="34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6AEB5F2F" w14:textId="77777777" w:rsidR="00E20F7D" w:rsidRPr="00C64937" w:rsidRDefault="00E20F7D" w:rsidP="00E20F7D">
            <w:pPr>
              <w:spacing w:before="0" w:after="0"/>
              <w:rPr>
                <w:rFonts w:ascii="Arial Narrow" w:eastAsia="Times New Roman" w:hAnsi="Arial Narrow" w:cs="Calibri"/>
                <w:color w:val="000000"/>
                <w:szCs w:val="20"/>
                <w:lang w:val="en-US"/>
              </w:rPr>
            </w:pPr>
            <w:r w:rsidRPr="00C64937">
              <w:rPr>
                <w:rFonts w:ascii="Arial Narrow" w:eastAsia="Times New Roman" w:hAnsi="Arial Narrow" w:cs="Calibri"/>
                <w:color w:val="000000"/>
                <w:w w:val="99"/>
                <w:szCs w:val="20"/>
              </w:rPr>
              <w:t>C</w:t>
            </w:r>
          </w:p>
        </w:tc>
        <w:tc>
          <w:tcPr>
            <w:tcW w:w="3402" w:type="dxa"/>
            <w:tcBorders>
              <w:top w:val="nil"/>
              <w:left w:val="nil"/>
              <w:bottom w:val="single" w:sz="4" w:space="0" w:color="auto"/>
              <w:right w:val="single" w:sz="4" w:space="0" w:color="auto"/>
            </w:tcBorders>
            <w:shd w:val="clear" w:color="auto" w:fill="auto"/>
            <w:vAlign w:val="center"/>
            <w:hideMark/>
          </w:tcPr>
          <w:p w14:paraId="62AF8210" w14:textId="77777777" w:rsidR="00E20F7D" w:rsidRPr="00C64937" w:rsidRDefault="00E20F7D" w:rsidP="00E20F7D">
            <w:pPr>
              <w:spacing w:before="0" w:after="0"/>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rPr>
              <w:t>Lead placement</w:t>
            </w:r>
          </w:p>
        </w:tc>
        <w:tc>
          <w:tcPr>
            <w:tcW w:w="992" w:type="dxa"/>
            <w:tcBorders>
              <w:top w:val="nil"/>
              <w:left w:val="nil"/>
              <w:bottom w:val="single" w:sz="4" w:space="0" w:color="auto"/>
              <w:right w:val="single" w:sz="4" w:space="0" w:color="auto"/>
            </w:tcBorders>
            <w:shd w:val="clear" w:color="auto" w:fill="auto"/>
            <w:vAlign w:val="center"/>
            <w:hideMark/>
          </w:tcPr>
          <w:p w14:paraId="021D808D" w14:textId="77777777" w:rsidR="00E20F7D" w:rsidRPr="00C64937" w:rsidRDefault="00E20F7D" w:rsidP="00E20F7D">
            <w:pPr>
              <w:spacing w:before="0" w:after="0"/>
              <w:jc w:val="center"/>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rPr>
              <w:t>$547.65</w:t>
            </w:r>
          </w:p>
        </w:tc>
        <w:tc>
          <w:tcPr>
            <w:tcW w:w="993" w:type="dxa"/>
            <w:tcBorders>
              <w:top w:val="nil"/>
              <w:left w:val="nil"/>
              <w:bottom w:val="single" w:sz="4" w:space="0" w:color="auto"/>
              <w:right w:val="single" w:sz="4" w:space="0" w:color="auto"/>
            </w:tcBorders>
            <w:shd w:val="clear" w:color="auto" w:fill="auto"/>
            <w:vAlign w:val="center"/>
            <w:hideMark/>
          </w:tcPr>
          <w:p w14:paraId="40D94171" w14:textId="77777777" w:rsidR="00E20F7D" w:rsidRPr="00C64937" w:rsidRDefault="00E20F7D" w:rsidP="00E20F7D">
            <w:pPr>
              <w:spacing w:before="0" w:after="0"/>
              <w:jc w:val="center"/>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lang w:val="en-US"/>
              </w:rPr>
              <w:t>$410.75</w:t>
            </w:r>
          </w:p>
        </w:tc>
        <w:tc>
          <w:tcPr>
            <w:tcW w:w="2976" w:type="dxa"/>
            <w:tcBorders>
              <w:top w:val="nil"/>
              <w:left w:val="nil"/>
              <w:bottom w:val="single" w:sz="4" w:space="0" w:color="auto"/>
              <w:right w:val="single" w:sz="4" w:space="0" w:color="auto"/>
            </w:tcBorders>
            <w:shd w:val="clear" w:color="auto" w:fill="auto"/>
            <w:vAlign w:val="center"/>
            <w:hideMark/>
          </w:tcPr>
          <w:p w14:paraId="69B069F0" w14:textId="77777777" w:rsidR="00E20F7D" w:rsidRPr="00C64937" w:rsidRDefault="00E20F7D" w:rsidP="00E20F7D">
            <w:pPr>
              <w:spacing w:before="0" w:after="0"/>
              <w:rPr>
                <w:rFonts w:ascii="Arial Narrow" w:eastAsia="Times New Roman" w:hAnsi="Arial Narrow" w:cs="Calibri"/>
                <w:color w:val="000000"/>
                <w:szCs w:val="20"/>
              </w:rPr>
            </w:pPr>
            <w:r w:rsidRPr="00C64937">
              <w:rPr>
                <w:rFonts w:ascii="Arial Narrow" w:eastAsia="Times New Roman" w:hAnsi="Arial Narrow" w:cs="Calibri"/>
                <w:color w:val="000000"/>
                <w:szCs w:val="20"/>
              </w:rPr>
              <w:t xml:space="preserve">MBS item TBC (fee x 50% with DFT). </w:t>
            </w:r>
          </w:p>
          <w:p w14:paraId="2FDCFD85" w14:textId="77777777" w:rsidR="00E20F7D" w:rsidRPr="00C64937" w:rsidRDefault="00E20F7D" w:rsidP="00E20F7D">
            <w:pPr>
              <w:spacing w:before="0" w:after="0"/>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rPr>
              <w:t>Same fee as MBS item 38471 for TV leads.</w:t>
            </w:r>
          </w:p>
        </w:tc>
      </w:tr>
      <w:tr w:rsidR="00B1280E" w:rsidRPr="00C64937" w14:paraId="6B9C114A" w14:textId="77777777" w:rsidTr="00082192">
        <w:trPr>
          <w:trHeight w:val="34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51AF406F" w14:textId="77777777" w:rsidR="00E20F7D" w:rsidRPr="00C64937" w:rsidRDefault="00E20F7D" w:rsidP="00E20F7D">
            <w:pPr>
              <w:spacing w:before="0" w:after="0"/>
              <w:rPr>
                <w:rFonts w:ascii="Arial Narrow" w:eastAsia="Times New Roman" w:hAnsi="Arial Narrow" w:cs="Calibri"/>
                <w:color w:val="000000"/>
                <w:szCs w:val="20"/>
                <w:lang w:val="en-US"/>
              </w:rPr>
            </w:pPr>
            <w:r w:rsidRPr="00C64937">
              <w:rPr>
                <w:rFonts w:ascii="Arial Narrow" w:eastAsia="Times New Roman" w:hAnsi="Arial Narrow" w:cs="Calibri"/>
                <w:color w:val="000000"/>
                <w:w w:val="99"/>
                <w:szCs w:val="20"/>
              </w:rPr>
              <w:t>D</w:t>
            </w:r>
          </w:p>
        </w:tc>
        <w:tc>
          <w:tcPr>
            <w:tcW w:w="3402" w:type="dxa"/>
            <w:tcBorders>
              <w:top w:val="nil"/>
              <w:left w:val="nil"/>
              <w:bottom w:val="single" w:sz="4" w:space="0" w:color="auto"/>
              <w:right w:val="single" w:sz="4" w:space="0" w:color="auto"/>
            </w:tcBorders>
            <w:shd w:val="clear" w:color="auto" w:fill="auto"/>
            <w:vAlign w:val="center"/>
            <w:hideMark/>
          </w:tcPr>
          <w:p w14:paraId="4B47D603" w14:textId="77777777" w:rsidR="00E20F7D" w:rsidRPr="00C64937" w:rsidRDefault="00E20F7D" w:rsidP="00E20F7D">
            <w:pPr>
              <w:spacing w:before="0" w:after="0"/>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rPr>
              <w:t>Implant of generator</w:t>
            </w:r>
          </w:p>
        </w:tc>
        <w:tc>
          <w:tcPr>
            <w:tcW w:w="992" w:type="dxa"/>
            <w:tcBorders>
              <w:top w:val="nil"/>
              <w:left w:val="nil"/>
              <w:bottom w:val="single" w:sz="4" w:space="0" w:color="auto"/>
              <w:right w:val="single" w:sz="4" w:space="0" w:color="auto"/>
            </w:tcBorders>
            <w:shd w:val="clear" w:color="auto" w:fill="auto"/>
            <w:vAlign w:val="center"/>
            <w:hideMark/>
          </w:tcPr>
          <w:p w14:paraId="1DEA1C51" w14:textId="77777777" w:rsidR="00E20F7D" w:rsidRPr="00C64937" w:rsidRDefault="00E20F7D" w:rsidP="00E20F7D">
            <w:pPr>
              <w:spacing w:before="0" w:after="0"/>
              <w:jc w:val="center"/>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rPr>
              <w:t>$74.88</w:t>
            </w:r>
          </w:p>
        </w:tc>
        <w:tc>
          <w:tcPr>
            <w:tcW w:w="993" w:type="dxa"/>
            <w:tcBorders>
              <w:top w:val="nil"/>
              <w:left w:val="nil"/>
              <w:bottom w:val="single" w:sz="4" w:space="0" w:color="auto"/>
              <w:right w:val="single" w:sz="4" w:space="0" w:color="auto"/>
            </w:tcBorders>
            <w:shd w:val="clear" w:color="auto" w:fill="auto"/>
            <w:vAlign w:val="center"/>
            <w:hideMark/>
          </w:tcPr>
          <w:p w14:paraId="394D0021" w14:textId="77777777" w:rsidR="00E20F7D" w:rsidRPr="00C64937" w:rsidRDefault="00E20F7D" w:rsidP="00E20F7D">
            <w:pPr>
              <w:spacing w:before="0" w:after="0"/>
              <w:jc w:val="center"/>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lang w:val="en-US"/>
              </w:rPr>
              <w:t>$56.16</w:t>
            </w:r>
          </w:p>
        </w:tc>
        <w:tc>
          <w:tcPr>
            <w:tcW w:w="2976" w:type="dxa"/>
            <w:tcBorders>
              <w:top w:val="nil"/>
              <w:left w:val="nil"/>
              <w:bottom w:val="single" w:sz="4" w:space="0" w:color="auto"/>
              <w:right w:val="single" w:sz="4" w:space="0" w:color="auto"/>
            </w:tcBorders>
            <w:shd w:val="clear" w:color="auto" w:fill="auto"/>
            <w:vAlign w:val="center"/>
            <w:hideMark/>
          </w:tcPr>
          <w:p w14:paraId="5A0ACE60" w14:textId="77777777" w:rsidR="00E20F7D" w:rsidRPr="00C64937" w:rsidRDefault="00E20F7D" w:rsidP="00E20F7D">
            <w:pPr>
              <w:spacing w:before="0" w:after="0"/>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rPr>
              <w:t>MBS item 38472 (fee x 25% with DFT)</w:t>
            </w:r>
          </w:p>
        </w:tc>
      </w:tr>
      <w:tr w:rsidR="00B1280E" w:rsidRPr="00C64937" w14:paraId="6E6F208C" w14:textId="77777777" w:rsidTr="00082192">
        <w:trPr>
          <w:trHeight w:val="34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5D502A9C" w14:textId="77777777" w:rsidR="00E20F7D" w:rsidRPr="00C64937" w:rsidRDefault="00E20F7D" w:rsidP="00E20F7D">
            <w:pPr>
              <w:spacing w:before="0" w:after="0"/>
              <w:rPr>
                <w:rFonts w:ascii="Arial Narrow" w:eastAsia="Times New Roman" w:hAnsi="Arial Narrow" w:cs="Calibri"/>
                <w:color w:val="000000"/>
                <w:szCs w:val="20"/>
                <w:lang w:val="en-US"/>
              </w:rPr>
            </w:pPr>
            <w:r w:rsidRPr="00C64937">
              <w:rPr>
                <w:rFonts w:ascii="Arial Narrow" w:eastAsia="Times New Roman" w:hAnsi="Arial Narrow" w:cs="Calibri"/>
                <w:color w:val="000000"/>
                <w:w w:val="99"/>
                <w:szCs w:val="20"/>
              </w:rPr>
              <w:t xml:space="preserve">E </w:t>
            </w:r>
          </w:p>
        </w:tc>
        <w:tc>
          <w:tcPr>
            <w:tcW w:w="3402" w:type="dxa"/>
            <w:tcBorders>
              <w:top w:val="nil"/>
              <w:left w:val="nil"/>
              <w:bottom w:val="single" w:sz="4" w:space="0" w:color="auto"/>
              <w:right w:val="single" w:sz="4" w:space="0" w:color="auto"/>
            </w:tcBorders>
            <w:shd w:val="clear" w:color="auto" w:fill="auto"/>
            <w:vAlign w:val="center"/>
            <w:hideMark/>
          </w:tcPr>
          <w:p w14:paraId="677F7DB5" w14:textId="77777777" w:rsidR="00E20F7D" w:rsidRPr="00C64937" w:rsidRDefault="00E20F7D" w:rsidP="00E20F7D">
            <w:pPr>
              <w:spacing w:before="0" w:after="0"/>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rPr>
              <w:t>Chest x-ray with fluoroscopic screening</w:t>
            </w:r>
          </w:p>
        </w:tc>
        <w:tc>
          <w:tcPr>
            <w:tcW w:w="992" w:type="dxa"/>
            <w:tcBorders>
              <w:top w:val="nil"/>
              <w:left w:val="nil"/>
              <w:bottom w:val="single" w:sz="4" w:space="0" w:color="auto"/>
              <w:right w:val="single" w:sz="4" w:space="0" w:color="auto"/>
            </w:tcBorders>
            <w:shd w:val="clear" w:color="auto" w:fill="auto"/>
            <w:vAlign w:val="center"/>
            <w:hideMark/>
          </w:tcPr>
          <w:p w14:paraId="21067D32" w14:textId="77777777" w:rsidR="00E20F7D" w:rsidRPr="00C64937" w:rsidRDefault="00E20F7D" w:rsidP="00E20F7D">
            <w:pPr>
              <w:spacing w:before="0" w:after="0"/>
              <w:jc w:val="center"/>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rPr>
              <w:t>$62.20</w:t>
            </w:r>
          </w:p>
        </w:tc>
        <w:tc>
          <w:tcPr>
            <w:tcW w:w="993" w:type="dxa"/>
            <w:tcBorders>
              <w:top w:val="nil"/>
              <w:left w:val="nil"/>
              <w:bottom w:val="single" w:sz="4" w:space="0" w:color="auto"/>
              <w:right w:val="single" w:sz="4" w:space="0" w:color="auto"/>
            </w:tcBorders>
            <w:shd w:val="clear" w:color="auto" w:fill="auto"/>
            <w:vAlign w:val="center"/>
            <w:hideMark/>
          </w:tcPr>
          <w:p w14:paraId="10FDA4FC" w14:textId="77777777" w:rsidR="00E20F7D" w:rsidRPr="00C64937" w:rsidRDefault="00E20F7D" w:rsidP="00E20F7D">
            <w:pPr>
              <w:spacing w:before="0" w:after="0"/>
              <w:jc w:val="center"/>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lang w:val="en-US"/>
              </w:rPr>
              <w:t>$46.25</w:t>
            </w:r>
          </w:p>
        </w:tc>
        <w:tc>
          <w:tcPr>
            <w:tcW w:w="2976" w:type="dxa"/>
            <w:tcBorders>
              <w:top w:val="nil"/>
              <w:left w:val="nil"/>
              <w:bottom w:val="single" w:sz="4" w:space="0" w:color="auto"/>
              <w:right w:val="single" w:sz="4" w:space="0" w:color="auto"/>
            </w:tcBorders>
            <w:shd w:val="clear" w:color="auto" w:fill="auto"/>
            <w:vAlign w:val="center"/>
            <w:hideMark/>
          </w:tcPr>
          <w:p w14:paraId="6DAF0567" w14:textId="77777777" w:rsidR="00E20F7D" w:rsidRPr="00C64937" w:rsidRDefault="00E20F7D" w:rsidP="00E20F7D">
            <w:pPr>
              <w:spacing w:before="0" w:after="0"/>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rPr>
              <w:t>MBS item 58506</w:t>
            </w:r>
          </w:p>
        </w:tc>
      </w:tr>
      <w:tr w:rsidR="00B1280E" w:rsidRPr="00C64937" w14:paraId="28225FF1" w14:textId="77777777" w:rsidTr="00082192">
        <w:trPr>
          <w:trHeight w:val="34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38409CDC" w14:textId="77777777" w:rsidR="00E20F7D" w:rsidRPr="00C64937" w:rsidRDefault="00E20F7D" w:rsidP="00E20F7D">
            <w:pPr>
              <w:spacing w:before="0" w:after="0"/>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lang w:val="en-US"/>
              </w:rPr>
              <w:t>F</w:t>
            </w:r>
          </w:p>
        </w:tc>
        <w:tc>
          <w:tcPr>
            <w:tcW w:w="3402" w:type="dxa"/>
            <w:tcBorders>
              <w:top w:val="nil"/>
              <w:left w:val="nil"/>
              <w:bottom w:val="single" w:sz="4" w:space="0" w:color="auto"/>
              <w:right w:val="single" w:sz="4" w:space="0" w:color="auto"/>
            </w:tcBorders>
            <w:shd w:val="clear" w:color="auto" w:fill="auto"/>
            <w:vAlign w:val="center"/>
            <w:hideMark/>
          </w:tcPr>
          <w:p w14:paraId="21CE8375" w14:textId="77777777" w:rsidR="00E20F7D" w:rsidRPr="00C64937" w:rsidRDefault="00E20F7D" w:rsidP="00E20F7D">
            <w:pPr>
              <w:spacing w:before="0" w:after="0"/>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lang w:val="en-US"/>
              </w:rPr>
              <w:t xml:space="preserve">Initiation of </w:t>
            </w:r>
            <w:proofErr w:type="spellStart"/>
            <w:r w:rsidRPr="00C64937">
              <w:rPr>
                <w:rFonts w:ascii="Arial Narrow" w:eastAsia="Times New Roman" w:hAnsi="Arial Narrow" w:cs="Calibri"/>
                <w:color w:val="000000"/>
                <w:szCs w:val="20"/>
                <w:lang w:val="en-US"/>
              </w:rPr>
              <w:t>anaesthesia</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A95E9B0" w14:textId="77777777" w:rsidR="00E20F7D" w:rsidRPr="00C64937" w:rsidRDefault="00E20F7D" w:rsidP="00E20F7D">
            <w:pPr>
              <w:spacing w:before="0" w:after="0"/>
              <w:jc w:val="center"/>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lang w:val="en-US"/>
              </w:rPr>
              <w:t>$144.20</w:t>
            </w:r>
          </w:p>
        </w:tc>
        <w:tc>
          <w:tcPr>
            <w:tcW w:w="993" w:type="dxa"/>
            <w:tcBorders>
              <w:top w:val="nil"/>
              <w:left w:val="nil"/>
              <w:bottom w:val="single" w:sz="4" w:space="0" w:color="auto"/>
              <w:right w:val="single" w:sz="4" w:space="0" w:color="auto"/>
            </w:tcBorders>
            <w:shd w:val="clear" w:color="auto" w:fill="auto"/>
            <w:vAlign w:val="center"/>
            <w:hideMark/>
          </w:tcPr>
          <w:p w14:paraId="3432B1AC" w14:textId="77777777" w:rsidR="00E20F7D" w:rsidRPr="00C64937" w:rsidRDefault="00E20F7D" w:rsidP="00E20F7D">
            <w:pPr>
              <w:spacing w:before="0" w:after="0"/>
              <w:jc w:val="center"/>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lang w:val="en-US"/>
              </w:rPr>
              <w:t>$108.15</w:t>
            </w:r>
          </w:p>
        </w:tc>
        <w:tc>
          <w:tcPr>
            <w:tcW w:w="2976" w:type="dxa"/>
            <w:tcBorders>
              <w:top w:val="nil"/>
              <w:left w:val="nil"/>
              <w:bottom w:val="single" w:sz="4" w:space="0" w:color="auto"/>
              <w:right w:val="single" w:sz="4" w:space="0" w:color="auto"/>
            </w:tcBorders>
            <w:shd w:val="clear" w:color="auto" w:fill="auto"/>
            <w:vAlign w:val="center"/>
            <w:hideMark/>
          </w:tcPr>
          <w:p w14:paraId="17D6D7D2" w14:textId="77777777" w:rsidR="00E20F7D" w:rsidRPr="00C64937" w:rsidRDefault="00E20F7D" w:rsidP="00E20F7D">
            <w:pPr>
              <w:spacing w:before="0" w:after="0"/>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lang w:val="en-US"/>
              </w:rPr>
              <w:t>MBS item 21941</w:t>
            </w:r>
          </w:p>
        </w:tc>
      </w:tr>
      <w:tr w:rsidR="00B1280E" w:rsidRPr="00C64937" w14:paraId="6FBB656E" w14:textId="77777777" w:rsidTr="00082192">
        <w:trPr>
          <w:trHeight w:val="34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49C7736C" w14:textId="77777777" w:rsidR="00E20F7D" w:rsidRPr="00C64937" w:rsidRDefault="00E20F7D" w:rsidP="00E20F7D">
            <w:pPr>
              <w:spacing w:before="0" w:after="0"/>
              <w:rPr>
                <w:rFonts w:ascii="Arial Narrow" w:eastAsia="Times New Roman" w:hAnsi="Arial Narrow" w:cs="Calibri"/>
                <w:color w:val="000000"/>
                <w:szCs w:val="20"/>
                <w:lang w:val="en-US"/>
              </w:rPr>
            </w:pPr>
            <w:r w:rsidRPr="00C64937">
              <w:rPr>
                <w:rFonts w:ascii="Arial Narrow" w:eastAsia="Times New Roman" w:hAnsi="Arial Narrow" w:cs="Calibri"/>
                <w:color w:val="000000"/>
                <w:w w:val="99"/>
                <w:szCs w:val="20"/>
              </w:rPr>
              <w:t>G</w:t>
            </w:r>
          </w:p>
        </w:tc>
        <w:tc>
          <w:tcPr>
            <w:tcW w:w="3402" w:type="dxa"/>
            <w:tcBorders>
              <w:top w:val="nil"/>
              <w:left w:val="nil"/>
              <w:bottom w:val="single" w:sz="4" w:space="0" w:color="auto"/>
              <w:right w:val="single" w:sz="4" w:space="0" w:color="auto"/>
            </w:tcBorders>
            <w:shd w:val="clear" w:color="auto" w:fill="auto"/>
            <w:vAlign w:val="center"/>
            <w:hideMark/>
          </w:tcPr>
          <w:p w14:paraId="03A3CC08" w14:textId="77777777" w:rsidR="00E20F7D" w:rsidRPr="00C64937" w:rsidRDefault="00E20F7D" w:rsidP="00E20F7D">
            <w:pPr>
              <w:spacing w:before="0" w:after="0"/>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rPr>
              <w:t>Anaesthesia Time Units 1:16 to 1:30 hours</w:t>
            </w:r>
          </w:p>
        </w:tc>
        <w:tc>
          <w:tcPr>
            <w:tcW w:w="992" w:type="dxa"/>
            <w:tcBorders>
              <w:top w:val="nil"/>
              <w:left w:val="nil"/>
              <w:bottom w:val="single" w:sz="4" w:space="0" w:color="auto"/>
              <w:right w:val="single" w:sz="4" w:space="0" w:color="auto"/>
            </w:tcBorders>
            <w:shd w:val="clear" w:color="auto" w:fill="auto"/>
            <w:vAlign w:val="center"/>
            <w:hideMark/>
          </w:tcPr>
          <w:p w14:paraId="3DD7018F" w14:textId="77777777" w:rsidR="00E20F7D" w:rsidRPr="00C64937" w:rsidRDefault="00E20F7D" w:rsidP="00E20F7D">
            <w:pPr>
              <w:spacing w:before="0" w:after="0"/>
              <w:jc w:val="center"/>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rPr>
              <w:t>$123.60</w:t>
            </w:r>
          </w:p>
        </w:tc>
        <w:tc>
          <w:tcPr>
            <w:tcW w:w="993" w:type="dxa"/>
            <w:tcBorders>
              <w:top w:val="nil"/>
              <w:left w:val="nil"/>
              <w:bottom w:val="single" w:sz="4" w:space="0" w:color="auto"/>
              <w:right w:val="single" w:sz="4" w:space="0" w:color="auto"/>
            </w:tcBorders>
            <w:shd w:val="clear" w:color="auto" w:fill="auto"/>
            <w:vAlign w:val="center"/>
            <w:hideMark/>
          </w:tcPr>
          <w:p w14:paraId="7C639CB1" w14:textId="77777777" w:rsidR="00E20F7D" w:rsidRPr="00C64937" w:rsidRDefault="00E20F7D" w:rsidP="00E20F7D">
            <w:pPr>
              <w:spacing w:before="0" w:after="0"/>
              <w:jc w:val="center"/>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lang w:val="en-US"/>
              </w:rPr>
              <w:t>$92.70</w:t>
            </w:r>
          </w:p>
        </w:tc>
        <w:tc>
          <w:tcPr>
            <w:tcW w:w="2976" w:type="dxa"/>
            <w:tcBorders>
              <w:top w:val="nil"/>
              <w:left w:val="nil"/>
              <w:bottom w:val="single" w:sz="4" w:space="0" w:color="auto"/>
              <w:right w:val="single" w:sz="4" w:space="0" w:color="auto"/>
            </w:tcBorders>
            <w:shd w:val="clear" w:color="auto" w:fill="auto"/>
            <w:vAlign w:val="center"/>
            <w:hideMark/>
          </w:tcPr>
          <w:p w14:paraId="147F3906" w14:textId="635590DC" w:rsidR="00E20F7D" w:rsidRPr="00C64937" w:rsidRDefault="00C64937" w:rsidP="00E20F7D">
            <w:pPr>
              <w:spacing w:before="0" w:after="0"/>
              <w:rPr>
                <w:rFonts w:ascii="Arial Narrow" w:eastAsia="Times New Roman" w:hAnsi="Arial Narrow" w:cs="Calibri"/>
                <w:color w:val="000000"/>
                <w:szCs w:val="20"/>
                <w:lang w:val="en-US"/>
              </w:rPr>
            </w:pPr>
            <w:r w:rsidRPr="00C64937">
              <w:rPr>
                <w:rFonts w:ascii="Arial Narrow" w:eastAsia="Times New Roman" w:hAnsi="Arial Narrow" w:cs="Calibri"/>
                <w:color w:val="000000"/>
                <w:szCs w:val="20"/>
              </w:rPr>
              <w:t>MBS item 23065</w:t>
            </w:r>
          </w:p>
        </w:tc>
      </w:tr>
      <w:tr w:rsidR="00B1280E" w:rsidRPr="00C64937" w14:paraId="76A510C6" w14:textId="77777777" w:rsidTr="00082192">
        <w:trPr>
          <w:trHeight w:val="34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032F2D64" w14:textId="77777777" w:rsidR="00E20F7D" w:rsidRPr="00C64937" w:rsidRDefault="00E20F7D" w:rsidP="00E20F7D">
            <w:pPr>
              <w:spacing w:before="0" w:after="0"/>
              <w:rPr>
                <w:rFonts w:ascii="Arial Narrow" w:eastAsia="Times New Roman" w:hAnsi="Arial Narrow" w:cs="Calibri"/>
                <w:b/>
                <w:bCs/>
                <w:color w:val="000000"/>
                <w:szCs w:val="20"/>
                <w:lang w:val="en-US"/>
              </w:rPr>
            </w:pPr>
            <w:r w:rsidRPr="00C64937">
              <w:rPr>
                <w:rFonts w:ascii="Arial Narrow" w:eastAsia="Times New Roman" w:hAnsi="Arial Narrow" w:cs="Calibri"/>
                <w:b/>
                <w:bCs/>
                <w:color w:val="000000"/>
                <w:szCs w:val="20"/>
                <w:lang w:val="en-US"/>
              </w:rPr>
              <w:t> </w:t>
            </w:r>
          </w:p>
        </w:tc>
        <w:tc>
          <w:tcPr>
            <w:tcW w:w="3402" w:type="dxa"/>
            <w:tcBorders>
              <w:top w:val="nil"/>
              <w:left w:val="nil"/>
              <w:bottom w:val="single" w:sz="4" w:space="0" w:color="auto"/>
              <w:right w:val="single" w:sz="4" w:space="0" w:color="auto"/>
            </w:tcBorders>
            <w:shd w:val="clear" w:color="auto" w:fill="auto"/>
            <w:vAlign w:val="center"/>
            <w:hideMark/>
          </w:tcPr>
          <w:p w14:paraId="43ED15B1" w14:textId="77777777" w:rsidR="00E20F7D" w:rsidRPr="00C64937" w:rsidRDefault="00E20F7D" w:rsidP="00E20F7D">
            <w:pPr>
              <w:spacing w:before="0" w:after="0"/>
              <w:rPr>
                <w:rFonts w:ascii="Arial Narrow" w:eastAsia="Times New Roman" w:hAnsi="Arial Narrow" w:cs="Calibri"/>
                <w:b/>
                <w:bCs/>
                <w:color w:val="000000"/>
                <w:szCs w:val="20"/>
                <w:lang w:val="en-US"/>
              </w:rPr>
            </w:pPr>
            <w:r w:rsidRPr="00C64937">
              <w:rPr>
                <w:rFonts w:ascii="Arial Narrow" w:eastAsia="Times New Roman" w:hAnsi="Arial Narrow" w:cs="Calibri"/>
                <w:b/>
                <w:bCs/>
                <w:color w:val="000000"/>
                <w:szCs w:val="20"/>
              </w:rPr>
              <w:t>Total medical service costs</w:t>
            </w:r>
          </w:p>
        </w:tc>
        <w:tc>
          <w:tcPr>
            <w:tcW w:w="992" w:type="dxa"/>
            <w:tcBorders>
              <w:top w:val="nil"/>
              <w:left w:val="nil"/>
              <w:bottom w:val="single" w:sz="4" w:space="0" w:color="auto"/>
              <w:right w:val="single" w:sz="4" w:space="0" w:color="auto"/>
            </w:tcBorders>
            <w:shd w:val="clear" w:color="auto" w:fill="auto"/>
            <w:vAlign w:val="center"/>
            <w:hideMark/>
          </w:tcPr>
          <w:p w14:paraId="79660243" w14:textId="77777777" w:rsidR="00E20F7D" w:rsidRPr="00C64937" w:rsidRDefault="00E20F7D" w:rsidP="00E20F7D">
            <w:pPr>
              <w:spacing w:before="0" w:after="0"/>
              <w:jc w:val="center"/>
              <w:rPr>
                <w:rFonts w:ascii="Arial Narrow" w:eastAsia="Times New Roman" w:hAnsi="Arial Narrow" w:cs="Calibri"/>
                <w:b/>
                <w:bCs/>
                <w:color w:val="000000"/>
                <w:szCs w:val="20"/>
                <w:lang w:val="en-US"/>
              </w:rPr>
            </w:pPr>
            <w:r w:rsidRPr="00C64937">
              <w:rPr>
                <w:rFonts w:ascii="Arial Narrow" w:eastAsia="Times New Roman" w:hAnsi="Arial Narrow" w:cs="Calibri"/>
                <w:b/>
                <w:bCs/>
                <w:color w:val="000000"/>
                <w:szCs w:val="20"/>
              </w:rPr>
              <w:t>$2,380.58</w:t>
            </w:r>
          </w:p>
        </w:tc>
        <w:tc>
          <w:tcPr>
            <w:tcW w:w="993" w:type="dxa"/>
            <w:tcBorders>
              <w:top w:val="nil"/>
              <w:left w:val="nil"/>
              <w:bottom w:val="single" w:sz="4" w:space="0" w:color="auto"/>
              <w:right w:val="single" w:sz="4" w:space="0" w:color="auto"/>
            </w:tcBorders>
            <w:shd w:val="clear" w:color="auto" w:fill="auto"/>
            <w:vAlign w:val="center"/>
            <w:hideMark/>
          </w:tcPr>
          <w:p w14:paraId="5971C8D0" w14:textId="77777777" w:rsidR="00E20F7D" w:rsidRPr="00C64937" w:rsidRDefault="00E20F7D" w:rsidP="00E20F7D">
            <w:pPr>
              <w:spacing w:before="0" w:after="0"/>
              <w:jc w:val="center"/>
              <w:rPr>
                <w:rFonts w:ascii="Arial Narrow" w:eastAsia="Times New Roman" w:hAnsi="Arial Narrow" w:cs="Calibri"/>
                <w:b/>
                <w:bCs/>
                <w:color w:val="000000"/>
                <w:szCs w:val="20"/>
                <w:lang w:val="en-US"/>
              </w:rPr>
            </w:pPr>
            <w:r w:rsidRPr="00C64937">
              <w:rPr>
                <w:rFonts w:ascii="Arial Narrow" w:eastAsia="Times New Roman" w:hAnsi="Arial Narrow" w:cs="Calibri"/>
                <w:b/>
                <w:bCs/>
                <w:color w:val="000000"/>
                <w:szCs w:val="20"/>
                <w:lang w:val="en-US"/>
              </w:rPr>
              <w:t>$1,785.06</w:t>
            </w:r>
          </w:p>
        </w:tc>
        <w:tc>
          <w:tcPr>
            <w:tcW w:w="2976" w:type="dxa"/>
            <w:tcBorders>
              <w:top w:val="nil"/>
              <w:left w:val="nil"/>
              <w:bottom w:val="single" w:sz="4" w:space="0" w:color="auto"/>
              <w:right w:val="single" w:sz="4" w:space="0" w:color="auto"/>
            </w:tcBorders>
            <w:shd w:val="clear" w:color="auto" w:fill="auto"/>
            <w:vAlign w:val="center"/>
            <w:hideMark/>
          </w:tcPr>
          <w:p w14:paraId="7D31B2CB" w14:textId="77777777" w:rsidR="00E20F7D" w:rsidRPr="00C64937" w:rsidRDefault="00E20F7D" w:rsidP="00E20F7D">
            <w:pPr>
              <w:spacing w:before="0" w:after="0"/>
              <w:rPr>
                <w:rFonts w:ascii="Arial Narrow" w:eastAsia="Times New Roman" w:hAnsi="Arial Narrow" w:cs="Calibri"/>
                <w:b/>
                <w:bCs/>
                <w:color w:val="000000"/>
                <w:szCs w:val="20"/>
                <w:lang w:val="en-US"/>
              </w:rPr>
            </w:pPr>
            <w:r w:rsidRPr="00C64937">
              <w:rPr>
                <w:rFonts w:ascii="Arial Narrow" w:eastAsia="Times New Roman" w:hAnsi="Arial Narrow" w:cs="Calibri"/>
                <w:b/>
                <w:bCs/>
                <w:color w:val="000000"/>
                <w:szCs w:val="20"/>
              </w:rPr>
              <w:t>B+C+D+E+F+G</w:t>
            </w:r>
          </w:p>
        </w:tc>
      </w:tr>
    </w:tbl>
    <w:p w14:paraId="35818606" w14:textId="1BC04772" w:rsidR="00E20F7D" w:rsidRPr="00082192" w:rsidRDefault="00C64937" w:rsidP="00543F08">
      <w:pPr>
        <w:spacing w:before="0" w:after="0"/>
        <w:ind w:left="426"/>
        <w:contextualSpacing/>
        <w:rPr>
          <w:rFonts w:ascii="Arial Narrow" w:hAnsi="Arial Narrow"/>
          <w:sz w:val="17"/>
          <w:szCs w:val="17"/>
        </w:rPr>
      </w:pPr>
      <w:r w:rsidRPr="00082192">
        <w:rPr>
          <w:rFonts w:ascii="Arial Narrow" w:hAnsi="Arial Narrow"/>
          <w:sz w:val="17"/>
          <w:szCs w:val="17"/>
        </w:rPr>
        <w:t>DFT, defibrillation testing; MBS, Medicare Benefits Schedule; EV-ICD, extravascular implantable cardioverter defibrillator; TV, transvenous</w:t>
      </w:r>
    </w:p>
    <w:p w14:paraId="3A81AE0A" w14:textId="4688DB08" w:rsidR="009F7954" w:rsidRPr="00082192" w:rsidRDefault="009F7954" w:rsidP="00543F08">
      <w:pPr>
        <w:spacing w:before="0" w:after="0"/>
        <w:ind w:left="426"/>
        <w:contextualSpacing/>
        <w:rPr>
          <w:rFonts w:ascii="Arial Narrow" w:hAnsi="Arial Narrow"/>
          <w:sz w:val="17"/>
          <w:szCs w:val="17"/>
        </w:rPr>
      </w:pPr>
      <w:r w:rsidRPr="00082192">
        <w:rPr>
          <w:rFonts w:ascii="Arial Narrow" w:hAnsi="Arial Narrow"/>
          <w:sz w:val="17"/>
          <w:szCs w:val="17"/>
        </w:rPr>
        <w:t xml:space="preserve">Source: Costs sourced from </w:t>
      </w:r>
      <w:proofErr w:type="spellStart"/>
      <w:r w:rsidRPr="00082192">
        <w:rPr>
          <w:rFonts w:ascii="Arial Narrow" w:hAnsi="Arial Narrow"/>
          <w:sz w:val="17"/>
          <w:szCs w:val="17"/>
        </w:rPr>
        <w:t>MBSonline</w:t>
      </w:r>
      <w:proofErr w:type="spellEnd"/>
      <w:r w:rsidRPr="00082192">
        <w:rPr>
          <w:rFonts w:ascii="Arial Narrow" w:hAnsi="Arial Narrow"/>
          <w:sz w:val="17"/>
          <w:szCs w:val="17"/>
        </w:rPr>
        <w:t xml:space="preserve"> (accessed 14</w:t>
      </w:r>
      <w:r w:rsidRPr="00082192">
        <w:rPr>
          <w:rFonts w:ascii="Arial Narrow" w:hAnsi="Arial Narrow"/>
          <w:sz w:val="17"/>
          <w:szCs w:val="17"/>
          <w:vertAlign w:val="superscript"/>
        </w:rPr>
        <w:t>th</w:t>
      </w:r>
      <w:r w:rsidRPr="00082192">
        <w:rPr>
          <w:rFonts w:ascii="Arial Narrow" w:hAnsi="Arial Narrow"/>
          <w:sz w:val="17"/>
          <w:szCs w:val="17"/>
        </w:rPr>
        <w:t xml:space="preserve"> February 2022)</w:t>
      </w:r>
    </w:p>
    <w:p w14:paraId="44FF6507" w14:textId="77777777" w:rsidR="00951933" w:rsidRPr="00173431" w:rsidRDefault="00951933" w:rsidP="00530204">
      <w:pPr>
        <w:pStyle w:val="Heading2"/>
      </w:pPr>
      <w:r w:rsidRPr="00173431">
        <w:t>Specify how long the proposed medical ser</w:t>
      </w:r>
      <w:r w:rsidR="00AE1188" w:rsidRPr="00173431">
        <w:t>vice typically takes to perform:</w:t>
      </w:r>
    </w:p>
    <w:p w14:paraId="14D39703" w14:textId="77777777" w:rsidR="0074632A" w:rsidRPr="00173431" w:rsidRDefault="008D7E44" w:rsidP="008D7E44">
      <w:pPr>
        <w:ind w:left="426"/>
        <w:rPr>
          <w:szCs w:val="20"/>
        </w:rPr>
      </w:pPr>
      <w:r w:rsidRPr="00173431">
        <w:rPr>
          <w:szCs w:val="20"/>
        </w:rPr>
        <w:t xml:space="preserve">The </w:t>
      </w:r>
      <w:r w:rsidR="0074632A" w:rsidRPr="00173431">
        <w:rPr>
          <w:szCs w:val="20"/>
        </w:rPr>
        <w:t>procedure will typically take 1.25 – 1.75 hours.</w:t>
      </w:r>
    </w:p>
    <w:p w14:paraId="1454FCEC" w14:textId="77777777" w:rsidR="00707D4D" w:rsidRPr="00173431" w:rsidRDefault="0054192F" w:rsidP="00530204">
      <w:pPr>
        <w:pStyle w:val="Heading2"/>
      </w:pPr>
      <w:r w:rsidRPr="00173431">
        <w:t>If public funding is sought through the MBS, please draft a proposed MBS item descriptor to define the population and medical service usage characteristics that would define eligibility for MBS funding.</w:t>
      </w:r>
    </w:p>
    <w:p w14:paraId="2DD2A2EE" w14:textId="77777777" w:rsidR="00C769F1" w:rsidRDefault="00E20F7D" w:rsidP="00E50F47">
      <w:pPr>
        <w:ind w:left="360"/>
      </w:pPr>
      <w:r w:rsidRPr="00173431">
        <w:t xml:space="preserve">The existing MBS item number 38472 covers </w:t>
      </w:r>
      <w:r w:rsidR="003A339D" w:rsidRPr="00173431">
        <w:t xml:space="preserve">insertion, </w:t>
      </w:r>
      <w:proofErr w:type="gramStart"/>
      <w:r w:rsidR="003A339D" w:rsidRPr="00173431">
        <w:t>replacement</w:t>
      </w:r>
      <w:proofErr w:type="gramEnd"/>
      <w:r w:rsidR="003A339D" w:rsidRPr="00173431">
        <w:t xml:space="preserve"> or removal of an implantable defibrillator generator (design agnostic).  </w:t>
      </w:r>
      <w:r w:rsidR="00FC4325">
        <w:t>The</w:t>
      </w:r>
      <w:r w:rsidR="00A01F8D">
        <w:t xml:space="preserve"> generator</w:t>
      </w:r>
      <w:r w:rsidR="007B2E3D">
        <w:t xml:space="preserve"> used for EV-ICD</w:t>
      </w:r>
      <w:r w:rsidR="00A01F8D">
        <w:t xml:space="preserve"> is </w:t>
      </w:r>
      <w:r w:rsidR="00357C9C">
        <w:t>similar in function and</w:t>
      </w:r>
      <w:r w:rsidR="00873DE6">
        <w:t xml:space="preserve"> design</w:t>
      </w:r>
      <w:r w:rsidR="00C22510">
        <w:t xml:space="preserve"> to</w:t>
      </w:r>
      <w:r w:rsidR="00A01F8D">
        <w:t xml:space="preserve"> the TV-ICD generator</w:t>
      </w:r>
      <w:r w:rsidR="00C22510">
        <w:t>s, therefore</w:t>
      </w:r>
      <w:r w:rsidR="009167BD">
        <w:t xml:space="preserve"> </w:t>
      </w:r>
      <w:r w:rsidR="00704C60">
        <w:t xml:space="preserve">MBS item 38472 is </w:t>
      </w:r>
      <w:r w:rsidR="004D061F">
        <w:t>applicable f</w:t>
      </w:r>
      <w:r w:rsidR="009038C9">
        <w:t xml:space="preserve">or </w:t>
      </w:r>
      <w:r w:rsidR="00904E73">
        <w:t xml:space="preserve">insertion, </w:t>
      </w:r>
      <w:proofErr w:type="gramStart"/>
      <w:r w:rsidR="00B03C28">
        <w:t>replacement</w:t>
      </w:r>
      <w:proofErr w:type="gramEnd"/>
      <w:r w:rsidR="00B03C28">
        <w:t xml:space="preserve"> and removal of the device</w:t>
      </w:r>
      <w:r w:rsidR="00A01F8D">
        <w:t xml:space="preserve">. </w:t>
      </w:r>
    </w:p>
    <w:p w14:paraId="1B77B15E" w14:textId="38764F72" w:rsidR="00E20F7D" w:rsidRPr="00173431" w:rsidRDefault="003A339D" w:rsidP="00E50F47">
      <w:pPr>
        <w:ind w:left="360"/>
      </w:pPr>
      <w:r w:rsidRPr="00173431">
        <w:t>T</w:t>
      </w:r>
      <w:r w:rsidR="00333E49" w:rsidRPr="00173431">
        <w:t xml:space="preserve">his application proposes </w:t>
      </w:r>
      <w:r w:rsidR="00531A7E">
        <w:t>the</w:t>
      </w:r>
      <w:r w:rsidR="00333E49" w:rsidRPr="00173431">
        <w:t xml:space="preserve"> </w:t>
      </w:r>
      <w:r w:rsidRPr="00173431">
        <w:t>creat</w:t>
      </w:r>
      <w:r w:rsidR="00531A7E">
        <w:t>ion of</w:t>
      </w:r>
      <w:r w:rsidRPr="00173431">
        <w:t xml:space="preserve"> a new MBS item number for the insertion, </w:t>
      </w:r>
      <w:proofErr w:type="gramStart"/>
      <w:r w:rsidR="00333E49" w:rsidRPr="00173431">
        <w:t>removal</w:t>
      </w:r>
      <w:proofErr w:type="gramEnd"/>
      <w:r w:rsidR="00333E49" w:rsidRPr="00173431">
        <w:t xml:space="preserve"> or </w:t>
      </w:r>
      <w:r w:rsidRPr="00173431">
        <w:t>replacement of the leads for the EV-ICD system.</w:t>
      </w:r>
    </w:p>
    <w:p w14:paraId="515FD945" w14:textId="77777777" w:rsidR="00E50F47" w:rsidRDefault="00E50F47">
      <w:pPr>
        <w:spacing w:before="0" w:after="200" w:line="276" w:lineRule="auto"/>
        <w:rPr>
          <w:b/>
          <w:szCs w:val="20"/>
        </w:rPr>
      </w:pPr>
      <w:r>
        <w:rPr>
          <w:b/>
          <w:szCs w:val="20"/>
        </w:rPr>
        <w:br w:type="page"/>
      </w:r>
    </w:p>
    <w:p w14:paraId="59DC2F80" w14:textId="1268966F" w:rsidR="00AE1188" w:rsidRPr="00C769F1"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b/>
          <w:szCs w:val="20"/>
        </w:rPr>
      </w:pPr>
      <w:r w:rsidRPr="00C769F1">
        <w:rPr>
          <w:b/>
          <w:szCs w:val="20"/>
        </w:rPr>
        <w:lastRenderedPageBreak/>
        <w:t>Category</w:t>
      </w:r>
      <w:r w:rsidR="008D7E44" w:rsidRPr="00C769F1">
        <w:rPr>
          <w:b/>
          <w:szCs w:val="20"/>
        </w:rPr>
        <w:t xml:space="preserve"> 3 – Therapeutic Procedures</w:t>
      </w:r>
      <w:r w:rsidR="0074632A" w:rsidRPr="00C769F1">
        <w:rPr>
          <w:b/>
          <w:szCs w:val="20"/>
        </w:rPr>
        <w:t xml:space="preserve"> – Surgical Operations</w:t>
      </w:r>
    </w:p>
    <w:p w14:paraId="6F171EDC" w14:textId="77777777" w:rsidR="003722A4" w:rsidRPr="00173431" w:rsidRDefault="00AE1188" w:rsidP="00AE1188">
      <w:pPr>
        <w:pBdr>
          <w:top w:val="single" w:sz="4" w:space="1" w:color="auto"/>
          <w:left w:val="single" w:sz="4" w:space="4" w:color="auto"/>
          <w:bottom w:val="single" w:sz="4" w:space="1" w:color="auto"/>
          <w:right w:val="single" w:sz="4" w:space="4" w:color="auto"/>
        </w:pBdr>
      </w:pPr>
      <w:r w:rsidRPr="00173431">
        <w:rPr>
          <w:b/>
          <w:szCs w:val="20"/>
        </w:rPr>
        <w:t>Proposed item descriptor:</w:t>
      </w:r>
      <w:r w:rsidRPr="00173431">
        <w:rPr>
          <w:szCs w:val="20"/>
        </w:rPr>
        <w:t xml:space="preserve"> </w:t>
      </w:r>
      <w:r w:rsidR="003722A4" w:rsidRPr="00173431">
        <w:t xml:space="preserve">EXTRAVASCULAR PACING OR DEFIBRILLATOR LEAD, insertion, </w:t>
      </w:r>
      <w:proofErr w:type="gramStart"/>
      <w:r w:rsidR="003722A4" w:rsidRPr="00173431">
        <w:t>removal</w:t>
      </w:r>
      <w:proofErr w:type="gramEnd"/>
      <w:r w:rsidR="003722A4" w:rsidRPr="00173431">
        <w:t xml:space="preserve"> or replacement, if the patient has one of the following: </w:t>
      </w:r>
    </w:p>
    <w:p w14:paraId="6507C432" w14:textId="77777777" w:rsidR="003722A4" w:rsidRPr="00173431" w:rsidRDefault="003722A4" w:rsidP="003722A4">
      <w:pPr>
        <w:pBdr>
          <w:top w:val="single" w:sz="4" w:space="1" w:color="auto"/>
          <w:left w:val="single" w:sz="4" w:space="4" w:color="auto"/>
          <w:bottom w:val="single" w:sz="4" w:space="1" w:color="auto"/>
          <w:right w:val="single" w:sz="4" w:space="4" w:color="auto"/>
        </w:pBdr>
      </w:pPr>
      <w:r w:rsidRPr="00173431">
        <w:t xml:space="preserve">(a) a history of </w:t>
      </w:r>
      <w:proofErr w:type="spellStart"/>
      <w:r w:rsidRPr="00173431">
        <w:t>haemodynamically</w:t>
      </w:r>
      <w:proofErr w:type="spellEnd"/>
      <w:r w:rsidRPr="00173431">
        <w:t xml:space="preserve"> significant ventricular arrhythmias in the presence of structural heart </w:t>
      </w:r>
      <w:proofErr w:type="gramStart"/>
      <w:r w:rsidRPr="00173431">
        <w:t>disease;</w:t>
      </w:r>
      <w:proofErr w:type="gramEnd"/>
    </w:p>
    <w:p w14:paraId="75FEB01E" w14:textId="77777777" w:rsidR="003722A4" w:rsidRPr="00173431" w:rsidRDefault="003722A4" w:rsidP="003722A4">
      <w:pPr>
        <w:pBdr>
          <w:top w:val="single" w:sz="4" w:space="1" w:color="auto"/>
          <w:left w:val="single" w:sz="4" w:space="4" w:color="auto"/>
          <w:bottom w:val="single" w:sz="4" w:space="1" w:color="auto"/>
          <w:right w:val="single" w:sz="4" w:space="4" w:color="auto"/>
        </w:pBdr>
      </w:pPr>
      <w:r w:rsidRPr="00173431">
        <w:t xml:space="preserve">(b) documented high-risk genetic cardiac </w:t>
      </w:r>
      <w:proofErr w:type="gramStart"/>
      <w:r w:rsidRPr="00173431">
        <w:t>disease;</w:t>
      </w:r>
      <w:proofErr w:type="gramEnd"/>
    </w:p>
    <w:p w14:paraId="46B755B3" w14:textId="77777777" w:rsidR="003722A4" w:rsidRPr="00173431" w:rsidRDefault="003722A4" w:rsidP="003722A4">
      <w:pPr>
        <w:pBdr>
          <w:top w:val="single" w:sz="4" w:space="1" w:color="auto"/>
          <w:left w:val="single" w:sz="4" w:space="4" w:color="auto"/>
          <w:bottom w:val="single" w:sz="4" w:space="1" w:color="auto"/>
          <w:right w:val="single" w:sz="4" w:space="4" w:color="auto"/>
        </w:pBdr>
      </w:pPr>
      <w:r w:rsidRPr="00173431">
        <w:t xml:space="preserve">(c) ischaemic heart disease, with a left ventricular ejection fraction of less than 30% at least one month after experiencing a myocardial infarction and while on optimised medical </w:t>
      </w:r>
      <w:proofErr w:type="gramStart"/>
      <w:r w:rsidRPr="00173431">
        <w:t>therapy;</w:t>
      </w:r>
      <w:proofErr w:type="gramEnd"/>
    </w:p>
    <w:p w14:paraId="025F95F6" w14:textId="77777777" w:rsidR="003722A4" w:rsidRPr="00173431" w:rsidRDefault="003722A4" w:rsidP="003722A4">
      <w:pPr>
        <w:pBdr>
          <w:top w:val="single" w:sz="4" w:space="1" w:color="auto"/>
          <w:left w:val="single" w:sz="4" w:space="4" w:color="auto"/>
          <w:bottom w:val="single" w:sz="4" w:space="1" w:color="auto"/>
          <w:right w:val="single" w:sz="4" w:space="4" w:color="auto"/>
        </w:pBdr>
      </w:pPr>
      <w:r w:rsidRPr="00173431">
        <w:t>(d) chronic heart failure, classified as New York Heart Association class II or III, with a left ventricular ejection fraction of less than 35% (despite optimised medical therapy</w:t>
      </w:r>
      <w:proofErr w:type="gramStart"/>
      <w:r w:rsidRPr="00173431">
        <w:t>);</w:t>
      </w:r>
      <w:proofErr w:type="gramEnd"/>
    </w:p>
    <w:p w14:paraId="2808C15B" w14:textId="77777777" w:rsidR="003722A4" w:rsidRPr="00173431" w:rsidRDefault="003722A4" w:rsidP="003722A4">
      <w:pPr>
        <w:pBdr>
          <w:top w:val="single" w:sz="4" w:space="1" w:color="auto"/>
          <w:left w:val="single" w:sz="4" w:space="4" w:color="auto"/>
          <w:bottom w:val="single" w:sz="4" w:space="1" w:color="auto"/>
          <w:right w:val="single" w:sz="4" w:space="4" w:color="auto"/>
        </w:pBdr>
      </w:pPr>
      <w:r w:rsidRPr="00173431">
        <w:t>other than a service to which item 38212 applies (H)</w:t>
      </w:r>
    </w:p>
    <w:p w14:paraId="72EE825F" w14:textId="77777777" w:rsidR="00AE1188" w:rsidRPr="00543F08" w:rsidRDefault="00AE1188" w:rsidP="00AE1188">
      <w:pPr>
        <w:pBdr>
          <w:top w:val="single" w:sz="4" w:space="1" w:color="auto"/>
          <w:left w:val="single" w:sz="4" w:space="4" w:color="auto"/>
          <w:bottom w:val="single" w:sz="4" w:space="1" w:color="auto"/>
          <w:right w:val="single" w:sz="4" w:space="4" w:color="auto"/>
        </w:pBdr>
        <w:rPr>
          <w:b/>
          <w:bCs/>
        </w:rPr>
      </w:pPr>
      <w:r w:rsidRPr="00543F08">
        <w:rPr>
          <w:b/>
          <w:bCs/>
          <w:szCs w:val="20"/>
        </w:rPr>
        <w:t>Fee:  $</w:t>
      </w:r>
      <w:r w:rsidR="0074632A" w:rsidRPr="00543F08">
        <w:rPr>
          <w:b/>
          <w:bCs/>
        </w:rPr>
        <w:t>1,095.30 Benefit: 75% = 821.50</w:t>
      </w:r>
    </w:p>
    <w:p w14:paraId="430C5DD7" w14:textId="77777777" w:rsidR="00333E49" w:rsidRPr="00AE1188" w:rsidRDefault="00333E49" w:rsidP="00AE1188">
      <w:pPr>
        <w:pBdr>
          <w:top w:val="single" w:sz="4" w:space="1" w:color="auto"/>
          <w:left w:val="single" w:sz="4" w:space="4" w:color="auto"/>
          <w:bottom w:val="single" w:sz="4" w:space="1" w:color="auto"/>
          <w:right w:val="single" w:sz="4" w:space="4" w:color="auto"/>
        </w:pBdr>
        <w:rPr>
          <w:szCs w:val="20"/>
        </w:rPr>
      </w:pPr>
      <w:r w:rsidRPr="00173431">
        <w:t>Note: For repla</w:t>
      </w:r>
      <w:r w:rsidR="00510998" w:rsidRPr="00173431">
        <w:t>cement procedures, this</w:t>
      </w:r>
      <w:r w:rsidRPr="00173431">
        <w:t xml:space="preserve"> MBS item will be claimed only once during a single procedure to remove and replace an EV lead.</w:t>
      </w:r>
    </w:p>
    <w:p w14:paraId="4C78C72A" w14:textId="63353DAB" w:rsidR="00AE1188" w:rsidRDefault="00AE1188" w:rsidP="00E50F47">
      <w:pPr>
        <w:pStyle w:val="Heading2"/>
        <w:numPr>
          <w:ilvl w:val="0"/>
          <w:numId w:val="0"/>
        </w:numPr>
      </w:pPr>
    </w:p>
    <w:sectPr w:rsidR="00AE1188"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EAFBA" w14:textId="77777777" w:rsidR="00082192" w:rsidRDefault="00082192" w:rsidP="00CF2DFA">
      <w:pPr>
        <w:spacing w:after="0"/>
      </w:pPr>
      <w:r>
        <w:separator/>
      </w:r>
    </w:p>
  </w:endnote>
  <w:endnote w:type="continuationSeparator" w:id="0">
    <w:p w14:paraId="2B98B280" w14:textId="77777777" w:rsidR="00082192" w:rsidRDefault="00082192" w:rsidP="00CF2DFA">
      <w:pPr>
        <w:spacing w:after="0"/>
      </w:pPr>
      <w:r>
        <w:continuationSeparator/>
      </w:r>
    </w:p>
  </w:endnote>
  <w:endnote w:type="continuationNotice" w:id="1">
    <w:p w14:paraId="778BAFB1" w14:textId="77777777" w:rsidR="00082192" w:rsidRDefault="0008219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World">
    <w:altName w:val="Sylfaen"/>
    <w:charset w:val="00"/>
    <w:family w:val="swiss"/>
    <w:pitch w:val="variable"/>
    <w:sig w:usb0="A5002EEF" w:usb1="C0000003"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E6B65" w14:textId="77777777" w:rsidR="00082192" w:rsidRDefault="00082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2C734C70" w14:textId="292EF340" w:rsidR="00082192" w:rsidRDefault="00082192">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F43E50">
          <w:rPr>
            <w:b/>
            <w:bCs/>
            <w:noProof/>
            <w:sz w:val="18"/>
            <w:szCs w:val="18"/>
          </w:rPr>
          <w:t>8</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5E482CB1" w14:textId="77777777" w:rsidR="00082192" w:rsidRPr="003F7CB9" w:rsidRDefault="00082192"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8B725" w14:textId="77777777" w:rsidR="00082192" w:rsidRDefault="00082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62A4A" w14:textId="77777777" w:rsidR="00082192" w:rsidRDefault="00082192" w:rsidP="00CF2DFA">
      <w:pPr>
        <w:spacing w:after="0"/>
      </w:pPr>
      <w:r>
        <w:separator/>
      </w:r>
    </w:p>
  </w:footnote>
  <w:footnote w:type="continuationSeparator" w:id="0">
    <w:p w14:paraId="2E85D80F" w14:textId="77777777" w:rsidR="00082192" w:rsidRDefault="00082192" w:rsidP="00CF2DFA">
      <w:pPr>
        <w:spacing w:after="0"/>
      </w:pPr>
      <w:r>
        <w:continuationSeparator/>
      </w:r>
    </w:p>
  </w:footnote>
  <w:footnote w:type="continuationNotice" w:id="1">
    <w:p w14:paraId="28498A10" w14:textId="77777777" w:rsidR="00082192" w:rsidRDefault="00082192">
      <w:pPr>
        <w:spacing w:before="0" w:after="0"/>
      </w:pPr>
    </w:p>
  </w:footnote>
  <w:footnote w:id="2">
    <w:p w14:paraId="01AED431" w14:textId="77777777" w:rsidR="00082192" w:rsidRPr="00082192" w:rsidRDefault="00082192" w:rsidP="00B2068E">
      <w:pPr>
        <w:pStyle w:val="FootnoteText"/>
        <w:rPr>
          <w:sz w:val="16"/>
          <w:szCs w:val="16"/>
        </w:rPr>
      </w:pPr>
      <w:r w:rsidRPr="00082192">
        <w:rPr>
          <w:rStyle w:val="FootnoteReference"/>
          <w:sz w:val="16"/>
          <w:szCs w:val="16"/>
        </w:rPr>
        <w:footnoteRef/>
      </w:r>
      <w:r w:rsidRPr="00082192">
        <w:rPr>
          <w:sz w:val="16"/>
          <w:szCs w:val="16"/>
        </w:rPr>
        <w:t xml:space="preserve">   Al-Khatib, S.M. et al. 2017 AHA/ACC/HRS guideline for management of patients with ventricular arrhythmias and the prevention of sudden cardiac death: Executive summary: A Report of the American College of Cardiology/American Heart Association Task Force on Clinical Practice Guidelines and the Heart Rhythm Society. Heart Rhythm. 2018 Oct;15(10</w:t>
      </w:r>
      <w:proofErr w:type="gramStart"/>
      <w:r w:rsidRPr="00082192">
        <w:rPr>
          <w:sz w:val="16"/>
          <w:szCs w:val="16"/>
        </w:rPr>
        <w:t>):e</w:t>
      </w:r>
      <w:proofErr w:type="gramEnd"/>
      <w:r w:rsidRPr="00082192">
        <w:rPr>
          <w:sz w:val="16"/>
          <w:szCs w:val="16"/>
        </w:rPr>
        <w:t>190-e252.</w:t>
      </w:r>
    </w:p>
  </w:footnote>
  <w:footnote w:id="3">
    <w:p w14:paraId="2B0F0A2F" w14:textId="2DFF070E" w:rsidR="00082192" w:rsidRPr="00082192" w:rsidRDefault="00082192">
      <w:pPr>
        <w:pStyle w:val="FootnoteText"/>
        <w:rPr>
          <w:sz w:val="18"/>
          <w:szCs w:val="18"/>
          <w:lang w:val="en-US"/>
        </w:rPr>
      </w:pPr>
      <w:r w:rsidRPr="00082192">
        <w:rPr>
          <w:sz w:val="16"/>
          <w:szCs w:val="16"/>
        </w:rPr>
        <w:footnoteRef/>
      </w:r>
      <w:r w:rsidRPr="00082192">
        <w:rPr>
          <w:sz w:val="16"/>
          <w:szCs w:val="16"/>
        </w:rPr>
        <w:t xml:space="preserve"> Priori, S.G. et al. 2015 ESC Guidelines for the management of patients with ventricular arrhythmias and the prevention of sudden cardiac death: The Task Force for the Management of Patients with Ventricular Arrhythmias and the Prevention of Sudden Cardiac Death of the European Society of Cardiology (ESC). Endorsed by: Association for European Paediatric and Congenital Cardiology (AEPC). Eur Heart J. 2015 Nov 1;36(41):2793-2867.</w:t>
      </w:r>
      <w:r w:rsidRPr="00082192">
        <w:rPr>
          <w:sz w:val="18"/>
          <w:szCs w:val="18"/>
        </w:rPr>
        <w:t xml:space="preserve"> </w:t>
      </w:r>
    </w:p>
  </w:footnote>
  <w:footnote w:id="4">
    <w:p w14:paraId="7B067142" w14:textId="2E8B3185" w:rsidR="00082192" w:rsidRPr="00DD3119" w:rsidRDefault="00082192">
      <w:pPr>
        <w:pStyle w:val="FootnoteText"/>
        <w:rPr>
          <w:sz w:val="18"/>
          <w:szCs w:val="18"/>
          <w:lang w:val="en-US"/>
        </w:rPr>
      </w:pPr>
      <w:r w:rsidRPr="00082192">
        <w:rPr>
          <w:rStyle w:val="FootnoteReference"/>
          <w:sz w:val="16"/>
          <w:szCs w:val="16"/>
        </w:rPr>
        <w:footnoteRef/>
      </w:r>
      <w:r w:rsidRPr="00082192">
        <w:rPr>
          <w:sz w:val="16"/>
          <w:szCs w:val="16"/>
        </w:rPr>
        <w:t xml:space="preserve">   John, R.M. et al. Ventricular arrhythmias and sudden cardiac death. Lancet. 2012 Oct 27;380(9852):1520-9.</w:t>
      </w:r>
    </w:p>
  </w:footnote>
  <w:footnote w:id="5">
    <w:p w14:paraId="72E312B3" w14:textId="0C9D7401" w:rsidR="00082192" w:rsidRPr="00E50F47" w:rsidRDefault="00082192">
      <w:pPr>
        <w:pStyle w:val="FootnoteText"/>
        <w:rPr>
          <w:sz w:val="16"/>
          <w:szCs w:val="16"/>
        </w:rPr>
      </w:pPr>
      <w:r w:rsidRPr="00E50F47">
        <w:rPr>
          <w:rStyle w:val="FootnoteReference"/>
          <w:sz w:val="16"/>
          <w:szCs w:val="16"/>
        </w:rPr>
        <w:footnoteRef/>
      </w:r>
      <w:r w:rsidRPr="00E50F47">
        <w:rPr>
          <w:sz w:val="16"/>
          <w:szCs w:val="16"/>
        </w:rPr>
        <w:t xml:space="preserve"> Eckart, R.E. et al. Sudden death in young adults: an autopsy-based series of a population undergoing active surveillance. J Am Coll </w:t>
      </w:r>
      <w:proofErr w:type="spellStart"/>
      <w:r w:rsidRPr="00E50F47">
        <w:rPr>
          <w:sz w:val="16"/>
          <w:szCs w:val="16"/>
        </w:rPr>
        <w:t>Cardiol</w:t>
      </w:r>
      <w:proofErr w:type="spellEnd"/>
      <w:r w:rsidRPr="00E50F47">
        <w:rPr>
          <w:sz w:val="16"/>
          <w:szCs w:val="16"/>
        </w:rPr>
        <w:t>. 2011 Sep 13;58(12):1254-61.</w:t>
      </w:r>
    </w:p>
  </w:footnote>
  <w:footnote w:id="6">
    <w:p w14:paraId="4C9667A3" w14:textId="41070F0F" w:rsidR="00082192" w:rsidRPr="00E50F47" w:rsidRDefault="00082192">
      <w:pPr>
        <w:pStyle w:val="FootnoteText"/>
        <w:rPr>
          <w:sz w:val="16"/>
          <w:szCs w:val="16"/>
        </w:rPr>
      </w:pPr>
      <w:r w:rsidRPr="00E50F47">
        <w:rPr>
          <w:sz w:val="16"/>
          <w:szCs w:val="16"/>
        </w:rPr>
        <w:footnoteRef/>
      </w:r>
      <w:r w:rsidRPr="00E50F47">
        <w:rPr>
          <w:sz w:val="16"/>
          <w:szCs w:val="16"/>
        </w:rPr>
        <w:t xml:space="preserve"> Al-Khatib, S.M. et al. 2017 AHA/ACC/HRS guideline for management of patients with ventricular arrhythmias and the prevention of sudden cardiac death: Executive summary: A Report of the American College of Cardiology/American Heart Association Task Force on Clinical Practice Guidelines and the Heart Rhythm Society. Heart Rhythm. 2018 Oct;15(10</w:t>
      </w:r>
      <w:proofErr w:type="gramStart"/>
      <w:r w:rsidRPr="00E50F47">
        <w:rPr>
          <w:sz w:val="16"/>
          <w:szCs w:val="16"/>
        </w:rPr>
        <w:t>):e</w:t>
      </w:r>
      <w:proofErr w:type="gramEnd"/>
      <w:r w:rsidRPr="00E50F47">
        <w:rPr>
          <w:sz w:val="16"/>
          <w:szCs w:val="16"/>
        </w:rPr>
        <w:t>190-e252.</w:t>
      </w:r>
    </w:p>
  </w:footnote>
  <w:footnote w:id="7">
    <w:p w14:paraId="5360A6D5" w14:textId="0ED0B366" w:rsidR="00082192" w:rsidRPr="00E50F47" w:rsidRDefault="00082192">
      <w:pPr>
        <w:pStyle w:val="FootnoteText"/>
        <w:rPr>
          <w:sz w:val="16"/>
          <w:szCs w:val="16"/>
          <w:lang w:val="en-US"/>
        </w:rPr>
      </w:pPr>
      <w:r w:rsidRPr="00E50F47">
        <w:rPr>
          <w:rStyle w:val="FootnoteReference"/>
          <w:sz w:val="16"/>
          <w:szCs w:val="16"/>
        </w:rPr>
        <w:footnoteRef/>
      </w:r>
      <w:r w:rsidRPr="00E50F47">
        <w:rPr>
          <w:sz w:val="16"/>
          <w:szCs w:val="16"/>
        </w:rPr>
        <w:t xml:space="preserve"> NHFA CSANZ Heart Failure Guidelines Working Group et al. National Heart Foundation of Australia and Cardiac Society of Australia and New Zealand: Guidelines for the Prevention, Detection, and Management of Heart Failure in Australia 2018. Heart Lung Circ. 2018 Oct;27(10):1123-1208.</w:t>
      </w:r>
    </w:p>
  </w:footnote>
  <w:footnote w:id="8">
    <w:p w14:paraId="3B7BF686" w14:textId="186381AF" w:rsidR="00082192" w:rsidRPr="009424B8" w:rsidRDefault="00082192" w:rsidP="0017569E">
      <w:pPr>
        <w:pStyle w:val="FootnoteText"/>
        <w:rPr>
          <w:sz w:val="18"/>
          <w:szCs w:val="18"/>
        </w:rPr>
      </w:pPr>
      <w:r w:rsidRPr="00E50F47">
        <w:rPr>
          <w:sz w:val="16"/>
          <w:szCs w:val="16"/>
        </w:rPr>
        <w:footnoteRef/>
      </w:r>
      <w:r w:rsidRPr="00E50F47">
        <w:rPr>
          <w:sz w:val="16"/>
          <w:szCs w:val="16"/>
        </w:rPr>
        <w:t xml:space="preserve"> </w:t>
      </w:r>
      <w:r w:rsidRPr="00E50F47">
        <w:rPr>
          <w:sz w:val="14"/>
          <w:szCs w:val="14"/>
        </w:rPr>
        <w:t xml:space="preserve">Epstein, A. E. et al. ACC/AHA/HRS 2008 guidelines for device-based therapy of cardiac rhythm abnormalities: executive summary. 2008. Heart Rhythm, 5(6), 934-955. </w:t>
      </w:r>
    </w:p>
  </w:footnote>
  <w:footnote w:id="9">
    <w:p w14:paraId="4D714FFE" w14:textId="260A67EB" w:rsidR="00082192" w:rsidRPr="007B1987" w:rsidRDefault="00082192" w:rsidP="0017569E">
      <w:pPr>
        <w:pStyle w:val="FootnoteText"/>
        <w:rPr>
          <w:lang w:val="en-US"/>
        </w:rPr>
      </w:pPr>
      <w:r w:rsidRPr="00E50F47">
        <w:rPr>
          <w:sz w:val="18"/>
          <w:szCs w:val="18"/>
        </w:rPr>
        <w:footnoteRef/>
      </w:r>
      <w:r w:rsidRPr="00E50F47">
        <w:rPr>
          <w:sz w:val="16"/>
          <w:szCs w:val="16"/>
        </w:rPr>
        <w:t xml:space="preserve"> NHFA CSANZ Heart Failure Guidelines Working Group et al. National Heart Foundation of Australia and Cardiac Society of Australia and New Zealand: Guidelines for the Prevention, Detection, and Management of Heart Failure in Australia 2018. Heart Lung Circ. 2018 Oct;27(10):1123-1208. </w:t>
      </w:r>
    </w:p>
  </w:footnote>
  <w:footnote w:id="10">
    <w:p w14:paraId="64516168" w14:textId="77777777" w:rsidR="00082192" w:rsidRPr="00E50F47" w:rsidRDefault="00082192" w:rsidP="00044891">
      <w:pPr>
        <w:pStyle w:val="FootnoteText"/>
        <w:rPr>
          <w:sz w:val="16"/>
          <w:szCs w:val="16"/>
          <w:lang w:val="en-US"/>
        </w:rPr>
      </w:pPr>
      <w:r w:rsidRPr="00E50F47">
        <w:rPr>
          <w:rStyle w:val="FootnoteReference"/>
          <w:sz w:val="16"/>
          <w:szCs w:val="16"/>
        </w:rPr>
        <w:footnoteRef/>
      </w:r>
      <w:r w:rsidRPr="00E50F47">
        <w:rPr>
          <w:sz w:val="16"/>
          <w:szCs w:val="16"/>
        </w:rPr>
        <w:t xml:space="preserve"> Lip, G.Y. et al. European Heart Rhythm Association/Heart Failure Association joint consensus document on arrhythmias in heart failure, endorsed by the Heart Rhythm Society and the Asia Pacific Heart Rhythm Society. 2015, Eur J Heart Fail, 17(9): 848-874.</w:t>
      </w:r>
    </w:p>
  </w:footnote>
  <w:footnote w:id="11">
    <w:p w14:paraId="2112CD71" w14:textId="77777777" w:rsidR="00082192" w:rsidRPr="00E50F47" w:rsidRDefault="00082192" w:rsidP="00044891">
      <w:pPr>
        <w:pStyle w:val="FootnoteText"/>
        <w:rPr>
          <w:sz w:val="16"/>
          <w:szCs w:val="16"/>
          <w:lang w:val="en-US"/>
        </w:rPr>
      </w:pPr>
      <w:r w:rsidRPr="00E50F47">
        <w:rPr>
          <w:rStyle w:val="FootnoteReference"/>
          <w:sz w:val="16"/>
          <w:szCs w:val="16"/>
        </w:rPr>
        <w:footnoteRef/>
      </w:r>
      <w:r w:rsidRPr="00E50F47">
        <w:rPr>
          <w:sz w:val="16"/>
          <w:szCs w:val="16"/>
        </w:rPr>
        <w:t xml:space="preserve"> Priori, S.G., et al. 2015 ESC Guidelines for the management of patients with ventricular arrhythmias and the prevention of sudden cardiac death: The Task Force for the Management of Patients with Ventricular Arrhythmias and the Prevention of Sudden Cardiac Death of the European Society of Cardiology (ESC). Endorsed by: Association for European Paediatric and Congenital Cardiology (AEPC). 2015. Eur Heart J, 36(41): 2793-2867.</w:t>
      </w:r>
    </w:p>
  </w:footnote>
  <w:footnote w:id="12">
    <w:p w14:paraId="696028C9" w14:textId="77777777" w:rsidR="00082192" w:rsidRPr="007E4181" w:rsidRDefault="00082192" w:rsidP="00044891">
      <w:pPr>
        <w:pStyle w:val="FootnoteText"/>
        <w:rPr>
          <w:lang w:val="en-US"/>
        </w:rPr>
      </w:pPr>
      <w:r w:rsidRPr="00E50F47">
        <w:rPr>
          <w:rStyle w:val="FootnoteReference"/>
          <w:sz w:val="16"/>
          <w:szCs w:val="16"/>
        </w:rPr>
        <w:footnoteRef/>
      </w:r>
      <w:r w:rsidRPr="00E50F47">
        <w:rPr>
          <w:sz w:val="16"/>
          <w:szCs w:val="16"/>
        </w:rPr>
        <w:t xml:space="preserve"> Geraghty, L. et al. Contemporary management of electrical storm. 2019. Heart Lung Circ, 28: 123-133.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A8783" w14:textId="77777777" w:rsidR="00082192" w:rsidRDefault="00082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E7D3F" w14:textId="77777777" w:rsidR="00082192" w:rsidRDefault="000821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D9C02" w14:textId="77777777" w:rsidR="00082192" w:rsidRDefault="00082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DC05FF"/>
    <w:multiLevelType w:val="hybridMultilevel"/>
    <w:tmpl w:val="1986ACC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371F66EF"/>
    <w:multiLevelType w:val="hybridMultilevel"/>
    <w:tmpl w:val="F9E6845A"/>
    <w:lvl w:ilvl="0" w:tplc="C1929FD4">
      <w:start w:val="4"/>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502D0D46"/>
    <w:multiLevelType w:val="hybridMultilevel"/>
    <w:tmpl w:val="F782025A"/>
    <w:lvl w:ilvl="0" w:tplc="879E3AF4">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592769"/>
    <w:multiLevelType w:val="hybridMultilevel"/>
    <w:tmpl w:val="3A263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A402F4"/>
    <w:multiLevelType w:val="hybridMultilevel"/>
    <w:tmpl w:val="06D68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19"/>
  </w:num>
  <w:num w:numId="26">
    <w:abstractNumId w:val="4"/>
  </w:num>
  <w:num w:numId="27">
    <w:abstractNumId w:val="16"/>
  </w:num>
  <w:num w:numId="28">
    <w:abstractNumId w:val="11"/>
  </w:num>
  <w:num w:numId="29">
    <w:abstractNumId w:val="21"/>
  </w:num>
  <w:num w:numId="30">
    <w:abstractNumId w:val="2"/>
  </w:num>
  <w:num w:numId="31">
    <w:abstractNumId w:val="18"/>
  </w:num>
  <w:num w:numId="32">
    <w:abstractNumId w:val="7"/>
  </w:num>
  <w:num w:numId="33">
    <w:abstractNumId w:val="17"/>
  </w:num>
  <w:num w:numId="34">
    <w:abstractNumId w:val="6"/>
  </w:num>
  <w:num w:numId="35">
    <w:abstractNumId w:val="12"/>
  </w:num>
  <w:num w:numId="36">
    <w:abstractNumId w:val="0"/>
  </w:num>
  <w:num w:numId="37">
    <w:abstractNumId w:val="14"/>
  </w:num>
  <w:num w:numId="38">
    <w:abstractNumId w:val="13"/>
  </w:num>
  <w:num w:numId="39">
    <w:abstractNumId w:val="23"/>
  </w:num>
  <w:num w:numId="40">
    <w:abstractNumId w:val="20"/>
  </w:num>
  <w:num w:numId="41">
    <w:abstractNumId w:val="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zNzS0tDAysDQyNTFV0lEKTi0uzszPAykwrAUAga8TqSwAAAA="/>
  </w:docVars>
  <w:rsids>
    <w:rsidRoot w:val="00BF6AC5"/>
    <w:rsid w:val="00000B06"/>
    <w:rsid w:val="00001504"/>
    <w:rsid w:val="000020AB"/>
    <w:rsid w:val="0000260C"/>
    <w:rsid w:val="000037C1"/>
    <w:rsid w:val="00006FF7"/>
    <w:rsid w:val="00007442"/>
    <w:rsid w:val="00007CC6"/>
    <w:rsid w:val="00010A0C"/>
    <w:rsid w:val="000110DC"/>
    <w:rsid w:val="00011BC8"/>
    <w:rsid w:val="00012316"/>
    <w:rsid w:val="000132CD"/>
    <w:rsid w:val="000151E9"/>
    <w:rsid w:val="000158AA"/>
    <w:rsid w:val="000159B9"/>
    <w:rsid w:val="00016B6E"/>
    <w:rsid w:val="00022039"/>
    <w:rsid w:val="00023E21"/>
    <w:rsid w:val="00023F39"/>
    <w:rsid w:val="00023F78"/>
    <w:rsid w:val="00025ABC"/>
    <w:rsid w:val="00026412"/>
    <w:rsid w:val="00031F6F"/>
    <w:rsid w:val="00032009"/>
    <w:rsid w:val="00033908"/>
    <w:rsid w:val="00034317"/>
    <w:rsid w:val="00034D6E"/>
    <w:rsid w:val="00035E21"/>
    <w:rsid w:val="00036735"/>
    <w:rsid w:val="00041410"/>
    <w:rsid w:val="00042104"/>
    <w:rsid w:val="00043A59"/>
    <w:rsid w:val="00044891"/>
    <w:rsid w:val="0005089D"/>
    <w:rsid w:val="000517BC"/>
    <w:rsid w:val="00051AB5"/>
    <w:rsid w:val="000521F0"/>
    <w:rsid w:val="000525BC"/>
    <w:rsid w:val="0005421F"/>
    <w:rsid w:val="0005494D"/>
    <w:rsid w:val="0005609D"/>
    <w:rsid w:val="00056A3E"/>
    <w:rsid w:val="0006476C"/>
    <w:rsid w:val="00073222"/>
    <w:rsid w:val="000750D7"/>
    <w:rsid w:val="000770BA"/>
    <w:rsid w:val="00081B69"/>
    <w:rsid w:val="00082192"/>
    <w:rsid w:val="0008295C"/>
    <w:rsid w:val="0008477C"/>
    <w:rsid w:val="000907DF"/>
    <w:rsid w:val="0009089B"/>
    <w:rsid w:val="00090A42"/>
    <w:rsid w:val="00091D43"/>
    <w:rsid w:val="00092580"/>
    <w:rsid w:val="000955E7"/>
    <w:rsid w:val="000973E8"/>
    <w:rsid w:val="000A017D"/>
    <w:rsid w:val="000A110D"/>
    <w:rsid w:val="000A478F"/>
    <w:rsid w:val="000A5B32"/>
    <w:rsid w:val="000A5F91"/>
    <w:rsid w:val="000A636D"/>
    <w:rsid w:val="000B0F3C"/>
    <w:rsid w:val="000B1790"/>
    <w:rsid w:val="000B3CD0"/>
    <w:rsid w:val="000B5491"/>
    <w:rsid w:val="000C25C3"/>
    <w:rsid w:val="000C3884"/>
    <w:rsid w:val="000C3CD3"/>
    <w:rsid w:val="000C42DB"/>
    <w:rsid w:val="000C4853"/>
    <w:rsid w:val="000D066E"/>
    <w:rsid w:val="000D0831"/>
    <w:rsid w:val="000D22B0"/>
    <w:rsid w:val="000D35D7"/>
    <w:rsid w:val="000D584E"/>
    <w:rsid w:val="000D7AD8"/>
    <w:rsid w:val="000E47E7"/>
    <w:rsid w:val="000E5439"/>
    <w:rsid w:val="000E59F3"/>
    <w:rsid w:val="000E7817"/>
    <w:rsid w:val="000F02B6"/>
    <w:rsid w:val="000F1097"/>
    <w:rsid w:val="000F7EEB"/>
    <w:rsid w:val="00101E56"/>
    <w:rsid w:val="001023F1"/>
    <w:rsid w:val="00102686"/>
    <w:rsid w:val="001100A5"/>
    <w:rsid w:val="0011036E"/>
    <w:rsid w:val="00111341"/>
    <w:rsid w:val="001130B0"/>
    <w:rsid w:val="0011369B"/>
    <w:rsid w:val="00113EAF"/>
    <w:rsid w:val="00113EBA"/>
    <w:rsid w:val="00116A9B"/>
    <w:rsid w:val="0011742E"/>
    <w:rsid w:val="00117CB5"/>
    <w:rsid w:val="00123D10"/>
    <w:rsid w:val="00124796"/>
    <w:rsid w:val="00124B37"/>
    <w:rsid w:val="001269E9"/>
    <w:rsid w:val="00126AF5"/>
    <w:rsid w:val="00126B33"/>
    <w:rsid w:val="0013228A"/>
    <w:rsid w:val="00141A0B"/>
    <w:rsid w:val="00141B5E"/>
    <w:rsid w:val="00151D05"/>
    <w:rsid w:val="00152863"/>
    <w:rsid w:val="0015290B"/>
    <w:rsid w:val="00154B00"/>
    <w:rsid w:val="00156C67"/>
    <w:rsid w:val="00157302"/>
    <w:rsid w:val="001644E9"/>
    <w:rsid w:val="00164AE9"/>
    <w:rsid w:val="00170910"/>
    <w:rsid w:val="0017099E"/>
    <w:rsid w:val="00172FA0"/>
    <w:rsid w:val="00173431"/>
    <w:rsid w:val="0017569E"/>
    <w:rsid w:val="00180D82"/>
    <w:rsid w:val="00180DC7"/>
    <w:rsid w:val="00182395"/>
    <w:rsid w:val="00182AA7"/>
    <w:rsid w:val="00183481"/>
    <w:rsid w:val="001845D9"/>
    <w:rsid w:val="001854EC"/>
    <w:rsid w:val="00185B24"/>
    <w:rsid w:val="0018630F"/>
    <w:rsid w:val="00187FBA"/>
    <w:rsid w:val="001906CD"/>
    <w:rsid w:val="00191B99"/>
    <w:rsid w:val="001928FC"/>
    <w:rsid w:val="0019694B"/>
    <w:rsid w:val="00197D29"/>
    <w:rsid w:val="001A02E3"/>
    <w:rsid w:val="001A0759"/>
    <w:rsid w:val="001A1ADF"/>
    <w:rsid w:val="001A365C"/>
    <w:rsid w:val="001A4504"/>
    <w:rsid w:val="001A623B"/>
    <w:rsid w:val="001A7B22"/>
    <w:rsid w:val="001B029F"/>
    <w:rsid w:val="001B1149"/>
    <w:rsid w:val="001B171D"/>
    <w:rsid w:val="001B29A1"/>
    <w:rsid w:val="001B408F"/>
    <w:rsid w:val="001B5169"/>
    <w:rsid w:val="001B573F"/>
    <w:rsid w:val="001B59B0"/>
    <w:rsid w:val="001B6164"/>
    <w:rsid w:val="001B63BA"/>
    <w:rsid w:val="001C0A0C"/>
    <w:rsid w:val="001C4B2E"/>
    <w:rsid w:val="001C64E0"/>
    <w:rsid w:val="001D1518"/>
    <w:rsid w:val="001D32D9"/>
    <w:rsid w:val="001D6792"/>
    <w:rsid w:val="001D6F9D"/>
    <w:rsid w:val="001D77ED"/>
    <w:rsid w:val="001D7920"/>
    <w:rsid w:val="001E1180"/>
    <w:rsid w:val="001E23EA"/>
    <w:rsid w:val="001E376E"/>
    <w:rsid w:val="001E3F96"/>
    <w:rsid w:val="001E6919"/>
    <w:rsid w:val="001E6958"/>
    <w:rsid w:val="001E7C46"/>
    <w:rsid w:val="00201924"/>
    <w:rsid w:val="00202473"/>
    <w:rsid w:val="002053F2"/>
    <w:rsid w:val="00205F09"/>
    <w:rsid w:val="00206D63"/>
    <w:rsid w:val="0021185D"/>
    <w:rsid w:val="00212314"/>
    <w:rsid w:val="0021329A"/>
    <w:rsid w:val="002160B8"/>
    <w:rsid w:val="00216D7D"/>
    <w:rsid w:val="002200BC"/>
    <w:rsid w:val="00220394"/>
    <w:rsid w:val="00221506"/>
    <w:rsid w:val="002264DD"/>
    <w:rsid w:val="00226777"/>
    <w:rsid w:val="00226C42"/>
    <w:rsid w:val="00227363"/>
    <w:rsid w:val="00235BD1"/>
    <w:rsid w:val="00236B8D"/>
    <w:rsid w:val="00242B0E"/>
    <w:rsid w:val="002447C0"/>
    <w:rsid w:val="00247DF0"/>
    <w:rsid w:val="002533DD"/>
    <w:rsid w:val="00253947"/>
    <w:rsid w:val="00254813"/>
    <w:rsid w:val="002548F7"/>
    <w:rsid w:val="00256D47"/>
    <w:rsid w:val="00257FF2"/>
    <w:rsid w:val="002630E1"/>
    <w:rsid w:val="00264EC5"/>
    <w:rsid w:val="00265822"/>
    <w:rsid w:val="0027105F"/>
    <w:rsid w:val="002711FB"/>
    <w:rsid w:val="002723F5"/>
    <w:rsid w:val="00274ED7"/>
    <w:rsid w:val="00277FC4"/>
    <w:rsid w:val="00282BE8"/>
    <w:rsid w:val="00283318"/>
    <w:rsid w:val="00285525"/>
    <w:rsid w:val="0029134D"/>
    <w:rsid w:val="00291657"/>
    <w:rsid w:val="0029209D"/>
    <w:rsid w:val="00294CD8"/>
    <w:rsid w:val="002A270B"/>
    <w:rsid w:val="002A4BD9"/>
    <w:rsid w:val="002A50FD"/>
    <w:rsid w:val="002A544A"/>
    <w:rsid w:val="002A6753"/>
    <w:rsid w:val="002B28D7"/>
    <w:rsid w:val="002B4D32"/>
    <w:rsid w:val="002B7EB6"/>
    <w:rsid w:val="002B7F9E"/>
    <w:rsid w:val="002C0B61"/>
    <w:rsid w:val="002C15E6"/>
    <w:rsid w:val="002C247D"/>
    <w:rsid w:val="002C266A"/>
    <w:rsid w:val="002C3345"/>
    <w:rsid w:val="002C4AD9"/>
    <w:rsid w:val="002C532F"/>
    <w:rsid w:val="002C54CB"/>
    <w:rsid w:val="002C64F2"/>
    <w:rsid w:val="002C7430"/>
    <w:rsid w:val="002C7EA5"/>
    <w:rsid w:val="002D1F9E"/>
    <w:rsid w:val="002D409A"/>
    <w:rsid w:val="002D5CCD"/>
    <w:rsid w:val="002D5FD4"/>
    <w:rsid w:val="002E2284"/>
    <w:rsid w:val="002E341A"/>
    <w:rsid w:val="002E3B45"/>
    <w:rsid w:val="002E76A2"/>
    <w:rsid w:val="002F0038"/>
    <w:rsid w:val="002F1F0A"/>
    <w:rsid w:val="002F30E7"/>
    <w:rsid w:val="002F688D"/>
    <w:rsid w:val="002F7676"/>
    <w:rsid w:val="003004C4"/>
    <w:rsid w:val="00300EEB"/>
    <w:rsid w:val="003013A9"/>
    <w:rsid w:val="00301958"/>
    <w:rsid w:val="003020B5"/>
    <w:rsid w:val="003027BB"/>
    <w:rsid w:val="0030455B"/>
    <w:rsid w:val="00307C53"/>
    <w:rsid w:val="00310A10"/>
    <w:rsid w:val="0031262C"/>
    <w:rsid w:val="0031301E"/>
    <w:rsid w:val="003145D8"/>
    <w:rsid w:val="00314D36"/>
    <w:rsid w:val="00320674"/>
    <w:rsid w:val="003208DC"/>
    <w:rsid w:val="00322435"/>
    <w:rsid w:val="003263D5"/>
    <w:rsid w:val="003275B1"/>
    <w:rsid w:val="00327D25"/>
    <w:rsid w:val="003319A7"/>
    <w:rsid w:val="00333BD5"/>
    <w:rsid w:val="00333E49"/>
    <w:rsid w:val="00334FE3"/>
    <w:rsid w:val="003364EC"/>
    <w:rsid w:val="003403B3"/>
    <w:rsid w:val="003421AE"/>
    <w:rsid w:val="003433D1"/>
    <w:rsid w:val="00343890"/>
    <w:rsid w:val="00344B24"/>
    <w:rsid w:val="003456B9"/>
    <w:rsid w:val="00350039"/>
    <w:rsid w:val="0035067D"/>
    <w:rsid w:val="003521C3"/>
    <w:rsid w:val="00353A16"/>
    <w:rsid w:val="00354816"/>
    <w:rsid w:val="0035776D"/>
    <w:rsid w:val="00357C9C"/>
    <w:rsid w:val="00364961"/>
    <w:rsid w:val="00364C5B"/>
    <w:rsid w:val="00364FD9"/>
    <w:rsid w:val="00366B4C"/>
    <w:rsid w:val="00367007"/>
    <w:rsid w:val="00367C1B"/>
    <w:rsid w:val="00370DCD"/>
    <w:rsid w:val="00370F92"/>
    <w:rsid w:val="0037157C"/>
    <w:rsid w:val="003722A4"/>
    <w:rsid w:val="00374133"/>
    <w:rsid w:val="00374F8C"/>
    <w:rsid w:val="00376B61"/>
    <w:rsid w:val="003821AE"/>
    <w:rsid w:val="00382407"/>
    <w:rsid w:val="00382C5B"/>
    <w:rsid w:val="00384545"/>
    <w:rsid w:val="0038455D"/>
    <w:rsid w:val="00386A64"/>
    <w:rsid w:val="00386FA1"/>
    <w:rsid w:val="00387FC2"/>
    <w:rsid w:val="00390142"/>
    <w:rsid w:val="003904AC"/>
    <w:rsid w:val="00390776"/>
    <w:rsid w:val="00392F00"/>
    <w:rsid w:val="00397377"/>
    <w:rsid w:val="003975A4"/>
    <w:rsid w:val="003A0E71"/>
    <w:rsid w:val="003A1870"/>
    <w:rsid w:val="003A22DE"/>
    <w:rsid w:val="003A2860"/>
    <w:rsid w:val="003A339D"/>
    <w:rsid w:val="003A3568"/>
    <w:rsid w:val="003A3C35"/>
    <w:rsid w:val="003A6751"/>
    <w:rsid w:val="003A7D30"/>
    <w:rsid w:val="003B1DD9"/>
    <w:rsid w:val="003B1F23"/>
    <w:rsid w:val="003B3C5C"/>
    <w:rsid w:val="003B41E2"/>
    <w:rsid w:val="003B4339"/>
    <w:rsid w:val="003B57A7"/>
    <w:rsid w:val="003B5911"/>
    <w:rsid w:val="003C47CA"/>
    <w:rsid w:val="003C4B11"/>
    <w:rsid w:val="003C609C"/>
    <w:rsid w:val="003D0411"/>
    <w:rsid w:val="003D1C89"/>
    <w:rsid w:val="003D41B6"/>
    <w:rsid w:val="003D6DE1"/>
    <w:rsid w:val="003D795C"/>
    <w:rsid w:val="003E04C2"/>
    <w:rsid w:val="003E1E01"/>
    <w:rsid w:val="003E30FB"/>
    <w:rsid w:val="003E67A6"/>
    <w:rsid w:val="003F2711"/>
    <w:rsid w:val="003F40E0"/>
    <w:rsid w:val="003F6638"/>
    <w:rsid w:val="003F6C70"/>
    <w:rsid w:val="003F7CB9"/>
    <w:rsid w:val="00402C86"/>
    <w:rsid w:val="00403333"/>
    <w:rsid w:val="00403523"/>
    <w:rsid w:val="004049B6"/>
    <w:rsid w:val="00404C75"/>
    <w:rsid w:val="0041063A"/>
    <w:rsid w:val="00411735"/>
    <w:rsid w:val="00412476"/>
    <w:rsid w:val="00413017"/>
    <w:rsid w:val="00413F36"/>
    <w:rsid w:val="00415C74"/>
    <w:rsid w:val="00415E5B"/>
    <w:rsid w:val="00420B6F"/>
    <w:rsid w:val="00420F60"/>
    <w:rsid w:val="00421A09"/>
    <w:rsid w:val="0042327B"/>
    <w:rsid w:val="0042509F"/>
    <w:rsid w:val="0042533D"/>
    <w:rsid w:val="00425825"/>
    <w:rsid w:val="00430416"/>
    <w:rsid w:val="004316F1"/>
    <w:rsid w:val="0043199A"/>
    <w:rsid w:val="0043654D"/>
    <w:rsid w:val="00437F60"/>
    <w:rsid w:val="00440753"/>
    <w:rsid w:val="0044207F"/>
    <w:rsid w:val="00444956"/>
    <w:rsid w:val="00446991"/>
    <w:rsid w:val="00451840"/>
    <w:rsid w:val="00460C9A"/>
    <w:rsid w:val="00460E69"/>
    <w:rsid w:val="00464924"/>
    <w:rsid w:val="004669B4"/>
    <w:rsid w:val="00466C51"/>
    <w:rsid w:val="0047001B"/>
    <w:rsid w:val="00471553"/>
    <w:rsid w:val="0047187E"/>
    <w:rsid w:val="00472BE3"/>
    <w:rsid w:val="00473043"/>
    <w:rsid w:val="0047581D"/>
    <w:rsid w:val="00475852"/>
    <w:rsid w:val="00475B65"/>
    <w:rsid w:val="00476BA7"/>
    <w:rsid w:val="00480289"/>
    <w:rsid w:val="00480309"/>
    <w:rsid w:val="0048100A"/>
    <w:rsid w:val="00481279"/>
    <w:rsid w:val="00483368"/>
    <w:rsid w:val="004861AE"/>
    <w:rsid w:val="00486AFE"/>
    <w:rsid w:val="00490A06"/>
    <w:rsid w:val="004920E0"/>
    <w:rsid w:val="00492F9D"/>
    <w:rsid w:val="00494011"/>
    <w:rsid w:val="004A0BF4"/>
    <w:rsid w:val="004A263B"/>
    <w:rsid w:val="004A2826"/>
    <w:rsid w:val="004A3680"/>
    <w:rsid w:val="004A796D"/>
    <w:rsid w:val="004B0318"/>
    <w:rsid w:val="004B2F07"/>
    <w:rsid w:val="004B4257"/>
    <w:rsid w:val="004B68AE"/>
    <w:rsid w:val="004C0184"/>
    <w:rsid w:val="004C3541"/>
    <w:rsid w:val="004C35B0"/>
    <w:rsid w:val="004C49EF"/>
    <w:rsid w:val="004C4A19"/>
    <w:rsid w:val="004C4DB7"/>
    <w:rsid w:val="004C53FA"/>
    <w:rsid w:val="004C5570"/>
    <w:rsid w:val="004D00C9"/>
    <w:rsid w:val="004D061F"/>
    <w:rsid w:val="004D0A63"/>
    <w:rsid w:val="004D2DB4"/>
    <w:rsid w:val="004D3C1F"/>
    <w:rsid w:val="004E16F5"/>
    <w:rsid w:val="004E3CC7"/>
    <w:rsid w:val="004E3DDF"/>
    <w:rsid w:val="004E5B69"/>
    <w:rsid w:val="004F1159"/>
    <w:rsid w:val="004F2558"/>
    <w:rsid w:val="004F2A87"/>
    <w:rsid w:val="004F2CEB"/>
    <w:rsid w:val="00502577"/>
    <w:rsid w:val="00507C56"/>
    <w:rsid w:val="00510998"/>
    <w:rsid w:val="005140B7"/>
    <w:rsid w:val="00516050"/>
    <w:rsid w:val="00520D62"/>
    <w:rsid w:val="0052344E"/>
    <w:rsid w:val="00524034"/>
    <w:rsid w:val="00526478"/>
    <w:rsid w:val="00530204"/>
    <w:rsid w:val="00531A7E"/>
    <w:rsid w:val="00532A44"/>
    <w:rsid w:val="005335B2"/>
    <w:rsid w:val="00534C5F"/>
    <w:rsid w:val="00535526"/>
    <w:rsid w:val="00540257"/>
    <w:rsid w:val="0054192F"/>
    <w:rsid w:val="00542578"/>
    <w:rsid w:val="00543F08"/>
    <w:rsid w:val="00544EB3"/>
    <w:rsid w:val="0054594B"/>
    <w:rsid w:val="005465B6"/>
    <w:rsid w:val="005471F9"/>
    <w:rsid w:val="0054749B"/>
    <w:rsid w:val="00550ABC"/>
    <w:rsid w:val="00551612"/>
    <w:rsid w:val="00551CC6"/>
    <w:rsid w:val="00554E7A"/>
    <w:rsid w:val="00555AB0"/>
    <w:rsid w:val="0056015F"/>
    <w:rsid w:val="00560541"/>
    <w:rsid w:val="00562C8D"/>
    <w:rsid w:val="005633F8"/>
    <w:rsid w:val="00564083"/>
    <w:rsid w:val="00566C16"/>
    <w:rsid w:val="005672D0"/>
    <w:rsid w:val="00572CEB"/>
    <w:rsid w:val="00576A8E"/>
    <w:rsid w:val="00577752"/>
    <w:rsid w:val="005807EC"/>
    <w:rsid w:val="005834C9"/>
    <w:rsid w:val="0059073F"/>
    <w:rsid w:val="00593487"/>
    <w:rsid w:val="005A58BA"/>
    <w:rsid w:val="005A5D30"/>
    <w:rsid w:val="005A6AB9"/>
    <w:rsid w:val="005B1B6E"/>
    <w:rsid w:val="005B569B"/>
    <w:rsid w:val="005C0BC4"/>
    <w:rsid w:val="005C1028"/>
    <w:rsid w:val="005C333E"/>
    <w:rsid w:val="005C3AE7"/>
    <w:rsid w:val="005C4BB9"/>
    <w:rsid w:val="005D0677"/>
    <w:rsid w:val="005D7BC0"/>
    <w:rsid w:val="005E06C5"/>
    <w:rsid w:val="005E1EB9"/>
    <w:rsid w:val="005E294C"/>
    <w:rsid w:val="005E2CE3"/>
    <w:rsid w:val="005E3883"/>
    <w:rsid w:val="005E5534"/>
    <w:rsid w:val="005F0B53"/>
    <w:rsid w:val="005F0E72"/>
    <w:rsid w:val="005F2D06"/>
    <w:rsid w:val="005F3F07"/>
    <w:rsid w:val="005F4641"/>
    <w:rsid w:val="0060022D"/>
    <w:rsid w:val="00600A54"/>
    <w:rsid w:val="00600B45"/>
    <w:rsid w:val="00603D04"/>
    <w:rsid w:val="00604C88"/>
    <w:rsid w:val="00606857"/>
    <w:rsid w:val="00611B11"/>
    <w:rsid w:val="006143B5"/>
    <w:rsid w:val="00615F42"/>
    <w:rsid w:val="00616266"/>
    <w:rsid w:val="00616C0A"/>
    <w:rsid w:val="006258C2"/>
    <w:rsid w:val="00625B05"/>
    <w:rsid w:val="00626365"/>
    <w:rsid w:val="00626543"/>
    <w:rsid w:val="00630E22"/>
    <w:rsid w:val="006338BE"/>
    <w:rsid w:val="00636385"/>
    <w:rsid w:val="0064168C"/>
    <w:rsid w:val="006428E3"/>
    <w:rsid w:val="00644EFA"/>
    <w:rsid w:val="00654493"/>
    <w:rsid w:val="00657B46"/>
    <w:rsid w:val="0066005A"/>
    <w:rsid w:val="006641AA"/>
    <w:rsid w:val="00664503"/>
    <w:rsid w:val="00665078"/>
    <w:rsid w:val="0066554A"/>
    <w:rsid w:val="006764EC"/>
    <w:rsid w:val="006835FE"/>
    <w:rsid w:val="00684089"/>
    <w:rsid w:val="0068674C"/>
    <w:rsid w:val="00686AB3"/>
    <w:rsid w:val="00686B28"/>
    <w:rsid w:val="00686B48"/>
    <w:rsid w:val="00692B92"/>
    <w:rsid w:val="00693022"/>
    <w:rsid w:val="00693BFD"/>
    <w:rsid w:val="00695065"/>
    <w:rsid w:val="006956C5"/>
    <w:rsid w:val="00696CB6"/>
    <w:rsid w:val="006A0260"/>
    <w:rsid w:val="006A03DB"/>
    <w:rsid w:val="006A0B48"/>
    <w:rsid w:val="006A1038"/>
    <w:rsid w:val="006A23A5"/>
    <w:rsid w:val="006A39D5"/>
    <w:rsid w:val="006A459D"/>
    <w:rsid w:val="006A51B7"/>
    <w:rsid w:val="006A649A"/>
    <w:rsid w:val="006A7506"/>
    <w:rsid w:val="006B1B49"/>
    <w:rsid w:val="006B5CC8"/>
    <w:rsid w:val="006B6390"/>
    <w:rsid w:val="006B78D1"/>
    <w:rsid w:val="006C0356"/>
    <w:rsid w:val="006C0843"/>
    <w:rsid w:val="006C3D5F"/>
    <w:rsid w:val="006C51CD"/>
    <w:rsid w:val="006C74B1"/>
    <w:rsid w:val="006D0228"/>
    <w:rsid w:val="006D0D34"/>
    <w:rsid w:val="006D0F46"/>
    <w:rsid w:val="006D1961"/>
    <w:rsid w:val="006D4F55"/>
    <w:rsid w:val="006D5C2E"/>
    <w:rsid w:val="006D7478"/>
    <w:rsid w:val="006E0B52"/>
    <w:rsid w:val="006E11E1"/>
    <w:rsid w:val="006E57AA"/>
    <w:rsid w:val="006F186A"/>
    <w:rsid w:val="006F20CF"/>
    <w:rsid w:val="006F38ED"/>
    <w:rsid w:val="00704C60"/>
    <w:rsid w:val="00705B52"/>
    <w:rsid w:val="0070747C"/>
    <w:rsid w:val="00707C39"/>
    <w:rsid w:val="00707D4D"/>
    <w:rsid w:val="007110EE"/>
    <w:rsid w:val="0071465A"/>
    <w:rsid w:val="00717895"/>
    <w:rsid w:val="00720982"/>
    <w:rsid w:val="00721906"/>
    <w:rsid w:val="00722C80"/>
    <w:rsid w:val="00723446"/>
    <w:rsid w:val="00723503"/>
    <w:rsid w:val="00726D9F"/>
    <w:rsid w:val="00730C04"/>
    <w:rsid w:val="0073597B"/>
    <w:rsid w:val="007378F6"/>
    <w:rsid w:val="007412E6"/>
    <w:rsid w:val="00742D4F"/>
    <w:rsid w:val="0074545D"/>
    <w:rsid w:val="0074632A"/>
    <w:rsid w:val="007522E3"/>
    <w:rsid w:val="0075335B"/>
    <w:rsid w:val="00753C44"/>
    <w:rsid w:val="00754383"/>
    <w:rsid w:val="007564D1"/>
    <w:rsid w:val="00756C4B"/>
    <w:rsid w:val="00757232"/>
    <w:rsid w:val="00760679"/>
    <w:rsid w:val="00760F4A"/>
    <w:rsid w:val="00761890"/>
    <w:rsid w:val="00763628"/>
    <w:rsid w:val="00767E99"/>
    <w:rsid w:val="007703DA"/>
    <w:rsid w:val="00772E62"/>
    <w:rsid w:val="00775A6A"/>
    <w:rsid w:val="0077789B"/>
    <w:rsid w:val="007778D1"/>
    <w:rsid w:val="00780D29"/>
    <w:rsid w:val="00783F78"/>
    <w:rsid w:val="00785FAD"/>
    <w:rsid w:val="00791C8D"/>
    <w:rsid w:val="0079354C"/>
    <w:rsid w:val="007939A9"/>
    <w:rsid w:val="00794181"/>
    <w:rsid w:val="00795C0B"/>
    <w:rsid w:val="00795E5A"/>
    <w:rsid w:val="00797A6E"/>
    <w:rsid w:val="007A30F0"/>
    <w:rsid w:val="007A4393"/>
    <w:rsid w:val="007A6F32"/>
    <w:rsid w:val="007A7F6F"/>
    <w:rsid w:val="007B1987"/>
    <w:rsid w:val="007B2E3D"/>
    <w:rsid w:val="007B4C76"/>
    <w:rsid w:val="007B63CD"/>
    <w:rsid w:val="007B7082"/>
    <w:rsid w:val="007C0C00"/>
    <w:rsid w:val="007C1D9B"/>
    <w:rsid w:val="007C2260"/>
    <w:rsid w:val="007C688D"/>
    <w:rsid w:val="007D1E52"/>
    <w:rsid w:val="007D2358"/>
    <w:rsid w:val="007D34CA"/>
    <w:rsid w:val="007D36B4"/>
    <w:rsid w:val="007D5454"/>
    <w:rsid w:val="007D744E"/>
    <w:rsid w:val="007E27B1"/>
    <w:rsid w:val="007E39E4"/>
    <w:rsid w:val="007E4181"/>
    <w:rsid w:val="007E6FB3"/>
    <w:rsid w:val="007F1FCD"/>
    <w:rsid w:val="007F21B4"/>
    <w:rsid w:val="007F3EDB"/>
    <w:rsid w:val="008007B4"/>
    <w:rsid w:val="00802553"/>
    <w:rsid w:val="00803EAB"/>
    <w:rsid w:val="008046B5"/>
    <w:rsid w:val="0080571F"/>
    <w:rsid w:val="00806303"/>
    <w:rsid w:val="00806C22"/>
    <w:rsid w:val="00810224"/>
    <w:rsid w:val="00810B39"/>
    <w:rsid w:val="00810BB1"/>
    <w:rsid w:val="008127C0"/>
    <w:rsid w:val="00812EDD"/>
    <w:rsid w:val="0081365A"/>
    <w:rsid w:val="008139C5"/>
    <w:rsid w:val="00813A0C"/>
    <w:rsid w:val="008153DE"/>
    <w:rsid w:val="0081650F"/>
    <w:rsid w:val="00816FFC"/>
    <w:rsid w:val="008228FE"/>
    <w:rsid w:val="00827082"/>
    <w:rsid w:val="008272A3"/>
    <w:rsid w:val="00827691"/>
    <w:rsid w:val="00832255"/>
    <w:rsid w:val="00832B31"/>
    <w:rsid w:val="00840305"/>
    <w:rsid w:val="008403E0"/>
    <w:rsid w:val="00840A53"/>
    <w:rsid w:val="00844B96"/>
    <w:rsid w:val="00844E14"/>
    <w:rsid w:val="00845FF4"/>
    <w:rsid w:val="0084657B"/>
    <w:rsid w:val="008474A4"/>
    <w:rsid w:val="00847613"/>
    <w:rsid w:val="00852364"/>
    <w:rsid w:val="00853F4C"/>
    <w:rsid w:val="00855944"/>
    <w:rsid w:val="00856C71"/>
    <w:rsid w:val="00861FAF"/>
    <w:rsid w:val="0086302E"/>
    <w:rsid w:val="00864A18"/>
    <w:rsid w:val="00866FA1"/>
    <w:rsid w:val="00870833"/>
    <w:rsid w:val="00870E45"/>
    <w:rsid w:val="00871249"/>
    <w:rsid w:val="00873DE6"/>
    <w:rsid w:val="00874571"/>
    <w:rsid w:val="00875961"/>
    <w:rsid w:val="00877C80"/>
    <w:rsid w:val="00881F93"/>
    <w:rsid w:val="00882A1D"/>
    <w:rsid w:val="00882CB5"/>
    <w:rsid w:val="00883641"/>
    <w:rsid w:val="00883DE3"/>
    <w:rsid w:val="00884E69"/>
    <w:rsid w:val="00885218"/>
    <w:rsid w:val="00890082"/>
    <w:rsid w:val="00895620"/>
    <w:rsid w:val="00896A7B"/>
    <w:rsid w:val="00896BE7"/>
    <w:rsid w:val="008A2A58"/>
    <w:rsid w:val="008A478D"/>
    <w:rsid w:val="008A48D2"/>
    <w:rsid w:val="008A7423"/>
    <w:rsid w:val="008A7426"/>
    <w:rsid w:val="008B1119"/>
    <w:rsid w:val="008B1808"/>
    <w:rsid w:val="008B2610"/>
    <w:rsid w:val="008B34BA"/>
    <w:rsid w:val="008B471D"/>
    <w:rsid w:val="008B49E4"/>
    <w:rsid w:val="008B57E1"/>
    <w:rsid w:val="008B729C"/>
    <w:rsid w:val="008B7422"/>
    <w:rsid w:val="008C115A"/>
    <w:rsid w:val="008C1F80"/>
    <w:rsid w:val="008C2405"/>
    <w:rsid w:val="008C422E"/>
    <w:rsid w:val="008C4A93"/>
    <w:rsid w:val="008C5D5B"/>
    <w:rsid w:val="008D7E44"/>
    <w:rsid w:val="008E0E49"/>
    <w:rsid w:val="008E12B8"/>
    <w:rsid w:val="008E35FD"/>
    <w:rsid w:val="008E50B2"/>
    <w:rsid w:val="008E6227"/>
    <w:rsid w:val="008E78B9"/>
    <w:rsid w:val="008F029C"/>
    <w:rsid w:val="008F119C"/>
    <w:rsid w:val="008F5F01"/>
    <w:rsid w:val="00901F1C"/>
    <w:rsid w:val="009038C9"/>
    <w:rsid w:val="00904E73"/>
    <w:rsid w:val="0090530D"/>
    <w:rsid w:val="0090543D"/>
    <w:rsid w:val="009056C5"/>
    <w:rsid w:val="0090710E"/>
    <w:rsid w:val="00907E32"/>
    <w:rsid w:val="00910A96"/>
    <w:rsid w:val="00910BE3"/>
    <w:rsid w:val="009167BD"/>
    <w:rsid w:val="0092047A"/>
    <w:rsid w:val="009206BA"/>
    <w:rsid w:val="009262F2"/>
    <w:rsid w:val="00931A7E"/>
    <w:rsid w:val="00934B14"/>
    <w:rsid w:val="00937791"/>
    <w:rsid w:val="009419CD"/>
    <w:rsid w:val="009424B8"/>
    <w:rsid w:val="00944180"/>
    <w:rsid w:val="00947AA2"/>
    <w:rsid w:val="00947F94"/>
    <w:rsid w:val="00951933"/>
    <w:rsid w:val="00954343"/>
    <w:rsid w:val="00955271"/>
    <w:rsid w:val="00957B78"/>
    <w:rsid w:val="00962F7B"/>
    <w:rsid w:val="009632D1"/>
    <w:rsid w:val="00963C9C"/>
    <w:rsid w:val="00963EB5"/>
    <w:rsid w:val="00965B6B"/>
    <w:rsid w:val="009679C7"/>
    <w:rsid w:val="00971EDB"/>
    <w:rsid w:val="00974D50"/>
    <w:rsid w:val="00977A8C"/>
    <w:rsid w:val="009806B3"/>
    <w:rsid w:val="00980871"/>
    <w:rsid w:val="00981DA1"/>
    <w:rsid w:val="009874E3"/>
    <w:rsid w:val="00987ABE"/>
    <w:rsid w:val="00987B98"/>
    <w:rsid w:val="00991EE4"/>
    <w:rsid w:val="00992DA2"/>
    <w:rsid w:val="00993387"/>
    <w:rsid w:val="009939DC"/>
    <w:rsid w:val="00993B9C"/>
    <w:rsid w:val="009A2028"/>
    <w:rsid w:val="009A2097"/>
    <w:rsid w:val="009A30B8"/>
    <w:rsid w:val="009B3078"/>
    <w:rsid w:val="009B4E1E"/>
    <w:rsid w:val="009B6AAD"/>
    <w:rsid w:val="009C03FB"/>
    <w:rsid w:val="009C176C"/>
    <w:rsid w:val="009C4B4F"/>
    <w:rsid w:val="009C5894"/>
    <w:rsid w:val="009C5D08"/>
    <w:rsid w:val="009D194A"/>
    <w:rsid w:val="009D32CD"/>
    <w:rsid w:val="009D6841"/>
    <w:rsid w:val="009E46D3"/>
    <w:rsid w:val="009E4E9C"/>
    <w:rsid w:val="009E554A"/>
    <w:rsid w:val="009F0C02"/>
    <w:rsid w:val="009F258D"/>
    <w:rsid w:val="009F3768"/>
    <w:rsid w:val="009F5758"/>
    <w:rsid w:val="009F7954"/>
    <w:rsid w:val="009F7DC2"/>
    <w:rsid w:val="009F7F6A"/>
    <w:rsid w:val="00A01F8D"/>
    <w:rsid w:val="00A0283F"/>
    <w:rsid w:val="00A04F4A"/>
    <w:rsid w:val="00A050AF"/>
    <w:rsid w:val="00A10665"/>
    <w:rsid w:val="00A10DAD"/>
    <w:rsid w:val="00A11D5B"/>
    <w:rsid w:val="00A14A01"/>
    <w:rsid w:val="00A1620D"/>
    <w:rsid w:val="00A249E7"/>
    <w:rsid w:val="00A25330"/>
    <w:rsid w:val="00A26343"/>
    <w:rsid w:val="00A33AFA"/>
    <w:rsid w:val="00A408B5"/>
    <w:rsid w:val="00A42973"/>
    <w:rsid w:val="00A4438F"/>
    <w:rsid w:val="00A47714"/>
    <w:rsid w:val="00A5089C"/>
    <w:rsid w:val="00A529E2"/>
    <w:rsid w:val="00A539F8"/>
    <w:rsid w:val="00A53BBB"/>
    <w:rsid w:val="00A53D17"/>
    <w:rsid w:val="00A56EE9"/>
    <w:rsid w:val="00A57BB5"/>
    <w:rsid w:val="00A606C4"/>
    <w:rsid w:val="00A61B95"/>
    <w:rsid w:val="00A647A3"/>
    <w:rsid w:val="00A6491A"/>
    <w:rsid w:val="00A6594E"/>
    <w:rsid w:val="00A7046A"/>
    <w:rsid w:val="00A72662"/>
    <w:rsid w:val="00A727B6"/>
    <w:rsid w:val="00A73095"/>
    <w:rsid w:val="00A75B85"/>
    <w:rsid w:val="00A76546"/>
    <w:rsid w:val="00A76A67"/>
    <w:rsid w:val="00A808F4"/>
    <w:rsid w:val="00A81CC6"/>
    <w:rsid w:val="00A83A89"/>
    <w:rsid w:val="00A83EC6"/>
    <w:rsid w:val="00A86CA3"/>
    <w:rsid w:val="00A8732C"/>
    <w:rsid w:val="00A90592"/>
    <w:rsid w:val="00A9062D"/>
    <w:rsid w:val="00A93F58"/>
    <w:rsid w:val="00A95494"/>
    <w:rsid w:val="00A96329"/>
    <w:rsid w:val="00A96910"/>
    <w:rsid w:val="00A96DD4"/>
    <w:rsid w:val="00AA134B"/>
    <w:rsid w:val="00AA1FC2"/>
    <w:rsid w:val="00AA2CFE"/>
    <w:rsid w:val="00AA5FDA"/>
    <w:rsid w:val="00AA6291"/>
    <w:rsid w:val="00AB783C"/>
    <w:rsid w:val="00AC084C"/>
    <w:rsid w:val="00AC0C91"/>
    <w:rsid w:val="00AC1250"/>
    <w:rsid w:val="00AC1436"/>
    <w:rsid w:val="00AC1D50"/>
    <w:rsid w:val="00AC4F2F"/>
    <w:rsid w:val="00AD004E"/>
    <w:rsid w:val="00AD15F5"/>
    <w:rsid w:val="00AD1D9C"/>
    <w:rsid w:val="00AD21A0"/>
    <w:rsid w:val="00AD2635"/>
    <w:rsid w:val="00AD2A55"/>
    <w:rsid w:val="00AD324C"/>
    <w:rsid w:val="00AD37D4"/>
    <w:rsid w:val="00AD7986"/>
    <w:rsid w:val="00AE0737"/>
    <w:rsid w:val="00AE1188"/>
    <w:rsid w:val="00AE5946"/>
    <w:rsid w:val="00AE738C"/>
    <w:rsid w:val="00AE7EE8"/>
    <w:rsid w:val="00AF1046"/>
    <w:rsid w:val="00AF3000"/>
    <w:rsid w:val="00AF4466"/>
    <w:rsid w:val="00AF4648"/>
    <w:rsid w:val="00AF5D1E"/>
    <w:rsid w:val="00AF7D88"/>
    <w:rsid w:val="00B015C6"/>
    <w:rsid w:val="00B03C28"/>
    <w:rsid w:val="00B040A9"/>
    <w:rsid w:val="00B067B2"/>
    <w:rsid w:val="00B1280E"/>
    <w:rsid w:val="00B14111"/>
    <w:rsid w:val="00B1711E"/>
    <w:rsid w:val="00B17620"/>
    <w:rsid w:val="00B17CBE"/>
    <w:rsid w:val="00B17E26"/>
    <w:rsid w:val="00B2068E"/>
    <w:rsid w:val="00B214B3"/>
    <w:rsid w:val="00B231A4"/>
    <w:rsid w:val="00B2328B"/>
    <w:rsid w:val="00B2375C"/>
    <w:rsid w:val="00B24A35"/>
    <w:rsid w:val="00B2549D"/>
    <w:rsid w:val="00B25D20"/>
    <w:rsid w:val="00B31C99"/>
    <w:rsid w:val="00B34865"/>
    <w:rsid w:val="00B361EF"/>
    <w:rsid w:val="00B4738D"/>
    <w:rsid w:val="00B47A5A"/>
    <w:rsid w:val="00B51F5C"/>
    <w:rsid w:val="00B533D3"/>
    <w:rsid w:val="00B53BA6"/>
    <w:rsid w:val="00B54972"/>
    <w:rsid w:val="00B54C4F"/>
    <w:rsid w:val="00B570B5"/>
    <w:rsid w:val="00B572E7"/>
    <w:rsid w:val="00B5731D"/>
    <w:rsid w:val="00B62D18"/>
    <w:rsid w:val="00B6375A"/>
    <w:rsid w:val="00B6378B"/>
    <w:rsid w:val="00B63C1D"/>
    <w:rsid w:val="00B63E3A"/>
    <w:rsid w:val="00B643EE"/>
    <w:rsid w:val="00B66CF8"/>
    <w:rsid w:val="00B67185"/>
    <w:rsid w:val="00B71DD9"/>
    <w:rsid w:val="00B75965"/>
    <w:rsid w:val="00B771AD"/>
    <w:rsid w:val="00B80758"/>
    <w:rsid w:val="00B814CB"/>
    <w:rsid w:val="00B8203F"/>
    <w:rsid w:val="00B82522"/>
    <w:rsid w:val="00B82CBA"/>
    <w:rsid w:val="00B84134"/>
    <w:rsid w:val="00B874D2"/>
    <w:rsid w:val="00B90FDC"/>
    <w:rsid w:val="00B92EBE"/>
    <w:rsid w:val="00B934DA"/>
    <w:rsid w:val="00B939F9"/>
    <w:rsid w:val="00B96E8A"/>
    <w:rsid w:val="00BA0CF8"/>
    <w:rsid w:val="00BA1ADF"/>
    <w:rsid w:val="00BA51FC"/>
    <w:rsid w:val="00BA6436"/>
    <w:rsid w:val="00BA6FDC"/>
    <w:rsid w:val="00BB003A"/>
    <w:rsid w:val="00BB19CB"/>
    <w:rsid w:val="00BB3358"/>
    <w:rsid w:val="00BB3382"/>
    <w:rsid w:val="00BB3643"/>
    <w:rsid w:val="00BB6A8B"/>
    <w:rsid w:val="00BC1016"/>
    <w:rsid w:val="00BC12C0"/>
    <w:rsid w:val="00BC2B8F"/>
    <w:rsid w:val="00BC3DA0"/>
    <w:rsid w:val="00BC424B"/>
    <w:rsid w:val="00BC7800"/>
    <w:rsid w:val="00BC7F02"/>
    <w:rsid w:val="00BD0A24"/>
    <w:rsid w:val="00BD1F43"/>
    <w:rsid w:val="00BD51EC"/>
    <w:rsid w:val="00BD75C6"/>
    <w:rsid w:val="00BE0BD8"/>
    <w:rsid w:val="00BE0FDE"/>
    <w:rsid w:val="00BE2E82"/>
    <w:rsid w:val="00BE4A1F"/>
    <w:rsid w:val="00BF398E"/>
    <w:rsid w:val="00BF6AC5"/>
    <w:rsid w:val="00BF762A"/>
    <w:rsid w:val="00BF7F05"/>
    <w:rsid w:val="00C00354"/>
    <w:rsid w:val="00C01121"/>
    <w:rsid w:val="00C018FB"/>
    <w:rsid w:val="00C030A5"/>
    <w:rsid w:val="00C045AF"/>
    <w:rsid w:val="00C05A45"/>
    <w:rsid w:val="00C06303"/>
    <w:rsid w:val="00C0796F"/>
    <w:rsid w:val="00C11B34"/>
    <w:rsid w:val="00C12A4F"/>
    <w:rsid w:val="00C12C5C"/>
    <w:rsid w:val="00C171FB"/>
    <w:rsid w:val="00C175D0"/>
    <w:rsid w:val="00C203C8"/>
    <w:rsid w:val="00C209C2"/>
    <w:rsid w:val="00C22510"/>
    <w:rsid w:val="00C2267F"/>
    <w:rsid w:val="00C22AD8"/>
    <w:rsid w:val="00C31620"/>
    <w:rsid w:val="00C32505"/>
    <w:rsid w:val="00C3557E"/>
    <w:rsid w:val="00C3594B"/>
    <w:rsid w:val="00C36BE2"/>
    <w:rsid w:val="00C43102"/>
    <w:rsid w:val="00C4679A"/>
    <w:rsid w:val="00C4696B"/>
    <w:rsid w:val="00C46E73"/>
    <w:rsid w:val="00C47883"/>
    <w:rsid w:val="00C50513"/>
    <w:rsid w:val="00C54503"/>
    <w:rsid w:val="00C56762"/>
    <w:rsid w:val="00C57C43"/>
    <w:rsid w:val="00C629C3"/>
    <w:rsid w:val="00C63055"/>
    <w:rsid w:val="00C647FD"/>
    <w:rsid w:val="00C64937"/>
    <w:rsid w:val="00C709F1"/>
    <w:rsid w:val="00C73B62"/>
    <w:rsid w:val="00C769F1"/>
    <w:rsid w:val="00C77479"/>
    <w:rsid w:val="00C776B1"/>
    <w:rsid w:val="00C815FE"/>
    <w:rsid w:val="00C81FA0"/>
    <w:rsid w:val="00C847AE"/>
    <w:rsid w:val="00C875CE"/>
    <w:rsid w:val="00C92497"/>
    <w:rsid w:val="00C934E5"/>
    <w:rsid w:val="00C958A6"/>
    <w:rsid w:val="00C969E9"/>
    <w:rsid w:val="00CA04C6"/>
    <w:rsid w:val="00CA1541"/>
    <w:rsid w:val="00CA1E35"/>
    <w:rsid w:val="00CA26DD"/>
    <w:rsid w:val="00CA2EE9"/>
    <w:rsid w:val="00CA5AC1"/>
    <w:rsid w:val="00CB12EC"/>
    <w:rsid w:val="00CB30C2"/>
    <w:rsid w:val="00CB42E2"/>
    <w:rsid w:val="00CC09D7"/>
    <w:rsid w:val="00CC12B8"/>
    <w:rsid w:val="00CC1367"/>
    <w:rsid w:val="00CC2685"/>
    <w:rsid w:val="00CC29C7"/>
    <w:rsid w:val="00CC3825"/>
    <w:rsid w:val="00CC5AB1"/>
    <w:rsid w:val="00CC707E"/>
    <w:rsid w:val="00CD22E3"/>
    <w:rsid w:val="00CD41F2"/>
    <w:rsid w:val="00CD4E44"/>
    <w:rsid w:val="00CD5AE4"/>
    <w:rsid w:val="00CD7802"/>
    <w:rsid w:val="00CD7A7D"/>
    <w:rsid w:val="00CF20FE"/>
    <w:rsid w:val="00CF2D8E"/>
    <w:rsid w:val="00CF2DFA"/>
    <w:rsid w:val="00CF316D"/>
    <w:rsid w:val="00CF3C7C"/>
    <w:rsid w:val="00CF5AD8"/>
    <w:rsid w:val="00CF60C4"/>
    <w:rsid w:val="00CF7B5E"/>
    <w:rsid w:val="00D00122"/>
    <w:rsid w:val="00D01D2A"/>
    <w:rsid w:val="00D0211D"/>
    <w:rsid w:val="00D04A4A"/>
    <w:rsid w:val="00D10B47"/>
    <w:rsid w:val="00D11EB1"/>
    <w:rsid w:val="00D1254E"/>
    <w:rsid w:val="00D14548"/>
    <w:rsid w:val="00D17F17"/>
    <w:rsid w:val="00D20C3B"/>
    <w:rsid w:val="00D2134C"/>
    <w:rsid w:val="00D2210E"/>
    <w:rsid w:val="00D23597"/>
    <w:rsid w:val="00D24645"/>
    <w:rsid w:val="00D247AB"/>
    <w:rsid w:val="00D27D60"/>
    <w:rsid w:val="00D30BDC"/>
    <w:rsid w:val="00D30F4A"/>
    <w:rsid w:val="00D34086"/>
    <w:rsid w:val="00D34FF1"/>
    <w:rsid w:val="00D35C21"/>
    <w:rsid w:val="00D35D9D"/>
    <w:rsid w:val="00D366FE"/>
    <w:rsid w:val="00D36869"/>
    <w:rsid w:val="00D376DC"/>
    <w:rsid w:val="00D4153A"/>
    <w:rsid w:val="00D417D5"/>
    <w:rsid w:val="00D44AA9"/>
    <w:rsid w:val="00D4577B"/>
    <w:rsid w:val="00D47BA3"/>
    <w:rsid w:val="00D505BE"/>
    <w:rsid w:val="00D5064F"/>
    <w:rsid w:val="00D512B1"/>
    <w:rsid w:val="00D512F7"/>
    <w:rsid w:val="00D532BC"/>
    <w:rsid w:val="00D55A0B"/>
    <w:rsid w:val="00D57F88"/>
    <w:rsid w:val="00D61308"/>
    <w:rsid w:val="00D636C4"/>
    <w:rsid w:val="00D67356"/>
    <w:rsid w:val="00D70A3D"/>
    <w:rsid w:val="00D7105C"/>
    <w:rsid w:val="00D73646"/>
    <w:rsid w:val="00D73F2A"/>
    <w:rsid w:val="00D74570"/>
    <w:rsid w:val="00D777B4"/>
    <w:rsid w:val="00D7792E"/>
    <w:rsid w:val="00D77A90"/>
    <w:rsid w:val="00D83124"/>
    <w:rsid w:val="00D8360B"/>
    <w:rsid w:val="00D85676"/>
    <w:rsid w:val="00D8570F"/>
    <w:rsid w:val="00D91109"/>
    <w:rsid w:val="00D96ADA"/>
    <w:rsid w:val="00D97545"/>
    <w:rsid w:val="00D97C5A"/>
    <w:rsid w:val="00DA1F49"/>
    <w:rsid w:val="00DA2886"/>
    <w:rsid w:val="00DA31AD"/>
    <w:rsid w:val="00DA5E50"/>
    <w:rsid w:val="00DA7D0C"/>
    <w:rsid w:val="00DB027E"/>
    <w:rsid w:val="00DB311C"/>
    <w:rsid w:val="00DB432D"/>
    <w:rsid w:val="00DB519B"/>
    <w:rsid w:val="00DC3EB0"/>
    <w:rsid w:val="00DC6D0A"/>
    <w:rsid w:val="00DC706B"/>
    <w:rsid w:val="00DC7694"/>
    <w:rsid w:val="00DC7FBE"/>
    <w:rsid w:val="00DD130E"/>
    <w:rsid w:val="00DD308E"/>
    <w:rsid w:val="00DD3119"/>
    <w:rsid w:val="00DD50BA"/>
    <w:rsid w:val="00DD7528"/>
    <w:rsid w:val="00DE1269"/>
    <w:rsid w:val="00DE5192"/>
    <w:rsid w:val="00DF033D"/>
    <w:rsid w:val="00DF0C51"/>
    <w:rsid w:val="00DF0D47"/>
    <w:rsid w:val="00DF1652"/>
    <w:rsid w:val="00DF55BE"/>
    <w:rsid w:val="00DF5EC9"/>
    <w:rsid w:val="00DF6D37"/>
    <w:rsid w:val="00E02763"/>
    <w:rsid w:val="00E0388B"/>
    <w:rsid w:val="00E048ED"/>
    <w:rsid w:val="00E04FB3"/>
    <w:rsid w:val="00E058F2"/>
    <w:rsid w:val="00E05D9C"/>
    <w:rsid w:val="00E06102"/>
    <w:rsid w:val="00E065D2"/>
    <w:rsid w:val="00E06E30"/>
    <w:rsid w:val="00E079BF"/>
    <w:rsid w:val="00E17A6C"/>
    <w:rsid w:val="00E20F7D"/>
    <w:rsid w:val="00E22BAA"/>
    <w:rsid w:val="00E23E71"/>
    <w:rsid w:val="00E2488A"/>
    <w:rsid w:val="00E27AED"/>
    <w:rsid w:val="00E30397"/>
    <w:rsid w:val="00E30F19"/>
    <w:rsid w:val="00E33C4A"/>
    <w:rsid w:val="00E348FB"/>
    <w:rsid w:val="00E34C35"/>
    <w:rsid w:val="00E354B0"/>
    <w:rsid w:val="00E357B9"/>
    <w:rsid w:val="00E407C4"/>
    <w:rsid w:val="00E42179"/>
    <w:rsid w:val="00E4321E"/>
    <w:rsid w:val="00E44888"/>
    <w:rsid w:val="00E44B80"/>
    <w:rsid w:val="00E44EA0"/>
    <w:rsid w:val="00E47623"/>
    <w:rsid w:val="00E503B9"/>
    <w:rsid w:val="00E50F47"/>
    <w:rsid w:val="00E536DE"/>
    <w:rsid w:val="00E547AC"/>
    <w:rsid w:val="00E55B73"/>
    <w:rsid w:val="00E5791D"/>
    <w:rsid w:val="00E6047D"/>
    <w:rsid w:val="00E60529"/>
    <w:rsid w:val="00E60C42"/>
    <w:rsid w:val="00E62C67"/>
    <w:rsid w:val="00E62F9C"/>
    <w:rsid w:val="00E63648"/>
    <w:rsid w:val="00E641EF"/>
    <w:rsid w:val="00E6470A"/>
    <w:rsid w:val="00E673BE"/>
    <w:rsid w:val="00E70942"/>
    <w:rsid w:val="00E70D86"/>
    <w:rsid w:val="00E73865"/>
    <w:rsid w:val="00E73C87"/>
    <w:rsid w:val="00E749E1"/>
    <w:rsid w:val="00E7628E"/>
    <w:rsid w:val="00E77D4E"/>
    <w:rsid w:val="00E82F54"/>
    <w:rsid w:val="00E83D24"/>
    <w:rsid w:val="00E8649B"/>
    <w:rsid w:val="00E86883"/>
    <w:rsid w:val="00E871CD"/>
    <w:rsid w:val="00E90990"/>
    <w:rsid w:val="00E95D3D"/>
    <w:rsid w:val="00EA008C"/>
    <w:rsid w:val="00EA0624"/>
    <w:rsid w:val="00EA0E25"/>
    <w:rsid w:val="00EA173C"/>
    <w:rsid w:val="00EA1EB8"/>
    <w:rsid w:val="00EA1FF0"/>
    <w:rsid w:val="00EA5C8A"/>
    <w:rsid w:val="00EB1D84"/>
    <w:rsid w:val="00EB249C"/>
    <w:rsid w:val="00EB2AC4"/>
    <w:rsid w:val="00EB5029"/>
    <w:rsid w:val="00EB77A3"/>
    <w:rsid w:val="00EC127A"/>
    <w:rsid w:val="00EC197B"/>
    <w:rsid w:val="00EC1FF9"/>
    <w:rsid w:val="00EC2737"/>
    <w:rsid w:val="00EC2C71"/>
    <w:rsid w:val="00EC4A11"/>
    <w:rsid w:val="00EC5440"/>
    <w:rsid w:val="00ED19C7"/>
    <w:rsid w:val="00ED74A8"/>
    <w:rsid w:val="00EE2716"/>
    <w:rsid w:val="00EE4B36"/>
    <w:rsid w:val="00EE6450"/>
    <w:rsid w:val="00EF29CA"/>
    <w:rsid w:val="00EF417D"/>
    <w:rsid w:val="00EF4C78"/>
    <w:rsid w:val="00EF4F97"/>
    <w:rsid w:val="00EF594E"/>
    <w:rsid w:val="00F00B51"/>
    <w:rsid w:val="00F019C3"/>
    <w:rsid w:val="00F01C2C"/>
    <w:rsid w:val="00F03AD7"/>
    <w:rsid w:val="00F051B5"/>
    <w:rsid w:val="00F0649A"/>
    <w:rsid w:val="00F06E0D"/>
    <w:rsid w:val="00F10ED8"/>
    <w:rsid w:val="00F10F60"/>
    <w:rsid w:val="00F112B6"/>
    <w:rsid w:val="00F1407E"/>
    <w:rsid w:val="00F155CE"/>
    <w:rsid w:val="00F16C54"/>
    <w:rsid w:val="00F1788B"/>
    <w:rsid w:val="00F20CDD"/>
    <w:rsid w:val="00F222BE"/>
    <w:rsid w:val="00F24179"/>
    <w:rsid w:val="00F24A2F"/>
    <w:rsid w:val="00F2602C"/>
    <w:rsid w:val="00F301F1"/>
    <w:rsid w:val="00F30C22"/>
    <w:rsid w:val="00F33F15"/>
    <w:rsid w:val="00F33F1A"/>
    <w:rsid w:val="00F34B8C"/>
    <w:rsid w:val="00F34F2F"/>
    <w:rsid w:val="00F34F3E"/>
    <w:rsid w:val="00F36E45"/>
    <w:rsid w:val="00F43C0F"/>
    <w:rsid w:val="00F43E50"/>
    <w:rsid w:val="00F44456"/>
    <w:rsid w:val="00F5074B"/>
    <w:rsid w:val="00F524FE"/>
    <w:rsid w:val="00F547F7"/>
    <w:rsid w:val="00F54CCF"/>
    <w:rsid w:val="00F55C49"/>
    <w:rsid w:val="00F61D7A"/>
    <w:rsid w:val="00F62FBF"/>
    <w:rsid w:val="00F637B3"/>
    <w:rsid w:val="00F63B6C"/>
    <w:rsid w:val="00F64D3A"/>
    <w:rsid w:val="00F6614D"/>
    <w:rsid w:val="00F66CF7"/>
    <w:rsid w:val="00F66EE3"/>
    <w:rsid w:val="00F67A48"/>
    <w:rsid w:val="00F67BCB"/>
    <w:rsid w:val="00F709AE"/>
    <w:rsid w:val="00F7241A"/>
    <w:rsid w:val="00F77C57"/>
    <w:rsid w:val="00F77E27"/>
    <w:rsid w:val="00F813C7"/>
    <w:rsid w:val="00F83566"/>
    <w:rsid w:val="00F83A9D"/>
    <w:rsid w:val="00F906B5"/>
    <w:rsid w:val="00F93784"/>
    <w:rsid w:val="00F93BD5"/>
    <w:rsid w:val="00F94FEC"/>
    <w:rsid w:val="00F95028"/>
    <w:rsid w:val="00F95C52"/>
    <w:rsid w:val="00F96A69"/>
    <w:rsid w:val="00F971CC"/>
    <w:rsid w:val="00F97691"/>
    <w:rsid w:val="00FA2CAA"/>
    <w:rsid w:val="00FA3DA1"/>
    <w:rsid w:val="00FA49ED"/>
    <w:rsid w:val="00FA6554"/>
    <w:rsid w:val="00FB33E8"/>
    <w:rsid w:val="00FB3861"/>
    <w:rsid w:val="00FB6886"/>
    <w:rsid w:val="00FC08E5"/>
    <w:rsid w:val="00FC4325"/>
    <w:rsid w:val="00FC58EF"/>
    <w:rsid w:val="00FD0D5C"/>
    <w:rsid w:val="00FE16C1"/>
    <w:rsid w:val="00FE19FF"/>
    <w:rsid w:val="00FE245A"/>
    <w:rsid w:val="00FE33A6"/>
    <w:rsid w:val="00FE5452"/>
    <w:rsid w:val="00FE723B"/>
    <w:rsid w:val="00FF14CF"/>
    <w:rsid w:val="00FF2465"/>
    <w:rsid w:val="00FF3747"/>
    <w:rsid w:val="00FF42E0"/>
    <w:rsid w:val="00FF55CA"/>
    <w:rsid w:val="00FF59A8"/>
    <w:rsid w:val="00FF670B"/>
    <w:rsid w:val="09381EA3"/>
    <w:rsid w:val="290F0F2E"/>
    <w:rsid w:val="3EF48EBD"/>
    <w:rsid w:val="473603FB"/>
    <w:rsid w:val="47737306"/>
    <w:rsid w:val="6ACD10F1"/>
    <w:rsid w:val="75195964"/>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DE9563"/>
  <w15:docId w15:val="{733FDE63-D37F-4E6D-8A9B-BCC78A53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customStyle="1" w:styleId="Default">
    <w:name w:val="Default"/>
    <w:rsid w:val="00625B05"/>
    <w:pPr>
      <w:autoSpaceDE w:val="0"/>
      <w:autoSpaceDN w:val="0"/>
      <w:adjustRightInd w:val="0"/>
      <w:spacing w:after="0" w:line="240" w:lineRule="auto"/>
    </w:pPr>
    <w:rPr>
      <w:rFonts w:ascii="Calibri" w:hAnsi="Calibri" w:cs="Calibri"/>
      <w:color w:val="000000"/>
      <w:sz w:val="24"/>
      <w:szCs w:val="24"/>
      <w:lang w:val="en-US"/>
    </w:rPr>
  </w:style>
  <w:style w:type="paragraph" w:styleId="FootnoteText">
    <w:name w:val="footnote text"/>
    <w:basedOn w:val="Normal"/>
    <w:link w:val="FootnoteTextChar"/>
    <w:uiPriority w:val="99"/>
    <w:unhideWhenUsed/>
    <w:rsid w:val="00DD3119"/>
    <w:pPr>
      <w:spacing w:before="0" w:after="0"/>
    </w:pPr>
    <w:rPr>
      <w:szCs w:val="20"/>
    </w:rPr>
  </w:style>
  <w:style w:type="character" w:customStyle="1" w:styleId="FootnoteTextChar">
    <w:name w:val="Footnote Text Char"/>
    <w:basedOn w:val="DefaultParagraphFont"/>
    <w:link w:val="FootnoteText"/>
    <w:uiPriority w:val="99"/>
    <w:rsid w:val="00DD3119"/>
    <w:rPr>
      <w:sz w:val="20"/>
      <w:szCs w:val="20"/>
    </w:rPr>
  </w:style>
  <w:style w:type="character" w:styleId="FootnoteReference">
    <w:name w:val="footnote reference"/>
    <w:basedOn w:val="DefaultParagraphFont"/>
    <w:uiPriority w:val="99"/>
    <w:semiHidden/>
    <w:unhideWhenUsed/>
    <w:rsid w:val="00DD3119"/>
    <w:rPr>
      <w:vertAlign w:val="superscript"/>
    </w:rPr>
  </w:style>
  <w:style w:type="paragraph" w:styleId="Caption">
    <w:name w:val="caption"/>
    <w:basedOn w:val="Normal"/>
    <w:next w:val="Normal"/>
    <w:uiPriority w:val="35"/>
    <w:unhideWhenUsed/>
    <w:qFormat/>
    <w:rsid w:val="007E4181"/>
    <w:pPr>
      <w:spacing w:before="0" w:after="200"/>
    </w:pPr>
    <w:rPr>
      <w:i/>
      <w:iCs/>
      <w:color w:val="1F497D" w:themeColor="text2"/>
      <w:sz w:val="18"/>
      <w:szCs w:val="18"/>
    </w:rPr>
  </w:style>
  <w:style w:type="paragraph" w:styleId="Revision">
    <w:name w:val="Revision"/>
    <w:hidden/>
    <w:uiPriority w:val="99"/>
    <w:semiHidden/>
    <w:rsid w:val="003F6638"/>
    <w:pPr>
      <w:spacing w:after="0" w:line="240" w:lineRule="auto"/>
    </w:pPr>
    <w:rPr>
      <w:sz w:val="20"/>
    </w:rPr>
  </w:style>
  <w:style w:type="character" w:styleId="FollowedHyperlink">
    <w:name w:val="FollowedHyperlink"/>
    <w:basedOn w:val="DefaultParagraphFont"/>
    <w:uiPriority w:val="99"/>
    <w:semiHidden/>
    <w:unhideWhenUsed/>
    <w:rsid w:val="0038455D"/>
    <w:rPr>
      <w:color w:val="800080" w:themeColor="followedHyperlink"/>
      <w:u w:val="single"/>
    </w:rPr>
  </w:style>
  <w:style w:type="character" w:customStyle="1" w:styleId="UnresolvedMention1">
    <w:name w:val="Unresolved Mention1"/>
    <w:basedOn w:val="DefaultParagraphFont"/>
    <w:uiPriority w:val="99"/>
    <w:unhideWhenUsed/>
    <w:rsid w:val="002533DD"/>
    <w:rPr>
      <w:color w:val="605E5C"/>
      <w:shd w:val="clear" w:color="auto" w:fill="E1DFDD"/>
    </w:rPr>
  </w:style>
  <w:style w:type="character" w:customStyle="1" w:styleId="Mention1">
    <w:name w:val="Mention1"/>
    <w:basedOn w:val="DefaultParagraphFont"/>
    <w:uiPriority w:val="99"/>
    <w:unhideWhenUsed/>
    <w:rsid w:val="005C4BB9"/>
    <w:rPr>
      <w:color w:val="2B579A"/>
      <w:shd w:val="clear" w:color="auto" w:fill="E1DFDD"/>
    </w:rPr>
  </w:style>
  <w:style w:type="paragraph" w:customStyle="1" w:styleId="Caption2">
    <w:name w:val="Caption2"/>
    <w:basedOn w:val="Normal"/>
    <w:qFormat/>
    <w:rsid w:val="005633F8"/>
    <w:pPr>
      <w:spacing w:after="0"/>
    </w:pPr>
    <w:rPr>
      <w:b/>
      <w:szCs w:val="20"/>
    </w:rPr>
  </w:style>
  <w:style w:type="character" w:styleId="UnresolvedMention">
    <w:name w:val="Unresolved Mention"/>
    <w:basedOn w:val="DefaultParagraphFont"/>
    <w:uiPriority w:val="99"/>
    <w:unhideWhenUsed/>
    <w:rsid w:val="00264EC5"/>
    <w:rPr>
      <w:color w:val="605E5C"/>
      <w:shd w:val="clear" w:color="auto" w:fill="E1DFDD"/>
    </w:rPr>
  </w:style>
  <w:style w:type="character" w:styleId="Mention">
    <w:name w:val="Mention"/>
    <w:basedOn w:val="DefaultParagraphFont"/>
    <w:uiPriority w:val="99"/>
    <w:unhideWhenUsed/>
    <w:rsid w:val="00264E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724910041">
      <w:bodyDiv w:val="1"/>
      <w:marLeft w:val="0"/>
      <w:marRight w:val="0"/>
      <w:marTop w:val="0"/>
      <w:marBottom w:val="0"/>
      <w:divBdr>
        <w:top w:val="none" w:sz="0" w:space="0" w:color="auto"/>
        <w:left w:val="none" w:sz="0" w:space="0" w:color="auto"/>
        <w:bottom w:val="none" w:sz="0" w:space="0" w:color="auto"/>
        <w:right w:val="none" w:sz="0" w:space="0" w:color="auto"/>
      </w:divBdr>
    </w:div>
    <w:div w:id="964383884">
      <w:bodyDiv w:val="1"/>
      <w:marLeft w:val="0"/>
      <w:marRight w:val="0"/>
      <w:marTop w:val="0"/>
      <w:marBottom w:val="0"/>
      <w:divBdr>
        <w:top w:val="none" w:sz="0" w:space="0" w:color="auto"/>
        <w:left w:val="none" w:sz="0" w:space="0" w:color="auto"/>
        <w:bottom w:val="none" w:sz="0" w:space="0" w:color="auto"/>
        <w:right w:val="none" w:sz="0" w:space="0" w:color="auto"/>
      </w:divBdr>
    </w:div>
    <w:div w:id="1236091322">
      <w:bodyDiv w:val="1"/>
      <w:marLeft w:val="0"/>
      <w:marRight w:val="0"/>
      <w:marTop w:val="0"/>
      <w:marBottom w:val="0"/>
      <w:divBdr>
        <w:top w:val="none" w:sz="0" w:space="0" w:color="auto"/>
        <w:left w:val="none" w:sz="0" w:space="0" w:color="auto"/>
        <w:bottom w:val="none" w:sz="0" w:space="0" w:color="auto"/>
        <w:right w:val="none" w:sz="0" w:space="0" w:color="auto"/>
      </w:divBdr>
    </w:div>
    <w:div w:id="1623920875">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20297637">
      <w:bodyDiv w:val="1"/>
      <w:marLeft w:val="0"/>
      <w:marRight w:val="0"/>
      <w:marTop w:val="0"/>
      <w:marBottom w:val="0"/>
      <w:divBdr>
        <w:top w:val="none" w:sz="0" w:space="0" w:color="auto"/>
        <w:left w:val="none" w:sz="0" w:space="0" w:color="auto"/>
        <w:bottom w:val="none" w:sz="0" w:space="0" w:color="auto"/>
        <w:right w:val="none" w:sz="0" w:space="0" w:color="auto"/>
      </w:divBdr>
    </w:div>
    <w:div w:id="214453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ac.gov.au" TargetMode="External"/><Relationship Id="rId18" Type="http://schemas.openxmlformats.org/officeDocument/2006/relationships/header" Target="header3.xml"/><Relationship Id="rId26" Type="http://schemas.openxmlformats.org/officeDocument/2006/relationships/hyperlink" Target="https://clinicaltrials.gov/ct2/show/NCT05049720" TargetMode="External"/><Relationship Id="rId3" Type="http://schemas.openxmlformats.org/officeDocument/2006/relationships/customXml" Target="../customXml/item3.xml"/><Relationship Id="rId21" Type="http://schemas.openxmlformats.org/officeDocument/2006/relationships/hyperlink" Target="https://pubmed.ncbi.nlm.nih.gov/29197657/"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ta@health.gov.au" TargetMode="External"/><Relationship Id="rId17" Type="http://schemas.openxmlformats.org/officeDocument/2006/relationships/footer" Target="footer2.xml"/><Relationship Id="rId25" Type="http://schemas.openxmlformats.org/officeDocument/2006/relationships/hyperlink" Target="https://clinicaltrials.gov/ct2/show/study/NCT04060680" TargetMode="External"/><Relationship Id="rId33" Type="http://schemas.openxmlformats.org/officeDocument/2006/relationships/hyperlink" Target="http://medicarestatistics.humanservices.gov.au/statistics/mbs_item.jsp"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pubmed.ncbi.nlm.nih.gov/29759788/" TargetMode="External"/><Relationship Id="rId29" Type="http://schemas.openxmlformats.org/officeDocument/2006/relationships/hyperlink" Target="http://medicarestatistics.humanservices.gov.au/statistics/mbs_item.j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ubmed.ncbi.nlm.nih.gov/34322918/" TargetMode="External"/><Relationship Id="rId32" Type="http://schemas.openxmlformats.org/officeDocument/2006/relationships/chart" Target="charts/chart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pubmed.ncbi.nlm.nih.gov/33213813/" TargetMode="External"/><Relationship Id="rId28" Type="http://schemas.openxmlformats.org/officeDocument/2006/relationships/hyperlink" Target="http://medicarestatistics.humanservices.gov.au/statistics/mbs_item.jsp"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medicarestatistics.humanservices.gov.au/statistics/mbs_item.j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pubmed.ncbi.nlm.nih.gov/30784689/" TargetMode="External"/><Relationship Id="rId27" Type="http://schemas.openxmlformats.org/officeDocument/2006/relationships/chart" Target="charts/chart1.xml"/><Relationship Id="rId30" Type="http://schemas.openxmlformats.org/officeDocument/2006/relationships/chart" Target="charts/chart2.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oreardon\Desktop\Working%20docs%20-%20C%20drive\1.%20Medtronic%20EV-ICD%20-%20C%20DRIVE\Section%203%20EV-IC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oreardon\Desktop\Working%20docs%20-%20C%20drive\1.%20Medtronic%20EV-ICD%20-%20C%20DRIVE\CMA%20and%20financial%20analysis\Section%203%20EV-ICD%20v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oreardon\Desktop\Working%20docs%20-%20C%20drive\1.%20Medtronic%20EV-ICD%20-%20C%20DRIVE\CMA%20and%20financial%20analysis\Section%203%20EV-ICD%20v0.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none"/>
          </c:marker>
          <c:xVal>
            <c:numRef>
              <c:f>'Patient demographics 2020'!$N$29:$N$38</c:f>
              <c:numCache>
                <c:formatCode>General</c:formatCode>
                <c:ptCount val="10"/>
                <c:pt idx="0">
                  <c:v>2</c:v>
                </c:pt>
                <c:pt idx="1">
                  <c:v>9.5</c:v>
                </c:pt>
                <c:pt idx="2">
                  <c:v>19.5</c:v>
                </c:pt>
                <c:pt idx="3">
                  <c:v>29.5</c:v>
                </c:pt>
                <c:pt idx="4">
                  <c:v>39.5</c:v>
                </c:pt>
                <c:pt idx="5">
                  <c:v>49.5</c:v>
                </c:pt>
                <c:pt idx="6">
                  <c:v>59.5</c:v>
                </c:pt>
                <c:pt idx="7">
                  <c:v>69.5</c:v>
                </c:pt>
                <c:pt idx="8">
                  <c:v>79.5</c:v>
                </c:pt>
                <c:pt idx="9">
                  <c:v>87</c:v>
                </c:pt>
              </c:numCache>
            </c:numRef>
          </c:xVal>
          <c:yVal>
            <c:numRef>
              <c:f>'Patient demographics 2020'!$M$29:$M$38</c:f>
              <c:numCache>
                <c:formatCode>General</c:formatCode>
                <c:ptCount val="10"/>
                <c:pt idx="0">
                  <c:v>0</c:v>
                </c:pt>
                <c:pt idx="1">
                  <c:v>5</c:v>
                </c:pt>
                <c:pt idx="2">
                  <c:v>7</c:v>
                </c:pt>
                <c:pt idx="3">
                  <c:v>16</c:v>
                </c:pt>
                <c:pt idx="4">
                  <c:v>51</c:v>
                </c:pt>
                <c:pt idx="5">
                  <c:v>146</c:v>
                </c:pt>
                <c:pt idx="6">
                  <c:v>353</c:v>
                </c:pt>
                <c:pt idx="7">
                  <c:v>683</c:v>
                </c:pt>
                <c:pt idx="8">
                  <c:v>638</c:v>
                </c:pt>
                <c:pt idx="9">
                  <c:v>106</c:v>
                </c:pt>
              </c:numCache>
            </c:numRef>
          </c:yVal>
          <c:smooth val="1"/>
          <c:extLst>
            <c:ext xmlns:c16="http://schemas.microsoft.com/office/drawing/2014/chart" uri="{C3380CC4-5D6E-409C-BE32-E72D297353CC}">
              <c16:uniqueId val="{00000000-98F5-4F31-A089-16BD06BAECEC}"/>
            </c:ext>
          </c:extLst>
        </c:ser>
        <c:dLbls>
          <c:showLegendKey val="0"/>
          <c:showVal val="0"/>
          <c:showCatName val="0"/>
          <c:showSerName val="0"/>
          <c:showPercent val="0"/>
          <c:showBubbleSize val="0"/>
        </c:dLbls>
        <c:axId val="1263978328"/>
        <c:axId val="1263975048"/>
      </c:scatterChart>
      <c:valAx>
        <c:axId val="12639783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a:t>
                </a:r>
                <a:r>
                  <a:rPr lang="en-US" baseline="0"/>
                  <a:t> age (years)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3975048"/>
        <c:crosses val="autoZero"/>
        <c:crossBetween val="midCat"/>
      </c:valAx>
      <c:valAx>
        <c:axId val="1263975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3978328"/>
        <c:crosses val="autoZero"/>
        <c:crossBetween val="midCat"/>
      </c:valAx>
      <c:spPr>
        <a:noFill/>
        <a:ln>
          <a:noFill/>
        </a:ln>
        <a:effectLst/>
      </c:spPr>
    </c:plotArea>
    <c:plotVisOnly val="1"/>
    <c:dispBlanksAs val="gap"/>
    <c:showDLblsOverMax val="0"/>
  </c:chart>
  <c:spPr>
    <a:solidFill>
      <a:schemeClr val="bg1"/>
    </a:solidFill>
    <a:ln w="6350" cap="flat" cmpd="sng" algn="ctr">
      <a:solidFill>
        <a:schemeClr val="bg1">
          <a:lumMod val="50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ICD generator procedures (items 38387, 38393 &amp; 38472)</c:v>
          </c:tx>
          <c:spPr>
            <a:ln w="19050" cap="rnd">
              <a:solidFill>
                <a:schemeClr val="accent1"/>
              </a:solidFill>
              <a:round/>
            </a:ln>
            <a:effectLst/>
          </c:spPr>
          <c:marker>
            <c:symbol val="none"/>
          </c:marker>
          <c:xVal>
            <c:numRef>
              <c:f>'Forecast volumes'!$D$3:$U$3</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xVal>
          <c:yVal>
            <c:numRef>
              <c:f>'Forecast volumes'!$D$7:$U$7</c:f>
              <c:numCache>
                <c:formatCode>General</c:formatCode>
                <c:ptCount val="18"/>
                <c:pt idx="0">
                  <c:v>1310</c:v>
                </c:pt>
                <c:pt idx="1">
                  <c:v>1602</c:v>
                </c:pt>
                <c:pt idx="2">
                  <c:v>1562</c:v>
                </c:pt>
                <c:pt idx="3">
                  <c:v>1440</c:v>
                </c:pt>
                <c:pt idx="4">
                  <c:v>1603</c:v>
                </c:pt>
                <c:pt idx="5">
                  <c:v>1790</c:v>
                </c:pt>
                <c:pt idx="6">
                  <c:v>1728</c:v>
                </c:pt>
                <c:pt idx="7">
                  <c:v>1831</c:v>
                </c:pt>
                <c:pt idx="8">
                  <c:v>1807</c:v>
                </c:pt>
                <c:pt idx="9">
                  <c:v>2048</c:v>
                </c:pt>
                <c:pt idx="10">
                  <c:v>2107</c:v>
                </c:pt>
                <c:pt idx="11">
                  <c:v>2203</c:v>
                </c:pt>
                <c:pt idx="12">
                  <c:v>2139</c:v>
                </c:pt>
                <c:pt idx="13">
                  <c:v>2102</c:v>
                </c:pt>
                <c:pt idx="14">
                  <c:v>2180</c:v>
                </c:pt>
                <c:pt idx="15">
                  <c:v>2108</c:v>
                </c:pt>
                <c:pt idx="16" formatCode="_-* #,##0_-;\-* #,##0_-;_-* &quot;-&quot;??_-;_-@_-">
                  <c:v>1919</c:v>
                </c:pt>
                <c:pt idx="17" formatCode="_-* #,##0_-;\-* #,##0_-;_-* &quot;-&quot;??_-;_-@_-">
                  <c:v>1828</c:v>
                </c:pt>
              </c:numCache>
            </c:numRef>
          </c:yVal>
          <c:smooth val="1"/>
          <c:extLst>
            <c:ext xmlns:c16="http://schemas.microsoft.com/office/drawing/2014/chart" uri="{C3380CC4-5D6E-409C-BE32-E72D297353CC}">
              <c16:uniqueId val="{00000000-D484-4476-8F76-2D76E60322EC}"/>
            </c:ext>
          </c:extLst>
        </c:ser>
        <c:ser>
          <c:idx val="1"/>
          <c:order val="1"/>
          <c:tx>
            <c:v>TV-ICD lead procedures (items 38384, 38390 &amp; 38471)</c:v>
          </c:tx>
          <c:spPr>
            <a:ln w="19050" cap="rnd">
              <a:solidFill>
                <a:schemeClr val="accent2"/>
              </a:solidFill>
              <a:round/>
            </a:ln>
            <a:effectLst/>
          </c:spPr>
          <c:marker>
            <c:symbol val="none"/>
          </c:marker>
          <c:trendline>
            <c:spPr>
              <a:ln w="19050" cap="rnd">
                <a:noFill/>
                <a:prstDash val="sysDot"/>
              </a:ln>
              <a:effectLst/>
            </c:spPr>
            <c:trendlineType val="linear"/>
            <c:dispRSqr val="0"/>
            <c:dispEq val="0"/>
          </c:trendline>
          <c:xVal>
            <c:numRef>
              <c:f>'Forecast volumes'!$D$3:$U$3</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xVal>
          <c:yVal>
            <c:numRef>
              <c:f>'Forecast volumes'!$D$11:$U$11</c:f>
              <c:numCache>
                <c:formatCode>General</c:formatCode>
                <c:ptCount val="18"/>
                <c:pt idx="0">
                  <c:v>1083</c:v>
                </c:pt>
                <c:pt idx="1">
                  <c:v>1246</c:v>
                </c:pt>
                <c:pt idx="2">
                  <c:v>1309</c:v>
                </c:pt>
                <c:pt idx="3">
                  <c:v>1376</c:v>
                </c:pt>
                <c:pt idx="4">
                  <c:v>1630</c:v>
                </c:pt>
                <c:pt idx="5">
                  <c:v>1691</c:v>
                </c:pt>
                <c:pt idx="6">
                  <c:v>1649</c:v>
                </c:pt>
                <c:pt idx="7">
                  <c:v>1977</c:v>
                </c:pt>
                <c:pt idx="8">
                  <c:v>1760</c:v>
                </c:pt>
                <c:pt idx="9">
                  <c:v>2015</c:v>
                </c:pt>
                <c:pt idx="10">
                  <c:v>2190</c:v>
                </c:pt>
                <c:pt idx="11">
                  <c:v>2280</c:v>
                </c:pt>
                <c:pt idx="12">
                  <c:v>2239</c:v>
                </c:pt>
                <c:pt idx="13">
                  <c:v>1944</c:v>
                </c:pt>
                <c:pt idx="14">
                  <c:v>2046</c:v>
                </c:pt>
                <c:pt idx="15">
                  <c:v>2006</c:v>
                </c:pt>
                <c:pt idx="16" formatCode="_-* #,##0_-;\-* #,##0_-;_-* &quot;-&quot;??_-;_-@_-">
                  <c:v>2005</c:v>
                </c:pt>
                <c:pt idx="17" formatCode="_-* #,##0_-;\-* #,##0_-;_-* &quot;-&quot;??_-;_-@_-">
                  <c:v>1962</c:v>
                </c:pt>
              </c:numCache>
            </c:numRef>
          </c:yVal>
          <c:smooth val="1"/>
          <c:extLst>
            <c:ext xmlns:c16="http://schemas.microsoft.com/office/drawing/2014/chart" uri="{C3380CC4-5D6E-409C-BE32-E72D297353CC}">
              <c16:uniqueId val="{00000001-D484-4476-8F76-2D76E60322EC}"/>
            </c:ext>
          </c:extLst>
        </c:ser>
        <c:dLbls>
          <c:showLegendKey val="0"/>
          <c:showVal val="0"/>
          <c:showCatName val="0"/>
          <c:showSerName val="0"/>
          <c:showPercent val="0"/>
          <c:showBubbleSize val="0"/>
        </c:dLbls>
        <c:axId val="1261956176"/>
        <c:axId val="1261956832"/>
      </c:scatterChart>
      <c:valAx>
        <c:axId val="1261956176"/>
        <c:scaling>
          <c:orientation val="minMax"/>
          <c:max val="2021"/>
          <c:min val="2004"/>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1956832"/>
        <c:crosses val="autoZero"/>
        <c:crossBetween val="midCat"/>
        <c:majorUnit val="1"/>
      </c:valAx>
      <c:valAx>
        <c:axId val="1261956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services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1956176"/>
        <c:crosses val="autoZero"/>
        <c:crossBetween val="midCat"/>
        <c:majorUnit val="200"/>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05968698357149"/>
          <c:y val="4.540763673890609E-2"/>
          <c:w val="0.81132302906581122"/>
          <c:h val="0.54838481103174808"/>
        </c:manualLayout>
      </c:layout>
      <c:scatterChart>
        <c:scatterStyle val="smoothMarker"/>
        <c:varyColors val="0"/>
        <c:ser>
          <c:idx val="0"/>
          <c:order val="0"/>
          <c:tx>
            <c:v>ICD generator procedures (items 38387, 38393 &amp; 38472)</c:v>
          </c:tx>
          <c:spPr>
            <a:ln w="19050" cap="rnd">
              <a:solidFill>
                <a:schemeClr val="accent1"/>
              </a:solidFill>
              <a:round/>
            </a:ln>
            <a:effectLst/>
          </c:spPr>
          <c:marker>
            <c:symbol val="none"/>
          </c:marker>
          <c:trendline>
            <c:spPr>
              <a:ln w="19050" cap="rnd">
                <a:solidFill>
                  <a:schemeClr val="accent1"/>
                </a:solidFill>
                <a:prstDash val="sysDot"/>
              </a:ln>
              <a:effectLst/>
            </c:spPr>
            <c:trendlineType val="linear"/>
            <c:forward val="7"/>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'Forecast volumes'!$P$3:$U$3</c:f>
              <c:numCache>
                <c:formatCode>General</c:formatCode>
                <c:ptCount val="6"/>
                <c:pt idx="0">
                  <c:v>2016</c:v>
                </c:pt>
                <c:pt idx="1">
                  <c:v>2017</c:v>
                </c:pt>
                <c:pt idx="2">
                  <c:v>2018</c:v>
                </c:pt>
                <c:pt idx="3">
                  <c:v>2019</c:v>
                </c:pt>
                <c:pt idx="4">
                  <c:v>2020</c:v>
                </c:pt>
                <c:pt idx="5">
                  <c:v>2021</c:v>
                </c:pt>
              </c:numCache>
            </c:numRef>
          </c:xVal>
          <c:yVal>
            <c:numRef>
              <c:f>'Forecast volumes'!$P$7:$U$7</c:f>
              <c:numCache>
                <c:formatCode>General</c:formatCode>
                <c:ptCount val="6"/>
                <c:pt idx="0">
                  <c:v>2139</c:v>
                </c:pt>
                <c:pt idx="1">
                  <c:v>2102</c:v>
                </c:pt>
                <c:pt idx="2">
                  <c:v>2180</c:v>
                </c:pt>
                <c:pt idx="3">
                  <c:v>2108</c:v>
                </c:pt>
                <c:pt idx="4" formatCode="_-* #,##0_-;\-* #,##0_-;_-* &quot;-&quot;??_-;_-@_-">
                  <c:v>1919</c:v>
                </c:pt>
                <c:pt idx="5" formatCode="_-* #,##0_-;\-* #,##0_-;_-* &quot;-&quot;??_-;_-@_-">
                  <c:v>1828</c:v>
                </c:pt>
              </c:numCache>
            </c:numRef>
          </c:yVal>
          <c:smooth val="1"/>
          <c:extLst>
            <c:ext xmlns:c16="http://schemas.microsoft.com/office/drawing/2014/chart" uri="{C3380CC4-5D6E-409C-BE32-E72D297353CC}">
              <c16:uniqueId val="{00000000-C562-4639-9B48-91B7863254C5}"/>
            </c:ext>
          </c:extLst>
        </c:ser>
        <c:ser>
          <c:idx val="1"/>
          <c:order val="1"/>
          <c:tx>
            <c:v>TV-ICD lead procedures (38384, 38390 &amp; 38471)</c:v>
          </c:tx>
          <c:spPr>
            <a:ln w="19050" cap="rnd">
              <a:solidFill>
                <a:schemeClr val="accent2"/>
              </a:solidFill>
              <a:round/>
            </a:ln>
            <a:effectLst/>
          </c:spPr>
          <c:marker>
            <c:symbol val="none"/>
          </c:marker>
          <c:trendline>
            <c:spPr>
              <a:ln w="19050" cap="rnd">
                <a:noFill/>
                <a:prstDash val="sysDot"/>
              </a:ln>
              <a:effectLst/>
            </c:spPr>
            <c:trendlineType val="linear"/>
            <c:dispRSqr val="0"/>
            <c:dispEq val="0"/>
          </c:trendline>
          <c:trendline>
            <c:spPr>
              <a:ln w="19050" cap="rnd">
                <a:solidFill>
                  <a:schemeClr val="accent2"/>
                </a:solidFill>
                <a:prstDash val="sysDot"/>
              </a:ln>
              <a:effectLst/>
            </c:spPr>
            <c:trendlineType val="linear"/>
            <c:forward val="7"/>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'Forecast volumes'!$P$3:$U$3</c:f>
              <c:numCache>
                <c:formatCode>General</c:formatCode>
                <c:ptCount val="6"/>
                <c:pt idx="0">
                  <c:v>2016</c:v>
                </c:pt>
                <c:pt idx="1">
                  <c:v>2017</c:v>
                </c:pt>
                <c:pt idx="2">
                  <c:v>2018</c:v>
                </c:pt>
                <c:pt idx="3">
                  <c:v>2019</c:v>
                </c:pt>
                <c:pt idx="4">
                  <c:v>2020</c:v>
                </c:pt>
                <c:pt idx="5">
                  <c:v>2021</c:v>
                </c:pt>
              </c:numCache>
            </c:numRef>
          </c:xVal>
          <c:yVal>
            <c:numRef>
              <c:f>'Forecast volumes'!$P$11:$U$11</c:f>
              <c:numCache>
                <c:formatCode>General</c:formatCode>
                <c:ptCount val="6"/>
                <c:pt idx="0">
                  <c:v>2239</c:v>
                </c:pt>
                <c:pt idx="1">
                  <c:v>1944</c:v>
                </c:pt>
                <c:pt idx="2">
                  <c:v>2046</c:v>
                </c:pt>
                <c:pt idx="3">
                  <c:v>2006</c:v>
                </c:pt>
                <c:pt idx="4" formatCode="_-* #,##0_-;\-* #,##0_-;_-* &quot;-&quot;??_-;_-@_-">
                  <c:v>2005</c:v>
                </c:pt>
                <c:pt idx="5" formatCode="_-* #,##0_-;\-* #,##0_-;_-* &quot;-&quot;??_-;_-@_-">
                  <c:v>1962</c:v>
                </c:pt>
              </c:numCache>
            </c:numRef>
          </c:yVal>
          <c:smooth val="1"/>
          <c:extLst>
            <c:ext xmlns:c16="http://schemas.microsoft.com/office/drawing/2014/chart" uri="{C3380CC4-5D6E-409C-BE32-E72D297353CC}">
              <c16:uniqueId val="{00000001-C562-4639-9B48-91B7863254C5}"/>
            </c:ext>
          </c:extLst>
        </c:ser>
        <c:dLbls>
          <c:showLegendKey val="0"/>
          <c:showVal val="0"/>
          <c:showCatName val="0"/>
          <c:showSerName val="0"/>
          <c:showPercent val="0"/>
          <c:showBubbleSize val="0"/>
        </c:dLbls>
        <c:axId val="1261956176"/>
        <c:axId val="1261956832"/>
      </c:scatterChart>
      <c:valAx>
        <c:axId val="1261956176"/>
        <c:scaling>
          <c:orientation val="minMax"/>
          <c:max val="2027"/>
          <c:min val="2016"/>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1956832"/>
        <c:crosses val="autoZero"/>
        <c:crossBetween val="midCat"/>
        <c:majorUnit val="1"/>
      </c:valAx>
      <c:valAx>
        <c:axId val="126195683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services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1956176"/>
        <c:crosses val="autoZero"/>
        <c:crossBetween val="midCat"/>
        <c:majorUnit val="200"/>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14D0F07B5184592959EAC7EBA3491" ma:contentTypeVersion="4" ma:contentTypeDescription="Create a new document." ma:contentTypeScope="" ma:versionID="7657788aeb77ce3a87f4290e888aa83f">
  <xsd:schema xmlns:xsd="http://www.w3.org/2001/XMLSchema" xmlns:xs="http://www.w3.org/2001/XMLSchema" xmlns:p="http://schemas.microsoft.com/office/2006/metadata/properties" xmlns:ns2="fa1c7db9-b076-46d4-ae03-c4ced19c3007" targetNamespace="http://schemas.microsoft.com/office/2006/metadata/properties" ma:root="true" ma:fieldsID="d63e6f6aed940ad9ad76b926921c8c37" ns2:_="">
    <xsd:import namespace="fa1c7db9-b076-46d4-ae03-c4ced19c30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c7db9-b076-46d4-ae03-c4ced19c3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C44FD-47A6-46EE-B1D2-5F1004F3F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c7db9-b076-46d4-ae03-c4ced19c3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55895C-F18C-4ACC-A976-997F41BF156D}">
  <ds:schemaRefs>
    <ds:schemaRef ds:uri="http://schemas.microsoft.com/sharepoint/v3/contenttype/forms"/>
  </ds:schemaRefs>
</ds:datastoreItem>
</file>

<file path=customXml/itemProps3.xml><?xml version="1.0" encoding="utf-8"?>
<ds:datastoreItem xmlns:ds="http://schemas.openxmlformats.org/officeDocument/2006/customXml" ds:itemID="{DED3207C-9FE2-4CA9-8914-77542D3C351D}">
  <ds:schemaRefs>
    <ds:schemaRef ds:uri="http://schemas.microsoft.com/office/2006/metadata/properties"/>
    <ds:schemaRef ds:uri="fa1c7db9-b076-46d4-ae03-c4ced19c300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A2B0F81-752E-443A-A0B1-641FA904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22</Pages>
  <Words>6583</Words>
  <Characters>37525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44020</CharactersWithSpaces>
  <SharedDoc>false</SharedDoc>
  <HLinks>
    <vt:vector size="102" baseType="variant">
      <vt:variant>
        <vt:i4>983161</vt:i4>
      </vt:variant>
      <vt:variant>
        <vt:i4>237</vt:i4>
      </vt:variant>
      <vt:variant>
        <vt:i4>0</vt:i4>
      </vt:variant>
      <vt:variant>
        <vt:i4>5</vt:i4>
      </vt:variant>
      <vt:variant>
        <vt:lpwstr>http://medicarestatistics.humanservices.gov.au/statistics/mbs_item.jsp</vt:lpwstr>
      </vt:variant>
      <vt:variant>
        <vt:lpwstr/>
      </vt:variant>
      <vt:variant>
        <vt:i4>983161</vt:i4>
      </vt:variant>
      <vt:variant>
        <vt:i4>231</vt:i4>
      </vt:variant>
      <vt:variant>
        <vt:i4>0</vt:i4>
      </vt:variant>
      <vt:variant>
        <vt:i4>5</vt:i4>
      </vt:variant>
      <vt:variant>
        <vt:lpwstr>http://medicarestatistics.humanservices.gov.au/statistics/mbs_item.jsp</vt:lpwstr>
      </vt:variant>
      <vt:variant>
        <vt:lpwstr/>
      </vt:variant>
      <vt:variant>
        <vt:i4>983161</vt:i4>
      </vt:variant>
      <vt:variant>
        <vt:i4>225</vt:i4>
      </vt:variant>
      <vt:variant>
        <vt:i4>0</vt:i4>
      </vt:variant>
      <vt:variant>
        <vt:i4>5</vt:i4>
      </vt:variant>
      <vt:variant>
        <vt:lpwstr>http://medicarestatistics.humanservices.gov.au/statistics/mbs_item.jsp</vt:lpwstr>
      </vt:variant>
      <vt:variant>
        <vt:lpwstr/>
      </vt:variant>
      <vt:variant>
        <vt:i4>983161</vt:i4>
      </vt:variant>
      <vt:variant>
        <vt:i4>222</vt:i4>
      </vt:variant>
      <vt:variant>
        <vt:i4>0</vt:i4>
      </vt:variant>
      <vt:variant>
        <vt:i4>5</vt:i4>
      </vt:variant>
      <vt:variant>
        <vt:lpwstr>http://medicarestatistics.humanservices.gov.au/statistics/mbs_item.jsp</vt:lpwstr>
      </vt:variant>
      <vt:variant>
        <vt:lpwstr/>
      </vt:variant>
      <vt:variant>
        <vt:i4>6750261</vt:i4>
      </vt:variant>
      <vt:variant>
        <vt:i4>147</vt:i4>
      </vt:variant>
      <vt:variant>
        <vt:i4>0</vt:i4>
      </vt:variant>
      <vt:variant>
        <vt:i4>5</vt:i4>
      </vt:variant>
      <vt:variant>
        <vt:lpwstr>https://clinicaltrials.gov/ct2/show/NCT05049720</vt:lpwstr>
      </vt:variant>
      <vt:variant>
        <vt:lpwstr/>
      </vt:variant>
      <vt:variant>
        <vt:i4>5963848</vt:i4>
      </vt:variant>
      <vt:variant>
        <vt:i4>144</vt:i4>
      </vt:variant>
      <vt:variant>
        <vt:i4>0</vt:i4>
      </vt:variant>
      <vt:variant>
        <vt:i4>5</vt:i4>
      </vt:variant>
      <vt:variant>
        <vt:lpwstr>https://clinicaltrials.gov/ct2/show/study/NCT04060680</vt:lpwstr>
      </vt:variant>
      <vt:variant>
        <vt:lpwstr/>
      </vt:variant>
      <vt:variant>
        <vt:i4>851972</vt:i4>
      </vt:variant>
      <vt:variant>
        <vt:i4>141</vt:i4>
      </vt:variant>
      <vt:variant>
        <vt:i4>0</vt:i4>
      </vt:variant>
      <vt:variant>
        <vt:i4>5</vt:i4>
      </vt:variant>
      <vt:variant>
        <vt:lpwstr>https://pubmed.ncbi.nlm.nih.gov/34322918/</vt:lpwstr>
      </vt:variant>
      <vt:variant>
        <vt:lpwstr/>
      </vt:variant>
      <vt:variant>
        <vt:i4>196612</vt:i4>
      </vt:variant>
      <vt:variant>
        <vt:i4>132</vt:i4>
      </vt:variant>
      <vt:variant>
        <vt:i4>0</vt:i4>
      </vt:variant>
      <vt:variant>
        <vt:i4>5</vt:i4>
      </vt:variant>
      <vt:variant>
        <vt:lpwstr>https://pubmed.ncbi.nlm.nih.gov/33213813/</vt:lpwstr>
      </vt:variant>
      <vt:variant>
        <vt:lpwstr/>
      </vt:variant>
      <vt:variant>
        <vt:i4>851983</vt:i4>
      </vt:variant>
      <vt:variant>
        <vt:i4>129</vt:i4>
      </vt:variant>
      <vt:variant>
        <vt:i4>0</vt:i4>
      </vt:variant>
      <vt:variant>
        <vt:i4>5</vt:i4>
      </vt:variant>
      <vt:variant>
        <vt:lpwstr>https://pubmed.ncbi.nlm.nih.gov/30784689/</vt:lpwstr>
      </vt:variant>
      <vt:variant>
        <vt:lpwstr/>
      </vt:variant>
      <vt:variant>
        <vt:i4>720902</vt:i4>
      </vt:variant>
      <vt:variant>
        <vt:i4>126</vt:i4>
      </vt:variant>
      <vt:variant>
        <vt:i4>0</vt:i4>
      </vt:variant>
      <vt:variant>
        <vt:i4>5</vt:i4>
      </vt:variant>
      <vt:variant>
        <vt:lpwstr>https://pubmed.ncbi.nlm.nih.gov/29197657/</vt:lpwstr>
      </vt:variant>
      <vt:variant>
        <vt:lpwstr/>
      </vt:variant>
      <vt:variant>
        <vt:i4>589827</vt:i4>
      </vt:variant>
      <vt:variant>
        <vt:i4>123</vt:i4>
      </vt:variant>
      <vt:variant>
        <vt:i4>0</vt:i4>
      </vt:variant>
      <vt:variant>
        <vt:i4>5</vt:i4>
      </vt:variant>
      <vt:variant>
        <vt:lpwstr>https://pubmed.ncbi.nlm.nih.gov/29759788/</vt:lpwstr>
      </vt:variant>
      <vt:variant>
        <vt:lpwstr/>
      </vt:variant>
      <vt:variant>
        <vt:i4>3997744</vt:i4>
      </vt:variant>
      <vt:variant>
        <vt:i4>3</vt:i4>
      </vt:variant>
      <vt:variant>
        <vt:i4>0</vt:i4>
      </vt:variant>
      <vt:variant>
        <vt:i4>5</vt:i4>
      </vt:variant>
      <vt:variant>
        <vt:lpwstr>http://www.msac.gov.au/</vt:lpwstr>
      </vt:variant>
      <vt:variant>
        <vt:lpwstr/>
      </vt:variant>
      <vt:variant>
        <vt:i4>786543</vt:i4>
      </vt:variant>
      <vt:variant>
        <vt:i4>0</vt:i4>
      </vt:variant>
      <vt:variant>
        <vt:i4>0</vt:i4>
      </vt:variant>
      <vt:variant>
        <vt:i4>5</vt:i4>
      </vt:variant>
      <vt:variant>
        <vt:lpwstr>mailto:hta@health.gov.au</vt:lpwstr>
      </vt:variant>
      <vt:variant>
        <vt:lpwstr/>
      </vt:variant>
      <vt:variant>
        <vt:i4>852084</vt:i4>
      </vt:variant>
      <vt:variant>
        <vt:i4>9</vt:i4>
      </vt:variant>
      <vt:variant>
        <vt:i4>0</vt:i4>
      </vt:variant>
      <vt:variant>
        <vt:i4>5</vt:i4>
      </vt:variant>
      <vt:variant>
        <vt:lpwstr>mailto:zuben.florence@medtronic.com</vt:lpwstr>
      </vt:variant>
      <vt:variant>
        <vt:lpwstr/>
      </vt:variant>
      <vt:variant>
        <vt:i4>6750211</vt:i4>
      </vt:variant>
      <vt:variant>
        <vt:i4>6</vt:i4>
      </vt:variant>
      <vt:variant>
        <vt:i4>0</vt:i4>
      </vt:variant>
      <vt:variant>
        <vt:i4>5</vt:i4>
      </vt:variant>
      <vt:variant>
        <vt:lpwstr>mailto:zoe.crescenzi@medtronic.com</vt:lpwstr>
      </vt:variant>
      <vt:variant>
        <vt:lpwstr/>
      </vt:variant>
      <vt:variant>
        <vt:i4>852084</vt:i4>
      </vt:variant>
      <vt:variant>
        <vt:i4>3</vt:i4>
      </vt:variant>
      <vt:variant>
        <vt:i4>0</vt:i4>
      </vt:variant>
      <vt:variant>
        <vt:i4>5</vt:i4>
      </vt:variant>
      <vt:variant>
        <vt:lpwstr>mailto:zuben.florence@medtronic.com</vt:lpwstr>
      </vt:variant>
      <vt:variant>
        <vt:lpwstr/>
      </vt:variant>
      <vt:variant>
        <vt:i4>852084</vt:i4>
      </vt:variant>
      <vt:variant>
        <vt:i4>0</vt:i4>
      </vt:variant>
      <vt:variant>
        <vt:i4>0</vt:i4>
      </vt:variant>
      <vt:variant>
        <vt:i4>5</vt:i4>
      </vt:variant>
      <vt:variant>
        <vt:lpwstr>mailto:zuben.florence@medtronic.com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subject/>
  <dc:creator>Department of Health</dc:creator>
  <cp:keywords/>
  <cp:lastModifiedBy>Department of Health</cp:lastModifiedBy>
  <cp:revision>3</cp:revision>
  <cp:lastPrinted>2022-05-18T02:48:00Z</cp:lastPrinted>
  <dcterms:created xsi:type="dcterms:W3CDTF">2022-05-18T02:10:00Z</dcterms:created>
  <dcterms:modified xsi:type="dcterms:W3CDTF">2022-05-18T02:48:00Z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0x01010083214D0F07B5184592959EAC7EBA3491</vt:lpwstr>
  </property>
</Properties>
</file>