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2700" w14:textId="37904594" w:rsidR="00E44B80" w:rsidRPr="00F637B3" w:rsidRDefault="00E44B80" w:rsidP="00E44B80">
      <w:pPr>
        <w:jc w:val="center"/>
        <w:rPr>
          <w:b/>
          <w:szCs w:val="20"/>
        </w:rPr>
      </w:pPr>
    </w:p>
    <w:p w14:paraId="4E76E4EB" w14:textId="3FE05A3D" w:rsidR="008B2610" w:rsidRDefault="00A4296C" w:rsidP="00F971CC">
      <w:pPr>
        <w:pStyle w:val="Title"/>
        <w:spacing w:before="2600"/>
      </w:pPr>
      <w:r>
        <w:t xml:space="preserve">MSAC </w:t>
      </w:r>
      <w:r w:rsidR="008B2610" w:rsidRPr="001906CD">
        <w:t xml:space="preserve">Application </w:t>
      </w:r>
      <w:r>
        <w:t>1726</w:t>
      </w:r>
    </w:p>
    <w:p w14:paraId="4238F4DF" w14:textId="77777777" w:rsidR="0056015F" w:rsidRDefault="0056015F" w:rsidP="0056015F"/>
    <w:p w14:paraId="3B299C13" w14:textId="3D1F4A75" w:rsidR="00FB06E2" w:rsidRPr="00FB06E2" w:rsidRDefault="00FB06E2" w:rsidP="00D73646">
      <w:pPr>
        <w:pStyle w:val="Title"/>
        <w:spacing w:before="240"/>
        <w:rPr>
          <w:color w:val="548DD4" w:themeColor="text2" w:themeTint="99"/>
          <w:sz w:val="40"/>
          <w:szCs w:val="40"/>
        </w:rPr>
      </w:pPr>
      <w:r w:rsidRPr="00FB06E2">
        <w:rPr>
          <w:color w:val="548DD4" w:themeColor="text2" w:themeTint="99"/>
          <w:sz w:val="40"/>
          <w:szCs w:val="40"/>
        </w:rPr>
        <w:t xml:space="preserve">Testing of tumour tissue to determine a positive homologous recombination deficiency status in women newly diagnosed with advanced (FIGO stage III-IV) high grade epithelial ovarian, fallopian tube or primary peritoneal cancer, for access to PBS </w:t>
      </w:r>
      <w:r>
        <w:rPr>
          <w:color w:val="548DD4" w:themeColor="text2" w:themeTint="99"/>
          <w:sz w:val="40"/>
          <w:szCs w:val="40"/>
        </w:rPr>
        <w:t>niraparib</w:t>
      </w:r>
      <w:r w:rsidRPr="00FB06E2">
        <w:rPr>
          <w:color w:val="548DD4" w:themeColor="text2" w:themeTint="99"/>
          <w:sz w:val="40"/>
          <w:szCs w:val="40"/>
        </w:rPr>
        <w:t xml:space="preserve"> </w:t>
      </w:r>
    </w:p>
    <w:p w14:paraId="108F4F51"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64E294B0"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636F21F7"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3976EE80" w14:textId="77777777" w:rsidR="009F5758" w:rsidRPr="00154B00" w:rsidRDefault="009F5758" w:rsidP="003F7CB9">
      <w:pPr>
        <w:spacing w:before="0" w:after="0"/>
      </w:pPr>
    </w:p>
    <w:p w14:paraId="22A88250" w14:textId="1AA0B92B" w:rsidR="009F5758" w:rsidRPr="00154B00" w:rsidRDefault="009F5758" w:rsidP="003F7CB9">
      <w:pPr>
        <w:spacing w:before="0" w:after="0"/>
      </w:pPr>
      <w:r w:rsidRPr="00154B00">
        <w:t xml:space="preserve">Email:  </w:t>
      </w:r>
      <w:hyperlink r:id="rId8" w:tooltip="click here to email the Department of Health HTA Team" w:history="1">
        <w:r w:rsidRPr="00154B00">
          <w:rPr>
            <w:rStyle w:val="Hyperlink"/>
            <w:szCs w:val="20"/>
          </w:rPr>
          <w:t>hta@health.gov.au</w:t>
        </w:r>
      </w:hyperlink>
    </w:p>
    <w:p w14:paraId="359BFA6D" w14:textId="22EC57DA" w:rsidR="009F5758" w:rsidRPr="00154B00" w:rsidRDefault="009F5758" w:rsidP="003F7CB9">
      <w:pPr>
        <w:spacing w:before="0" w:after="0"/>
      </w:pPr>
      <w:r w:rsidRPr="00154B00">
        <w:t xml:space="preserve">Website:  </w:t>
      </w:r>
      <w:hyperlink r:id="rId9"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BE2E663" w14:textId="2A5A45A3"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0AAD460D"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34650B48" w14:textId="6D8237EA"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FB06E2">
        <w:t>N/A</w:t>
      </w:r>
    </w:p>
    <w:p w14:paraId="236EA997" w14:textId="6BBDCADE"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FB06E2">
        <w:t>GlaxoSmithKline Australia Pty Ltd</w:t>
      </w:r>
    </w:p>
    <w:p w14:paraId="676CD6ED" w14:textId="0BDE1668"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FB06E2" w:rsidRPr="00FB06E2">
        <w:t>47 100 162 481</w:t>
      </w:r>
    </w:p>
    <w:p w14:paraId="557E3077" w14:textId="5EBC3CD6"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FB06E2" w:rsidRPr="00FB06E2">
        <w:t>GlaxoSmithKline Australia Pty Ltd</w:t>
      </w:r>
    </w:p>
    <w:p w14:paraId="6516346C" w14:textId="77777777" w:rsidR="00C171FB" w:rsidRPr="00C171FB" w:rsidRDefault="00C171FB" w:rsidP="00C171FB"/>
    <w:p w14:paraId="1FE6025B" w14:textId="2F1B8F65" w:rsidR="00C171FB" w:rsidRPr="00C171FB" w:rsidRDefault="00C171FB" w:rsidP="00C171FB">
      <w:pPr>
        <w:rPr>
          <w:b/>
        </w:rPr>
      </w:pPr>
      <w:r>
        <w:rPr>
          <w:b/>
        </w:rPr>
        <w:t xml:space="preserve">Primary contact name: </w:t>
      </w:r>
      <w:r w:rsidR="00A4296C" w:rsidRPr="00A4296C">
        <w:rPr>
          <w:b/>
          <w:bCs/>
        </w:rPr>
        <w:t>REDACTED</w:t>
      </w:r>
    </w:p>
    <w:p w14:paraId="55F51ED8"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37AD30BE" w14:textId="30A79283"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4296C" w:rsidRPr="00A4296C">
        <w:rPr>
          <w:b/>
          <w:bCs/>
        </w:rPr>
        <w:t>REDACTED</w:t>
      </w:r>
    </w:p>
    <w:p w14:paraId="0A33AE8F" w14:textId="4B39FF00" w:rsidR="00C171FB" w:rsidRDefault="00C171FB" w:rsidP="00C171FB">
      <w:pPr>
        <w:pBdr>
          <w:top w:val="single" w:sz="4" w:space="1" w:color="auto"/>
          <w:left w:val="single" w:sz="4" w:space="4" w:color="auto"/>
          <w:bottom w:val="single" w:sz="4" w:space="1" w:color="auto"/>
          <w:right w:val="single" w:sz="4" w:space="4" w:color="auto"/>
        </w:pBdr>
      </w:pPr>
      <w:r w:rsidRPr="00A4296C">
        <w:t>Mobile:</w:t>
      </w:r>
      <w:r w:rsidR="003E2DAE" w:rsidRPr="00A4296C">
        <w:t xml:space="preserve"> </w:t>
      </w:r>
      <w:r w:rsidR="00A4296C" w:rsidRPr="00A4296C">
        <w:rPr>
          <w:b/>
          <w:bCs/>
        </w:rPr>
        <w:t>REDACTED</w:t>
      </w:r>
    </w:p>
    <w:p w14:paraId="7BBC6D00" w14:textId="7B24A6E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A4296C" w:rsidRPr="00A4296C">
        <w:rPr>
          <w:b/>
          <w:bCs/>
        </w:rPr>
        <w:t>REDACTED</w:t>
      </w:r>
    </w:p>
    <w:p w14:paraId="06AE9D07" w14:textId="77777777" w:rsidR="00C171FB" w:rsidRDefault="00C171FB" w:rsidP="00C171FB">
      <w:pPr>
        <w:rPr>
          <w:b/>
        </w:rPr>
      </w:pPr>
    </w:p>
    <w:p w14:paraId="73CACB1D" w14:textId="78277A49" w:rsidR="00C171FB" w:rsidRPr="00C171FB" w:rsidRDefault="00C171FB" w:rsidP="00C171FB">
      <w:pPr>
        <w:rPr>
          <w:b/>
        </w:rPr>
      </w:pPr>
      <w:r>
        <w:rPr>
          <w:b/>
        </w:rPr>
        <w:t xml:space="preserve">Alternative contact name: </w:t>
      </w:r>
      <w:r w:rsidR="00A4296C" w:rsidRPr="00A4296C">
        <w:rPr>
          <w:b/>
          <w:bCs/>
        </w:rPr>
        <w:t>REDACTED</w:t>
      </w:r>
    </w:p>
    <w:p w14:paraId="45DF12DE"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818382F" w14:textId="0CCCCC55" w:rsidR="00371680" w:rsidRDefault="00C171FB" w:rsidP="00371680">
      <w:pPr>
        <w:pBdr>
          <w:top w:val="single" w:sz="4" w:space="1" w:color="auto"/>
          <w:left w:val="single" w:sz="4" w:space="4" w:color="auto"/>
          <w:bottom w:val="single" w:sz="4" w:space="1" w:color="auto"/>
          <w:right w:val="single" w:sz="4" w:space="4" w:color="auto"/>
        </w:pBdr>
      </w:pPr>
      <w:r>
        <w:t>Business:</w:t>
      </w:r>
      <w:r w:rsidR="00371680">
        <w:t xml:space="preserve"> </w:t>
      </w:r>
      <w:r w:rsidR="00A4296C" w:rsidRPr="00A4296C">
        <w:rPr>
          <w:b/>
          <w:bCs/>
        </w:rPr>
        <w:t>REDACTED</w:t>
      </w:r>
    </w:p>
    <w:p w14:paraId="37E48A0F" w14:textId="77777777" w:rsidR="00A4296C" w:rsidRDefault="00C171FB" w:rsidP="00C171FB">
      <w:pPr>
        <w:pBdr>
          <w:top w:val="single" w:sz="4" w:space="1" w:color="auto"/>
          <w:left w:val="single" w:sz="4" w:space="4" w:color="auto"/>
          <w:bottom w:val="single" w:sz="4" w:space="1" w:color="auto"/>
          <w:right w:val="single" w:sz="4" w:space="4" w:color="auto"/>
        </w:pBdr>
      </w:pPr>
      <w:r>
        <w:t xml:space="preserve">Mobile: </w:t>
      </w:r>
      <w:r w:rsidR="00A4296C" w:rsidRPr="00A4296C">
        <w:rPr>
          <w:b/>
          <w:bCs/>
        </w:rPr>
        <w:t>REDACTED</w:t>
      </w:r>
      <w:r w:rsidR="00A4296C">
        <w:t xml:space="preserve"> </w:t>
      </w:r>
    </w:p>
    <w:p w14:paraId="7107D0E4" w14:textId="3F575AA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A4296C" w:rsidRPr="00A4296C">
        <w:rPr>
          <w:b/>
          <w:bCs/>
        </w:rPr>
        <w:t>REDACTED</w:t>
      </w:r>
      <w:r w:rsidR="007E2D58">
        <w:t xml:space="preserve"> </w:t>
      </w:r>
    </w:p>
    <w:p w14:paraId="53E5AC6B" w14:textId="77777777" w:rsidR="00C171FB" w:rsidRPr="00C171FB" w:rsidRDefault="00C171FB" w:rsidP="00C171FB"/>
    <w:p w14:paraId="2D146CCC" w14:textId="77777777" w:rsidR="00AD2E85" w:rsidRDefault="00AD2E85" w:rsidP="004A0BF4">
      <w:pPr>
        <w:pStyle w:val="Heading2"/>
      </w:pPr>
      <w:r>
        <w:t xml:space="preserve">(a) </w:t>
      </w:r>
      <w:r w:rsidRPr="00AD2E85">
        <w:t>Are you a consultant acting on behalf on an applicant?</w:t>
      </w:r>
    </w:p>
    <w:p w14:paraId="039EA57B"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Yes</w:t>
      </w:r>
    </w:p>
    <w:p w14:paraId="783F0B37" w14:textId="03BCF75C" w:rsidR="00AD2E85" w:rsidRPr="00753C44" w:rsidRDefault="00C24B5A" w:rsidP="00AD2E85">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FB0A15">
        <w:rPr>
          <w:szCs w:val="20"/>
        </w:rPr>
      </w:r>
      <w:r w:rsidR="00FB0A15">
        <w:rPr>
          <w:szCs w:val="20"/>
        </w:rPr>
        <w:fldChar w:fldCharType="separate"/>
      </w:r>
      <w:r>
        <w:rPr>
          <w:szCs w:val="20"/>
        </w:rPr>
        <w:fldChar w:fldCharType="end"/>
      </w:r>
      <w:bookmarkEnd w:id="1"/>
      <w:r w:rsidR="00AD2E85">
        <w:rPr>
          <w:szCs w:val="20"/>
        </w:rPr>
        <w:t xml:space="preserve"> No</w:t>
      </w:r>
      <w:r w:rsidR="00AD2E85" w:rsidRPr="00753C44">
        <w:rPr>
          <w:szCs w:val="20"/>
        </w:rPr>
        <w:t xml:space="preserve">  </w:t>
      </w:r>
    </w:p>
    <w:p w14:paraId="259E2B47" w14:textId="77777777" w:rsidR="00AD2E85" w:rsidRPr="00AD2E85" w:rsidRDefault="00AD2E85" w:rsidP="00AD2E85">
      <w:pPr>
        <w:ind w:firstLine="360"/>
        <w:rPr>
          <w:b/>
        </w:rPr>
      </w:pPr>
      <w:r w:rsidRPr="00AD2E85">
        <w:rPr>
          <w:b/>
        </w:rPr>
        <w:t>(b) If yes what is the Applicant(s) name that you are acting on behalf of?</w:t>
      </w:r>
    </w:p>
    <w:p w14:paraId="3FEF04A8" w14:textId="77777777" w:rsidR="00AD2E85" w:rsidRPr="00AD2E85" w:rsidRDefault="00AD2E85" w:rsidP="00AD2E85"/>
    <w:p w14:paraId="4F926DE8" w14:textId="77777777" w:rsidR="00534C5F" w:rsidRPr="00154B00" w:rsidRDefault="00494011" w:rsidP="004A0BF4">
      <w:pPr>
        <w:pStyle w:val="Heading2"/>
      </w:pPr>
      <w:r>
        <w:t xml:space="preserve">(a) </w:t>
      </w:r>
      <w:r w:rsidR="00534C5F">
        <w:t>Are you a lobbyist acting on behalf of an Applicant?</w:t>
      </w:r>
    </w:p>
    <w:p w14:paraId="3F8F450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Yes</w:t>
      </w:r>
    </w:p>
    <w:p w14:paraId="765919E0" w14:textId="14CFAE5A" w:rsidR="00A6491A" w:rsidRPr="00753C44" w:rsidRDefault="00D22AC6"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A6491A">
        <w:rPr>
          <w:szCs w:val="20"/>
        </w:rPr>
        <w:t xml:space="preserve"> No</w:t>
      </w:r>
      <w:r w:rsidR="00A6491A" w:rsidRPr="00753C44">
        <w:rPr>
          <w:szCs w:val="20"/>
        </w:rPr>
        <w:t xml:space="preserve">  </w:t>
      </w:r>
    </w:p>
    <w:p w14:paraId="5342A6E0" w14:textId="77777777" w:rsidR="00534C5F" w:rsidRPr="00154B00" w:rsidRDefault="00534C5F" w:rsidP="00930E95">
      <w:pPr>
        <w:pStyle w:val="Heading2"/>
        <w:numPr>
          <w:ilvl w:val="0"/>
          <w:numId w:val="2"/>
        </w:numPr>
      </w:pPr>
      <w:r w:rsidRPr="00154B00">
        <w:t xml:space="preserve">If yes, </w:t>
      </w:r>
      <w:r>
        <w:t xml:space="preserve">are </w:t>
      </w:r>
      <w:r w:rsidRPr="00FE33A6">
        <w:t>you</w:t>
      </w:r>
      <w:r>
        <w:t xml:space="preserve"> listed on the Register of Lobbyists?</w:t>
      </w:r>
    </w:p>
    <w:p w14:paraId="3F08CCF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Yes</w:t>
      </w:r>
    </w:p>
    <w:p w14:paraId="4FAD2282"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No</w:t>
      </w:r>
      <w:r w:rsidRPr="00753C44">
        <w:rPr>
          <w:szCs w:val="20"/>
        </w:rPr>
        <w:t xml:space="preserve">  </w:t>
      </w:r>
    </w:p>
    <w:p w14:paraId="4011C731" w14:textId="77777777" w:rsidR="00CE0F9E" w:rsidRPr="00154B00" w:rsidRDefault="00CE0F9E" w:rsidP="00930E95">
      <w:pPr>
        <w:pStyle w:val="Heading2"/>
        <w:numPr>
          <w:ilvl w:val="0"/>
          <w:numId w:val="2"/>
        </w:numPr>
      </w:pPr>
      <w:r>
        <w:t>Have you engaged a consultant on your behalf?</w:t>
      </w:r>
    </w:p>
    <w:p w14:paraId="05138735" w14:textId="77777777" w:rsidR="00CE0F9E" w:rsidRDefault="00CE0F9E" w:rsidP="00CE0F9E">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Yes </w:t>
      </w:r>
    </w:p>
    <w:p w14:paraId="5936BF04" w14:textId="7D7888FC" w:rsidR="00CE0F9E" w:rsidRDefault="00D22AC6"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CE0F9E">
        <w:rPr>
          <w:szCs w:val="20"/>
        </w:rPr>
        <w:t xml:space="preserve"> No</w:t>
      </w:r>
      <w:r w:rsidR="00CE0F9E" w:rsidRPr="00753C44">
        <w:rPr>
          <w:szCs w:val="20"/>
        </w:rPr>
        <w:t xml:space="preserve">  </w:t>
      </w:r>
    </w:p>
    <w:p w14:paraId="244AD03A" w14:textId="77777777" w:rsidR="00CE0F9E" w:rsidRDefault="00CE0F9E" w:rsidP="00CE0F9E">
      <w:pPr>
        <w:spacing w:before="0" w:after="0"/>
        <w:ind w:left="426"/>
        <w:rPr>
          <w:szCs w:val="20"/>
        </w:rPr>
      </w:pPr>
    </w:p>
    <w:p w14:paraId="6522F764" w14:textId="77777777" w:rsidR="00CE0F9E" w:rsidRPr="00753C44" w:rsidRDefault="00CE0F9E" w:rsidP="00CE0F9E">
      <w:pPr>
        <w:spacing w:before="0" w:after="0"/>
        <w:ind w:left="426"/>
        <w:rPr>
          <w:szCs w:val="20"/>
        </w:rPr>
      </w:pPr>
    </w:p>
    <w:p w14:paraId="0979AB9F" w14:textId="77777777" w:rsidR="00E04FB3" w:rsidRDefault="00E04FB3" w:rsidP="005C333E">
      <w:pPr>
        <w:spacing w:before="0" w:after="0"/>
        <w:ind w:left="426"/>
        <w:rPr>
          <w:b/>
          <w:szCs w:val="20"/>
        </w:rPr>
      </w:pPr>
      <w:r w:rsidRPr="00154B00">
        <w:rPr>
          <w:b/>
          <w:szCs w:val="20"/>
        </w:rPr>
        <w:br w:type="page"/>
      </w:r>
    </w:p>
    <w:p w14:paraId="1BB9A2A5"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3BA14A0A" w14:textId="77777777" w:rsidR="000B3CD0" w:rsidRDefault="000B3CD0" w:rsidP="00730C04">
      <w:pPr>
        <w:pStyle w:val="Heading2"/>
      </w:pPr>
      <w:r w:rsidRPr="00154B00">
        <w:t>Application title</w:t>
      </w:r>
      <w:r w:rsidR="00A8732C">
        <w:t xml:space="preserve"> </w:t>
      </w:r>
    </w:p>
    <w:p w14:paraId="35A24104" w14:textId="17532EF3" w:rsidR="009056C5" w:rsidRPr="009056C5" w:rsidRDefault="00C04457" w:rsidP="00A6491A">
      <w:pPr>
        <w:ind w:left="284"/>
      </w:pPr>
      <w:r>
        <w:t>Testing of tumour tissue to determine a positive homologous recombination deficiency (HRD) status in women with newly diagnosed, advanced (FIGO Stage III-IV) high-grade epithelial ovarian, fallopian tube or primary peritoneal cancer</w:t>
      </w:r>
      <w:r w:rsidR="007670A9">
        <w:t>, for access to niraparib</w:t>
      </w:r>
      <w:r w:rsidR="008E60B3">
        <w:t xml:space="preserve">.  </w:t>
      </w:r>
    </w:p>
    <w:p w14:paraId="2CA5190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37B0BD3" w14:textId="4B651A2B" w:rsidR="00DE268B" w:rsidRPr="0038724A" w:rsidRDefault="00DE268B" w:rsidP="00D25488">
      <w:pPr>
        <w:ind w:left="284"/>
        <w:jc w:val="both"/>
        <w:rPr>
          <w:rFonts w:cstheme="minorHAnsi"/>
          <w:szCs w:val="20"/>
        </w:rPr>
      </w:pPr>
      <w:r w:rsidRPr="0038724A">
        <w:rPr>
          <w:rFonts w:cstheme="minorHAnsi"/>
          <w:szCs w:val="20"/>
        </w:rPr>
        <w:t xml:space="preserve">Ovarian cancer was the ninth </w:t>
      </w:r>
      <w:r w:rsidR="00A02109" w:rsidRPr="0038724A">
        <w:rPr>
          <w:rFonts w:cstheme="minorHAnsi"/>
          <w:szCs w:val="20"/>
        </w:rPr>
        <w:t>most diagnosed</w:t>
      </w:r>
      <w:r w:rsidRPr="0038724A">
        <w:rPr>
          <w:rFonts w:cstheme="minorHAnsi"/>
          <w:szCs w:val="20"/>
        </w:rPr>
        <w:t xml:space="preserve"> and the sixth leading cause of cancer-related deaths among Australian females in 2017</w:t>
      </w:r>
      <w:r w:rsidR="00A15338" w:rsidRPr="0038724A">
        <w:rPr>
          <w:rFonts w:cstheme="minorHAnsi"/>
          <w:szCs w:val="20"/>
        </w:rPr>
        <w:t xml:space="preserve"> (AIHW 202</w:t>
      </w:r>
      <w:r w:rsidR="00C45C65" w:rsidRPr="0038724A">
        <w:rPr>
          <w:rFonts w:cstheme="minorHAnsi"/>
          <w:szCs w:val="20"/>
        </w:rPr>
        <w:t>2</w:t>
      </w:r>
      <w:r w:rsidR="00A15338" w:rsidRPr="0038724A">
        <w:rPr>
          <w:rFonts w:cstheme="minorHAnsi"/>
          <w:szCs w:val="20"/>
        </w:rPr>
        <w:t>)</w:t>
      </w:r>
      <w:r w:rsidRPr="0038724A">
        <w:rPr>
          <w:rFonts w:cstheme="minorHAnsi"/>
          <w:szCs w:val="20"/>
        </w:rPr>
        <w:t xml:space="preserve">.  </w:t>
      </w:r>
      <w:r w:rsidR="001A7E88" w:rsidRPr="0038724A">
        <w:rPr>
          <w:rFonts w:cstheme="minorHAnsi"/>
          <w:szCs w:val="20"/>
        </w:rPr>
        <w:t>M</w:t>
      </w:r>
      <w:r w:rsidRPr="0038724A">
        <w:rPr>
          <w:rFonts w:cstheme="minorHAnsi"/>
          <w:szCs w:val="20"/>
        </w:rPr>
        <w:t xml:space="preserve">ost </w:t>
      </w:r>
      <w:r w:rsidR="001A7E88" w:rsidRPr="0038724A">
        <w:rPr>
          <w:rFonts w:cstheme="minorHAnsi"/>
          <w:szCs w:val="20"/>
        </w:rPr>
        <w:t>women are</w:t>
      </w:r>
      <w:r w:rsidRPr="0038724A">
        <w:rPr>
          <w:rFonts w:cstheme="minorHAnsi"/>
          <w:szCs w:val="20"/>
        </w:rPr>
        <w:t xml:space="preserve"> diagnosed at an advanced stage (81.8%, Lindemann 2018) </w:t>
      </w:r>
      <w:r w:rsidR="008C5813" w:rsidRPr="0038724A">
        <w:rPr>
          <w:rFonts w:cstheme="minorHAnsi"/>
          <w:szCs w:val="20"/>
        </w:rPr>
        <w:t>with</w:t>
      </w:r>
      <w:r w:rsidRPr="0038724A">
        <w:rPr>
          <w:rFonts w:cstheme="minorHAnsi"/>
          <w:szCs w:val="20"/>
        </w:rPr>
        <w:t xml:space="preserve"> </w:t>
      </w:r>
      <w:r w:rsidR="008C5813" w:rsidRPr="0038724A">
        <w:rPr>
          <w:rFonts w:cstheme="minorHAnsi"/>
          <w:szCs w:val="20"/>
        </w:rPr>
        <w:t xml:space="preserve">limited </w:t>
      </w:r>
      <w:r w:rsidRPr="0038724A">
        <w:rPr>
          <w:rFonts w:cstheme="minorHAnsi"/>
          <w:szCs w:val="20"/>
        </w:rPr>
        <w:t xml:space="preserve">long-term survival </w:t>
      </w:r>
      <w:r w:rsidR="00DE2307" w:rsidRPr="0038724A">
        <w:rPr>
          <w:rFonts w:cstheme="minorHAnsi"/>
          <w:szCs w:val="20"/>
        </w:rPr>
        <w:t xml:space="preserve">prospects </w:t>
      </w:r>
      <w:r w:rsidRPr="0038724A">
        <w:rPr>
          <w:rFonts w:cstheme="minorHAnsi"/>
          <w:szCs w:val="20"/>
        </w:rPr>
        <w:t>(7-year</w:t>
      </w:r>
      <w:r w:rsidR="00F312C5" w:rsidRPr="0038724A">
        <w:rPr>
          <w:rFonts w:cstheme="minorHAnsi"/>
          <w:szCs w:val="20"/>
        </w:rPr>
        <w:t>s</w:t>
      </w:r>
      <w:r w:rsidRPr="0038724A">
        <w:rPr>
          <w:rFonts w:cstheme="minorHAnsi"/>
          <w:szCs w:val="20"/>
        </w:rPr>
        <w:t xml:space="preserve">: </w:t>
      </w:r>
      <w:r w:rsidR="00B722B4" w:rsidRPr="0038724A">
        <w:rPr>
          <w:rFonts w:cstheme="minorHAnsi"/>
          <w:szCs w:val="20"/>
        </w:rPr>
        <w:t>9-26</w:t>
      </w:r>
      <w:r w:rsidRPr="0038724A">
        <w:rPr>
          <w:rFonts w:cstheme="minorHAnsi"/>
          <w:szCs w:val="20"/>
        </w:rPr>
        <w:t>%</w:t>
      </w:r>
      <w:r w:rsidR="0038665C" w:rsidRPr="0038724A">
        <w:rPr>
          <w:rFonts w:cstheme="minorHAnsi"/>
          <w:szCs w:val="20"/>
        </w:rPr>
        <w:t>;</w:t>
      </w:r>
      <w:r w:rsidRPr="0038724A">
        <w:rPr>
          <w:rFonts w:cstheme="minorHAnsi"/>
          <w:szCs w:val="20"/>
        </w:rPr>
        <w:t xml:space="preserve"> Anuradha 2014).</w:t>
      </w:r>
      <w:r w:rsidR="0038665C" w:rsidRPr="0038724A">
        <w:rPr>
          <w:rFonts w:cstheme="minorHAnsi"/>
          <w:szCs w:val="20"/>
        </w:rPr>
        <w:t xml:space="preserve">  </w:t>
      </w:r>
      <w:r w:rsidR="00A02109" w:rsidRPr="0038724A">
        <w:rPr>
          <w:rFonts w:cstheme="minorHAnsi"/>
        </w:rPr>
        <w:t xml:space="preserve">Despite high response rates (88.6%; Morgan 2020) </w:t>
      </w:r>
      <w:r w:rsidR="00111452" w:rsidRPr="0038724A">
        <w:rPr>
          <w:rFonts w:cstheme="minorHAnsi"/>
        </w:rPr>
        <w:t>to platinum</w:t>
      </w:r>
      <w:r w:rsidR="00DE2307" w:rsidRPr="0038724A">
        <w:rPr>
          <w:rFonts w:cstheme="minorHAnsi"/>
        </w:rPr>
        <w:t>-</w:t>
      </w:r>
      <w:r w:rsidR="00111452" w:rsidRPr="0038724A">
        <w:rPr>
          <w:rFonts w:cstheme="minorHAnsi"/>
        </w:rPr>
        <w:t xml:space="preserve">based chemotherapy, </w:t>
      </w:r>
      <w:r w:rsidR="00A02109" w:rsidRPr="0038724A">
        <w:rPr>
          <w:rFonts w:cstheme="minorHAnsi"/>
        </w:rPr>
        <w:t xml:space="preserve">relapse occurs in most patients </w:t>
      </w:r>
      <w:r w:rsidR="006A26AD" w:rsidRPr="0038724A">
        <w:rPr>
          <w:rFonts w:cstheme="minorHAnsi"/>
        </w:rPr>
        <w:t xml:space="preserve">with </w:t>
      </w:r>
      <w:r w:rsidR="00A940E9" w:rsidRPr="0038724A">
        <w:rPr>
          <w:rFonts w:cstheme="minorHAnsi"/>
        </w:rPr>
        <w:t>diminishing outcomes</w:t>
      </w:r>
      <w:r w:rsidR="000A00D4" w:rsidRPr="0038724A">
        <w:rPr>
          <w:rFonts w:cstheme="minorHAnsi"/>
        </w:rPr>
        <w:t xml:space="preserve"> and toxicities</w:t>
      </w:r>
      <w:r w:rsidR="006A26AD" w:rsidRPr="0038724A">
        <w:rPr>
          <w:rFonts w:cstheme="minorHAnsi"/>
        </w:rPr>
        <w:t xml:space="preserve"> </w:t>
      </w:r>
      <w:r w:rsidR="00A940E9" w:rsidRPr="0038724A">
        <w:rPr>
          <w:rFonts w:cstheme="minorHAnsi"/>
        </w:rPr>
        <w:t xml:space="preserve">from </w:t>
      </w:r>
      <w:r w:rsidR="006A26AD" w:rsidRPr="0038724A">
        <w:rPr>
          <w:rFonts w:cstheme="minorHAnsi"/>
        </w:rPr>
        <w:t xml:space="preserve">subsequent </w:t>
      </w:r>
      <w:r w:rsidR="00E14541" w:rsidRPr="0038724A">
        <w:rPr>
          <w:rFonts w:cstheme="minorHAnsi"/>
        </w:rPr>
        <w:t>treatment</w:t>
      </w:r>
      <w:r w:rsidR="006A26AD" w:rsidRPr="0038724A">
        <w:rPr>
          <w:rFonts w:cstheme="minorHAnsi"/>
        </w:rPr>
        <w:t xml:space="preserve"> (Lindemann 2018</w:t>
      </w:r>
      <w:r w:rsidR="000A00D4" w:rsidRPr="0038724A">
        <w:rPr>
          <w:rFonts w:cstheme="minorHAnsi"/>
        </w:rPr>
        <w:t xml:space="preserve">, </w:t>
      </w:r>
      <w:proofErr w:type="spellStart"/>
      <w:r w:rsidR="000A00D4" w:rsidRPr="0038724A">
        <w:rPr>
          <w:rFonts w:cstheme="minorHAnsi"/>
        </w:rPr>
        <w:t>Fotopoulou</w:t>
      </w:r>
      <w:proofErr w:type="spellEnd"/>
      <w:r w:rsidR="000A00D4" w:rsidRPr="0038724A">
        <w:rPr>
          <w:rFonts w:cstheme="minorHAnsi"/>
        </w:rPr>
        <w:t xml:space="preserve"> 2014</w:t>
      </w:r>
      <w:r w:rsidR="006A26AD" w:rsidRPr="0038724A">
        <w:rPr>
          <w:rFonts w:cstheme="minorHAnsi"/>
        </w:rPr>
        <w:t>)</w:t>
      </w:r>
      <w:r w:rsidR="00566B06" w:rsidRPr="0038724A">
        <w:rPr>
          <w:rFonts w:cstheme="minorHAnsi"/>
        </w:rPr>
        <w:t xml:space="preserve">.  </w:t>
      </w:r>
      <w:r w:rsidR="007C6506" w:rsidRPr="0038724A">
        <w:rPr>
          <w:rFonts w:cstheme="minorHAnsi"/>
        </w:rPr>
        <w:t>There is a high</w:t>
      </w:r>
      <w:r w:rsidR="00566B06" w:rsidRPr="0038724A">
        <w:rPr>
          <w:rFonts w:cstheme="minorHAnsi"/>
        </w:rPr>
        <w:t xml:space="preserve"> </w:t>
      </w:r>
      <w:r w:rsidR="009952A3" w:rsidRPr="0038724A">
        <w:rPr>
          <w:rFonts w:cstheme="minorHAnsi"/>
        </w:rPr>
        <w:t xml:space="preserve">clinical need for maintenance therapies </w:t>
      </w:r>
      <w:r w:rsidR="00E14541" w:rsidRPr="0038724A">
        <w:rPr>
          <w:rFonts w:cstheme="minorHAnsi"/>
        </w:rPr>
        <w:t xml:space="preserve">to </w:t>
      </w:r>
      <w:r w:rsidR="00B75C61" w:rsidRPr="0038724A">
        <w:rPr>
          <w:rFonts w:cstheme="minorHAnsi"/>
        </w:rPr>
        <w:t>consolidate initial response</w:t>
      </w:r>
      <w:r w:rsidR="001300B1" w:rsidRPr="0038724A">
        <w:rPr>
          <w:rFonts w:cstheme="minorHAnsi"/>
        </w:rPr>
        <w:t xml:space="preserve">, </w:t>
      </w:r>
      <w:r w:rsidR="00834FA3" w:rsidRPr="0038724A">
        <w:rPr>
          <w:rFonts w:cstheme="minorHAnsi"/>
        </w:rPr>
        <w:t>delay progression and</w:t>
      </w:r>
      <w:r w:rsidR="00B75C61" w:rsidRPr="0038724A">
        <w:rPr>
          <w:rFonts w:cstheme="minorHAnsi"/>
        </w:rPr>
        <w:t xml:space="preserve"> </w:t>
      </w:r>
      <w:r w:rsidR="00A62FCB" w:rsidRPr="0038724A">
        <w:rPr>
          <w:rFonts w:cstheme="minorHAnsi"/>
        </w:rPr>
        <w:t xml:space="preserve">increase the platinum free interval.  </w:t>
      </w:r>
    </w:p>
    <w:p w14:paraId="3CAB863D" w14:textId="0E9993F1" w:rsidR="00E41C67" w:rsidRDefault="00E41C67" w:rsidP="00D25488">
      <w:pPr>
        <w:ind w:left="284"/>
        <w:jc w:val="both"/>
        <w:rPr>
          <w:szCs w:val="20"/>
        </w:rPr>
      </w:pPr>
      <w:r>
        <w:t xml:space="preserve">Approximately half of all HGEOCs exhibit functional defects in homologous recombination </w:t>
      </w:r>
      <w:r w:rsidR="00E14541">
        <w:t xml:space="preserve">(HR) </w:t>
      </w:r>
      <w:r>
        <w:t xml:space="preserve">repair.   </w:t>
      </w:r>
      <w:r w:rsidRPr="00E953B9">
        <w:t xml:space="preserve">While germline/somatic BRCA1 and BRCA2 mutations are the best characterised causes of </w:t>
      </w:r>
      <w:r w:rsidR="00253467">
        <w:t>homologous recombination deficiency (HRD)</w:t>
      </w:r>
      <w:r w:rsidRPr="00E953B9">
        <w:t xml:space="preserve">, </w:t>
      </w:r>
      <w:r w:rsidR="00EA5878">
        <w:t>this can also arise</w:t>
      </w:r>
      <w:r w:rsidRPr="00E953B9">
        <w:t xml:space="preserve"> </w:t>
      </w:r>
      <w:r w:rsidR="00B43BA5">
        <w:t xml:space="preserve">from </w:t>
      </w:r>
      <w:r w:rsidRPr="00E953B9">
        <w:t>mutations or methylation of a wider set of genes (</w:t>
      </w:r>
      <w:proofErr w:type="gramStart"/>
      <w:r w:rsidRPr="00E953B9">
        <w:t>e.g.</w:t>
      </w:r>
      <w:proofErr w:type="gramEnd"/>
      <w:r w:rsidRPr="00E953B9">
        <w:t xml:space="preserve"> RAD51C, RAD51D or PALB2, promoter hypermethylation of the BRCA1 gene promotor</w:t>
      </w:r>
      <w:r>
        <w:t>; Miller 2020</w:t>
      </w:r>
      <w:r w:rsidRPr="00E953B9">
        <w:t>)</w:t>
      </w:r>
      <w:r>
        <w:t>.</w:t>
      </w:r>
      <w:r w:rsidR="00D21CF3">
        <w:t xml:space="preserve">  </w:t>
      </w:r>
      <w:r w:rsidR="00D25488">
        <w:t>It has been hypothesised that</w:t>
      </w:r>
      <w:r w:rsidR="001831A7">
        <w:t xml:space="preserve"> platinum induced DNA damage and PARP inhibition results in the accumulation of DNA damage and tumour cell death.  </w:t>
      </w:r>
      <w:r w:rsidR="001A75ED">
        <w:t>With the identification of HRD, t</w:t>
      </w:r>
      <w:r w:rsidR="00CD753B">
        <w:t xml:space="preserve">he clinical utility of </w:t>
      </w:r>
      <w:proofErr w:type="spellStart"/>
      <w:r w:rsidR="00CD753B">
        <w:t>PARPi</w:t>
      </w:r>
      <w:proofErr w:type="spellEnd"/>
      <w:r w:rsidR="00CD753B">
        <w:t xml:space="preserve"> has the potential to benefit patients </w:t>
      </w:r>
      <w:r w:rsidR="00EE58F6">
        <w:t xml:space="preserve">in </w:t>
      </w:r>
      <w:r w:rsidR="00AD2F72">
        <w:t>beyond</w:t>
      </w:r>
      <w:r w:rsidR="00EE58F6">
        <w:t xml:space="preserve"> </w:t>
      </w:r>
      <w:r w:rsidR="006D23C6">
        <w:t>those with a BRCA mutation</w:t>
      </w:r>
      <w:r w:rsidR="00EE085D">
        <w:t xml:space="preserve">.  </w:t>
      </w:r>
    </w:p>
    <w:p w14:paraId="45991BF8"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671F33BD" w14:textId="59A507B0" w:rsidR="00876FA1" w:rsidRDefault="00435487" w:rsidP="00C33C73">
      <w:pPr>
        <w:ind w:left="284"/>
        <w:jc w:val="both"/>
      </w:pPr>
      <w:r>
        <w:t xml:space="preserve">This application requests a medical service for the testing of tumour tissue to determine HRD status in women with </w:t>
      </w:r>
      <w:r w:rsidR="00BD3F87">
        <w:t>NDA HGEOC</w:t>
      </w:r>
      <w:r>
        <w:t xml:space="preserve"> to inform access to PBS niraparib.  </w:t>
      </w:r>
      <w:r w:rsidR="001D5CEB">
        <w:t xml:space="preserve">The HRD test involves the next generation sequencing (NGS) of DNA from a biopsy or archived FFPE block of tumour tissue.  </w:t>
      </w:r>
      <w:r w:rsidR="00876FA1">
        <w:t xml:space="preserve">Assays to detect HRD status identify the genomic aberrations following repair of double strand breaks via the error prone non-homologous end joining pathway in HRD tumour cells.  </w:t>
      </w:r>
      <w:r w:rsidR="00CF1ED3">
        <w:t xml:space="preserve">As per the </w:t>
      </w:r>
      <w:r w:rsidR="00CA5BDA">
        <w:t>evidentiary</w:t>
      </w:r>
      <w:r w:rsidR="00CF1ED3">
        <w:t xml:space="preserve"> standard</w:t>
      </w:r>
      <w:r w:rsidR="002A7927">
        <w:t xml:space="preserve"> used in the pivotal trial (PRIMA)</w:t>
      </w:r>
      <w:r w:rsidR="00CF1ED3">
        <w:t>, t</w:t>
      </w:r>
      <w:r w:rsidR="00876FA1">
        <w:t xml:space="preserve">he quantitative assessment of genomic scarring </w:t>
      </w:r>
      <w:r w:rsidR="002A7927">
        <w:t>was</w:t>
      </w:r>
      <w:r w:rsidR="00876FA1">
        <w:t xml:space="preserve"> measured via a genomic instability status (GIS) score that evaluates the three DNA damage biomarkers across the entire genome:</w:t>
      </w:r>
      <w:r w:rsidR="00C33C73">
        <w:t xml:space="preserve"> </w:t>
      </w:r>
      <w:r w:rsidR="00876FA1">
        <w:t>Loss of Heterozygosity (LOH)</w:t>
      </w:r>
      <w:r w:rsidR="00C33C73">
        <w:t xml:space="preserve">. </w:t>
      </w:r>
      <w:r w:rsidR="00876FA1">
        <w:t>Telomeric Allelic Imbalance (TAI)</w:t>
      </w:r>
      <w:r w:rsidR="00C33C73">
        <w:t xml:space="preserve"> and </w:t>
      </w:r>
      <w:r w:rsidR="00CA5BDA">
        <w:t>Large-Scale</w:t>
      </w:r>
      <w:r w:rsidR="00876FA1">
        <w:t xml:space="preserve"> State Transitions (LST)</w:t>
      </w:r>
      <w:r w:rsidR="00CF1ED3">
        <w:t xml:space="preserve">.  </w:t>
      </w:r>
    </w:p>
    <w:p w14:paraId="3B07371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1ED9B27F" w14:textId="63287AE0" w:rsidR="00753C44" w:rsidRDefault="00CD3DB9"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FB0A15">
        <w:rPr>
          <w:szCs w:val="20"/>
        </w:rPr>
      </w:r>
      <w:r w:rsidR="00FB0A15">
        <w:rPr>
          <w:szCs w:val="20"/>
        </w:rPr>
        <w:fldChar w:fldCharType="separate"/>
      </w:r>
      <w:r>
        <w:rPr>
          <w:szCs w:val="20"/>
        </w:rPr>
        <w:fldChar w:fldCharType="end"/>
      </w:r>
      <w:bookmarkEnd w:id="2"/>
      <w:r w:rsidR="006B6390">
        <w:rPr>
          <w:szCs w:val="20"/>
        </w:rPr>
        <w:t xml:space="preserve"> Yes</w:t>
      </w:r>
    </w:p>
    <w:p w14:paraId="20A161A5"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A2BB08F" w14:textId="77777777" w:rsidR="000B3CD0" w:rsidRPr="0011036E" w:rsidRDefault="000B3CD0" w:rsidP="00930E9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92151F1"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7E5144EB" w14:textId="09BAD75E" w:rsidR="00753C44" w:rsidRPr="00753C44" w:rsidRDefault="00CD3DB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0ECDD852" w14:textId="77777777" w:rsidR="000B3CD0" w:rsidRPr="0011036E" w:rsidRDefault="000B3CD0" w:rsidP="00930E9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9F07977" w14:textId="765999A6" w:rsidR="003D795C" w:rsidRPr="00CB12EC" w:rsidRDefault="00CD3DB9" w:rsidP="00A6491A">
      <w:pPr>
        <w:ind w:left="284"/>
      </w:pPr>
      <w:r>
        <w:t>Not applicable</w:t>
      </w:r>
    </w:p>
    <w:p w14:paraId="69707C21" w14:textId="77777777" w:rsidR="006C0843" w:rsidRDefault="006C0843" w:rsidP="00930E9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1F50AAC" w14:textId="75105719" w:rsidR="00E86589" w:rsidRPr="00E86589" w:rsidRDefault="00E86589" w:rsidP="00E86589">
      <w:pPr>
        <w:ind w:left="284"/>
      </w:pPr>
      <w:r>
        <w:t>Not applicable</w:t>
      </w:r>
    </w:p>
    <w:p w14:paraId="1B56FD25" w14:textId="77777777" w:rsidR="002A270B" w:rsidRPr="004A263B" w:rsidRDefault="002A270B" w:rsidP="00930E9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733A3148" w14:textId="77777777" w:rsidR="002A270B" w:rsidRPr="004A263B" w:rsidRDefault="002A270B" w:rsidP="00930E9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1A8183E1" w14:textId="77777777" w:rsidR="002A270B" w:rsidRPr="004A263B" w:rsidRDefault="002A270B" w:rsidP="00930E95">
      <w:pPr>
        <w:pStyle w:val="ListParagraph"/>
        <w:numPr>
          <w:ilvl w:val="0"/>
          <w:numId w:val="13"/>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5AD17CA" w14:textId="77777777" w:rsidR="002A270B" w:rsidRPr="004A263B" w:rsidRDefault="002A270B" w:rsidP="00930E9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C76A469" w14:textId="77777777" w:rsidR="002A270B" w:rsidRPr="004A263B" w:rsidRDefault="002A270B" w:rsidP="00930E9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E8E05B8" w14:textId="77777777" w:rsidR="002A270B" w:rsidRPr="004A263B" w:rsidRDefault="002A270B" w:rsidP="00930E9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697E38CF" w14:textId="77777777" w:rsidR="002A270B" w:rsidRPr="004A263B" w:rsidRDefault="002A270B" w:rsidP="00930E9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2A565CA7" w14:textId="77777777" w:rsidR="002A270B" w:rsidRPr="004A263B" w:rsidRDefault="002A270B" w:rsidP="00930E9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E2D4B62" w14:textId="77777777" w:rsidR="002A270B" w:rsidRDefault="004A263B" w:rsidP="00930E95">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FB0A15">
        <w:rPr>
          <w:b/>
          <w:szCs w:val="20"/>
        </w:rPr>
      </w:r>
      <w:r w:rsidR="00FB0A15">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1BF6495" w14:textId="77777777" w:rsidR="00534C5F" w:rsidRPr="007E39E4" w:rsidRDefault="000770BA" w:rsidP="00930E9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6829719" w14:textId="77777777" w:rsidR="006B6390" w:rsidRPr="00AA2CFE" w:rsidRDefault="006B6390" w:rsidP="00930E9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B0A15">
        <w:rPr>
          <w:b/>
          <w:szCs w:val="20"/>
        </w:rPr>
      </w:r>
      <w:r w:rsidR="00FB0A15">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4AEB744C" w14:textId="149B9948" w:rsidR="006B6390" w:rsidRPr="00AA2CFE" w:rsidRDefault="00E86589" w:rsidP="00930E95">
      <w:pPr>
        <w:pStyle w:val="ListParagraph"/>
        <w:numPr>
          <w:ilvl w:val="0"/>
          <w:numId w:val="1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FB0A15">
        <w:rPr>
          <w:b/>
          <w:szCs w:val="20"/>
        </w:rPr>
      </w:r>
      <w:r w:rsidR="00FB0A15">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45D955C2" w14:textId="77777777" w:rsidR="006B6390" w:rsidRPr="00AA2CFE" w:rsidRDefault="006B6390" w:rsidP="00930E9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B0A15">
        <w:rPr>
          <w:b/>
          <w:szCs w:val="20"/>
        </w:rPr>
      </w:r>
      <w:r w:rsidR="00FB0A1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DBBDEA0" w14:textId="77777777" w:rsidR="006B6390" w:rsidRPr="00AA2CFE" w:rsidRDefault="006B6390" w:rsidP="00930E9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FB0A15">
        <w:rPr>
          <w:b/>
          <w:szCs w:val="20"/>
        </w:rPr>
      </w:r>
      <w:r w:rsidR="00FB0A1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6B587039" w14:textId="77777777" w:rsidR="003027BB" w:rsidRPr="007E39E4" w:rsidRDefault="00F30C22" w:rsidP="00930E9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AD61B37"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sidRPr="000A5B32">
        <w:rPr>
          <w:szCs w:val="20"/>
        </w:rPr>
        <w:t xml:space="preserve"> Yes</w:t>
      </w:r>
    </w:p>
    <w:p w14:paraId="6154E461" w14:textId="252177BD" w:rsidR="00626365" w:rsidRPr="00626365" w:rsidRDefault="00273379" w:rsidP="00D04652">
      <w:pPr>
        <w:spacing w:before="0" w:after="0"/>
        <w:ind w:left="284"/>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0A5B32" w:rsidRPr="000A5B32">
        <w:rPr>
          <w:szCs w:val="20"/>
        </w:rPr>
        <w:t xml:space="preserve"> No</w:t>
      </w:r>
    </w:p>
    <w:p w14:paraId="10CA48EA" w14:textId="77777777" w:rsidR="003027BB" w:rsidRPr="007E39E4" w:rsidRDefault="003027BB" w:rsidP="00930E9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3B5BED29" w14:textId="6F5CDF07" w:rsidR="000A5B32" w:rsidRPr="00855944" w:rsidRDefault="00273379" w:rsidP="00A6491A">
      <w:pPr>
        <w:ind w:left="284"/>
        <w:rPr>
          <w:rStyle w:val="Strong"/>
        </w:rPr>
      </w:pPr>
      <w:r>
        <w:t>Not applicable</w:t>
      </w:r>
    </w:p>
    <w:p w14:paraId="50A6018E"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0B967F41" w14:textId="03A5EA40" w:rsidR="00A6594E" w:rsidRDefault="00273379"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FB0A15">
        <w:rPr>
          <w:b/>
          <w:szCs w:val="20"/>
        </w:rPr>
      </w:r>
      <w:r w:rsidR="00FB0A15">
        <w:rPr>
          <w:b/>
          <w:szCs w:val="20"/>
        </w:rPr>
        <w:fldChar w:fldCharType="separate"/>
      </w:r>
      <w:r>
        <w:rPr>
          <w:b/>
          <w:szCs w:val="20"/>
        </w:rPr>
        <w:fldChar w:fldCharType="end"/>
      </w:r>
      <w:r w:rsidR="00A6594E" w:rsidRPr="0027105F">
        <w:rPr>
          <w:b/>
          <w:szCs w:val="20"/>
        </w:rPr>
        <w:t xml:space="preserve"> </w:t>
      </w:r>
      <w:r w:rsidR="00A6594E">
        <w:t>Therapeutic medical service</w:t>
      </w:r>
    </w:p>
    <w:p w14:paraId="279C8BD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B0A15">
        <w:rPr>
          <w:b/>
          <w:szCs w:val="20"/>
        </w:rPr>
      </w:r>
      <w:r w:rsidR="00FB0A15">
        <w:rPr>
          <w:b/>
          <w:szCs w:val="20"/>
        </w:rPr>
        <w:fldChar w:fldCharType="separate"/>
      </w:r>
      <w:r w:rsidRPr="0027105F">
        <w:rPr>
          <w:b/>
          <w:szCs w:val="20"/>
        </w:rPr>
        <w:fldChar w:fldCharType="end"/>
      </w:r>
      <w:r w:rsidRPr="0027105F">
        <w:rPr>
          <w:b/>
          <w:szCs w:val="20"/>
        </w:rPr>
        <w:t xml:space="preserve"> </w:t>
      </w:r>
      <w:r>
        <w:t>Investigative medical service</w:t>
      </w:r>
    </w:p>
    <w:p w14:paraId="3BADD64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B0A15">
        <w:rPr>
          <w:b/>
          <w:szCs w:val="20"/>
        </w:rPr>
      </w:r>
      <w:r w:rsidR="00FB0A15">
        <w:rPr>
          <w:b/>
          <w:szCs w:val="20"/>
        </w:rPr>
        <w:fldChar w:fldCharType="separate"/>
      </w:r>
      <w:r w:rsidRPr="0027105F">
        <w:rPr>
          <w:b/>
          <w:szCs w:val="20"/>
        </w:rPr>
        <w:fldChar w:fldCharType="end"/>
      </w:r>
      <w:r w:rsidRPr="0027105F">
        <w:rPr>
          <w:b/>
          <w:szCs w:val="20"/>
        </w:rPr>
        <w:t xml:space="preserve"> </w:t>
      </w:r>
      <w:r>
        <w:t>Single consultation medical service</w:t>
      </w:r>
    </w:p>
    <w:p w14:paraId="17014DF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B0A15">
        <w:rPr>
          <w:b/>
          <w:szCs w:val="20"/>
        </w:rPr>
      </w:r>
      <w:r w:rsidR="00FB0A15">
        <w:rPr>
          <w:b/>
          <w:szCs w:val="20"/>
        </w:rPr>
        <w:fldChar w:fldCharType="separate"/>
      </w:r>
      <w:r w:rsidRPr="0027105F">
        <w:rPr>
          <w:b/>
          <w:szCs w:val="20"/>
        </w:rPr>
        <w:fldChar w:fldCharType="end"/>
      </w:r>
      <w:r w:rsidRPr="0027105F">
        <w:rPr>
          <w:b/>
          <w:szCs w:val="20"/>
        </w:rPr>
        <w:t xml:space="preserve"> </w:t>
      </w:r>
      <w:r>
        <w:t>Global consultation medical service</w:t>
      </w:r>
    </w:p>
    <w:p w14:paraId="2818A1B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B0A15">
        <w:rPr>
          <w:b/>
          <w:szCs w:val="20"/>
        </w:rPr>
      </w:r>
      <w:r w:rsidR="00FB0A15">
        <w:rPr>
          <w:b/>
          <w:szCs w:val="20"/>
        </w:rPr>
        <w:fldChar w:fldCharType="separate"/>
      </w:r>
      <w:r w:rsidRPr="0027105F">
        <w:rPr>
          <w:b/>
          <w:szCs w:val="20"/>
        </w:rPr>
        <w:fldChar w:fldCharType="end"/>
      </w:r>
      <w:r w:rsidRPr="0027105F">
        <w:rPr>
          <w:b/>
          <w:szCs w:val="20"/>
        </w:rPr>
        <w:t xml:space="preserve"> </w:t>
      </w:r>
      <w:r>
        <w:t>Allied health service</w:t>
      </w:r>
    </w:p>
    <w:p w14:paraId="5401EBE2" w14:textId="2FA28E2D" w:rsidR="00A6594E" w:rsidRDefault="00273379"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FB0A15">
        <w:rPr>
          <w:b/>
          <w:szCs w:val="20"/>
        </w:rPr>
      </w:r>
      <w:r w:rsidR="00FB0A15">
        <w:rPr>
          <w:b/>
          <w:szCs w:val="20"/>
        </w:rPr>
        <w:fldChar w:fldCharType="separate"/>
      </w:r>
      <w:r>
        <w:rPr>
          <w:b/>
          <w:szCs w:val="20"/>
        </w:rPr>
        <w:fldChar w:fldCharType="end"/>
      </w:r>
      <w:r w:rsidR="00A6594E" w:rsidRPr="0027105F">
        <w:rPr>
          <w:b/>
          <w:szCs w:val="20"/>
        </w:rPr>
        <w:t xml:space="preserve"> </w:t>
      </w:r>
      <w:r w:rsidR="00A6594E">
        <w:t>Co-dependent technology</w:t>
      </w:r>
    </w:p>
    <w:p w14:paraId="68C33296"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B0A15">
        <w:rPr>
          <w:b/>
          <w:szCs w:val="20"/>
        </w:rPr>
      </w:r>
      <w:r w:rsidR="00FB0A15">
        <w:rPr>
          <w:b/>
          <w:szCs w:val="20"/>
        </w:rPr>
        <w:fldChar w:fldCharType="separate"/>
      </w:r>
      <w:r w:rsidRPr="0027105F">
        <w:rPr>
          <w:b/>
          <w:szCs w:val="20"/>
        </w:rPr>
        <w:fldChar w:fldCharType="end"/>
      </w:r>
      <w:r w:rsidRPr="0027105F">
        <w:rPr>
          <w:b/>
          <w:szCs w:val="20"/>
        </w:rPr>
        <w:t xml:space="preserve"> </w:t>
      </w:r>
      <w:r>
        <w:t>Hybrid health technology</w:t>
      </w:r>
    </w:p>
    <w:p w14:paraId="23789D81"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53F1EC0" w14:textId="77777777" w:rsidR="00A6594E" w:rsidRDefault="00A6594E" w:rsidP="00930E95">
      <w:pPr>
        <w:pStyle w:val="ListParagraph"/>
        <w:numPr>
          <w:ilvl w:val="0"/>
          <w:numId w:val="15"/>
        </w:numPr>
        <w:spacing w:before="0" w:after="0"/>
        <w:ind w:left="851" w:hanging="425"/>
      </w:pPr>
      <w:r w:rsidRPr="6FDC5F17">
        <w:rPr>
          <w:b/>
        </w:rPr>
        <w:fldChar w:fldCharType="begin">
          <w:ffData>
            <w:name w:val="Check2"/>
            <w:enabled/>
            <w:calcOnExit w:val="0"/>
            <w:checkBox>
              <w:sizeAuto/>
              <w:default w:val="0"/>
            </w:checkBox>
          </w:ffData>
        </w:fldChar>
      </w:r>
      <w:r w:rsidRPr="6FDC5F17">
        <w:rPr>
          <w:b/>
        </w:rPr>
        <w:instrText xml:space="preserve"> FORMCHECKBOX </w:instrText>
      </w:r>
      <w:r w:rsidR="00FB0A15">
        <w:rPr>
          <w:b/>
        </w:rPr>
      </w:r>
      <w:r w:rsidR="00FB0A15">
        <w:rPr>
          <w:b/>
        </w:rPr>
        <w:fldChar w:fldCharType="separate"/>
      </w:r>
      <w:r w:rsidRPr="6FDC5F17">
        <w:rPr>
          <w:b/>
        </w:rPr>
        <w:fldChar w:fldCharType="end"/>
      </w:r>
      <w:r w:rsidRPr="6FDC5F17">
        <w:rPr>
          <w:b/>
        </w:rPr>
        <w:t xml:space="preserve"> </w:t>
      </w:r>
      <w:r>
        <w:t xml:space="preserve">To be used as a screening tool in asymptomatic populations </w:t>
      </w:r>
    </w:p>
    <w:p w14:paraId="418B9121" w14:textId="7019852F" w:rsidR="00A6594E" w:rsidRDefault="00A6594E" w:rsidP="00930E95">
      <w:pPr>
        <w:pStyle w:val="ListParagraph"/>
        <w:numPr>
          <w:ilvl w:val="0"/>
          <w:numId w:val="15"/>
        </w:numPr>
        <w:spacing w:before="0" w:after="0"/>
        <w:ind w:left="851" w:hanging="425"/>
      </w:pPr>
      <w:r w:rsidRPr="6FDC5F17">
        <w:rPr>
          <w:b/>
        </w:rPr>
        <w:fldChar w:fldCharType="begin">
          <w:ffData>
            <w:name w:val="Check2"/>
            <w:enabled/>
            <w:calcOnExit w:val="0"/>
            <w:checkBox>
              <w:sizeAuto/>
              <w:default w:val="0"/>
            </w:checkBox>
          </w:ffData>
        </w:fldChar>
      </w:r>
      <w:r w:rsidRPr="6FDC5F17">
        <w:rPr>
          <w:b/>
        </w:rPr>
        <w:instrText xml:space="preserve"> FORMCHECKBOX </w:instrText>
      </w:r>
      <w:r w:rsidR="00FB0A15">
        <w:rPr>
          <w:b/>
        </w:rPr>
      </w:r>
      <w:r w:rsidR="00FB0A15">
        <w:rPr>
          <w:b/>
        </w:rPr>
        <w:fldChar w:fldCharType="separate"/>
      </w:r>
      <w:r w:rsidRPr="6FDC5F17">
        <w:rPr>
          <w:b/>
        </w:rPr>
        <w:fldChar w:fldCharType="end"/>
      </w:r>
      <w:r w:rsidRPr="6FDC5F17">
        <w:rPr>
          <w:b/>
        </w:rPr>
        <w:t xml:space="preserve"> </w:t>
      </w:r>
      <w:r>
        <w:t>Assists in establishing a diagnosis in symptomatic patients</w:t>
      </w:r>
    </w:p>
    <w:p w14:paraId="224B6F9D" w14:textId="7019852F" w:rsidR="00A6594E" w:rsidRDefault="00A6594E" w:rsidP="00930E95">
      <w:pPr>
        <w:pStyle w:val="ListParagraph"/>
        <w:numPr>
          <w:ilvl w:val="0"/>
          <w:numId w:val="15"/>
        </w:numPr>
        <w:spacing w:before="0" w:after="0"/>
        <w:ind w:left="851" w:hanging="425"/>
      </w:pPr>
      <w:r w:rsidRPr="6FDC5F17">
        <w:rPr>
          <w:b/>
        </w:rPr>
        <w:fldChar w:fldCharType="begin">
          <w:ffData>
            <w:name w:val="Check2"/>
            <w:enabled/>
            <w:calcOnExit w:val="0"/>
            <w:checkBox>
              <w:sizeAuto/>
              <w:default w:val="0"/>
            </w:checkBox>
          </w:ffData>
        </w:fldChar>
      </w:r>
      <w:r w:rsidRPr="6FDC5F17">
        <w:rPr>
          <w:b/>
        </w:rPr>
        <w:instrText xml:space="preserve"> FORMCHECKBOX </w:instrText>
      </w:r>
      <w:r w:rsidR="00FB0A15">
        <w:rPr>
          <w:b/>
        </w:rPr>
      </w:r>
      <w:r w:rsidR="00FB0A15">
        <w:rPr>
          <w:b/>
        </w:rPr>
        <w:fldChar w:fldCharType="separate"/>
      </w:r>
      <w:r w:rsidRPr="6FDC5F17">
        <w:rPr>
          <w:b/>
        </w:rPr>
        <w:fldChar w:fldCharType="end"/>
      </w:r>
      <w:r w:rsidRPr="6FDC5F17">
        <w:rPr>
          <w:b/>
        </w:rPr>
        <w:t xml:space="preserve"> </w:t>
      </w:r>
      <w:r>
        <w:t>Provides information about prognosis</w:t>
      </w:r>
    </w:p>
    <w:p w14:paraId="43059E98" w14:textId="1E06D7E8" w:rsidR="00A6594E" w:rsidRDefault="00A6594E" w:rsidP="00930E95">
      <w:pPr>
        <w:pStyle w:val="ListParagraph"/>
        <w:numPr>
          <w:ilvl w:val="0"/>
          <w:numId w:val="15"/>
        </w:numPr>
        <w:spacing w:before="0" w:after="0"/>
        <w:ind w:left="851" w:hanging="425"/>
      </w:pPr>
      <w:r w:rsidRPr="6FDC5F17">
        <w:rPr>
          <w:b/>
        </w:rPr>
        <w:fldChar w:fldCharType="begin">
          <w:ffData>
            <w:name w:val="Check2"/>
            <w:enabled/>
            <w:calcOnExit w:val="0"/>
            <w:checkBox>
              <w:sizeAuto/>
              <w:default w:val="0"/>
            </w:checkBox>
          </w:ffData>
        </w:fldChar>
      </w:r>
      <w:r w:rsidRPr="6FDC5F17">
        <w:rPr>
          <w:b/>
        </w:rPr>
        <w:instrText xml:space="preserve"> FORMCHECKBOX </w:instrText>
      </w:r>
      <w:r w:rsidR="00FB0A15">
        <w:rPr>
          <w:b/>
        </w:rPr>
      </w:r>
      <w:r w:rsidR="00FB0A15">
        <w:rPr>
          <w:b/>
        </w:rPr>
        <w:fldChar w:fldCharType="separate"/>
      </w:r>
      <w:r w:rsidRPr="6FDC5F17">
        <w:rPr>
          <w:b/>
        </w:rPr>
        <w:fldChar w:fldCharType="end"/>
      </w:r>
      <w:r w:rsidRPr="6FDC5F17">
        <w:rPr>
          <w:b/>
        </w:rPr>
        <w:t xml:space="preserve"> </w:t>
      </w:r>
      <w:r>
        <w:t>Identifies a patient as suitable for therapy by predicting a variation in the effect of the therapy</w:t>
      </w:r>
    </w:p>
    <w:p w14:paraId="49A20EC6" w14:textId="1E06D7E8" w:rsidR="00A6594E" w:rsidRPr="00A6594E" w:rsidRDefault="00A6594E" w:rsidP="00930E95">
      <w:pPr>
        <w:pStyle w:val="ListParagraph"/>
        <w:numPr>
          <w:ilvl w:val="0"/>
          <w:numId w:val="15"/>
        </w:numPr>
        <w:spacing w:before="0" w:after="0"/>
        <w:ind w:left="851" w:hanging="425"/>
      </w:pPr>
      <w:r w:rsidRPr="6FDC5F17">
        <w:rPr>
          <w:b/>
        </w:rPr>
        <w:fldChar w:fldCharType="begin">
          <w:ffData>
            <w:name w:val="Check2"/>
            <w:enabled/>
            <w:calcOnExit w:val="0"/>
            <w:checkBox>
              <w:sizeAuto/>
              <w:default w:val="0"/>
            </w:checkBox>
          </w:ffData>
        </w:fldChar>
      </w:r>
      <w:r w:rsidRPr="6FDC5F17">
        <w:rPr>
          <w:b/>
        </w:rPr>
        <w:instrText xml:space="preserve"> FORMCHECKBOX </w:instrText>
      </w:r>
      <w:r w:rsidR="00FB0A15">
        <w:rPr>
          <w:b/>
        </w:rPr>
      </w:r>
      <w:r w:rsidR="00FB0A15">
        <w:rPr>
          <w:b/>
        </w:rPr>
        <w:fldChar w:fldCharType="separate"/>
      </w:r>
      <w:r w:rsidRPr="6FDC5F17">
        <w:rPr>
          <w:b/>
        </w:rPr>
        <w:fldChar w:fldCharType="end"/>
      </w:r>
      <w:r w:rsidRPr="6FDC5F17">
        <w:rPr>
          <w:b/>
        </w:rPr>
        <w:t xml:space="preserve"> </w:t>
      </w:r>
      <w:r>
        <w:t>Monitors a patient over time to assess treatment response and guide subsequent treatment decisions</w:t>
      </w:r>
    </w:p>
    <w:p w14:paraId="691DAECC"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2C7C564" w14:textId="0E0541D7" w:rsidR="00FE16C1" w:rsidRDefault="00273379"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FB0A15">
        <w:rPr>
          <w:b/>
          <w:szCs w:val="20"/>
        </w:rPr>
      </w:r>
      <w:r w:rsidR="00FB0A15">
        <w:rPr>
          <w:b/>
          <w:szCs w:val="20"/>
        </w:rPr>
        <w:fldChar w:fldCharType="separate"/>
      </w:r>
      <w:r>
        <w:rPr>
          <w:b/>
          <w:szCs w:val="20"/>
        </w:rPr>
        <w:fldChar w:fldCharType="end"/>
      </w:r>
      <w:r w:rsidR="00FE16C1" w:rsidRPr="0027105F">
        <w:rPr>
          <w:b/>
          <w:szCs w:val="20"/>
        </w:rPr>
        <w:t xml:space="preserve"> </w:t>
      </w:r>
      <w:r w:rsidR="00FE16C1">
        <w:t>Pharmaceutical / Biological</w:t>
      </w:r>
    </w:p>
    <w:p w14:paraId="34EC5BC7"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B0A15">
        <w:rPr>
          <w:b/>
          <w:szCs w:val="20"/>
        </w:rPr>
      </w:r>
      <w:r w:rsidR="00FB0A15">
        <w:rPr>
          <w:b/>
          <w:szCs w:val="20"/>
        </w:rPr>
        <w:fldChar w:fldCharType="separate"/>
      </w:r>
      <w:r w:rsidRPr="0027105F">
        <w:rPr>
          <w:b/>
          <w:szCs w:val="20"/>
        </w:rPr>
        <w:fldChar w:fldCharType="end"/>
      </w:r>
      <w:r w:rsidRPr="0027105F">
        <w:rPr>
          <w:b/>
          <w:szCs w:val="20"/>
        </w:rPr>
        <w:t xml:space="preserve"> </w:t>
      </w:r>
      <w:r>
        <w:t>Prosthesis or device</w:t>
      </w:r>
    </w:p>
    <w:p w14:paraId="6A89C1F3"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FB0A15">
        <w:rPr>
          <w:b/>
          <w:szCs w:val="20"/>
        </w:rPr>
      </w:r>
      <w:r w:rsidR="00FB0A15">
        <w:rPr>
          <w:b/>
          <w:szCs w:val="20"/>
        </w:rPr>
        <w:fldChar w:fldCharType="separate"/>
      </w:r>
      <w:r w:rsidRPr="0027105F">
        <w:rPr>
          <w:b/>
          <w:szCs w:val="20"/>
        </w:rPr>
        <w:fldChar w:fldCharType="end"/>
      </w:r>
      <w:r w:rsidRPr="0027105F">
        <w:rPr>
          <w:b/>
          <w:szCs w:val="20"/>
        </w:rPr>
        <w:t xml:space="preserve"> </w:t>
      </w:r>
      <w:r>
        <w:t>No</w:t>
      </w:r>
    </w:p>
    <w:p w14:paraId="41E26D41"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2686389F"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sidRPr="000A5B32">
        <w:rPr>
          <w:szCs w:val="20"/>
        </w:rPr>
        <w:t xml:space="preserve"> Yes</w:t>
      </w:r>
    </w:p>
    <w:p w14:paraId="0636F5B8" w14:textId="06B1D1BA" w:rsidR="00FE16C1" w:rsidRDefault="00C3444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FE16C1">
        <w:rPr>
          <w:szCs w:val="20"/>
        </w:rPr>
        <w:t xml:space="preserve"> No  </w:t>
      </w:r>
    </w:p>
    <w:p w14:paraId="27E00AFD" w14:textId="77777777" w:rsidR="00C34442" w:rsidRDefault="00C34442" w:rsidP="00A6491A">
      <w:pPr>
        <w:spacing w:before="0" w:after="0"/>
        <w:ind w:left="284"/>
        <w:rPr>
          <w:szCs w:val="20"/>
        </w:rPr>
      </w:pPr>
    </w:p>
    <w:p w14:paraId="3171ACF3" w14:textId="38239F61" w:rsidR="00C34442" w:rsidRPr="00FE16C1" w:rsidRDefault="00C34442" w:rsidP="00A6491A">
      <w:pPr>
        <w:spacing w:before="0" w:after="0"/>
        <w:ind w:left="284"/>
        <w:rPr>
          <w:szCs w:val="20"/>
        </w:rPr>
      </w:pPr>
      <w:r>
        <w:rPr>
          <w:szCs w:val="20"/>
        </w:rPr>
        <w:t xml:space="preserve">The PBAC have recommended </w:t>
      </w:r>
      <w:r w:rsidR="00E208D0">
        <w:rPr>
          <w:szCs w:val="20"/>
        </w:rPr>
        <w:t>niraparib at the March 2022 meeting for the maintenance treatment of HGSOC with a BRCA1 or BRCA2 pathogenic gene variant (somatic and germline)</w:t>
      </w:r>
    </w:p>
    <w:p w14:paraId="057D520A" w14:textId="77777777" w:rsidR="00EC127A" w:rsidRPr="001E6958" w:rsidRDefault="000E5439" w:rsidP="00930E95">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3C0F3F8" w14:textId="284DA722" w:rsidR="007E39E4" w:rsidRPr="007E39E4" w:rsidRDefault="00C34442" w:rsidP="00A6491A">
      <w:pPr>
        <w:ind w:left="284"/>
        <w:rPr>
          <w:b/>
          <w:szCs w:val="20"/>
        </w:rPr>
      </w:pPr>
      <w:r>
        <w:t>Not applicable</w:t>
      </w:r>
    </w:p>
    <w:p w14:paraId="0C5C3CA0" w14:textId="77777777" w:rsidR="00411735" w:rsidRPr="001E6958" w:rsidRDefault="00411735" w:rsidP="00930E95">
      <w:pPr>
        <w:pStyle w:val="Heading2"/>
        <w:numPr>
          <w:ilvl w:val="0"/>
          <w:numId w:val="4"/>
        </w:numPr>
      </w:pPr>
      <w:r w:rsidRPr="001E6958">
        <w:lastRenderedPageBreak/>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98E7D32" w14:textId="77777777" w:rsidR="007E39E4" w:rsidRDefault="007E39E4" w:rsidP="00A4296C">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A65D468" w14:textId="2E3DAAFE" w:rsidR="001E6919" w:rsidRDefault="00D0478F" w:rsidP="00A4296C">
      <w:pPr>
        <w:spacing w:before="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1E6919">
        <w:rPr>
          <w:szCs w:val="20"/>
        </w:rPr>
        <w:t xml:space="preserve"> No</w:t>
      </w:r>
    </w:p>
    <w:p w14:paraId="2532F56B" w14:textId="77777777" w:rsidR="000E5439" w:rsidRDefault="000E5439" w:rsidP="00930E95">
      <w:pPr>
        <w:pStyle w:val="Heading2"/>
        <w:numPr>
          <w:ilvl w:val="0"/>
          <w:numId w:val="4"/>
        </w:numPr>
      </w:pPr>
      <w:r w:rsidRPr="007E39E4">
        <w:t>If you are seeking both MBS and PBS listing</w:t>
      </w:r>
      <w:r w:rsidR="00B75965" w:rsidRPr="007E39E4">
        <w:t>, what is the trade name and generic name of the pharmaceutical?</w:t>
      </w:r>
    </w:p>
    <w:p w14:paraId="2EFDCD02" w14:textId="3821B89C" w:rsidR="001E6958" w:rsidRDefault="001E6958" w:rsidP="00A6491A">
      <w:pPr>
        <w:spacing w:before="0" w:after="0"/>
        <w:ind w:left="284"/>
      </w:pPr>
      <w:r>
        <w:t>Trade name:</w:t>
      </w:r>
      <w:r w:rsidR="0007290C">
        <w:t xml:space="preserve"> </w:t>
      </w:r>
      <w:proofErr w:type="spellStart"/>
      <w:r w:rsidR="00513D45">
        <w:t>Zejula</w:t>
      </w:r>
      <w:proofErr w:type="spellEnd"/>
      <w:r w:rsidR="00513D45">
        <w:t>®</w:t>
      </w:r>
    </w:p>
    <w:p w14:paraId="59AE95F9" w14:textId="3EE646A2" w:rsidR="001E6958" w:rsidRPr="001E6958" w:rsidRDefault="001E6958" w:rsidP="00A6491A">
      <w:pPr>
        <w:spacing w:before="0" w:after="0"/>
        <w:ind w:left="284"/>
      </w:pPr>
      <w:r>
        <w:t xml:space="preserve">Generic name: </w:t>
      </w:r>
      <w:r w:rsidR="00513D45">
        <w:t>Niraparib</w:t>
      </w:r>
    </w:p>
    <w:p w14:paraId="19BC5FE7"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6AB7F0B7" w14:textId="77777777" w:rsidR="001E6958" w:rsidRDefault="001E6958" w:rsidP="00A4296C">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sidRPr="000A5B32">
        <w:rPr>
          <w:szCs w:val="20"/>
        </w:rPr>
        <w:t xml:space="preserve"> Yes</w:t>
      </w:r>
    </w:p>
    <w:p w14:paraId="33A0B638" w14:textId="15B84305" w:rsidR="001E6919" w:rsidRPr="001E6958" w:rsidRDefault="00C45167" w:rsidP="00A4296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1E6958">
        <w:rPr>
          <w:szCs w:val="20"/>
        </w:rPr>
        <w:t xml:space="preserve"> No  </w:t>
      </w:r>
    </w:p>
    <w:p w14:paraId="377B59A3" w14:textId="77777777" w:rsidR="00B75965" w:rsidRDefault="00B75965" w:rsidP="00930E95">
      <w:pPr>
        <w:pStyle w:val="Heading2"/>
        <w:numPr>
          <w:ilvl w:val="0"/>
          <w:numId w:val="5"/>
        </w:numPr>
      </w:pPr>
      <w:r w:rsidRPr="001E6958">
        <w:t xml:space="preserve">If yes, </w:t>
      </w:r>
      <w:r w:rsidR="00C73B62" w:rsidRPr="001E6958">
        <w:t xml:space="preserve">please provide the following information (where relevant): </w:t>
      </w:r>
    </w:p>
    <w:p w14:paraId="4B9FEDB2" w14:textId="58EFE3C4" w:rsidR="009939DC" w:rsidRDefault="006061EB" w:rsidP="00A4296C">
      <w:pPr>
        <w:spacing w:before="0"/>
        <w:ind w:left="284" w:firstLine="74"/>
      </w:pPr>
      <w:r>
        <w:t>Not applicable</w:t>
      </w:r>
    </w:p>
    <w:p w14:paraId="516EB395" w14:textId="77777777" w:rsidR="00411735" w:rsidRDefault="00411735" w:rsidP="00930E95">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EEC46E1" w14:textId="77777777" w:rsidR="009939DC" w:rsidRDefault="009939DC" w:rsidP="00A4296C">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sidRPr="000A5B32">
        <w:rPr>
          <w:szCs w:val="20"/>
        </w:rPr>
        <w:t xml:space="preserve"> Yes</w:t>
      </w:r>
    </w:p>
    <w:p w14:paraId="6967E0DB" w14:textId="23C0E1D2" w:rsidR="001E6958" w:rsidRPr="009939DC" w:rsidRDefault="00DD5942" w:rsidP="00A4296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9939DC">
        <w:rPr>
          <w:szCs w:val="20"/>
        </w:rPr>
        <w:t xml:space="preserve"> No  </w:t>
      </w:r>
    </w:p>
    <w:p w14:paraId="512A1776" w14:textId="7CA2208E" w:rsidR="00016B6E" w:rsidRPr="009939DC" w:rsidRDefault="00016B6E" w:rsidP="00930E95">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56D2E4E7" w14:textId="77777777" w:rsidR="009939DC" w:rsidRDefault="009939DC" w:rsidP="00A4296C">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sidRPr="000A5B32">
        <w:rPr>
          <w:szCs w:val="20"/>
        </w:rPr>
        <w:t xml:space="preserve"> Yes</w:t>
      </w:r>
    </w:p>
    <w:p w14:paraId="73A4665B" w14:textId="6C80DAB8" w:rsidR="009939DC" w:rsidRPr="001E6958" w:rsidRDefault="00DD5942" w:rsidP="00A4296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9939DC">
        <w:rPr>
          <w:szCs w:val="20"/>
        </w:rPr>
        <w:t xml:space="preserve"> No  </w:t>
      </w:r>
    </w:p>
    <w:p w14:paraId="04F7953E" w14:textId="77777777" w:rsidR="009939DC" w:rsidRDefault="00016B6E" w:rsidP="00930E95">
      <w:pPr>
        <w:pStyle w:val="Heading2"/>
        <w:numPr>
          <w:ilvl w:val="0"/>
          <w:numId w:val="5"/>
        </w:numPr>
      </w:pPr>
      <w:r w:rsidRPr="009939DC">
        <w:t>If yes, please provide the name(s) of the spon</w:t>
      </w:r>
      <w:r w:rsidR="009939DC">
        <w:t>sor(s) and / or manufacturer(s):</w:t>
      </w:r>
    </w:p>
    <w:p w14:paraId="29251975" w14:textId="1F86E557" w:rsidR="00016B6E" w:rsidRPr="009939DC" w:rsidRDefault="00DD5942" w:rsidP="00A4296C">
      <w:pPr>
        <w:ind w:left="284" w:firstLine="76"/>
      </w:pPr>
      <w:r>
        <w:t>Not applicable</w:t>
      </w:r>
    </w:p>
    <w:p w14:paraId="0F4E5E3F"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1EB33681" w14:textId="77777777" w:rsidR="00200ABD" w:rsidRDefault="00200ABD" w:rsidP="00A4296C">
      <w:pPr>
        <w:spacing w:before="0" w:after="0"/>
        <w:ind w:left="360"/>
      </w:pPr>
      <w:r>
        <w:t>Single or multi-use consumables for in-house developed IVD assays would be kits which may be used for</w:t>
      </w:r>
    </w:p>
    <w:p w14:paraId="3D0FA799" w14:textId="0EB1D894" w:rsidR="00F301F1" w:rsidRPr="00855944" w:rsidRDefault="00200ABD" w:rsidP="00A4296C">
      <w:pPr>
        <w:spacing w:before="0" w:after="0"/>
        <w:ind w:left="360"/>
      </w:pPr>
      <w:r>
        <w:t xml:space="preserve">DNA extraction or quality assurance, or any kit for PCR amplification methods.  </w:t>
      </w:r>
      <w:r w:rsidR="00F301F1" w:rsidRPr="00855944">
        <w:br w:type="page"/>
      </w:r>
    </w:p>
    <w:p w14:paraId="1C9D5C65"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BEE50ED"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60A383D0" w14:textId="0988B0A5" w:rsidR="00A26343" w:rsidRPr="00A26343" w:rsidRDefault="00A26343" w:rsidP="00A4296C">
      <w:pPr>
        <w:spacing w:before="0" w:after="0"/>
        <w:ind w:left="360"/>
        <w:rPr>
          <w:szCs w:val="20"/>
        </w:rPr>
      </w:pPr>
      <w:r w:rsidRPr="00A26343">
        <w:rPr>
          <w:szCs w:val="20"/>
        </w:rPr>
        <w:t>Type of therapeutic good</w:t>
      </w:r>
      <w:r>
        <w:rPr>
          <w:szCs w:val="20"/>
        </w:rPr>
        <w:t xml:space="preserve">: </w:t>
      </w:r>
      <w:r w:rsidR="001F2BC9">
        <w:t xml:space="preserve">Pharmaceutical Product: </w:t>
      </w:r>
      <w:proofErr w:type="spellStart"/>
      <w:r w:rsidR="001F2BC9">
        <w:t>Zejula</w:t>
      </w:r>
      <w:proofErr w:type="spellEnd"/>
      <w:r w:rsidR="001F2BC9">
        <w:t>® (nir</w:t>
      </w:r>
      <w:r w:rsidR="00F37C03">
        <w:t>a</w:t>
      </w:r>
      <w:r w:rsidR="001F2BC9">
        <w:t>parib)</w:t>
      </w:r>
    </w:p>
    <w:p w14:paraId="7C04BC18" w14:textId="7181F18A" w:rsidR="00A26343" w:rsidRPr="00A26343" w:rsidRDefault="00A26343" w:rsidP="00A4296C">
      <w:pPr>
        <w:spacing w:before="0" w:after="0"/>
        <w:ind w:left="360"/>
        <w:rPr>
          <w:szCs w:val="20"/>
        </w:rPr>
      </w:pPr>
      <w:r w:rsidRPr="00A26343">
        <w:rPr>
          <w:szCs w:val="20"/>
        </w:rPr>
        <w:t>Manufacturer’s name</w:t>
      </w:r>
      <w:r>
        <w:rPr>
          <w:szCs w:val="20"/>
        </w:rPr>
        <w:t xml:space="preserve">: </w:t>
      </w:r>
      <w:r w:rsidR="00AB190C">
        <w:t>GSK</w:t>
      </w:r>
    </w:p>
    <w:p w14:paraId="5CB0D662" w14:textId="6C51F90F" w:rsidR="00A26343" w:rsidRDefault="00A26343" w:rsidP="00A4296C">
      <w:pPr>
        <w:spacing w:before="0" w:after="0"/>
        <w:ind w:left="360"/>
      </w:pPr>
      <w:r w:rsidRPr="00A26343">
        <w:rPr>
          <w:szCs w:val="20"/>
        </w:rPr>
        <w:t>Sponsor’s name</w:t>
      </w:r>
      <w:r>
        <w:rPr>
          <w:szCs w:val="20"/>
        </w:rPr>
        <w:t xml:space="preserve">: </w:t>
      </w:r>
      <w:r w:rsidR="00AB190C">
        <w:t>GlaxoSmit</w:t>
      </w:r>
      <w:r w:rsidR="004867E1">
        <w:t>h</w:t>
      </w:r>
      <w:r w:rsidR="00AB190C">
        <w:t>Kline Australia Pty Ltd</w:t>
      </w:r>
    </w:p>
    <w:p w14:paraId="071D5C93" w14:textId="77777777" w:rsidR="000E2E02" w:rsidRDefault="000E2E02" w:rsidP="00A4296C">
      <w:pPr>
        <w:spacing w:before="0" w:after="0"/>
        <w:ind w:left="360"/>
        <w:rPr>
          <w:szCs w:val="20"/>
        </w:rPr>
      </w:pPr>
    </w:p>
    <w:p w14:paraId="0E77980C" w14:textId="0957F5C9" w:rsidR="004867E1" w:rsidRPr="00A26343" w:rsidRDefault="004867E1" w:rsidP="00A4296C">
      <w:pPr>
        <w:spacing w:before="0" w:after="0"/>
        <w:ind w:left="360"/>
        <w:rPr>
          <w:szCs w:val="20"/>
        </w:rPr>
      </w:pPr>
      <w:r w:rsidRPr="00A26343">
        <w:rPr>
          <w:szCs w:val="20"/>
        </w:rPr>
        <w:t>Type of therapeutic good</w:t>
      </w:r>
      <w:r>
        <w:rPr>
          <w:szCs w:val="20"/>
        </w:rPr>
        <w:t xml:space="preserve">: </w:t>
      </w:r>
      <w:r>
        <w:t>in vitro diagnostic test</w:t>
      </w:r>
    </w:p>
    <w:p w14:paraId="1D10AA0D" w14:textId="63FD3FD4" w:rsidR="004867E1" w:rsidRPr="00A26343" w:rsidRDefault="004867E1" w:rsidP="00A4296C">
      <w:pPr>
        <w:spacing w:before="0" w:after="0"/>
        <w:ind w:left="360"/>
        <w:rPr>
          <w:szCs w:val="20"/>
        </w:rPr>
      </w:pPr>
      <w:r w:rsidRPr="00A26343">
        <w:rPr>
          <w:szCs w:val="20"/>
        </w:rPr>
        <w:t>Manufacturer’s name</w:t>
      </w:r>
      <w:r>
        <w:rPr>
          <w:szCs w:val="20"/>
        </w:rPr>
        <w:t xml:space="preserve">: </w:t>
      </w:r>
      <w:r w:rsidR="00A4296C" w:rsidRPr="00A4296C">
        <w:rPr>
          <w:b/>
          <w:bCs/>
          <w:szCs w:val="20"/>
        </w:rPr>
        <w:t>REDACTED</w:t>
      </w:r>
    </w:p>
    <w:p w14:paraId="7977B7E0" w14:textId="6BA2981F" w:rsidR="004867E1" w:rsidRPr="00A26343" w:rsidRDefault="004867E1" w:rsidP="00A4296C">
      <w:pPr>
        <w:spacing w:before="0" w:after="0"/>
        <w:ind w:left="360"/>
        <w:rPr>
          <w:szCs w:val="20"/>
        </w:rPr>
      </w:pPr>
      <w:r w:rsidRPr="00A26343">
        <w:rPr>
          <w:szCs w:val="20"/>
        </w:rPr>
        <w:t>Sponsor’s name</w:t>
      </w:r>
      <w:r>
        <w:rPr>
          <w:szCs w:val="20"/>
        </w:rPr>
        <w:t xml:space="preserve">: </w:t>
      </w:r>
      <w:r w:rsidR="00A4296C" w:rsidRPr="00A4296C">
        <w:rPr>
          <w:b/>
          <w:bCs/>
          <w:szCs w:val="20"/>
        </w:rPr>
        <w:t>REDACTED</w:t>
      </w:r>
    </w:p>
    <w:p w14:paraId="0C752742" w14:textId="77777777" w:rsidR="00D56765" w:rsidRDefault="000E2E02" w:rsidP="00930E95">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056FB6C4" w14:textId="171DCC7D" w:rsidR="00704082" w:rsidRDefault="00123C6C" w:rsidP="00A4296C">
      <w:pPr>
        <w:ind w:left="360"/>
        <w:contextualSpacing/>
      </w:pPr>
      <w:r>
        <w:t>The co-dependent pharmaceutical product</w:t>
      </w:r>
      <w:r w:rsidR="00F37C03">
        <w:t xml:space="preserve">, </w:t>
      </w:r>
      <w:proofErr w:type="spellStart"/>
      <w:r w:rsidR="00F37C03">
        <w:t>Zejula</w:t>
      </w:r>
      <w:proofErr w:type="spellEnd"/>
      <w:r w:rsidR="00F37C03">
        <w:t>® (niraparib)</w:t>
      </w:r>
      <w:r w:rsidR="00AA0F0F">
        <w:t xml:space="preserve"> is currently registered </w:t>
      </w:r>
      <w:r w:rsidR="00DB7BCD">
        <w:t>on the ARTG:</w:t>
      </w:r>
    </w:p>
    <w:p w14:paraId="29C341FD" w14:textId="449A4015" w:rsidR="00704082" w:rsidRDefault="008C251B" w:rsidP="00A4296C">
      <w:pPr>
        <w:ind w:left="360"/>
        <w:contextualSpacing/>
      </w:pPr>
      <w:r>
        <w:t>A</w:t>
      </w:r>
      <w:r w:rsidR="00704082">
        <w:t>R</w:t>
      </w:r>
      <w:r>
        <w:t>T</w:t>
      </w:r>
      <w:r w:rsidR="00704082">
        <w:t xml:space="preserve">G ID: </w:t>
      </w:r>
      <w:r w:rsidR="00B36B63" w:rsidRPr="00B36B63">
        <w:t>305254</w:t>
      </w:r>
    </w:p>
    <w:p w14:paraId="42C75702" w14:textId="3C25F356" w:rsidR="00917DEB" w:rsidRDefault="00917DEB" w:rsidP="00A4296C">
      <w:pPr>
        <w:spacing w:before="0" w:after="0"/>
        <w:ind w:left="360"/>
        <w:rPr>
          <w:szCs w:val="20"/>
        </w:rPr>
      </w:pPr>
      <w:r w:rsidRPr="0047581D">
        <w:rPr>
          <w:szCs w:val="20"/>
        </w:rPr>
        <w:t>TGA approved indication(s</w:t>
      </w:r>
      <w:r w:rsidR="00931FF6">
        <w:rPr>
          <w:szCs w:val="20"/>
        </w:rPr>
        <w:t>):</w:t>
      </w:r>
    </w:p>
    <w:p w14:paraId="1F1611D7" w14:textId="2CB72D7D" w:rsidR="00931FF6" w:rsidRDefault="00931FF6" w:rsidP="00A4296C">
      <w:pPr>
        <w:pStyle w:val="ListParagraph"/>
        <w:numPr>
          <w:ilvl w:val="0"/>
          <w:numId w:val="34"/>
        </w:numPr>
        <w:spacing w:before="0" w:after="0"/>
        <w:ind w:left="1080"/>
        <w:rPr>
          <w:szCs w:val="20"/>
        </w:rPr>
      </w:pPr>
      <w:r w:rsidRPr="00931FF6">
        <w:rPr>
          <w:szCs w:val="20"/>
        </w:rPr>
        <w:t>For the maintenance treatment of adult patients with advanced high-grade ovarian, fallopian tube or primary peritoneal cancer who are in response (complete or partial) following completion of</w:t>
      </w:r>
      <w:r>
        <w:rPr>
          <w:szCs w:val="20"/>
        </w:rPr>
        <w:t xml:space="preserve"> </w:t>
      </w:r>
      <w:r w:rsidRPr="00931FF6">
        <w:rPr>
          <w:szCs w:val="20"/>
        </w:rPr>
        <w:t>first-line platinum-based chemotherapy.</w:t>
      </w:r>
    </w:p>
    <w:p w14:paraId="664B7DD6" w14:textId="3D6EB468" w:rsidR="000F3129" w:rsidRDefault="00931FF6" w:rsidP="00A4296C">
      <w:pPr>
        <w:pStyle w:val="ListParagraph"/>
        <w:numPr>
          <w:ilvl w:val="0"/>
          <w:numId w:val="34"/>
        </w:numPr>
        <w:spacing w:before="0" w:after="0"/>
        <w:ind w:left="1080"/>
        <w:rPr>
          <w:szCs w:val="20"/>
        </w:rPr>
      </w:pPr>
      <w:r w:rsidRPr="00931FF6">
        <w:rPr>
          <w:szCs w:val="20"/>
        </w:rPr>
        <w:t>As monotherapy for the maintenance treatment of adult patients with platinum-sensitive relapsed high grade serous epithelial ovarian, fallopian tube, or primary peritoneal cancer who are in</w:t>
      </w:r>
      <w:r>
        <w:rPr>
          <w:szCs w:val="20"/>
        </w:rPr>
        <w:t xml:space="preserve"> </w:t>
      </w:r>
      <w:r w:rsidRPr="00931FF6">
        <w:rPr>
          <w:szCs w:val="20"/>
        </w:rPr>
        <w:t>response (complete or partial) to platinum-based chemotherapy</w:t>
      </w:r>
    </w:p>
    <w:p w14:paraId="70E1BF80" w14:textId="77777777" w:rsidR="00931FF6" w:rsidRPr="00931FF6" w:rsidRDefault="00931FF6" w:rsidP="00931FF6">
      <w:pPr>
        <w:spacing w:before="0" w:after="0"/>
        <w:rPr>
          <w:szCs w:val="20"/>
        </w:rPr>
      </w:pPr>
    </w:p>
    <w:p w14:paraId="79276510" w14:textId="77777777" w:rsidR="000E2E02" w:rsidRPr="00154B00" w:rsidRDefault="000E2E02" w:rsidP="00930E95">
      <w:pPr>
        <w:pStyle w:val="Heading2"/>
        <w:numPr>
          <w:ilvl w:val="0"/>
          <w:numId w:val="6"/>
        </w:numPr>
        <w:spacing w:before="0" w:after="0"/>
        <w:ind w:left="709" w:hanging="357"/>
      </w:pPr>
      <w:r>
        <w:t>If a</w:t>
      </w:r>
      <w:r w:rsidRPr="000E2E02">
        <w:t xml:space="preserve"> medical device is involved, has the medical device been classified by TGA as a Class III OR Active Implantable Medical Device (AIMD) under the TGA regulatory scheme for devices?</w:t>
      </w:r>
    </w:p>
    <w:p w14:paraId="775D0D59" w14:textId="0CE2E25E" w:rsidR="000E2E02" w:rsidRPr="00615F42" w:rsidRDefault="00D823C4" w:rsidP="00A4296C">
      <w:pPr>
        <w:spacing w:before="0" w:after="0"/>
        <w:ind w:left="352"/>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0E2E02" w:rsidRPr="000A5B32">
        <w:rPr>
          <w:szCs w:val="20"/>
        </w:rPr>
        <w:t xml:space="preserve"> </w:t>
      </w:r>
      <w:r w:rsidR="000E2E02" w:rsidRPr="00615F42">
        <w:rPr>
          <w:szCs w:val="20"/>
        </w:rPr>
        <w:t>Class III</w:t>
      </w:r>
    </w:p>
    <w:p w14:paraId="47D5F6F5" w14:textId="77777777" w:rsidR="000E2E02" w:rsidRPr="00615F42" w:rsidRDefault="000E2E02" w:rsidP="00A4296C">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sidRPr="000A5B32">
        <w:rPr>
          <w:szCs w:val="20"/>
        </w:rPr>
        <w:t xml:space="preserve"> </w:t>
      </w:r>
      <w:r w:rsidRPr="00615F42">
        <w:rPr>
          <w:szCs w:val="20"/>
        </w:rPr>
        <w:t>AIMD</w:t>
      </w:r>
    </w:p>
    <w:p w14:paraId="4061182C" w14:textId="1A6FC32F" w:rsidR="000F3129" w:rsidRPr="00154B00" w:rsidRDefault="000E2E02" w:rsidP="00A4296C">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sidRPr="000A5B32">
        <w:rPr>
          <w:szCs w:val="20"/>
        </w:rPr>
        <w:t xml:space="preserve"> </w:t>
      </w:r>
      <w:r w:rsidRPr="00615F42">
        <w:rPr>
          <w:szCs w:val="20"/>
        </w:rPr>
        <w:t>N/A</w:t>
      </w:r>
    </w:p>
    <w:p w14:paraId="67E938CF" w14:textId="77777777" w:rsidR="000E2E02" w:rsidRDefault="000E2E02" w:rsidP="00930E95">
      <w:pPr>
        <w:pStyle w:val="Heading2"/>
        <w:numPr>
          <w:ilvl w:val="0"/>
          <w:numId w:val="6"/>
        </w:numPr>
        <w:rPr>
          <w:bCs/>
          <w:lang w:val="en-GB"/>
        </w:rPr>
      </w:pPr>
      <w:r w:rsidRPr="000E2E02">
        <w:rPr>
          <w:bCs/>
          <w:lang w:val="en-GB"/>
        </w:rPr>
        <w:t>Is the therapeutic good classified by TGA for Research Use Only (RUO)?</w:t>
      </w:r>
    </w:p>
    <w:p w14:paraId="79353B75" w14:textId="45888F5A" w:rsidR="000E2E02" w:rsidRPr="000E2E02" w:rsidRDefault="00D823C4" w:rsidP="00A4296C">
      <w:pPr>
        <w:ind w:firstLine="360"/>
        <w:rPr>
          <w:lang w:val="en-GB"/>
        </w:rPr>
      </w:pPr>
      <w:r>
        <w:rPr>
          <w:lang w:val="en-GB"/>
        </w:rPr>
        <w:t>Not applicable</w:t>
      </w:r>
    </w:p>
    <w:p w14:paraId="0A36E4AE"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76EF8D59" w14:textId="77777777" w:rsidR="00615F42" w:rsidRDefault="00615F42" w:rsidP="00A4296C">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F0E7AA1" w14:textId="13C88F47" w:rsidR="00F24FD6" w:rsidRDefault="00FF0F59" w:rsidP="00A4296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615F42">
        <w:rPr>
          <w:szCs w:val="20"/>
        </w:rPr>
        <w:t xml:space="preserve"> No</w:t>
      </w:r>
    </w:p>
    <w:p w14:paraId="49835086" w14:textId="77777777" w:rsidR="00D56765" w:rsidRPr="00D56765" w:rsidRDefault="00D56765" w:rsidP="00D56765">
      <w:pPr>
        <w:spacing w:before="0" w:after="0"/>
        <w:ind w:left="284"/>
        <w:rPr>
          <w:b/>
          <w:szCs w:val="20"/>
        </w:rPr>
      </w:pPr>
    </w:p>
    <w:p w14:paraId="3358A8B5" w14:textId="11C265AE" w:rsidR="00D56765" w:rsidRPr="00D56765" w:rsidRDefault="00FF23B8" w:rsidP="00D56765">
      <w:pPr>
        <w:pStyle w:val="Heading2"/>
        <w:numPr>
          <w:ilvl w:val="0"/>
          <w:numId w:val="7"/>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6B4CE498" w14:textId="5B599CD4" w:rsidR="00FF23B8" w:rsidRPr="00F24FD6" w:rsidRDefault="006D0D7D" w:rsidP="00A4296C">
      <w:pPr>
        <w:pStyle w:val="Heading2"/>
        <w:numPr>
          <w:ilvl w:val="0"/>
          <w:numId w:val="0"/>
        </w:numPr>
        <w:spacing w:before="0" w:after="0"/>
        <w:ind w:left="436" w:hanging="76"/>
      </w:pPr>
      <w:r>
        <w:fldChar w:fldCharType="begin">
          <w:ffData>
            <w:name w:val=""/>
            <w:enabled/>
            <w:calcOnExit w:val="0"/>
            <w:checkBox>
              <w:sizeAuto/>
              <w:default w:val="0"/>
            </w:checkBox>
          </w:ffData>
        </w:fldChar>
      </w:r>
      <w:r>
        <w:instrText xml:space="preserve"> FORMCHECKBOX </w:instrText>
      </w:r>
      <w:r w:rsidR="00FB0A15">
        <w:fldChar w:fldCharType="separate"/>
      </w:r>
      <w:r>
        <w:fldChar w:fldCharType="end"/>
      </w:r>
      <w:r w:rsidR="00FF23B8" w:rsidRPr="00F24FD6">
        <w:t xml:space="preserve"> Yes (if yes, please provide details below)</w:t>
      </w:r>
    </w:p>
    <w:p w14:paraId="686B7F0E" w14:textId="69C383BF" w:rsidR="006E100D" w:rsidRDefault="006D0D7D" w:rsidP="00A4296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FF23B8">
        <w:rPr>
          <w:szCs w:val="20"/>
        </w:rPr>
        <w:t xml:space="preserve"> </w:t>
      </w:r>
      <w:r w:rsidR="00FF23B8" w:rsidRPr="00F24FD6">
        <w:rPr>
          <w:b/>
          <w:szCs w:val="20"/>
        </w:rPr>
        <w:t>No</w:t>
      </w:r>
    </w:p>
    <w:p w14:paraId="7810ACFC" w14:textId="77777777" w:rsidR="00FF23B8" w:rsidRDefault="00FF23B8" w:rsidP="00930E95">
      <w:pPr>
        <w:pStyle w:val="ListParagraph"/>
        <w:numPr>
          <w:ilvl w:val="0"/>
          <w:numId w:val="7"/>
        </w:numPr>
        <w:rPr>
          <w:b/>
          <w:szCs w:val="20"/>
        </w:rPr>
      </w:pPr>
      <w:r w:rsidRPr="00D1464C">
        <w:rPr>
          <w:b/>
          <w:bCs/>
        </w:rP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586BE39E" w14:textId="26679141" w:rsidR="00D1464C" w:rsidRDefault="00D1464C" w:rsidP="00A4296C">
      <w:pPr>
        <w:spacing w:before="0" w:after="0"/>
        <w:ind w:left="360"/>
        <w:rPr>
          <w:szCs w:val="20"/>
        </w:rPr>
      </w:pPr>
      <w:r w:rsidRPr="00A4296C">
        <w:rPr>
          <w:szCs w:val="20"/>
        </w:rPr>
        <w:t xml:space="preserve">It is expected that the </w:t>
      </w:r>
      <w:r w:rsidR="00A4296C" w:rsidRPr="00A4296C">
        <w:rPr>
          <w:b/>
          <w:bCs/>
          <w:szCs w:val="20"/>
        </w:rPr>
        <w:t>REDACTED</w:t>
      </w:r>
      <w:r w:rsidRPr="00A4296C">
        <w:rPr>
          <w:szCs w:val="20"/>
        </w:rPr>
        <w:t xml:space="preserve"> HRD test will be available in Australia from August 2022.  Completion of local validation, NATA accreditation for performing the </w:t>
      </w:r>
      <w:r w:rsidR="00A4296C" w:rsidRPr="00A4296C">
        <w:rPr>
          <w:b/>
          <w:bCs/>
          <w:szCs w:val="20"/>
        </w:rPr>
        <w:t>REDACTED</w:t>
      </w:r>
      <w:r w:rsidR="00A4296C" w:rsidRPr="00A4296C">
        <w:rPr>
          <w:szCs w:val="20"/>
        </w:rPr>
        <w:t xml:space="preserve"> </w:t>
      </w:r>
      <w:r w:rsidRPr="00A4296C">
        <w:rPr>
          <w:szCs w:val="20"/>
        </w:rPr>
        <w:t xml:space="preserve">HRD Test is expected to occur at </w:t>
      </w:r>
      <w:proofErr w:type="gramStart"/>
      <w:r w:rsidRPr="00A4296C">
        <w:rPr>
          <w:szCs w:val="20"/>
        </w:rPr>
        <w:t>a number of</w:t>
      </w:r>
      <w:proofErr w:type="gramEnd"/>
      <w:r w:rsidRPr="00A4296C">
        <w:rPr>
          <w:szCs w:val="20"/>
        </w:rPr>
        <w:t xml:space="preserve"> Australian laboratories that are using the next-generation sequencing (NGS) </w:t>
      </w:r>
      <w:r w:rsidR="00A4296C" w:rsidRPr="00A4296C">
        <w:rPr>
          <w:b/>
          <w:bCs/>
          <w:szCs w:val="20"/>
        </w:rPr>
        <w:t>REDACTED</w:t>
      </w:r>
      <w:r w:rsidR="00A4296C" w:rsidRPr="00A4296C">
        <w:rPr>
          <w:szCs w:val="20"/>
        </w:rPr>
        <w:t xml:space="preserve"> </w:t>
      </w:r>
      <w:r w:rsidRPr="00A4296C">
        <w:rPr>
          <w:szCs w:val="20"/>
        </w:rPr>
        <w:t>panel.</w:t>
      </w:r>
      <w:r>
        <w:rPr>
          <w:szCs w:val="20"/>
        </w:rPr>
        <w:t xml:space="preserve">  </w:t>
      </w:r>
    </w:p>
    <w:p w14:paraId="2031435F" w14:textId="77777777" w:rsidR="0077206D" w:rsidRPr="00154B00" w:rsidRDefault="0077206D" w:rsidP="00F83A9D">
      <w:pPr>
        <w:rPr>
          <w:szCs w:val="20"/>
        </w:rPr>
      </w:pPr>
    </w:p>
    <w:p w14:paraId="733CBF27" w14:textId="77777777" w:rsidR="00DD308E" w:rsidRDefault="00DD308E">
      <w:pPr>
        <w:rPr>
          <w:b/>
          <w:sz w:val="32"/>
          <w:szCs w:val="32"/>
        </w:rPr>
        <w:sectPr w:rsidR="00DD308E" w:rsidSect="00991EE4">
          <w:footerReference w:type="default" r:id="rId10"/>
          <w:pgSz w:w="11906" w:h="16838"/>
          <w:pgMar w:top="1440" w:right="1440" w:bottom="1440" w:left="1440" w:header="708" w:footer="708" w:gutter="0"/>
          <w:pgNumType w:start="0"/>
          <w:cols w:space="708"/>
          <w:titlePg/>
          <w:docGrid w:linePitch="360"/>
        </w:sectPr>
      </w:pPr>
    </w:p>
    <w:p w14:paraId="7C7E3586"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10D84759" w14:textId="3F654659" w:rsidR="00DD308E" w:rsidRPr="00643755" w:rsidRDefault="00643755" w:rsidP="00643755">
      <w:pPr>
        <w:pStyle w:val="Heading2"/>
      </w:pPr>
      <w:r w:rsidRPr="00643755">
        <w:t>Provide one or more recent (published) high quality clinical studies that support use of the proposed health service/technology. At ‘Application Form lodgement’, please do not attach full text articles; just provide a summary.</w:t>
      </w:r>
    </w:p>
    <w:tbl>
      <w:tblPr>
        <w:tblStyle w:val="TableGrid"/>
        <w:tblW w:w="5000" w:type="pct"/>
        <w:tblLayout w:type="fixed"/>
        <w:tblCellMar>
          <w:top w:w="11" w:type="dxa"/>
          <w:left w:w="11" w:type="dxa"/>
          <w:bottom w:w="11" w:type="dxa"/>
          <w:right w:w="11" w:type="dxa"/>
        </w:tblCellMar>
        <w:tblLook w:val="04A0" w:firstRow="1" w:lastRow="0" w:firstColumn="1" w:lastColumn="0" w:noHBand="0" w:noVBand="1"/>
        <w:tblCaption w:val="Summary of Evidence - Published"/>
      </w:tblPr>
      <w:tblGrid>
        <w:gridCol w:w="369"/>
        <w:gridCol w:w="1188"/>
        <w:gridCol w:w="2550"/>
        <w:gridCol w:w="6946"/>
        <w:gridCol w:w="1361"/>
        <w:gridCol w:w="1534"/>
      </w:tblGrid>
      <w:tr w:rsidR="00DC62ED" w:rsidRPr="00AB6431" w14:paraId="56733C49" w14:textId="77777777" w:rsidTr="00961069">
        <w:trPr>
          <w:tblHeader/>
        </w:trPr>
        <w:tc>
          <w:tcPr>
            <w:tcW w:w="132" w:type="pct"/>
          </w:tcPr>
          <w:p w14:paraId="7849761B" w14:textId="77777777" w:rsidR="00DC62ED" w:rsidRPr="00AB6431" w:rsidRDefault="00DC62ED" w:rsidP="00961069">
            <w:pPr>
              <w:pStyle w:val="TableHEADER"/>
              <w:spacing w:before="0" w:after="0"/>
              <w:ind w:right="79"/>
              <w:rPr>
                <w:rFonts w:asciiTheme="minorHAnsi" w:hAnsiTheme="minorHAnsi" w:cstheme="minorHAnsi"/>
              </w:rPr>
            </w:pPr>
          </w:p>
        </w:tc>
        <w:tc>
          <w:tcPr>
            <w:tcW w:w="426" w:type="pct"/>
          </w:tcPr>
          <w:p w14:paraId="3544EDE8" w14:textId="5E50AF06" w:rsidR="00DC62ED" w:rsidRPr="00AB6431" w:rsidRDefault="00DC62ED" w:rsidP="00961069">
            <w:pPr>
              <w:pStyle w:val="TableHEADER"/>
              <w:spacing w:before="0" w:after="0"/>
              <w:ind w:right="79"/>
              <w:rPr>
                <w:rFonts w:asciiTheme="minorHAnsi" w:hAnsiTheme="minorHAnsi" w:cstheme="minorHAnsi"/>
              </w:rPr>
            </w:pPr>
            <w:r w:rsidRPr="00AB6431">
              <w:rPr>
                <w:rFonts w:asciiTheme="minorHAnsi" w:hAnsiTheme="minorHAnsi" w:cstheme="minorHAnsi"/>
              </w:rPr>
              <w:t>Type of study desig</w:t>
            </w:r>
            <w:r w:rsidR="00A4296C">
              <w:rPr>
                <w:rFonts w:asciiTheme="minorHAnsi" w:hAnsiTheme="minorHAnsi" w:cstheme="minorHAnsi"/>
              </w:rPr>
              <w:t>n</w:t>
            </w:r>
          </w:p>
        </w:tc>
        <w:tc>
          <w:tcPr>
            <w:tcW w:w="914" w:type="pct"/>
          </w:tcPr>
          <w:p w14:paraId="3067C01D" w14:textId="39A2EBE3" w:rsidR="00DC62ED" w:rsidRPr="00AB6431" w:rsidRDefault="00DC62ED" w:rsidP="00961069">
            <w:pPr>
              <w:pStyle w:val="TableHEADER"/>
              <w:spacing w:before="0" w:after="0"/>
              <w:ind w:right="79"/>
              <w:rPr>
                <w:rFonts w:asciiTheme="minorHAnsi" w:hAnsiTheme="minorHAnsi" w:cstheme="minorHAnsi"/>
              </w:rPr>
            </w:pPr>
            <w:r w:rsidRPr="00AB6431">
              <w:rPr>
                <w:rFonts w:asciiTheme="minorHAnsi" w:hAnsiTheme="minorHAnsi" w:cstheme="minorHAnsi"/>
              </w:rPr>
              <w:t>Title of journal article or research project</w:t>
            </w:r>
          </w:p>
        </w:tc>
        <w:tc>
          <w:tcPr>
            <w:tcW w:w="2490" w:type="pct"/>
          </w:tcPr>
          <w:p w14:paraId="1741E26B" w14:textId="64A2E497" w:rsidR="00DC62ED" w:rsidRPr="00AB6431" w:rsidRDefault="00DC62ED" w:rsidP="00961069">
            <w:pPr>
              <w:pStyle w:val="TableHEADER"/>
              <w:spacing w:before="0" w:after="0"/>
              <w:ind w:right="79"/>
              <w:rPr>
                <w:rFonts w:asciiTheme="minorHAnsi" w:hAnsiTheme="minorHAnsi" w:cstheme="minorHAnsi"/>
              </w:rPr>
            </w:pPr>
            <w:r w:rsidRPr="00AB6431">
              <w:rPr>
                <w:rFonts w:asciiTheme="minorHAnsi" w:hAnsiTheme="minorHAnsi" w:cstheme="minorHAnsi"/>
              </w:rPr>
              <w:t>Short description of research</w:t>
            </w:r>
          </w:p>
        </w:tc>
        <w:tc>
          <w:tcPr>
            <w:tcW w:w="488" w:type="pct"/>
          </w:tcPr>
          <w:p w14:paraId="5597DA18" w14:textId="58285EE1" w:rsidR="00DC62ED" w:rsidRPr="00AB6431" w:rsidRDefault="00DC62ED" w:rsidP="00961069">
            <w:pPr>
              <w:pStyle w:val="TableHEADER"/>
              <w:spacing w:before="0" w:after="0"/>
              <w:ind w:right="79"/>
              <w:rPr>
                <w:rFonts w:asciiTheme="minorHAnsi" w:hAnsiTheme="minorHAnsi" w:cstheme="minorHAnsi"/>
              </w:rPr>
            </w:pPr>
            <w:r w:rsidRPr="00AB6431">
              <w:rPr>
                <w:rFonts w:asciiTheme="minorHAnsi" w:hAnsiTheme="minorHAnsi" w:cstheme="minorHAnsi"/>
              </w:rPr>
              <w:t xml:space="preserve">Website link to journal article or research </w:t>
            </w:r>
          </w:p>
        </w:tc>
        <w:tc>
          <w:tcPr>
            <w:tcW w:w="550" w:type="pct"/>
          </w:tcPr>
          <w:p w14:paraId="3D969F8A" w14:textId="098B80E1" w:rsidR="00DC62ED" w:rsidRPr="00AB6431" w:rsidRDefault="00DC62ED" w:rsidP="00961069">
            <w:pPr>
              <w:pStyle w:val="TableHEADER"/>
              <w:spacing w:before="0" w:after="0"/>
              <w:ind w:right="79"/>
              <w:rPr>
                <w:rFonts w:asciiTheme="minorHAnsi" w:hAnsiTheme="minorHAnsi" w:cstheme="minorHAnsi"/>
              </w:rPr>
            </w:pPr>
            <w:r w:rsidRPr="00AB6431">
              <w:rPr>
                <w:rFonts w:asciiTheme="minorHAnsi" w:hAnsiTheme="minorHAnsi" w:cstheme="minorHAnsi"/>
              </w:rPr>
              <w:t>Date of publication</w:t>
            </w:r>
          </w:p>
        </w:tc>
      </w:tr>
      <w:tr w:rsidR="00DC62ED" w:rsidRPr="001F5694" w14:paraId="6B07C5E7" w14:textId="77777777" w:rsidTr="00961069">
        <w:trPr>
          <w:trHeight w:val="515"/>
        </w:trPr>
        <w:tc>
          <w:tcPr>
            <w:tcW w:w="132" w:type="pct"/>
          </w:tcPr>
          <w:p w14:paraId="1DDC9D7B" w14:textId="77777777" w:rsidR="00DC62ED" w:rsidRPr="001F5694" w:rsidRDefault="00DC62ED" w:rsidP="00961069">
            <w:pPr>
              <w:spacing w:before="0" w:after="0"/>
              <w:rPr>
                <w:rFonts w:cstheme="minorHAnsi"/>
                <w:sz w:val="18"/>
                <w:szCs w:val="18"/>
              </w:rPr>
            </w:pPr>
            <w:r>
              <w:rPr>
                <w:rFonts w:cstheme="minorHAnsi"/>
                <w:sz w:val="18"/>
                <w:szCs w:val="18"/>
              </w:rPr>
              <w:t>1</w:t>
            </w:r>
          </w:p>
        </w:tc>
        <w:tc>
          <w:tcPr>
            <w:tcW w:w="426" w:type="pct"/>
          </w:tcPr>
          <w:p w14:paraId="33922CCF" w14:textId="77777777" w:rsidR="00DC62ED" w:rsidRPr="001F5694" w:rsidRDefault="00DC62ED" w:rsidP="00961069">
            <w:pPr>
              <w:spacing w:before="0" w:after="0"/>
              <w:rPr>
                <w:rFonts w:cstheme="minorHAnsi"/>
                <w:bCs/>
                <w:sz w:val="18"/>
                <w:szCs w:val="18"/>
              </w:rPr>
            </w:pPr>
            <w:r w:rsidRPr="001F5694">
              <w:rPr>
                <w:bCs/>
                <w:sz w:val="18"/>
                <w:szCs w:val="18"/>
              </w:rPr>
              <w:t>Randomised controlled trial</w:t>
            </w:r>
          </w:p>
        </w:tc>
        <w:tc>
          <w:tcPr>
            <w:tcW w:w="914" w:type="pct"/>
          </w:tcPr>
          <w:p w14:paraId="09CDD2BA" w14:textId="77777777" w:rsidR="00DC62ED" w:rsidRPr="0001048F" w:rsidRDefault="00DC62ED" w:rsidP="00961069">
            <w:pPr>
              <w:spacing w:before="0" w:after="0"/>
              <w:rPr>
                <w:rFonts w:ascii="Calibri" w:hAnsi="Calibri" w:cs="Calibri"/>
                <w:color w:val="000000"/>
                <w:sz w:val="18"/>
                <w:szCs w:val="18"/>
              </w:rPr>
            </w:pPr>
            <w:r w:rsidRPr="001F5694">
              <w:rPr>
                <w:rFonts w:ascii="Calibri" w:hAnsi="Calibri" w:cs="Calibri"/>
                <w:color w:val="000000"/>
                <w:sz w:val="18"/>
                <w:szCs w:val="18"/>
              </w:rPr>
              <w:t>Niraparib in Patients with Newly Diagnosed Advanced Ovarian Cancer (PRIMA)</w:t>
            </w:r>
          </w:p>
        </w:tc>
        <w:tc>
          <w:tcPr>
            <w:tcW w:w="2490" w:type="pct"/>
          </w:tcPr>
          <w:p w14:paraId="3819CEA9" w14:textId="77777777" w:rsidR="00DC62ED" w:rsidRPr="00581809" w:rsidRDefault="00DC62ED" w:rsidP="00961069">
            <w:pPr>
              <w:spacing w:before="0" w:after="0"/>
              <w:rPr>
                <w:sz w:val="18"/>
                <w:szCs w:val="18"/>
              </w:rPr>
            </w:pPr>
            <w:r>
              <w:rPr>
                <w:sz w:val="18"/>
                <w:szCs w:val="18"/>
              </w:rPr>
              <w:t>Randomised, double blind, phase 3 trial comparing niraparib (n=487) to placebo (n=246) in patients with NDA HGEOC in CR/PR to prior 1L PBC.  The primary endpoint</w:t>
            </w:r>
            <w:r w:rsidRPr="00CB4457">
              <w:rPr>
                <w:sz w:val="18"/>
                <w:szCs w:val="18"/>
              </w:rPr>
              <w:t xml:space="preserve"> was </w:t>
            </w:r>
            <w:r>
              <w:rPr>
                <w:sz w:val="18"/>
                <w:szCs w:val="18"/>
              </w:rPr>
              <w:t>PFS</w:t>
            </w:r>
            <w:r w:rsidRPr="00CB4457">
              <w:rPr>
                <w:sz w:val="18"/>
                <w:szCs w:val="18"/>
              </w:rPr>
              <w:t xml:space="preserve"> in patients who had tumours with </w:t>
            </w:r>
            <w:r>
              <w:rPr>
                <w:sz w:val="18"/>
                <w:szCs w:val="18"/>
              </w:rPr>
              <w:t>HRD</w:t>
            </w:r>
            <w:r w:rsidRPr="00CB4457">
              <w:rPr>
                <w:sz w:val="18"/>
                <w:szCs w:val="18"/>
              </w:rPr>
              <w:t xml:space="preserve"> and in those in the overall populatio</w:t>
            </w:r>
            <w:r>
              <w:rPr>
                <w:sz w:val="18"/>
                <w:szCs w:val="18"/>
              </w:rPr>
              <w:t xml:space="preserve">n per </w:t>
            </w:r>
            <w:r w:rsidRPr="00CB4457">
              <w:rPr>
                <w:sz w:val="18"/>
                <w:szCs w:val="18"/>
              </w:rPr>
              <w:t>hierarchical testing.</w:t>
            </w:r>
            <w:r>
              <w:rPr>
                <w:sz w:val="18"/>
                <w:szCs w:val="18"/>
              </w:rPr>
              <w:t xml:space="preserve">  N</w:t>
            </w:r>
            <w:r w:rsidRPr="00581809">
              <w:rPr>
                <w:sz w:val="18"/>
                <w:szCs w:val="18"/>
              </w:rPr>
              <w:t xml:space="preserve">iraparib had significantly longer </w:t>
            </w:r>
            <w:r>
              <w:rPr>
                <w:sz w:val="18"/>
                <w:szCs w:val="18"/>
              </w:rPr>
              <w:t>PFS compared to placebo,</w:t>
            </w:r>
            <w:r w:rsidRPr="00581809">
              <w:rPr>
                <w:sz w:val="18"/>
                <w:szCs w:val="18"/>
              </w:rPr>
              <w:t xml:space="preserve"> regardless of the presence or absence of </w:t>
            </w:r>
            <w:r>
              <w:rPr>
                <w:sz w:val="18"/>
                <w:szCs w:val="18"/>
              </w:rPr>
              <w:t xml:space="preserve">HRD.  </w:t>
            </w:r>
          </w:p>
        </w:tc>
        <w:tc>
          <w:tcPr>
            <w:tcW w:w="488" w:type="pct"/>
          </w:tcPr>
          <w:p w14:paraId="5119FFDC" w14:textId="77777777" w:rsidR="00DC62ED" w:rsidRPr="001F5694" w:rsidRDefault="00FB0A15" w:rsidP="00961069">
            <w:pPr>
              <w:spacing w:before="0" w:after="0"/>
              <w:rPr>
                <w:rFonts w:cstheme="minorHAnsi"/>
                <w:bCs/>
                <w:sz w:val="18"/>
                <w:szCs w:val="18"/>
              </w:rPr>
            </w:pPr>
            <w:hyperlink r:id="rId11" w:history="1">
              <w:r w:rsidR="00DC62ED" w:rsidRPr="001F5694">
                <w:rPr>
                  <w:rStyle w:val="Hyperlink"/>
                  <w:rFonts w:cstheme="minorHAnsi"/>
                  <w:bCs/>
                  <w:sz w:val="18"/>
                  <w:szCs w:val="18"/>
                </w:rPr>
                <w:t>https://www.nejm.org/doi/full/10.1056/NEJMoa1910962</w:t>
              </w:r>
            </w:hyperlink>
            <w:r w:rsidR="00DC62ED" w:rsidRPr="001F5694">
              <w:rPr>
                <w:rFonts w:cstheme="minorHAnsi"/>
                <w:bCs/>
                <w:sz w:val="18"/>
                <w:szCs w:val="18"/>
              </w:rPr>
              <w:t xml:space="preserve"> </w:t>
            </w:r>
          </w:p>
        </w:tc>
        <w:tc>
          <w:tcPr>
            <w:tcW w:w="550" w:type="pct"/>
          </w:tcPr>
          <w:p w14:paraId="6D798C49" w14:textId="77777777" w:rsidR="00DC62ED" w:rsidRPr="001F5694" w:rsidRDefault="00DC62ED" w:rsidP="00961069">
            <w:pPr>
              <w:spacing w:before="0" w:after="0"/>
              <w:rPr>
                <w:rFonts w:cstheme="minorHAnsi"/>
                <w:bCs/>
                <w:sz w:val="18"/>
                <w:szCs w:val="18"/>
              </w:rPr>
            </w:pPr>
            <w:r w:rsidRPr="001F5694">
              <w:rPr>
                <w:bCs/>
                <w:sz w:val="18"/>
                <w:szCs w:val="18"/>
              </w:rPr>
              <w:t>December 2019</w:t>
            </w:r>
          </w:p>
        </w:tc>
      </w:tr>
      <w:tr w:rsidR="00DC62ED" w:rsidRPr="001F5694" w14:paraId="380EAD53" w14:textId="77777777" w:rsidTr="00961069">
        <w:tc>
          <w:tcPr>
            <w:tcW w:w="132" w:type="pct"/>
          </w:tcPr>
          <w:p w14:paraId="244012A6" w14:textId="77777777" w:rsidR="00DC62ED" w:rsidRPr="001F5694" w:rsidRDefault="00DC62ED" w:rsidP="00961069">
            <w:pPr>
              <w:spacing w:before="0" w:after="0"/>
              <w:rPr>
                <w:rFonts w:cstheme="minorHAnsi"/>
                <w:sz w:val="18"/>
                <w:szCs w:val="18"/>
              </w:rPr>
            </w:pPr>
            <w:r>
              <w:rPr>
                <w:rFonts w:cstheme="minorHAnsi"/>
                <w:sz w:val="18"/>
                <w:szCs w:val="18"/>
              </w:rPr>
              <w:t>2</w:t>
            </w:r>
          </w:p>
        </w:tc>
        <w:tc>
          <w:tcPr>
            <w:tcW w:w="426" w:type="pct"/>
          </w:tcPr>
          <w:p w14:paraId="49183B27" w14:textId="77777777" w:rsidR="00DC62ED" w:rsidRPr="001F5694" w:rsidRDefault="00DC62ED" w:rsidP="00961069">
            <w:pPr>
              <w:spacing w:before="0" w:after="0"/>
              <w:rPr>
                <w:rFonts w:cstheme="minorHAnsi"/>
                <w:bCs/>
                <w:sz w:val="18"/>
                <w:szCs w:val="18"/>
              </w:rPr>
            </w:pPr>
            <w:r w:rsidRPr="001F5694">
              <w:rPr>
                <w:rFonts w:cstheme="minorHAnsi"/>
                <w:bCs/>
                <w:sz w:val="18"/>
                <w:szCs w:val="18"/>
              </w:rPr>
              <w:t>Diagnostic study</w:t>
            </w:r>
          </w:p>
        </w:tc>
        <w:tc>
          <w:tcPr>
            <w:tcW w:w="914" w:type="pct"/>
          </w:tcPr>
          <w:p w14:paraId="41A220A2" w14:textId="77777777" w:rsidR="00DC62ED" w:rsidRPr="001F5694" w:rsidRDefault="00DC62ED" w:rsidP="00961069">
            <w:pPr>
              <w:spacing w:before="0" w:after="0"/>
              <w:rPr>
                <w:rFonts w:cstheme="minorHAnsi"/>
                <w:bCs/>
                <w:sz w:val="18"/>
                <w:szCs w:val="18"/>
              </w:rPr>
            </w:pPr>
            <w:r w:rsidRPr="001F5694">
              <w:rPr>
                <w:rFonts w:cstheme="minorHAnsi"/>
                <w:bCs/>
                <w:sz w:val="18"/>
                <w:szCs w:val="18"/>
              </w:rPr>
              <w:t>Homologous Recombination Deficiency (HRD) Score Predicts Response to Platinum-Containing Neoadjuvant Chemotherapy in Patients with Triple-Negative Breast Cancer.</w:t>
            </w:r>
          </w:p>
        </w:tc>
        <w:tc>
          <w:tcPr>
            <w:tcW w:w="2490" w:type="pct"/>
          </w:tcPr>
          <w:p w14:paraId="03CABC0D" w14:textId="77777777" w:rsidR="00DC62ED" w:rsidRPr="001F5694" w:rsidRDefault="00DC62ED" w:rsidP="00961069">
            <w:pPr>
              <w:spacing w:before="0" w:after="0"/>
              <w:rPr>
                <w:rFonts w:cstheme="minorHAnsi"/>
                <w:bCs/>
                <w:sz w:val="18"/>
                <w:szCs w:val="18"/>
              </w:rPr>
            </w:pPr>
            <w:r w:rsidRPr="001F5694">
              <w:rPr>
                <w:rFonts w:cstheme="minorHAnsi"/>
                <w:bCs/>
                <w:sz w:val="18"/>
                <w:szCs w:val="18"/>
              </w:rPr>
              <w:t xml:space="preserve">This study assessed a combined homologous recombination deficiency (HRD) score, an unweighted sum of LOH, TAI, and LST scores, in three neoadjuvant TNBC trials of platinum-containing therapy. </w:t>
            </w:r>
            <w:r>
              <w:rPr>
                <w:rFonts w:cstheme="minorHAnsi"/>
                <w:bCs/>
                <w:sz w:val="18"/>
                <w:szCs w:val="18"/>
              </w:rPr>
              <w:t>The c</w:t>
            </w:r>
            <w:r w:rsidRPr="001F5694">
              <w:rPr>
                <w:rFonts w:cstheme="minorHAnsi"/>
                <w:bCs/>
                <w:sz w:val="18"/>
                <w:szCs w:val="18"/>
              </w:rPr>
              <w:t xml:space="preserve">ohort </w:t>
            </w:r>
            <w:r>
              <w:rPr>
                <w:rFonts w:cstheme="minorHAnsi"/>
                <w:bCs/>
                <w:sz w:val="18"/>
                <w:szCs w:val="18"/>
              </w:rPr>
              <w:t xml:space="preserve">was </w:t>
            </w:r>
            <w:r w:rsidRPr="001F5694">
              <w:rPr>
                <w:rFonts w:cstheme="minorHAnsi"/>
                <w:bCs/>
                <w:sz w:val="18"/>
                <w:szCs w:val="18"/>
              </w:rPr>
              <w:t>based on 497 Breast and 561 ovarian chemotherapy-naïve tumours with know</w:t>
            </w:r>
            <w:r>
              <w:rPr>
                <w:rFonts w:cstheme="minorHAnsi"/>
                <w:bCs/>
                <w:sz w:val="18"/>
                <w:szCs w:val="18"/>
              </w:rPr>
              <w:t>n</w:t>
            </w:r>
            <w:r w:rsidRPr="001F5694">
              <w:rPr>
                <w:rFonts w:cstheme="minorHAnsi"/>
                <w:bCs/>
                <w:sz w:val="18"/>
                <w:szCs w:val="18"/>
              </w:rPr>
              <w:t xml:space="preserve"> BRCA1/2 status</w:t>
            </w:r>
            <w:r>
              <w:rPr>
                <w:rFonts w:cstheme="minorHAnsi"/>
                <w:bCs/>
                <w:sz w:val="18"/>
                <w:szCs w:val="18"/>
              </w:rPr>
              <w:t>.  T</w:t>
            </w:r>
            <w:r w:rsidRPr="007977AC">
              <w:rPr>
                <w:rFonts w:cstheme="minorHAnsi"/>
                <w:bCs/>
                <w:sz w:val="18"/>
                <w:szCs w:val="18"/>
              </w:rPr>
              <w:t>he association of HR deficiency, defined as HRD score ≥42 or BRCA1/2 mutation, with response to platinum-based therapy</w:t>
            </w:r>
            <w:r>
              <w:rPr>
                <w:rFonts w:cstheme="minorHAnsi"/>
                <w:bCs/>
                <w:sz w:val="18"/>
                <w:szCs w:val="18"/>
              </w:rPr>
              <w:t xml:space="preserve"> was tested.  </w:t>
            </w:r>
            <w:r w:rsidRPr="007977AC">
              <w:rPr>
                <w:rFonts w:cstheme="minorHAnsi"/>
                <w:bCs/>
                <w:sz w:val="18"/>
                <w:szCs w:val="18"/>
              </w:rPr>
              <w:t xml:space="preserve">HR deficiency </w:t>
            </w:r>
            <w:r>
              <w:rPr>
                <w:rFonts w:cstheme="minorHAnsi"/>
                <w:bCs/>
                <w:sz w:val="18"/>
                <w:szCs w:val="18"/>
              </w:rPr>
              <w:t xml:space="preserve">identified </w:t>
            </w:r>
            <w:r w:rsidRPr="007977AC">
              <w:rPr>
                <w:rFonts w:cstheme="minorHAnsi"/>
                <w:bCs/>
                <w:sz w:val="18"/>
                <w:szCs w:val="18"/>
              </w:rPr>
              <w:t xml:space="preserve">TNBC </w:t>
            </w:r>
            <w:proofErr w:type="spellStart"/>
            <w:r w:rsidRPr="007977AC">
              <w:rPr>
                <w:rFonts w:cstheme="minorHAnsi"/>
                <w:bCs/>
                <w:sz w:val="18"/>
                <w:szCs w:val="18"/>
              </w:rPr>
              <w:t>tumors</w:t>
            </w:r>
            <w:proofErr w:type="spellEnd"/>
            <w:r w:rsidRPr="007977AC">
              <w:rPr>
                <w:rFonts w:cstheme="minorHAnsi"/>
                <w:bCs/>
                <w:sz w:val="18"/>
                <w:szCs w:val="18"/>
              </w:rPr>
              <w:t>, including BRCA1/2 nonmutated tumo</w:t>
            </w:r>
            <w:r>
              <w:rPr>
                <w:rFonts w:cstheme="minorHAnsi"/>
                <w:bCs/>
                <w:sz w:val="18"/>
                <w:szCs w:val="18"/>
              </w:rPr>
              <w:t>u</w:t>
            </w:r>
            <w:r w:rsidRPr="007977AC">
              <w:rPr>
                <w:rFonts w:cstheme="minorHAnsi"/>
                <w:bCs/>
                <w:sz w:val="18"/>
                <w:szCs w:val="18"/>
              </w:rPr>
              <w:t>rs more likely to respond to platinum-containing therapy.</w:t>
            </w:r>
          </w:p>
        </w:tc>
        <w:tc>
          <w:tcPr>
            <w:tcW w:w="488" w:type="pct"/>
          </w:tcPr>
          <w:p w14:paraId="139CDFFE" w14:textId="77777777" w:rsidR="00DC62ED" w:rsidRPr="001F5694" w:rsidRDefault="00FB0A15" w:rsidP="00961069">
            <w:pPr>
              <w:spacing w:before="0" w:after="0"/>
              <w:rPr>
                <w:rFonts w:ascii="Calibri" w:hAnsi="Calibri" w:cs="Calibri"/>
                <w:color w:val="0563C1"/>
                <w:sz w:val="18"/>
                <w:szCs w:val="18"/>
                <w:u w:val="single"/>
              </w:rPr>
            </w:pPr>
            <w:hyperlink r:id="rId12" w:history="1">
              <w:r w:rsidR="00DC62ED" w:rsidRPr="001F5694">
                <w:rPr>
                  <w:rStyle w:val="Hyperlink"/>
                  <w:rFonts w:ascii="Calibri" w:hAnsi="Calibri" w:cs="Calibri"/>
                  <w:sz w:val="18"/>
                  <w:szCs w:val="18"/>
                </w:rPr>
                <w:t>https://doi.org/10.1158/1078-0432.ccr-15-2477</w:t>
              </w:r>
            </w:hyperlink>
          </w:p>
          <w:p w14:paraId="0449DFA1" w14:textId="77777777" w:rsidR="00DC62ED" w:rsidRPr="001F5694" w:rsidRDefault="00DC62ED" w:rsidP="00961069">
            <w:pPr>
              <w:spacing w:before="0" w:after="0"/>
              <w:rPr>
                <w:rFonts w:cstheme="minorHAnsi"/>
                <w:bCs/>
                <w:sz w:val="18"/>
                <w:szCs w:val="18"/>
              </w:rPr>
            </w:pPr>
          </w:p>
        </w:tc>
        <w:tc>
          <w:tcPr>
            <w:tcW w:w="550" w:type="pct"/>
          </w:tcPr>
          <w:p w14:paraId="2114DA7D" w14:textId="77777777" w:rsidR="00DC62ED" w:rsidRPr="001F5694" w:rsidRDefault="00DC62ED" w:rsidP="00961069">
            <w:pPr>
              <w:spacing w:before="0" w:after="0"/>
              <w:rPr>
                <w:rFonts w:cstheme="minorHAnsi"/>
                <w:bCs/>
                <w:sz w:val="18"/>
                <w:szCs w:val="18"/>
              </w:rPr>
            </w:pPr>
            <w:r w:rsidRPr="001F5694">
              <w:rPr>
                <w:rFonts w:cstheme="minorHAnsi"/>
                <w:bCs/>
                <w:sz w:val="18"/>
                <w:szCs w:val="18"/>
              </w:rPr>
              <w:t>March 2016</w:t>
            </w:r>
          </w:p>
        </w:tc>
      </w:tr>
      <w:tr w:rsidR="00DC62ED" w:rsidRPr="001F5694" w14:paraId="6F738E56" w14:textId="77777777" w:rsidTr="00961069">
        <w:tc>
          <w:tcPr>
            <w:tcW w:w="132" w:type="pct"/>
          </w:tcPr>
          <w:p w14:paraId="261C20AC" w14:textId="77777777" w:rsidR="00DC62ED" w:rsidRPr="001F5694" w:rsidRDefault="00DC62ED" w:rsidP="00961069">
            <w:pPr>
              <w:spacing w:before="0" w:after="0"/>
              <w:rPr>
                <w:rFonts w:cstheme="minorHAnsi"/>
                <w:sz w:val="18"/>
                <w:szCs w:val="18"/>
              </w:rPr>
            </w:pPr>
            <w:r>
              <w:rPr>
                <w:rFonts w:cstheme="minorHAnsi"/>
                <w:sz w:val="18"/>
                <w:szCs w:val="18"/>
              </w:rPr>
              <w:t>3</w:t>
            </w:r>
          </w:p>
        </w:tc>
        <w:tc>
          <w:tcPr>
            <w:tcW w:w="426" w:type="pct"/>
          </w:tcPr>
          <w:p w14:paraId="201E1FF5" w14:textId="77777777" w:rsidR="00DC62ED" w:rsidRPr="001F5694" w:rsidRDefault="00DC62ED" w:rsidP="00961069">
            <w:pPr>
              <w:spacing w:before="0" w:after="0"/>
              <w:rPr>
                <w:rFonts w:cstheme="minorHAnsi"/>
                <w:bCs/>
                <w:sz w:val="18"/>
                <w:szCs w:val="18"/>
              </w:rPr>
            </w:pPr>
            <w:r>
              <w:rPr>
                <w:rFonts w:cstheme="minorHAnsi"/>
                <w:bCs/>
                <w:sz w:val="18"/>
                <w:szCs w:val="18"/>
              </w:rPr>
              <w:t>Diagnostic Study</w:t>
            </w:r>
          </w:p>
        </w:tc>
        <w:tc>
          <w:tcPr>
            <w:tcW w:w="914" w:type="pct"/>
          </w:tcPr>
          <w:p w14:paraId="3EBCB9B2" w14:textId="77777777" w:rsidR="00DC62ED" w:rsidRPr="001F5694" w:rsidRDefault="00DC62ED" w:rsidP="00961069">
            <w:pPr>
              <w:spacing w:before="0" w:after="0"/>
              <w:rPr>
                <w:rFonts w:cstheme="minorHAnsi"/>
                <w:bCs/>
                <w:sz w:val="18"/>
                <w:szCs w:val="18"/>
              </w:rPr>
            </w:pPr>
            <w:r w:rsidRPr="009F0BFA">
              <w:rPr>
                <w:rFonts w:cstheme="minorHAnsi"/>
                <w:bCs/>
                <w:sz w:val="18"/>
                <w:szCs w:val="18"/>
              </w:rPr>
              <w:t>Concordance of the FDA-Approved Companion Diagnostic and a Next-Generation Sequencing Assay Kit for Assessing Homologous Recombination Deficiency in Ovarian Cancer</w:t>
            </w:r>
          </w:p>
        </w:tc>
        <w:tc>
          <w:tcPr>
            <w:tcW w:w="2490" w:type="pct"/>
          </w:tcPr>
          <w:p w14:paraId="692CA446" w14:textId="77777777" w:rsidR="00DC62ED" w:rsidRPr="001F5694" w:rsidRDefault="00DC62ED" w:rsidP="00961069">
            <w:pPr>
              <w:spacing w:before="0" w:after="0"/>
              <w:rPr>
                <w:rFonts w:cstheme="minorHAnsi"/>
                <w:bCs/>
                <w:sz w:val="18"/>
                <w:szCs w:val="18"/>
              </w:rPr>
            </w:pPr>
            <w:r>
              <w:rPr>
                <w:rFonts w:cstheme="minorHAnsi"/>
                <w:bCs/>
                <w:sz w:val="18"/>
                <w:szCs w:val="18"/>
              </w:rPr>
              <w:t xml:space="preserve">This study evaluated the performance of an in-development next-generation sequencing assay, based on Illumina’s RUO TSO 500 </w:t>
            </w:r>
            <w:proofErr w:type="gramStart"/>
            <w:r>
              <w:rPr>
                <w:rFonts w:cstheme="minorHAnsi"/>
                <w:bCs/>
                <w:sz w:val="18"/>
                <w:szCs w:val="18"/>
              </w:rPr>
              <w:t>content</w:t>
            </w:r>
            <w:proofErr w:type="gramEnd"/>
            <w:r>
              <w:rPr>
                <w:rFonts w:cstheme="minorHAnsi"/>
                <w:bCs/>
                <w:sz w:val="18"/>
                <w:szCs w:val="18"/>
              </w:rPr>
              <w:t xml:space="preserve">, that identifies variants in tumour tissue and HRD genomic scars (Illumina Test) vs the Myriad </w:t>
            </w:r>
            <w:proofErr w:type="spellStart"/>
            <w:r>
              <w:rPr>
                <w:rFonts w:cstheme="minorHAnsi"/>
                <w:bCs/>
                <w:sz w:val="18"/>
                <w:szCs w:val="18"/>
              </w:rPr>
              <w:t>MyChoice</w:t>
            </w:r>
            <w:proofErr w:type="spellEnd"/>
            <w:r>
              <w:rPr>
                <w:rFonts w:cstheme="minorHAnsi"/>
                <w:bCs/>
                <w:sz w:val="18"/>
                <w:szCs w:val="18"/>
              </w:rPr>
              <w:t xml:space="preserve"> Plus assay.  Ovarian Cancer tissue samples were analysed with the Illumina (n=227, 40ng DNA) and Myriad tests (n=254, 200ng DNA).  Agreement rates for </w:t>
            </w:r>
            <w:proofErr w:type="spellStart"/>
            <w:r>
              <w:rPr>
                <w:rFonts w:cstheme="minorHAnsi"/>
                <w:bCs/>
                <w:sz w:val="18"/>
                <w:szCs w:val="18"/>
              </w:rPr>
              <w:t>BRCAm</w:t>
            </w:r>
            <w:proofErr w:type="spellEnd"/>
            <w:r>
              <w:rPr>
                <w:rFonts w:cstheme="minorHAnsi"/>
                <w:bCs/>
                <w:sz w:val="18"/>
                <w:szCs w:val="18"/>
              </w:rPr>
              <w:t xml:space="preserve">, GIS and HRD status were analysed.  </w:t>
            </w:r>
            <w:r w:rsidRPr="0006413A">
              <w:rPr>
                <w:rFonts w:cstheme="minorHAnsi"/>
                <w:bCs/>
                <w:sz w:val="18"/>
                <w:szCs w:val="18"/>
              </w:rPr>
              <w:t xml:space="preserve">Illumina test and Myriad test HRD, </w:t>
            </w:r>
            <w:proofErr w:type="spellStart"/>
            <w:r w:rsidRPr="0006413A">
              <w:rPr>
                <w:rFonts w:cstheme="minorHAnsi"/>
                <w:bCs/>
                <w:sz w:val="18"/>
                <w:szCs w:val="18"/>
              </w:rPr>
              <w:t>BRCAm</w:t>
            </w:r>
            <w:proofErr w:type="spellEnd"/>
            <w:r w:rsidRPr="0006413A">
              <w:rPr>
                <w:rFonts w:cstheme="minorHAnsi"/>
                <w:bCs/>
                <w:sz w:val="18"/>
                <w:szCs w:val="18"/>
              </w:rPr>
              <w:t>,</w:t>
            </w:r>
            <w:r>
              <w:rPr>
                <w:rFonts w:cstheme="minorHAnsi"/>
                <w:bCs/>
                <w:sz w:val="18"/>
                <w:szCs w:val="18"/>
              </w:rPr>
              <w:t xml:space="preserve"> </w:t>
            </w:r>
            <w:r w:rsidRPr="0006413A">
              <w:rPr>
                <w:rFonts w:cstheme="minorHAnsi"/>
                <w:bCs/>
                <w:sz w:val="18"/>
                <w:szCs w:val="18"/>
              </w:rPr>
              <w:t>and GIS detection results were in &gt;91% agreement.</w:t>
            </w:r>
          </w:p>
        </w:tc>
        <w:tc>
          <w:tcPr>
            <w:tcW w:w="488" w:type="pct"/>
          </w:tcPr>
          <w:p w14:paraId="70A6FDA0" w14:textId="77777777" w:rsidR="00DC62ED" w:rsidRDefault="00FB0A15" w:rsidP="00961069">
            <w:pPr>
              <w:spacing w:before="0" w:after="0"/>
            </w:pPr>
            <w:hyperlink r:id="rId13" w:history="1">
              <w:r w:rsidR="00DC62ED" w:rsidRPr="005F59C5">
                <w:rPr>
                  <w:rStyle w:val="Hyperlink"/>
                </w:rPr>
                <w:t>https://ijgc.bmj.com/content/31/Suppl_3/A375.1.info</w:t>
              </w:r>
            </w:hyperlink>
            <w:r w:rsidR="00DC62ED">
              <w:t xml:space="preserve"> </w:t>
            </w:r>
          </w:p>
        </w:tc>
        <w:tc>
          <w:tcPr>
            <w:tcW w:w="550" w:type="pct"/>
          </w:tcPr>
          <w:p w14:paraId="515CC80D" w14:textId="77777777" w:rsidR="00DC62ED" w:rsidRPr="001F5694" w:rsidRDefault="00DC62ED" w:rsidP="00961069">
            <w:pPr>
              <w:spacing w:before="0" w:after="0"/>
              <w:rPr>
                <w:rFonts w:cstheme="minorHAnsi"/>
                <w:bCs/>
                <w:sz w:val="18"/>
                <w:szCs w:val="18"/>
              </w:rPr>
            </w:pPr>
            <w:r>
              <w:rPr>
                <w:rFonts w:cstheme="minorHAnsi"/>
                <w:bCs/>
                <w:sz w:val="18"/>
                <w:szCs w:val="18"/>
              </w:rPr>
              <w:t>October 2021</w:t>
            </w:r>
          </w:p>
        </w:tc>
      </w:tr>
      <w:tr w:rsidR="00DC62ED" w:rsidRPr="001F5694" w14:paraId="70FEB3BE" w14:textId="77777777" w:rsidTr="00961069">
        <w:tc>
          <w:tcPr>
            <w:tcW w:w="132" w:type="pct"/>
          </w:tcPr>
          <w:p w14:paraId="3F285D7F" w14:textId="77777777" w:rsidR="00DC62ED" w:rsidRDefault="00DC62ED" w:rsidP="00961069">
            <w:pPr>
              <w:spacing w:before="0" w:after="0"/>
              <w:rPr>
                <w:rFonts w:cstheme="minorHAnsi"/>
                <w:sz w:val="18"/>
                <w:szCs w:val="18"/>
              </w:rPr>
            </w:pPr>
            <w:r>
              <w:rPr>
                <w:rFonts w:cstheme="minorHAnsi"/>
                <w:sz w:val="18"/>
                <w:szCs w:val="18"/>
              </w:rPr>
              <w:t>4</w:t>
            </w:r>
          </w:p>
        </w:tc>
        <w:tc>
          <w:tcPr>
            <w:tcW w:w="426" w:type="pct"/>
          </w:tcPr>
          <w:p w14:paraId="0A97AC7A" w14:textId="77777777" w:rsidR="00DC62ED" w:rsidRDefault="00DC62ED" w:rsidP="00961069">
            <w:pPr>
              <w:spacing w:before="0" w:after="0"/>
              <w:rPr>
                <w:rFonts w:cstheme="minorHAnsi"/>
                <w:bCs/>
                <w:sz w:val="18"/>
                <w:szCs w:val="18"/>
              </w:rPr>
            </w:pPr>
            <w:r>
              <w:rPr>
                <w:rFonts w:cstheme="minorHAnsi"/>
                <w:bCs/>
                <w:sz w:val="18"/>
                <w:szCs w:val="18"/>
              </w:rPr>
              <w:t>Diagnostic Study</w:t>
            </w:r>
          </w:p>
        </w:tc>
        <w:tc>
          <w:tcPr>
            <w:tcW w:w="914" w:type="pct"/>
          </w:tcPr>
          <w:p w14:paraId="77C087E7" w14:textId="77777777" w:rsidR="00DC62ED" w:rsidRPr="00F2297A" w:rsidRDefault="00DC62ED" w:rsidP="00961069">
            <w:pPr>
              <w:spacing w:before="0" w:after="0"/>
              <w:rPr>
                <w:rFonts w:cstheme="minorHAnsi"/>
                <w:bCs/>
                <w:sz w:val="18"/>
                <w:szCs w:val="18"/>
              </w:rPr>
            </w:pPr>
            <w:r w:rsidRPr="00F2297A">
              <w:rPr>
                <w:rFonts w:cstheme="minorHAnsi"/>
                <w:bCs/>
                <w:sz w:val="18"/>
                <w:szCs w:val="18"/>
              </w:rPr>
              <w:t>Assessing homologous recombination deficiency (HRD) in ovarian cancer: Optimizing</w:t>
            </w:r>
          </w:p>
          <w:p w14:paraId="302AA2FA" w14:textId="77777777" w:rsidR="00DC62ED" w:rsidRPr="00F2297A" w:rsidRDefault="00DC62ED" w:rsidP="00961069">
            <w:pPr>
              <w:spacing w:before="0" w:after="0"/>
              <w:rPr>
                <w:rFonts w:cstheme="minorHAnsi"/>
                <w:bCs/>
                <w:sz w:val="18"/>
                <w:szCs w:val="18"/>
              </w:rPr>
            </w:pPr>
            <w:r w:rsidRPr="00F2297A">
              <w:rPr>
                <w:rFonts w:cstheme="minorHAnsi"/>
                <w:bCs/>
                <w:sz w:val="18"/>
                <w:szCs w:val="18"/>
              </w:rPr>
              <w:t>concordance of the regulatory-approved companion diagnostic and a next-generation</w:t>
            </w:r>
          </w:p>
          <w:p w14:paraId="6EBB269C" w14:textId="77777777" w:rsidR="00DC62ED" w:rsidRPr="009F0BFA" w:rsidRDefault="00DC62ED" w:rsidP="00961069">
            <w:pPr>
              <w:spacing w:before="0" w:after="0"/>
              <w:rPr>
                <w:rFonts w:cstheme="minorHAnsi"/>
                <w:bCs/>
                <w:sz w:val="18"/>
                <w:szCs w:val="18"/>
              </w:rPr>
            </w:pPr>
            <w:r w:rsidRPr="00F2297A">
              <w:rPr>
                <w:rFonts w:cstheme="minorHAnsi"/>
                <w:bCs/>
                <w:sz w:val="18"/>
                <w:szCs w:val="18"/>
              </w:rPr>
              <w:t>sequencing (NGS) assay kit.</w:t>
            </w:r>
          </w:p>
        </w:tc>
        <w:tc>
          <w:tcPr>
            <w:tcW w:w="2490" w:type="pct"/>
          </w:tcPr>
          <w:p w14:paraId="1CC52E0D" w14:textId="77777777" w:rsidR="00DC62ED" w:rsidRDefault="00DC62ED" w:rsidP="00961069">
            <w:pPr>
              <w:spacing w:before="0" w:after="0"/>
              <w:rPr>
                <w:rFonts w:cstheme="minorHAnsi"/>
                <w:bCs/>
                <w:sz w:val="18"/>
                <w:szCs w:val="18"/>
              </w:rPr>
            </w:pPr>
            <w:r>
              <w:rPr>
                <w:rFonts w:cstheme="minorHAnsi"/>
                <w:bCs/>
                <w:sz w:val="18"/>
                <w:szCs w:val="18"/>
              </w:rPr>
              <w:t xml:space="preserve">This study </w:t>
            </w:r>
            <w:r w:rsidRPr="007657FF">
              <w:rPr>
                <w:rFonts w:cstheme="minorHAnsi"/>
                <w:bCs/>
                <w:sz w:val="18"/>
                <w:szCs w:val="18"/>
              </w:rPr>
              <w:t>evaluated the</w:t>
            </w:r>
            <w:r>
              <w:rPr>
                <w:rFonts w:cstheme="minorHAnsi"/>
                <w:bCs/>
                <w:sz w:val="18"/>
                <w:szCs w:val="18"/>
              </w:rPr>
              <w:t xml:space="preserve"> </w:t>
            </w:r>
            <w:r w:rsidRPr="007657FF">
              <w:rPr>
                <w:rFonts w:cstheme="minorHAnsi"/>
                <w:bCs/>
                <w:sz w:val="18"/>
                <w:szCs w:val="18"/>
              </w:rPr>
              <w:t>performance of an in-development NGS assay kit that identifies BRCA variants based on genomic content</w:t>
            </w:r>
            <w:r>
              <w:rPr>
                <w:rFonts w:cstheme="minorHAnsi"/>
                <w:bCs/>
                <w:sz w:val="18"/>
                <w:szCs w:val="18"/>
              </w:rPr>
              <w:t xml:space="preserve"> </w:t>
            </w:r>
            <w:r w:rsidRPr="007657FF">
              <w:rPr>
                <w:rFonts w:cstheme="minorHAnsi"/>
                <w:bCs/>
                <w:sz w:val="18"/>
                <w:szCs w:val="18"/>
              </w:rPr>
              <w:t xml:space="preserve">from Illumina’s </w:t>
            </w:r>
            <w:proofErr w:type="spellStart"/>
            <w:r w:rsidRPr="007657FF">
              <w:rPr>
                <w:rFonts w:cstheme="minorHAnsi"/>
                <w:bCs/>
                <w:sz w:val="18"/>
                <w:szCs w:val="18"/>
              </w:rPr>
              <w:t>TruSight</w:t>
            </w:r>
            <w:proofErr w:type="spellEnd"/>
            <w:r w:rsidRPr="007657FF">
              <w:rPr>
                <w:rFonts w:cstheme="minorHAnsi"/>
                <w:bCs/>
                <w:sz w:val="18"/>
                <w:szCs w:val="18"/>
              </w:rPr>
              <w:t>™ Oncology 500 research assay, and, with additional genomic content,</w:t>
            </w:r>
            <w:r>
              <w:rPr>
                <w:rFonts w:cstheme="minorHAnsi"/>
                <w:bCs/>
                <w:sz w:val="18"/>
                <w:szCs w:val="18"/>
              </w:rPr>
              <w:t xml:space="preserve"> </w:t>
            </w:r>
            <w:r w:rsidRPr="007657FF">
              <w:rPr>
                <w:rFonts w:cstheme="minorHAnsi"/>
                <w:bCs/>
                <w:sz w:val="18"/>
                <w:szCs w:val="18"/>
              </w:rPr>
              <w:t xml:space="preserve">measures HRD GIS in </w:t>
            </w:r>
            <w:proofErr w:type="spellStart"/>
            <w:r w:rsidRPr="007657FF">
              <w:rPr>
                <w:rFonts w:cstheme="minorHAnsi"/>
                <w:bCs/>
                <w:sz w:val="18"/>
                <w:szCs w:val="18"/>
              </w:rPr>
              <w:t>tumor</w:t>
            </w:r>
            <w:proofErr w:type="spellEnd"/>
            <w:r w:rsidRPr="007657FF">
              <w:rPr>
                <w:rFonts w:cstheme="minorHAnsi"/>
                <w:bCs/>
                <w:sz w:val="18"/>
                <w:szCs w:val="18"/>
              </w:rPr>
              <w:t xml:space="preserve"> tissue (Illumina test) in parallel. Analytic concordance of the Illumina</w:t>
            </w:r>
            <w:r>
              <w:rPr>
                <w:rFonts w:cstheme="minorHAnsi"/>
                <w:bCs/>
                <w:sz w:val="18"/>
                <w:szCs w:val="18"/>
              </w:rPr>
              <w:t xml:space="preserve"> </w:t>
            </w:r>
            <w:r w:rsidRPr="007657FF">
              <w:rPr>
                <w:rFonts w:cstheme="minorHAnsi"/>
                <w:bCs/>
                <w:sz w:val="18"/>
                <w:szCs w:val="18"/>
              </w:rPr>
              <w:t xml:space="preserve">test versus the Myriad </w:t>
            </w:r>
            <w:proofErr w:type="spellStart"/>
            <w:r w:rsidRPr="007657FF">
              <w:rPr>
                <w:rFonts w:cstheme="minorHAnsi"/>
                <w:bCs/>
                <w:sz w:val="18"/>
                <w:szCs w:val="18"/>
              </w:rPr>
              <w:t>myChoiceVR</w:t>
            </w:r>
            <w:proofErr w:type="spellEnd"/>
            <w:r w:rsidRPr="007657FF">
              <w:rPr>
                <w:rFonts w:cstheme="minorHAnsi"/>
                <w:bCs/>
                <w:sz w:val="18"/>
                <w:szCs w:val="18"/>
              </w:rPr>
              <w:t xml:space="preserve"> PLUS assay (Myriad test) under improved algorithms for calculating</w:t>
            </w:r>
            <w:r>
              <w:rPr>
                <w:rFonts w:cstheme="minorHAnsi"/>
                <w:bCs/>
                <w:sz w:val="18"/>
                <w:szCs w:val="18"/>
              </w:rPr>
              <w:t xml:space="preserve"> </w:t>
            </w:r>
            <w:r w:rsidRPr="007657FF">
              <w:rPr>
                <w:rFonts w:cstheme="minorHAnsi"/>
                <w:bCs/>
                <w:sz w:val="18"/>
                <w:szCs w:val="18"/>
              </w:rPr>
              <w:t>GIS scores is reported.</w:t>
            </w:r>
            <w:r>
              <w:rPr>
                <w:rFonts w:cstheme="minorHAnsi"/>
                <w:bCs/>
                <w:sz w:val="18"/>
                <w:szCs w:val="18"/>
              </w:rPr>
              <w:t xml:space="preserve"> </w:t>
            </w:r>
            <w:r w:rsidRPr="005E61CF">
              <w:rPr>
                <w:rFonts w:cstheme="minorHAnsi"/>
                <w:bCs/>
                <w:sz w:val="18"/>
                <w:szCs w:val="18"/>
              </w:rPr>
              <w:t xml:space="preserve">Ovarian cancer tissue samples were </w:t>
            </w:r>
            <w:proofErr w:type="spellStart"/>
            <w:r w:rsidRPr="005E61CF">
              <w:rPr>
                <w:rFonts w:cstheme="minorHAnsi"/>
                <w:bCs/>
                <w:sz w:val="18"/>
                <w:szCs w:val="18"/>
              </w:rPr>
              <w:t>analyzed</w:t>
            </w:r>
            <w:proofErr w:type="spellEnd"/>
            <w:r w:rsidRPr="005E61CF">
              <w:rPr>
                <w:rFonts w:cstheme="minorHAnsi"/>
                <w:bCs/>
                <w:sz w:val="18"/>
                <w:szCs w:val="18"/>
              </w:rPr>
              <w:t xml:space="preserve"> with the Illumina (40 ng</w:t>
            </w:r>
            <w:r>
              <w:rPr>
                <w:rFonts w:cstheme="minorHAnsi"/>
                <w:bCs/>
                <w:sz w:val="18"/>
                <w:szCs w:val="18"/>
              </w:rPr>
              <w:t xml:space="preserve"> </w:t>
            </w:r>
            <w:r w:rsidRPr="005E61CF">
              <w:rPr>
                <w:rFonts w:cstheme="minorHAnsi"/>
                <w:bCs/>
                <w:sz w:val="18"/>
                <w:szCs w:val="18"/>
              </w:rPr>
              <w:t>DNA; N = 227) and Myriad (200 ng DNA; N = 254) tests</w:t>
            </w:r>
            <w:r>
              <w:rPr>
                <w:rFonts w:cstheme="minorHAnsi"/>
                <w:bCs/>
                <w:sz w:val="18"/>
                <w:szCs w:val="18"/>
              </w:rPr>
              <w:t xml:space="preserve">.  </w:t>
            </w:r>
            <w:r w:rsidRPr="00BF2B29">
              <w:rPr>
                <w:rFonts w:cstheme="minorHAnsi"/>
                <w:bCs/>
                <w:sz w:val="18"/>
                <w:szCs w:val="18"/>
              </w:rPr>
              <w:t>Comparison between</w:t>
            </w:r>
            <w:r>
              <w:rPr>
                <w:rFonts w:cstheme="minorHAnsi"/>
                <w:bCs/>
                <w:sz w:val="18"/>
                <w:szCs w:val="18"/>
              </w:rPr>
              <w:t xml:space="preserve"> </w:t>
            </w:r>
            <w:r w:rsidRPr="00BF2B29">
              <w:rPr>
                <w:rFonts w:cstheme="minorHAnsi"/>
                <w:bCs/>
                <w:sz w:val="18"/>
                <w:szCs w:val="18"/>
              </w:rPr>
              <w:t>the Illumina and Myriad tests showed that overall HRD status, BRCA analysis, and HRD GIS detection</w:t>
            </w:r>
            <w:r>
              <w:rPr>
                <w:rFonts w:cstheme="minorHAnsi"/>
                <w:bCs/>
                <w:sz w:val="18"/>
                <w:szCs w:val="18"/>
              </w:rPr>
              <w:t xml:space="preserve"> </w:t>
            </w:r>
            <w:r w:rsidRPr="00BF2B29">
              <w:rPr>
                <w:rFonts w:cstheme="minorHAnsi"/>
                <w:bCs/>
                <w:sz w:val="18"/>
                <w:szCs w:val="18"/>
              </w:rPr>
              <w:t>results were &gt; 90% concordant</w:t>
            </w:r>
            <w:r>
              <w:rPr>
                <w:rFonts w:cstheme="minorHAnsi"/>
                <w:bCs/>
                <w:sz w:val="18"/>
                <w:szCs w:val="18"/>
              </w:rPr>
              <w:t xml:space="preserve">  </w:t>
            </w:r>
          </w:p>
        </w:tc>
        <w:tc>
          <w:tcPr>
            <w:tcW w:w="488" w:type="pct"/>
          </w:tcPr>
          <w:p w14:paraId="53847A78" w14:textId="77777777" w:rsidR="00DC62ED" w:rsidRDefault="00FB0A15" w:rsidP="00961069">
            <w:pPr>
              <w:spacing w:before="0" w:after="0"/>
            </w:pPr>
            <w:hyperlink r:id="rId14" w:history="1">
              <w:r w:rsidR="00DC62ED" w:rsidRPr="00B369A4">
                <w:rPr>
                  <w:rStyle w:val="Hyperlink"/>
                </w:rPr>
                <w:t>https://ascopubs.org/doi/abs/10.1200/JCO.2022.40.16_suppl.e17571</w:t>
              </w:r>
            </w:hyperlink>
            <w:r w:rsidR="00DC62ED">
              <w:t xml:space="preserve"> </w:t>
            </w:r>
          </w:p>
        </w:tc>
        <w:tc>
          <w:tcPr>
            <w:tcW w:w="550" w:type="pct"/>
          </w:tcPr>
          <w:p w14:paraId="1C5B2DF4" w14:textId="77777777" w:rsidR="00DC62ED" w:rsidRDefault="00DC62ED" w:rsidP="00961069">
            <w:pPr>
              <w:spacing w:before="0" w:after="0"/>
              <w:rPr>
                <w:rFonts w:cstheme="minorHAnsi"/>
                <w:bCs/>
                <w:sz w:val="18"/>
                <w:szCs w:val="18"/>
              </w:rPr>
            </w:pPr>
            <w:r>
              <w:rPr>
                <w:rFonts w:cstheme="minorHAnsi"/>
                <w:bCs/>
                <w:sz w:val="18"/>
                <w:szCs w:val="18"/>
              </w:rPr>
              <w:t>June 2022</w:t>
            </w:r>
          </w:p>
        </w:tc>
      </w:tr>
    </w:tbl>
    <w:p w14:paraId="7195D032" w14:textId="1D34A6CC" w:rsidR="004C49EF" w:rsidRDefault="00643755" w:rsidP="00643755">
      <w:pPr>
        <w:pStyle w:val="Heading2"/>
        <w:rPr>
          <w:i/>
        </w:rPr>
      </w:pPr>
      <w:bookmarkStart w:id="3" w:name="_Hlk102660912"/>
      <w:r w:rsidRPr="00643755">
        <w:t xml:space="preserve">Identify </w:t>
      </w:r>
      <w:r w:rsidRPr="00643755">
        <w:rPr>
          <w:u w:val="single"/>
        </w:rPr>
        <w:t>yet-to-be-published</w:t>
      </w:r>
      <w:r w:rsidRPr="00643755">
        <w:t xml:space="preserve"> research that may have results available </w:t>
      </w:r>
      <w:proofErr w:type="gramStart"/>
      <w:r w:rsidRPr="00643755">
        <w:t>in the near future</w:t>
      </w:r>
      <w:bookmarkEnd w:id="3"/>
      <w:proofErr w:type="gramEnd"/>
      <w:r w:rsidRPr="00643755">
        <w:t xml:space="preserve"> (that could be relevant to your application). Do not attach full text a</w:t>
      </w:r>
      <w:r>
        <w:t>rticles; this is just a summary</w:t>
      </w:r>
      <w:r w:rsidR="004C49EF" w:rsidRPr="00643755">
        <w:rPr>
          <w:i/>
        </w:rPr>
        <w:t>.</w:t>
      </w:r>
    </w:p>
    <w:p w14:paraId="4D176140" w14:textId="59BBFB95" w:rsidR="00DD308E" w:rsidRPr="005E5B6B" w:rsidRDefault="006B73BD" w:rsidP="005E5B6B">
      <w:pPr>
        <w:ind w:firstLine="360"/>
        <w:rPr>
          <w:bCs/>
        </w:rPr>
        <w:sectPr w:rsidR="00DD308E" w:rsidRPr="005E5B6B" w:rsidSect="00DD308E">
          <w:pgSz w:w="16838" w:h="11906" w:orient="landscape"/>
          <w:pgMar w:top="1440" w:right="1440" w:bottom="1440" w:left="1440" w:header="708" w:footer="708" w:gutter="0"/>
          <w:cols w:space="708"/>
          <w:docGrid w:linePitch="360"/>
        </w:sectPr>
      </w:pPr>
      <w:r w:rsidRPr="006B73BD">
        <w:rPr>
          <w:bCs/>
          <w:szCs w:val="20"/>
        </w:rPr>
        <w:t>None identified</w:t>
      </w:r>
      <w:r w:rsidR="00F301F1">
        <w:rPr>
          <w:b/>
          <w:sz w:val="32"/>
          <w:szCs w:val="32"/>
        </w:rPr>
        <w:br w:type="page"/>
      </w:r>
    </w:p>
    <w:p w14:paraId="14FAA015"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6DDBF235"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0F7B0575" w14:textId="0901AD21" w:rsidR="0023327B" w:rsidRPr="00A4296C" w:rsidRDefault="00D64EB8" w:rsidP="00A727B6">
      <w:pPr>
        <w:ind w:left="426"/>
      </w:pPr>
      <w:r w:rsidRPr="00A4296C">
        <w:t>The Royal College of Pathologists of Australasia</w:t>
      </w:r>
      <w:r w:rsidR="00FB2646" w:rsidRPr="00A4296C">
        <w:t xml:space="preserve"> (RCPA)</w:t>
      </w:r>
    </w:p>
    <w:p w14:paraId="29E7DE61" w14:textId="576D1993" w:rsidR="00A727B6" w:rsidRPr="00A727B6" w:rsidRDefault="00FB2646" w:rsidP="00A727B6">
      <w:pPr>
        <w:ind w:left="426"/>
      </w:pPr>
      <w:r w:rsidRPr="00A4296C">
        <w:t>Australia New Zealand Gynaecological Oncology Group (ANZGOG)</w:t>
      </w:r>
    </w:p>
    <w:p w14:paraId="3F4B0448" w14:textId="711C8779"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3BF01E37" w14:textId="5F2769A2" w:rsidR="00EA173C" w:rsidRDefault="00233FB6" w:rsidP="00A727B6">
      <w:pPr>
        <w:ind w:left="426"/>
      </w:pPr>
      <w:r>
        <w:t>As above</w:t>
      </w:r>
    </w:p>
    <w:p w14:paraId="05C3F894" w14:textId="77777777"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4A23FC03" w14:textId="05F54385" w:rsidR="00E82F54" w:rsidRDefault="00DA14DB" w:rsidP="00A727B6">
      <w:pPr>
        <w:ind w:left="426"/>
        <w:rPr>
          <w:szCs w:val="20"/>
        </w:rPr>
      </w:pPr>
      <w:r w:rsidRPr="00A4296C">
        <w:t>Ovarian Cancer Australia</w:t>
      </w:r>
    </w:p>
    <w:p w14:paraId="6187EC69"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3EB39114" w14:textId="4DB8E174" w:rsidR="00835981" w:rsidRDefault="00881A71" w:rsidP="00EE6450">
      <w:pPr>
        <w:ind w:left="426"/>
      </w:pPr>
      <w:r>
        <w:t xml:space="preserve">HRD testing is not currently </w:t>
      </w:r>
      <w:r w:rsidR="007F2C93">
        <w:t>reimbursed</w:t>
      </w:r>
      <w:r>
        <w:t xml:space="preserve"> in Australia.  </w:t>
      </w:r>
    </w:p>
    <w:p w14:paraId="36855282" w14:textId="0E3D537B" w:rsidR="00EE6450" w:rsidRDefault="003C415E" w:rsidP="00EE6450">
      <w:pPr>
        <w:ind w:left="426"/>
        <w:rPr>
          <w:szCs w:val="20"/>
        </w:rPr>
      </w:pPr>
      <w:r>
        <w:t>Tumour BRCA testing is</w:t>
      </w:r>
      <w:r w:rsidR="009B1B33">
        <w:t xml:space="preserve"> established in Australia</w:t>
      </w:r>
      <w:r>
        <w:t xml:space="preserve"> and </w:t>
      </w:r>
      <w:r w:rsidR="009B1B33">
        <w:t xml:space="preserve">is </w:t>
      </w:r>
      <w:r>
        <w:t xml:space="preserve">MBS funded </w:t>
      </w:r>
      <w:r w:rsidR="009B1B33">
        <w:t xml:space="preserve">(refer to </w:t>
      </w:r>
      <w:r w:rsidR="009B1B33">
        <w:fldChar w:fldCharType="begin"/>
      </w:r>
      <w:r w:rsidR="009B1B33">
        <w:instrText xml:space="preserve"> REF _Ref103243559 \h </w:instrText>
      </w:r>
      <w:r w:rsidR="009B1B33">
        <w:fldChar w:fldCharType="separate"/>
      </w:r>
      <w:r w:rsidR="00FB0A15" w:rsidRPr="001758E2">
        <w:rPr>
          <w:rFonts w:cstheme="minorHAnsi"/>
          <w:szCs w:val="20"/>
        </w:rPr>
        <w:t xml:space="preserve">Table </w:t>
      </w:r>
      <w:r w:rsidR="00FB0A15">
        <w:rPr>
          <w:rFonts w:cstheme="minorHAnsi"/>
          <w:noProof/>
          <w:szCs w:val="20"/>
        </w:rPr>
        <w:t>4</w:t>
      </w:r>
      <w:r w:rsidR="009B1B33">
        <w:fldChar w:fldCharType="end"/>
      </w:r>
      <w:r w:rsidR="009B1B33">
        <w:t xml:space="preserve">).  </w:t>
      </w:r>
    </w:p>
    <w:p w14:paraId="33BB2151" w14:textId="77777777" w:rsidR="00BA72E3" w:rsidRPr="00BA72E3" w:rsidRDefault="00BA72E3" w:rsidP="00BA72E3">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4B698A8B" w14:textId="77777777" w:rsidR="00A4296C" w:rsidRPr="00A4296C" w:rsidRDefault="00987ABE" w:rsidP="00987ABE">
      <w:pPr>
        <w:ind w:left="426"/>
        <w:rPr>
          <w:szCs w:val="20"/>
        </w:rPr>
      </w:pPr>
      <w:r w:rsidRPr="00A4296C">
        <w:rPr>
          <w:szCs w:val="20"/>
        </w:rPr>
        <w:t xml:space="preserve">Name of expert 1: </w:t>
      </w:r>
      <w:r w:rsidR="00A4296C" w:rsidRPr="00A4296C">
        <w:rPr>
          <w:b/>
          <w:bCs/>
          <w:szCs w:val="20"/>
        </w:rPr>
        <w:t>REDACTED</w:t>
      </w:r>
      <w:r w:rsidR="00A4296C" w:rsidRPr="00A4296C">
        <w:rPr>
          <w:szCs w:val="20"/>
        </w:rPr>
        <w:t xml:space="preserve"> </w:t>
      </w:r>
    </w:p>
    <w:p w14:paraId="36606D7E" w14:textId="0CE0A54E" w:rsidR="009816E6" w:rsidRPr="00A4296C" w:rsidRDefault="00987ABE" w:rsidP="00987ABE">
      <w:pPr>
        <w:ind w:left="426"/>
        <w:rPr>
          <w:rFonts w:cstheme="minorHAnsi"/>
          <w:szCs w:val="20"/>
        </w:rPr>
      </w:pPr>
      <w:r w:rsidRPr="00A4296C">
        <w:rPr>
          <w:szCs w:val="20"/>
        </w:rPr>
        <w:t xml:space="preserve">Telephone number(s): </w:t>
      </w:r>
      <w:r w:rsidR="00A4296C" w:rsidRPr="00A4296C">
        <w:rPr>
          <w:b/>
          <w:bCs/>
          <w:szCs w:val="20"/>
        </w:rPr>
        <w:t>REDACTED</w:t>
      </w:r>
    </w:p>
    <w:p w14:paraId="3C3C681A" w14:textId="1A71002F" w:rsidR="00027B2E" w:rsidRPr="00A4296C" w:rsidRDefault="00987ABE" w:rsidP="00987ABE">
      <w:pPr>
        <w:ind w:left="426"/>
      </w:pPr>
      <w:r w:rsidRPr="00A4296C">
        <w:rPr>
          <w:szCs w:val="20"/>
        </w:rPr>
        <w:t>Email address:</w:t>
      </w:r>
      <w:r w:rsidR="00A4296C" w:rsidRPr="00A4296C">
        <w:rPr>
          <w:b/>
          <w:bCs/>
          <w:szCs w:val="20"/>
        </w:rPr>
        <w:t xml:space="preserve"> REDACTED</w:t>
      </w:r>
    </w:p>
    <w:p w14:paraId="16F20AF0" w14:textId="52B83165" w:rsidR="00987ABE" w:rsidRPr="00A4296C" w:rsidRDefault="00987ABE" w:rsidP="00987ABE">
      <w:pPr>
        <w:ind w:left="426"/>
        <w:rPr>
          <w:szCs w:val="20"/>
        </w:rPr>
      </w:pPr>
      <w:r w:rsidRPr="00A4296C">
        <w:rPr>
          <w:szCs w:val="20"/>
        </w:rPr>
        <w:t xml:space="preserve">Justification of expertise: </w:t>
      </w:r>
      <w:r w:rsidR="00A4296C" w:rsidRPr="00A4296C">
        <w:rPr>
          <w:b/>
          <w:bCs/>
          <w:szCs w:val="20"/>
        </w:rPr>
        <w:t>REDACTED</w:t>
      </w:r>
    </w:p>
    <w:p w14:paraId="76C32FAF" w14:textId="77777777" w:rsidR="00A4296C" w:rsidRDefault="00A4296C" w:rsidP="00987ABE">
      <w:pPr>
        <w:ind w:left="426"/>
        <w:rPr>
          <w:szCs w:val="20"/>
        </w:rPr>
      </w:pPr>
    </w:p>
    <w:p w14:paraId="6A27914C" w14:textId="28163385" w:rsidR="00A4296C" w:rsidRPr="00A4296C" w:rsidRDefault="00987ABE" w:rsidP="00987ABE">
      <w:pPr>
        <w:ind w:left="426"/>
        <w:rPr>
          <w:szCs w:val="20"/>
        </w:rPr>
      </w:pPr>
      <w:r w:rsidRPr="00A4296C">
        <w:rPr>
          <w:szCs w:val="20"/>
        </w:rPr>
        <w:t xml:space="preserve">Name of expert 2: </w:t>
      </w:r>
      <w:r w:rsidR="00A4296C" w:rsidRPr="00A4296C">
        <w:rPr>
          <w:b/>
          <w:bCs/>
          <w:szCs w:val="20"/>
        </w:rPr>
        <w:t>REDACTED</w:t>
      </w:r>
      <w:r w:rsidR="00A4296C" w:rsidRPr="00A4296C">
        <w:rPr>
          <w:szCs w:val="20"/>
        </w:rPr>
        <w:t xml:space="preserve"> </w:t>
      </w:r>
    </w:p>
    <w:p w14:paraId="0FBB940E" w14:textId="4E31403F" w:rsidR="00987ABE" w:rsidRPr="00A4296C" w:rsidRDefault="00987ABE" w:rsidP="00987ABE">
      <w:pPr>
        <w:ind w:left="426"/>
        <w:rPr>
          <w:szCs w:val="20"/>
        </w:rPr>
      </w:pPr>
      <w:r w:rsidRPr="00A4296C">
        <w:rPr>
          <w:szCs w:val="20"/>
        </w:rPr>
        <w:t xml:space="preserve">Telephone number(s): </w:t>
      </w:r>
      <w:r w:rsidR="00A4296C" w:rsidRPr="00A4296C">
        <w:rPr>
          <w:b/>
          <w:bCs/>
          <w:szCs w:val="20"/>
        </w:rPr>
        <w:t>REDACTED</w:t>
      </w:r>
    </w:p>
    <w:p w14:paraId="2017EE24" w14:textId="77777777" w:rsidR="00A4296C" w:rsidRPr="00A4296C" w:rsidRDefault="00987ABE" w:rsidP="00987ABE">
      <w:pPr>
        <w:ind w:left="426"/>
        <w:rPr>
          <w:szCs w:val="20"/>
        </w:rPr>
      </w:pPr>
      <w:r w:rsidRPr="00A4296C">
        <w:rPr>
          <w:rFonts w:cstheme="minorHAnsi"/>
          <w:szCs w:val="20"/>
        </w:rPr>
        <w:t>Email address</w:t>
      </w:r>
      <w:r w:rsidR="00D053DD" w:rsidRPr="00A4296C">
        <w:rPr>
          <w:rFonts w:cstheme="minorHAnsi"/>
          <w:szCs w:val="20"/>
        </w:rPr>
        <w:t xml:space="preserve">: </w:t>
      </w:r>
      <w:r w:rsidR="00A4296C" w:rsidRPr="00A4296C">
        <w:rPr>
          <w:b/>
          <w:bCs/>
          <w:szCs w:val="20"/>
        </w:rPr>
        <w:t>REDACTED</w:t>
      </w:r>
      <w:r w:rsidR="00A4296C" w:rsidRPr="00A4296C">
        <w:rPr>
          <w:szCs w:val="20"/>
        </w:rPr>
        <w:t xml:space="preserve"> </w:t>
      </w:r>
    </w:p>
    <w:p w14:paraId="6CAC8B53" w14:textId="0FFE2CAD" w:rsidR="00987ABE" w:rsidRDefault="00987ABE" w:rsidP="00E82F54">
      <w:pPr>
        <w:ind w:left="426"/>
        <w:rPr>
          <w:i/>
          <w:szCs w:val="20"/>
        </w:rPr>
      </w:pPr>
      <w:r w:rsidRPr="00A4296C">
        <w:rPr>
          <w:szCs w:val="20"/>
        </w:rPr>
        <w:t xml:space="preserve">Justification of expertise: </w:t>
      </w:r>
      <w:r w:rsidR="00A4296C" w:rsidRPr="00A4296C">
        <w:rPr>
          <w:b/>
          <w:bCs/>
          <w:szCs w:val="20"/>
        </w:rPr>
        <w:t>REDACTED</w:t>
      </w:r>
    </w:p>
    <w:p w14:paraId="10585735" w14:textId="77777777" w:rsidR="00A4296C" w:rsidRDefault="00A4296C">
      <w:pPr>
        <w:spacing w:before="0" w:after="200" w:line="276" w:lineRule="auto"/>
        <w:rPr>
          <w:bCs/>
          <w:color w:val="4F81BD" w:themeColor="accent1"/>
          <w:sz w:val="40"/>
          <w:szCs w:val="32"/>
        </w:rPr>
      </w:pPr>
      <w:r>
        <w:br w:type="page"/>
      </w:r>
    </w:p>
    <w:p w14:paraId="735B5016" w14:textId="575C7098" w:rsidR="00E82F54" w:rsidRPr="00EA173C" w:rsidRDefault="00F93784" w:rsidP="005E5B6B">
      <w:pPr>
        <w:pStyle w:val="Heading1"/>
        <w:ind w:left="0" w:firstLine="0"/>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26937871" w14:textId="2834DAD6" w:rsidR="008860FB" w:rsidRDefault="008860FB" w:rsidP="00BD6C89">
      <w:r w:rsidRPr="008860FB">
        <w:t xml:space="preserve">An </w:t>
      </w:r>
      <w:r>
        <w:t>overview of the PICO</w:t>
      </w:r>
      <w:r w:rsidR="00FB1F22">
        <w:t xml:space="preserve"> for the testing of tumour tissue to determine HRD status in patients with NDA HGEOC for access </w:t>
      </w:r>
      <w:r w:rsidR="00A1006B">
        <w:t xml:space="preserve">to maintenance niraparib is presented in the table below.  </w:t>
      </w:r>
      <w:r w:rsidR="00793F10">
        <w:t xml:space="preserve">Acknowledging the ratified PICO for Application 1658 (August 2021 PASC), </w:t>
      </w:r>
      <w:r w:rsidR="007A2800">
        <w:t xml:space="preserve">the </w:t>
      </w:r>
      <w:r w:rsidR="000907E8">
        <w:t>circumstances of niraparib have been applied to this framework</w:t>
      </w:r>
      <w:r w:rsidR="00856A69">
        <w:t>:</w:t>
      </w:r>
    </w:p>
    <w:p w14:paraId="0E26FFFB" w14:textId="77777777" w:rsidR="00856A69" w:rsidRDefault="00856A69" w:rsidP="00856A69">
      <w:pPr>
        <w:pStyle w:val="ListParagraph"/>
        <w:numPr>
          <w:ilvl w:val="0"/>
          <w:numId w:val="32"/>
        </w:numPr>
        <w:spacing w:before="0" w:after="0"/>
        <w:contextualSpacing w:val="0"/>
      </w:pPr>
      <w:r>
        <w:rPr>
          <w:u w:val="single"/>
        </w:rPr>
        <w:t>Population:</w:t>
      </w:r>
      <w:r>
        <w:t xml:space="preserve"> the co-dependent application for niraparib will consider the test population circumstances proposed by the PASC (p9, Ratified PICO – Application 1658): </w:t>
      </w:r>
    </w:p>
    <w:p w14:paraId="0936EB92" w14:textId="77777777" w:rsidR="00856A69" w:rsidRDefault="00856A69" w:rsidP="6FDC5F17">
      <w:pPr>
        <w:pStyle w:val="ListParagraph"/>
        <w:numPr>
          <w:ilvl w:val="1"/>
          <w:numId w:val="32"/>
        </w:numPr>
        <w:spacing w:before="0" w:after="0"/>
      </w:pPr>
      <w:r w:rsidRPr="00891191">
        <w:rPr>
          <w:u w:val="single"/>
        </w:rPr>
        <w:t>Population #1:</w:t>
      </w:r>
      <w:r>
        <w:t xml:space="preserve"> NDA HGEOC patients at diagnosis (HRD testing for BRCA1/2 variant and GIS in parallel; constitutes population currently eligible for BRCA1/2 testing on MBS</w:t>
      </w:r>
      <w:proofErr w:type="gramStart"/>
      <w:r>
        <w:t>);</w:t>
      </w:r>
      <w:proofErr w:type="gramEnd"/>
      <w:r>
        <w:t xml:space="preserve"> </w:t>
      </w:r>
    </w:p>
    <w:p w14:paraId="1AF7FA09" w14:textId="2CA96B91" w:rsidR="00856A69" w:rsidRDefault="00856A69" w:rsidP="6FDC5F17">
      <w:pPr>
        <w:pStyle w:val="ListParagraph"/>
        <w:numPr>
          <w:ilvl w:val="1"/>
          <w:numId w:val="32"/>
        </w:numPr>
        <w:spacing w:before="0" w:after="0"/>
      </w:pPr>
      <w:r w:rsidRPr="00891191">
        <w:rPr>
          <w:u w:val="single"/>
        </w:rPr>
        <w:t>Population #2:</w:t>
      </w:r>
      <w:r>
        <w:t xml:space="preserve"> NDA HGEOC non-</w:t>
      </w:r>
      <w:proofErr w:type="spellStart"/>
      <w:r>
        <w:t>BRCAm</w:t>
      </w:r>
      <w:proofErr w:type="spellEnd"/>
      <w:r>
        <w:t xml:space="preserve"> patients at diagnosis (Testing for GIS to occur sequentially following a negative BRCA1/2 test result</w:t>
      </w:r>
      <w:proofErr w:type="gramStart"/>
      <w:r>
        <w:t>);</w:t>
      </w:r>
      <w:proofErr w:type="gramEnd"/>
      <w:r>
        <w:t xml:space="preserve"> </w:t>
      </w:r>
    </w:p>
    <w:p w14:paraId="363FF560" w14:textId="28AC5E71" w:rsidR="00856A69" w:rsidRDefault="00856A69" w:rsidP="06BAB65E">
      <w:pPr>
        <w:pStyle w:val="ListParagraph"/>
        <w:numPr>
          <w:ilvl w:val="1"/>
          <w:numId w:val="32"/>
        </w:numPr>
        <w:spacing w:before="0" w:after="0"/>
      </w:pPr>
      <w:r w:rsidRPr="00891191">
        <w:rPr>
          <w:u w:val="single"/>
        </w:rPr>
        <w:t>Population #3:</w:t>
      </w:r>
      <w:r>
        <w:t xml:space="preserve"> NDA HGEOC patients or NDA HGEOC non-</w:t>
      </w:r>
      <w:proofErr w:type="spellStart"/>
      <w:r>
        <w:t>BRCAm</w:t>
      </w:r>
      <w:proofErr w:type="spellEnd"/>
      <w:r>
        <w:t xml:space="preserve"> patients who receive a 1L </w:t>
      </w:r>
      <w:r w:rsidR="00274C52">
        <w:t>platinum-based</w:t>
      </w:r>
      <w:r>
        <w:t xml:space="preserve"> chemotherapy</w:t>
      </w:r>
      <w:r w:rsidR="004371A8">
        <w:t xml:space="preserve"> </w:t>
      </w:r>
      <w:r>
        <w:t>regimen (BRCA1/2 and GIS could be conducted in parallel or sequentially following a negative BRCA1/2 test result)</w:t>
      </w:r>
    </w:p>
    <w:p w14:paraId="4EB53000" w14:textId="4680675C" w:rsidR="00856A69" w:rsidRDefault="00856A69" w:rsidP="00856A69">
      <w:pPr>
        <w:pStyle w:val="ListParagraph"/>
        <w:numPr>
          <w:ilvl w:val="0"/>
          <w:numId w:val="32"/>
        </w:numPr>
        <w:spacing w:before="0" w:after="0"/>
        <w:contextualSpacing w:val="0"/>
      </w:pPr>
      <w:r>
        <w:rPr>
          <w:u w:val="single"/>
        </w:rPr>
        <w:t>Intervention and Comparator:</w:t>
      </w:r>
      <w:r>
        <w:t xml:space="preserve"> with respect to the maintenance treatments, the key difference is that niraparib will be intended to be used following response to </w:t>
      </w:r>
      <w:r w:rsidR="00B55F7E">
        <w:t>platinum-based</w:t>
      </w:r>
      <w:r>
        <w:t xml:space="preserve"> chemotherapy (PBC), whereas Olaparib &amp; bevacizumab combination would be used following </w:t>
      </w:r>
      <w:r w:rsidR="00B55F7E">
        <w:t>PBC</w:t>
      </w:r>
      <w:r>
        <w:t xml:space="preserve"> and bevacizumab as per patient populations of the pivotal evidence (PRIMA, PAOLA-1). </w:t>
      </w:r>
    </w:p>
    <w:p w14:paraId="17FF5ED2" w14:textId="16883461" w:rsidR="00856A69" w:rsidRDefault="00856A69" w:rsidP="00856A69">
      <w:pPr>
        <w:ind w:left="720"/>
      </w:pPr>
      <w:r>
        <w:t>For non-</w:t>
      </w:r>
      <w:proofErr w:type="spellStart"/>
      <w:r>
        <w:t>BRCAm</w:t>
      </w:r>
      <w:proofErr w:type="spellEnd"/>
      <w:r>
        <w:t xml:space="preserve"> HRD patients, current standard of care is standard medical management following response to PBC only, whereas patients that received PBC + bevacizumab, would continue with bevacizumab as maintenance therapy. </w:t>
      </w:r>
    </w:p>
    <w:p w14:paraId="3AE56A91" w14:textId="14812C9E" w:rsidR="00856A69" w:rsidRDefault="00856A69" w:rsidP="00856A69">
      <w:pPr>
        <w:pStyle w:val="ListParagraph"/>
        <w:numPr>
          <w:ilvl w:val="0"/>
          <w:numId w:val="32"/>
        </w:numPr>
        <w:spacing w:before="0" w:after="0"/>
        <w:contextualSpacing w:val="0"/>
      </w:pPr>
      <w:r>
        <w:rPr>
          <w:u w:val="single"/>
        </w:rPr>
        <w:t>Outcomes:</w:t>
      </w:r>
      <w:r>
        <w:t xml:space="preserve"> test and drug outcomes nominated in the ratified PICO </w:t>
      </w:r>
      <w:r w:rsidR="00891191">
        <w:t xml:space="preserve">(Application 1658) </w:t>
      </w:r>
      <w:r>
        <w:t>will be considered in a co-dependent application for niraparib.</w:t>
      </w:r>
    </w:p>
    <w:p w14:paraId="1D4B71EC" w14:textId="77777777" w:rsidR="003C256E" w:rsidRDefault="003C256E" w:rsidP="003C256E">
      <w:pPr>
        <w:spacing w:before="0" w:after="0"/>
        <w:ind w:left="360"/>
      </w:pPr>
    </w:p>
    <w:p w14:paraId="28D78BB0" w14:textId="729F31F5" w:rsidR="003C256E" w:rsidRDefault="00274C52" w:rsidP="00A4296C">
      <w:pPr>
        <w:spacing w:before="0" w:after="0"/>
      </w:pPr>
      <w:r w:rsidRPr="00A4296C">
        <w:t xml:space="preserve">Given the PICO </w:t>
      </w:r>
      <w:r w:rsidR="00EE76B2" w:rsidRPr="00A4296C">
        <w:t xml:space="preserve">from Application 1658 </w:t>
      </w:r>
      <w:r w:rsidRPr="00A4296C">
        <w:t xml:space="preserve">has been well defined and is directly applicable to the HRD testing circumstances to inform access to niraparib for NDA HGEOC, </w:t>
      </w:r>
      <w:r w:rsidR="00BD6C89" w:rsidRPr="00A4296C">
        <w:t>GSK requests</w:t>
      </w:r>
      <w:r w:rsidRPr="00A4296C">
        <w:t xml:space="preserve"> that a</w:t>
      </w:r>
      <w:r w:rsidR="00EE76B2" w:rsidRPr="00A4296C">
        <w:t>n expedited</w:t>
      </w:r>
      <w:r w:rsidRPr="00A4296C">
        <w:t xml:space="preserve"> PASC bypass </w:t>
      </w:r>
      <w:r w:rsidR="00541462" w:rsidRPr="00A4296C">
        <w:t>occurs in the MSAC assessment pathway.</w:t>
      </w:r>
      <w:r w:rsidR="00541462">
        <w:t xml:space="preserve">  </w:t>
      </w:r>
    </w:p>
    <w:p w14:paraId="604C8328" w14:textId="77777777" w:rsidR="00A4296C" w:rsidRDefault="00A4296C" w:rsidP="00A4296C">
      <w:pPr>
        <w:spacing w:before="0" w:after="0"/>
      </w:pPr>
    </w:p>
    <w:p w14:paraId="401B745E" w14:textId="775251E1" w:rsidR="00856A69" w:rsidRPr="00A13A17" w:rsidRDefault="0058054D" w:rsidP="00A4296C">
      <w:pPr>
        <w:pStyle w:val="Caption"/>
        <w:ind w:left="709" w:hanging="709"/>
        <w:rPr>
          <w:rFonts w:asciiTheme="minorHAnsi" w:hAnsiTheme="minorHAnsi" w:cstheme="minorHAnsi"/>
          <w:sz w:val="20"/>
          <w:szCs w:val="20"/>
        </w:rPr>
      </w:pPr>
      <w:r w:rsidRPr="0058054D">
        <w:rPr>
          <w:rFonts w:asciiTheme="minorHAnsi" w:hAnsiTheme="minorHAnsi" w:cstheme="minorHAnsi"/>
          <w:sz w:val="20"/>
          <w:szCs w:val="20"/>
        </w:rPr>
        <w:t xml:space="preserve">Table </w:t>
      </w:r>
      <w:r w:rsidRPr="0058054D">
        <w:rPr>
          <w:rFonts w:asciiTheme="minorHAnsi" w:hAnsiTheme="minorHAnsi" w:cstheme="minorHAnsi"/>
          <w:sz w:val="20"/>
          <w:szCs w:val="20"/>
        </w:rPr>
        <w:fldChar w:fldCharType="begin"/>
      </w:r>
      <w:r w:rsidRPr="0058054D">
        <w:rPr>
          <w:rFonts w:asciiTheme="minorHAnsi" w:hAnsiTheme="minorHAnsi" w:cstheme="minorHAnsi"/>
          <w:sz w:val="20"/>
          <w:szCs w:val="20"/>
        </w:rPr>
        <w:instrText xml:space="preserve"> SEQ Table \* ARABIC </w:instrText>
      </w:r>
      <w:r w:rsidRPr="0058054D">
        <w:rPr>
          <w:rFonts w:asciiTheme="minorHAnsi" w:hAnsiTheme="minorHAnsi" w:cstheme="minorHAnsi"/>
          <w:sz w:val="20"/>
          <w:szCs w:val="20"/>
        </w:rPr>
        <w:fldChar w:fldCharType="separate"/>
      </w:r>
      <w:r w:rsidR="00FB0A15">
        <w:rPr>
          <w:rFonts w:asciiTheme="minorHAnsi" w:hAnsiTheme="minorHAnsi" w:cstheme="minorHAnsi"/>
          <w:noProof/>
          <w:sz w:val="20"/>
          <w:szCs w:val="20"/>
        </w:rPr>
        <w:t>1</w:t>
      </w:r>
      <w:r w:rsidRPr="0058054D">
        <w:rPr>
          <w:rFonts w:asciiTheme="minorHAnsi" w:hAnsiTheme="minorHAnsi" w:cstheme="minorHAnsi"/>
          <w:sz w:val="20"/>
          <w:szCs w:val="20"/>
        </w:rPr>
        <w:fldChar w:fldCharType="end"/>
      </w:r>
      <w:r w:rsidRPr="0058054D">
        <w:rPr>
          <w:rFonts w:asciiTheme="minorHAnsi" w:hAnsiTheme="minorHAnsi" w:cstheme="minorHAnsi"/>
          <w:sz w:val="20"/>
          <w:szCs w:val="20"/>
        </w:rPr>
        <w:t xml:space="preserve">: </w:t>
      </w:r>
      <w:r w:rsidR="00A13A17" w:rsidRPr="00A13A17">
        <w:rPr>
          <w:rFonts w:asciiTheme="minorHAnsi" w:hAnsiTheme="minorHAnsi" w:cstheme="minorHAnsi"/>
          <w:sz w:val="20"/>
          <w:szCs w:val="20"/>
        </w:rPr>
        <w:t>O</w:t>
      </w:r>
      <w:r w:rsidR="00A13A17" w:rsidRPr="00A13A17">
        <w:rPr>
          <w:sz w:val="20"/>
          <w:szCs w:val="20"/>
        </w:rPr>
        <w:t xml:space="preserve">verview of the PICO for the testing of tumour tissue to determine HRD status in patients with NDA HGEOC for access to </w:t>
      </w:r>
      <w:r w:rsidR="00A13A17">
        <w:rPr>
          <w:sz w:val="20"/>
          <w:szCs w:val="20"/>
        </w:rPr>
        <w:t>niraparib</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0"/>
        <w:gridCol w:w="871"/>
        <w:gridCol w:w="958"/>
        <w:gridCol w:w="1314"/>
        <w:gridCol w:w="2044"/>
        <w:gridCol w:w="3654"/>
      </w:tblGrid>
      <w:tr w:rsidR="00F97CCE" w14:paraId="1BA4AE04" w14:textId="77777777" w:rsidTr="00A4296C">
        <w:trPr>
          <w:tblHeader/>
        </w:trPr>
        <w:tc>
          <w:tcPr>
            <w:tcW w:w="2769" w:type="dxa"/>
            <w:gridSpan w:val="3"/>
            <w:shd w:val="clear" w:color="auto" w:fill="D9D9D9" w:themeFill="background1" w:themeFillShade="D9"/>
            <w:tcMar>
              <w:top w:w="0" w:type="dxa"/>
              <w:left w:w="28" w:type="dxa"/>
              <w:bottom w:w="0" w:type="dxa"/>
              <w:right w:w="28" w:type="dxa"/>
            </w:tcMar>
            <w:vAlign w:val="center"/>
            <w:hideMark/>
          </w:tcPr>
          <w:p w14:paraId="3341AFCB" w14:textId="77777777" w:rsidR="000D1ADA" w:rsidRDefault="000D1ADA" w:rsidP="00FA1FC8">
            <w:pPr>
              <w:spacing w:before="0" w:after="0"/>
              <w:rPr>
                <w:b/>
                <w:bCs/>
                <w:szCs w:val="20"/>
              </w:rPr>
            </w:pPr>
            <w:r>
              <w:rPr>
                <w:b/>
                <w:bCs/>
                <w:szCs w:val="20"/>
              </w:rPr>
              <w:t>Po</w:t>
            </w:r>
            <w:r>
              <w:rPr>
                <w:b/>
                <w:bCs/>
                <w:color w:val="000000"/>
                <w:szCs w:val="20"/>
              </w:rPr>
              <w:t>pulation (NDA HGEOC)</w:t>
            </w:r>
          </w:p>
        </w:tc>
        <w:tc>
          <w:tcPr>
            <w:tcW w:w="1314" w:type="dxa"/>
            <w:shd w:val="clear" w:color="auto" w:fill="D9D9D9" w:themeFill="background1" w:themeFillShade="D9"/>
            <w:tcMar>
              <w:top w:w="0" w:type="dxa"/>
              <w:left w:w="28" w:type="dxa"/>
              <w:bottom w:w="0" w:type="dxa"/>
              <w:right w:w="28" w:type="dxa"/>
            </w:tcMar>
            <w:vAlign w:val="center"/>
            <w:hideMark/>
          </w:tcPr>
          <w:p w14:paraId="7A01BDD5" w14:textId="77777777" w:rsidR="000D1ADA" w:rsidRDefault="000D1ADA" w:rsidP="00FA1FC8">
            <w:pPr>
              <w:spacing w:before="0" w:after="0"/>
              <w:jc w:val="center"/>
              <w:rPr>
                <w:b/>
                <w:bCs/>
                <w:szCs w:val="20"/>
              </w:rPr>
            </w:pPr>
            <w:r>
              <w:rPr>
                <w:b/>
                <w:bCs/>
                <w:color w:val="000000"/>
                <w:szCs w:val="20"/>
              </w:rPr>
              <w:t>Intervention</w:t>
            </w:r>
          </w:p>
        </w:tc>
        <w:tc>
          <w:tcPr>
            <w:tcW w:w="2044" w:type="dxa"/>
            <w:shd w:val="clear" w:color="auto" w:fill="D9D9D9" w:themeFill="background1" w:themeFillShade="D9"/>
            <w:tcMar>
              <w:top w:w="0" w:type="dxa"/>
              <w:left w:w="28" w:type="dxa"/>
              <w:bottom w:w="0" w:type="dxa"/>
              <w:right w:w="28" w:type="dxa"/>
            </w:tcMar>
            <w:hideMark/>
          </w:tcPr>
          <w:p w14:paraId="2FDC9256" w14:textId="77777777" w:rsidR="000D1ADA" w:rsidRDefault="000D1ADA" w:rsidP="00FA1FC8">
            <w:pPr>
              <w:spacing w:before="0" w:after="0"/>
              <w:jc w:val="center"/>
              <w:rPr>
                <w:b/>
                <w:bCs/>
                <w:szCs w:val="20"/>
              </w:rPr>
            </w:pPr>
            <w:r>
              <w:rPr>
                <w:b/>
                <w:bCs/>
                <w:color w:val="000000"/>
                <w:szCs w:val="20"/>
              </w:rPr>
              <w:t>Comparator</w:t>
            </w:r>
          </w:p>
        </w:tc>
        <w:tc>
          <w:tcPr>
            <w:tcW w:w="3654" w:type="dxa"/>
            <w:shd w:val="clear" w:color="auto" w:fill="D9D9D9" w:themeFill="background1" w:themeFillShade="D9"/>
            <w:vAlign w:val="center"/>
            <w:hideMark/>
          </w:tcPr>
          <w:p w14:paraId="3BE6ADC2" w14:textId="77777777" w:rsidR="000D1ADA" w:rsidRDefault="000D1ADA" w:rsidP="00FA1FC8">
            <w:pPr>
              <w:spacing w:before="0" w:after="0"/>
              <w:jc w:val="center"/>
              <w:rPr>
                <w:b/>
                <w:bCs/>
                <w:color w:val="000000"/>
                <w:szCs w:val="20"/>
              </w:rPr>
            </w:pPr>
            <w:r>
              <w:rPr>
                <w:b/>
                <w:bCs/>
                <w:color w:val="000000"/>
                <w:szCs w:val="20"/>
              </w:rPr>
              <w:t>Outcomes</w:t>
            </w:r>
          </w:p>
        </w:tc>
      </w:tr>
      <w:tr w:rsidR="00F97CCE" w14:paraId="0B2A91B8" w14:textId="77777777" w:rsidTr="00A4296C">
        <w:tc>
          <w:tcPr>
            <w:tcW w:w="940" w:type="dxa"/>
            <w:vMerge w:val="restart"/>
            <w:tcMar>
              <w:top w:w="0" w:type="dxa"/>
              <w:left w:w="28" w:type="dxa"/>
              <w:bottom w:w="0" w:type="dxa"/>
              <w:right w:w="28" w:type="dxa"/>
            </w:tcMar>
            <w:vAlign w:val="center"/>
            <w:hideMark/>
          </w:tcPr>
          <w:p w14:paraId="17B48E52" w14:textId="77777777" w:rsidR="000D1ADA" w:rsidRDefault="000D1ADA" w:rsidP="00FA1FC8">
            <w:pPr>
              <w:spacing w:before="0" w:after="0"/>
              <w:rPr>
                <w:szCs w:val="20"/>
              </w:rPr>
            </w:pPr>
            <w:r>
              <w:rPr>
                <w:szCs w:val="20"/>
              </w:rPr>
              <w:t>Test</w:t>
            </w:r>
          </w:p>
        </w:tc>
        <w:tc>
          <w:tcPr>
            <w:tcW w:w="871" w:type="dxa"/>
            <w:vMerge w:val="restart"/>
            <w:tcMar>
              <w:top w:w="0" w:type="dxa"/>
              <w:left w:w="28" w:type="dxa"/>
              <w:bottom w:w="0" w:type="dxa"/>
              <w:right w:w="28" w:type="dxa"/>
            </w:tcMar>
            <w:vAlign w:val="center"/>
            <w:hideMark/>
          </w:tcPr>
          <w:p w14:paraId="04C4A27B" w14:textId="77777777" w:rsidR="000D1ADA" w:rsidRDefault="000D1ADA" w:rsidP="00FA1FC8">
            <w:pPr>
              <w:spacing w:before="0" w:after="0"/>
              <w:jc w:val="center"/>
              <w:rPr>
                <w:szCs w:val="20"/>
              </w:rPr>
            </w:pPr>
            <w:r>
              <w:rPr>
                <w:szCs w:val="20"/>
              </w:rPr>
              <w:t>At diagnosis</w:t>
            </w:r>
          </w:p>
        </w:tc>
        <w:tc>
          <w:tcPr>
            <w:tcW w:w="958" w:type="dxa"/>
            <w:tcMar>
              <w:top w:w="0" w:type="dxa"/>
              <w:left w:w="28" w:type="dxa"/>
              <w:bottom w:w="0" w:type="dxa"/>
              <w:right w:w="28" w:type="dxa"/>
            </w:tcMar>
            <w:vAlign w:val="center"/>
            <w:hideMark/>
          </w:tcPr>
          <w:p w14:paraId="0699EF20" w14:textId="77777777" w:rsidR="000D1ADA" w:rsidRDefault="000D1ADA" w:rsidP="00FA1FC8">
            <w:pPr>
              <w:spacing w:before="0" w:after="0"/>
              <w:jc w:val="center"/>
              <w:rPr>
                <w:szCs w:val="20"/>
              </w:rPr>
            </w:pPr>
            <w:r>
              <w:rPr>
                <w:szCs w:val="20"/>
              </w:rPr>
              <w:t>Population #1</w:t>
            </w:r>
          </w:p>
        </w:tc>
        <w:tc>
          <w:tcPr>
            <w:tcW w:w="1314" w:type="dxa"/>
            <w:tcMar>
              <w:top w:w="0" w:type="dxa"/>
              <w:left w:w="28" w:type="dxa"/>
              <w:bottom w:w="0" w:type="dxa"/>
              <w:right w:w="28" w:type="dxa"/>
            </w:tcMar>
            <w:vAlign w:val="center"/>
            <w:hideMark/>
          </w:tcPr>
          <w:p w14:paraId="5A775911" w14:textId="77777777" w:rsidR="000D1ADA" w:rsidRDefault="000D1ADA" w:rsidP="00FA1FC8">
            <w:pPr>
              <w:spacing w:before="0" w:after="0"/>
              <w:jc w:val="center"/>
              <w:rPr>
                <w:szCs w:val="20"/>
              </w:rPr>
            </w:pPr>
            <w:r>
              <w:rPr>
                <w:szCs w:val="20"/>
              </w:rPr>
              <w:t>Parallel: HRD testing to provide BRCA1 or BRCA2 result and GIS score</w:t>
            </w:r>
          </w:p>
        </w:tc>
        <w:tc>
          <w:tcPr>
            <w:tcW w:w="2044" w:type="dxa"/>
            <w:tcMar>
              <w:top w:w="0" w:type="dxa"/>
              <w:left w:w="28" w:type="dxa"/>
              <w:bottom w:w="0" w:type="dxa"/>
              <w:right w:w="28" w:type="dxa"/>
            </w:tcMar>
            <w:vAlign w:val="center"/>
            <w:hideMark/>
          </w:tcPr>
          <w:p w14:paraId="2FA0D517" w14:textId="77777777" w:rsidR="000D1ADA" w:rsidRDefault="000D1ADA" w:rsidP="00FA1FC8">
            <w:pPr>
              <w:spacing w:before="0" w:after="0"/>
              <w:jc w:val="center"/>
              <w:rPr>
                <w:szCs w:val="20"/>
              </w:rPr>
            </w:pPr>
            <w:r>
              <w:rPr>
                <w:szCs w:val="20"/>
              </w:rPr>
              <w:t>Parallel: Tumour BRCA1 or BRCA2 testing</w:t>
            </w:r>
          </w:p>
        </w:tc>
        <w:tc>
          <w:tcPr>
            <w:tcW w:w="3654" w:type="dxa"/>
            <w:vMerge w:val="restart"/>
            <w:vAlign w:val="center"/>
            <w:hideMark/>
          </w:tcPr>
          <w:p w14:paraId="481BAD1F" w14:textId="5E32CCE6" w:rsidR="000D1ADA" w:rsidRDefault="000D1ADA" w:rsidP="00A4296C">
            <w:pPr>
              <w:pStyle w:val="ListParagraph"/>
              <w:numPr>
                <w:ilvl w:val="0"/>
                <w:numId w:val="33"/>
              </w:numPr>
              <w:spacing w:before="0" w:after="0"/>
              <w:ind w:left="402" w:hanging="284"/>
            </w:pPr>
            <w:r>
              <w:t xml:space="preserve">Comparison of concordance and discordance between evidentiary standard (Myriad </w:t>
            </w:r>
            <w:proofErr w:type="spellStart"/>
            <w:r>
              <w:t>MyChoice</w:t>
            </w:r>
            <w:proofErr w:type="spellEnd"/>
            <w:r>
              <w:t xml:space="preserve"> Assay) and local HRD test to determine HRD status</w:t>
            </w:r>
          </w:p>
          <w:p w14:paraId="7D3C5035" w14:textId="77777777" w:rsidR="00A4296C" w:rsidRDefault="000D1ADA" w:rsidP="00A4296C">
            <w:pPr>
              <w:pStyle w:val="ListParagraph"/>
              <w:numPr>
                <w:ilvl w:val="0"/>
                <w:numId w:val="33"/>
              </w:numPr>
              <w:spacing w:before="0" w:after="0"/>
              <w:ind w:left="402" w:hanging="284"/>
            </w:pPr>
            <w:r>
              <w:t>Comparison of the analytical performance of the local HRD test compared with current tumour BRCA testing to determine BRCA pathogenic variant status (Applicable to parallel testing scenarios for Population #1 and Population #3)</w:t>
            </w:r>
          </w:p>
          <w:p w14:paraId="42696D64" w14:textId="77777777" w:rsidR="00A4296C" w:rsidRDefault="000D1ADA" w:rsidP="00A4296C">
            <w:pPr>
              <w:pStyle w:val="ListParagraph"/>
              <w:numPr>
                <w:ilvl w:val="0"/>
                <w:numId w:val="33"/>
              </w:numPr>
              <w:spacing w:before="0" w:after="0"/>
              <w:ind w:left="402" w:hanging="284"/>
            </w:pPr>
            <w:r>
              <w:t>Clinical validity of the test: differential prognostic effect of HRD positive status in HGEOC, including an assessment of whether the prognostic effect varies further according to BRCA status</w:t>
            </w:r>
          </w:p>
          <w:p w14:paraId="72F05D5F" w14:textId="5DE557E2" w:rsidR="000D1ADA" w:rsidRDefault="000D1ADA" w:rsidP="00A4296C">
            <w:pPr>
              <w:pStyle w:val="ListParagraph"/>
              <w:numPr>
                <w:ilvl w:val="0"/>
                <w:numId w:val="33"/>
              </w:numPr>
              <w:spacing w:before="0" w:after="0"/>
              <w:ind w:left="402" w:hanging="284"/>
            </w:pPr>
            <w:r>
              <w:t>Clinical utility of the test: treatment effect modification of niraparib by HRD positive status in patients with NDA HGEOC who are in response to PBC</w:t>
            </w:r>
          </w:p>
          <w:p w14:paraId="0A3AFB27" w14:textId="77777777" w:rsidR="000D1ADA" w:rsidRDefault="000D1ADA" w:rsidP="00A4296C">
            <w:pPr>
              <w:pStyle w:val="ListParagraph"/>
              <w:numPr>
                <w:ilvl w:val="0"/>
                <w:numId w:val="33"/>
              </w:numPr>
              <w:spacing w:before="0" w:after="0"/>
              <w:ind w:left="402" w:hanging="284"/>
            </w:pPr>
            <w:r>
              <w:lastRenderedPageBreak/>
              <w:t>Other test related considerations: test failure rates and re-biopsy rates; test turnaround time</w:t>
            </w:r>
          </w:p>
          <w:p w14:paraId="13C1C18A" w14:textId="77777777" w:rsidR="000D1ADA" w:rsidRDefault="000D1ADA" w:rsidP="00A4296C">
            <w:pPr>
              <w:pStyle w:val="ListParagraph"/>
              <w:numPr>
                <w:ilvl w:val="0"/>
                <w:numId w:val="33"/>
              </w:numPr>
              <w:spacing w:before="0" w:after="0"/>
              <w:ind w:left="402" w:hanging="284"/>
            </w:pPr>
            <w:r>
              <w:t>Safety: adverse events associated with biopsy/re-biopsy for patients with inadequate tissue for tumour testing</w:t>
            </w:r>
          </w:p>
        </w:tc>
      </w:tr>
      <w:tr w:rsidR="00F97CCE" w14:paraId="701BF397" w14:textId="77777777" w:rsidTr="00A4296C">
        <w:tc>
          <w:tcPr>
            <w:tcW w:w="940" w:type="dxa"/>
            <w:vMerge/>
            <w:vAlign w:val="center"/>
            <w:hideMark/>
          </w:tcPr>
          <w:p w14:paraId="7B24F75D" w14:textId="77777777" w:rsidR="000D1ADA" w:rsidRDefault="000D1ADA" w:rsidP="00FA1FC8">
            <w:pPr>
              <w:spacing w:before="0" w:after="0"/>
              <w:rPr>
                <w:rFonts w:ascii="Calibri" w:hAnsi="Calibri" w:cs="Calibri"/>
                <w:szCs w:val="20"/>
              </w:rPr>
            </w:pPr>
          </w:p>
        </w:tc>
        <w:tc>
          <w:tcPr>
            <w:tcW w:w="871" w:type="dxa"/>
            <w:vMerge/>
            <w:vAlign w:val="center"/>
            <w:hideMark/>
          </w:tcPr>
          <w:p w14:paraId="54329B7A" w14:textId="77777777" w:rsidR="000D1ADA" w:rsidRDefault="000D1ADA" w:rsidP="00FA1FC8">
            <w:pPr>
              <w:spacing w:before="0" w:after="0"/>
              <w:rPr>
                <w:rFonts w:ascii="Calibri" w:hAnsi="Calibri" w:cs="Calibri"/>
                <w:szCs w:val="20"/>
              </w:rPr>
            </w:pPr>
          </w:p>
        </w:tc>
        <w:tc>
          <w:tcPr>
            <w:tcW w:w="958" w:type="dxa"/>
            <w:tcMar>
              <w:top w:w="0" w:type="dxa"/>
              <w:left w:w="28" w:type="dxa"/>
              <w:bottom w:w="0" w:type="dxa"/>
              <w:right w:w="28" w:type="dxa"/>
            </w:tcMar>
            <w:vAlign w:val="center"/>
            <w:hideMark/>
          </w:tcPr>
          <w:p w14:paraId="3483785A" w14:textId="77777777" w:rsidR="000D1ADA" w:rsidRDefault="000D1ADA" w:rsidP="00FA1FC8">
            <w:pPr>
              <w:spacing w:before="0" w:after="0"/>
              <w:jc w:val="center"/>
              <w:rPr>
                <w:szCs w:val="20"/>
              </w:rPr>
            </w:pPr>
            <w:r>
              <w:rPr>
                <w:szCs w:val="20"/>
              </w:rPr>
              <w:t>Population #2</w:t>
            </w:r>
          </w:p>
        </w:tc>
        <w:tc>
          <w:tcPr>
            <w:tcW w:w="1314" w:type="dxa"/>
            <w:tcMar>
              <w:top w:w="0" w:type="dxa"/>
              <w:left w:w="28" w:type="dxa"/>
              <w:bottom w:w="0" w:type="dxa"/>
              <w:right w:w="28" w:type="dxa"/>
            </w:tcMar>
            <w:vAlign w:val="center"/>
            <w:hideMark/>
          </w:tcPr>
          <w:p w14:paraId="32ACF727" w14:textId="77777777" w:rsidR="000D1ADA" w:rsidRDefault="000D1ADA" w:rsidP="00FA1FC8">
            <w:pPr>
              <w:spacing w:before="0" w:after="0"/>
              <w:jc w:val="center"/>
              <w:rPr>
                <w:szCs w:val="20"/>
              </w:rPr>
            </w:pPr>
            <w:r>
              <w:rPr>
                <w:szCs w:val="20"/>
              </w:rPr>
              <w:t>Sequential: HRD testing to provide GIS score for non-</w:t>
            </w:r>
            <w:proofErr w:type="spellStart"/>
            <w:r>
              <w:rPr>
                <w:szCs w:val="20"/>
              </w:rPr>
              <w:t>BRCAm</w:t>
            </w:r>
            <w:proofErr w:type="spellEnd"/>
            <w:r>
              <w:rPr>
                <w:szCs w:val="20"/>
              </w:rPr>
              <w:t xml:space="preserve"> cohort only</w:t>
            </w:r>
          </w:p>
        </w:tc>
        <w:tc>
          <w:tcPr>
            <w:tcW w:w="2044" w:type="dxa"/>
            <w:tcMar>
              <w:top w:w="0" w:type="dxa"/>
              <w:left w:w="28" w:type="dxa"/>
              <w:bottom w:w="0" w:type="dxa"/>
              <w:right w:w="28" w:type="dxa"/>
            </w:tcMar>
            <w:vAlign w:val="center"/>
            <w:hideMark/>
          </w:tcPr>
          <w:p w14:paraId="30926092" w14:textId="77777777" w:rsidR="000D1ADA" w:rsidRDefault="000D1ADA" w:rsidP="00FA1FC8">
            <w:pPr>
              <w:spacing w:before="0" w:after="0"/>
              <w:jc w:val="center"/>
              <w:rPr>
                <w:szCs w:val="20"/>
              </w:rPr>
            </w:pPr>
            <w:r>
              <w:rPr>
                <w:szCs w:val="20"/>
              </w:rPr>
              <w:t>Sequential: No Test</w:t>
            </w:r>
          </w:p>
        </w:tc>
        <w:tc>
          <w:tcPr>
            <w:tcW w:w="3654" w:type="dxa"/>
            <w:vMerge/>
            <w:vAlign w:val="center"/>
            <w:hideMark/>
          </w:tcPr>
          <w:p w14:paraId="7A8F8CDD" w14:textId="77777777" w:rsidR="000D1ADA" w:rsidRDefault="000D1ADA" w:rsidP="00FA1FC8">
            <w:pPr>
              <w:spacing w:before="0" w:after="0"/>
              <w:rPr>
                <w:rFonts w:ascii="Times New Roman" w:eastAsia="Times New Roman" w:hAnsi="Times New Roman" w:cs="Times New Roman"/>
                <w:szCs w:val="20"/>
                <w:lang w:eastAsia="en-AU"/>
              </w:rPr>
            </w:pPr>
          </w:p>
        </w:tc>
      </w:tr>
      <w:tr w:rsidR="00F97CCE" w14:paraId="17328008" w14:textId="77777777" w:rsidTr="00A4296C">
        <w:tc>
          <w:tcPr>
            <w:tcW w:w="940" w:type="dxa"/>
            <w:vMerge/>
            <w:tcBorders>
              <w:bottom w:val="double" w:sz="4" w:space="0" w:color="auto"/>
            </w:tcBorders>
            <w:vAlign w:val="center"/>
            <w:hideMark/>
          </w:tcPr>
          <w:p w14:paraId="7B5CEB0D" w14:textId="77777777" w:rsidR="000D1ADA" w:rsidRDefault="000D1ADA" w:rsidP="00FA1FC8">
            <w:pPr>
              <w:spacing w:before="0" w:after="0"/>
              <w:rPr>
                <w:rFonts w:ascii="Calibri" w:hAnsi="Calibri" w:cs="Calibri"/>
                <w:szCs w:val="20"/>
              </w:rPr>
            </w:pPr>
          </w:p>
        </w:tc>
        <w:tc>
          <w:tcPr>
            <w:tcW w:w="871" w:type="dxa"/>
            <w:tcBorders>
              <w:bottom w:val="double" w:sz="4" w:space="0" w:color="auto"/>
            </w:tcBorders>
            <w:tcMar>
              <w:top w:w="0" w:type="dxa"/>
              <w:left w:w="28" w:type="dxa"/>
              <w:bottom w:w="0" w:type="dxa"/>
              <w:right w:w="28" w:type="dxa"/>
            </w:tcMar>
            <w:vAlign w:val="center"/>
            <w:hideMark/>
          </w:tcPr>
          <w:p w14:paraId="36B25406" w14:textId="59E0A158" w:rsidR="000D1ADA" w:rsidRDefault="000D1ADA" w:rsidP="00FA1FC8">
            <w:pPr>
              <w:spacing w:before="0" w:after="0"/>
              <w:jc w:val="center"/>
              <w:rPr>
                <w:szCs w:val="20"/>
              </w:rPr>
            </w:pPr>
            <w:r>
              <w:rPr>
                <w:szCs w:val="20"/>
              </w:rPr>
              <w:t xml:space="preserve">Receive 1L </w:t>
            </w:r>
            <w:r w:rsidR="00F97CCE">
              <w:rPr>
                <w:szCs w:val="20"/>
              </w:rPr>
              <w:t>PBC</w:t>
            </w:r>
          </w:p>
        </w:tc>
        <w:tc>
          <w:tcPr>
            <w:tcW w:w="958" w:type="dxa"/>
            <w:tcBorders>
              <w:bottom w:val="double" w:sz="4" w:space="0" w:color="auto"/>
            </w:tcBorders>
            <w:tcMar>
              <w:top w:w="0" w:type="dxa"/>
              <w:left w:w="28" w:type="dxa"/>
              <w:bottom w:w="0" w:type="dxa"/>
              <w:right w:w="28" w:type="dxa"/>
            </w:tcMar>
            <w:vAlign w:val="center"/>
            <w:hideMark/>
          </w:tcPr>
          <w:p w14:paraId="724E3F38" w14:textId="77777777" w:rsidR="000D1ADA" w:rsidRDefault="000D1ADA" w:rsidP="00FA1FC8">
            <w:pPr>
              <w:spacing w:before="0" w:after="0"/>
              <w:jc w:val="center"/>
              <w:rPr>
                <w:szCs w:val="20"/>
              </w:rPr>
            </w:pPr>
            <w:r>
              <w:rPr>
                <w:szCs w:val="20"/>
              </w:rPr>
              <w:t>Population #3</w:t>
            </w:r>
          </w:p>
        </w:tc>
        <w:tc>
          <w:tcPr>
            <w:tcW w:w="1314" w:type="dxa"/>
            <w:tcBorders>
              <w:bottom w:val="double" w:sz="4" w:space="0" w:color="auto"/>
            </w:tcBorders>
            <w:tcMar>
              <w:top w:w="0" w:type="dxa"/>
              <w:left w:w="28" w:type="dxa"/>
              <w:bottom w:w="0" w:type="dxa"/>
              <w:right w:w="28" w:type="dxa"/>
            </w:tcMar>
            <w:vAlign w:val="center"/>
            <w:hideMark/>
          </w:tcPr>
          <w:p w14:paraId="3EDC4DC4" w14:textId="77777777" w:rsidR="000D1ADA" w:rsidRDefault="000D1ADA" w:rsidP="00FA1FC8">
            <w:pPr>
              <w:spacing w:before="0" w:after="0"/>
              <w:jc w:val="center"/>
              <w:rPr>
                <w:szCs w:val="20"/>
              </w:rPr>
            </w:pPr>
            <w:r>
              <w:rPr>
                <w:szCs w:val="20"/>
              </w:rPr>
              <w:t>Parallel or Sequential</w:t>
            </w:r>
          </w:p>
        </w:tc>
        <w:tc>
          <w:tcPr>
            <w:tcW w:w="2044" w:type="dxa"/>
            <w:tcBorders>
              <w:bottom w:val="double" w:sz="4" w:space="0" w:color="auto"/>
            </w:tcBorders>
            <w:tcMar>
              <w:top w:w="0" w:type="dxa"/>
              <w:left w:w="28" w:type="dxa"/>
              <w:bottom w:w="0" w:type="dxa"/>
              <w:right w:w="28" w:type="dxa"/>
            </w:tcMar>
            <w:vAlign w:val="center"/>
            <w:hideMark/>
          </w:tcPr>
          <w:p w14:paraId="24A02CF3" w14:textId="77777777" w:rsidR="000D1ADA" w:rsidRDefault="000D1ADA" w:rsidP="00FA1FC8">
            <w:pPr>
              <w:spacing w:before="0" w:after="0"/>
              <w:jc w:val="center"/>
              <w:rPr>
                <w:szCs w:val="20"/>
              </w:rPr>
            </w:pPr>
            <w:r>
              <w:rPr>
                <w:szCs w:val="20"/>
              </w:rPr>
              <w:t xml:space="preserve">Parallel: Tumour BRCA1 or BRCA2 testing </w:t>
            </w:r>
          </w:p>
          <w:p w14:paraId="2FE92A77" w14:textId="77777777" w:rsidR="000D1ADA" w:rsidRDefault="000D1ADA" w:rsidP="00FA1FC8">
            <w:pPr>
              <w:spacing w:before="0" w:after="0"/>
              <w:jc w:val="center"/>
              <w:rPr>
                <w:szCs w:val="20"/>
              </w:rPr>
            </w:pPr>
            <w:r>
              <w:rPr>
                <w:szCs w:val="20"/>
              </w:rPr>
              <w:t>Sequential: No Test</w:t>
            </w:r>
          </w:p>
        </w:tc>
        <w:tc>
          <w:tcPr>
            <w:tcW w:w="3654" w:type="dxa"/>
            <w:vMerge/>
            <w:tcBorders>
              <w:bottom w:val="double" w:sz="4" w:space="0" w:color="auto"/>
            </w:tcBorders>
            <w:vAlign w:val="center"/>
            <w:hideMark/>
          </w:tcPr>
          <w:p w14:paraId="1F0ED5F3" w14:textId="77777777" w:rsidR="000D1ADA" w:rsidRDefault="000D1ADA" w:rsidP="00FA1FC8">
            <w:pPr>
              <w:spacing w:before="0" w:after="0"/>
              <w:rPr>
                <w:rFonts w:ascii="Times New Roman" w:eastAsia="Times New Roman" w:hAnsi="Times New Roman" w:cs="Times New Roman"/>
                <w:szCs w:val="20"/>
                <w:lang w:eastAsia="en-AU"/>
              </w:rPr>
            </w:pPr>
          </w:p>
        </w:tc>
      </w:tr>
      <w:tr w:rsidR="00F97CCE" w14:paraId="37F0BDF0" w14:textId="77777777" w:rsidTr="00A4296C">
        <w:trPr>
          <w:trHeight w:val="584"/>
        </w:trPr>
        <w:tc>
          <w:tcPr>
            <w:tcW w:w="940" w:type="dxa"/>
            <w:vMerge w:val="restart"/>
            <w:tcBorders>
              <w:top w:val="double" w:sz="4" w:space="0" w:color="auto"/>
            </w:tcBorders>
            <w:tcMar>
              <w:top w:w="0" w:type="dxa"/>
              <w:left w:w="28" w:type="dxa"/>
              <w:bottom w:w="0" w:type="dxa"/>
              <w:right w:w="28" w:type="dxa"/>
            </w:tcMar>
            <w:vAlign w:val="center"/>
            <w:hideMark/>
          </w:tcPr>
          <w:p w14:paraId="07666197" w14:textId="77777777" w:rsidR="000D1ADA" w:rsidRDefault="000D1ADA" w:rsidP="00FA1FC8">
            <w:pPr>
              <w:spacing w:before="0" w:after="0"/>
              <w:rPr>
                <w:szCs w:val="20"/>
              </w:rPr>
            </w:pPr>
            <w:r>
              <w:rPr>
                <w:szCs w:val="20"/>
              </w:rPr>
              <w:t>Primary Treatment (non-</w:t>
            </w:r>
            <w:proofErr w:type="spellStart"/>
            <w:r>
              <w:rPr>
                <w:szCs w:val="20"/>
              </w:rPr>
              <w:t>BRCAm</w:t>
            </w:r>
            <w:proofErr w:type="spellEnd"/>
            <w:r>
              <w:rPr>
                <w:szCs w:val="20"/>
              </w:rPr>
              <w:t xml:space="preserve"> HRD)</w:t>
            </w:r>
          </w:p>
        </w:tc>
        <w:tc>
          <w:tcPr>
            <w:tcW w:w="1829" w:type="dxa"/>
            <w:gridSpan w:val="2"/>
            <w:tcBorders>
              <w:top w:val="double" w:sz="4" w:space="0" w:color="auto"/>
            </w:tcBorders>
            <w:shd w:val="clear" w:color="auto" w:fill="DEEAF6"/>
            <w:tcMar>
              <w:top w:w="0" w:type="dxa"/>
              <w:left w:w="28" w:type="dxa"/>
              <w:bottom w:w="0" w:type="dxa"/>
              <w:right w:w="28" w:type="dxa"/>
            </w:tcMar>
            <w:vAlign w:val="center"/>
            <w:hideMark/>
          </w:tcPr>
          <w:p w14:paraId="7DBA978C" w14:textId="33D4DA87" w:rsidR="000D1ADA" w:rsidRDefault="00F97CCE" w:rsidP="00FA1FC8">
            <w:pPr>
              <w:spacing w:before="0" w:after="0"/>
              <w:jc w:val="center"/>
              <w:rPr>
                <w:szCs w:val="20"/>
              </w:rPr>
            </w:pPr>
            <w:r>
              <w:rPr>
                <w:color w:val="000000"/>
                <w:szCs w:val="20"/>
              </w:rPr>
              <w:t>PBC</w:t>
            </w:r>
          </w:p>
        </w:tc>
        <w:tc>
          <w:tcPr>
            <w:tcW w:w="1314" w:type="dxa"/>
            <w:tcBorders>
              <w:top w:val="double" w:sz="4" w:space="0" w:color="auto"/>
            </w:tcBorders>
            <w:shd w:val="clear" w:color="auto" w:fill="DEEAF6"/>
            <w:tcMar>
              <w:top w:w="0" w:type="dxa"/>
              <w:left w:w="28" w:type="dxa"/>
              <w:bottom w:w="0" w:type="dxa"/>
              <w:right w:w="28" w:type="dxa"/>
            </w:tcMar>
            <w:vAlign w:val="center"/>
            <w:hideMark/>
          </w:tcPr>
          <w:p w14:paraId="7A54D0D0" w14:textId="77777777" w:rsidR="000D1ADA" w:rsidRDefault="000D1ADA" w:rsidP="00FA1FC8">
            <w:pPr>
              <w:spacing w:before="0" w:after="0"/>
              <w:jc w:val="center"/>
              <w:rPr>
                <w:color w:val="000000"/>
                <w:szCs w:val="20"/>
              </w:rPr>
            </w:pPr>
            <w:r>
              <w:rPr>
                <w:color w:val="000000"/>
                <w:szCs w:val="20"/>
              </w:rPr>
              <w:t>Niraparib maintenance</w:t>
            </w:r>
          </w:p>
        </w:tc>
        <w:tc>
          <w:tcPr>
            <w:tcW w:w="2044" w:type="dxa"/>
            <w:tcBorders>
              <w:top w:val="double" w:sz="4" w:space="0" w:color="auto"/>
            </w:tcBorders>
            <w:shd w:val="clear" w:color="auto" w:fill="DEEAF6"/>
            <w:tcMar>
              <w:top w:w="0" w:type="dxa"/>
              <w:left w:w="28" w:type="dxa"/>
              <w:bottom w:w="0" w:type="dxa"/>
              <w:right w:w="28" w:type="dxa"/>
            </w:tcMar>
            <w:vAlign w:val="center"/>
            <w:hideMark/>
          </w:tcPr>
          <w:p w14:paraId="22DBBE9D" w14:textId="77777777" w:rsidR="000D1ADA" w:rsidRDefault="000D1ADA" w:rsidP="00FA1FC8">
            <w:pPr>
              <w:spacing w:before="0" w:after="0"/>
              <w:jc w:val="center"/>
              <w:rPr>
                <w:szCs w:val="20"/>
              </w:rPr>
            </w:pPr>
            <w:r>
              <w:rPr>
                <w:color w:val="000000"/>
                <w:szCs w:val="20"/>
              </w:rPr>
              <w:t>Standard Medical Management</w:t>
            </w:r>
          </w:p>
        </w:tc>
        <w:tc>
          <w:tcPr>
            <w:tcW w:w="3654" w:type="dxa"/>
            <w:vMerge w:val="restart"/>
            <w:tcBorders>
              <w:top w:val="double" w:sz="4" w:space="0" w:color="auto"/>
            </w:tcBorders>
            <w:vAlign w:val="center"/>
            <w:hideMark/>
          </w:tcPr>
          <w:p w14:paraId="632C5B09" w14:textId="77777777" w:rsidR="000D1ADA" w:rsidRPr="00A4296C" w:rsidRDefault="000D1ADA" w:rsidP="00A4296C">
            <w:pPr>
              <w:pStyle w:val="ListParagraph"/>
              <w:numPr>
                <w:ilvl w:val="0"/>
                <w:numId w:val="33"/>
              </w:numPr>
              <w:spacing w:before="0" w:after="0"/>
              <w:ind w:left="402" w:hanging="284"/>
            </w:pPr>
            <w:r>
              <w:t>Progression Free Survival, Overall Survival, Objective Response Rate</w:t>
            </w:r>
          </w:p>
          <w:p w14:paraId="37AD457B" w14:textId="77777777" w:rsidR="000D1ADA" w:rsidRDefault="000D1ADA" w:rsidP="00A4296C">
            <w:pPr>
              <w:pStyle w:val="ListParagraph"/>
              <w:numPr>
                <w:ilvl w:val="0"/>
                <w:numId w:val="33"/>
              </w:numPr>
              <w:spacing w:before="0" w:after="0"/>
              <w:ind w:left="402" w:hanging="284"/>
            </w:pPr>
            <w:r>
              <w:t>Health related quality of life</w:t>
            </w:r>
          </w:p>
          <w:p w14:paraId="0D4F5807" w14:textId="77777777" w:rsidR="000D1ADA" w:rsidRDefault="000D1ADA" w:rsidP="00A4296C">
            <w:pPr>
              <w:pStyle w:val="ListParagraph"/>
              <w:numPr>
                <w:ilvl w:val="0"/>
                <w:numId w:val="33"/>
              </w:numPr>
              <w:spacing w:before="0" w:after="0"/>
              <w:ind w:left="402" w:hanging="284"/>
            </w:pPr>
            <w:r>
              <w:t>Safety</w:t>
            </w:r>
          </w:p>
        </w:tc>
      </w:tr>
      <w:tr w:rsidR="00F97CCE" w14:paraId="32CF2DBE" w14:textId="77777777" w:rsidTr="00A4296C">
        <w:tc>
          <w:tcPr>
            <w:tcW w:w="940" w:type="dxa"/>
            <w:vMerge/>
            <w:vAlign w:val="center"/>
            <w:hideMark/>
          </w:tcPr>
          <w:p w14:paraId="29B37F46" w14:textId="77777777" w:rsidR="000D1ADA" w:rsidRDefault="000D1ADA" w:rsidP="00FA1FC8">
            <w:pPr>
              <w:spacing w:before="0" w:after="0"/>
              <w:rPr>
                <w:rFonts w:ascii="Calibri" w:hAnsi="Calibri" w:cs="Calibri"/>
                <w:szCs w:val="20"/>
              </w:rPr>
            </w:pPr>
          </w:p>
        </w:tc>
        <w:tc>
          <w:tcPr>
            <w:tcW w:w="1829" w:type="dxa"/>
            <w:gridSpan w:val="2"/>
            <w:shd w:val="clear" w:color="auto" w:fill="FBE4D5"/>
            <w:tcMar>
              <w:top w:w="0" w:type="dxa"/>
              <w:left w:w="28" w:type="dxa"/>
              <w:bottom w:w="0" w:type="dxa"/>
              <w:right w:w="28" w:type="dxa"/>
            </w:tcMar>
            <w:vAlign w:val="center"/>
            <w:hideMark/>
          </w:tcPr>
          <w:p w14:paraId="66266729" w14:textId="25E53E0C" w:rsidR="000D1ADA" w:rsidRDefault="00F97CCE" w:rsidP="00FA1FC8">
            <w:pPr>
              <w:spacing w:before="0" w:after="0"/>
              <w:jc w:val="center"/>
              <w:rPr>
                <w:szCs w:val="20"/>
              </w:rPr>
            </w:pPr>
            <w:r>
              <w:rPr>
                <w:color w:val="000000"/>
                <w:szCs w:val="20"/>
              </w:rPr>
              <w:t>PBC + Bevacizumab</w:t>
            </w:r>
          </w:p>
        </w:tc>
        <w:tc>
          <w:tcPr>
            <w:tcW w:w="1314" w:type="dxa"/>
            <w:shd w:val="clear" w:color="auto" w:fill="FBE4D5"/>
            <w:tcMar>
              <w:top w:w="0" w:type="dxa"/>
              <w:left w:w="28" w:type="dxa"/>
              <w:bottom w:w="0" w:type="dxa"/>
              <w:right w:w="28" w:type="dxa"/>
            </w:tcMar>
            <w:vAlign w:val="center"/>
            <w:hideMark/>
          </w:tcPr>
          <w:p w14:paraId="2CA703EF" w14:textId="1A359ED8" w:rsidR="000D1ADA" w:rsidRDefault="00FA1FC8" w:rsidP="00FA1FC8">
            <w:pPr>
              <w:spacing w:before="0" w:after="0"/>
              <w:jc w:val="center"/>
              <w:rPr>
                <w:szCs w:val="20"/>
              </w:rPr>
            </w:pPr>
            <w:r>
              <w:rPr>
                <w:szCs w:val="20"/>
              </w:rPr>
              <w:t>Not ap</w:t>
            </w:r>
            <w:r w:rsidR="00F97CCE">
              <w:rPr>
                <w:szCs w:val="20"/>
              </w:rPr>
              <w:t>p</w:t>
            </w:r>
            <w:r>
              <w:rPr>
                <w:szCs w:val="20"/>
              </w:rPr>
              <w:t>licable</w:t>
            </w:r>
          </w:p>
        </w:tc>
        <w:tc>
          <w:tcPr>
            <w:tcW w:w="2044" w:type="dxa"/>
            <w:shd w:val="clear" w:color="auto" w:fill="FBE4D5"/>
            <w:tcMar>
              <w:top w:w="0" w:type="dxa"/>
              <w:left w:w="28" w:type="dxa"/>
              <w:bottom w:w="0" w:type="dxa"/>
              <w:right w:w="28" w:type="dxa"/>
            </w:tcMar>
            <w:vAlign w:val="center"/>
            <w:hideMark/>
          </w:tcPr>
          <w:p w14:paraId="7769A078" w14:textId="726C6BB3" w:rsidR="00FA1FC8" w:rsidRDefault="00F97CCE" w:rsidP="00FA1FC8">
            <w:pPr>
              <w:spacing w:before="0" w:after="0"/>
              <w:jc w:val="center"/>
              <w:rPr>
                <w:color w:val="000000"/>
                <w:szCs w:val="20"/>
              </w:rPr>
            </w:pPr>
            <w:r w:rsidRPr="00F97CCE">
              <w:rPr>
                <w:color w:val="000000"/>
                <w:szCs w:val="20"/>
                <w:u w:val="single"/>
              </w:rPr>
              <w:t>Near market comparator:</w:t>
            </w:r>
            <w:r>
              <w:rPr>
                <w:color w:val="000000"/>
                <w:szCs w:val="20"/>
              </w:rPr>
              <w:t xml:space="preserve"> </w:t>
            </w:r>
            <w:r w:rsidR="00FA1FC8">
              <w:rPr>
                <w:color w:val="000000"/>
                <w:szCs w:val="20"/>
              </w:rPr>
              <w:t>Olaparib &amp; Bevacizumab maintenance (Application 1658)</w:t>
            </w:r>
          </w:p>
          <w:p w14:paraId="1E4EA33F" w14:textId="2AC3AFFC" w:rsidR="000D1ADA" w:rsidRDefault="00F97CCE" w:rsidP="00FA1FC8">
            <w:pPr>
              <w:spacing w:before="0" w:after="0"/>
              <w:jc w:val="center"/>
              <w:rPr>
                <w:szCs w:val="20"/>
              </w:rPr>
            </w:pPr>
            <w:r w:rsidRPr="00F97CCE">
              <w:rPr>
                <w:color w:val="000000"/>
                <w:szCs w:val="20"/>
                <w:u w:val="single"/>
              </w:rPr>
              <w:t>Qualitative comparator:</w:t>
            </w:r>
            <w:r>
              <w:rPr>
                <w:color w:val="000000"/>
                <w:szCs w:val="20"/>
              </w:rPr>
              <w:t xml:space="preserve"> </w:t>
            </w:r>
            <w:r w:rsidR="000D1ADA">
              <w:rPr>
                <w:color w:val="000000"/>
                <w:szCs w:val="20"/>
              </w:rPr>
              <w:t>Bevacizumab maintenance</w:t>
            </w:r>
          </w:p>
        </w:tc>
        <w:tc>
          <w:tcPr>
            <w:tcW w:w="3654" w:type="dxa"/>
            <w:vMerge/>
            <w:vAlign w:val="center"/>
            <w:hideMark/>
          </w:tcPr>
          <w:p w14:paraId="49D95CF0" w14:textId="77777777" w:rsidR="000D1ADA" w:rsidRDefault="000D1ADA" w:rsidP="00FA1FC8">
            <w:pPr>
              <w:spacing w:before="0" w:after="0"/>
              <w:rPr>
                <w:rFonts w:ascii="Times New Roman" w:eastAsia="Times New Roman" w:hAnsi="Times New Roman" w:cs="Times New Roman"/>
                <w:szCs w:val="20"/>
                <w:lang w:eastAsia="en-AU"/>
              </w:rPr>
            </w:pPr>
          </w:p>
        </w:tc>
      </w:tr>
    </w:tbl>
    <w:p w14:paraId="2F97F2A0" w14:textId="5DFB2846" w:rsidR="00BE24F2" w:rsidRDefault="00AE0EA4" w:rsidP="00AD1CA4">
      <w:pPr>
        <w:rPr>
          <w:szCs w:val="20"/>
        </w:rPr>
      </w:pPr>
      <w:r>
        <w:rPr>
          <w:szCs w:val="20"/>
        </w:rPr>
        <w:t>Abbreviations: GIS = genomic instability</w:t>
      </w:r>
      <w:r w:rsidR="00BE24F2">
        <w:rPr>
          <w:szCs w:val="20"/>
        </w:rPr>
        <w:t xml:space="preserve"> status; </w:t>
      </w:r>
      <w:r w:rsidR="00701B18">
        <w:rPr>
          <w:szCs w:val="20"/>
        </w:rPr>
        <w:t xml:space="preserve">HGEOC = high grade epithelial </w:t>
      </w:r>
      <w:proofErr w:type="spellStart"/>
      <w:r w:rsidR="00701B18">
        <w:rPr>
          <w:szCs w:val="20"/>
        </w:rPr>
        <w:t>ovrarian</w:t>
      </w:r>
      <w:proofErr w:type="spellEnd"/>
      <w:r w:rsidR="00701B18">
        <w:rPr>
          <w:szCs w:val="20"/>
        </w:rPr>
        <w:t xml:space="preserve"> cancer; </w:t>
      </w:r>
      <w:r w:rsidR="00BE24F2">
        <w:rPr>
          <w:szCs w:val="20"/>
        </w:rPr>
        <w:t xml:space="preserve">HRD = homologous recombination deficiency; </w:t>
      </w:r>
      <w:r w:rsidR="00701B18">
        <w:rPr>
          <w:szCs w:val="20"/>
        </w:rPr>
        <w:t xml:space="preserve">NDA = newly diagnosed advanced; </w:t>
      </w:r>
      <w:r w:rsidR="00BE24F2">
        <w:rPr>
          <w:szCs w:val="20"/>
        </w:rPr>
        <w:t xml:space="preserve">PBC = platinum based </w:t>
      </w:r>
      <w:proofErr w:type="gramStart"/>
      <w:r w:rsidR="00BE24F2">
        <w:rPr>
          <w:szCs w:val="20"/>
        </w:rPr>
        <w:t>chemotherapy;</w:t>
      </w:r>
      <w:proofErr w:type="gramEnd"/>
      <w:r w:rsidR="00BE24F2">
        <w:rPr>
          <w:szCs w:val="20"/>
        </w:rPr>
        <w:t xml:space="preserve"> </w:t>
      </w:r>
    </w:p>
    <w:p w14:paraId="0226D8DC" w14:textId="7D2E3367" w:rsidR="00AD1CA4" w:rsidRDefault="00AD1CA4" w:rsidP="00AD1CA4">
      <w:pPr>
        <w:rPr>
          <w:szCs w:val="20"/>
        </w:rPr>
      </w:pPr>
      <w:r>
        <w:rPr>
          <w:szCs w:val="20"/>
        </w:rPr>
        <w:t>Note: Unshaded areas of the table indicate aspects of the ratified PICO that are consistent between the circumstances of Olaparib + Bevacizumab and Niraparib.</w:t>
      </w:r>
      <w:r w:rsidR="00BD6C89">
        <w:rPr>
          <w:szCs w:val="20"/>
        </w:rPr>
        <w:t xml:space="preserve">  </w:t>
      </w:r>
      <w:r>
        <w:rPr>
          <w:szCs w:val="20"/>
        </w:rPr>
        <w:t xml:space="preserve">Key differences are with respect to the place in therapy for the maintenance therapies (Orange: Olaparib &amp; Bevacizumab maintenance following response to </w:t>
      </w:r>
      <w:r w:rsidR="00763FBF">
        <w:rPr>
          <w:szCs w:val="20"/>
        </w:rPr>
        <w:t>platinum-based</w:t>
      </w:r>
      <w:r>
        <w:rPr>
          <w:szCs w:val="20"/>
        </w:rPr>
        <w:t xml:space="preserve"> chemotherapy &amp; bevacizumab; Blue: niraparib maintenance following </w:t>
      </w:r>
      <w:proofErr w:type="gramStart"/>
      <w:r>
        <w:rPr>
          <w:szCs w:val="20"/>
        </w:rPr>
        <w:t>platinum based</w:t>
      </w:r>
      <w:proofErr w:type="gramEnd"/>
      <w:r>
        <w:rPr>
          <w:szCs w:val="20"/>
        </w:rPr>
        <w:t xml:space="preserve"> chemotherapy only).</w:t>
      </w:r>
    </w:p>
    <w:p w14:paraId="111C4B6A" w14:textId="533154EA" w:rsidR="0021185D" w:rsidRPr="005C3AE7" w:rsidRDefault="005C3AE7" w:rsidP="005E5B6B">
      <w:pPr>
        <w:pStyle w:val="Subtitle"/>
        <w:ind w:left="0"/>
      </w:pPr>
      <w:r w:rsidRPr="005C3AE7">
        <w:t xml:space="preserve">PART 6a – </w:t>
      </w:r>
      <w:r w:rsidR="0021185D" w:rsidRPr="005C3AE7">
        <w:t>INFORMATION ABOUT THE PROPOSED POPULATION</w:t>
      </w:r>
    </w:p>
    <w:p w14:paraId="0585D8E2" w14:textId="5D0A9074"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7ADE127E" w14:textId="3EA48052" w:rsidR="002A6753" w:rsidRDefault="00E60112" w:rsidP="00A4296C">
      <w:pPr>
        <w:ind w:left="426"/>
        <w:rPr>
          <w:szCs w:val="20"/>
        </w:rPr>
      </w:pPr>
      <w:r w:rsidRPr="00E60112">
        <w:rPr>
          <w:szCs w:val="20"/>
        </w:rPr>
        <w:t xml:space="preserve">Ovarian cancer (OC) was the ninth </w:t>
      </w:r>
      <w:r w:rsidR="00A02109" w:rsidRPr="00E60112">
        <w:rPr>
          <w:szCs w:val="20"/>
        </w:rPr>
        <w:t>most diagnosed</w:t>
      </w:r>
      <w:r w:rsidRPr="00E60112">
        <w:rPr>
          <w:szCs w:val="20"/>
        </w:rPr>
        <w:t xml:space="preserve"> (11.1 age-standardised rate) and the sixth leading cause of cancer-related deaths (6.4 age-standardised rate) among Australian females in 2017. The Australian Institute of Health and Welfare (AIHW) has projected that by 2021, 1720 incident cases and 1042 deaths would be attributed to OC (AIHW 2021).  </w:t>
      </w:r>
    </w:p>
    <w:p w14:paraId="2CA6579D" w14:textId="746818E3" w:rsidR="00702211" w:rsidRDefault="00DC14F4" w:rsidP="00A4296C">
      <w:pPr>
        <w:ind w:left="426"/>
        <w:rPr>
          <w:szCs w:val="20"/>
        </w:rPr>
      </w:pPr>
      <w:r w:rsidRPr="00DC14F4">
        <w:rPr>
          <w:szCs w:val="20"/>
        </w:rPr>
        <w:t>OC is a heterogeneous disease comprising different morphological subtypes that differ in natural history, response to treatment and prognosis (McCluggage 2011).  Approximately 84% of OC are of epithelial origin (AIHW 2010), with the majority classified as high-grade tumours with serous histology (grade 2/3: 93.6%; serous: 70.8%; Alsop 2012). Early diagnosis of high-grade epithelial ovarian cancer (HGEOC) is challenging, as symptoms are often nonspecific (</w:t>
      </w:r>
      <w:proofErr w:type="gramStart"/>
      <w:r w:rsidRPr="00DC14F4">
        <w:rPr>
          <w:szCs w:val="20"/>
        </w:rPr>
        <w:t>e.g.</w:t>
      </w:r>
      <w:proofErr w:type="gramEnd"/>
      <w:r w:rsidRPr="00DC14F4">
        <w:rPr>
          <w:szCs w:val="20"/>
        </w:rPr>
        <w:t xml:space="preserve"> pelvic or abdominal discomfort, bloating, difficulty eating or feeling full and urinary urgency and frequency).  Most HGEOC patients are therefore diagnosed at an advanced stage (Stage III and IV; 81.8%, Lindemann 2018) when prominent symptoms such as ascites and abdominal masses are evident and long-term survival prospects are limited (7-year survival: Stage III = 26%, 95% CI: 22%, 30%; Stage IV = 9%, 95% CI: 5%, 14%; Anuradha 2014).</w:t>
      </w:r>
    </w:p>
    <w:p w14:paraId="2194C7E8" w14:textId="058D38DE" w:rsidR="00702211" w:rsidRDefault="003948A0" w:rsidP="00A4296C">
      <w:pPr>
        <w:ind w:left="426"/>
        <w:rPr>
          <w:rFonts w:ascii="Candara" w:hAnsi="Candara" w:cs="Calibri"/>
        </w:rPr>
      </w:pPr>
      <w:r>
        <w:rPr>
          <w:rFonts w:ascii="Candara" w:hAnsi="Candara" w:cs="Calibri"/>
        </w:rPr>
        <w:t>F</w:t>
      </w:r>
      <w:r w:rsidRPr="008B33F5">
        <w:rPr>
          <w:rFonts w:ascii="Candara" w:hAnsi="Candara" w:cs="Calibri"/>
        </w:rPr>
        <w:t xml:space="preserve">irst line </w:t>
      </w:r>
      <w:r>
        <w:rPr>
          <w:rFonts w:ascii="Candara" w:hAnsi="Candara"/>
        </w:rPr>
        <w:t>treatment of HGEOC involves</w:t>
      </w:r>
      <w:r w:rsidRPr="007C4A40">
        <w:rPr>
          <w:rFonts w:ascii="Candara" w:hAnsi="Candara" w:cs="Calibri"/>
        </w:rPr>
        <w:t xml:space="preserve"> a combination</w:t>
      </w:r>
      <w:r>
        <w:rPr>
          <w:rFonts w:ascii="Candara" w:hAnsi="Candara" w:cs="Calibri"/>
        </w:rPr>
        <w:t xml:space="preserve"> </w:t>
      </w:r>
      <w:r w:rsidRPr="00185D1D">
        <w:rPr>
          <w:rFonts w:ascii="Candara" w:hAnsi="Candara" w:cs="Calibri"/>
        </w:rPr>
        <w:t xml:space="preserve">of </w:t>
      </w:r>
      <w:r w:rsidRPr="007C4A40">
        <w:rPr>
          <w:rFonts w:ascii="Candara" w:hAnsi="Candara" w:cs="Calibri"/>
        </w:rPr>
        <w:t xml:space="preserve">cytoreductive </w:t>
      </w:r>
      <w:r w:rsidRPr="00185D1D">
        <w:rPr>
          <w:rFonts w:ascii="Candara" w:hAnsi="Candara" w:cs="Calibri"/>
        </w:rPr>
        <w:t>surgery and</w:t>
      </w:r>
      <w:r>
        <w:rPr>
          <w:rFonts w:cs="Calibri"/>
        </w:rPr>
        <w:t xml:space="preserve"> </w:t>
      </w:r>
      <w:r w:rsidRPr="0057124D">
        <w:rPr>
          <w:rFonts w:ascii="Candara" w:hAnsi="Candara" w:cs="Calibri"/>
        </w:rPr>
        <w:t>platinum-based</w:t>
      </w:r>
      <w:r w:rsidRPr="00185D1D">
        <w:rPr>
          <w:rFonts w:ascii="Candara" w:hAnsi="Candara" w:cs="Calibri"/>
        </w:rPr>
        <w:t xml:space="preserve"> </w:t>
      </w:r>
      <w:r>
        <w:rPr>
          <w:rFonts w:ascii="Candara" w:hAnsi="Candara" w:cs="Calibri"/>
        </w:rPr>
        <w:t>chemotherapy.  Despite high response rates (</w:t>
      </w:r>
      <w:r w:rsidRPr="0015255C">
        <w:rPr>
          <w:rFonts w:ascii="Candara" w:hAnsi="Candara" w:cs="Calibri"/>
        </w:rPr>
        <w:t>up to 88.6%;</w:t>
      </w:r>
      <w:r>
        <w:rPr>
          <w:rFonts w:ascii="Candara" w:hAnsi="Candara" w:cs="Calibri"/>
        </w:rPr>
        <w:t xml:space="preserve"> Morgan 2020), </w:t>
      </w:r>
      <w:r w:rsidR="00765CA8" w:rsidRPr="00765CA8">
        <w:rPr>
          <w:rFonts w:ascii="Candara" w:hAnsi="Candara" w:cs="Calibri"/>
        </w:rPr>
        <w:t xml:space="preserve">and sensitivity to first line platinum chemotherapy (platinum free interval, PFI &gt; 6 months = 77.6%), relapse occurs for </w:t>
      </w:r>
      <w:proofErr w:type="gramStart"/>
      <w:r w:rsidR="00765CA8" w:rsidRPr="00765CA8">
        <w:rPr>
          <w:rFonts w:ascii="Candara" w:hAnsi="Candara" w:cs="Calibri"/>
        </w:rPr>
        <w:t>the majority of</w:t>
      </w:r>
      <w:proofErr w:type="gramEnd"/>
      <w:r w:rsidR="00765CA8" w:rsidRPr="00765CA8">
        <w:rPr>
          <w:rFonts w:ascii="Candara" w:hAnsi="Candara" w:cs="Calibri"/>
        </w:rPr>
        <w:t xml:space="preserve"> patients (81.2%, Lindemann 2018) within the first three years of diagnosis (Ledermann 2013, Lindemann 2018).  Extended remission is an unlikely circumstance, with approximately 5% of patients high-grade serous OC being progression free at 10 years (</w:t>
      </w:r>
      <w:proofErr w:type="spellStart"/>
      <w:r w:rsidR="00765CA8" w:rsidRPr="00765CA8">
        <w:rPr>
          <w:rFonts w:ascii="Candara" w:hAnsi="Candara" w:cs="Calibri"/>
        </w:rPr>
        <w:t>Irodi</w:t>
      </w:r>
      <w:proofErr w:type="spellEnd"/>
      <w:r w:rsidR="00765CA8" w:rsidRPr="00765CA8">
        <w:rPr>
          <w:rFonts w:ascii="Candara" w:hAnsi="Candara" w:cs="Calibri"/>
        </w:rPr>
        <w:t xml:space="preserve"> 2020, Fig 2F).  With each re-treatment course of platinum-based chemotherapy, there is diminished durability of response (PFI ≥ 6 months = 60.5% at the second line setting; Lindemann 2018) and associated toxicities and deficits in quality of life from prolonged chemotherapy treatment (hypersensitivity, renal toxicity, ototoxicity, neurotoxicity, myelosuppression; </w:t>
      </w:r>
      <w:proofErr w:type="spellStart"/>
      <w:r w:rsidR="00765CA8" w:rsidRPr="00765CA8">
        <w:rPr>
          <w:rFonts w:ascii="Candara" w:hAnsi="Candara" w:cs="Calibri"/>
        </w:rPr>
        <w:t>Fotopoulou</w:t>
      </w:r>
      <w:proofErr w:type="spellEnd"/>
      <w:r w:rsidR="00765CA8" w:rsidRPr="00765CA8">
        <w:rPr>
          <w:rFonts w:ascii="Candara" w:hAnsi="Candara" w:cs="Calibri"/>
        </w:rPr>
        <w:t xml:space="preserve"> 2014).  Fear and anxiety associated with OC recurrence has a substantial impact on patient quality of life (Angle 2018, Ovarian Cancer Australia). </w:t>
      </w:r>
    </w:p>
    <w:p w14:paraId="53A6F81A" w14:textId="074FA7FC" w:rsidR="00765CA8" w:rsidRDefault="008E732D" w:rsidP="00A4296C">
      <w:pPr>
        <w:ind w:left="426"/>
        <w:rPr>
          <w:szCs w:val="20"/>
        </w:rPr>
      </w:pPr>
      <w:r w:rsidRPr="008E732D">
        <w:rPr>
          <w:szCs w:val="20"/>
        </w:rPr>
        <w:lastRenderedPageBreak/>
        <w:t>Prevalence of germline BRCA mutation (</w:t>
      </w:r>
      <w:proofErr w:type="spellStart"/>
      <w:r w:rsidRPr="008E732D">
        <w:rPr>
          <w:szCs w:val="20"/>
        </w:rPr>
        <w:t>gBRCAm</w:t>
      </w:r>
      <w:proofErr w:type="spellEnd"/>
      <w:r w:rsidRPr="008E732D">
        <w:rPr>
          <w:szCs w:val="20"/>
        </w:rPr>
        <w:t xml:space="preserve">) has been reported in 22.6% of high grade serous ovarian cancer (Alsop 2012) with somatic mutations observed in a further 6.3% of cases (CGARN 2011).  As a biomarker, </w:t>
      </w:r>
      <w:proofErr w:type="spellStart"/>
      <w:r w:rsidRPr="008E732D">
        <w:rPr>
          <w:szCs w:val="20"/>
        </w:rPr>
        <w:t>gBRCAm</w:t>
      </w:r>
      <w:proofErr w:type="spellEnd"/>
      <w:r w:rsidRPr="008E732D">
        <w:rPr>
          <w:szCs w:val="20"/>
        </w:rPr>
        <w:t xml:space="preserve"> holds both predictive and prognostic value in high-grade serous OC</w:t>
      </w:r>
      <w:r w:rsidR="007762F0">
        <w:rPr>
          <w:szCs w:val="20"/>
        </w:rPr>
        <w:t xml:space="preserve"> as well as increased sensitivity to PARP inhibitor (</w:t>
      </w:r>
      <w:proofErr w:type="spellStart"/>
      <w:r w:rsidR="007762F0">
        <w:rPr>
          <w:szCs w:val="20"/>
        </w:rPr>
        <w:t>PARPi</w:t>
      </w:r>
      <w:proofErr w:type="spellEnd"/>
      <w:r w:rsidR="007762F0">
        <w:rPr>
          <w:szCs w:val="20"/>
        </w:rPr>
        <w:t>) maintenance therapy</w:t>
      </w:r>
      <w:r w:rsidRPr="008E732D">
        <w:rPr>
          <w:szCs w:val="20"/>
        </w:rPr>
        <w:t xml:space="preserve">.  </w:t>
      </w:r>
      <w:r w:rsidR="009D4674">
        <w:rPr>
          <w:szCs w:val="20"/>
        </w:rPr>
        <w:t xml:space="preserve">The PBAC has recommended </w:t>
      </w:r>
      <w:r w:rsidR="008F1DC5">
        <w:rPr>
          <w:szCs w:val="20"/>
        </w:rPr>
        <w:t>Olaparib (</w:t>
      </w:r>
      <w:r w:rsidR="001D29E4">
        <w:rPr>
          <w:szCs w:val="20"/>
        </w:rPr>
        <w:t xml:space="preserve">July 2020; PBS listed: November 2020) </w:t>
      </w:r>
      <w:r w:rsidR="008F1DC5">
        <w:rPr>
          <w:szCs w:val="20"/>
        </w:rPr>
        <w:t>and Niraparib</w:t>
      </w:r>
      <w:r w:rsidR="009D4674">
        <w:rPr>
          <w:szCs w:val="20"/>
        </w:rPr>
        <w:t xml:space="preserve"> </w:t>
      </w:r>
      <w:r w:rsidR="001D29E4">
        <w:rPr>
          <w:szCs w:val="20"/>
        </w:rPr>
        <w:t xml:space="preserve">(March 2022, PBS listing pending) </w:t>
      </w:r>
      <w:r w:rsidR="009D4674">
        <w:rPr>
          <w:szCs w:val="20"/>
        </w:rPr>
        <w:t xml:space="preserve">in the 1L </w:t>
      </w:r>
      <w:proofErr w:type="spellStart"/>
      <w:r w:rsidR="009D4674">
        <w:rPr>
          <w:szCs w:val="20"/>
        </w:rPr>
        <w:t>BRCAm</w:t>
      </w:r>
      <w:proofErr w:type="spellEnd"/>
      <w:r w:rsidR="009D4674">
        <w:rPr>
          <w:szCs w:val="20"/>
        </w:rPr>
        <w:t xml:space="preserve"> setting</w:t>
      </w:r>
      <w:r w:rsidR="008D2568">
        <w:rPr>
          <w:szCs w:val="20"/>
        </w:rPr>
        <w:t xml:space="preserve"> only</w:t>
      </w:r>
      <w:r w:rsidR="009D4674">
        <w:rPr>
          <w:szCs w:val="20"/>
        </w:rPr>
        <w:t xml:space="preserve">.  </w:t>
      </w:r>
      <w:r w:rsidR="007762F0">
        <w:rPr>
          <w:szCs w:val="20"/>
        </w:rPr>
        <w:t>In t</w:t>
      </w:r>
      <w:r w:rsidR="000C0D3C">
        <w:rPr>
          <w:szCs w:val="20"/>
        </w:rPr>
        <w:t>he absence</w:t>
      </w:r>
      <w:r w:rsidRPr="008E732D">
        <w:rPr>
          <w:szCs w:val="20"/>
        </w:rPr>
        <w:t xml:space="preserve"> of a </w:t>
      </w:r>
      <w:proofErr w:type="spellStart"/>
      <w:r w:rsidRPr="008E732D">
        <w:rPr>
          <w:szCs w:val="20"/>
        </w:rPr>
        <w:t>gBRCAm</w:t>
      </w:r>
      <w:proofErr w:type="spellEnd"/>
      <w:r w:rsidR="007762F0">
        <w:rPr>
          <w:szCs w:val="20"/>
        </w:rPr>
        <w:t xml:space="preserve">, </w:t>
      </w:r>
      <w:r w:rsidR="00A060EB">
        <w:rPr>
          <w:szCs w:val="20"/>
        </w:rPr>
        <w:t>patients are faced</w:t>
      </w:r>
      <w:r w:rsidRPr="008E732D">
        <w:rPr>
          <w:szCs w:val="20"/>
        </w:rPr>
        <w:t xml:space="preserve"> with </w:t>
      </w:r>
      <w:r w:rsidR="009C0DFD">
        <w:rPr>
          <w:szCs w:val="20"/>
        </w:rPr>
        <w:t>reduced</w:t>
      </w:r>
      <w:r w:rsidRPr="008E732D">
        <w:rPr>
          <w:szCs w:val="20"/>
        </w:rPr>
        <w:t xml:space="preserve"> short to medium term survival outcomes after OC diagnosis</w:t>
      </w:r>
      <w:r w:rsidR="00AA614C">
        <w:rPr>
          <w:szCs w:val="20"/>
        </w:rPr>
        <w:t xml:space="preserve"> (</w:t>
      </w:r>
      <w:r w:rsidR="00094D22">
        <w:rPr>
          <w:szCs w:val="20"/>
        </w:rPr>
        <w:t xml:space="preserve">refer to </w:t>
      </w:r>
      <w:r w:rsidR="00094D22">
        <w:rPr>
          <w:szCs w:val="20"/>
        </w:rPr>
        <w:fldChar w:fldCharType="begin"/>
      </w:r>
      <w:r w:rsidR="00094D22">
        <w:rPr>
          <w:szCs w:val="20"/>
        </w:rPr>
        <w:instrText xml:space="preserve"> REF _Ref58407189 \h </w:instrText>
      </w:r>
      <w:r w:rsidR="00A4296C">
        <w:rPr>
          <w:szCs w:val="20"/>
        </w:rPr>
        <w:instrText xml:space="preserve"> \* MERGEFORMAT </w:instrText>
      </w:r>
      <w:r w:rsidR="00094D22">
        <w:rPr>
          <w:szCs w:val="20"/>
        </w:rPr>
      </w:r>
      <w:r w:rsidR="00094D22">
        <w:rPr>
          <w:szCs w:val="20"/>
        </w:rPr>
        <w:fldChar w:fldCharType="separate"/>
      </w:r>
      <w:r w:rsidR="00FB0A15" w:rsidRPr="001758E2">
        <w:rPr>
          <w:rFonts w:cstheme="minorHAnsi"/>
          <w:szCs w:val="20"/>
        </w:rPr>
        <w:t xml:space="preserve">Table </w:t>
      </w:r>
      <w:r w:rsidR="00FB0A15">
        <w:rPr>
          <w:rFonts w:cstheme="minorHAnsi"/>
          <w:noProof/>
          <w:szCs w:val="20"/>
        </w:rPr>
        <w:t>2</w:t>
      </w:r>
      <w:r w:rsidR="00094D22">
        <w:rPr>
          <w:szCs w:val="20"/>
        </w:rPr>
        <w:fldChar w:fldCharType="end"/>
      </w:r>
      <w:r w:rsidR="00BA042A">
        <w:rPr>
          <w:szCs w:val="20"/>
        </w:rPr>
        <w:t xml:space="preserve"> and </w:t>
      </w:r>
      <w:r w:rsidR="00BA042A">
        <w:rPr>
          <w:szCs w:val="20"/>
        </w:rPr>
        <w:fldChar w:fldCharType="begin"/>
      </w:r>
      <w:r w:rsidR="00BA042A">
        <w:rPr>
          <w:szCs w:val="20"/>
        </w:rPr>
        <w:instrText xml:space="preserve"> REF _Ref58407178 \h </w:instrText>
      </w:r>
      <w:r w:rsidR="00A4296C">
        <w:rPr>
          <w:szCs w:val="20"/>
        </w:rPr>
        <w:instrText xml:space="preserve"> \* MERGEFORMAT </w:instrText>
      </w:r>
      <w:r w:rsidR="00BA042A">
        <w:rPr>
          <w:szCs w:val="20"/>
        </w:rPr>
      </w:r>
      <w:r w:rsidR="00BA042A">
        <w:rPr>
          <w:szCs w:val="20"/>
        </w:rPr>
        <w:fldChar w:fldCharType="separate"/>
      </w:r>
      <w:r w:rsidR="00FB0A15" w:rsidRPr="00BA042A">
        <w:rPr>
          <w:rFonts w:cstheme="minorHAnsi"/>
          <w:szCs w:val="20"/>
        </w:rPr>
        <w:t xml:space="preserve">Figure </w:t>
      </w:r>
      <w:r w:rsidR="00FB0A15">
        <w:rPr>
          <w:rFonts w:cstheme="minorHAnsi"/>
          <w:noProof/>
          <w:szCs w:val="20"/>
        </w:rPr>
        <w:t>1</w:t>
      </w:r>
      <w:r w:rsidR="00BA042A">
        <w:rPr>
          <w:szCs w:val="20"/>
        </w:rPr>
        <w:fldChar w:fldCharType="end"/>
      </w:r>
      <w:r w:rsidR="00BA042A">
        <w:rPr>
          <w:szCs w:val="20"/>
        </w:rPr>
        <w:t>)</w:t>
      </w:r>
      <w:r w:rsidR="009760C5">
        <w:rPr>
          <w:szCs w:val="20"/>
        </w:rPr>
        <w:t xml:space="preserve">, highlighting the </w:t>
      </w:r>
      <w:r w:rsidR="004E643F">
        <w:rPr>
          <w:szCs w:val="20"/>
        </w:rPr>
        <w:t xml:space="preserve">clinical </w:t>
      </w:r>
      <w:r w:rsidR="009760C5">
        <w:rPr>
          <w:szCs w:val="20"/>
        </w:rPr>
        <w:t>need for</w:t>
      </w:r>
      <w:r w:rsidR="004E643F">
        <w:rPr>
          <w:szCs w:val="20"/>
        </w:rPr>
        <w:t xml:space="preserve"> </w:t>
      </w:r>
      <w:r w:rsidR="004E643F" w:rsidRPr="004E643F">
        <w:rPr>
          <w:szCs w:val="20"/>
        </w:rPr>
        <w:t>maintenance therapy options to consolidate initial chemotherapy responses and delay disease progression.</w:t>
      </w:r>
    </w:p>
    <w:p w14:paraId="52E07817" w14:textId="5B6ED9C4" w:rsidR="001758E2" w:rsidRPr="001758E2" w:rsidRDefault="001758E2" w:rsidP="00A4296C">
      <w:pPr>
        <w:pStyle w:val="Caption"/>
        <w:ind w:firstLine="426"/>
        <w:rPr>
          <w:rFonts w:asciiTheme="minorHAnsi" w:hAnsiTheme="minorHAnsi" w:cstheme="minorHAnsi"/>
          <w:sz w:val="20"/>
          <w:szCs w:val="20"/>
        </w:rPr>
      </w:pPr>
      <w:bookmarkStart w:id="4" w:name="_Ref58407189"/>
      <w:bookmarkStart w:id="5" w:name="_Toc66195087"/>
      <w:bookmarkStart w:id="6" w:name="_Toc86421531"/>
      <w:r w:rsidRPr="001758E2">
        <w:rPr>
          <w:rFonts w:asciiTheme="minorHAnsi" w:hAnsiTheme="minorHAnsi" w:cstheme="minorHAnsi"/>
          <w:sz w:val="20"/>
          <w:szCs w:val="20"/>
        </w:rPr>
        <w:t xml:space="preserve">Table </w:t>
      </w:r>
      <w:r w:rsidRPr="001758E2">
        <w:rPr>
          <w:rFonts w:asciiTheme="minorHAnsi" w:hAnsiTheme="minorHAnsi" w:cstheme="minorHAnsi"/>
          <w:sz w:val="20"/>
          <w:szCs w:val="20"/>
        </w:rPr>
        <w:fldChar w:fldCharType="begin"/>
      </w:r>
      <w:r w:rsidRPr="001758E2">
        <w:rPr>
          <w:rFonts w:asciiTheme="minorHAnsi" w:hAnsiTheme="minorHAnsi" w:cstheme="minorHAnsi"/>
          <w:sz w:val="20"/>
          <w:szCs w:val="20"/>
        </w:rPr>
        <w:instrText xml:space="preserve"> SEQ Table \* ARABIC </w:instrText>
      </w:r>
      <w:r w:rsidRPr="001758E2">
        <w:rPr>
          <w:rFonts w:asciiTheme="minorHAnsi" w:hAnsiTheme="minorHAnsi" w:cstheme="minorHAnsi"/>
          <w:sz w:val="20"/>
          <w:szCs w:val="20"/>
        </w:rPr>
        <w:fldChar w:fldCharType="separate"/>
      </w:r>
      <w:r w:rsidR="00FB0A15">
        <w:rPr>
          <w:rFonts w:asciiTheme="minorHAnsi" w:hAnsiTheme="minorHAnsi" w:cstheme="minorHAnsi"/>
          <w:noProof/>
          <w:sz w:val="20"/>
          <w:szCs w:val="20"/>
        </w:rPr>
        <w:t>2</w:t>
      </w:r>
      <w:r w:rsidRPr="001758E2">
        <w:rPr>
          <w:rFonts w:asciiTheme="minorHAnsi" w:hAnsiTheme="minorHAnsi" w:cstheme="minorHAnsi"/>
          <w:sz w:val="20"/>
          <w:szCs w:val="20"/>
        </w:rPr>
        <w:fldChar w:fldCharType="end"/>
      </w:r>
      <w:bookmarkEnd w:id="4"/>
      <w:r w:rsidRPr="001758E2">
        <w:rPr>
          <w:rFonts w:asciiTheme="minorHAnsi" w:hAnsiTheme="minorHAnsi" w:cstheme="minorHAnsi"/>
          <w:sz w:val="20"/>
          <w:szCs w:val="20"/>
        </w:rPr>
        <w:t xml:space="preserve">: PFS and OS outcomes in according to </w:t>
      </w:r>
      <w:proofErr w:type="spellStart"/>
      <w:r w:rsidRPr="001758E2">
        <w:rPr>
          <w:rFonts w:asciiTheme="minorHAnsi" w:hAnsiTheme="minorHAnsi" w:cstheme="minorHAnsi"/>
          <w:sz w:val="20"/>
          <w:szCs w:val="20"/>
        </w:rPr>
        <w:t>gBRCAm</w:t>
      </w:r>
      <w:proofErr w:type="spellEnd"/>
      <w:r w:rsidRPr="001758E2">
        <w:rPr>
          <w:rFonts w:asciiTheme="minorHAnsi" w:hAnsiTheme="minorHAnsi" w:cstheme="minorHAnsi"/>
          <w:sz w:val="20"/>
          <w:szCs w:val="20"/>
        </w:rPr>
        <w:t xml:space="preserve"> status – AOCS (Alsop 2012)</w:t>
      </w:r>
      <w:bookmarkEnd w:id="5"/>
      <w:bookmarkEnd w:id="6"/>
      <w:r w:rsidRPr="001758E2">
        <w:rPr>
          <w:rFonts w:asciiTheme="minorHAnsi" w:hAnsiTheme="minorHAnsi" w:cstheme="minorHAnsi"/>
          <w:sz w:val="20"/>
          <w:szCs w:val="20"/>
        </w:rPr>
        <w:t xml:space="preserve"> </w:t>
      </w:r>
    </w:p>
    <w:tbl>
      <w:tblPr>
        <w:tblStyle w:val="TableGrid"/>
        <w:tblW w:w="4767" w:type="pct"/>
        <w:tblInd w:w="421" w:type="dxa"/>
        <w:tblCellMar>
          <w:left w:w="28" w:type="dxa"/>
          <w:right w:w="28" w:type="dxa"/>
        </w:tblCellMar>
        <w:tblLook w:val="04A0" w:firstRow="1" w:lastRow="0" w:firstColumn="1" w:lastColumn="0" w:noHBand="0" w:noVBand="1"/>
      </w:tblPr>
      <w:tblGrid>
        <w:gridCol w:w="1042"/>
        <w:gridCol w:w="3070"/>
        <w:gridCol w:w="2242"/>
        <w:gridCol w:w="2242"/>
      </w:tblGrid>
      <w:tr w:rsidR="001758E2" w:rsidRPr="001758E2" w14:paraId="13F34D98" w14:textId="77777777" w:rsidTr="00A4296C">
        <w:tc>
          <w:tcPr>
            <w:tcW w:w="2392" w:type="pct"/>
            <w:gridSpan w:val="2"/>
            <w:shd w:val="clear" w:color="auto" w:fill="D9D9D9" w:themeFill="background1" w:themeFillShade="D9"/>
            <w:vAlign w:val="center"/>
          </w:tcPr>
          <w:p w14:paraId="086BF4D5" w14:textId="77777777" w:rsidR="001758E2" w:rsidRPr="001758E2" w:rsidRDefault="001758E2" w:rsidP="001758E2">
            <w:pPr>
              <w:pStyle w:val="TableHeading"/>
              <w:spacing w:after="0"/>
              <w:jc w:val="left"/>
              <w:rPr>
                <w:rStyle w:val="TableText"/>
                <w:rFonts w:cstheme="minorHAnsi"/>
                <w:szCs w:val="20"/>
              </w:rPr>
            </w:pPr>
            <w:r w:rsidRPr="001758E2">
              <w:rPr>
                <w:rStyle w:val="TableText"/>
                <w:rFonts w:cstheme="minorHAnsi"/>
                <w:szCs w:val="20"/>
              </w:rPr>
              <w:t>Outcome</w:t>
            </w:r>
          </w:p>
        </w:tc>
        <w:tc>
          <w:tcPr>
            <w:tcW w:w="1304" w:type="pct"/>
            <w:shd w:val="clear" w:color="auto" w:fill="D9D9D9" w:themeFill="background1" w:themeFillShade="D9"/>
            <w:vAlign w:val="center"/>
          </w:tcPr>
          <w:p w14:paraId="309C4720" w14:textId="77777777" w:rsidR="001758E2" w:rsidRPr="001758E2" w:rsidRDefault="001758E2" w:rsidP="001758E2">
            <w:pPr>
              <w:pStyle w:val="TableHeading"/>
              <w:spacing w:after="0"/>
              <w:jc w:val="center"/>
              <w:rPr>
                <w:rStyle w:val="TableText"/>
                <w:rFonts w:cstheme="minorHAnsi"/>
                <w:szCs w:val="20"/>
              </w:rPr>
            </w:pPr>
            <w:r w:rsidRPr="001758E2">
              <w:rPr>
                <w:rStyle w:val="TableText"/>
                <w:rFonts w:cstheme="minorHAnsi"/>
                <w:szCs w:val="20"/>
              </w:rPr>
              <w:t>Non-</w:t>
            </w:r>
            <w:proofErr w:type="spellStart"/>
            <w:r w:rsidRPr="001758E2">
              <w:rPr>
                <w:rStyle w:val="TableText"/>
                <w:rFonts w:cstheme="minorHAnsi"/>
                <w:szCs w:val="20"/>
              </w:rPr>
              <w:t>gBRCAm</w:t>
            </w:r>
            <w:proofErr w:type="spellEnd"/>
            <w:r w:rsidRPr="001758E2">
              <w:rPr>
                <w:rStyle w:val="TableText"/>
                <w:rFonts w:cstheme="minorHAnsi"/>
                <w:szCs w:val="20"/>
              </w:rPr>
              <w:t xml:space="preserve"> (N=777)</w:t>
            </w:r>
          </w:p>
        </w:tc>
        <w:tc>
          <w:tcPr>
            <w:tcW w:w="1305" w:type="pct"/>
            <w:shd w:val="clear" w:color="auto" w:fill="D9D9D9" w:themeFill="background1" w:themeFillShade="D9"/>
          </w:tcPr>
          <w:p w14:paraId="766175DB" w14:textId="77777777" w:rsidR="001758E2" w:rsidRPr="001758E2" w:rsidRDefault="001758E2" w:rsidP="001758E2">
            <w:pPr>
              <w:pStyle w:val="TableHeading"/>
              <w:spacing w:after="0"/>
              <w:jc w:val="center"/>
              <w:rPr>
                <w:rStyle w:val="TableText"/>
                <w:rFonts w:cstheme="minorHAnsi"/>
                <w:szCs w:val="20"/>
              </w:rPr>
            </w:pPr>
            <w:proofErr w:type="spellStart"/>
            <w:r w:rsidRPr="001758E2">
              <w:rPr>
                <w:rStyle w:val="TableText"/>
                <w:rFonts w:cstheme="minorHAnsi"/>
                <w:szCs w:val="20"/>
              </w:rPr>
              <w:t>gBRCAm</w:t>
            </w:r>
            <w:proofErr w:type="spellEnd"/>
            <w:r w:rsidRPr="001758E2">
              <w:rPr>
                <w:rStyle w:val="TableText"/>
                <w:rFonts w:cstheme="minorHAnsi"/>
                <w:szCs w:val="20"/>
              </w:rPr>
              <w:t xml:space="preserve"> (N=141)</w:t>
            </w:r>
          </w:p>
        </w:tc>
      </w:tr>
      <w:tr w:rsidR="001758E2" w:rsidRPr="001758E2" w14:paraId="0F6BA8A9" w14:textId="77777777" w:rsidTr="00A4296C">
        <w:tc>
          <w:tcPr>
            <w:tcW w:w="2392" w:type="pct"/>
            <w:gridSpan w:val="2"/>
            <w:vAlign w:val="center"/>
          </w:tcPr>
          <w:p w14:paraId="77F47D95" w14:textId="77777777" w:rsidR="001758E2" w:rsidRPr="001758E2" w:rsidRDefault="001758E2" w:rsidP="001758E2">
            <w:pPr>
              <w:spacing w:before="0" w:after="0"/>
              <w:rPr>
                <w:rStyle w:val="TableText"/>
                <w:rFonts w:cstheme="minorHAnsi"/>
                <w:szCs w:val="20"/>
              </w:rPr>
            </w:pPr>
            <w:r w:rsidRPr="001758E2">
              <w:rPr>
                <w:rStyle w:val="TableText"/>
                <w:rFonts w:cstheme="minorHAnsi"/>
                <w:szCs w:val="20"/>
              </w:rPr>
              <w:t>OS, median, months (95% CI)</w:t>
            </w:r>
          </w:p>
        </w:tc>
        <w:tc>
          <w:tcPr>
            <w:tcW w:w="1304" w:type="pct"/>
            <w:vAlign w:val="center"/>
          </w:tcPr>
          <w:p w14:paraId="7982B443" w14:textId="77777777" w:rsidR="001758E2" w:rsidRPr="001758E2" w:rsidRDefault="001758E2" w:rsidP="001758E2">
            <w:pPr>
              <w:spacing w:before="0" w:after="0"/>
              <w:jc w:val="center"/>
              <w:rPr>
                <w:rStyle w:val="TableText"/>
                <w:rFonts w:cstheme="minorHAnsi"/>
                <w:szCs w:val="20"/>
              </w:rPr>
            </w:pPr>
            <w:r w:rsidRPr="001758E2">
              <w:rPr>
                <w:rStyle w:val="TableText"/>
                <w:rFonts w:cstheme="minorHAnsi"/>
                <w:szCs w:val="20"/>
              </w:rPr>
              <w:t>55.5 (49.1, 61.8)</w:t>
            </w:r>
          </w:p>
        </w:tc>
        <w:tc>
          <w:tcPr>
            <w:tcW w:w="1305" w:type="pct"/>
          </w:tcPr>
          <w:p w14:paraId="264A675A" w14:textId="77777777" w:rsidR="001758E2" w:rsidRPr="001758E2" w:rsidRDefault="001758E2" w:rsidP="001758E2">
            <w:pPr>
              <w:spacing w:before="0" w:after="0"/>
              <w:jc w:val="center"/>
              <w:rPr>
                <w:rStyle w:val="TableText"/>
                <w:rFonts w:cstheme="minorHAnsi"/>
                <w:szCs w:val="20"/>
              </w:rPr>
            </w:pPr>
            <w:r w:rsidRPr="001758E2">
              <w:rPr>
                <w:rStyle w:val="TableText"/>
                <w:rFonts w:cstheme="minorHAnsi"/>
                <w:szCs w:val="20"/>
              </w:rPr>
              <w:t>62.4 (47.7, 77.0)</w:t>
            </w:r>
          </w:p>
        </w:tc>
      </w:tr>
      <w:tr w:rsidR="001758E2" w:rsidRPr="001758E2" w14:paraId="35BDF7F9" w14:textId="77777777" w:rsidTr="00A4296C">
        <w:tc>
          <w:tcPr>
            <w:tcW w:w="606" w:type="pct"/>
            <w:vMerge w:val="restart"/>
            <w:tcBorders>
              <w:right w:val="single" w:sz="4" w:space="0" w:color="auto"/>
            </w:tcBorders>
            <w:vAlign w:val="center"/>
          </w:tcPr>
          <w:p w14:paraId="30322161" w14:textId="77777777" w:rsidR="001758E2" w:rsidRPr="001758E2" w:rsidRDefault="001758E2" w:rsidP="001758E2">
            <w:pPr>
              <w:spacing w:before="0" w:after="0"/>
              <w:rPr>
                <w:rStyle w:val="TableText"/>
                <w:rFonts w:cstheme="minorHAnsi"/>
                <w:szCs w:val="20"/>
              </w:rPr>
            </w:pPr>
            <w:r w:rsidRPr="001758E2">
              <w:rPr>
                <w:rStyle w:val="TableText"/>
                <w:rFonts w:cstheme="minorHAnsi"/>
                <w:szCs w:val="20"/>
              </w:rPr>
              <w:t>Primary treated population</w:t>
            </w:r>
          </w:p>
        </w:tc>
        <w:tc>
          <w:tcPr>
            <w:tcW w:w="1785" w:type="pct"/>
            <w:tcBorders>
              <w:left w:val="single" w:sz="4" w:space="0" w:color="auto"/>
            </w:tcBorders>
            <w:vAlign w:val="center"/>
          </w:tcPr>
          <w:p w14:paraId="0E3752BE" w14:textId="77777777" w:rsidR="001758E2" w:rsidRPr="001758E2" w:rsidRDefault="001758E2" w:rsidP="001758E2">
            <w:pPr>
              <w:spacing w:before="0" w:after="0"/>
              <w:rPr>
                <w:rStyle w:val="TableText"/>
                <w:rFonts w:cstheme="minorHAnsi"/>
                <w:szCs w:val="20"/>
              </w:rPr>
            </w:pPr>
            <w:r w:rsidRPr="001758E2">
              <w:rPr>
                <w:rStyle w:val="TableText"/>
                <w:rFonts w:cstheme="minorHAnsi"/>
                <w:szCs w:val="20"/>
              </w:rPr>
              <w:t>N</w:t>
            </w:r>
          </w:p>
        </w:tc>
        <w:tc>
          <w:tcPr>
            <w:tcW w:w="1304" w:type="pct"/>
            <w:vAlign w:val="center"/>
          </w:tcPr>
          <w:p w14:paraId="7B6E07F4" w14:textId="77777777" w:rsidR="001758E2" w:rsidRPr="001758E2" w:rsidRDefault="001758E2" w:rsidP="001758E2">
            <w:pPr>
              <w:spacing w:before="0" w:after="0"/>
              <w:jc w:val="center"/>
              <w:rPr>
                <w:rStyle w:val="TableText"/>
                <w:rFonts w:cstheme="minorHAnsi"/>
                <w:szCs w:val="20"/>
              </w:rPr>
            </w:pPr>
            <w:r w:rsidRPr="001758E2">
              <w:rPr>
                <w:rStyle w:val="TableText"/>
                <w:rFonts w:cstheme="minorHAnsi"/>
                <w:szCs w:val="20"/>
              </w:rPr>
              <w:t>701</w:t>
            </w:r>
          </w:p>
        </w:tc>
        <w:tc>
          <w:tcPr>
            <w:tcW w:w="1305" w:type="pct"/>
            <w:vAlign w:val="center"/>
          </w:tcPr>
          <w:p w14:paraId="4734200A" w14:textId="77777777" w:rsidR="001758E2" w:rsidRPr="001758E2" w:rsidRDefault="001758E2" w:rsidP="001758E2">
            <w:pPr>
              <w:spacing w:before="0" w:after="0"/>
              <w:jc w:val="center"/>
              <w:rPr>
                <w:rStyle w:val="TableText"/>
                <w:rFonts w:cstheme="minorHAnsi"/>
                <w:szCs w:val="20"/>
              </w:rPr>
            </w:pPr>
            <w:r w:rsidRPr="001758E2">
              <w:rPr>
                <w:rStyle w:val="TableText"/>
                <w:rFonts w:cstheme="minorHAnsi"/>
                <w:szCs w:val="20"/>
              </w:rPr>
              <w:t>134</w:t>
            </w:r>
          </w:p>
        </w:tc>
      </w:tr>
      <w:tr w:rsidR="001758E2" w:rsidRPr="001758E2" w14:paraId="42B18BE5" w14:textId="77777777" w:rsidTr="00A4296C">
        <w:tc>
          <w:tcPr>
            <w:tcW w:w="606" w:type="pct"/>
            <w:vMerge/>
            <w:tcBorders>
              <w:right w:val="single" w:sz="4" w:space="0" w:color="auto"/>
            </w:tcBorders>
            <w:vAlign w:val="center"/>
          </w:tcPr>
          <w:p w14:paraId="53DEEB37" w14:textId="77777777" w:rsidR="001758E2" w:rsidRPr="001758E2" w:rsidRDefault="001758E2" w:rsidP="001758E2">
            <w:pPr>
              <w:spacing w:before="0" w:after="0"/>
              <w:rPr>
                <w:rStyle w:val="TableText"/>
                <w:rFonts w:cstheme="minorHAnsi"/>
                <w:szCs w:val="20"/>
              </w:rPr>
            </w:pPr>
          </w:p>
        </w:tc>
        <w:tc>
          <w:tcPr>
            <w:tcW w:w="1785" w:type="pct"/>
            <w:tcBorders>
              <w:left w:val="single" w:sz="4" w:space="0" w:color="auto"/>
            </w:tcBorders>
            <w:vAlign w:val="center"/>
          </w:tcPr>
          <w:p w14:paraId="29F27C11" w14:textId="77777777" w:rsidR="001758E2" w:rsidRPr="001758E2" w:rsidRDefault="001758E2" w:rsidP="001758E2">
            <w:pPr>
              <w:spacing w:before="0" w:after="0"/>
              <w:rPr>
                <w:rStyle w:val="TableText"/>
                <w:rFonts w:cstheme="minorHAnsi"/>
                <w:szCs w:val="20"/>
              </w:rPr>
            </w:pPr>
            <w:r w:rsidRPr="001758E2">
              <w:rPr>
                <w:rStyle w:val="TableText"/>
                <w:rFonts w:cstheme="minorHAnsi"/>
                <w:szCs w:val="20"/>
              </w:rPr>
              <w:t>Time to progression &lt;6months</w:t>
            </w:r>
          </w:p>
        </w:tc>
        <w:tc>
          <w:tcPr>
            <w:tcW w:w="1304" w:type="pct"/>
            <w:vAlign w:val="center"/>
          </w:tcPr>
          <w:p w14:paraId="568E5EE8" w14:textId="77777777" w:rsidR="001758E2" w:rsidRPr="001758E2" w:rsidRDefault="001758E2" w:rsidP="001758E2">
            <w:pPr>
              <w:spacing w:before="0" w:after="0"/>
              <w:jc w:val="center"/>
              <w:rPr>
                <w:rStyle w:val="TableText"/>
                <w:rFonts w:cstheme="minorHAnsi"/>
                <w:szCs w:val="20"/>
              </w:rPr>
            </w:pPr>
            <w:r w:rsidRPr="001758E2">
              <w:rPr>
                <w:rStyle w:val="TableText"/>
                <w:rFonts w:cstheme="minorHAnsi"/>
                <w:szCs w:val="20"/>
              </w:rPr>
              <w:t>222 (31.7)</w:t>
            </w:r>
          </w:p>
        </w:tc>
        <w:tc>
          <w:tcPr>
            <w:tcW w:w="1305" w:type="pct"/>
            <w:vAlign w:val="center"/>
          </w:tcPr>
          <w:p w14:paraId="2EDBD61B" w14:textId="77777777" w:rsidR="001758E2" w:rsidRPr="001758E2" w:rsidRDefault="001758E2" w:rsidP="001758E2">
            <w:pPr>
              <w:spacing w:before="0" w:after="0"/>
              <w:jc w:val="center"/>
              <w:rPr>
                <w:rStyle w:val="TableText"/>
                <w:rFonts w:cstheme="minorHAnsi"/>
                <w:szCs w:val="20"/>
              </w:rPr>
            </w:pPr>
            <w:r w:rsidRPr="001758E2">
              <w:rPr>
                <w:rStyle w:val="TableText"/>
                <w:rFonts w:cstheme="minorHAnsi"/>
                <w:szCs w:val="20"/>
              </w:rPr>
              <w:t>20 (14.9)</w:t>
            </w:r>
          </w:p>
        </w:tc>
      </w:tr>
      <w:tr w:rsidR="001758E2" w:rsidRPr="001758E2" w14:paraId="4A31847E" w14:textId="77777777" w:rsidTr="00A4296C">
        <w:tc>
          <w:tcPr>
            <w:tcW w:w="606" w:type="pct"/>
            <w:vMerge/>
            <w:tcBorders>
              <w:right w:val="single" w:sz="4" w:space="0" w:color="auto"/>
            </w:tcBorders>
            <w:vAlign w:val="center"/>
          </w:tcPr>
          <w:p w14:paraId="3050B1F9" w14:textId="77777777" w:rsidR="001758E2" w:rsidRPr="001758E2" w:rsidRDefault="001758E2" w:rsidP="001758E2">
            <w:pPr>
              <w:spacing w:before="0" w:after="0"/>
              <w:rPr>
                <w:rStyle w:val="TableText"/>
                <w:rFonts w:cstheme="minorHAnsi"/>
                <w:szCs w:val="20"/>
              </w:rPr>
            </w:pPr>
          </w:p>
        </w:tc>
        <w:tc>
          <w:tcPr>
            <w:tcW w:w="1785" w:type="pct"/>
            <w:tcBorders>
              <w:left w:val="single" w:sz="4" w:space="0" w:color="auto"/>
            </w:tcBorders>
            <w:vAlign w:val="center"/>
          </w:tcPr>
          <w:p w14:paraId="22C878DF" w14:textId="77777777" w:rsidR="001758E2" w:rsidRPr="001758E2" w:rsidRDefault="001758E2" w:rsidP="001758E2">
            <w:pPr>
              <w:spacing w:before="0" w:after="0"/>
              <w:rPr>
                <w:rStyle w:val="TableText"/>
                <w:rFonts w:cstheme="minorHAnsi"/>
                <w:szCs w:val="20"/>
              </w:rPr>
            </w:pPr>
            <w:r w:rsidRPr="001758E2">
              <w:rPr>
                <w:rStyle w:val="TableText"/>
                <w:rFonts w:cstheme="minorHAnsi"/>
                <w:szCs w:val="20"/>
              </w:rPr>
              <w:t>Time to progression &gt;6 months</w:t>
            </w:r>
          </w:p>
        </w:tc>
        <w:tc>
          <w:tcPr>
            <w:tcW w:w="1304" w:type="pct"/>
            <w:vAlign w:val="center"/>
          </w:tcPr>
          <w:p w14:paraId="7FD1CD90" w14:textId="77777777" w:rsidR="001758E2" w:rsidRPr="001758E2" w:rsidRDefault="001758E2" w:rsidP="001758E2">
            <w:pPr>
              <w:spacing w:before="0" w:after="0"/>
              <w:jc w:val="center"/>
              <w:rPr>
                <w:rStyle w:val="TableText"/>
                <w:rFonts w:cstheme="minorHAnsi"/>
                <w:szCs w:val="20"/>
              </w:rPr>
            </w:pPr>
            <w:r w:rsidRPr="001758E2">
              <w:rPr>
                <w:rStyle w:val="TableText"/>
                <w:rFonts w:cstheme="minorHAnsi"/>
                <w:szCs w:val="20"/>
              </w:rPr>
              <w:t>479 (68.3)</w:t>
            </w:r>
          </w:p>
        </w:tc>
        <w:tc>
          <w:tcPr>
            <w:tcW w:w="1305" w:type="pct"/>
            <w:vAlign w:val="center"/>
          </w:tcPr>
          <w:p w14:paraId="2EC80340" w14:textId="77777777" w:rsidR="001758E2" w:rsidRPr="001758E2" w:rsidRDefault="001758E2" w:rsidP="001758E2">
            <w:pPr>
              <w:spacing w:before="0" w:after="0"/>
              <w:jc w:val="center"/>
              <w:rPr>
                <w:rStyle w:val="TableText"/>
                <w:rFonts w:cstheme="minorHAnsi"/>
                <w:szCs w:val="20"/>
              </w:rPr>
            </w:pPr>
            <w:r w:rsidRPr="001758E2">
              <w:rPr>
                <w:rStyle w:val="TableText"/>
                <w:rFonts w:cstheme="minorHAnsi"/>
                <w:szCs w:val="20"/>
              </w:rPr>
              <w:t>114 (85.1)</w:t>
            </w:r>
          </w:p>
        </w:tc>
      </w:tr>
    </w:tbl>
    <w:p w14:paraId="68B4B23C" w14:textId="77777777" w:rsidR="001758E2" w:rsidRDefault="001758E2" w:rsidP="00A4296C">
      <w:pPr>
        <w:pStyle w:val="TableNotes"/>
        <w:spacing w:after="0"/>
        <w:ind w:left="426"/>
        <w:rPr>
          <w:rFonts w:cstheme="minorHAnsi"/>
          <w:szCs w:val="16"/>
        </w:rPr>
      </w:pPr>
      <w:r w:rsidRPr="0004619A">
        <w:rPr>
          <w:rFonts w:cstheme="minorHAnsi"/>
          <w:szCs w:val="16"/>
        </w:rPr>
        <w:t xml:space="preserve">Abbreviations: CI = confidence interval; </w:t>
      </w:r>
      <w:proofErr w:type="spellStart"/>
      <w:r w:rsidRPr="0004619A">
        <w:rPr>
          <w:rFonts w:cstheme="minorHAnsi"/>
          <w:szCs w:val="16"/>
        </w:rPr>
        <w:t>gBRCAm</w:t>
      </w:r>
      <w:proofErr w:type="spellEnd"/>
      <w:r w:rsidRPr="0004619A">
        <w:rPr>
          <w:rFonts w:cstheme="minorHAnsi"/>
          <w:szCs w:val="16"/>
        </w:rPr>
        <w:t xml:space="preserve"> = germline BRCA mutation; OS = overall survival; PFS = progression free survival.  Source: Table 1, Figure 2 Alsop 2012</w:t>
      </w:r>
    </w:p>
    <w:p w14:paraId="79442135" w14:textId="12EA7780" w:rsidR="00BA042A" w:rsidRDefault="00BA042A">
      <w:pPr>
        <w:spacing w:before="0" w:after="200" w:line="276" w:lineRule="auto"/>
        <w:rPr>
          <w:rFonts w:ascii="Arial Narrow" w:eastAsiaTheme="majorEastAsia" w:hAnsi="Arial Narrow" w:cstheme="minorHAnsi"/>
          <w:sz w:val="16"/>
          <w:szCs w:val="16"/>
        </w:rPr>
      </w:pPr>
    </w:p>
    <w:p w14:paraId="73E5EDA1" w14:textId="66A18485" w:rsidR="00BA042A" w:rsidRPr="00BA042A" w:rsidRDefault="00BA042A" w:rsidP="00A4296C">
      <w:pPr>
        <w:pStyle w:val="Caption"/>
        <w:ind w:firstLine="426"/>
        <w:rPr>
          <w:rFonts w:asciiTheme="minorHAnsi" w:hAnsiTheme="minorHAnsi" w:cstheme="minorHAnsi"/>
          <w:sz w:val="20"/>
          <w:szCs w:val="20"/>
        </w:rPr>
      </w:pPr>
      <w:bookmarkStart w:id="7" w:name="_Ref58407178"/>
      <w:bookmarkStart w:id="8" w:name="_Toc66195295"/>
      <w:bookmarkStart w:id="9" w:name="_Toc86421715"/>
      <w:r w:rsidRPr="00BA042A">
        <w:rPr>
          <w:rFonts w:asciiTheme="minorHAnsi" w:hAnsiTheme="minorHAnsi" w:cstheme="minorHAnsi"/>
          <w:sz w:val="20"/>
          <w:szCs w:val="20"/>
        </w:rPr>
        <w:t xml:space="preserve">Figure </w:t>
      </w:r>
      <w:r w:rsidRPr="00BA042A">
        <w:rPr>
          <w:rFonts w:asciiTheme="minorHAnsi" w:hAnsiTheme="minorHAnsi" w:cstheme="minorHAnsi"/>
          <w:sz w:val="20"/>
          <w:szCs w:val="20"/>
        </w:rPr>
        <w:fldChar w:fldCharType="begin"/>
      </w:r>
      <w:r w:rsidRPr="00BA042A">
        <w:rPr>
          <w:rFonts w:asciiTheme="minorHAnsi" w:hAnsiTheme="minorHAnsi" w:cstheme="minorHAnsi"/>
          <w:sz w:val="20"/>
          <w:szCs w:val="20"/>
        </w:rPr>
        <w:instrText xml:space="preserve"> SEQ Figure \* ARABIC </w:instrText>
      </w:r>
      <w:r w:rsidRPr="00BA042A">
        <w:rPr>
          <w:rFonts w:asciiTheme="minorHAnsi" w:hAnsiTheme="minorHAnsi" w:cstheme="minorHAnsi"/>
          <w:sz w:val="20"/>
          <w:szCs w:val="20"/>
        </w:rPr>
        <w:fldChar w:fldCharType="separate"/>
      </w:r>
      <w:r w:rsidR="00FB0A15">
        <w:rPr>
          <w:rFonts w:asciiTheme="minorHAnsi" w:hAnsiTheme="minorHAnsi" w:cstheme="minorHAnsi"/>
          <w:noProof/>
          <w:sz w:val="20"/>
          <w:szCs w:val="20"/>
        </w:rPr>
        <w:t>1</w:t>
      </w:r>
      <w:r w:rsidRPr="00BA042A">
        <w:rPr>
          <w:rFonts w:asciiTheme="minorHAnsi" w:hAnsiTheme="minorHAnsi" w:cstheme="minorHAnsi"/>
          <w:sz w:val="20"/>
          <w:szCs w:val="20"/>
        </w:rPr>
        <w:fldChar w:fldCharType="end"/>
      </w:r>
      <w:bookmarkEnd w:id="7"/>
      <w:r w:rsidRPr="00BA042A">
        <w:rPr>
          <w:rFonts w:asciiTheme="minorHAnsi" w:hAnsiTheme="minorHAnsi" w:cstheme="minorHAnsi"/>
          <w:sz w:val="20"/>
          <w:szCs w:val="20"/>
        </w:rPr>
        <w:t xml:space="preserve">: Kaplan-Meier plot for OS by </w:t>
      </w:r>
      <w:proofErr w:type="spellStart"/>
      <w:r w:rsidRPr="00BA042A">
        <w:rPr>
          <w:rFonts w:asciiTheme="minorHAnsi" w:hAnsiTheme="minorHAnsi" w:cstheme="minorHAnsi"/>
          <w:sz w:val="20"/>
          <w:szCs w:val="20"/>
        </w:rPr>
        <w:t>gBRCAm</w:t>
      </w:r>
      <w:proofErr w:type="spellEnd"/>
      <w:r w:rsidRPr="00BA042A">
        <w:rPr>
          <w:rFonts w:asciiTheme="minorHAnsi" w:hAnsiTheme="minorHAnsi" w:cstheme="minorHAnsi"/>
          <w:sz w:val="20"/>
          <w:szCs w:val="20"/>
        </w:rPr>
        <w:t xml:space="preserve"> status – AOCS (Alsop 2012)</w:t>
      </w:r>
      <w:bookmarkEnd w:id="8"/>
      <w:bookmarkEnd w:id="9"/>
    </w:p>
    <w:p w14:paraId="56DA1DD1" w14:textId="77777777" w:rsidR="00BA042A" w:rsidRPr="00F92D1D" w:rsidRDefault="00BA042A" w:rsidP="00BA042A">
      <w:pPr>
        <w:pStyle w:val="CommentText"/>
        <w:jc w:val="center"/>
        <w:rPr>
          <w:sz w:val="24"/>
          <w:szCs w:val="24"/>
        </w:rPr>
      </w:pPr>
      <w:r>
        <w:rPr>
          <w:noProof/>
        </w:rPr>
        <w:drawing>
          <wp:inline distT="0" distB="0" distL="0" distR="0" wp14:anchorId="65838663" wp14:editId="270B0584">
            <wp:extent cx="3727875" cy="25431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661"/>
                    <a:stretch/>
                  </pic:blipFill>
                  <pic:spPr bwMode="auto">
                    <a:xfrm>
                      <a:off x="0" y="0"/>
                      <a:ext cx="3746070" cy="2555588"/>
                    </a:xfrm>
                    <a:prstGeom prst="rect">
                      <a:avLst/>
                    </a:prstGeom>
                    <a:ln>
                      <a:noFill/>
                    </a:ln>
                    <a:extLst>
                      <a:ext uri="{53640926-AAD7-44D8-BBD7-CCE9431645EC}">
                        <a14:shadowObscured xmlns:a14="http://schemas.microsoft.com/office/drawing/2010/main"/>
                      </a:ext>
                    </a:extLst>
                  </pic:spPr>
                </pic:pic>
              </a:graphicData>
            </a:graphic>
          </wp:inline>
        </w:drawing>
      </w:r>
    </w:p>
    <w:p w14:paraId="08B6BD29" w14:textId="77777777" w:rsidR="00BA042A" w:rsidRDefault="00BA042A" w:rsidP="00A4296C">
      <w:pPr>
        <w:pStyle w:val="TableNotes"/>
        <w:ind w:left="426"/>
      </w:pPr>
      <w:r>
        <w:t>g</w:t>
      </w:r>
      <w:r w:rsidRPr="008E528B">
        <w:t xml:space="preserve">BRCA1 mutation–positive (blue); </w:t>
      </w:r>
      <w:r>
        <w:t>g</w:t>
      </w:r>
      <w:r w:rsidRPr="008E528B">
        <w:t>BRCA2 mutation–positive (</w:t>
      </w:r>
      <w:proofErr w:type="spellStart"/>
      <w:r w:rsidRPr="008E528B">
        <w:t>gray</w:t>
      </w:r>
      <w:proofErr w:type="spellEnd"/>
      <w:r w:rsidRPr="008E528B">
        <w:t xml:space="preserve">); </w:t>
      </w:r>
      <w:r>
        <w:t>g</w:t>
      </w:r>
      <w:r w:rsidRPr="008E528B">
        <w:t xml:space="preserve">BRCA1/2 mutation–positive (combined; gold); </w:t>
      </w:r>
      <w:r>
        <w:t>non-</w:t>
      </w:r>
      <w:proofErr w:type="spellStart"/>
      <w:r>
        <w:t>gBRCA</w:t>
      </w:r>
      <w:proofErr w:type="spellEnd"/>
      <w:r>
        <w:t xml:space="preserve"> mutation</w:t>
      </w:r>
      <w:r w:rsidRPr="008E528B">
        <w:t xml:space="preserve"> (black).</w:t>
      </w:r>
      <w:r>
        <w:br/>
        <w:t xml:space="preserve">Source: Figure 1B, Alsop 2012. </w:t>
      </w:r>
    </w:p>
    <w:p w14:paraId="79689049" w14:textId="2FBF4E71" w:rsidR="00550E6B" w:rsidRDefault="007F2B39" w:rsidP="00A4296C">
      <w:pPr>
        <w:ind w:left="426"/>
        <w:rPr>
          <w:b/>
          <w:bCs/>
        </w:rPr>
      </w:pPr>
      <w:r>
        <w:t>Homol</w:t>
      </w:r>
      <w:r w:rsidR="001E015A">
        <w:t xml:space="preserve">ogous recombination (HR) is an essential pathway for DNA double strand break (DSB) repair.  </w:t>
      </w:r>
      <w:r w:rsidR="008645DA">
        <w:t xml:space="preserve">Approximately half of all HGEOCs exhibit functional defects in homologous recombination </w:t>
      </w:r>
      <w:r w:rsidR="001E015A">
        <w:t xml:space="preserve">repair </w:t>
      </w:r>
      <w:r w:rsidR="008645DA">
        <w:t>(</w:t>
      </w:r>
      <w:proofErr w:type="gramStart"/>
      <w:r w:rsidR="008645DA">
        <w:t>i.e.</w:t>
      </w:r>
      <w:proofErr w:type="gramEnd"/>
      <w:r w:rsidR="008645DA">
        <w:t xml:space="preserve"> homologous recombination deficiency – HRD).  </w:t>
      </w:r>
      <w:r w:rsidR="00E953B9" w:rsidRPr="00E953B9">
        <w:t>While germline/somatic BRCA1 and BRCA2 mutations are the best characterised causes of HRD, HRD can arise through germline and somatic mutations or methylation of a wider set of genes involved in homologous recombination repair (</w:t>
      </w:r>
      <w:proofErr w:type="gramStart"/>
      <w:r w:rsidR="00E953B9" w:rsidRPr="00E953B9">
        <w:t>e.g.</w:t>
      </w:r>
      <w:proofErr w:type="gramEnd"/>
      <w:r w:rsidR="00E953B9" w:rsidRPr="00E953B9">
        <w:t xml:space="preserve"> BRCA1, BRCA2, RAD51C, RAD51D or PALB2, promoter hypermethylation of the BRCA1 gene promotor</w:t>
      </w:r>
      <w:r w:rsidR="00E953B9">
        <w:t>; Miller 2020</w:t>
      </w:r>
      <w:r w:rsidR="00E953B9" w:rsidRPr="00E953B9">
        <w:t>)</w:t>
      </w:r>
      <w:r w:rsidR="00A939AA">
        <w:t xml:space="preserve">.  </w:t>
      </w:r>
      <w:r w:rsidR="00F02AB8">
        <w:t>W</w:t>
      </w:r>
      <w:r w:rsidR="00F02AB8" w:rsidRPr="00D33C98">
        <w:t>ith HRD cells showing a greater reliance on PARP activity to maintain cell survival</w:t>
      </w:r>
      <w:r w:rsidR="00F02AB8">
        <w:t xml:space="preserve">, the </w:t>
      </w:r>
      <w:r w:rsidR="00E504D2">
        <w:t xml:space="preserve">clinical utility </w:t>
      </w:r>
      <w:r w:rsidR="00F02AB8">
        <w:t xml:space="preserve">of </w:t>
      </w:r>
      <w:proofErr w:type="spellStart"/>
      <w:r w:rsidR="00F02AB8">
        <w:t>PARPi</w:t>
      </w:r>
      <w:r w:rsidR="00E504D2">
        <w:t>s</w:t>
      </w:r>
      <w:proofErr w:type="spellEnd"/>
      <w:r w:rsidR="00F02AB8">
        <w:t xml:space="preserve"> </w:t>
      </w:r>
      <w:r w:rsidR="00DC0B7B">
        <w:t>has the potential to extend beyond</w:t>
      </w:r>
      <w:r w:rsidR="00E504D2">
        <w:t xml:space="preserve"> </w:t>
      </w:r>
      <w:r w:rsidR="00664EE5">
        <w:t>the</w:t>
      </w:r>
      <w:r w:rsidR="00F02AB8">
        <w:t xml:space="preserve"> </w:t>
      </w:r>
      <w:proofErr w:type="spellStart"/>
      <w:r w:rsidR="00F02AB8">
        <w:t>BRCA</w:t>
      </w:r>
      <w:r w:rsidR="00664EE5">
        <w:t>m</w:t>
      </w:r>
      <w:proofErr w:type="spellEnd"/>
      <w:r w:rsidR="00664EE5">
        <w:t xml:space="preserve"> cohort</w:t>
      </w:r>
      <w:r w:rsidR="00F02AB8">
        <w:t xml:space="preserve">.  </w:t>
      </w:r>
      <w:r w:rsidR="0084012C">
        <w:t xml:space="preserve">This has been confirmed in </w:t>
      </w:r>
      <w:r w:rsidR="00C81EA0">
        <w:t xml:space="preserve">a </w:t>
      </w:r>
      <w:r w:rsidR="000F6AF0">
        <w:t>recent trial</w:t>
      </w:r>
      <w:r w:rsidR="0084012C">
        <w:t xml:space="preserve"> of </w:t>
      </w:r>
      <w:r w:rsidR="00C81EA0">
        <w:t xml:space="preserve">niraparib </w:t>
      </w:r>
      <w:r w:rsidR="007A58C1">
        <w:t>as monotherapy</w:t>
      </w:r>
      <w:r w:rsidR="00C81EA0">
        <w:t xml:space="preserve"> vs SMM</w:t>
      </w:r>
      <w:r w:rsidR="0084012C">
        <w:t>, whereby treatment effects are</w:t>
      </w:r>
      <w:r w:rsidR="007A58C1">
        <w:t xml:space="preserve"> </w:t>
      </w:r>
      <w:r w:rsidR="00C47EEC">
        <w:t>enhanced</w:t>
      </w:r>
      <w:r w:rsidR="00F95594" w:rsidRPr="00F95594">
        <w:t xml:space="preserve"> in ovarian cancers displaying </w:t>
      </w:r>
      <w:proofErr w:type="spellStart"/>
      <w:r w:rsidR="001E0941">
        <w:t>BRCAm</w:t>
      </w:r>
      <w:proofErr w:type="spellEnd"/>
      <w:r w:rsidR="00F95594" w:rsidRPr="00F95594">
        <w:t xml:space="preserve"> </w:t>
      </w:r>
      <w:r w:rsidR="001E0941">
        <w:t xml:space="preserve">and </w:t>
      </w:r>
      <w:r w:rsidR="00F95594" w:rsidRPr="00F95594">
        <w:t xml:space="preserve">HRD </w:t>
      </w:r>
      <w:r w:rsidR="000A319A">
        <w:t>(</w:t>
      </w:r>
      <w:r w:rsidR="007A58C1">
        <w:t>PRIM</w:t>
      </w:r>
      <w:r w:rsidR="00C81EA0">
        <w:t>A</w:t>
      </w:r>
      <w:r w:rsidR="000A319A">
        <w:t>)</w:t>
      </w:r>
      <w:r w:rsidR="000B4697">
        <w:t xml:space="preserve">.  </w:t>
      </w:r>
      <w:r w:rsidR="009968D3" w:rsidRPr="00DA5F87">
        <w:rPr>
          <w:b/>
          <w:bCs/>
        </w:rPr>
        <w:t xml:space="preserve">Noting that </w:t>
      </w:r>
      <w:r w:rsidR="001E5E58" w:rsidRPr="00DA5F87">
        <w:rPr>
          <w:b/>
          <w:bCs/>
        </w:rPr>
        <w:t xml:space="preserve">PBAC has previously </w:t>
      </w:r>
      <w:r w:rsidR="009968D3" w:rsidRPr="00DA5F87">
        <w:rPr>
          <w:b/>
          <w:bCs/>
        </w:rPr>
        <w:t>considered</w:t>
      </w:r>
      <w:r w:rsidR="001E5E58" w:rsidRPr="00DA5F87">
        <w:rPr>
          <w:b/>
          <w:bCs/>
        </w:rPr>
        <w:t xml:space="preserve"> </w:t>
      </w:r>
      <w:r w:rsidR="009968D3" w:rsidRPr="00DA5F87">
        <w:rPr>
          <w:b/>
          <w:bCs/>
        </w:rPr>
        <w:t xml:space="preserve">that </w:t>
      </w:r>
      <w:r w:rsidR="00DC0003" w:rsidRPr="00DA5F87">
        <w:rPr>
          <w:b/>
          <w:bCs/>
        </w:rPr>
        <w:t xml:space="preserve">a more targeted population to identify patients most likely to benefit from </w:t>
      </w:r>
      <w:r w:rsidR="009968D3" w:rsidRPr="00DA5F87">
        <w:rPr>
          <w:b/>
          <w:bCs/>
        </w:rPr>
        <w:t>niraparib would be reasonable</w:t>
      </w:r>
      <w:r w:rsidR="00734B0D" w:rsidRPr="00DA5F87">
        <w:rPr>
          <w:b/>
          <w:bCs/>
        </w:rPr>
        <w:t xml:space="preserve"> (Paragraph 7.17, </w:t>
      </w:r>
      <w:r w:rsidR="0048381E" w:rsidRPr="00DA5F87">
        <w:rPr>
          <w:b/>
          <w:bCs/>
        </w:rPr>
        <w:t xml:space="preserve">Item 7.07 - </w:t>
      </w:r>
      <w:r w:rsidR="00734B0D" w:rsidRPr="00DA5F87">
        <w:rPr>
          <w:b/>
          <w:bCs/>
        </w:rPr>
        <w:t xml:space="preserve">March 2022 </w:t>
      </w:r>
      <w:r w:rsidR="003C04F3" w:rsidRPr="00DA5F87">
        <w:rPr>
          <w:b/>
          <w:bCs/>
        </w:rPr>
        <w:t>PSD</w:t>
      </w:r>
      <w:r w:rsidR="00734B0D" w:rsidRPr="00DA5F87">
        <w:rPr>
          <w:b/>
          <w:bCs/>
        </w:rPr>
        <w:t>)</w:t>
      </w:r>
      <w:r w:rsidR="009968D3" w:rsidRPr="00DA5F87">
        <w:rPr>
          <w:b/>
          <w:bCs/>
        </w:rPr>
        <w:t xml:space="preserve">, </w:t>
      </w:r>
      <w:r w:rsidR="00480F92" w:rsidRPr="00771824">
        <w:rPr>
          <w:b/>
          <w:bCs/>
          <w:u w:val="single"/>
        </w:rPr>
        <w:t xml:space="preserve">GSK intend to submit </w:t>
      </w:r>
      <w:r w:rsidR="00C511B9" w:rsidRPr="00771824">
        <w:rPr>
          <w:b/>
          <w:bCs/>
          <w:u w:val="single"/>
        </w:rPr>
        <w:t xml:space="preserve">a future co-dependent </w:t>
      </w:r>
      <w:r w:rsidR="0063676B" w:rsidRPr="00771824">
        <w:rPr>
          <w:b/>
          <w:bCs/>
          <w:u w:val="single"/>
        </w:rPr>
        <w:t xml:space="preserve">application requesting </w:t>
      </w:r>
      <w:r w:rsidR="008D2568" w:rsidRPr="00771824">
        <w:rPr>
          <w:b/>
          <w:bCs/>
          <w:u w:val="single"/>
        </w:rPr>
        <w:t>an</w:t>
      </w:r>
      <w:r w:rsidR="00C56A78" w:rsidRPr="00771824">
        <w:rPr>
          <w:b/>
          <w:bCs/>
          <w:u w:val="single"/>
        </w:rPr>
        <w:t xml:space="preserve"> ex</w:t>
      </w:r>
      <w:r w:rsidR="008D2568" w:rsidRPr="00771824">
        <w:rPr>
          <w:b/>
          <w:bCs/>
          <w:u w:val="single"/>
        </w:rPr>
        <w:t>panded</w:t>
      </w:r>
      <w:r w:rsidR="005F2258" w:rsidRPr="00771824">
        <w:rPr>
          <w:b/>
          <w:bCs/>
          <w:u w:val="single"/>
        </w:rPr>
        <w:t xml:space="preserve"> 1L listing</w:t>
      </w:r>
      <w:r w:rsidR="00C56A78" w:rsidRPr="00771824">
        <w:rPr>
          <w:b/>
          <w:bCs/>
          <w:u w:val="single"/>
        </w:rPr>
        <w:t xml:space="preserve"> </w:t>
      </w:r>
      <w:r w:rsidR="008D2568" w:rsidRPr="00771824">
        <w:rPr>
          <w:b/>
          <w:bCs/>
          <w:u w:val="single"/>
        </w:rPr>
        <w:t>for niraparib in</w:t>
      </w:r>
      <w:r w:rsidR="005F2258" w:rsidRPr="00771824">
        <w:rPr>
          <w:b/>
          <w:bCs/>
          <w:u w:val="single"/>
        </w:rPr>
        <w:t xml:space="preserve"> </w:t>
      </w:r>
      <w:r w:rsidR="00A52F81" w:rsidRPr="00771824">
        <w:rPr>
          <w:b/>
          <w:bCs/>
          <w:u w:val="single"/>
        </w:rPr>
        <w:t>patients</w:t>
      </w:r>
      <w:r w:rsidR="00C1767B" w:rsidRPr="00771824">
        <w:rPr>
          <w:b/>
          <w:bCs/>
          <w:u w:val="single"/>
        </w:rPr>
        <w:t xml:space="preserve"> </w:t>
      </w:r>
      <w:r w:rsidR="005F2258" w:rsidRPr="00771824">
        <w:rPr>
          <w:b/>
          <w:bCs/>
          <w:u w:val="single"/>
        </w:rPr>
        <w:t>with</w:t>
      </w:r>
      <w:r w:rsidR="006128C8" w:rsidRPr="00771824">
        <w:rPr>
          <w:b/>
          <w:bCs/>
          <w:u w:val="single"/>
        </w:rPr>
        <w:t xml:space="preserve"> </w:t>
      </w:r>
      <w:r w:rsidR="006128C8" w:rsidRPr="005F2258">
        <w:rPr>
          <w:b/>
          <w:bCs/>
          <w:u w:val="single"/>
        </w:rPr>
        <w:t>non-</w:t>
      </w:r>
      <w:proofErr w:type="spellStart"/>
      <w:r w:rsidR="006128C8" w:rsidRPr="005F2258">
        <w:rPr>
          <w:b/>
          <w:bCs/>
          <w:u w:val="single"/>
        </w:rPr>
        <w:t>BRCAm</w:t>
      </w:r>
      <w:proofErr w:type="spellEnd"/>
      <w:r w:rsidR="006128C8" w:rsidRPr="005F2258">
        <w:rPr>
          <w:b/>
          <w:bCs/>
          <w:u w:val="single"/>
        </w:rPr>
        <w:t>, HRD status</w:t>
      </w:r>
      <w:r w:rsidR="00C1767B" w:rsidRPr="005F2258">
        <w:rPr>
          <w:b/>
          <w:bCs/>
          <w:u w:val="single"/>
        </w:rPr>
        <w:t>.</w:t>
      </w:r>
      <w:r w:rsidR="00C1767B" w:rsidRPr="00C56DF7">
        <w:rPr>
          <w:b/>
          <w:bCs/>
        </w:rPr>
        <w:t xml:space="preserve">  </w:t>
      </w:r>
    </w:p>
    <w:p w14:paraId="6E8F8F72" w14:textId="77777777" w:rsidR="00A4296C" w:rsidRDefault="00A4296C">
      <w:pPr>
        <w:spacing w:before="0" w:after="200" w:line="276" w:lineRule="auto"/>
        <w:rPr>
          <w:rFonts w:eastAsiaTheme="majorEastAsia" w:cstheme="minorHAnsi"/>
          <w:b/>
          <w:bCs/>
          <w:szCs w:val="20"/>
        </w:rPr>
      </w:pPr>
      <w:bookmarkStart w:id="10" w:name="_Ref104210809"/>
      <w:r>
        <w:rPr>
          <w:rFonts w:cstheme="minorHAnsi"/>
          <w:szCs w:val="20"/>
        </w:rPr>
        <w:br w:type="page"/>
      </w:r>
    </w:p>
    <w:p w14:paraId="33E4D2C9" w14:textId="48C1B142" w:rsidR="004A43D4" w:rsidRPr="001758E2" w:rsidRDefault="004A43D4" w:rsidP="004A43D4">
      <w:pPr>
        <w:pStyle w:val="Caption"/>
        <w:rPr>
          <w:rFonts w:asciiTheme="minorHAnsi" w:hAnsiTheme="minorHAnsi" w:cstheme="minorHAnsi"/>
          <w:sz w:val="20"/>
          <w:szCs w:val="20"/>
        </w:rPr>
      </w:pPr>
      <w:r w:rsidRPr="001758E2">
        <w:rPr>
          <w:rFonts w:asciiTheme="minorHAnsi" w:hAnsiTheme="minorHAnsi" w:cstheme="minorHAnsi"/>
          <w:sz w:val="20"/>
          <w:szCs w:val="20"/>
        </w:rPr>
        <w:lastRenderedPageBreak/>
        <w:t xml:space="preserve">Table </w:t>
      </w:r>
      <w:r w:rsidRPr="001758E2">
        <w:rPr>
          <w:rFonts w:asciiTheme="minorHAnsi" w:hAnsiTheme="minorHAnsi" w:cstheme="minorHAnsi"/>
          <w:sz w:val="20"/>
          <w:szCs w:val="20"/>
        </w:rPr>
        <w:fldChar w:fldCharType="begin"/>
      </w:r>
      <w:r w:rsidRPr="001758E2">
        <w:rPr>
          <w:rFonts w:asciiTheme="minorHAnsi" w:hAnsiTheme="minorHAnsi" w:cstheme="minorHAnsi"/>
          <w:sz w:val="20"/>
          <w:szCs w:val="20"/>
        </w:rPr>
        <w:instrText xml:space="preserve"> SEQ Table \* ARABIC </w:instrText>
      </w:r>
      <w:r w:rsidRPr="001758E2">
        <w:rPr>
          <w:rFonts w:asciiTheme="minorHAnsi" w:hAnsiTheme="minorHAnsi" w:cstheme="minorHAnsi"/>
          <w:sz w:val="20"/>
          <w:szCs w:val="20"/>
        </w:rPr>
        <w:fldChar w:fldCharType="separate"/>
      </w:r>
      <w:r w:rsidR="00FB0A15">
        <w:rPr>
          <w:rFonts w:asciiTheme="minorHAnsi" w:hAnsiTheme="minorHAnsi" w:cstheme="minorHAnsi"/>
          <w:noProof/>
          <w:sz w:val="20"/>
          <w:szCs w:val="20"/>
        </w:rPr>
        <w:t>3</w:t>
      </w:r>
      <w:r w:rsidRPr="001758E2">
        <w:rPr>
          <w:rFonts w:asciiTheme="minorHAnsi" w:hAnsiTheme="minorHAnsi" w:cstheme="minorHAnsi"/>
          <w:sz w:val="20"/>
          <w:szCs w:val="20"/>
        </w:rPr>
        <w:fldChar w:fldCharType="end"/>
      </w:r>
      <w:bookmarkEnd w:id="10"/>
      <w:r w:rsidRPr="001758E2">
        <w:rPr>
          <w:rFonts w:asciiTheme="minorHAnsi" w:hAnsiTheme="minorHAnsi" w:cstheme="minorHAnsi"/>
          <w:sz w:val="20"/>
          <w:szCs w:val="20"/>
        </w:rPr>
        <w:t xml:space="preserve">: </w:t>
      </w:r>
      <w:r w:rsidR="000B5696">
        <w:rPr>
          <w:rFonts w:asciiTheme="minorHAnsi" w:hAnsiTheme="minorHAnsi" w:cstheme="minorHAnsi"/>
          <w:sz w:val="20"/>
          <w:szCs w:val="20"/>
        </w:rPr>
        <w:t xml:space="preserve">Results for </w:t>
      </w:r>
      <w:r w:rsidRPr="001758E2">
        <w:rPr>
          <w:rFonts w:asciiTheme="minorHAnsi" w:hAnsiTheme="minorHAnsi" w:cstheme="minorHAnsi"/>
          <w:sz w:val="20"/>
          <w:szCs w:val="20"/>
        </w:rPr>
        <w:t xml:space="preserve">PFS according to </w:t>
      </w:r>
      <w:proofErr w:type="spellStart"/>
      <w:r w:rsidRPr="001758E2">
        <w:rPr>
          <w:rFonts w:asciiTheme="minorHAnsi" w:hAnsiTheme="minorHAnsi" w:cstheme="minorHAnsi"/>
          <w:sz w:val="20"/>
          <w:szCs w:val="20"/>
        </w:rPr>
        <w:t>BRCAm</w:t>
      </w:r>
      <w:proofErr w:type="spellEnd"/>
      <w:r w:rsidRPr="001758E2">
        <w:rPr>
          <w:rFonts w:asciiTheme="minorHAnsi" w:hAnsiTheme="minorHAnsi" w:cstheme="minorHAnsi"/>
          <w:sz w:val="20"/>
          <w:szCs w:val="20"/>
        </w:rPr>
        <w:t xml:space="preserve"> </w:t>
      </w:r>
      <w:r>
        <w:rPr>
          <w:rFonts w:asciiTheme="minorHAnsi" w:hAnsiTheme="minorHAnsi" w:cstheme="minorHAnsi"/>
          <w:sz w:val="20"/>
          <w:szCs w:val="20"/>
        </w:rPr>
        <w:t xml:space="preserve">and HRD </w:t>
      </w:r>
      <w:r w:rsidRPr="001758E2">
        <w:rPr>
          <w:rFonts w:asciiTheme="minorHAnsi" w:hAnsiTheme="minorHAnsi" w:cstheme="minorHAnsi"/>
          <w:sz w:val="20"/>
          <w:szCs w:val="20"/>
        </w:rPr>
        <w:t xml:space="preserve">status – </w:t>
      </w:r>
      <w:proofErr w:type="spellStart"/>
      <w:r w:rsidR="00801C70">
        <w:rPr>
          <w:rFonts w:asciiTheme="minorHAnsi" w:hAnsiTheme="minorHAnsi" w:cstheme="minorHAnsi"/>
          <w:sz w:val="20"/>
          <w:szCs w:val="20"/>
        </w:rPr>
        <w:t>PARPi</w:t>
      </w:r>
      <w:proofErr w:type="spellEnd"/>
      <w:r w:rsidR="00801C70">
        <w:rPr>
          <w:rFonts w:asciiTheme="minorHAnsi" w:hAnsiTheme="minorHAnsi" w:cstheme="minorHAnsi"/>
          <w:sz w:val="20"/>
          <w:szCs w:val="20"/>
        </w:rPr>
        <w:t xml:space="preserve"> monotherapy: </w:t>
      </w:r>
      <w:r>
        <w:rPr>
          <w:rFonts w:asciiTheme="minorHAnsi" w:hAnsiTheme="minorHAnsi" w:cstheme="minorHAnsi"/>
          <w:sz w:val="20"/>
          <w:szCs w:val="20"/>
        </w:rPr>
        <w:t>PRIM</w:t>
      </w:r>
      <w:r w:rsidR="00EE13E6">
        <w:rPr>
          <w:rFonts w:asciiTheme="minorHAnsi" w:hAnsiTheme="minorHAnsi" w:cstheme="minorHAnsi"/>
          <w:sz w:val="20"/>
          <w:szCs w:val="20"/>
        </w:rPr>
        <w:t>A</w:t>
      </w:r>
    </w:p>
    <w:tbl>
      <w:tblPr>
        <w:tblStyle w:val="TableGrid"/>
        <w:tblW w:w="5000" w:type="pct"/>
        <w:tblCellMar>
          <w:left w:w="28" w:type="dxa"/>
          <w:right w:w="28" w:type="dxa"/>
        </w:tblCellMar>
        <w:tblLook w:val="04A0" w:firstRow="1" w:lastRow="0" w:firstColumn="1" w:lastColumn="0" w:noHBand="0" w:noVBand="1"/>
      </w:tblPr>
      <w:tblGrid>
        <w:gridCol w:w="1652"/>
        <w:gridCol w:w="3132"/>
        <w:gridCol w:w="2115"/>
        <w:gridCol w:w="2117"/>
      </w:tblGrid>
      <w:tr w:rsidR="00EE13E6" w:rsidRPr="001758E2" w14:paraId="73E8E131" w14:textId="3D287964" w:rsidTr="00EE13E6">
        <w:tc>
          <w:tcPr>
            <w:tcW w:w="2653" w:type="pct"/>
            <w:gridSpan w:val="2"/>
            <w:vMerge w:val="restart"/>
            <w:shd w:val="clear" w:color="auto" w:fill="D9D9D9" w:themeFill="background1" w:themeFillShade="D9"/>
            <w:vAlign w:val="center"/>
          </w:tcPr>
          <w:p w14:paraId="6C772DF4" w14:textId="6A41BB1B" w:rsidR="00EE13E6" w:rsidRPr="001758E2" w:rsidRDefault="00EE13E6" w:rsidP="000B5696">
            <w:pPr>
              <w:pStyle w:val="TableHeading"/>
              <w:spacing w:after="0"/>
              <w:jc w:val="left"/>
              <w:rPr>
                <w:rStyle w:val="TableText"/>
                <w:rFonts w:cstheme="minorHAnsi"/>
                <w:szCs w:val="20"/>
              </w:rPr>
            </w:pPr>
            <w:r>
              <w:rPr>
                <w:rStyle w:val="TableText"/>
                <w:rFonts w:cstheme="minorHAnsi"/>
                <w:szCs w:val="20"/>
              </w:rPr>
              <w:t>PFS</w:t>
            </w:r>
          </w:p>
        </w:tc>
        <w:tc>
          <w:tcPr>
            <w:tcW w:w="2347" w:type="pct"/>
            <w:gridSpan w:val="2"/>
            <w:shd w:val="clear" w:color="auto" w:fill="D9D9D9" w:themeFill="background1" w:themeFillShade="D9"/>
            <w:vAlign w:val="center"/>
          </w:tcPr>
          <w:p w14:paraId="0B3B1031" w14:textId="4CA8EC57" w:rsidR="00EE13E6" w:rsidRPr="001758E2" w:rsidRDefault="00EE13E6" w:rsidP="004327D3">
            <w:pPr>
              <w:pStyle w:val="TableHeading"/>
              <w:spacing w:after="0"/>
              <w:jc w:val="center"/>
              <w:rPr>
                <w:rStyle w:val="TableText"/>
                <w:rFonts w:cstheme="minorHAnsi"/>
                <w:szCs w:val="20"/>
              </w:rPr>
            </w:pPr>
            <w:r>
              <w:rPr>
                <w:rStyle w:val="TableText"/>
                <w:rFonts w:cstheme="minorHAnsi"/>
                <w:szCs w:val="20"/>
              </w:rPr>
              <w:t>PRIMA</w:t>
            </w:r>
          </w:p>
        </w:tc>
      </w:tr>
      <w:tr w:rsidR="00EE13E6" w:rsidRPr="001758E2" w14:paraId="10EBA283" w14:textId="77777777" w:rsidTr="00EE13E6">
        <w:tc>
          <w:tcPr>
            <w:tcW w:w="2653" w:type="pct"/>
            <w:gridSpan w:val="2"/>
            <w:vMerge/>
            <w:shd w:val="clear" w:color="auto" w:fill="D9D9D9" w:themeFill="background1" w:themeFillShade="D9"/>
            <w:vAlign w:val="center"/>
          </w:tcPr>
          <w:p w14:paraId="068AF696" w14:textId="77777777" w:rsidR="00EE13E6" w:rsidRDefault="00EE13E6" w:rsidP="000B5696">
            <w:pPr>
              <w:pStyle w:val="TableHeading"/>
              <w:spacing w:after="0"/>
              <w:jc w:val="left"/>
              <w:rPr>
                <w:rStyle w:val="TableText"/>
                <w:rFonts w:cstheme="minorHAnsi"/>
                <w:szCs w:val="20"/>
              </w:rPr>
            </w:pPr>
          </w:p>
        </w:tc>
        <w:tc>
          <w:tcPr>
            <w:tcW w:w="1173" w:type="pct"/>
            <w:shd w:val="clear" w:color="auto" w:fill="D9D9D9" w:themeFill="background1" w:themeFillShade="D9"/>
            <w:vAlign w:val="center"/>
          </w:tcPr>
          <w:p w14:paraId="1C2295A3" w14:textId="0D05FF38" w:rsidR="00EE13E6" w:rsidRDefault="00EE13E6" w:rsidP="004327D3">
            <w:pPr>
              <w:pStyle w:val="TableHeading"/>
              <w:spacing w:after="0"/>
              <w:jc w:val="center"/>
              <w:rPr>
                <w:rStyle w:val="TableText"/>
                <w:rFonts w:cstheme="minorHAnsi"/>
                <w:szCs w:val="20"/>
              </w:rPr>
            </w:pPr>
            <w:r>
              <w:rPr>
                <w:rStyle w:val="TableText"/>
                <w:rFonts w:cstheme="minorHAnsi"/>
                <w:szCs w:val="20"/>
              </w:rPr>
              <w:t>NIRA</w:t>
            </w:r>
          </w:p>
        </w:tc>
        <w:tc>
          <w:tcPr>
            <w:tcW w:w="1174" w:type="pct"/>
            <w:shd w:val="clear" w:color="auto" w:fill="D9D9D9" w:themeFill="background1" w:themeFillShade="D9"/>
          </w:tcPr>
          <w:p w14:paraId="75D34A14" w14:textId="378B7FFF" w:rsidR="00EE13E6" w:rsidRPr="001758E2" w:rsidRDefault="00EE13E6" w:rsidP="004327D3">
            <w:pPr>
              <w:pStyle w:val="TableHeading"/>
              <w:spacing w:after="0"/>
              <w:jc w:val="center"/>
              <w:rPr>
                <w:rStyle w:val="TableText"/>
                <w:rFonts w:cstheme="minorHAnsi"/>
                <w:szCs w:val="20"/>
              </w:rPr>
            </w:pPr>
            <w:r>
              <w:rPr>
                <w:rStyle w:val="TableText"/>
                <w:rFonts w:cstheme="minorHAnsi"/>
                <w:szCs w:val="20"/>
              </w:rPr>
              <w:t>PBO</w:t>
            </w:r>
          </w:p>
        </w:tc>
      </w:tr>
      <w:tr w:rsidR="00EE13E6" w:rsidRPr="000B5696" w14:paraId="229C8300" w14:textId="77777777" w:rsidTr="00EE13E6">
        <w:tc>
          <w:tcPr>
            <w:tcW w:w="2653" w:type="pct"/>
            <w:gridSpan w:val="2"/>
            <w:shd w:val="clear" w:color="auto" w:fill="auto"/>
            <w:vAlign w:val="center"/>
          </w:tcPr>
          <w:p w14:paraId="7CE41A07" w14:textId="466BE4F4" w:rsidR="00EE13E6" w:rsidRPr="000B5696" w:rsidRDefault="00EE13E6" w:rsidP="000B5696">
            <w:pPr>
              <w:pStyle w:val="TableHeading"/>
              <w:spacing w:after="0"/>
              <w:jc w:val="left"/>
              <w:rPr>
                <w:rStyle w:val="TableText"/>
                <w:rFonts w:cstheme="minorHAnsi"/>
                <w:b w:val="0"/>
                <w:bCs/>
                <w:szCs w:val="20"/>
              </w:rPr>
            </w:pPr>
            <w:r w:rsidRPr="000B5696">
              <w:rPr>
                <w:rStyle w:val="TableText"/>
                <w:rFonts w:cstheme="minorHAnsi"/>
                <w:b w:val="0"/>
                <w:bCs/>
                <w:szCs w:val="20"/>
              </w:rPr>
              <w:t>Assessment Method</w:t>
            </w:r>
          </w:p>
        </w:tc>
        <w:tc>
          <w:tcPr>
            <w:tcW w:w="2347" w:type="pct"/>
            <w:gridSpan w:val="2"/>
            <w:shd w:val="clear" w:color="auto" w:fill="auto"/>
            <w:vAlign w:val="center"/>
          </w:tcPr>
          <w:p w14:paraId="5DE69EB5" w14:textId="49044D3E" w:rsidR="00EE13E6" w:rsidRPr="000B5696" w:rsidRDefault="00EE13E6" w:rsidP="004327D3">
            <w:pPr>
              <w:pStyle w:val="TableHeading"/>
              <w:spacing w:after="0"/>
              <w:jc w:val="center"/>
              <w:rPr>
                <w:rStyle w:val="TableText"/>
                <w:rFonts w:cstheme="minorHAnsi"/>
                <w:b w:val="0"/>
                <w:bCs/>
                <w:szCs w:val="20"/>
              </w:rPr>
            </w:pPr>
            <w:r w:rsidRPr="000B5696">
              <w:rPr>
                <w:rStyle w:val="TableText"/>
                <w:rFonts w:cstheme="minorHAnsi"/>
                <w:b w:val="0"/>
                <w:bCs/>
                <w:szCs w:val="20"/>
              </w:rPr>
              <w:t>Per BICR</w:t>
            </w:r>
          </w:p>
        </w:tc>
      </w:tr>
      <w:tr w:rsidR="00EE13E6" w:rsidRPr="001758E2" w14:paraId="54001F2B" w14:textId="77777777" w:rsidTr="00EE13E6">
        <w:tc>
          <w:tcPr>
            <w:tcW w:w="916" w:type="pct"/>
            <w:vMerge w:val="restart"/>
            <w:vAlign w:val="center"/>
          </w:tcPr>
          <w:p w14:paraId="20E16064" w14:textId="602A4A96" w:rsidR="00EE13E6" w:rsidRDefault="00EE13E6" w:rsidP="000B5696">
            <w:pPr>
              <w:spacing w:before="0" w:after="0"/>
              <w:rPr>
                <w:rStyle w:val="TableText"/>
                <w:rFonts w:cstheme="minorHAnsi"/>
                <w:szCs w:val="20"/>
              </w:rPr>
            </w:pPr>
            <w:proofErr w:type="spellStart"/>
            <w:r>
              <w:rPr>
                <w:rStyle w:val="TableText"/>
                <w:rFonts w:cstheme="minorHAnsi"/>
                <w:szCs w:val="20"/>
              </w:rPr>
              <w:t>BRCAm</w:t>
            </w:r>
            <w:proofErr w:type="spellEnd"/>
          </w:p>
        </w:tc>
        <w:tc>
          <w:tcPr>
            <w:tcW w:w="1737" w:type="pct"/>
            <w:vAlign w:val="center"/>
          </w:tcPr>
          <w:p w14:paraId="013BA95C" w14:textId="2878DABB" w:rsidR="00EE13E6" w:rsidRDefault="00EE13E6" w:rsidP="000B5696">
            <w:pPr>
              <w:spacing w:before="0" w:after="0"/>
              <w:rPr>
                <w:rStyle w:val="TableText"/>
                <w:rFonts w:cstheme="minorHAnsi"/>
                <w:szCs w:val="20"/>
              </w:rPr>
            </w:pPr>
            <w:r>
              <w:rPr>
                <w:rStyle w:val="TableText"/>
                <w:rFonts w:cstheme="minorHAnsi"/>
                <w:szCs w:val="20"/>
              </w:rPr>
              <w:t>Events/N</w:t>
            </w:r>
          </w:p>
        </w:tc>
        <w:tc>
          <w:tcPr>
            <w:tcW w:w="1173" w:type="pct"/>
            <w:vAlign w:val="center"/>
          </w:tcPr>
          <w:p w14:paraId="68DCE2E8" w14:textId="268675FA" w:rsidR="00EE13E6" w:rsidRPr="001758E2" w:rsidRDefault="00EE13E6" w:rsidP="004327D3">
            <w:pPr>
              <w:spacing w:before="0" w:after="0"/>
              <w:jc w:val="center"/>
              <w:rPr>
                <w:rStyle w:val="TableText"/>
                <w:rFonts w:cstheme="minorHAnsi"/>
                <w:szCs w:val="20"/>
              </w:rPr>
            </w:pPr>
            <w:r>
              <w:rPr>
                <w:rStyle w:val="TableText"/>
                <w:rFonts w:cstheme="minorHAnsi"/>
                <w:szCs w:val="20"/>
              </w:rPr>
              <w:t>49/152 (32.2)</w:t>
            </w:r>
          </w:p>
        </w:tc>
        <w:tc>
          <w:tcPr>
            <w:tcW w:w="1174" w:type="pct"/>
          </w:tcPr>
          <w:p w14:paraId="7CF9D47A" w14:textId="740DE96F" w:rsidR="00EE13E6" w:rsidRPr="001758E2" w:rsidRDefault="00EE13E6" w:rsidP="004327D3">
            <w:pPr>
              <w:spacing w:before="0" w:after="0"/>
              <w:jc w:val="center"/>
              <w:rPr>
                <w:rStyle w:val="TableText"/>
                <w:rFonts w:cstheme="minorHAnsi"/>
                <w:szCs w:val="20"/>
              </w:rPr>
            </w:pPr>
            <w:r>
              <w:rPr>
                <w:rStyle w:val="TableText"/>
                <w:rFonts w:cstheme="minorHAnsi"/>
                <w:szCs w:val="20"/>
              </w:rPr>
              <w:t>40/71 (56.3)</w:t>
            </w:r>
          </w:p>
        </w:tc>
      </w:tr>
      <w:tr w:rsidR="00EE13E6" w:rsidRPr="001758E2" w14:paraId="1FF1C4B5" w14:textId="7F40ABD3" w:rsidTr="00EE13E6">
        <w:tc>
          <w:tcPr>
            <w:tcW w:w="916" w:type="pct"/>
            <w:vMerge/>
            <w:vAlign w:val="center"/>
          </w:tcPr>
          <w:p w14:paraId="169D65A9" w14:textId="77777777" w:rsidR="00EE13E6" w:rsidRDefault="00EE13E6" w:rsidP="000B5696">
            <w:pPr>
              <w:spacing w:before="0" w:after="0"/>
              <w:rPr>
                <w:rStyle w:val="TableText"/>
                <w:rFonts w:cstheme="minorHAnsi"/>
                <w:szCs w:val="20"/>
              </w:rPr>
            </w:pPr>
          </w:p>
        </w:tc>
        <w:tc>
          <w:tcPr>
            <w:tcW w:w="1737" w:type="pct"/>
            <w:vAlign w:val="center"/>
          </w:tcPr>
          <w:p w14:paraId="48141A3F" w14:textId="2FA8D901" w:rsidR="00EE13E6" w:rsidRPr="001758E2" w:rsidRDefault="00EE13E6" w:rsidP="000B5696">
            <w:pPr>
              <w:spacing w:before="0" w:after="0"/>
              <w:rPr>
                <w:rStyle w:val="TableText"/>
                <w:rFonts w:cstheme="minorHAnsi"/>
                <w:szCs w:val="20"/>
              </w:rPr>
            </w:pPr>
            <w:r>
              <w:rPr>
                <w:rStyle w:val="TableText"/>
                <w:rFonts w:cstheme="minorHAnsi"/>
                <w:szCs w:val="20"/>
              </w:rPr>
              <w:t>M</w:t>
            </w:r>
            <w:r w:rsidRPr="001758E2">
              <w:rPr>
                <w:rStyle w:val="TableText"/>
                <w:rFonts w:cstheme="minorHAnsi"/>
                <w:szCs w:val="20"/>
              </w:rPr>
              <w:t>edian, months</w:t>
            </w:r>
          </w:p>
        </w:tc>
        <w:tc>
          <w:tcPr>
            <w:tcW w:w="1173" w:type="pct"/>
            <w:vAlign w:val="center"/>
          </w:tcPr>
          <w:p w14:paraId="463FD00F" w14:textId="53311021" w:rsidR="00EE13E6" w:rsidRPr="001758E2" w:rsidRDefault="00EE13E6" w:rsidP="004327D3">
            <w:pPr>
              <w:spacing w:before="0" w:after="0"/>
              <w:jc w:val="center"/>
              <w:rPr>
                <w:rStyle w:val="TableText"/>
                <w:rFonts w:cstheme="minorHAnsi"/>
                <w:szCs w:val="20"/>
              </w:rPr>
            </w:pPr>
            <w:r>
              <w:rPr>
                <w:rStyle w:val="TableText"/>
                <w:rFonts w:cstheme="minorHAnsi"/>
                <w:szCs w:val="20"/>
              </w:rPr>
              <w:t>22.1</w:t>
            </w:r>
          </w:p>
        </w:tc>
        <w:tc>
          <w:tcPr>
            <w:tcW w:w="1174" w:type="pct"/>
          </w:tcPr>
          <w:p w14:paraId="191D9BE1" w14:textId="0F0F6635" w:rsidR="00EE13E6" w:rsidRPr="001758E2" w:rsidRDefault="00EE13E6" w:rsidP="004327D3">
            <w:pPr>
              <w:spacing w:before="0" w:after="0"/>
              <w:jc w:val="center"/>
              <w:rPr>
                <w:rStyle w:val="TableText"/>
                <w:rFonts w:cstheme="minorHAnsi"/>
                <w:szCs w:val="20"/>
              </w:rPr>
            </w:pPr>
            <w:r>
              <w:rPr>
                <w:rStyle w:val="TableText"/>
                <w:rFonts w:cstheme="minorHAnsi"/>
                <w:szCs w:val="20"/>
              </w:rPr>
              <w:t>10.9</w:t>
            </w:r>
          </w:p>
        </w:tc>
      </w:tr>
      <w:tr w:rsidR="00EE13E6" w:rsidRPr="001758E2" w14:paraId="3A2986E3" w14:textId="1934CD82" w:rsidTr="00EE13E6">
        <w:tc>
          <w:tcPr>
            <w:tcW w:w="916" w:type="pct"/>
            <w:vMerge/>
            <w:vAlign w:val="center"/>
          </w:tcPr>
          <w:p w14:paraId="552B0633" w14:textId="77777777" w:rsidR="00EE13E6" w:rsidRDefault="00EE13E6" w:rsidP="000B5696">
            <w:pPr>
              <w:spacing w:before="0" w:after="0"/>
              <w:rPr>
                <w:rStyle w:val="TableText"/>
                <w:rFonts w:cstheme="minorHAnsi"/>
                <w:szCs w:val="20"/>
              </w:rPr>
            </w:pPr>
          </w:p>
        </w:tc>
        <w:tc>
          <w:tcPr>
            <w:tcW w:w="1737" w:type="pct"/>
            <w:vAlign w:val="center"/>
          </w:tcPr>
          <w:p w14:paraId="025BB536" w14:textId="14F9FB51" w:rsidR="00EE13E6" w:rsidRDefault="00EE13E6" w:rsidP="000B5696">
            <w:pPr>
              <w:spacing w:before="0" w:after="0"/>
              <w:rPr>
                <w:rStyle w:val="TableText"/>
                <w:rFonts w:cstheme="minorHAnsi"/>
                <w:szCs w:val="20"/>
              </w:rPr>
            </w:pPr>
            <w:r>
              <w:rPr>
                <w:rStyle w:val="TableText"/>
                <w:rFonts w:cstheme="minorHAnsi"/>
                <w:szCs w:val="20"/>
              </w:rPr>
              <w:t>HR (95% CI)</w:t>
            </w:r>
          </w:p>
        </w:tc>
        <w:tc>
          <w:tcPr>
            <w:tcW w:w="2347" w:type="pct"/>
            <w:gridSpan w:val="2"/>
            <w:vAlign w:val="center"/>
          </w:tcPr>
          <w:p w14:paraId="23D4EA34" w14:textId="58198164" w:rsidR="00EE13E6" w:rsidRPr="001758E2" w:rsidRDefault="00EE13E6" w:rsidP="004327D3">
            <w:pPr>
              <w:spacing w:before="0" w:after="0"/>
              <w:jc w:val="center"/>
              <w:rPr>
                <w:rStyle w:val="TableText"/>
                <w:rFonts w:cstheme="minorHAnsi"/>
                <w:szCs w:val="20"/>
              </w:rPr>
            </w:pPr>
            <w:r>
              <w:rPr>
                <w:rStyle w:val="TableText"/>
                <w:rFonts w:cstheme="minorHAnsi"/>
                <w:szCs w:val="20"/>
              </w:rPr>
              <w:t>0.40 (0.27, 0.62)</w:t>
            </w:r>
          </w:p>
        </w:tc>
      </w:tr>
      <w:tr w:rsidR="00EE13E6" w:rsidRPr="001758E2" w14:paraId="4F13B46D" w14:textId="77777777" w:rsidTr="00EE13E6">
        <w:tc>
          <w:tcPr>
            <w:tcW w:w="916" w:type="pct"/>
            <w:vMerge w:val="restart"/>
            <w:vAlign w:val="center"/>
          </w:tcPr>
          <w:p w14:paraId="7880BE1E" w14:textId="0E4A4C4D" w:rsidR="00EE13E6" w:rsidRDefault="00EE13E6" w:rsidP="004E06A1">
            <w:pPr>
              <w:spacing w:before="0" w:after="0"/>
              <w:rPr>
                <w:rStyle w:val="TableText"/>
                <w:rFonts w:cstheme="minorHAnsi"/>
                <w:szCs w:val="20"/>
              </w:rPr>
            </w:pPr>
            <w:r>
              <w:rPr>
                <w:rStyle w:val="TableText"/>
                <w:rFonts w:cstheme="minorHAnsi"/>
                <w:szCs w:val="20"/>
              </w:rPr>
              <w:t>HRD</w:t>
            </w:r>
          </w:p>
        </w:tc>
        <w:tc>
          <w:tcPr>
            <w:tcW w:w="1737" w:type="pct"/>
            <w:vAlign w:val="center"/>
          </w:tcPr>
          <w:p w14:paraId="7E0A8ACB" w14:textId="7418CE0A" w:rsidR="00EE13E6" w:rsidRDefault="00EE13E6" w:rsidP="004E06A1">
            <w:pPr>
              <w:spacing w:before="0" w:after="0"/>
              <w:rPr>
                <w:rStyle w:val="TableText"/>
                <w:rFonts w:cstheme="minorHAnsi"/>
                <w:szCs w:val="20"/>
              </w:rPr>
            </w:pPr>
            <w:r>
              <w:rPr>
                <w:rStyle w:val="TableText"/>
                <w:rFonts w:cstheme="minorHAnsi"/>
                <w:szCs w:val="20"/>
              </w:rPr>
              <w:t>Events/N</w:t>
            </w:r>
          </w:p>
        </w:tc>
        <w:tc>
          <w:tcPr>
            <w:tcW w:w="1173" w:type="pct"/>
            <w:vAlign w:val="center"/>
          </w:tcPr>
          <w:p w14:paraId="757B7E5C" w14:textId="41EC9EF6" w:rsidR="00EE13E6" w:rsidRPr="001758E2" w:rsidRDefault="00EE13E6" w:rsidP="004E06A1">
            <w:pPr>
              <w:spacing w:before="0" w:after="0"/>
              <w:jc w:val="center"/>
              <w:rPr>
                <w:rStyle w:val="TableText"/>
                <w:rFonts w:cstheme="minorHAnsi"/>
                <w:szCs w:val="20"/>
              </w:rPr>
            </w:pPr>
            <w:r>
              <w:rPr>
                <w:rStyle w:val="TableText"/>
                <w:rFonts w:cstheme="minorHAnsi"/>
                <w:szCs w:val="20"/>
              </w:rPr>
              <w:t>81/247 (32.8)</w:t>
            </w:r>
          </w:p>
        </w:tc>
        <w:tc>
          <w:tcPr>
            <w:tcW w:w="1174" w:type="pct"/>
          </w:tcPr>
          <w:p w14:paraId="1DAB8FED" w14:textId="2D6DE573" w:rsidR="00EE13E6" w:rsidRPr="001758E2" w:rsidRDefault="00EE13E6" w:rsidP="004E06A1">
            <w:pPr>
              <w:spacing w:before="0" w:after="0"/>
              <w:jc w:val="center"/>
              <w:rPr>
                <w:rStyle w:val="TableText"/>
                <w:rFonts w:cstheme="minorHAnsi"/>
                <w:szCs w:val="20"/>
              </w:rPr>
            </w:pPr>
            <w:r>
              <w:rPr>
                <w:rStyle w:val="TableText"/>
                <w:rFonts w:cstheme="minorHAnsi"/>
                <w:szCs w:val="20"/>
              </w:rPr>
              <w:t>73/126 (57.9)</w:t>
            </w:r>
          </w:p>
        </w:tc>
      </w:tr>
      <w:tr w:rsidR="00EE13E6" w:rsidRPr="001758E2" w14:paraId="4BE05F26" w14:textId="77777777" w:rsidTr="00EE13E6">
        <w:tc>
          <w:tcPr>
            <w:tcW w:w="916" w:type="pct"/>
            <w:vMerge/>
            <w:vAlign w:val="center"/>
          </w:tcPr>
          <w:p w14:paraId="48FF43F6" w14:textId="77777777" w:rsidR="00EE13E6" w:rsidRDefault="00EE13E6" w:rsidP="00D729D9">
            <w:pPr>
              <w:spacing w:before="0" w:after="0"/>
              <w:rPr>
                <w:rStyle w:val="TableText"/>
                <w:rFonts w:cstheme="minorHAnsi"/>
                <w:szCs w:val="20"/>
              </w:rPr>
            </w:pPr>
          </w:p>
        </w:tc>
        <w:tc>
          <w:tcPr>
            <w:tcW w:w="1737" w:type="pct"/>
            <w:vAlign w:val="center"/>
          </w:tcPr>
          <w:p w14:paraId="03DF13C1" w14:textId="2F249841" w:rsidR="00EE13E6" w:rsidRDefault="00EE13E6" w:rsidP="00D729D9">
            <w:pPr>
              <w:spacing w:before="0" w:after="0"/>
              <w:rPr>
                <w:rStyle w:val="TableText"/>
                <w:rFonts w:cstheme="minorHAnsi"/>
                <w:szCs w:val="20"/>
              </w:rPr>
            </w:pPr>
            <w:r>
              <w:rPr>
                <w:rStyle w:val="TableText"/>
                <w:rFonts w:cstheme="minorHAnsi"/>
                <w:szCs w:val="20"/>
              </w:rPr>
              <w:t>M</w:t>
            </w:r>
            <w:r w:rsidRPr="001758E2">
              <w:rPr>
                <w:rStyle w:val="TableText"/>
                <w:rFonts w:cstheme="minorHAnsi"/>
                <w:szCs w:val="20"/>
              </w:rPr>
              <w:t>edian, months</w:t>
            </w:r>
          </w:p>
        </w:tc>
        <w:tc>
          <w:tcPr>
            <w:tcW w:w="1173" w:type="pct"/>
            <w:vAlign w:val="center"/>
          </w:tcPr>
          <w:p w14:paraId="20058F5C" w14:textId="4FCCA5EE" w:rsidR="00EE13E6" w:rsidRPr="001758E2" w:rsidRDefault="00EE13E6" w:rsidP="00D729D9">
            <w:pPr>
              <w:spacing w:before="0" w:after="0"/>
              <w:jc w:val="center"/>
              <w:rPr>
                <w:rStyle w:val="TableText"/>
                <w:rFonts w:cstheme="minorHAnsi"/>
                <w:szCs w:val="20"/>
              </w:rPr>
            </w:pPr>
            <w:r>
              <w:rPr>
                <w:rStyle w:val="TableText"/>
                <w:rFonts w:cstheme="minorHAnsi"/>
                <w:szCs w:val="20"/>
              </w:rPr>
              <w:t>21.9</w:t>
            </w:r>
          </w:p>
        </w:tc>
        <w:tc>
          <w:tcPr>
            <w:tcW w:w="1174" w:type="pct"/>
          </w:tcPr>
          <w:p w14:paraId="10597166" w14:textId="07CEDCA6" w:rsidR="00EE13E6" w:rsidRPr="001758E2" w:rsidRDefault="00EE13E6" w:rsidP="00D729D9">
            <w:pPr>
              <w:spacing w:before="0" w:after="0"/>
              <w:jc w:val="center"/>
              <w:rPr>
                <w:rStyle w:val="TableText"/>
                <w:rFonts w:cstheme="minorHAnsi"/>
                <w:szCs w:val="20"/>
              </w:rPr>
            </w:pPr>
            <w:r>
              <w:rPr>
                <w:rStyle w:val="TableText"/>
                <w:rFonts w:cstheme="minorHAnsi"/>
                <w:szCs w:val="20"/>
              </w:rPr>
              <w:t>10.4</w:t>
            </w:r>
          </w:p>
        </w:tc>
      </w:tr>
      <w:tr w:rsidR="00EE13E6" w:rsidRPr="001758E2" w14:paraId="6044A31B" w14:textId="77777777" w:rsidTr="00EE13E6">
        <w:tc>
          <w:tcPr>
            <w:tcW w:w="916" w:type="pct"/>
            <w:vMerge/>
            <w:vAlign w:val="center"/>
          </w:tcPr>
          <w:p w14:paraId="4AEDD8AF" w14:textId="77777777" w:rsidR="00EE13E6" w:rsidRDefault="00EE13E6" w:rsidP="00D729D9">
            <w:pPr>
              <w:spacing w:before="0" w:after="0"/>
              <w:rPr>
                <w:rStyle w:val="TableText"/>
                <w:rFonts w:cstheme="minorHAnsi"/>
                <w:szCs w:val="20"/>
              </w:rPr>
            </w:pPr>
          </w:p>
        </w:tc>
        <w:tc>
          <w:tcPr>
            <w:tcW w:w="1737" w:type="pct"/>
            <w:vAlign w:val="center"/>
          </w:tcPr>
          <w:p w14:paraId="219E9C0D" w14:textId="3D6B00A1" w:rsidR="00EE13E6" w:rsidRDefault="00EE13E6" w:rsidP="00D729D9">
            <w:pPr>
              <w:spacing w:before="0" w:after="0"/>
              <w:rPr>
                <w:rStyle w:val="TableText"/>
                <w:rFonts w:cstheme="minorHAnsi"/>
                <w:szCs w:val="20"/>
              </w:rPr>
            </w:pPr>
            <w:r>
              <w:rPr>
                <w:rStyle w:val="TableText"/>
                <w:rFonts w:cstheme="minorHAnsi"/>
                <w:szCs w:val="20"/>
              </w:rPr>
              <w:t>HR (95% CI)</w:t>
            </w:r>
          </w:p>
        </w:tc>
        <w:tc>
          <w:tcPr>
            <w:tcW w:w="2347" w:type="pct"/>
            <w:gridSpan w:val="2"/>
            <w:vAlign w:val="center"/>
          </w:tcPr>
          <w:p w14:paraId="7F6318D3" w14:textId="1AAD8A3C" w:rsidR="00EE13E6" w:rsidRPr="001758E2" w:rsidRDefault="00EE13E6" w:rsidP="00D729D9">
            <w:pPr>
              <w:spacing w:before="0" w:after="0"/>
              <w:jc w:val="center"/>
              <w:rPr>
                <w:rStyle w:val="TableText"/>
                <w:rFonts w:cstheme="minorHAnsi"/>
                <w:szCs w:val="20"/>
              </w:rPr>
            </w:pPr>
            <w:r>
              <w:rPr>
                <w:rStyle w:val="TableText"/>
                <w:rFonts w:cstheme="minorHAnsi"/>
                <w:szCs w:val="20"/>
              </w:rPr>
              <w:t>0.43 (0.31, 0.59)</w:t>
            </w:r>
          </w:p>
        </w:tc>
      </w:tr>
      <w:tr w:rsidR="00EE13E6" w:rsidRPr="001758E2" w14:paraId="33D49C4B" w14:textId="507920FA" w:rsidTr="00EE13E6">
        <w:tc>
          <w:tcPr>
            <w:tcW w:w="916" w:type="pct"/>
            <w:vMerge w:val="restart"/>
            <w:vAlign w:val="center"/>
          </w:tcPr>
          <w:p w14:paraId="7506950B" w14:textId="326FF87E" w:rsidR="00EE13E6" w:rsidRDefault="00EE13E6" w:rsidP="004327D3">
            <w:pPr>
              <w:spacing w:before="0" w:after="0"/>
              <w:rPr>
                <w:rStyle w:val="TableText"/>
                <w:rFonts w:cstheme="minorHAnsi"/>
                <w:szCs w:val="20"/>
              </w:rPr>
            </w:pPr>
            <w:r>
              <w:rPr>
                <w:rStyle w:val="TableText"/>
                <w:rFonts w:cstheme="minorHAnsi"/>
                <w:szCs w:val="20"/>
              </w:rPr>
              <w:t>N</w:t>
            </w:r>
            <w:r w:rsidRPr="00143E71">
              <w:rPr>
                <w:rStyle w:val="TableText"/>
                <w:rFonts w:cstheme="minorHAnsi"/>
                <w:szCs w:val="20"/>
              </w:rPr>
              <w:t>on-</w:t>
            </w:r>
            <w:proofErr w:type="spellStart"/>
            <w:r w:rsidRPr="00143E71">
              <w:rPr>
                <w:rStyle w:val="TableText"/>
                <w:rFonts w:cstheme="minorHAnsi"/>
                <w:szCs w:val="20"/>
              </w:rPr>
              <w:t>BRCAm</w:t>
            </w:r>
            <w:proofErr w:type="spellEnd"/>
            <w:r w:rsidRPr="00143E71">
              <w:rPr>
                <w:rStyle w:val="TableText"/>
                <w:rFonts w:cstheme="minorHAnsi"/>
                <w:szCs w:val="20"/>
              </w:rPr>
              <w:t xml:space="preserve"> HRD</w:t>
            </w:r>
          </w:p>
        </w:tc>
        <w:tc>
          <w:tcPr>
            <w:tcW w:w="1737" w:type="pct"/>
            <w:vAlign w:val="center"/>
          </w:tcPr>
          <w:p w14:paraId="1890C2EE" w14:textId="77777777" w:rsidR="00EE13E6" w:rsidRDefault="00EE13E6" w:rsidP="004327D3">
            <w:pPr>
              <w:spacing w:before="0" w:after="0"/>
              <w:rPr>
                <w:rStyle w:val="TableText"/>
                <w:rFonts w:cstheme="minorHAnsi"/>
                <w:szCs w:val="20"/>
              </w:rPr>
            </w:pPr>
            <w:r>
              <w:rPr>
                <w:rStyle w:val="TableText"/>
                <w:rFonts w:cstheme="minorHAnsi"/>
                <w:szCs w:val="20"/>
              </w:rPr>
              <w:t>Events/N</w:t>
            </w:r>
          </w:p>
        </w:tc>
        <w:tc>
          <w:tcPr>
            <w:tcW w:w="1173" w:type="pct"/>
            <w:vAlign w:val="center"/>
          </w:tcPr>
          <w:p w14:paraId="0492E8B9" w14:textId="5B53A8AF" w:rsidR="00EE13E6" w:rsidRPr="001758E2" w:rsidRDefault="00EE13E6" w:rsidP="004327D3">
            <w:pPr>
              <w:spacing w:before="0" w:after="0"/>
              <w:jc w:val="center"/>
              <w:rPr>
                <w:rStyle w:val="TableText"/>
                <w:rFonts w:cstheme="minorHAnsi"/>
                <w:szCs w:val="20"/>
              </w:rPr>
            </w:pPr>
            <w:r>
              <w:rPr>
                <w:rStyle w:val="TableText"/>
                <w:rFonts w:cstheme="minorHAnsi"/>
                <w:szCs w:val="20"/>
              </w:rPr>
              <w:t>3</w:t>
            </w:r>
            <w:r w:rsidRPr="00AC2319">
              <w:rPr>
                <w:rStyle w:val="TableText"/>
                <w:rFonts w:cstheme="minorHAnsi"/>
                <w:szCs w:val="20"/>
              </w:rPr>
              <w:t>2/95 (33.7)</w:t>
            </w:r>
          </w:p>
        </w:tc>
        <w:tc>
          <w:tcPr>
            <w:tcW w:w="1174" w:type="pct"/>
          </w:tcPr>
          <w:p w14:paraId="12F6C6E5" w14:textId="794EAE75" w:rsidR="00EE13E6" w:rsidRPr="001758E2" w:rsidRDefault="00EE13E6" w:rsidP="004327D3">
            <w:pPr>
              <w:spacing w:before="0" w:after="0"/>
              <w:jc w:val="center"/>
              <w:rPr>
                <w:rStyle w:val="TableText"/>
                <w:rFonts w:cstheme="minorHAnsi"/>
                <w:szCs w:val="20"/>
              </w:rPr>
            </w:pPr>
            <w:r>
              <w:rPr>
                <w:rStyle w:val="TableText"/>
                <w:rFonts w:cstheme="minorHAnsi"/>
                <w:szCs w:val="20"/>
              </w:rPr>
              <w:t>3</w:t>
            </w:r>
            <w:r w:rsidRPr="00AC2319">
              <w:rPr>
                <w:rStyle w:val="TableText"/>
                <w:rFonts w:cstheme="minorHAnsi"/>
                <w:szCs w:val="20"/>
              </w:rPr>
              <w:t>3/55 (60.0)</w:t>
            </w:r>
          </w:p>
        </w:tc>
      </w:tr>
      <w:tr w:rsidR="00EE13E6" w:rsidRPr="001758E2" w14:paraId="6E9BD779" w14:textId="4F3735E1" w:rsidTr="00EE13E6">
        <w:tc>
          <w:tcPr>
            <w:tcW w:w="916" w:type="pct"/>
            <w:vMerge/>
            <w:vAlign w:val="center"/>
          </w:tcPr>
          <w:p w14:paraId="7E7CA93B" w14:textId="77777777" w:rsidR="00EE13E6" w:rsidRDefault="00EE13E6" w:rsidP="004327D3">
            <w:pPr>
              <w:spacing w:before="0" w:after="0"/>
              <w:rPr>
                <w:rStyle w:val="TableText"/>
                <w:rFonts w:cstheme="minorHAnsi"/>
                <w:szCs w:val="20"/>
              </w:rPr>
            </w:pPr>
          </w:p>
        </w:tc>
        <w:tc>
          <w:tcPr>
            <w:tcW w:w="1737" w:type="pct"/>
            <w:vAlign w:val="center"/>
          </w:tcPr>
          <w:p w14:paraId="0F754149" w14:textId="77777777" w:rsidR="00EE13E6" w:rsidRDefault="00EE13E6" w:rsidP="004327D3">
            <w:pPr>
              <w:spacing w:before="0" w:after="0"/>
              <w:rPr>
                <w:rStyle w:val="TableText"/>
                <w:rFonts w:cstheme="minorHAnsi"/>
                <w:szCs w:val="20"/>
              </w:rPr>
            </w:pPr>
            <w:r>
              <w:rPr>
                <w:rStyle w:val="TableText"/>
                <w:rFonts w:cstheme="minorHAnsi"/>
                <w:szCs w:val="20"/>
              </w:rPr>
              <w:t>M</w:t>
            </w:r>
            <w:r w:rsidRPr="001758E2">
              <w:rPr>
                <w:rStyle w:val="TableText"/>
                <w:rFonts w:cstheme="minorHAnsi"/>
                <w:szCs w:val="20"/>
              </w:rPr>
              <w:t>edian, months</w:t>
            </w:r>
          </w:p>
        </w:tc>
        <w:tc>
          <w:tcPr>
            <w:tcW w:w="1173" w:type="pct"/>
            <w:vAlign w:val="center"/>
          </w:tcPr>
          <w:p w14:paraId="205642F2" w14:textId="7F820935" w:rsidR="00EE13E6" w:rsidRPr="001758E2" w:rsidRDefault="00EE13E6" w:rsidP="004327D3">
            <w:pPr>
              <w:spacing w:before="0" w:after="0"/>
              <w:jc w:val="center"/>
              <w:rPr>
                <w:rStyle w:val="TableText"/>
                <w:rFonts w:cstheme="minorHAnsi"/>
                <w:szCs w:val="20"/>
              </w:rPr>
            </w:pPr>
            <w:r>
              <w:rPr>
                <w:rStyle w:val="TableText"/>
                <w:rFonts w:cstheme="minorHAnsi"/>
                <w:szCs w:val="20"/>
              </w:rPr>
              <w:t>1</w:t>
            </w:r>
            <w:r w:rsidRPr="00AC2319">
              <w:rPr>
                <w:rStyle w:val="TableText"/>
                <w:rFonts w:cstheme="minorHAnsi"/>
                <w:szCs w:val="20"/>
              </w:rPr>
              <w:t>9.6</w:t>
            </w:r>
          </w:p>
        </w:tc>
        <w:tc>
          <w:tcPr>
            <w:tcW w:w="1174" w:type="pct"/>
          </w:tcPr>
          <w:p w14:paraId="285304F3" w14:textId="3AA83E19" w:rsidR="00EE13E6" w:rsidRPr="001758E2" w:rsidRDefault="00EE13E6" w:rsidP="004327D3">
            <w:pPr>
              <w:spacing w:before="0" w:after="0"/>
              <w:jc w:val="center"/>
              <w:rPr>
                <w:rStyle w:val="TableText"/>
                <w:rFonts w:cstheme="minorHAnsi"/>
                <w:szCs w:val="20"/>
              </w:rPr>
            </w:pPr>
            <w:r>
              <w:rPr>
                <w:rStyle w:val="TableText"/>
                <w:rFonts w:cstheme="minorHAnsi"/>
                <w:szCs w:val="20"/>
              </w:rPr>
              <w:t>8</w:t>
            </w:r>
            <w:r w:rsidRPr="00AC2319">
              <w:rPr>
                <w:rStyle w:val="TableText"/>
                <w:rFonts w:cstheme="minorHAnsi"/>
                <w:szCs w:val="20"/>
              </w:rPr>
              <w:t>.2</w:t>
            </w:r>
          </w:p>
        </w:tc>
      </w:tr>
      <w:tr w:rsidR="00EE13E6" w:rsidRPr="001758E2" w14:paraId="12A1A771" w14:textId="77777777" w:rsidTr="00EE13E6">
        <w:tc>
          <w:tcPr>
            <w:tcW w:w="916" w:type="pct"/>
            <w:vMerge/>
            <w:vAlign w:val="center"/>
          </w:tcPr>
          <w:p w14:paraId="6BA630A5" w14:textId="77777777" w:rsidR="00EE13E6" w:rsidRDefault="00EE13E6" w:rsidP="004327D3">
            <w:pPr>
              <w:spacing w:before="0" w:after="0"/>
              <w:rPr>
                <w:rStyle w:val="TableText"/>
                <w:rFonts w:cstheme="minorHAnsi"/>
                <w:szCs w:val="20"/>
              </w:rPr>
            </w:pPr>
          </w:p>
        </w:tc>
        <w:tc>
          <w:tcPr>
            <w:tcW w:w="1737" w:type="pct"/>
            <w:vAlign w:val="center"/>
          </w:tcPr>
          <w:p w14:paraId="61A51529" w14:textId="77777777" w:rsidR="00EE13E6" w:rsidRDefault="00EE13E6" w:rsidP="004327D3">
            <w:pPr>
              <w:spacing w:before="0" w:after="0"/>
              <w:rPr>
                <w:rStyle w:val="TableText"/>
                <w:rFonts w:cstheme="minorHAnsi"/>
                <w:szCs w:val="20"/>
              </w:rPr>
            </w:pPr>
            <w:r>
              <w:rPr>
                <w:rStyle w:val="TableText"/>
                <w:rFonts w:cstheme="minorHAnsi"/>
                <w:szCs w:val="20"/>
              </w:rPr>
              <w:t>HR (95% CI)</w:t>
            </w:r>
          </w:p>
        </w:tc>
        <w:tc>
          <w:tcPr>
            <w:tcW w:w="2347" w:type="pct"/>
            <w:gridSpan w:val="2"/>
            <w:vAlign w:val="center"/>
          </w:tcPr>
          <w:p w14:paraId="1529C367" w14:textId="38C31347" w:rsidR="00EE13E6" w:rsidRPr="001758E2" w:rsidRDefault="00EE13E6" w:rsidP="004327D3">
            <w:pPr>
              <w:spacing w:before="0" w:after="0"/>
              <w:jc w:val="center"/>
              <w:rPr>
                <w:rStyle w:val="TableText"/>
                <w:rFonts w:cstheme="minorHAnsi"/>
                <w:szCs w:val="20"/>
              </w:rPr>
            </w:pPr>
            <w:r>
              <w:rPr>
                <w:rStyle w:val="TableText"/>
                <w:rFonts w:cstheme="minorHAnsi"/>
                <w:szCs w:val="20"/>
              </w:rPr>
              <w:t>0</w:t>
            </w:r>
            <w:r w:rsidRPr="00AC2319">
              <w:rPr>
                <w:rStyle w:val="TableText"/>
                <w:rFonts w:cstheme="minorHAnsi"/>
                <w:szCs w:val="20"/>
              </w:rPr>
              <w:t>.50 (0.31, 0.83)</w:t>
            </w:r>
          </w:p>
        </w:tc>
      </w:tr>
      <w:tr w:rsidR="00EE13E6" w:rsidRPr="001758E2" w14:paraId="56181F24" w14:textId="77777777" w:rsidTr="00EE13E6">
        <w:tc>
          <w:tcPr>
            <w:tcW w:w="916" w:type="pct"/>
            <w:vMerge w:val="restart"/>
            <w:vAlign w:val="center"/>
          </w:tcPr>
          <w:p w14:paraId="41CB7467" w14:textId="019DD187" w:rsidR="00EE13E6" w:rsidRDefault="00EE13E6" w:rsidP="00D729D9">
            <w:pPr>
              <w:spacing w:before="0" w:after="0"/>
              <w:rPr>
                <w:rStyle w:val="TableText"/>
                <w:rFonts w:cstheme="minorHAnsi"/>
                <w:szCs w:val="20"/>
              </w:rPr>
            </w:pPr>
            <w:proofErr w:type="spellStart"/>
            <w:r>
              <w:rPr>
                <w:rStyle w:val="TableText"/>
                <w:rFonts w:cstheme="minorHAnsi"/>
                <w:szCs w:val="20"/>
              </w:rPr>
              <w:t>HRp</w:t>
            </w:r>
            <w:proofErr w:type="spellEnd"/>
          </w:p>
        </w:tc>
        <w:tc>
          <w:tcPr>
            <w:tcW w:w="1737" w:type="pct"/>
            <w:vAlign w:val="center"/>
          </w:tcPr>
          <w:p w14:paraId="353D6731" w14:textId="0E6EEF7C" w:rsidR="00EE13E6" w:rsidRDefault="00EE13E6" w:rsidP="00D729D9">
            <w:pPr>
              <w:spacing w:before="0" w:after="0"/>
              <w:rPr>
                <w:rStyle w:val="TableText"/>
                <w:rFonts w:cstheme="minorHAnsi"/>
                <w:szCs w:val="20"/>
              </w:rPr>
            </w:pPr>
            <w:r>
              <w:rPr>
                <w:rStyle w:val="TableText"/>
                <w:rFonts w:cstheme="minorHAnsi"/>
                <w:szCs w:val="20"/>
              </w:rPr>
              <w:t>Events/N</w:t>
            </w:r>
          </w:p>
        </w:tc>
        <w:tc>
          <w:tcPr>
            <w:tcW w:w="1173" w:type="pct"/>
            <w:vAlign w:val="center"/>
          </w:tcPr>
          <w:p w14:paraId="0FAC8497" w14:textId="438AD440" w:rsidR="00EE13E6" w:rsidRPr="001758E2" w:rsidRDefault="00EE13E6" w:rsidP="00D729D9">
            <w:pPr>
              <w:spacing w:before="0" w:after="0"/>
              <w:jc w:val="center"/>
              <w:rPr>
                <w:rStyle w:val="TableText"/>
                <w:rFonts w:cstheme="minorHAnsi"/>
                <w:szCs w:val="20"/>
              </w:rPr>
            </w:pPr>
            <w:r>
              <w:rPr>
                <w:rStyle w:val="TableText"/>
                <w:rFonts w:cstheme="minorHAnsi"/>
                <w:szCs w:val="20"/>
              </w:rPr>
              <w:t>111/169 (65.7)</w:t>
            </w:r>
          </w:p>
        </w:tc>
        <w:tc>
          <w:tcPr>
            <w:tcW w:w="1174" w:type="pct"/>
          </w:tcPr>
          <w:p w14:paraId="68675AC3" w14:textId="624BC91E" w:rsidR="00EE13E6" w:rsidRPr="001758E2" w:rsidRDefault="00EE13E6" w:rsidP="00D729D9">
            <w:pPr>
              <w:spacing w:before="0" w:after="0"/>
              <w:jc w:val="center"/>
              <w:rPr>
                <w:rStyle w:val="TableText"/>
                <w:rFonts w:cstheme="minorHAnsi"/>
                <w:szCs w:val="20"/>
              </w:rPr>
            </w:pPr>
            <w:r>
              <w:rPr>
                <w:rStyle w:val="TableText"/>
                <w:rFonts w:cstheme="minorHAnsi"/>
                <w:szCs w:val="20"/>
              </w:rPr>
              <w:t>56/80 (70.0)</w:t>
            </w:r>
          </w:p>
        </w:tc>
      </w:tr>
      <w:tr w:rsidR="00EE13E6" w:rsidRPr="001758E2" w14:paraId="294C0AC9" w14:textId="77777777" w:rsidTr="00EE13E6">
        <w:tc>
          <w:tcPr>
            <w:tcW w:w="916" w:type="pct"/>
            <w:vMerge/>
            <w:vAlign w:val="center"/>
          </w:tcPr>
          <w:p w14:paraId="19782C37" w14:textId="77777777" w:rsidR="00EE13E6" w:rsidRDefault="00EE13E6" w:rsidP="00D729D9">
            <w:pPr>
              <w:spacing w:before="0" w:after="0"/>
              <w:rPr>
                <w:rStyle w:val="TableText"/>
                <w:rFonts w:cstheme="minorHAnsi"/>
                <w:szCs w:val="20"/>
              </w:rPr>
            </w:pPr>
          </w:p>
        </w:tc>
        <w:tc>
          <w:tcPr>
            <w:tcW w:w="1737" w:type="pct"/>
            <w:vAlign w:val="center"/>
          </w:tcPr>
          <w:p w14:paraId="3244EAAF" w14:textId="2EEA74E1" w:rsidR="00EE13E6" w:rsidRDefault="00EE13E6" w:rsidP="00D729D9">
            <w:pPr>
              <w:spacing w:before="0" w:after="0"/>
              <w:rPr>
                <w:rStyle w:val="TableText"/>
                <w:rFonts w:cstheme="minorHAnsi"/>
                <w:szCs w:val="20"/>
              </w:rPr>
            </w:pPr>
            <w:r>
              <w:rPr>
                <w:rStyle w:val="TableText"/>
                <w:rFonts w:cstheme="minorHAnsi"/>
                <w:szCs w:val="20"/>
              </w:rPr>
              <w:t>M</w:t>
            </w:r>
            <w:r w:rsidRPr="001758E2">
              <w:rPr>
                <w:rStyle w:val="TableText"/>
                <w:rFonts w:cstheme="minorHAnsi"/>
                <w:szCs w:val="20"/>
              </w:rPr>
              <w:t>edian, months</w:t>
            </w:r>
          </w:p>
        </w:tc>
        <w:tc>
          <w:tcPr>
            <w:tcW w:w="1173" w:type="pct"/>
            <w:vAlign w:val="center"/>
          </w:tcPr>
          <w:p w14:paraId="18EC17F7" w14:textId="096E6DD9" w:rsidR="00EE13E6" w:rsidRPr="001758E2" w:rsidRDefault="00EE13E6" w:rsidP="00D729D9">
            <w:pPr>
              <w:spacing w:before="0" w:after="0"/>
              <w:jc w:val="center"/>
              <w:rPr>
                <w:rStyle w:val="TableText"/>
                <w:rFonts w:cstheme="minorHAnsi"/>
                <w:szCs w:val="20"/>
              </w:rPr>
            </w:pPr>
            <w:r>
              <w:rPr>
                <w:rStyle w:val="TableText"/>
                <w:rFonts w:cstheme="minorHAnsi"/>
                <w:szCs w:val="20"/>
              </w:rPr>
              <w:t>8.1</w:t>
            </w:r>
          </w:p>
        </w:tc>
        <w:tc>
          <w:tcPr>
            <w:tcW w:w="1174" w:type="pct"/>
          </w:tcPr>
          <w:p w14:paraId="346010C9" w14:textId="7469B9B1" w:rsidR="00EE13E6" w:rsidRPr="001758E2" w:rsidRDefault="00EE13E6" w:rsidP="00D729D9">
            <w:pPr>
              <w:spacing w:before="0" w:after="0"/>
              <w:jc w:val="center"/>
              <w:rPr>
                <w:rStyle w:val="TableText"/>
                <w:rFonts w:cstheme="minorHAnsi"/>
                <w:szCs w:val="20"/>
              </w:rPr>
            </w:pPr>
            <w:r>
              <w:rPr>
                <w:rStyle w:val="TableText"/>
                <w:rFonts w:cstheme="minorHAnsi"/>
                <w:szCs w:val="20"/>
              </w:rPr>
              <w:t>5.4</w:t>
            </w:r>
          </w:p>
        </w:tc>
      </w:tr>
      <w:tr w:rsidR="00EE13E6" w:rsidRPr="001758E2" w14:paraId="59AD4330" w14:textId="77777777" w:rsidTr="00EE13E6">
        <w:tc>
          <w:tcPr>
            <w:tcW w:w="916" w:type="pct"/>
            <w:vMerge/>
            <w:vAlign w:val="center"/>
          </w:tcPr>
          <w:p w14:paraId="52FB7675" w14:textId="77777777" w:rsidR="00EE13E6" w:rsidRDefault="00EE13E6" w:rsidP="00D729D9">
            <w:pPr>
              <w:spacing w:before="0" w:after="0"/>
              <w:rPr>
                <w:rStyle w:val="TableText"/>
                <w:rFonts w:cstheme="minorHAnsi"/>
                <w:szCs w:val="20"/>
              </w:rPr>
            </w:pPr>
          </w:p>
        </w:tc>
        <w:tc>
          <w:tcPr>
            <w:tcW w:w="1737" w:type="pct"/>
            <w:vAlign w:val="center"/>
          </w:tcPr>
          <w:p w14:paraId="13FC4AFC" w14:textId="265BD99F" w:rsidR="00EE13E6" w:rsidRDefault="00EE13E6" w:rsidP="00D729D9">
            <w:pPr>
              <w:spacing w:before="0" w:after="0"/>
              <w:rPr>
                <w:rStyle w:val="TableText"/>
                <w:rFonts w:cstheme="minorHAnsi"/>
                <w:szCs w:val="20"/>
              </w:rPr>
            </w:pPr>
            <w:r>
              <w:rPr>
                <w:rStyle w:val="TableText"/>
                <w:rFonts w:cstheme="minorHAnsi"/>
                <w:szCs w:val="20"/>
              </w:rPr>
              <w:t>HR (95% CI)</w:t>
            </w:r>
          </w:p>
        </w:tc>
        <w:tc>
          <w:tcPr>
            <w:tcW w:w="2347" w:type="pct"/>
            <w:gridSpan w:val="2"/>
            <w:vAlign w:val="center"/>
          </w:tcPr>
          <w:p w14:paraId="271AC672" w14:textId="59C171DB" w:rsidR="00EE13E6" w:rsidRPr="001758E2" w:rsidRDefault="00EE13E6" w:rsidP="00D729D9">
            <w:pPr>
              <w:spacing w:before="0" w:after="0"/>
              <w:jc w:val="center"/>
              <w:rPr>
                <w:rStyle w:val="TableText"/>
                <w:rFonts w:cstheme="minorHAnsi"/>
                <w:szCs w:val="20"/>
              </w:rPr>
            </w:pPr>
            <w:r>
              <w:rPr>
                <w:rStyle w:val="TableText"/>
                <w:rFonts w:cstheme="minorHAnsi"/>
                <w:szCs w:val="20"/>
              </w:rPr>
              <w:t>0.68 (0.49, 0.94)</w:t>
            </w:r>
          </w:p>
        </w:tc>
      </w:tr>
    </w:tbl>
    <w:p w14:paraId="017420DA" w14:textId="5C7C5C30" w:rsidR="00AE76F5" w:rsidRDefault="00D729D9" w:rsidP="00A4296C">
      <w:pPr>
        <w:pStyle w:val="TableNotes"/>
        <w:spacing w:after="0"/>
        <w:rPr>
          <w:rFonts w:cstheme="minorHAnsi"/>
          <w:szCs w:val="16"/>
        </w:rPr>
      </w:pPr>
      <w:r w:rsidRPr="0004619A">
        <w:rPr>
          <w:rFonts w:cstheme="minorHAnsi"/>
          <w:szCs w:val="16"/>
        </w:rPr>
        <w:t>Abbreviations</w:t>
      </w:r>
      <w:r>
        <w:rPr>
          <w:rFonts w:cstheme="minorHAnsi"/>
          <w:szCs w:val="16"/>
        </w:rPr>
        <w:t>: BICR = blinded independent review committee;</w:t>
      </w:r>
      <w:r w:rsidR="007118AD">
        <w:rPr>
          <w:rFonts w:cstheme="minorHAnsi"/>
          <w:szCs w:val="16"/>
        </w:rPr>
        <w:t xml:space="preserve"> HRD = homologous recombinant deficien</w:t>
      </w:r>
      <w:r w:rsidR="00654113">
        <w:rPr>
          <w:rFonts w:cstheme="minorHAnsi"/>
          <w:szCs w:val="16"/>
        </w:rPr>
        <w:t xml:space="preserve">t; </w:t>
      </w:r>
      <w:proofErr w:type="spellStart"/>
      <w:r w:rsidR="00654113">
        <w:rPr>
          <w:rFonts w:cstheme="minorHAnsi"/>
          <w:szCs w:val="16"/>
        </w:rPr>
        <w:t>HRp</w:t>
      </w:r>
      <w:proofErr w:type="spellEnd"/>
      <w:r w:rsidR="00654113">
        <w:rPr>
          <w:rFonts w:cstheme="minorHAnsi"/>
          <w:szCs w:val="16"/>
        </w:rPr>
        <w:t xml:space="preserve"> = homologous recombinant proficient</w:t>
      </w:r>
      <w:r>
        <w:rPr>
          <w:rFonts w:cstheme="minorHAnsi"/>
          <w:szCs w:val="16"/>
        </w:rPr>
        <w:t xml:space="preserve"> INV = investigator; NIRA = niraparib; PBO = placebo; RUCA = rucaparib.  Source: Gonzalez-Martin 2019, </w:t>
      </w:r>
    </w:p>
    <w:p w14:paraId="29E991CE" w14:textId="77777777" w:rsidR="00A4296C" w:rsidRDefault="00A4296C" w:rsidP="00A4296C">
      <w:pPr>
        <w:pStyle w:val="TableNotes"/>
        <w:spacing w:after="0"/>
        <w:rPr>
          <w:rFonts w:cstheme="minorHAnsi"/>
          <w:szCs w:val="16"/>
        </w:rPr>
      </w:pPr>
    </w:p>
    <w:p w14:paraId="3478550C" w14:textId="5D0A9074" w:rsidR="00AA5FDA" w:rsidRPr="00154B00" w:rsidRDefault="00E95FE2" w:rsidP="00E95FE2">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2B5D7C9A" w14:textId="79486E88" w:rsidR="009A4926" w:rsidRDefault="00434064" w:rsidP="00A4296C">
      <w:pPr>
        <w:spacing w:before="0" w:after="200"/>
        <w:ind w:left="360"/>
      </w:pPr>
      <w:r w:rsidRPr="005D75F9">
        <w:t xml:space="preserve">The target population for the proposed medical service are women </w:t>
      </w:r>
      <w:r w:rsidR="00F92A6E">
        <w:t xml:space="preserve">with </w:t>
      </w:r>
      <w:r>
        <w:t>newly diagnosed, advanced (NDA)</w:t>
      </w:r>
      <w:r w:rsidRPr="005D75F9">
        <w:t xml:space="preserve"> a </w:t>
      </w:r>
      <w:r w:rsidRPr="005D75F9">
        <w:rPr>
          <w:szCs w:val="20"/>
        </w:rPr>
        <w:t>high-grade epithelial ovarian, fallopian tube or primary peritoneal cancer</w:t>
      </w:r>
      <w:r>
        <w:rPr>
          <w:szCs w:val="20"/>
        </w:rPr>
        <w:t xml:space="preserve"> (HGEOC)</w:t>
      </w:r>
      <w:r w:rsidRPr="005D75F9">
        <w:rPr>
          <w:szCs w:val="20"/>
        </w:rPr>
        <w:t xml:space="preserve">. </w:t>
      </w:r>
      <w:r>
        <w:rPr>
          <w:szCs w:val="20"/>
        </w:rPr>
        <w:t xml:space="preserve"> </w:t>
      </w:r>
      <w:r w:rsidR="009A4926">
        <w:t>At the August 2021 meeting, the PASC considered there were three populations that could be considered for HRD testing</w:t>
      </w:r>
      <w:r w:rsidR="0096474F">
        <w:t xml:space="preserve"> (note: </w:t>
      </w:r>
      <w:r w:rsidR="009A4926">
        <w:t xml:space="preserve">population #3 </w:t>
      </w:r>
      <w:r w:rsidR="00F92A6E">
        <w:t xml:space="preserve">has been </w:t>
      </w:r>
      <w:r w:rsidR="009A4926">
        <w:t xml:space="preserve">adapted for the primary therapy circumstances associated with niraparib </w:t>
      </w:r>
      <w:r w:rsidR="0096474F">
        <w:t>-</w:t>
      </w:r>
      <w:r w:rsidR="009A4926">
        <w:t>received a platinum-based chemotherapy regimen only)</w:t>
      </w:r>
      <w:r w:rsidR="00216C46">
        <w:t>:</w:t>
      </w:r>
      <w:r w:rsidR="009A4926">
        <w:t xml:space="preserve">  </w:t>
      </w:r>
    </w:p>
    <w:p w14:paraId="3C81F19E" w14:textId="77777777" w:rsidR="009A4926" w:rsidRPr="00CA44D6" w:rsidRDefault="009A4926" w:rsidP="00A4296C">
      <w:pPr>
        <w:spacing w:before="0" w:after="200"/>
        <w:ind w:firstLine="360"/>
        <w:rPr>
          <w:b/>
          <w:bCs/>
          <w:u w:val="single"/>
        </w:rPr>
      </w:pPr>
      <w:r w:rsidRPr="00CA44D6">
        <w:rPr>
          <w:b/>
          <w:bCs/>
          <w:u w:val="single"/>
        </w:rPr>
        <w:t>At diagnosis:</w:t>
      </w:r>
    </w:p>
    <w:p w14:paraId="601F216C" w14:textId="77777777" w:rsidR="009A4926" w:rsidRDefault="009A4926" w:rsidP="009A4926">
      <w:pPr>
        <w:pStyle w:val="ListParagraph"/>
        <w:numPr>
          <w:ilvl w:val="0"/>
          <w:numId w:val="21"/>
        </w:numPr>
        <w:spacing w:before="0" w:after="200"/>
      </w:pPr>
      <w:r w:rsidRPr="00CA44D6">
        <w:rPr>
          <w:b/>
          <w:bCs/>
          <w:u w:val="single"/>
        </w:rPr>
        <w:t>Population #1: HRD testing for BRCA1/2 variant and GIS in parallel</w:t>
      </w:r>
      <w:r>
        <w:t xml:space="preserve">: encompasses the overall NDA HGEOC the population that is currently eligible for BRCA 1/2 testing on the MBS.  </w:t>
      </w:r>
    </w:p>
    <w:p w14:paraId="25522313" w14:textId="7CAD8382" w:rsidR="009A4926" w:rsidRPr="00CA44D6" w:rsidRDefault="009A4926" w:rsidP="009A4926">
      <w:pPr>
        <w:pStyle w:val="ListParagraph"/>
        <w:numPr>
          <w:ilvl w:val="0"/>
          <w:numId w:val="21"/>
        </w:numPr>
        <w:spacing w:before="0" w:after="200"/>
        <w:rPr>
          <w:b/>
          <w:bCs/>
          <w:u w:val="single"/>
        </w:rPr>
      </w:pPr>
      <w:r w:rsidRPr="00CA44D6">
        <w:rPr>
          <w:b/>
          <w:bCs/>
          <w:u w:val="single"/>
        </w:rPr>
        <w:t>Population #2: Testing for GIS to occur sequentially following a non-</w:t>
      </w:r>
      <w:proofErr w:type="spellStart"/>
      <w:r w:rsidRPr="00CA44D6">
        <w:rPr>
          <w:b/>
          <w:bCs/>
          <w:u w:val="single"/>
        </w:rPr>
        <w:t>BRCAm</w:t>
      </w:r>
      <w:proofErr w:type="spellEnd"/>
      <w:r w:rsidRPr="00CA44D6">
        <w:rPr>
          <w:b/>
          <w:bCs/>
          <w:u w:val="single"/>
        </w:rPr>
        <w:t xml:space="preserve"> test result</w:t>
      </w:r>
      <w:r>
        <w:rPr>
          <w:b/>
          <w:bCs/>
          <w:u w:val="single"/>
        </w:rPr>
        <w:t>:</w:t>
      </w:r>
      <w:r>
        <w:t xml:space="preserve"> encompasses the NDA HGEOC population who have been established not to be carriers of B</w:t>
      </w:r>
      <w:r w:rsidR="00FA33AA">
        <w:t>R</w:t>
      </w:r>
      <w:r>
        <w:t xml:space="preserve">CA </w:t>
      </w:r>
      <w:r w:rsidR="00FA33AA">
        <w:t xml:space="preserve">1/2 </w:t>
      </w:r>
      <w:r>
        <w:t xml:space="preserve">pathogenic or likely pathogenic variants.  </w:t>
      </w:r>
    </w:p>
    <w:p w14:paraId="5B184686" w14:textId="77777777" w:rsidR="009A4926" w:rsidRPr="00CA44D6" w:rsidRDefault="009A4926" w:rsidP="00A4296C">
      <w:pPr>
        <w:spacing w:before="0" w:after="200"/>
        <w:ind w:firstLine="360"/>
        <w:rPr>
          <w:b/>
          <w:bCs/>
          <w:u w:val="single"/>
        </w:rPr>
      </w:pPr>
      <w:r w:rsidRPr="00CA44D6">
        <w:rPr>
          <w:b/>
          <w:bCs/>
          <w:u w:val="single"/>
        </w:rPr>
        <w:t>At the time of primary therapy</w:t>
      </w:r>
      <w:r>
        <w:rPr>
          <w:b/>
          <w:bCs/>
          <w:u w:val="single"/>
        </w:rPr>
        <w:t>:</w:t>
      </w:r>
    </w:p>
    <w:p w14:paraId="4D566C7A" w14:textId="77777777" w:rsidR="009A4926" w:rsidRDefault="009A4926" w:rsidP="009A4926">
      <w:pPr>
        <w:pStyle w:val="ListParagraph"/>
        <w:numPr>
          <w:ilvl w:val="0"/>
          <w:numId w:val="22"/>
        </w:numPr>
        <w:spacing w:before="0" w:after="200"/>
      </w:pPr>
      <w:r w:rsidRPr="009F56D8">
        <w:rPr>
          <w:b/>
          <w:bCs/>
          <w:u w:val="single"/>
        </w:rPr>
        <w:t>Population #3: Testing for BRCA/HRD/GIS to occur for patients that have received a first line platinum-based chemotherapy regimen only</w:t>
      </w:r>
      <w:r>
        <w:t>: this population is consistent with the those enrolled in the pivotal trial, PRIMA.  BRCA1/2 variant and GIS could be conducted in parallel or sequentially (following a negative BRCA1/2 test result)</w:t>
      </w:r>
    </w:p>
    <w:p w14:paraId="4D5D4842" w14:textId="77777777" w:rsidR="00FB0A15" w:rsidRDefault="00D62642">
      <w:pPr>
        <w:spacing w:before="0" w:after="200" w:line="276" w:lineRule="auto"/>
        <w:rPr>
          <w:rFonts w:eastAsiaTheme="majorEastAsia" w:cstheme="minorHAnsi"/>
          <w:b/>
          <w:bCs/>
          <w:szCs w:val="20"/>
        </w:rPr>
      </w:pPr>
      <w:r>
        <w:t xml:space="preserve">An extended discussion of the </w:t>
      </w:r>
      <w:r w:rsidR="0096474F">
        <w:t xml:space="preserve">current referral pathway from clinical presentation to </w:t>
      </w:r>
      <w:proofErr w:type="spellStart"/>
      <w:r w:rsidR="00434064">
        <w:t>BRCAm</w:t>
      </w:r>
      <w:proofErr w:type="spellEnd"/>
      <w:r w:rsidR="00434064">
        <w:t xml:space="preserve"> testing is presented below.  </w:t>
      </w:r>
      <w:r w:rsidR="00EC145D">
        <w:rPr>
          <w:szCs w:val="20"/>
        </w:rPr>
        <w:t>Noting</w:t>
      </w:r>
      <w:r w:rsidR="00CC329D">
        <w:rPr>
          <w:szCs w:val="20"/>
        </w:rPr>
        <w:t xml:space="preserve"> the non-specific symptoms associated with ovarian cancer (refer to Question 23), initial diagnosis </w:t>
      </w:r>
      <w:r w:rsidR="0042236F">
        <w:rPr>
          <w:szCs w:val="20"/>
        </w:rPr>
        <w:t>comprises</w:t>
      </w:r>
      <w:r w:rsidR="00CC329D">
        <w:rPr>
          <w:szCs w:val="20"/>
        </w:rPr>
        <w:t xml:space="preserve"> radiological imaging, </w:t>
      </w:r>
      <w:r w:rsidR="008F4BBD">
        <w:rPr>
          <w:szCs w:val="20"/>
        </w:rPr>
        <w:t>investigative</w:t>
      </w:r>
      <w:r w:rsidR="00C51247">
        <w:rPr>
          <w:szCs w:val="20"/>
        </w:rPr>
        <w:t xml:space="preserve"> tests including those for </w:t>
      </w:r>
      <w:r w:rsidR="000D1622">
        <w:rPr>
          <w:szCs w:val="20"/>
        </w:rPr>
        <w:t>tumour markers</w:t>
      </w:r>
      <w:r w:rsidR="0042236F">
        <w:rPr>
          <w:szCs w:val="20"/>
        </w:rPr>
        <w:t>,</w:t>
      </w:r>
      <w:r w:rsidR="00C51247">
        <w:rPr>
          <w:szCs w:val="20"/>
        </w:rPr>
        <w:t xml:space="preserve"> </w:t>
      </w:r>
      <w:r w:rsidR="007074C8">
        <w:rPr>
          <w:szCs w:val="20"/>
        </w:rPr>
        <w:t>with</w:t>
      </w:r>
      <w:r w:rsidR="00534D7E">
        <w:rPr>
          <w:szCs w:val="20"/>
        </w:rPr>
        <w:t xml:space="preserve"> clinical staging </w:t>
      </w:r>
      <w:r w:rsidR="007074C8">
        <w:rPr>
          <w:szCs w:val="20"/>
        </w:rPr>
        <w:t xml:space="preserve">and histology conducted </w:t>
      </w:r>
      <w:r w:rsidR="00534D7E">
        <w:rPr>
          <w:szCs w:val="20"/>
        </w:rPr>
        <w:t>at the time of surgery</w:t>
      </w:r>
      <w:r w:rsidR="007312D4">
        <w:rPr>
          <w:szCs w:val="20"/>
        </w:rPr>
        <w:t xml:space="preserve"> (</w:t>
      </w:r>
      <w:r w:rsidR="00930E7D">
        <w:rPr>
          <w:szCs w:val="20"/>
        </w:rPr>
        <w:t xml:space="preserve">NCCN 2022, </w:t>
      </w:r>
      <w:r w:rsidR="007312D4">
        <w:rPr>
          <w:szCs w:val="20"/>
        </w:rPr>
        <w:t>Cancer Australia</w:t>
      </w:r>
      <w:r w:rsidR="006D75B5">
        <w:rPr>
          <w:szCs w:val="20"/>
        </w:rPr>
        <w:t xml:space="preserve"> 2020</w:t>
      </w:r>
      <w:r w:rsidR="00D709A1">
        <w:rPr>
          <w:szCs w:val="20"/>
        </w:rPr>
        <w:t xml:space="preserve">, </w:t>
      </w:r>
      <w:proofErr w:type="spellStart"/>
      <w:r w:rsidR="00D709A1">
        <w:rPr>
          <w:szCs w:val="20"/>
        </w:rPr>
        <w:t>eVIQ</w:t>
      </w:r>
      <w:proofErr w:type="spellEnd"/>
      <w:r w:rsidR="00D709A1">
        <w:rPr>
          <w:szCs w:val="20"/>
        </w:rPr>
        <w:t xml:space="preserve"> 2022</w:t>
      </w:r>
      <w:r w:rsidR="00EC145D">
        <w:rPr>
          <w:szCs w:val="20"/>
        </w:rPr>
        <w:t>; refer to</w:t>
      </w:r>
      <w:r w:rsidR="002040A1">
        <w:rPr>
          <w:szCs w:val="20"/>
        </w:rPr>
        <w:t xml:space="preserve"> </w:t>
      </w:r>
      <w:r w:rsidR="00196329">
        <w:rPr>
          <w:szCs w:val="20"/>
        </w:rPr>
        <w:fldChar w:fldCharType="begin"/>
      </w:r>
      <w:r w:rsidR="00196329">
        <w:rPr>
          <w:szCs w:val="20"/>
        </w:rPr>
        <w:instrText xml:space="preserve"> REF _Ref103254019 \h </w:instrText>
      </w:r>
      <w:r w:rsidR="00196329">
        <w:rPr>
          <w:szCs w:val="20"/>
        </w:rPr>
      </w:r>
      <w:r w:rsidR="00196329">
        <w:rPr>
          <w:szCs w:val="20"/>
        </w:rPr>
        <w:fldChar w:fldCharType="separate"/>
      </w:r>
      <w:r w:rsidR="00FB0A15">
        <w:rPr>
          <w:rFonts w:cstheme="minorHAnsi"/>
          <w:szCs w:val="20"/>
        </w:rPr>
        <w:br w:type="page"/>
      </w:r>
    </w:p>
    <w:p w14:paraId="366CEFBE" w14:textId="271EB1E2" w:rsidR="002040A1" w:rsidRDefault="00FB0A15" w:rsidP="00A4296C">
      <w:pPr>
        <w:ind w:left="360"/>
        <w:jc w:val="both"/>
        <w:rPr>
          <w:szCs w:val="20"/>
        </w:rPr>
      </w:pPr>
      <w:r w:rsidRPr="00BA042A">
        <w:rPr>
          <w:rFonts w:cstheme="minorHAnsi"/>
          <w:szCs w:val="20"/>
        </w:rPr>
        <w:lastRenderedPageBreak/>
        <w:t xml:space="preserve">Figure </w:t>
      </w:r>
      <w:r>
        <w:rPr>
          <w:rFonts w:cstheme="minorHAnsi"/>
          <w:noProof/>
          <w:szCs w:val="20"/>
        </w:rPr>
        <w:t>2</w:t>
      </w:r>
      <w:r w:rsidR="00196329">
        <w:rPr>
          <w:szCs w:val="20"/>
        </w:rPr>
        <w:fldChar w:fldCharType="end"/>
      </w:r>
      <w:r w:rsidR="00EC145D">
        <w:rPr>
          <w:szCs w:val="20"/>
        </w:rPr>
        <w:t xml:space="preserve">).  </w:t>
      </w:r>
    </w:p>
    <w:p w14:paraId="798A0BE9" w14:textId="77777777" w:rsidR="00A4296C" w:rsidRDefault="00A4296C">
      <w:pPr>
        <w:spacing w:before="0" w:after="200" w:line="276" w:lineRule="auto"/>
        <w:rPr>
          <w:rFonts w:eastAsiaTheme="majorEastAsia" w:cstheme="minorHAnsi"/>
          <w:b/>
          <w:bCs/>
          <w:szCs w:val="20"/>
        </w:rPr>
      </w:pPr>
      <w:bookmarkStart w:id="11" w:name="_Ref103254019"/>
      <w:r>
        <w:rPr>
          <w:rFonts w:cstheme="minorHAnsi"/>
          <w:szCs w:val="20"/>
        </w:rPr>
        <w:br w:type="page"/>
      </w:r>
    </w:p>
    <w:p w14:paraId="2C57FF21" w14:textId="0A75F5AB" w:rsidR="002040A1" w:rsidRPr="00BA042A" w:rsidRDefault="002040A1" w:rsidP="002040A1">
      <w:pPr>
        <w:pStyle w:val="Caption"/>
        <w:rPr>
          <w:rFonts w:asciiTheme="minorHAnsi" w:hAnsiTheme="minorHAnsi" w:cstheme="minorHAnsi"/>
          <w:sz w:val="20"/>
          <w:szCs w:val="20"/>
        </w:rPr>
      </w:pPr>
      <w:r w:rsidRPr="00BA042A">
        <w:rPr>
          <w:rFonts w:asciiTheme="minorHAnsi" w:hAnsiTheme="minorHAnsi" w:cstheme="minorHAnsi"/>
          <w:sz w:val="20"/>
          <w:szCs w:val="20"/>
        </w:rPr>
        <w:lastRenderedPageBreak/>
        <w:t xml:space="preserve">Figure </w:t>
      </w:r>
      <w:r w:rsidRPr="00BA042A">
        <w:rPr>
          <w:rFonts w:asciiTheme="minorHAnsi" w:hAnsiTheme="minorHAnsi" w:cstheme="minorHAnsi"/>
          <w:sz w:val="20"/>
          <w:szCs w:val="20"/>
        </w:rPr>
        <w:fldChar w:fldCharType="begin"/>
      </w:r>
      <w:r w:rsidRPr="00BA042A">
        <w:rPr>
          <w:rFonts w:asciiTheme="minorHAnsi" w:hAnsiTheme="minorHAnsi" w:cstheme="minorHAnsi"/>
          <w:sz w:val="20"/>
          <w:szCs w:val="20"/>
        </w:rPr>
        <w:instrText xml:space="preserve"> SEQ Figure \* ARABIC </w:instrText>
      </w:r>
      <w:r w:rsidRPr="00BA042A">
        <w:rPr>
          <w:rFonts w:asciiTheme="minorHAnsi" w:hAnsiTheme="minorHAnsi" w:cstheme="minorHAnsi"/>
          <w:sz w:val="20"/>
          <w:szCs w:val="20"/>
        </w:rPr>
        <w:fldChar w:fldCharType="separate"/>
      </w:r>
      <w:r w:rsidR="00FB0A15">
        <w:rPr>
          <w:rFonts w:asciiTheme="minorHAnsi" w:hAnsiTheme="minorHAnsi" w:cstheme="minorHAnsi"/>
          <w:noProof/>
          <w:sz w:val="20"/>
          <w:szCs w:val="20"/>
        </w:rPr>
        <w:t>2</w:t>
      </w:r>
      <w:r w:rsidRPr="00BA042A">
        <w:rPr>
          <w:rFonts w:asciiTheme="minorHAnsi" w:hAnsiTheme="minorHAnsi" w:cstheme="minorHAnsi"/>
          <w:sz w:val="20"/>
          <w:szCs w:val="20"/>
        </w:rPr>
        <w:fldChar w:fldCharType="end"/>
      </w:r>
      <w:bookmarkEnd w:id="11"/>
      <w:r w:rsidRPr="00BA042A">
        <w:rPr>
          <w:rFonts w:asciiTheme="minorHAnsi" w:hAnsiTheme="minorHAnsi" w:cstheme="minorHAnsi"/>
          <w:sz w:val="20"/>
          <w:szCs w:val="20"/>
        </w:rPr>
        <w:t xml:space="preserve">: </w:t>
      </w:r>
      <w:r w:rsidR="00196329">
        <w:rPr>
          <w:rFonts w:asciiTheme="minorHAnsi" w:hAnsiTheme="minorHAnsi" w:cstheme="minorHAnsi"/>
          <w:sz w:val="20"/>
          <w:szCs w:val="20"/>
        </w:rPr>
        <w:t>Overview of the c</w:t>
      </w:r>
      <w:r>
        <w:rPr>
          <w:rFonts w:asciiTheme="minorHAnsi" w:hAnsiTheme="minorHAnsi" w:cstheme="minorHAnsi"/>
          <w:sz w:val="20"/>
          <w:szCs w:val="20"/>
        </w:rPr>
        <w:t xml:space="preserve">urrent referral </w:t>
      </w:r>
      <w:r w:rsidR="00196329">
        <w:rPr>
          <w:rFonts w:asciiTheme="minorHAnsi" w:hAnsiTheme="minorHAnsi" w:cstheme="minorHAnsi"/>
          <w:sz w:val="20"/>
          <w:szCs w:val="20"/>
        </w:rPr>
        <w:t xml:space="preserve">pathway from clinical presentation to </w:t>
      </w:r>
      <w:proofErr w:type="spellStart"/>
      <w:r w:rsidR="00196329">
        <w:rPr>
          <w:rFonts w:asciiTheme="minorHAnsi" w:hAnsiTheme="minorHAnsi" w:cstheme="minorHAnsi"/>
          <w:sz w:val="20"/>
          <w:szCs w:val="20"/>
        </w:rPr>
        <w:t>BRCAm</w:t>
      </w:r>
      <w:proofErr w:type="spellEnd"/>
      <w:r w:rsidR="00196329">
        <w:rPr>
          <w:rFonts w:asciiTheme="minorHAnsi" w:hAnsiTheme="minorHAnsi" w:cstheme="minorHAnsi"/>
          <w:sz w:val="20"/>
          <w:szCs w:val="20"/>
        </w:rPr>
        <w:t xml:space="preserve"> testing</w:t>
      </w:r>
      <w:r w:rsidR="00F94FDC">
        <w:rPr>
          <w:rFonts w:asciiTheme="minorHAnsi" w:hAnsiTheme="minorHAnsi" w:cstheme="minorHAnsi"/>
          <w:sz w:val="20"/>
          <w:szCs w:val="20"/>
        </w:rPr>
        <w:t xml:space="preserve"> for the purposes of determining eligibility for </w:t>
      </w:r>
      <w:proofErr w:type="spellStart"/>
      <w:r w:rsidR="00F94FDC">
        <w:rPr>
          <w:rFonts w:asciiTheme="minorHAnsi" w:hAnsiTheme="minorHAnsi" w:cstheme="minorHAnsi"/>
          <w:sz w:val="20"/>
          <w:szCs w:val="20"/>
        </w:rPr>
        <w:t>PARPi</w:t>
      </w:r>
      <w:proofErr w:type="spellEnd"/>
      <w:r w:rsidR="00F94FDC">
        <w:rPr>
          <w:rFonts w:asciiTheme="minorHAnsi" w:hAnsiTheme="minorHAnsi" w:cstheme="minorHAnsi"/>
          <w:sz w:val="20"/>
          <w:szCs w:val="20"/>
        </w:rPr>
        <w:t xml:space="preserve"> maintenance therapy</w:t>
      </w:r>
    </w:p>
    <w:p w14:paraId="0462F944" w14:textId="640155A8" w:rsidR="00EB6B1F" w:rsidRDefault="00EB6B1F" w:rsidP="002040A1">
      <w:pPr>
        <w:jc w:val="both"/>
        <w:rPr>
          <w:szCs w:val="20"/>
        </w:rPr>
      </w:pPr>
      <w:r>
        <w:rPr>
          <w:noProof/>
        </w:rPr>
        <w:drawing>
          <wp:inline distT="0" distB="0" distL="0" distR="0" wp14:anchorId="223FF177" wp14:editId="603B0B43">
            <wp:extent cx="5610225" cy="2400300"/>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79EED3B" w14:textId="0E866DB3" w:rsidR="0039311B" w:rsidRPr="009C618A" w:rsidRDefault="00E50BEC" w:rsidP="008F08F9">
      <w:pPr>
        <w:jc w:val="both"/>
        <w:rPr>
          <w:b/>
          <w:bCs/>
          <w:szCs w:val="20"/>
          <w:u w:val="single"/>
        </w:rPr>
      </w:pPr>
      <w:r>
        <w:rPr>
          <w:b/>
          <w:bCs/>
          <w:szCs w:val="20"/>
          <w:u w:val="single"/>
        </w:rPr>
        <w:t>Investigative tests to confirm diagnosis</w:t>
      </w:r>
      <w:r w:rsidR="00BC3790">
        <w:rPr>
          <w:b/>
          <w:bCs/>
          <w:szCs w:val="20"/>
          <w:u w:val="single"/>
        </w:rPr>
        <w:t xml:space="preserve"> </w:t>
      </w:r>
      <w:r w:rsidR="00857782">
        <w:rPr>
          <w:b/>
          <w:bCs/>
          <w:szCs w:val="20"/>
          <w:u w:val="single"/>
        </w:rPr>
        <w:t xml:space="preserve">– </w:t>
      </w:r>
      <w:r w:rsidR="00BC3790">
        <w:rPr>
          <w:b/>
          <w:bCs/>
          <w:szCs w:val="20"/>
          <w:u w:val="single"/>
        </w:rPr>
        <w:t>workup</w:t>
      </w:r>
      <w:r w:rsidR="00857782">
        <w:rPr>
          <w:b/>
          <w:bCs/>
          <w:szCs w:val="20"/>
          <w:u w:val="single"/>
        </w:rPr>
        <w:t>:</w:t>
      </w:r>
    </w:p>
    <w:p w14:paraId="66FFC493" w14:textId="77867103" w:rsidR="0039311B" w:rsidRDefault="009C618A" w:rsidP="008F08F9">
      <w:pPr>
        <w:spacing w:after="0"/>
        <w:jc w:val="both"/>
        <w:rPr>
          <w:szCs w:val="20"/>
        </w:rPr>
      </w:pPr>
      <w:r>
        <w:rPr>
          <w:szCs w:val="20"/>
        </w:rPr>
        <w:t>Several</w:t>
      </w:r>
      <w:r w:rsidR="0039311B">
        <w:rPr>
          <w:szCs w:val="20"/>
        </w:rPr>
        <w:t xml:space="preserve"> tests may be performed to investigate the symptoms of ovarian cancer and confirm diagnosis. </w:t>
      </w:r>
      <w:r>
        <w:rPr>
          <w:szCs w:val="20"/>
        </w:rPr>
        <w:t xml:space="preserve"> C</w:t>
      </w:r>
      <w:r w:rsidR="0039311B">
        <w:rPr>
          <w:szCs w:val="20"/>
        </w:rPr>
        <w:t>ommonly performed tests include:</w:t>
      </w:r>
    </w:p>
    <w:p w14:paraId="7D253AED" w14:textId="77777777" w:rsidR="0039311B" w:rsidRPr="009329AD" w:rsidRDefault="0039311B" w:rsidP="00930E95">
      <w:pPr>
        <w:numPr>
          <w:ilvl w:val="0"/>
          <w:numId w:val="16"/>
        </w:numPr>
        <w:shd w:val="clear" w:color="auto" w:fill="FFFFFF"/>
        <w:spacing w:before="0" w:after="100" w:afterAutospacing="1"/>
        <w:ind w:left="714" w:hanging="357"/>
        <w:rPr>
          <w:szCs w:val="20"/>
        </w:rPr>
      </w:pPr>
      <w:r w:rsidRPr="009329AD">
        <w:rPr>
          <w:szCs w:val="20"/>
        </w:rPr>
        <w:t>physical examination of the abdomen and pelvis, including rectal examination. </w:t>
      </w:r>
    </w:p>
    <w:p w14:paraId="18529C26" w14:textId="77777777" w:rsidR="0039311B" w:rsidRPr="009329AD" w:rsidRDefault="0039311B" w:rsidP="00930E95">
      <w:pPr>
        <w:numPr>
          <w:ilvl w:val="0"/>
          <w:numId w:val="16"/>
        </w:numPr>
        <w:shd w:val="clear" w:color="auto" w:fill="FFFFFF"/>
        <w:spacing w:before="100" w:beforeAutospacing="1" w:after="100" w:afterAutospacing="1"/>
        <w:rPr>
          <w:szCs w:val="20"/>
        </w:rPr>
      </w:pPr>
      <w:r w:rsidRPr="009329AD">
        <w:rPr>
          <w:szCs w:val="20"/>
        </w:rPr>
        <w:t>imaging of the pelvis and abdomen using transvaginal ultrasound, abdominal ultrasound, computed tomography (CT) scans, magnetic resonance imaging (MRI) scans or positron emission tomography (PET) scans</w:t>
      </w:r>
    </w:p>
    <w:p w14:paraId="343D0FA2" w14:textId="77777777" w:rsidR="0039311B" w:rsidRPr="009329AD" w:rsidRDefault="0039311B" w:rsidP="00930E95">
      <w:pPr>
        <w:numPr>
          <w:ilvl w:val="0"/>
          <w:numId w:val="16"/>
        </w:numPr>
        <w:shd w:val="clear" w:color="auto" w:fill="FFFFFF"/>
        <w:spacing w:before="100" w:beforeAutospacing="1" w:after="100" w:afterAutospacing="1"/>
        <w:rPr>
          <w:szCs w:val="20"/>
        </w:rPr>
      </w:pPr>
      <w:r w:rsidRPr="009329AD">
        <w:rPr>
          <w:szCs w:val="20"/>
        </w:rPr>
        <w:t>chest X-rays</w:t>
      </w:r>
    </w:p>
    <w:p w14:paraId="258D8BAD" w14:textId="77777777" w:rsidR="0039311B" w:rsidRPr="009329AD" w:rsidRDefault="0039311B" w:rsidP="00930E95">
      <w:pPr>
        <w:numPr>
          <w:ilvl w:val="0"/>
          <w:numId w:val="16"/>
        </w:numPr>
        <w:shd w:val="clear" w:color="auto" w:fill="FFFFFF"/>
        <w:spacing w:before="100" w:beforeAutospacing="1" w:after="100" w:afterAutospacing="1"/>
        <w:rPr>
          <w:szCs w:val="20"/>
        </w:rPr>
      </w:pPr>
      <w:r w:rsidRPr="009329AD">
        <w:rPr>
          <w:szCs w:val="20"/>
        </w:rPr>
        <w:t>blood tests to check for tumour markers such as CA125, and to measure complete blood count and levels of chemicals in the blood</w:t>
      </w:r>
    </w:p>
    <w:p w14:paraId="42342CD0" w14:textId="77777777" w:rsidR="0039311B" w:rsidRPr="009329AD" w:rsidRDefault="0039311B" w:rsidP="00930E95">
      <w:pPr>
        <w:numPr>
          <w:ilvl w:val="0"/>
          <w:numId w:val="16"/>
        </w:numPr>
        <w:shd w:val="clear" w:color="auto" w:fill="FFFFFF"/>
        <w:spacing w:before="100" w:beforeAutospacing="1" w:after="100" w:afterAutospacing="1"/>
        <w:rPr>
          <w:szCs w:val="20"/>
        </w:rPr>
      </w:pPr>
      <w:r w:rsidRPr="009329AD">
        <w:rPr>
          <w:szCs w:val="20"/>
        </w:rPr>
        <w:t>use of scopes to see inside the gastrointestinal tract</w:t>
      </w:r>
    </w:p>
    <w:p w14:paraId="66A7ED8B" w14:textId="5D0A9074" w:rsidR="0039311B" w:rsidRDefault="0039311B" w:rsidP="6FDC5F17">
      <w:pPr>
        <w:numPr>
          <w:ilvl w:val="0"/>
          <w:numId w:val="16"/>
        </w:numPr>
        <w:shd w:val="clear" w:color="auto" w:fill="FFFFFF" w:themeFill="background1"/>
        <w:spacing w:before="100" w:beforeAutospacing="1"/>
        <w:ind w:left="714" w:hanging="357"/>
      </w:pPr>
      <w:r>
        <w:t xml:space="preserve">biopsy – where a small sample of tissue is removed to be examined under a microscope. This is usually done as part of the initial </w:t>
      </w:r>
      <w:proofErr w:type="gramStart"/>
      <w:r>
        <w:t>surgery, because</w:t>
      </w:r>
      <w:proofErr w:type="gramEnd"/>
      <w:r>
        <w:t xml:space="preserve"> the only way to confirm a diagnosis of ovarian cancer is through an operation. The surgeon will also take samples of any fluid in the abdomen</w:t>
      </w:r>
    </w:p>
    <w:p w14:paraId="5350E05C" w14:textId="562B2E90" w:rsidR="0039311B" w:rsidRPr="00CD33F3" w:rsidRDefault="00BC3790" w:rsidP="008F08F9">
      <w:pPr>
        <w:shd w:val="clear" w:color="auto" w:fill="FFFFFF"/>
        <w:rPr>
          <w:b/>
          <w:bCs/>
          <w:szCs w:val="20"/>
          <w:u w:val="single"/>
        </w:rPr>
      </w:pPr>
      <w:r>
        <w:rPr>
          <w:b/>
          <w:bCs/>
          <w:szCs w:val="20"/>
          <w:u w:val="single"/>
        </w:rPr>
        <w:t xml:space="preserve">Clinical </w:t>
      </w:r>
      <w:r w:rsidR="0039311B" w:rsidRPr="00CD33F3">
        <w:rPr>
          <w:b/>
          <w:bCs/>
          <w:szCs w:val="20"/>
          <w:u w:val="single"/>
        </w:rPr>
        <w:t xml:space="preserve">Staging of </w:t>
      </w:r>
      <w:r w:rsidR="00042333">
        <w:rPr>
          <w:b/>
          <w:bCs/>
          <w:szCs w:val="20"/>
          <w:u w:val="single"/>
        </w:rPr>
        <w:t>O</w:t>
      </w:r>
      <w:r w:rsidR="0039311B" w:rsidRPr="00CD33F3">
        <w:rPr>
          <w:b/>
          <w:bCs/>
          <w:szCs w:val="20"/>
          <w:u w:val="single"/>
        </w:rPr>
        <w:t>varian cancer</w:t>
      </w:r>
      <w:r w:rsidR="00857782">
        <w:rPr>
          <w:b/>
          <w:bCs/>
          <w:szCs w:val="20"/>
          <w:u w:val="single"/>
        </w:rPr>
        <w:t>:</w:t>
      </w:r>
    </w:p>
    <w:p w14:paraId="7113A327" w14:textId="4ED2DF39" w:rsidR="0039311B" w:rsidRPr="009329AD" w:rsidRDefault="0039311B" w:rsidP="00930E95">
      <w:pPr>
        <w:numPr>
          <w:ilvl w:val="0"/>
          <w:numId w:val="17"/>
        </w:numPr>
        <w:shd w:val="clear" w:color="auto" w:fill="FFFFFF"/>
        <w:spacing w:before="0" w:after="100" w:afterAutospacing="1"/>
        <w:ind w:left="714" w:hanging="357"/>
        <w:rPr>
          <w:szCs w:val="20"/>
        </w:rPr>
      </w:pPr>
      <w:r w:rsidRPr="009329AD">
        <w:rPr>
          <w:szCs w:val="20"/>
        </w:rPr>
        <w:t>Stage I</w:t>
      </w:r>
      <w:r w:rsidR="009C618A">
        <w:rPr>
          <w:szCs w:val="20"/>
        </w:rPr>
        <w:t xml:space="preserve">: </w:t>
      </w:r>
      <w:r w:rsidRPr="009329AD">
        <w:rPr>
          <w:szCs w:val="20"/>
        </w:rPr>
        <w:t>the cancer is in 1 or both ovaries and has not spread to other organs or tissues.</w:t>
      </w:r>
    </w:p>
    <w:p w14:paraId="1966F260" w14:textId="5D0A9074" w:rsidR="0039311B" w:rsidRPr="009329AD" w:rsidRDefault="0039311B" w:rsidP="6FDC5F17">
      <w:pPr>
        <w:numPr>
          <w:ilvl w:val="0"/>
          <w:numId w:val="17"/>
        </w:numPr>
        <w:shd w:val="clear" w:color="auto" w:fill="FFFFFF" w:themeFill="background1"/>
        <w:spacing w:before="100" w:beforeAutospacing="1" w:after="100" w:afterAutospacing="1"/>
      </w:pPr>
      <w:r>
        <w:t>Stage II</w:t>
      </w:r>
      <w:r w:rsidR="009C618A">
        <w:t xml:space="preserve">: </w:t>
      </w:r>
      <w:r>
        <w:t xml:space="preserve">the cancer is in 1 or both ovaries and has spread to other organs in the pelvis, such as the uterus, fallopian tubes, </w:t>
      </w:r>
      <w:proofErr w:type="gramStart"/>
      <w:r>
        <w:t>bladder</w:t>
      </w:r>
      <w:proofErr w:type="gramEnd"/>
      <w:r>
        <w:t xml:space="preserve"> or colon.</w:t>
      </w:r>
    </w:p>
    <w:p w14:paraId="1D6D133C" w14:textId="40D119DF" w:rsidR="0039311B" w:rsidRPr="009329AD" w:rsidRDefault="0039311B" w:rsidP="00930E95">
      <w:pPr>
        <w:numPr>
          <w:ilvl w:val="0"/>
          <w:numId w:val="17"/>
        </w:numPr>
        <w:shd w:val="clear" w:color="auto" w:fill="FFFFFF"/>
        <w:spacing w:before="100" w:beforeAutospacing="1" w:after="100" w:afterAutospacing="1"/>
        <w:rPr>
          <w:szCs w:val="20"/>
        </w:rPr>
      </w:pPr>
      <w:r w:rsidRPr="009329AD">
        <w:rPr>
          <w:szCs w:val="20"/>
        </w:rPr>
        <w:t>Stage III</w:t>
      </w:r>
      <w:r w:rsidR="009C618A">
        <w:rPr>
          <w:szCs w:val="20"/>
        </w:rPr>
        <w:t xml:space="preserve">: </w:t>
      </w:r>
      <w:r w:rsidRPr="009329AD">
        <w:rPr>
          <w:szCs w:val="20"/>
        </w:rPr>
        <w:t>the cancer is in 1 or both ovaries and has spread outside the pelvis to other parts of the abdomen or nearby lymph nodes.</w:t>
      </w:r>
    </w:p>
    <w:p w14:paraId="7C87ADC6" w14:textId="3B1B2E13" w:rsidR="0039311B" w:rsidRPr="009329AD" w:rsidRDefault="0039311B" w:rsidP="00930E95">
      <w:pPr>
        <w:numPr>
          <w:ilvl w:val="0"/>
          <w:numId w:val="17"/>
        </w:numPr>
        <w:shd w:val="clear" w:color="auto" w:fill="FFFFFF"/>
        <w:spacing w:before="100" w:beforeAutospacing="1"/>
        <w:ind w:left="714" w:hanging="357"/>
        <w:rPr>
          <w:szCs w:val="20"/>
        </w:rPr>
      </w:pPr>
      <w:r w:rsidRPr="009329AD">
        <w:rPr>
          <w:szCs w:val="20"/>
        </w:rPr>
        <w:t>Stage IV</w:t>
      </w:r>
      <w:r w:rsidR="009C618A">
        <w:rPr>
          <w:szCs w:val="20"/>
        </w:rPr>
        <w:t xml:space="preserve">: </w:t>
      </w:r>
      <w:r w:rsidRPr="009329AD">
        <w:rPr>
          <w:szCs w:val="20"/>
        </w:rPr>
        <w:t>the cancer has spread to other parts of the body beyond the pelvis and abdomen, such as the lungs or liver.</w:t>
      </w:r>
    </w:p>
    <w:p w14:paraId="3D73B1FF" w14:textId="6F198806" w:rsidR="00F368DE" w:rsidRPr="003D5ED9" w:rsidRDefault="003D5ED9" w:rsidP="008F08F9">
      <w:pPr>
        <w:shd w:val="clear" w:color="auto" w:fill="FFFFFF"/>
        <w:rPr>
          <w:b/>
          <w:bCs/>
          <w:szCs w:val="20"/>
          <w:u w:val="single"/>
        </w:rPr>
      </w:pPr>
      <w:r w:rsidRPr="003D5ED9">
        <w:rPr>
          <w:b/>
          <w:bCs/>
          <w:szCs w:val="20"/>
          <w:u w:val="single"/>
        </w:rPr>
        <w:t>Genetic Testing</w:t>
      </w:r>
      <w:r w:rsidR="00857782">
        <w:rPr>
          <w:b/>
          <w:bCs/>
          <w:szCs w:val="20"/>
          <w:u w:val="single"/>
        </w:rPr>
        <w:t>:</w:t>
      </w:r>
      <w:r w:rsidR="00BB1BFC">
        <w:rPr>
          <w:b/>
          <w:bCs/>
          <w:szCs w:val="20"/>
          <w:u w:val="single"/>
        </w:rPr>
        <w:t xml:space="preserve"> </w:t>
      </w:r>
    </w:p>
    <w:p w14:paraId="096A151C" w14:textId="24B0A174" w:rsidR="00D358D7" w:rsidRDefault="00A34D9F" w:rsidP="008F08F9">
      <w:r>
        <w:t>T</w:t>
      </w:r>
      <w:r w:rsidR="00285159">
        <w:t>he</w:t>
      </w:r>
      <w:r w:rsidR="00C57E7A">
        <w:t xml:space="preserve"> </w:t>
      </w:r>
      <w:proofErr w:type="spellStart"/>
      <w:r w:rsidR="00C57E7A">
        <w:t>eVIQ</w:t>
      </w:r>
      <w:proofErr w:type="spellEnd"/>
      <w:r w:rsidR="00C57E7A">
        <w:t xml:space="preserve"> guidelines (ID 620, V.12)</w:t>
      </w:r>
      <w:r>
        <w:t xml:space="preserve"> recommends that</w:t>
      </w:r>
      <w:r w:rsidR="00D358D7">
        <w:t xml:space="preserve"> a woman with invasive epithelial ovarian cancer </w:t>
      </w:r>
      <w:r w:rsidR="00285159">
        <w:t>should consider</w:t>
      </w:r>
      <w:r w:rsidR="00D358D7">
        <w:t xml:space="preserve"> genetic testing for a heritable pathogenic BRCA1 or BRCA2 gene variant</w:t>
      </w:r>
      <w:r>
        <w:t>s</w:t>
      </w:r>
      <w:r w:rsidR="00D358D7">
        <w:t xml:space="preserve"> </w:t>
      </w:r>
      <w:r w:rsidR="0044062D">
        <w:t>in the following situations</w:t>
      </w:r>
      <w:r w:rsidR="00D358D7">
        <w:t>:</w:t>
      </w:r>
    </w:p>
    <w:p w14:paraId="11ADB71D" w14:textId="6404A931" w:rsidR="0044062D" w:rsidRDefault="0044062D" w:rsidP="00930E95">
      <w:pPr>
        <w:pStyle w:val="ListParagraph"/>
        <w:numPr>
          <w:ilvl w:val="0"/>
          <w:numId w:val="18"/>
        </w:numPr>
        <w:spacing w:before="0" w:after="200" w:line="276" w:lineRule="auto"/>
      </w:pPr>
      <w:r>
        <w:t>individuals with a combined BRCA1 and BRCA2 pathogenic variant probability of ≥10% using the Manchester score (a validated pathogenic variant prediction tool).</w:t>
      </w:r>
    </w:p>
    <w:p w14:paraId="6CB21DE8" w14:textId="7C304CF1" w:rsidR="00D358D7" w:rsidRDefault="0044062D" w:rsidP="00930E95">
      <w:pPr>
        <w:pStyle w:val="ListParagraph"/>
        <w:numPr>
          <w:ilvl w:val="0"/>
          <w:numId w:val="18"/>
        </w:numPr>
        <w:spacing w:before="0" w:after="200" w:line="276" w:lineRule="auto"/>
      </w:pPr>
      <w:r>
        <w:t xml:space="preserve">individuals with a combined BRCA1, BRCA2 and PALB2 pathogenic variant probability of ≥10% using </w:t>
      </w:r>
      <w:proofErr w:type="spellStart"/>
      <w:r>
        <w:t>CanRisk</w:t>
      </w:r>
      <w:proofErr w:type="spellEnd"/>
      <w:r>
        <w:t xml:space="preserve"> (a validated pathogenic variant prediction tool). This may include unaffected individuals and obligate carriers with ≥10% pathogenic variant probability as well as individuals from a population where a common founder pathogenic variant exists.</w:t>
      </w:r>
    </w:p>
    <w:p w14:paraId="169B92C3" w14:textId="6685B9B1" w:rsidR="00971AAC" w:rsidRPr="00971AAC" w:rsidRDefault="00971AAC" w:rsidP="00930E95">
      <w:pPr>
        <w:pStyle w:val="ListParagraph"/>
        <w:numPr>
          <w:ilvl w:val="0"/>
          <w:numId w:val="18"/>
        </w:numPr>
      </w:pPr>
      <w:r w:rsidRPr="00971AAC">
        <w:t>individuals with high grade ovarian cancer diagnosed at any age.</w:t>
      </w:r>
    </w:p>
    <w:p w14:paraId="7935DC7B" w14:textId="5D0A9074" w:rsidR="00971AAC" w:rsidRPr="00971AAC" w:rsidRDefault="00A9148E" w:rsidP="00930E95">
      <w:pPr>
        <w:pStyle w:val="ListParagraph"/>
        <w:numPr>
          <w:ilvl w:val="0"/>
          <w:numId w:val="18"/>
        </w:numPr>
      </w:pPr>
      <w:r>
        <w:t>individual</w:t>
      </w:r>
      <w:r w:rsidRPr="00A9148E">
        <w:t xml:space="preserve"> with advanced (FIGO III-IV), high-grade serous or high-grade epithelial ovarian, fallopian tube or primary peritoneal cancer</w:t>
      </w:r>
      <w:r>
        <w:t xml:space="preserve"> to determine eligibility relating to BRCA status for access to </w:t>
      </w:r>
      <w:r>
        <w:lastRenderedPageBreak/>
        <w:t xml:space="preserve">Olaparib </w:t>
      </w:r>
      <w:r w:rsidR="0068764A">
        <w:t>under the Pharmaceutical Benefits Scheme (PBS)</w:t>
      </w:r>
      <w:r w:rsidR="00A34D9F">
        <w:t xml:space="preserve">.  </w:t>
      </w:r>
      <w:r w:rsidR="00DC4B1B">
        <w:t xml:space="preserve">The </w:t>
      </w:r>
      <w:r w:rsidR="00A34D9F">
        <w:t xml:space="preserve">PBS listing for Niraparib in the 1L </w:t>
      </w:r>
      <w:proofErr w:type="spellStart"/>
      <w:r w:rsidR="00A34D9F">
        <w:t>BRCAm</w:t>
      </w:r>
      <w:proofErr w:type="spellEnd"/>
      <w:r w:rsidR="00A34D9F">
        <w:t xml:space="preserve"> setting was pending at the time of </w:t>
      </w:r>
      <w:r w:rsidR="00DC4B1B">
        <w:t xml:space="preserve">the submission of this application.  </w:t>
      </w:r>
    </w:p>
    <w:p w14:paraId="2E8F5F65" w14:textId="0594B617" w:rsidR="005026A8" w:rsidRDefault="00680AE8" w:rsidP="008F08F9">
      <w:r>
        <w:t xml:space="preserve">A </w:t>
      </w:r>
      <w:r w:rsidRPr="00680AE8">
        <w:t xml:space="preserve">medical oncologist or gynaecological oncologist would request or refer </w:t>
      </w:r>
      <w:r w:rsidR="001D43FB">
        <w:t>a</w:t>
      </w:r>
      <w:r w:rsidRPr="00680AE8">
        <w:t xml:space="preserve"> patient on for BRCA testing.</w:t>
      </w:r>
      <w:r w:rsidR="00A85848">
        <w:t xml:space="preserve"> </w:t>
      </w:r>
      <w:r w:rsidR="0018786B">
        <w:t xml:space="preserve"> </w:t>
      </w:r>
      <w:r w:rsidR="008D39EC">
        <w:t>F</w:t>
      </w:r>
      <w:r w:rsidR="008D39EC" w:rsidRPr="00A85848">
        <w:t>und</w:t>
      </w:r>
      <w:r w:rsidR="008D39EC">
        <w:t>ing arrangements for BRCA testing via the</w:t>
      </w:r>
      <w:r w:rsidR="008D39EC" w:rsidRPr="00A85848">
        <w:t xml:space="preserve"> MBS are listed in</w:t>
      </w:r>
      <w:r w:rsidR="008D39EC">
        <w:t xml:space="preserve"> </w:t>
      </w:r>
      <w:r w:rsidR="008D39EC">
        <w:fldChar w:fldCharType="begin"/>
      </w:r>
      <w:r w:rsidR="008D39EC">
        <w:instrText xml:space="preserve"> REF _Ref103243559 \h  \* MERGEFORMAT </w:instrText>
      </w:r>
      <w:r w:rsidR="008D39EC">
        <w:fldChar w:fldCharType="separate"/>
      </w:r>
      <w:r w:rsidR="00FB0A15" w:rsidRPr="00FB0A15">
        <w:t>Table 4</w:t>
      </w:r>
      <w:r w:rsidR="008D39EC">
        <w:fldChar w:fldCharType="end"/>
      </w:r>
      <w:r w:rsidR="008D39EC">
        <w:t xml:space="preserve"> below.  Tumour tissue specimens for the most patients in the target population will be available for testing following primary debulking surgery or via archived formalin-fixed paraffin embedded (FFPE) blocks.  Retrieval and review of one or more archived FFPE blocks to determine the appropriate samples for the purpose of conducting genetic testing is funded under MBS item 72860.  </w:t>
      </w:r>
      <w:r w:rsidR="00A526CE">
        <w:t xml:space="preserve">For a woman diagnosed with ovarian cancer, identification of a heritable mutation by genetic testing may </w:t>
      </w:r>
      <w:r w:rsidR="005026A8">
        <w:t>inform the following</w:t>
      </w:r>
      <w:r w:rsidR="00151F28">
        <w:t xml:space="preserve"> (Cancer Australia 2022)</w:t>
      </w:r>
      <w:r w:rsidR="005026A8">
        <w:t>:</w:t>
      </w:r>
    </w:p>
    <w:p w14:paraId="00840555" w14:textId="6C323E69" w:rsidR="005026A8" w:rsidRDefault="005026A8" w:rsidP="005026A8">
      <w:pPr>
        <w:pStyle w:val="ListParagraph"/>
        <w:numPr>
          <w:ilvl w:val="0"/>
          <w:numId w:val="29"/>
        </w:numPr>
      </w:pPr>
      <w:r>
        <w:t xml:space="preserve">Patient </w:t>
      </w:r>
      <w:r w:rsidR="000E3652">
        <w:t xml:space="preserve">response to PBC and benefit from the use of </w:t>
      </w:r>
      <w:r w:rsidR="00886A05">
        <w:t>PARP</w:t>
      </w:r>
      <w:r w:rsidR="000E3652">
        <w:t xml:space="preserve"> inhibitors as maintenance therapy</w:t>
      </w:r>
      <w:r w:rsidR="00786E19">
        <w:t xml:space="preserve"> is enhanced in women with BRCA1/2 mutations</w:t>
      </w:r>
    </w:p>
    <w:p w14:paraId="1CF729A3" w14:textId="5D0A9074" w:rsidR="00786E19" w:rsidRDefault="00786E19" w:rsidP="005026A8">
      <w:pPr>
        <w:pStyle w:val="ListParagraph"/>
        <w:numPr>
          <w:ilvl w:val="0"/>
          <w:numId w:val="29"/>
        </w:numPr>
      </w:pPr>
      <w:r>
        <w:t xml:space="preserve">Increased risk of breast cancer has been associated with BRCA1/2 mutations.  </w:t>
      </w:r>
      <w:r w:rsidR="00D151DE">
        <w:t>Risk reducing strategies for breast cancer may be considered</w:t>
      </w:r>
      <w:r w:rsidR="00151F28">
        <w:t>, which may i</w:t>
      </w:r>
      <w:r w:rsidR="00D151DE" w:rsidRPr="00D151DE">
        <w:t>nclude bilateral prophylactic mastectomy and risk-reducing medications such as selective estrogen receptor modulators (</w:t>
      </w:r>
      <w:proofErr w:type="gramStart"/>
      <w:r w:rsidR="00D151DE" w:rsidRPr="00D151DE">
        <w:t>e.g.</w:t>
      </w:r>
      <w:proofErr w:type="gramEnd"/>
      <w:r w:rsidR="00D151DE" w:rsidRPr="00D151DE">
        <w:t xml:space="preserve"> tamoxifen, raloxifene) or aromatase inhibitor</w:t>
      </w:r>
      <w:r w:rsidR="00151F28">
        <w:t xml:space="preserve">. </w:t>
      </w:r>
      <w:r w:rsidR="00D151DE" w:rsidRPr="00D151DE">
        <w:t xml:space="preserve"> Increased surveillance for breast cancer as appropriate, may include mammography, </w:t>
      </w:r>
      <w:proofErr w:type="gramStart"/>
      <w:r w:rsidR="00D151DE" w:rsidRPr="00D151DE">
        <w:t>ultrasound</w:t>
      </w:r>
      <w:proofErr w:type="gramEnd"/>
      <w:r w:rsidR="00D151DE" w:rsidRPr="00D151DE">
        <w:t xml:space="preserve"> or MRI</w:t>
      </w:r>
      <w:r w:rsidR="00151F28">
        <w:t xml:space="preserve">.  </w:t>
      </w:r>
    </w:p>
    <w:p w14:paraId="003C6BF5" w14:textId="7B9D41E9" w:rsidR="00151F28" w:rsidRDefault="00151F28" w:rsidP="005026A8">
      <w:pPr>
        <w:pStyle w:val="ListParagraph"/>
        <w:numPr>
          <w:ilvl w:val="0"/>
          <w:numId w:val="29"/>
        </w:numPr>
      </w:pPr>
      <w:r>
        <w:t>Family members of a women identified w</w:t>
      </w:r>
      <w:r w:rsidR="004F5BC0">
        <w:t xml:space="preserve">ith a heritable BRCA1/2 mutation can be offered predictive genetic testing for the known mutation.  </w:t>
      </w:r>
      <w:r w:rsidR="004F5BC0" w:rsidRPr="004F5BC0">
        <w:t>Pre-test counselling by a genetic healthcare professional is needed for family members prior to predictive testing and should include discussion on implications for insurance. Informed consent should be obtained prior to testing.</w:t>
      </w:r>
    </w:p>
    <w:p w14:paraId="493B6B70" w14:textId="6238F014" w:rsidR="009661F5" w:rsidRDefault="0004709A" w:rsidP="00661EA2">
      <w:r>
        <w:t xml:space="preserve">While </w:t>
      </w:r>
      <w:r w:rsidR="00661EA2">
        <w:t xml:space="preserve">the PASC </w:t>
      </w:r>
      <w:r w:rsidR="00717A44">
        <w:t xml:space="preserve">considered the feasibility in </w:t>
      </w:r>
      <w:r>
        <w:t>delay</w:t>
      </w:r>
      <w:r w:rsidR="00717A44">
        <w:t>ing</w:t>
      </w:r>
      <w:r>
        <w:t xml:space="preserve"> </w:t>
      </w:r>
      <w:r w:rsidR="006D446A">
        <w:t>BRCA</w:t>
      </w:r>
      <w:r>
        <w:t xml:space="preserve"> testing to the point of primary chemotherapy (</w:t>
      </w:r>
      <w:r w:rsidR="002855B4">
        <w:t xml:space="preserve">Attachment #1, </w:t>
      </w:r>
      <w:r w:rsidR="000542CB">
        <w:t>Ratified PICO, August 2021</w:t>
      </w:r>
      <w:r>
        <w:t xml:space="preserve">), </w:t>
      </w:r>
      <w:r w:rsidR="00661EA2">
        <w:t xml:space="preserve">the </w:t>
      </w:r>
      <w:r w:rsidR="00A65205">
        <w:t xml:space="preserve">informative </w:t>
      </w:r>
      <w:r w:rsidR="00661EA2">
        <w:t>value of BRCA testing result expands beyond the identification of patients that could benefit from the use if PARP inhibitors</w:t>
      </w:r>
      <w:r w:rsidR="009F7836">
        <w:t xml:space="preserve">, including </w:t>
      </w:r>
      <w:r w:rsidR="00661EA2">
        <w:t xml:space="preserve">response to PBC, risk of breast cancer and potential need for risk reduction strategies, familial genetic testing.  </w:t>
      </w:r>
    </w:p>
    <w:p w14:paraId="578EC91D" w14:textId="4990266F" w:rsidR="000D18BC" w:rsidRPr="001758E2" w:rsidRDefault="000D18BC" w:rsidP="000D18BC">
      <w:pPr>
        <w:pStyle w:val="Caption"/>
        <w:rPr>
          <w:rFonts w:asciiTheme="minorHAnsi" w:hAnsiTheme="minorHAnsi" w:cstheme="minorHAnsi"/>
          <w:sz w:val="20"/>
          <w:szCs w:val="20"/>
        </w:rPr>
      </w:pPr>
      <w:bookmarkStart w:id="12" w:name="_Ref103243559"/>
      <w:r w:rsidRPr="001758E2">
        <w:rPr>
          <w:rFonts w:asciiTheme="minorHAnsi" w:hAnsiTheme="minorHAnsi" w:cstheme="minorHAnsi"/>
          <w:sz w:val="20"/>
          <w:szCs w:val="20"/>
        </w:rPr>
        <w:t xml:space="preserve">Table </w:t>
      </w:r>
      <w:r w:rsidRPr="001758E2">
        <w:rPr>
          <w:rFonts w:asciiTheme="minorHAnsi" w:hAnsiTheme="minorHAnsi" w:cstheme="minorHAnsi"/>
          <w:sz w:val="20"/>
          <w:szCs w:val="20"/>
        </w:rPr>
        <w:fldChar w:fldCharType="begin"/>
      </w:r>
      <w:r w:rsidRPr="001758E2">
        <w:rPr>
          <w:rFonts w:asciiTheme="minorHAnsi" w:hAnsiTheme="minorHAnsi" w:cstheme="minorHAnsi"/>
          <w:sz w:val="20"/>
          <w:szCs w:val="20"/>
        </w:rPr>
        <w:instrText xml:space="preserve"> SEQ Table \* ARABIC </w:instrText>
      </w:r>
      <w:r w:rsidRPr="001758E2">
        <w:rPr>
          <w:rFonts w:asciiTheme="minorHAnsi" w:hAnsiTheme="minorHAnsi" w:cstheme="minorHAnsi"/>
          <w:sz w:val="20"/>
          <w:szCs w:val="20"/>
        </w:rPr>
        <w:fldChar w:fldCharType="separate"/>
      </w:r>
      <w:r w:rsidR="00FB0A15">
        <w:rPr>
          <w:rFonts w:asciiTheme="minorHAnsi" w:hAnsiTheme="minorHAnsi" w:cstheme="minorHAnsi"/>
          <w:noProof/>
          <w:sz w:val="20"/>
          <w:szCs w:val="20"/>
        </w:rPr>
        <w:t>4</w:t>
      </w:r>
      <w:r w:rsidRPr="001758E2">
        <w:rPr>
          <w:rFonts w:asciiTheme="minorHAnsi" w:hAnsiTheme="minorHAnsi" w:cstheme="minorHAnsi"/>
          <w:sz w:val="20"/>
          <w:szCs w:val="20"/>
        </w:rPr>
        <w:fldChar w:fldCharType="end"/>
      </w:r>
      <w:bookmarkEnd w:id="12"/>
      <w:r w:rsidRPr="001758E2">
        <w:rPr>
          <w:rFonts w:asciiTheme="minorHAnsi" w:hAnsiTheme="minorHAnsi" w:cstheme="minorHAnsi"/>
          <w:sz w:val="20"/>
          <w:szCs w:val="20"/>
        </w:rPr>
        <w:t xml:space="preserve">: </w:t>
      </w:r>
      <w:r w:rsidR="00252FFB">
        <w:rPr>
          <w:rFonts w:asciiTheme="minorHAnsi" w:hAnsiTheme="minorHAnsi" w:cstheme="minorHAnsi"/>
          <w:sz w:val="20"/>
          <w:szCs w:val="20"/>
        </w:rPr>
        <w:t>Funding arrangements for BRCA testing via the MBS</w:t>
      </w:r>
    </w:p>
    <w:tbl>
      <w:tblPr>
        <w:tblStyle w:val="TableGrid"/>
        <w:tblW w:w="5000" w:type="pct"/>
        <w:tblCellMar>
          <w:left w:w="28" w:type="dxa"/>
          <w:right w:w="28" w:type="dxa"/>
        </w:tblCellMar>
        <w:tblLook w:val="04A0" w:firstRow="1" w:lastRow="0" w:firstColumn="1" w:lastColumn="0" w:noHBand="0" w:noVBand="1"/>
      </w:tblPr>
      <w:tblGrid>
        <w:gridCol w:w="989"/>
        <w:gridCol w:w="6520"/>
        <w:gridCol w:w="1507"/>
      </w:tblGrid>
      <w:tr w:rsidR="003E57EF" w:rsidRPr="001758E2" w14:paraId="73511B06" w14:textId="77777777" w:rsidTr="00BE3615">
        <w:trPr>
          <w:tblHeader/>
        </w:trPr>
        <w:tc>
          <w:tcPr>
            <w:tcW w:w="548" w:type="pct"/>
            <w:shd w:val="clear" w:color="auto" w:fill="D9D9D9" w:themeFill="background1" w:themeFillShade="D9"/>
            <w:vAlign w:val="center"/>
          </w:tcPr>
          <w:p w14:paraId="6B5EC670" w14:textId="7EE41797" w:rsidR="003E57EF" w:rsidRPr="001758E2" w:rsidRDefault="00BE3615" w:rsidP="00BE3615">
            <w:pPr>
              <w:pStyle w:val="TableHeading"/>
              <w:spacing w:after="0"/>
              <w:jc w:val="left"/>
              <w:rPr>
                <w:rStyle w:val="TableText"/>
                <w:rFonts w:cstheme="minorHAnsi"/>
                <w:szCs w:val="20"/>
              </w:rPr>
            </w:pPr>
            <w:r w:rsidRPr="00BE3615">
              <w:rPr>
                <w:rStyle w:val="TableText"/>
                <w:rFonts w:cstheme="minorHAnsi"/>
                <w:szCs w:val="20"/>
              </w:rPr>
              <w:t xml:space="preserve">MBS </w:t>
            </w:r>
            <w:r w:rsidR="003E57EF" w:rsidRPr="003E57EF">
              <w:rPr>
                <w:rStyle w:val="TableText"/>
                <w:rFonts w:cstheme="minorHAnsi"/>
                <w:szCs w:val="20"/>
              </w:rPr>
              <w:t>Item</w:t>
            </w:r>
          </w:p>
        </w:tc>
        <w:tc>
          <w:tcPr>
            <w:tcW w:w="3616" w:type="pct"/>
            <w:shd w:val="clear" w:color="auto" w:fill="D9D9D9" w:themeFill="background1" w:themeFillShade="D9"/>
            <w:vAlign w:val="center"/>
          </w:tcPr>
          <w:p w14:paraId="2DEF97DF" w14:textId="738DC7D3" w:rsidR="003E57EF" w:rsidRPr="001758E2" w:rsidRDefault="003E57EF" w:rsidP="004327D3">
            <w:pPr>
              <w:pStyle w:val="TableHeading"/>
              <w:spacing w:after="0"/>
              <w:jc w:val="center"/>
              <w:rPr>
                <w:rStyle w:val="TableText"/>
                <w:rFonts w:cstheme="minorHAnsi"/>
                <w:szCs w:val="20"/>
              </w:rPr>
            </w:pPr>
            <w:r>
              <w:rPr>
                <w:rStyle w:val="TableText"/>
                <w:rFonts w:cstheme="minorHAnsi"/>
                <w:szCs w:val="20"/>
              </w:rPr>
              <w:t>Description</w:t>
            </w:r>
          </w:p>
        </w:tc>
        <w:tc>
          <w:tcPr>
            <w:tcW w:w="836" w:type="pct"/>
            <w:shd w:val="clear" w:color="auto" w:fill="D9D9D9" w:themeFill="background1" w:themeFillShade="D9"/>
          </w:tcPr>
          <w:p w14:paraId="5BA2101D" w14:textId="483B2EBE" w:rsidR="003E57EF" w:rsidRPr="001758E2" w:rsidRDefault="003E57EF" w:rsidP="004327D3">
            <w:pPr>
              <w:pStyle w:val="TableHeading"/>
              <w:spacing w:after="0"/>
              <w:jc w:val="center"/>
              <w:rPr>
                <w:rStyle w:val="TableText"/>
                <w:rFonts w:cstheme="minorHAnsi"/>
                <w:szCs w:val="20"/>
              </w:rPr>
            </w:pPr>
            <w:r>
              <w:rPr>
                <w:rStyle w:val="TableText"/>
                <w:rFonts w:cstheme="minorHAnsi"/>
                <w:szCs w:val="20"/>
              </w:rPr>
              <w:t>Fee</w:t>
            </w:r>
          </w:p>
        </w:tc>
      </w:tr>
      <w:tr w:rsidR="00DD4B82" w:rsidRPr="001758E2" w14:paraId="5D893627" w14:textId="77777777" w:rsidTr="00BE3615">
        <w:tc>
          <w:tcPr>
            <w:tcW w:w="548" w:type="pct"/>
            <w:vAlign w:val="center"/>
          </w:tcPr>
          <w:p w14:paraId="5B3455EF" w14:textId="2F08A36D" w:rsidR="00DD4B82" w:rsidRDefault="00DD4B82" w:rsidP="007323A3">
            <w:pPr>
              <w:spacing w:before="0" w:after="0"/>
              <w:rPr>
                <w:rStyle w:val="TableText"/>
                <w:rFonts w:cstheme="minorHAnsi"/>
                <w:szCs w:val="20"/>
              </w:rPr>
            </w:pPr>
            <w:r>
              <w:rPr>
                <w:rStyle w:val="TableText"/>
                <w:rFonts w:cstheme="minorHAnsi"/>
                <w:szCs w:val="20"/>
              </w:rPr>
              <w:t>73295</w:t>
            </w:r>
          </w:p>
        </w:tc>
        <w:tc>
          <w:tcPr>
            <w:tcW w:w="3616" w:type="pct"/>
            <w:vAlign w:val="center"/>
          </w:tcPr>
          <w:p w14:paraId="01D19615" w14:textId="1363BEC8" w:rsidR="00DD4B82" w:rsidRPr="007323A3" w:rsidRDefault="00F66D84" w:rsidP="007323A3">
            <w:pPr>
              <w:spacing w:before="0" w:after="0"/>
              <w:rPr>
                <w:rStyle w:val="TableText"/>
                <w:rFonts w:cstheme="minorHAnsi"/>
                <w:szCs w:val="20"/>
              </w:rPr>
            </w:pPr>
            <w:r w:rsidRPr="00F66D84">
              <w:rPr>
                <w:rStyle w:val="TableText"/>
                <w:rFonts w:cstheme="minorHAnsi"/>
                <w:szCs w:val="20"/>
              </w:rPr>
              <w:t xml:space="preserve">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w:t>
            </w:r>
            <w:proofErr w:type="spellStart"/>
            <w:r w:rsidRPr="00F66D84">
              <w:rPr>
                <w:rStyle w:val="TableText"/>
                <w:rFonts w:cstheme="minorHAnsi"/>
                <w:szCs w:val="20"/>
              </w:rPr>
              <w:t>olaparib</w:t>
            </w:r>
            <w:proofErr w:type="spellEnd"/>
            <w:r w:rsidRPr="00F66D84">
              <w:rPr>
                <w:rStyle w:val="TableText"/>
                <w:rFonts w:cstheme="minorHAnsi"/>
                <w:szCs w:val="20"/>
              </w:rPr>
              <w:t xml:space="preserve"> under the </w:t>
            </w:r>
            <w:r w:rsidR="000D18BC">
              <w:rPr>
                <w:rStyle w:val="TableText"/>
                <w:rFonts w:cstheme="minorHAnsi"/>
                <w:szCs w:val="20"/>
              </w:rPr>
              <w:t>PBS</w:t>
            </w:r>
          </w:p>
        </w:tc>
        <w:tc>
          <w:tcPr>
            <w:tcW w:w="836" w:type="pct"/>
            <w:vAlign w:val="center"/>
          </w:tcPr>
          <w:p w14:paraId="33FC26F8" w14:textId="77777777" w:rsidR="00F66D84" w:rsidRDefault="00F66D84" w:rsidP="00F66D84">
            <w:pPr>
              <w:spacing w:before="0" w:after="0"/>
              <w:jc w:val="center"/>
              <w:rPr>
                <w:rStyle w:val="TableText"/>
                <w:rFonts w:cstheme="minorHAnsi"/>
                <w:szCs w:val="20"/>
              </w:rPr>
            </w:pPr>
            <w:r>
              <w:rPr>
                <w:rStyle w:val="TableText"/>
                <w:rFonts w:cstheme="minorHAnsi"/>
                <w:szCs w:val="20"/>
              </w:rPr>
              <w:t>$1200.00</w:t>
            </w:r>
          </w:p>
          <w:p w14:paraId="6FBE9F59" w14:textId="77777777" w:rsidR="00505823" w:rsidRDefault="00F66D84" w:rsidP="00F66D84">
            <w:pPr>
              <w:spacing w:before="0" w:after="0"/>
              <w:jc w:val="center"/>
              <w:rPr>
                <w:rStyle w:val="TableText"/>
                <w:rFonts w:cstheme="minorHAnsi"/>
                <w:szCs w:val="20"/>
              </w:rPr>
            </w:pPr>
            <w:r>
              <w:rPr>
                <w:rStyle w:val="TableText"/>
                <w:rFonts w:cstheme="minorHAnsi"/>
                <w:szCs w:val="20"/>
              </w:rPr>
              <w:t xml:space="preserve">Benefit: </w:t>
            </w:r>
          </w:p>
          <w:p w14:paraId="60775874" w14:textId="68ADD483" w:rsidR="00DD4B82" w:rsidRDefault="00F66D84" w:rsidP="00F66D84">
            <w:pPr>
              <w:spacing w:before="0" w:after="0"/>
              <w:jc w:val="center"/>
              <w:rPr>
                <w:rStyle w:val="TableText"/>
                <w:rFonts w:cstheme="minorHAnsi"/>
                <w:szCs w:val="20"/>
              </w:rPr>
            </w:pPr>
            <w:r>
              <w:rPr>
                <w:rStyle w:val="TableText"/>
                <w:rFonts w:cstheme="minorHAnsi"/>
                <w:szCs w:val="20"/>
              </w:rPr>
              <w:t>75% = $900.00; 85% = $1,112.10</w:t>
            </w:r>
          </w:p>
        </w:tc>
      </w:tr>
      <w:tr w:rsidR="004A23AF" w:rsidRPr="001758E2" w14:paraId="71C6DF15" w14:textId="77777777" w:rsidTr="00BE3615">
        <w:tc>
          <w:tcPr>
            <w:tcW w:w="548" w:type="pct"/>
            <w:vAlign w:val="center"/>
          </w:tcPr>
          <w:p w14:paraId="4EC49DE8" w14:textId="78DD7FBB" w:rsidR="004A23AF" w:rsidRDefault="004A23AF" w:rsidP="004A23AF">
            <w:pPr>
              <w:spacing w:before="0" w:after="0"/>
              <w:rPr>
                <w:rStyle w:val="TableText"/>
                <w:rFonts w:cstheme="minorHAnsi"/>
                <w:szCs w:val="20"/>
              </w:rPr>
            </w:pPr>
            <w:r>
              <w:rPr>
                <w:rStyle w:val="TableText"/>
                <w:rFonts w:cstheme="minorHAnsi"/>
                <w:szCs w:val="20"/>
              </w:rPr>
              <w:t>73296</w:t>
            </w:r>
          </w:p>
        </w:tc>
        <w:tc>
          <w:tcPr>
            <w:tcW w:w="3616" w:type="pct"/>
            <w:vAlign w:val="center"/>
          </w:tcPr>
          <w:p w14:paraId="6A3A7890" w14:textId="77777777" w:rsidR="004A23AF" w:rsidRPr="004A23AF" w:rsidRDefault="004A23AF" w:rsidP="004A23AF">
            <w:pPr>
              <w:spacing w:before="0" w:after="0"/>
              <w:rPr>
                <w:rStyle w:val="TableText"/>
                <w:rFonts w:cstheme="minorHAnsi"/>
                <w:szCs w:val="20"/>
              </w:rPr>
            </w:pPr>
            <w:r w:rsidRPr="004A23AF">
              <w:rPr>
                <w:rStyle w:val="TableText"/>
                <w:rFonts w:cstheme="minorHAnsi"/>
                <w:szCs w:val="20"/>
              </w:rPr>
              <w:t>Characterisation of germline gene variants:</w:t>
            </w:r>
          </w:p>
          <w:p w14:paraId="33707265" w14:textId="77777777" w:rsidR="004A23AF" w:rsidRPr="004A23AF" w:rsidRDefault="004A23AF" w:rsidP="004A23AF">
            <w:pPr>
              <w:spacing w:before="0" w:after="0"/>
              <w:rPr>
                <w:rStyle w:val="TableText"/>
                <w:rFonts w:cstheme="minorHAnsi"/>
                <w:szCs w:val="20"/>
              </w:rPr>
            </w:pPr>
            <w:r w:rsidRPr="004A23AF">
              <w:rPr>
                <w:rStyle w:val="TableText"/>
                <w:rFonts w:cstheme="minorHAnsi"/>
                <w:szCs w:val="20"/>
              </w:rPr>
              <w:t>(a) including copy number variation in:</w:t>
            </w:r>
          </w:p>
          <w:p w14:paraId="5974C383" w14:textId="0EA83DC1" w:rsidR="004A23AF" w:rsidRPr="004A23AF" w:rsidRDefault="004A23AF" w:rsidP="004A23AF">
            <w:pPr>
              <w:spacing w:before="0" w:after="0"/>
              <w:rPr>
                <w:rStyle w:val="TableText"/>
                <w:rFonts w:cstheme="minorHAnsi"/>
                <w:szCs w:val="20"/>
              </w:rPr>
            </w:pPr>
            <w:r w:rsidRPr="004A23AF">
              <w:rPr>
                <w:rStyle w:val="TableText"/>
                <w:rFonts w:cstheme="minorHAnsi"/>
                <w:szCs w:val="20"/>
              </w:rPr>
              <w:t>(</w:t>
            </w:r>
            <w:proofErr w:type="spellStart"/>
            <w:r w:rsidRPr="004A23AF">
              <w:rPr>
                <w:rStyle w:val="TableText"/>
                <w:rFonts w:cstheme="minorHAnsi"/>
                <w:szCs w:val="20"/>
              </w:rPr>
              <w:t>i</w:t>
            </w:r>
            <w:proofErr w:type="spellEnd"/>
            <w:r w:rsidRPr="004A23AF">
              <w:rPr>
                <w:rStyle w:val="TableText"/>
                <w:rFonts w:cstheme="minorHAnsi"/>
                <w:szCs w:val="20"/>
              </w:rPr>
              <w:t>) BRCA1 genes; and</w:t>
            </w:r>
            <w:r w:rsidR="00CC1A26">
              <w:rPr>
                <w:rStyle w:val="TableText"/>
                <w:rFonts w:cstheme="minorHAnsi"/>
                <w:szCs w:val="20"/>
              </w:rPr>
              <w:t xml:space="preserve"> </w:t>
            </w:r>
            <w:r w:rsidRPr="004A23AF">
              <w:rPr>
                <w:rStyle w:val="TableText"/>
                <w:rFonts w:cstheme="minorHAnsi"/>
                <w:szCs w:val="20"/>
              </w:rPr>
              <w:t>(ii) BRCA2 genes; and</w:t>
            </w:r>
            <w:r w:rsidR="00CC1A26">
              <w:rPr>
                <w:rStyle w:val="TableText"/>
                <w:rFonts w:cstheme="minorHAnsi"/>
                <w:szCs w:val="20"/>
              </w:rPr>
              <w:t xml:space="preserve"> </w:t>
            </w:r>
            <w:r w:rsidRPr="004A23AF">
              <w:rPr>
                <w:rStyle w:val="TableText"/>
                <w:rFonts w:cstheme="minorHAnsi"/>
                <w:szCs w:val="20"/>
              </w:rPr>
              <w:t>(iii) one or more of the genes STK11, PTEN, CDH1, PALB2 and TP53; and</w:t>
            </w:r>
          </w:p>
          <w:p w14:paraId="39A16BAA" w14:textId="77777777" w:rsidR="004A23AF" w:rsidRPr="004A23AF" w:rsidRDefault="004A23AF" w:rsidP="004A23AF">
            <w:pPr>
              <w:spacing w:before="0" w:after="0"/>
              <w:rPr>
                <w:rStyle w:val="TableText"/>
                <w:rFonts w:cstheme="minorHAnsi"/>
                <w:szCs w:val="20"/>
              </w:rPr>
            </w:pPr>
            <w:r w:rsidRPr="004A23AF">
              <w:rPr>
                <w:rStyle w:val="TableText"/>
                <w:rFonts w:cstheme="minorHAnsi"/>
                <w:szCs w:val="20"/>
              </w:rPr>
              <w:t>(b) in a patient:</w:t>
            </w:r>
          </w:p>
          <w:p w14:paraId="401794E6" w14:textId="0D1C7A26" w:rsidR="004A23AF" w:rsidRPr="004A23AF" w:rsidRDefault="004A23AF" w:rsidP="004A23AF">
            <w:pPr>
              <w:spacing w:before="0" w:after="0"/>
              <w:rPr>
                <w:rStyle w:val="TableText"/>
                <w:rFonts w:cstheme="minorHAnsi"/>
                <w:szCs w:val="20"/>
              </w:rPr>
            </w:pPr>
            <w:r w:rsidRPr="004A23AF">
              <w:rPr>
                <w:rStyle w:val="TableText"/>
                <w:rFonts w:cstheme="minorHAnsi"/>
                <w:szCs w:val="20"/>
              </w:rPr>
              <w:t>(</w:t>
            </w:r>
            <w:proofErr w:type="spellStart"/>
            <w:r w:rsidRPr="004A23AF">
              <w:rPr>
                <w:rStyle w:val="TableText"/>
                <w:rFonts w:cstheme="minorHAnsi"/>
                <w:szCs w:val="20"/>
              </w:rPr>
              <w:t>i</w:t>
            </w:r>
            <w:proofErr w:type="spellEnd"/>
            <w:r w:rsidRPr="004A23AF">
              <w:rPr>
                <w:rStyle w:val="TableText"/>
                <w:rFonts w:cstheme="minorHAnsi"/>
                <w:szCs w:val="20"/>
              </w:rPr>
              <w:t>) with breast, ovarian, fallopian tube or primary peritoneal cancer; and</w:t>
            </w:r>
            <w:r w:rsidR="00CC1A26">
              <w:rPr>
                <w:rStyle w:val="TableText"/>
                <w:rFonts w:cstheme="minorHAnsi"/>
                <w:szCs w:val="20"/>
              </w:rPr>
              <w:t xml:space="preserve"> </w:t>
            </w:r>
            <w:r w:rsidRPr="004A23AF">
              <w:rPr>
                <w:rStyle w:val="TableText"/>
                <w:rFonts w:cstheme="minorHAnsi"/>
                <w:szCs w:val="20"/>
              </w:rPr>
              <w:t>(ii) for whom clinical and family history criteria (as assessed, by the specialist or consultant physician who requests the service, using a quantitative algorithm) place the patient at greater than 10% risk of having a pathogenic or likely pathogenic gene variation identified in one or more of the genes specified in subparagraphs (a)(</w:t>
            </w:r>
            <w:proofErr w:type="spellStart"/>
            <w:r w:rsidRPr="004A23AF">
              <w:rPr>
                <w:rStyle w:val="TableText"/>
                <w:rFonts w:cstheme="minorHAnsi"/>
                <w:szCs w:val="20"/>
              </w:rPr>
              <w:t>i</w:t>
            </w:r>
            <w:proofErr w:type="spellEnd"/>
            <w:r w:rsidRPr="004A23AF">
              <w:rPr>
                <w:rStyle w:val="TableText"/>
                <w:rFonts w:cstheme="minorHAnsi"/>
                <w:szCs w:val="20"/>
              </w:rPr>
              <w:t>), (ii) and (iii</w:t>
            </w:r>
            <w:proofErr w:type="gramStart"/>
            <w:r w:rsidRPr="004A23AF">
              <w:rPr>
                <w:rStyle w:val="TableText"/>
                <w:rFonts w:cstheme="minorHAnsi"/>
                <w:szCs w:val="20"/>
              </w:rPr>
              <w:t>);</w:t>
            </w:r>
            <w:proofErr w:type="gramEnd"/>
          </w:p>
          <w:p w14:paraId="67EAA1B9" w14:textId="2A5B5B5F" w:rsidR="004A23AF" w:rsidRPr="00F66D84" w:rsidRDefault="004A23AF" w:rsidP="004A23AF">
            <w:pPr>
              <w:spacing w:before="0" w:after="0"/>
              <w:rPr>
                <w:rStyle w:val="TableText"/>
                <w:rFonts w:cstheme="minorHAnsi"/>
                <w:szCs w:val="20"/>
              </w:rPr>
            </w:pPr>
            <w:r w:rsidRPr="004A23AF">
              <w:rPr>
                <w:rStyle w:val="TableText"/>
                <w:rFonts w:cstheme="minorHAnsi"/>
                <w:szCs w:val="20"/>
              </w:rPr>
              <w:t>requested by a specialist or consultant physician</w:t>
            </w:r>
          </w:p>
        </w:tc>
        <w:tc>
          <w:tcPr>
            <w:tcW w:w="836" w:type="pct"/>
            <w:vAlign w:val="center"/>
          </w:tcPr>
          <w:p w14:paraId="42E66F82" w14:textId="77777777" w:rsidR="004A23AF" w:rsidRDefault="004A23AF" w:rsidP="004A23AF">
            <w:pPr>
              <w:spacing w:before="0" w:after="0"/>
              <w:jc w:val="center"/>
              <w:rPr>
                <w:rStyle w:val="TableText"/>
                <w:rFonts w:cstheme="minorHAnsi"/>
                <w:szCs w:val="20"/>
              </w:rPr>
            </w:pPr>
            <w:r>
              <w:rPr>
                <w:rStyle w:val="TableText"/>
                <w:rFonts w:cstheme="minorHAnsi"/>
                <w:szCs w:val="20"/>
              </w:rPr>
              <w:t>$1200.00</w:t>
            </w:r>
          </w:p>
          <w:p w14:paraId="70B905A9" w14:textId="77777777" w:rsidR="00505823" w:rsidRDefault="004A23AF" w:rsidP="004A23AF">
            <w:pPr>
              <w:spacing w:before="0" w:after="0"/>
              <w:jc w:val="center"/>
              <w:rPr>
                <w:rStyle w:val="TableText"/>
                <w:rFonts w:cstheme="minorHAnsi"/>
                <w:szCs w:val="20"/>
              </w:rPr>
            </w:pPr>
            <w:r>
              <w:rPr>
                <w:rStyle w:val="TableText"/>
                <w:rFonts w:cstheme="minorHAnsi"/>
                <w:szCs w:val="20"/>
              </w:rPr>
              <w:t xml:space="preserve">Benefit: </w:t>
            </w:r>
          </w:p>
          <w:p w14:paraId="2F4B2B3F" w14:textId="7EF3F989" w:rsidR="004A23AF" w:rsidRDefault="004A23AF" w:rsidP="004A23AF">
            <w:pPr>
              <w:spacing w:before="0" w:after="0"/>
              <w:jc w:val="center"/>
              <w:rPr>
                <w:rStyle w:val="TableText"/>
                <w:rFonts w:cstheme="minorHAnsi"/>
                <w:szCs w:val="20"/>
              </w:rPr>
            </w:pPr>
            <w:r>
              <w:rPr>
                <w:rStyle w:val="TableText"/>
                <w:rFonts w:cstheme="minorHAnsi"/>
                <w:szCs w:val="20"/>
              </w:rPr>
              <w:t>75% = $900.00; 85% = $1,112.10</w:t>
            </w:r>
          </w:p>
        </w:tc>
      </w:tr>
      <w:tr w:rsidR="004A23AF" w:rsidRPr="001758E2" w14:paraId="6873393E" w14:textId="77777777" w:rsidTr="00BE3615">
        <w:tc>
          <w:tcPr>
            <w:tcW w:w="548" w:type="pct"/>
            <w:vAlign w:val="center"/>
          </w:tcPr>
          <w:p w14:paraId="30DB00B9" w14:textId="5E9F3B59" w:rsidR="004A23AF" w:rsidRDefault="00BA52B8" w:rsidP="004A23AF">
            <w:pPr>
              <w:spacing w:before="0" w:after="0"/>
              <w:rPr>
                <w:rStyle w:val="TableText"/>
                <w:rFonts w:cstheme="minorHAnsi"/>
                <w:szCs w:val="20"/>
              </w:rPr>
            </w:pPr>
            <w:r>
              <w:rPr>
                <w:rStyle w:val="TableText"/>
                <w:rFonts w:cstheme="minorHAnsi"/>
                <w:szCs w:val="20"/>
              </w:rPr>
              <w:t>73297</w:t>
            </w:r>
          </w:p>
        </w:tc>
        <w:tc>
          <w:tcPr>
            <w:tcW w:w="3616" w:type="pct"/>
            <w:vAlign w:val="center"/>
          </w:tcPr>
          <w:p w14:paraId="12906FAE" w14:textId="77777777" w:rsidR="00E47BD2" w:rsidRPr="00E47BD2" w:rsidRDefault="00E47BD2" w:rsidP="00E47BD2">
            <w:pPr>
              <w:spacing w:before="0" w:after="0"/>
              <w:rPr>
                <w:rStyle w:val="TableText"/>
                <w:rFonts w:cstheme="minorHAnsi"/>
                <w:szCs w:val="20"/>
              </w:rPr>
            </w:pPr>
            <w:r w:rsidRPr="00E47BD2">
              <w:rPr>
                <w:rStyle w:val="TableText"/>
                <w:rFonts w:cstheme="minorHAnsi"/>
                <w:szCs w:val="20"/>
              </w:rPr>
              <w:t>Characterisation of germline gene variants, including copy number variation:</w:t>
            </w:r>
          </w:p>
          <w:p w14:paraId="3EA53600" w14:textId="77777777" w:rsidR="00E47BD2" w:rsidRPr="00E47BD2" w:rsidRDefault="00E47BD2" w:rsidP="00E47BD2">
            <w:pPr>
              <w:spacing w:before="0" w:after="0"/>
              <w:rPr>
                <w:rStyle w:val="TableText"/>
                <w:rFonts w:cstheme="minorHAnsi"/>
                <w:szCs w:val="20"/>
              </w:rPr>
            </w:pPr>
            <w:r w:rsidRPr="00E47BD2">
              <w:rPr>
                <w:rStyle w:val="TableText"/>
                <w:rFonts w:cstheme="minorHAnsi"/>
                <w:szCs w:val="20"/>
              </w:rPr>
              <w:t>in one or more of the following genes:</w:t>
            </w:r>
          </w:p>
          <w:p w14:paraId="20819A2C" w14:textId="287E1A92" w:rsidR="00E47BD2" w:rsidRPr="00E47BD2" w:rsidRDefault="00E47BD2" w:rsidP="00E47BD2">
            <w:pPr>
              <w:spacing w:before="0" w:after="0"/>
              <w:rPr>
                <w:rStyle w:val="TableText"/>
                <w:rFonts w:cstheme="minorHAnsi"/>
                <w:szCs w:val="20"/>
              </w:rPr>
            </w:pPr>
            <w:r w:rsidRPr="00E47BD2">
              <w:rPr>
                <w:rStyle w:val="TableText"/>
                <w:rFonts w:cstheme="minorHAnsi"/>
                <w:szCs w:val="20"/>
              </w:rPr>
              <w:t>BRCA1;</w:t>
            </w:r>
            <w:r w:rsidR="00CC1A26">
              <w:rPr>
                <w:rStyle w:val="TableText"/>
                <w:rFonts w:cstheme="minorHAnsi"/>
                <w:szCs w:val="20"/>
              </w:rPr>
              <w:t xml:space="preserve"> </w:t>
            </w:r>
            <w:r w:rsidRPr="00E47BD2">
              <w:rPr>
                <w:rStyle w:val="TableText"/>
                <w:rFonts w:cstheme="minorHAnsi"/>
                <w:szCs w:val="20"/>
              </w:rPr>
              <w:t>BRCA2;</w:t>
            </w:r>
            <w:r w:rsidR="00CC1A26">
              <w:rPr>
                <w:rStyle w:val="TableText"/>
                <w:rFonts w:cstheme="minorHAnsi"/>
                <w:szCs w:val="20"/>
              </w:rPr>
              <w:t xml:space="preserve"> </w:t>
            </w:r>
            <w:r w:rsidRPr="00E47BD2">
              <w:rPr>
                <w:rStyle w:val="TableText"/>
                <w:rFonts w:cstheme="minorHAnsi"/>
                <w:szCs w:val="20"/>
              </w:rPr>
              <w:t>STK11;</w:t>
            </w:r>
            <w:r w:rsidR="00CC1A26">
              <w:rPr>
                <w:rStyle w:val="TableText"/>
                <w:rFonts w:cstheme="minorHAnsi"/>
                <w:szCs w:val="20"/>
              </w:rPr>
              <w:t xml:space="preserve"> </w:t>
            </w:r>
            <w:r w:rsidRPr="00E47BD2">
              <w:rPr>
                <w:rStyle w:val="TableText"/>
                <w:rFonts w:cstheme="minorHAnsi"/>
                <w:szCs w:val="20"/>
              </w:rPr>
              <w:t>PTEN;</w:t>
            </w:r>
            <w:r w:rsidR="00CC1A26">
              <w:rPr>
                <w:rStyle w:val="TableText"/>
                <w:rFonts w:cstheme="minorHAnsi"/>
                <w:szCs w:val="20"/>
              </w:rPr>
              <w:t xml:space="preserve"> </w:t>
            </w:r>
            <w:r w:rsidRPr="00E47BD2">
              <w:rPr>
                <w:rStyle w:val="TableText"/>
                <w:rFonts w:cstheme="minorHAnsi"/>
                <w:szCs w:val="20"/>
              </w:rPr>
              <w:t>CDH1;</w:t>
            </w:r>
            <w:r w:rsidR="00CC1A26">
              <w:rPr>
                <w:rStyle w:val="TableText"/>
                <w:rFonts w:cstheme="minorHAnsi"/>
                <w:szCs w:val="20"/>
              </w:rPr>
              <w:t xml:space="preserve"> </w:t>
            </w:r>
            <w:r w:rsidRPr="00E47BD2">
              <w:rPr>
                <w:rStyle w:val="TableText"/>
                <w:rFonts w:cstheme="minorHAnsi"/>
                <w:szCs w:val="20"/>
              </w:rPr>
              <w:t>PALB2;</w:t>
            </w:r>
            <w:r w:rsidR="00CC1A26">
              <w:rPr>
                <w:rStyle w:val="TableText"/>
                <w:rFonts w:cstheme="minorHAnsi"/>
                <w:szCs w:val="20"/>
              </w:rPr>
              <w:t xml:space="preserve"> </w:t>
            </w:r>
            <w:r w:rsidRPr="00E47BD2">
              <w:rPr>
                <w:rStyle w:val="TableText"/>
                <w:rFonts w:cstheme="minorHAnsi"/>
                <w:szCs w:val="20"/>
              </w:rPr>
              <w:t>TP53; and</w:t>
            </w:r>
          </w:p>
          <w:p w14:paraId="2704530B" w14:textId="77777777" w:rsidR="00E47BD2" w:rsidRPr="00E47BD2" w:rsidRDefault="00E47BD2" w:rsidP="00E47BD2">
            <w:pPr>
              <w:spacing w:before="0" w:after="0"/>
              <w:rPr>
                <w:rStyle w:val="TableText"/>
                <w:rFonts w:cstheme="minorHAnsi"/>
                <w:szCs w:val="20"/>
              </w:rPr>
            </w:pPr>
            <w:r w:rsidRPr="00E47BD2">
              <w:rPr>
                <w:rStyle w:val="TableText"/>
                <w:rFonts w:cstheme="minorHAnsi"/>
                <w:szCs w:val="20"/>
              </w:rPr>
              <w:t>in a patient who:</w:t>
            </w:r>
          </w:p>
          <w:p w14:paraId="51CA0D08" w14:textId="109BA4B3" w:rsidR="00E47BD2" w:rsidRPr="00E47BD2" w:rsidRDefault="00E47BD2" w:rsidP="00E47BD2">
            <w:pPr>
              <w:spacing w:before="0" w:after="0"/>
              <w:rPr>
                <w:rStyle w:val="TableText"/>
                <w:rFonts w:cstheme="minorHAnsi"/>
                <w:szCs w:val="20"/>
              </w:rPr>
            </w:pPr>
            <w:r w:rsidRPr="00E47BD2">
              <w:rPr>
                <w:rStyle w:val="TableText"/>
                <w:rFonts w:cstheme="minorHAnsi"/>
                <w:szCs w:val="20"/>
              </w:rPr>
              <w:t>is a biological relative of a patient who has had a pathogenic or likely pathogenic gene variant identified in one or more of the genes mentioned in paragraph (a); and</w:t>
            </w:r>
            <w:r w:rsidR="00CC1A26">
              <w:rPr>
                <w:rStyle w:val="TableText"/>
                <w:rFonts w:cstheme="minorHAnsi"/>
                <w:szCs w:val="20"/>
              </w:rPr>
              <w:t xml:space="preserve"> </w:t>
            </w:r>
            <w:r w:rsidRPr="00E47BD2">
              <w:rPr>
                <w:rStyle w:val="TableText"/>
                <w:rFonts w:cstheme="minorHAnsi"/>
                <w:szCs w:val="20"/>
              </w:rPr>
              <w:t xml:space="preserve">has not previously received a service to which item 73295, 73296 or 73302 </w:t>
            </w:r>
            <w:proofErr w:type="gramStart"/>
            <w:r w:rsidRPr="00E47BD2">
              <w:rPr>
                <w:rStyle w:val="TableText"/>
                <w:rFonts w:cstheme="minorHAnsi"/>
                <w:szCs w:val="20"/>
              </w:rPr>
              <w:t>applies;</w:t>
            </w:r>
            <w:proofErr w:type="gramEnd"/>
          </w:p>
          <w:p w14:paraId="5CB78C3A" w14:textId="26A3610D" w:rsidR="004A23AF" w:rsidRPr="004A23AF" w:rsidRDefault="00E47BD2" w:rsidP="004A23AF">
            <w:pPr>
              <w:spacing w:before="0" w:after="0"/>
              <w:rPr>
                <w:rStyle w:val="TableText"/>
                <w:rFonts w:cstheme="minorHAnsi"/>
                <w:szCs w:val="20"/>
              </w:rPr>
            </w:pPr>
            <w:r w:rsidRPr="00E47BD2">
              <w:rPr>
                <w:rStyle w:val="TableText"/>
                <w:rFonts w:cstheme="minorHAnsi"/>
                <w:szCs w:val="20"/>
              </w:rPr>
              <w:t>requested by a specialist or consultant physician</w:t>
            </w:r>
          </w:p>
        </w:tc>
        <w:tc>
          <w:tcPr>
            <w:tcW w:w="836" w:type="pct"/>
            <w:vAlign w:val="center"/>
          </w:tcPr>
          <w:p w14:paraId="2ED6A6D3" w14:textId="77777777" w:rsidR="004A23AF" w:rsidRDefault="00E47BD2" w:rsidP="004A23AF">
            <w:pPr>
              <w:spacing w:before="0" w:after="0"/>
              <w:jc w:val="center"/>
              <w:rPr>
                <w:rStyle w:val="TableText"/>
                <w:rFonts w:cstheme="minorHAnsi"/>
                <w:szCs w:val="20"/>
              </w:rPr>
            </w:pPr>
            <w:r>
              <w:rPr>
                <w:rStyle w:val="TableText"/>
                <w:rFonts w:cstheme="minorHAnsi"/>
                <w:szCs w:val="20"/>
              </w:rPr>
              <w:t>$400.00</w:t>
            </w:r>
          </w:p>
          <w:p w14:paraId="7C88DCA3" w14:textId="77777777" w:rsidR="00505823" w:rsidRDefault="00E47BD2" w:rsidP="004A23AF">
            <w:pPr>
              <w:spacing w:before="0" w:after="0"/>
              <w:jc w:val="center"/>
              <w:rPr>
                <w:rStyle w:val="TableText"/>
                <w:rFonts w:cstheme="minorHAnsi"/>
                <w:szCs w:val="20"/>
              </w:rPr>
            </w:pPr>
            <w:r>
              <w:rPr>
                <w:rStyle w:val="TableText"/>
                <w:rFonts w:cstheme="minorHAnsi"/>
                <w:szCs w:val="20"/>
              </w:rPr>
              <w:t xml:space="preserve">Benefit: </w:t>
            </w:r>
          </w:p>
          <w:p w14:paraId="088B70CE" w14:textId="051B1F35" w:rsidR="00E47BD2" w:rsidRDefault="00E47BD2" w:rsidP="004A23AF">
            <w:pPr>
              <w:spacing w:before="0" w:after="0"/>
              <w:jc w:val="center"/>
              <w:rPr>
                <w:rStyle w:val="TableText"/>
                <w:rFonts w:cstheme="minorHAnsi"/>
                <w:szCs w:val="20"/>
              </w:rPr>
            </w:pPr>
            <w:r>
              <w:rPr>
                <w:rStyle w:val="TableText"/>
                <w:rFonts w:cstheme="minorHAnsi"/>
                <w:szCs w:val="20"/>
              </w:rPr>
              <w:t>75% = $300.00</w:t>
            </w:r>
            <w:r w:rsidR="00CC1A26">
              <w:rPr>
                <w:rStyle w:val="TableText"/>
                <w:rFonts w:cstheme="minorHAnsi"/>
                <w:szCs w:val="20"/>
              </w:rPr>
              <w:t>; 85% = $340.00</w:t>
            </w:r>
          </w:p>
        </w:tc>
      </w:tr>
      <w:tr w:rsidR="004A23AF" w:rsidRPr="001758E2" w14:paraId="4C67115D" w14:textId="77777777" w:rsidTr="00BE3615">
        <w:tc>
          <w:tcPr>
            <w:tcW w:w="548" w:type="pct"/>
            <w:vAlign w:val="center"/>
          </w:tcPr>
          <w:p w14:paraId="0986A401" w14:textId="2DF5C50E" w:rsidR="004A23AF" w:rsidRPr="001758E2" w:rsidRDefault="004A23AF" w:rsidP="004A23AF">
            <w:pPr>
              <w:spacing w:before="0" w:after="0"/>
              <w:rPr>
                <w:rStyle w:val="TableText"/>
                <w:rFonts w:cstheme="minorHAnsi"/>
                <w:szCs w:val="20"/>
              </w:rPr>
            </w:pPr>
            <w:r>
              <w:rPr>
                <w:rStyle w:val="TableText"/>
                <w:rFonts w:cstheme="minorHAnsi"/>
                <w:szCs w:val="20"/>
              </w:rPr>
              <w:t>73301</w:t>
            </w:r>
          </w:p>
        </w:tc>
        <w:tc>
          <w:tcPr>
            <w:tcW w:w="3616" w:type="pct"/>
            <w:vAlign w:val="center"/>
          </w:tcPr>
          <w:p w14:paraId="0D4E605B" w14:textId="1A4C40FF" w:rsidR="004A23AF" w:rsidRPr="001758E2" w:rsidRDefault="004A23AF" w:rsidP="004A23AF">
            <w:pPr>
              <w:spacing w:before="0" w:after="0"/>
              <w:rPr>
                <w:rStyle w:val="TableText"/>
                <w:rFonts w:cstheme="minorHAnsi"/>
                <w:szCs w:val="20"/>
              </w:rPr>
            </w:pPr>
            <w:r w:rsidRPr="007323A3">
              <w:rPr>
                <w:rStyle w:val="TableText"/>
                <w:rFonts w:cstheme="minorHAnsi"/>
                <w:szCs w:val="20"/>
              </w:rPr>
              <w:t xml:space="preserve">A test of tumour tissue from a patient with advanced (FIGO III-IV), high-grade serous or high-grade epithelial ovarian, fallopian tube or primary peritoneal </w:t>
            </w:r>
            <w:r w:rsidRPr="007323A3">
              <w:rPr>
                <w:rStyle w:val="TableText"/>
                <w:rFonts w:cstheme="minorHAnsi"/>
                <w:szCs w:val="20"/>
              </w:rPr>
              <w:lastRenderedPageBreak/>
              <w:t xml:space="preserve">cancer, requested by a specialist or consultant physician, to determine eligibility relating to BRCA status for access to </w:t>
            </w:r>
            <w:proofErr w:type="spellStart"/>
            <w:r w:rsidRPr="007323A3">
              <w:rPr>
                <w:rStyle w:val="TableText"/>
                <w:rFonts w:cstheme="minorHAnsi"/>
                <w:szCs w:val="20"/>
              </w:rPr>
              <w:t>olaparib</w:t>
            </w:r>
            <w:proofErr w:type="spellEnd"/>
            <w:r w:rsidRPr="007323A3">
              <w:rPr>
                <w:rStyle w:val="TableText"/>
                <w:rFonts w:cstheme="minorHAnsi"/>
                <w:szCs w:val="20"/>
              </w:rPr>
              <w:t xml:space="preserve"> under the </w:t>
            </w:r>
            <w:r w:rsidR="000D18BC">
              <w:rPr>
                <w:rStyle w:val="TableText"/>
                <w:rFonts w:cstheme="minorHAnsi"/>
                <w:szCs w:val="20"/>
              </w:rPr>
              <w:t>PBS</w:t>
            </w:r>
          </w:p>
        </w:tc>
        <w:tc>
          <w:tcPr>
            <w:tcW w:w="836" w:type="pct"/>
            <w:vAlign w:val="center"/>
          </w:tcPr>
          <w:p w14:paraId="71D7509B" w14:textId="77777777" w:rsidR="004A23AF" w:rsidRDefault="004A23AF" w:rsidP="004A23AF">
            <w:pPr>
              <w:spacing w:before="0" w:after="0"/>
              <w:jc w:val="center"/>
              <w:rPr>
                <w:rStyle w:val="TableText"/>
                <w:rFonts w:cstheme="minorHAnsi"/>
                <w:szCs w:val="20"/>
              </w:rPr>
            </w:pPr>
            <w:r>
              <w:rPr>
                <w:rStyle w:val="TableText"/>
                <w:rFonts w:cstheme="minorHAnsi"/>
                <w:szCs w:val="20"/>
              </w:rPr>
              <w:lastRenderedPageBreak/>
              <w:t>$1200.00</w:t>
            </w:r>
          </w:p>
          <w:p w14:paraId="7B375607" w14:textId="77777777" w:rsidR="00505823" w:rsidRDefault="004A23AF" w:rsidP="004A23AF">
            <w:pPr>
              <w:spacing w:before="0" w:after="0"/>
              <w:jc w:val="center"/>
              <w:rPr>
                <w:rStyle w:val="TableText"/>
                <w:rFonts w:cstheme="minorHAnsi"/>
                <w:szCs w:val="20"/>
              </w:rPr>
            </w:pPr>
            <w:r>
              <w:rPr>
                <w:rStyle w:val="TableText"/>
                <w:rFonts w:cstheme="minorHAnsi"/>
                <w:szCs w:val="20"/>
              </w:rPr>
              <w:t xml:space="preserve">Benefit: </w:t>
            </w:r>
          </w:p>
          <w:p w14:paraId="12D33A0F" w14:textId="298555BF" w:rsidR="004A23AF" w:rsidRPr="001758E2" w:rsidRDefault="004A23AF" w:rsidP="004A23AF">
            <w:pPr>
              <w:spacing w:before="0" w:after="0"/>
              <w:jc w:val="center"/>
              <w:rPr>
                <w:rStyle w:val="TableText"/>
                <w:rFonts w:cstheme="minorHAnsi"/>
                <w:szCs w:val="20"/>
              </w:rPr>
            </w:pPr>
            <w:r>
              <w:rPr>
                <w:rStyle w:val="TableText"/>
                <w:rFonts w:cstheme="minorHAnsi"/>
                <w:szCs w:val="20"/>
              </w:rPr>
              <w:lastRenderedPageBreak/>
              <w:t>75% = $900.00; 85% = $1,112.10</w:t>
            </w:r>
          </w:p>
        </w:tc>
      </w:tr>
      <w:tr w:rsidR="001847A3" w:rsidRPr="001758E2" w14:paraId="673F62D5" w14:textId="77777777" w:rsidTr="00BE3615">
        <w:tc>
          <w:tcPr>
            <w:tcW w:w="548" w:type="pct"/>
            <w:vAlign w:val="center"/>
          </w:tcPr>
          <w:p w14:paraId="3AAB22D8" w14:textId="42A42942" w:rsidR="001847A3" w:rsidRDefault="001847A3" w:rsidP="001847A3">
            <w:pPr>
              <w:spacing w:before="0" w:after="0"/>
              <w:rPr>
                <w:rStyle w:val="TableText"/>
                <w:rFonts w:cstheme="minorHAnsi"/>
                <w:szCs w:val="20"/>
              </w:rPr>
            </w:pPr>
            <w:r>
              <w:rPr>
                <w:rStyle w:val="TableText"/>
                <w:rFonts w:cstheme="minorHAnsi"/>
                <w:szCs w:val="20"/>
              </w:rPr>
              <w:lastRenderedPageBreak/>
              <w:t>73302</w:t>
            </w:r>
          </w:p>
        </w:tc>
        <w:tc>
          <w:tcPr>
            <w:tcW w:w="3616" w:type="pct"/>
            <w:vAlign w:val="center"/>
          </w:tcPr>
          <w:p w14:paraId="52648AD0" w14:textId="51F64216" w:rsidR="001847A3" w:rsidRPr="007323A3" w:rsidRDefault="001847A3" w:rsidP="001847A3">
            <w:pPr>
              <w:spacing w:before="0" w:after="0"/>
              <w:rPr>
                <w:rStyle w:val="TableText"/>
                <w:rFonts w:cstheme="minorHAnsi"/>
                <w:szCs w:val="20"/>
              </w:rPr>
            </w:pPr>
            <w:r w:rsidRPr="001847A3">
              <w:rPr>
                <w:rStyle w:val="TableText"/>
                <w:rFonts w:cstheme="minorHAnsi"/>
                <w:szCs w:val="20"/>
              </w:rPr>
              <w:t>Characterisation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tc>
        <w:tc>
          <w:tcPr>
            <w:tcW w:w="836" w:type="pct"/>
            <w:vAlign w:val="center"/>
          </w:tcPr>
          <w:p w14:paraId="350FF6E8" w14:textId="77777777" w:rsidR="001847A3" w:rsidRDefault="001847A3" w:rsidP="001847A3">
            <w:pPr>
              <w:spacing w:before="0" w:after="0"/>
              <w:jc w:val="center"/>
              <w:rPr>
                <w:rStyle w:val="TableText"/>
                <w:rFonts w:cstheme="minorHAnsi"/>
                <w:szCs w:val="20"/>
              </w:rPr>
            </w:pPr>
            <w:r>
              <w:rPr>
                <w:rStyle w:val="TableText"/>
                <w:rFonts w:cstheme="minorHAnsi"/>
                <w:szCs w:val="20"/>
              </w:rPr>
              <w:t>$400.00</w:t>
            </w:r>
          </w:p>
          <w:p w14:paraId="45C60CB0" w14:textId="77777777" w:rsidR="00505823" w:rsidRDefault="001847A3" w:rsidP="001847A3">
            <w:pPr>
              <w:spacing w:before="0" w:after="0"/>
              <w:jc w:val="center"/>
              <w:rPr>
                <w:rStyle w:val="TableText"/>
                <w:rFonts w:cstheme="minorHAnsi"/>
                <w:szCs w:val="20"/>
              </w:rPr>
            </w:pPr>
            <w:r>
              <w:rPr>
                <w:rStyle w:val="TableText"/>
                <w:rFonts w:cstheme="minorHAnsi"/>
                <w:szCs w:val="20"/>
              </w:rPr>
              <w:t xml:space="preserve">Benefit: </w:t>
            </w:r>
          </w:p>
          <w:p w14:paraId="762E3F4D" w14:textId="14EC3BFD" w:rsidR="001847A3" w:rsidRDefault="001847A3" w:rsidP="001847A3">
            <w:pPr>
              <w:spacing w:before="0" w:after="0"/>
              <w:jc w:val="center"/>
              <w:rPr>
                <w:rStyle w:val="TableText"/>
                <w:rFonts w:cstheme="minorHAnsi"/>
                <w:szCs w:val="20"/>
              </w:rPr>
            </w:pPr>
            <w:r>
              <w:rPr>
                <w:rStyle w:val="TableText"/>
                <w:rFonts w:cstheme="minorHAnsi"/>
                <w:szCs w:val="20"/>
              </w:rPr>
              <w:t>75% = $300.00; 85% = $340.00</w:t>
            </w:r>
          </w:p>
        </w:tc>
      </w:tr>
    </w:tbl>
    <w:p w14:paraId="1177337E" w14:textId="57DB28F9" w:rsidR="002A50FD" w:rsidRPr="00881F93" w:rsidRDefault="005C3AE7" w:rsidP="00A4296C">
      <w:pPr>
        <w:pStyle w:val="Subtitle"/>
        <w:ind w:left="0"/>
      </w:pPr>
      <w:r>
        <w:t xml:space="preserve">PART 6b – </w:t>
      </w:r>
      <w:r w:rsidR="002A50FD" w:rsidRPr="00881F93">
        <w:t>INFORMATION ABOUT THE INTERVENTION</w:t>
      </w:r>
    </w:p>
    <w:p w14:paraId="24FF3354" w14:textId="77777777"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7149F413" w14:textId="2101E10D" w:rsidR="00140B69" w:rsidRDefault="0022504C" w:rsidP="00A4296C">
      <w:pPr>
        <w:ind w:left="360"/>
      </w:pPr>
      <w:r>
        <w:fldChar w:fldCharType="begin"/>
      </w:r>
      <w:r>
        <w:instrText xml:space="preserve"> REF _Ref104825585 \h </w:instrText>
      </w:r>
      <w:r>
        <w:fldChar w:fldCharType="separate"/>
      </w:r>
      <w:r w:rsidR="00FB0A15" w:rsidRPr="001758E2">
        <w:rPr>
          <w:rFonts w:cstheme="minorHAnsi"/>
          <w:szCs w:val="20"/>
        </w:rPr>
        <w:t xml:space="preserve">Table </w:t>
      </w:r>
      <w:r w:rsidR="00FB0A15">
        <w:rPr>
          <w:rFonts w:cstheme="minorHAnsi"/>
          <w:noProof/>
          <w:szCs w:val="20"/>
        </w:rPr>
        <w:t>5</w:t>
      </w:r>
      <w:r>
        <w:fldChar w:fldCharType="end"/>
      </w:r>
      <w:r>
        <w:t xml:space="preserve"> provides a</w:t>
      </w:r>
      <w:r w:rsidR="00456227">
        <w:t xml:space="preserve">n overview of the intervention (medical service: HRD testing; maintenance therapy: Niraparib) </w:t>
      </w:r>
      <w:r w:rsidR="00885F78">
        <w:t xml:space="preserve">and </w:t>
      </w:r>
      <w:r>
        <w:t>its</w:t>
      </w:r>
      <w:r w:rsidR="00885F78">
        <w:t xml:space="preserve"> applicability to the population</w:t>
      </w:r>
      <w:r>
        <w:t xml:space="preserve">s previously </w:t>
      </w:r>
      <w:r w:rsidR="00830862">
        <w:t>nominated</w:t>
      </w:r>
      <w:r>
        <w:t xml:space="preserve"> by the PASC (</w:t>
      </w:r>
      <w:r w:rsidR="0096167E">
        <w:t xml:space="preserve">Application 1658, </w:t>
      </w:r>
      <w:r>
        <w:t>August 2021)</w:t>
      </w:r>
      <w:r w:rsidR="00456227">
        <w:t>.  This application requests a medical service for the testing of tumour tissue to determine HRD status in women with newly diagnosed advanced (FIGO Stage III-IV) high grade epithelial ovarian, fallopian tube or primary peritoneal cancer to inform access to PBS niraparib.  An application for HRD testing for access to combination Olaparib and bevacizumab is due for consideration by MSAC/PBAC at the July 2022 meeting (Application 1658)</w:t>
      </w:r>
    </w:p>
    <w:p w14:paraId="24FA4231" w14:textId="6A5A9E23" w:rsidR="00140B69" w:rsidRPr="001758E2" w:rsidRDefault="00140B69" w:rsidP="00A4296C">
      <w:pPr>
        <w:pStyle w:val="Caption"/>
        <w:ind w:firstLine="360"/>
        <w:rPr>
          <w:rFonts w:asciiTheme="minorHAnsi" w:hAnsiTheme="minorHAnsi" w:cstheme="minorHAnsi"/>
          <w:sz w:val="20"/>
          <w:szCs w:val="20"/>
        </w:rPr>
      </w:pPr>
      <w:bookmarkStart w:id="13" w:name="_Ref104825585"/>
      <w:r w:rsidRPr="001758E2">
        <w:rPr>
          <w:rFonts w:asciiTheme="minorHAnsi" w:hAnsiTheme="minorHAnsi" w:cstheme="minorHAnsi"/>
          <w:sz w:val="20"/>
          <w:szCs w:val="20"/>
        </w:rPr>
        <w:t xml:space="preserve">Table </w:t>
      </w:r>
      <w:r w:rsidRPr="001758E2">
        <w:rPr>
          <w:rFonts w:asciiTheme="minorHAnsi" w:hAnsiTheme="minorHAnsi" w:cstheme="minorHAnsi"/>
          <w:sz w:val="20"/>
          <w:szCs w:val="20"/>
        </w:rPr>
        <w:fldChar w:fldCharType="begin"/>
      </w:r>
      <w:r w:rsidRPr="001758E2">
        <w:rPr>
          <w:rFonts w:asciiTheme="minorHAnsi" w:hAnsiTheme="minorHAnsi" w:cstheme="minorHAnsi"/>
          <w:sz w:val="20"/>
          <w:szCs w:val="20"/>
        </w:rPr>
        <w:instrText xml:space="preserve"> SEQ Table \* ARABIC </w:instrText>
      </w:r>
      <w:r w:rsidRPr="001758E2">
        <w:rPr>
          <w:rFonts w:asciiTheme="minorHAnsi" w:hAnsiTheme="minorHAnsi" w:cstheme="minorHAnsi"/>
          <w:sz w:val="20"/>
          <w:szCs w:val="20"/>
        </w:rPr>
        <w:fldChar w:fldCharType="separate"/>
      </w:r>
      <w:r w:rsidR="00FB0A15">
        <w:rPr>
          <w:rFonts w:asciiTheme="minorHAnsi" w:hAnsiTheme="minorHAnsi" w:cstheme="minorHAnsi"/>
          <w:noProof/>
          <w:sz w:val="20"/>
          <w:szCs w:val="20"/>
        </w:rPr>
        <w:t>5</w:t>
      </w:r>
      <w:r w:rsidRPr="001758E2">
        <w:rPr>
          <w:rFonts w:asciiTheme="minorHAnsi" w:hAnsiTheme="minorHAnsi" w:cstheme="minorHAnsi"/>
          <w:sz w:val="20"/>
          <w:szCs w:val="20"/>
        </w:rPr>
        <w:fldChar w:fldCharType="end"/>
      </w:r>
      <w:bookmarkEnd w:id="13"/>
      <w:r>
        <w:rPr>
          <w:rFonts w:asciiTheme="minorHAnsi" w:hAnsiTheme="minorHAnsi" w:cstheme="minorHAnsi"/>
          <w:sz w:val="20"/>
          <w:szCs w:val="20"/>
        </w:rPr>
        <w:t xml:space="preserve">: Overview of intervention and its applicability to the </w:t>
      </w:r>
      <w:r w:rsidR="00D87BD3">
        <w:rPr>
          <w:rFonts w:asciiTheme="minorHAnsi" w:hAnsiTheme="minorHAnsi" w:cstheme="minorHAnsi"/>
          <w:sz w:val="20"/>
          <w:szCs w:val="20"/>
        </w:rPr>
        <w:t>proposed population</w:t>
      </w:r>
      <w:r>
        <w:rPr>
          <w:rFonts w:asciiTheme="minorHAnsi" w:hAnsiTheme="minorHAnsi" w:cstheme="minorHAnsi"/>
          <w:sz w:val="20"/>
          <w:szCs w:val="20"/>
        </w:rPr>
        <w:t xml:space="preserve"> </w:t>
      </w:r>
    </w:p>
    <w:tbl>
      <w:tblPr>
        <w:tblStyle w:val="TableGrid"/>
        <w:tblW w:w="0" w:type="auto"/>
        <w:tblInd w:w="279" w:type="dxa"/>
        <w:tblCellMar>
          <w:left w:w="28" w:type="dxa"/>
          <w:right w:w="28" w:type="dxa"/>
        </w:tblCellMar>
        <w:tblLook w:val="04A0" w:firstRow="1" w:lastRow="0" w:firstColumn="1" w:lastColumn="0" w:noHBand="0" w:noVBand="1"/>
      </w:tblPr>
      <w:tblGrid>
        <w:gridCol w:w="1134"/>
        <w:gridCol w:w="1417"/>
        <w:gridCol w:w="1922"/>
        <w:gridCol w:w="4264"/>
      </w:tblGrid>
      <w:tr w:rsidR="0034630F" w:rsidRPr="00AE37D4" w14:paraId="3E2E2CD9" w14:textId="77777777" w:rsidTr="00684BB1">
        <w:trPr>
          <w:tblHeader/>
        </w:trPr>
        <w:tc>
          <w:tcPr>
            <w:tcW w:w="4473" w:type="dxa"/>
            <w:gridSpan w:val="3"/>
            <w:shd w:val="clear" w:color="auto" w:fill="D9D9D9" w:themeFill="background1" w:themeFillShade="D9"/>
            <w:vAlign w:val="center"/>
          </w:tcPr>
          <w:p w14:paraId="2FCA184F" w14:textId="32D83FEF" w:rsidR="00140B69" w:rsidRPr="00AE37D4" w:rsidRDefault="00140B69" w:rsidP="004327D3">
            <w:pPr>
              <w:spacing w:before="0" w:after="0"/>
              <w:rPr>
                <w:b/>
                <w:bCs/>
              </w:rPr>
            </w:pPr>
            <w:bookmarkStart w:id="14" w:name="_Hlk104825809"/>
            <w:r w:rsidRPr="00AE37D4">
              <w:rPr>
                <w:b/>
                <w:bCs/>
              </w:rPr>
              <w:t>Population circumstance</w:t>
            </w:r>
            <w:r w:rsidR="00D87BD3">
              <w:rPr>
                <w:b/>
                <w:bCs/>
              </w:rPr>
              <w:t xml:space="preserve"> (NDA HGEOC)</w:t>
            </w:r>
          </w:p>
        </w:tc>
        <w:tc>
          <w:tcPr>
            <w:tcW w:w="4264" w:type="dxa"/>
            <w:shd w:val="clear" w:color="auto" w:fill="D9D9D9" w:themeFill="background1" w:themeFillShade="D9"/>
            <w:vAlign w:val="center"/>
          </w:tcPr>
          <w:p w14:paraId="7713659D" w14:textId="77777777" w:rsidR="00140B69" w:rsidRPr="00AE37D4" w:rsidRDefault="00140B69" w:rsidP="004327D3">
            <w:pPr>
              <w:spacing w:before="0" w:after="0"/>
              <w:jc w:val="center"/>
              <w:rPr>
                <w:b/>
                <w:bCs/>
              </w:rPr>
            </w:pPr>
            <w:r>
              <w:rPr>
                <w:b/>
                <w:bCs/>
              </w:rPr>
              <w:t>Intervention</w:t>
            </w:r>
          </w:p>
        </w:tc>
      </w:tr>
      <w:tr w:rsidR="00140B69" w14:paraId="1FD4CEF1" w14:textId="77777777" w:rsidTr="00684BB1">
        <w:tc>
          <w:tcPr>
            <w:tcW w:w="1134" w:type="dxa"/>
            <w:vMerge w:val="restart"/>
            <w:vAlign w:val="center"/>
          </w:tcPr>
          <w:p w14:paraId="0C7B6191" w14:textId="77777777" w:rsidR="00140B69" w:rsidRDefault="00140B69" w:rsidP="004327D3">
            <w:pPr>
              <w:spacing w:before="0" w:after="0"/>
            </w:pPr>
            <w:r>
              <w:t>Test</w:t>
            </w:r>
          </w:p>
        </w:tc>
        <w:tc>
          <w:tcPr>
            <w:tcW w:w="1417" w:type="dxa"/>
            <w:vMerge w:val="restart"/>
            <w:vAlign w:val="center"/>
          </w:tcPr>
          <w:p w14:paraId="745ABE41" w14:textId="77777777" w:rsidR="00140B69" w:rsidRDefault="00140B69" w:rsidP="004327D3">
            <w:pPr>
              <w:spacing w:before="0" w:after="0"/>
              <w:jc w:val="center"/>
            </w:pPr>
            <w:r>
              <w:t>At diagnosis</w:t>
            </w:r>
          </w:p>
        </w:tc>
        <w:tc>
          <w:tcPr>
            <w:tcW w:w="1922" w:type="dxa"/>
            <w:vAlign w:val="center"/>
          </w:tcPr>
          <w:p w14:paraId="5841C7DC" w14:textId="77777777" w:rsidR="00140B69" w:rsidRDefault="00140B69" w:rsidP="004327D3">
            <w:pPr>
              <w:spacing w:before="0" w:after="0"/>
              <w:jc w:val="center"/>
            </w:pPr>
            <w:r>
              <w:t>Population #1</w:t>
            </w:r>
          </w:p>
        </w:tc>
        <w:tc>
          <w:tcPr>
            <w:tcW w:w="4264" w:type="dxa"/>
            <w:vAlign w:val="center"/>
          </w:tcPr>
          <w:p w14:paraId="6E9D33B0" w14:textId="77777777" w:rsidR="00140B69" w:rsidRDefault="00140B69" w:rsidP="004327D3">
            <w:pPr>
              <w:spacing w:before="0" w:after="0"/>
              <w:jc w:val="center"/>
            </w:pPr>
            <w:r>
              <w:t>Parallel: HRD testing to provide BRCA1 or BRCA2 result and GIS score</w:t>
            </w:r>
          </w:p>
        </w:tc>
      </w:tr>
      <w:tr w:rsidR="00140B69" w14:paraId="14A5F68E" w14:textId="77777777" w:rsidTr="00684BB1">
        <w:tc>
          <w:tcPr>
            <w:tcW w:w="1134" w:type="dxa"/>
            <w:vMerge/>
            <w:vAlign w:val="center"/>
          </w:tcPr>
          <w:p w14:paraId="4213AB86" w14:textId="77777777" w:rsidR="00140B69" w:rsidRDefault="00140B69" w:rsidP="004327D3">
            <w:pPr>
              <w:spacing w:before="0" w:after="0"/>
            </w:pPr>
          </w:p>
        </w:tc>
        <w:tc>
          <w:tcPr>
            <w:tcW w:w="1417" w:type="dxa"/>
            <w:vMerge/>
            <w:vAlign w:val="center"/>
          </w:tcPr>
          <w:p w14:paraId="07A80176" w14:textId="77777777" w:rsidR="00140B69" w:rsidRDefault="00140B69" w:rsidP="004327D3">
            <w:pPr>
              <w:spacing w:before="0" w:after="0"/>
              <w:jc w:val="center"/>
            </w:pPr>
          </w:p>
        </w:tc>
        <w:tc>
          <w:tcPr>
            <w:tcW w:w="1922" w:type="dxa"/>
            <w:vAlign w:val="center"/>
          </w:tcPr>
          <w:p w14:paraId="534CADCF" w14:textId="77777777" w:rsidR="00140B69" w:rsidRDefault="00140B69" w:rsidP="004327D3">
            <w:pPr>
              <w:spacing w:before="0" w:after="0"/>
              <w:jc w:val="center"/>
            </w:pPr>
            <w:r>
              <w:t>Population #2</w:t>
            </w:r>
          </w:p>
        </w:tc>
        <w:tc>
          <w:tcPr>
            <w:tcW w:w="4264" w:type="dxa"/>
            <w:vAlign w:val="center"/>
          </w:tcPr>
          <w:p w14:paraId="3FB4C2E7" w14:textId="77777777" w:rsidR="00140B69" w:rsidRDefault="00140B69" w:rsidP="004327D3">
            <w:pPr>
              <w:spacing w:before="0" w:after="0"/>
              <w:jc w:val="center"/>
            </w:pPr>
            <w:r>
              <w:t>Sequential: HRD testing to provide GIS score for non-</w:t>
            </w:r>
            <w:proofErr w:type="spellStart"/>
            <w:r>
              <w:t>BRCAm</w:t>
            </w:r>
            <w:proofErr w:type="spellEnd"/>
            <w:r>
              <w:t xml:space="preserve"> cohort only</w:t>
            </w:r>
          </w:p>
        </w:tc>
      </w:tr>
      <w:tr w:rsidR="00140B69" w14:paraId="7B6F4E13" w14:textId="77777777" w:rsidTr="00684BB1">
        <w:tc>
          <w:tcPr>
            <w:tcW w:w="1134" w:type="dxa"/>
            <w:vMerge/>
            <w:vAlign w:val="center"/>
          </w:tcPr>
          <w:p w14:paraId="3DF068DF" w14:textId="77777777" w:rsidR="00140B69" w:rsidRDefault="00140B69" w:rsidP="004327D3">
            <w:pPr>
              <w:spacing w:before="0" w:after="0"/>
            </w:pPr>
          </w:p>
        </w:tc>
        <w:tc>
          <w:tcPr>
            <w:tcW w:w="1417" w:type="dxa"/>
            <w:vAlign w:val="center"/>
          </w:tcPr>
          <w:p w14:paraId="4AF41132" w14:textId="2501EC8E" w:rsidR="00140B69" w:rsidRDefault="00D4722F" w:rsidP="004327D3">
            <w:pPr>
              <w:spacing w:before="0" w:after="0"/>
              <w:jc w:val="center"/>
            </w:pPr>
            <w:r>
              <w:t>Receive</w:t>
            </w:r>
            <w:r w:rsidR="00140B69">
              <w:t xml:space="preserve"> </w:t>
            </w:r>
            <w:r w:rsidR="0096167E">
              <w:t>platinum-based</w:t>
            </w:r>
            <w:r w:rsidR="00AB3F57">
              <w:t xml:space="preserve"> </w:t>
            </w:r>
            <w:r w:rsidR="00140B69">
              <w:t>chemotherapy</w:t>
            </w:r>
          </w:p>
        </w:tc>
        <w:tc>
          <w:tcPr>
            <w:tcW w:w="1922" w:type="dxa"/>
            <w:vAlign w:val="center"/>
          </w:tcPr>
          <w:p w14:paraId="1044915F" w14:textId="77777777" w:rsidR="00140B69" w:rsidRDefault="00140B69" w:rsidP="004327D3">
            <w:pPr>
              <w:spacing w:before="0" w:after="0"/>
              <w:jc w:val="center"/>
            </w:pPr>
            <w:r>
              <w:t>Population #3</w:t>
            </w:r>
          </w:p>
        </w:tc>
        <w:tc>
          <w:tcPr>
            <w:tcW w:w="4264" w:type="dxa"/>
            <w:vAlign w:val="center"/>
          </w:tcPr>
          <w:p w14:paraId="37938306" w14:textId="6832E5A2" w:rsidR="008E4C13" w:rsidRDefault="008E4C13" w:rsidP="00456227">
            <w:pPr>
              <w:spacing w:before="0" w:after="0"/>
              <w:jc w:val="center"/>
            </w:pPr>
            <w:r>
              <w:t xml:space="preserve">#3a: </w:t>
            </w:r>
            <w:r w:rsidR="00140B69">
              <w:t>Parallel</w:t>
            </w:r>
            <w:r w:rsidR="00B20569">
              <w:t>: HRD testing to provide BRCA1 or BRCA2 result and GIS score</w:t>
            </w:r>
            <w:r w:rsidR="00456227">
              <w:t xml:space="preserve"> </w:t>
            </w:r>
          </w:p>
          <w:p w14:paraId="05F3F79F" w14:textId="50DA1B86" w:rsidR="00140B69" w:rsidRDefault="008E4C13" w:rsidP="00456227">
            <w:pPr>
              <w:spacing w:before="0" w:after="0"/>
              <w:jc w:val="center"/>
            </w:pPr>
            <w:r>
              <w:t xml:space="preserve">#3b: </w:t>
            </w:r>
            <w:r w:rsidR="00456227">
              <w:t>Sequential</w:t>
            </w:r>
            <w:r w:rsidR="00B20569">
              <w:t>: HRD testing to provide GIS score for non-</w:t>
            </w:r>
            <w:proofErr w:type="spellStart"/>
            <w:r w:rsidR="00B20569">
              <w:t>BRCAm</w:t>
            </w:r>
            <w:proofErr w:type="spellEnd"/>
            <w:r w:rsidR="00B20569">
              <w:t xml:space="preserve"> cohort only</w:t>
            </w:r>
          </w:p>
        </w:tc>
      </w:tr>
      <w:tr w:rsidR="00140B69" w14:paraId="5F37B9AB" w14:textId="77777777" w:rsidTr="00684BB1">
        <w:tc>
          <w:tcPr>
            <w:tcW w:w="1134" w:type="dxa"/>
            <w:vMerge w:val="restart"/>
            <w:vAlign w:val="center"/>
          </w:tcPr>
          <w:p w14:paraId="78131B65" w14:textId="41BE7466" w:rsidR="00140B69" w:rsidRDefault="00140B69" w:rsidP="004327D3">
            <w:pPr>
              <w:spacing w:before="0" w:after="0"/>
            </w:pPr>
            <w:r>
              <w:t>Primary Treatment</w:t>
            </w:r>
            <w:r w:rsidR="00D87BD3">
              <w:t>:</w:t>
            </w:r>
            <w:r w:rsidR="00732FE7">
              <w:t xml:space="preserve"> non-</w:t>
            </w:r>
            <w:proofErr w:type="spellStart"/>
            <w:r w:rsidR="00732FE7">
              <w:t>BRCAm</w:t>
            </w:r>
            <w:proofErr w:type="spellEnd"/>
            <w:r w:rsidR="00732FE7">
              <w:t xml:space="preserve"> HRD</w:t>
            </w:r>
          </w:p>
        </w:tc>
        <w:tc>
          <w:tcPr>
            <w:tcW w:w="3339" w:type="dxa"/>
            <w:gridSpan w:val="2"/>
            <w:vAlign w:val="center"/>
          </w:tcPr>
          <w:p w14:paraId="100EF27F" w14:textId="3513A378" w:rsidR="00140B69" w:rsidRDefault="009B3D00" w:rsidP="004327D3">
            <w:pPr>
              <w:spacing w:before="0" w:after="0"/>
              <w:jc w:val="center"/>
            </w:pPr>
            <w:r>
              <w:t>Platinum based c</w:t>
            </w:r>
            <w:r w:rsidR="00140B69">
              <w:t>hemotherapy</w:t>
            </w:r>
          </w:p>
        </w:tc>
        <w:tc>
          <w:tcPr>
            <w:tcW w:w="4264" w:type="dxa"/>
            <w:vAlign w:val="center"/>
          </w:tcPr>
          <w:p w14:paraId="2879AEE8" w14:textId="3E64AF2F" w:rsidR="00140B69" w:rsidRDefault="00140B69" w:rsidP="004327D3">
            <w:pPr>
              <w:spacing w:before="0" w:after="0"/>
              <w:jc w:val="center"/>
            </w:pPr>
            <w:r>
              <w:t>Niraparib</w:t>
            </w:r>
            <w:r w:rsidR="009B3D00">
              <w:t xml:space="preserve"> maintenance</w:t>
            </w:r>
          </w:p>
        </w:tc>
      </w:tr>
      <w:tr w:rsidR="00140B69" w14:paraId="2AD7FBC1" w14:textId="77777777" w:rsidTr="00684BB1">
        <w:tc>
          <w:tcPr>
            <w:tcW w:w="1134" w:type="dxa"/>
            <w:vMerge/>
            <w:vAlign w:val="center"/>
          </w:tcPr>
          <w:p w14:paraId="77DAC895" w14:textId="77777777" w:rsidR="00140B69" w:rsidRDefault="00140B69" w:rsidP="004327D3">
            <w:pPr>
              <w:spacing w:before="0" w:after="0"/>
            </w:pPr>
          </w:p>
        </w:tc>
        <w:tc>
          <w:tcPr>
            <w:tcW w:w="3339" w:type="dxa"/>
            <w:gridSpan w:val="2"/>
            <w:vAlign w:val="center"/>
          </w:tcPr>
          <w:p w14:paraId="1F4DF8D0" w14:textId="1DDC9392" w:rsidR="00140B69" w:rsidRDefault="009B3D00" w:rsidP="004327D3">
            <w:pPr>
              <w:spacing w:before="0" w:after="0"/>
              <w:jc w:val="center"/>
            </w:pPr>
            <w:r>
              <w:t>Platinum based c</w:t>
            </w:r>
            <w:r w:rsidR="00140B69">
              <w:t>hemotherapy &amp; Bevacizumab</w:t>
            </w:r>
          </w:p>
        </w:tc>
        <w:tc>
          <w:tcPr>
            <w:tcW w:w="4264" w:type="dxa"/>
            <w:vAlign w:val="center"/>
          </w:tcPr>
          <w:p w14:paraId="0D4F00A2" w14:textId="77777777" w:rsidR="00140B69" w:rsidRDefault="00140B69" w:rsidP="004327D3">
            <w:pPr>
              <w:spacing w:before="0" w:after="0"/>
              <w:jc w:val="center"/>
            </w:pPr>
            <w:r>
              <w:t>Not applicable</w:t>
            </w:r>
          </w:p>
        </w:tc>
      </w:tr>
    </w:tbl>
    <w:bookmarkEnd w:id="14"/>
    <w:p w14:paraId="12F563FB" w14:textId="133C1F35" w:rsidR="001A12E5" w:rsidRDefault="00A86E4A" w:rsidP="00684BB1">
      <w:pPr>
        <w:ind w:left="360"/>
      </w:pPr>
      <w:r>
        <w:t xml:space="preserve">The HRD test involves the next generation sequencing (NGS) of DNA from </w:t>
      </w:r>
      <w:r w:rsidR="00FF29B0">
        <w:t xml:space="preserve">a biopsy or archived FFPE block of tumour tissue.  </w:t>
      </w:r>
      <w:r w:rsidR="00ED1333">
        <w:t xml:space="preserve">Assays to detect HRD status </w:t>
      </w:r>
      <w:r w:rsidR="00725D0A">
        <w:t>identify the genomic aberrations following repair of double strand break</w:t>
      </w:r>
      <w:r w:rsidR="00D56E0E">
        <w:t>s</w:t>
      </w:r>
      <w:r w:rsidR="00725D0A">
        <w:t xml:space="preserve"> (DSB</w:t>
      </w:r>
      <w:r w:rsidR="00D56E0E">
        <w:t>s</w:t>
      </w:r>
      <w:r w:rsidR="00725D0A">
        <w:t>)</w:t>
      </w:r>
      <w:r w:rsidR="00D56E0E">
        <w:t xml:space="preserve"> via the error prone non-homologous end joining (NHEJ) pathway in HRD tumour cells.  </w:t>
      </w:r>
      <w:r w:rsidR="00CA5BDA">
        <w:t>As per the evidentiary standard, t</w:t>
      </w:r>
      <w:r w:rsidR="00CB5E1B">
        <w:t xml:space="preserve">he quantitative assessment of genomic scarring is measured </w:t>
      </w:r>
      <w:r w:rsidR="007F40A8">
        <w:t>via</w:t>
      </w:r>
      <w:r w:rsidR="00CB5E1B">
        <w:t xml:space="preserve"> a genomic instability</w:t>
      </w:r>
      <w:r w:rsidR="007F40A8">
        <w:t xml:space="preserve"> status (GIS) score that evaluates the following three DNA damage biomarkers across the entire genome:</w:t>
      </w:r>
    </w:p>
    <w:p w14:paraId="6B13F61E" w14:textId="67E65332" w:rsidR="007F40A8" w:rsidRDefault="00C461EB" w:rsidP="00930E95">
      <w:pPr>
        <w:pStyle w:val="ListParagraph"/>
        <w:numPr>
          <w:ilvl w:val="0"/>
          <w:numId w:val="19"/>
        </w:numPr>
      </w:pPr>
      <w:r>
        <w:t xml:space="preserve">Loss of Heterozygosity (LOH): </w:t>
      </w:r>
      <w:r w:rsidR="00526A91">
        <w:t>number of LOH regions longer than 15 Mb but shorter than the length of a whole chromosom</w:t>
      </w:r>
      <w:r w:rsidR="00010C46">
        <w:t xml:space="preserve">e.  </w:t>
      </w:r>
    </w:p>
    <w:p w14:paraId="4DAE4CDC" w14:textId="4DE615EF" w:rsidR="00010C46" w:rsidRDefault="002168B0" w:rsidP="00930E95">
      <w:pPr>
        <w:pStyle w:val="ListParagraph"/>
        <w:numPr>
          <w:ilvl w:val="0"/>
          <w:numId w:val="19"/>
        </w:numPr>
      </w:pPr>
      <w:r>
        <w:t>Telomeric Allelic Imbalance (TAI): number of regions with allelic imbalance which extend to the sub-telomere but do not cross the centromere</w:t>
      </w:r>
    </w:p>
    <w:p w14:paraId="4CBE29BE" w14:textId="2556C017" w:rsidR="002168B0" w:rsidRDefault="002168B0" w:rsidP="00930E95">
      <w:pPr>
        <w:pStyle w:val="ListParagraph"/>
        <w:numPr>
          <w:ilvl w:val="0"/>
          <w:numId w:val="19"/>
        </w:numPr>
      </w:pPr>
      <w:r>
        <w:t>Large Scale State Transitions (LST): number of chromosomal breaks between adjacent regions longer than 10 Mb after filtering out regions shorter than 3 Mb</w:t>
      </w:r>
    </w:p>
    <w:p w14:paraId="3B08B83A" w14:textId="47E5EF51" w:rsidR="00470CBD" w:rsidRDefault="00644CB3" w:rsidP="00684BB1">
      <w:pPr>
        <w:ind w:left="360"/>
      </w:pPr>
      <w:r>
        <w:t xml:space="preserve">The combined </w:t>
      </w:r>
      <w:r w:rsidR="00441CA8">
        <w:t xml:space="preserve">GIS score is the unweighted </w:t>
      </w:r>
      <w:r w:rsidR="001219F4">
        <w:t xml:space="preserve">sum </w:t>
      </w:r>
      <w:r w:rsidR="00441CA8">
        <w:t>of LOH + TAI + LST, with a score range from 0 to 100</w:t>
      </w:r>
      <w:r w:rsidR="00470CBD">
        <w:t>, with a tumour’s HRD status being described by the following rules:</w:t>
      </w:r>
    </w:p>
    <w:p w14:paraId="6222611F" w14:textId="316F3940" w:rsidR="001A12E5" w:rsidRDefault="00454B13" w:rsidP="00930E95">
      <w:pPr>
        <w:pStyle w:val="ListParagraph"/>
        <w:numPr>
          <w:ilvl w:val="0"/>
          <w:numId w:val="20"/>
        </w:numPr>
      </w:pPr>
      <w:proofErr w:type="spellStart"/>
      <w:r>
        <w:t>HRd</w:t>
      </w:r>
      <w:proofErr w:type="spellEnd"/>
      <w:r>
        <w:t xml:space="preserve"> = HRD positive: any tumour with GIS </w:t>
      </w:r>
      <w:r w:rsidRPr="00B067E0">
        <w:t xml:space="preserve">score ≥42 </w:t>
      </w:r>
      <w:r w:rsidR="00E26966" w:rsidRPr="00B067E0">
        <w:t xml:space="preserve">or </w:t>
      </w:r>
      <w:r w:rsidR="006E43EC" w:rsidRPr="00B067E0">
        <w:t>a</w:t>
      </w:r>
      <w:r w:rsidR="006E43EC">
        <w:t xml:space="preserve"> suspected deleterious BRCA 1 or BRCA 2 mutation</w:t>
      </w:r>
    </w:p>
    <w:p w14:paraId="6E1BFFA0" w14:textId="6AEFA82B" w:rsidR="006E43EC" w:rsidRDefault="006E43EC" w:rsidP="00930E95">
      <w:pPr>
        <w:pStyle w:val="ListParagraph"/>
        <w:numPr>
          <w:ilvl w:val="0"/>
          <w:numId w:val="20"/>
        </w:numPr>
      </w:pPr>
      <w:proofErr w:type="spellStart"/>
      <w:r>
        <w:t>HRp</w:t>
      </w:r>
      <w:proofErr w:type="spellEnd"/>
      <w:r>
        <w:t xml:space="preserve"> = HRD negative: any tumour with GIS score </w:t>
      </w:r>
      <w:r w:rsidRPr="05A6DAA2">
        <w:t>&lt;</w:t>
      </w:r>
      <w:r>
        <w:t>42 and without a suspected deleterious BRCA 1 or BRCA 2 mutation</w:t>
      </w:r>
    </w:p>
    <w:p w14:paraId="28037C79" w14:textId="1F31E988" w:rsidR="006E43EC" w:rsidRDefault="00E44559" w:rsidP="00930E95">
      <w:pPr>
        <w:pStyle w:val="ListParagraph"/>
        <w:numPr>
          <w:ilvl w:val="0"/>
          <w:numId w:val="20"/>
        </w:numPr>
      </w:pPr>
      <w:proofErr w:type="spellStart"/>
      <w:r>
        <w:t>HRnd</w:t>
      </w:r>
      <w:proofErr w:type="spellEnd"/>
      <w:r>
        <w:t xml:space="preserve"> = HRD unknown: any tumour with inconclusive test results</w:t>
      </w:r>
    </w:p>
    <w:p w14:paraId="07748A09" w14:textId="6259A4D9" w:rsidR="006B7CF8" w:rsidRPr="00684BB1" w:rsidRDefault="00D06A91" w:rsidP="00684BB1">
      <w:pPr>
        <w:ind w:left="450"/>
        <w:rPr>
          <w:szCs w:val="20"/>
        </w:rPr>
      </w:pPr>
      <w:r w:rsidRPr="00684BB1">
        <w:rPr>
          <w:szCs w:val="20"/>
        </w:rPr>
        <w:lastRenderedPageBreak/>
        <w:t>At the time of application</w:t>
      </w:r>
      <w:r w:rsidR="00643872" w:rsidRPr="00684BB1">
        <w:rPr>
          <w:szCs w:val="20"/>
        </w:rPr>
        <w:t xml:space="preserve">, </w:t>
      </w:r>
      <w:r w:rsidR="006B7CF8" w:rsidRPr="00684BB1">
        <w:rPr>
          <w:szCs w:val="20"/>
        </w:rPr>
        <w:t xml:space="preserve">the applicant was aware of </w:t>
      </w:r>
      <w:r w:rsidR="00B42B05" w:rsidRPr="00684BB1">
        <w:rPr>
          <w:szCs w:val="20"/>
        </w:rPr>
        <w:t>the following</w:t>
      </w:r>
      <w:r w:rsidR="006B7CF8" w:rsidRPr="00684BB1">
        <w:rPr>
          <w:szCs w:val="20"/>
        </w:rPr>
        <w:t xml:space="preserve"> HRD assay that </w:t>
      </w:r>
      <w:r w:rsidR="00B42B05" w:rsidRPr="00684BB1">
        <w:rPr>
          <w:szCs w:val="20"/>
        </w:rPr>
        <w:t xml:space="preserve">is expected to be launched in </w:t>
      </w:r>
      <w:r w:rsidR="00684BB1" w:rsidRPr="00684BB1">
        <w:rPr>
          <w:b/>
          <w:bCs/>
          <w:szCs w:val="20"/>
        </w:rPr>
        <w:t>REDACTED</w:t>
      </w:r>
      <w:r w:rsidR="006B7CF8" w:rsidRPr="00684BB1">
        <w:rPr>
          <w:szCs w:val="20"/>
        </w:rPr>
        <w:t>:</w:t>
      </w:r>
    </w:p>
    <w:p w14:paraId="6D60ED16" w14:textId="11666BD4" w:rsidR="002A50FD" w:rsidRPr="00684BB1" w:rsidRDefault="00684BB1" w:rsidP="00684BB1">
      <w:pPr>
        <w:pStyle w:val="ListParagraph"/>
        <w:numPr>
          <w:ilvl w:val="0"/>
          <w:numId w:val="31"/>
        </w:numPr>
        <w:ind w:left="1260"/>
      </w:pPr>
      <w:r w:rsidRPr="00684BB1">
        <w:rPr>
          <w:b/>
          <w:bCs/>
          <w:szCs w:val="20"/>
        </w:rPr>
        <w:t>REDACTED</w:t>
      </w:r>
      <w:r w:rsidRPr="00684BB1">
        <w:t xml:space="preserve"> </w:t>
      </w:r>
      <w:r w:rsidR="006B7CF8" w:rsidRPr="00684BB1">
        <w:t>assay:</w:t>
      </w:r>
      <w:r w:rsidR="00B42B05" w:rsidRPr="00684BB1">
        <w:t xml:space="preserve"> </w:t>
      </w:r>
      <w:r w:rsidR="00D90AD6" w:rsidRPr="00684BB1">
        <w:t xml:space="preserve"> future co-dependent application will be supported by </w:t>
      </w:r>
      <w:r w:rsidR="00E92EB2" w:rsidRPr="00684BB1">
        <w:t xml:space="preserve">the </w:t>
      </w:r>
      <w:r w:rsidR="003B40BB" w:rsidRPr="00684BB1">
        <w:t xml:space="preserve">concordance studies </w:t>
      </w:r>
      <w:r w:rsidR="00D90AD6" w:rsidRPr="00684BB1">
        <w:t xml:space="preserve">of the </w:t>
      </w:r>
      <w:r w:rsidRPr="00684BB1">
        <w:rPr>
          <w:b/>
          <w:bCs/>
          <w:szCs w:val="20"/>
        </w:rPr>
        <w:t>REDACTED</w:t>
      </w:r>
      <w:r w:rsidR="00D90AD6" w:rsidRPr="00684BB1">
        <w:t xml:space="preserve"> assay </w:t>
      </w:r>
      <w:r w:rsidR="003B40BB" w:rsidRPr="00684BB1">
        <w:t>vs the trial standard used in PRIMA</w:t>
      </w:r>
      <w:r w:rsidR="005D41C5" w:rsidRPr="00684BB1">
        <w:t xml:space="preserve"> (Myriad </w:t>
      </w:r>
      <w:proofErr w:type="spellStart"/>
      <w:r w:rsidR="005D41C5" w:rsidRPr="00684BB1">
        <w:t>Mychoice</w:t>
      </w:r>
      <w:proofErr w:type="spellEnd"/>
      <w:r w:rsidR="005D41C5" w:rsidRPr="00684BB1">
        <w:t xml:space="preserve">® </w:t>
      </w:r>
      <w:proofErr w:type="spellStart"/>
      <w:r w:rsidR="00B12D5B" w:rsidRPr="00684BB1">
        <w:t>CDx</w:t>
      </w:r>
      <w:proofErr w:type="spellEnd"/>
      <w:r w:rsidR="00B12D5B" w:rsidRPr="00684BB1">
        <w:t>)</w:t>
      </w:r>
      <w:r w:rsidR="005626DF" w:rsidRPr="00684BB1">
        <w:t xml:space="preserve">.  </w:t>
      </w:r>
    </w:p>
    <w:p w14:paraId="2DFA35AF" w14:textId="36C674C8" w:rsidR="00DB7D94" w:rsidRDefault="009D451A" w:rsidP="00684BB1">
      <w:pPr>
        <w:ind w:left="450"/>
        <w:rPr>
          <w:szCs w:val="20"/>
        </w:rPr>
      </w:pPr>
      <w:r>
        <w:rPr>
          <w:szCs w:val="20"/>
        </w:rPr>
        <w:t>Patients with NDA HGEOC in response to 1L PBC that are identified as</w:t>
      </w:r>
      <w:r w:rsidR="00370FC8">
        <w:rPr>
          <w:szCs w:val="20"/>
        </w:rPr>
        <w:t xml:space="preserve"> non-</w:t>
      </w:r>
      <w:proofErr w:type="spellStart"/>
      <w:r w:rsidR="00370FC8">
        <w:rPr>
          <w:szCs w:val="20"/>
        </w:rPr>
        <w:t>BRCAm</w:t>
      </w:r>
      <w:proofErr w:type="spellEnd"/>
      <w:r w:rsidR="00370FC8">
        <w:rPr>
          <w:szCs w:val="20"/>
        </w:rPr>
        <w:t xml:space="preserve"> HRD</w:t>
      </w:r>
      <w:r>
        <w:rPr>
          <w:szCs w:val="20"/>
        </w:rPr>
        <w:t xml:space="preserve"> are proposed to</w:t>
      </w:r>
      <w:r w:rsidR="00370FC8">
        <w:rPr>
          <w:szCs w:val="20"/>
        </w:rPr>
        <w:t xml:space="preserve"> be eligible to receive niraparib as maintenance therapy</w:t>
      </w:r>
      <w:r w:rsidR="00DB4400">
        <w:rPr>
          <w:szCs w:val="20"/>
        </w:rPr>
        <w:t xml:space="preserve">. </w:t>
      </w:r>
    </w:p>
    <w:p w14:paraId="3A746173"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DCB4761" w14:textId="191AF642" w:rsidR="002A6753" w:rsidRPr="00154B00" w:rsidRDefault="00DC2309" w:rsidP="00E357B9">
      <w:pPr>
        <w:ind w:left="426"/>
        <w:rPr>
          <w:szCs w:val="20"/>
        </w:rPr>
      </w:pPr>
      <w:r>
        <w:t>Registered tradema</w:t>
      </w:r>
      <w:r w:rsidR="00F531CE">
        <w:t>r</w:t>
      </w:r>
      <w:r>
        <w:t xml:space="preserve">ks may be held by various </w:t>
      </w:r>
      <w:r w:rsidR="00AF757B">
        <w:t>components used across the stages of the HRD testing process (</w:t>
      </w:r>
      <w:proofErr w:type="gramStart"/>
      <w:r w:rsidR="00AF757B">
        <w:t>e.g.</w:t>
      </w:r>
      <w:proofErr w:type="gramEnd"/>
      <w:r w:rsidR="00AF757B">
        <w:t xml:space="preserve"> DNA extraction, quality assurance, quantification PCR amplification, NGS platform)</w:t>
      </w:r>
      <w:r w:rsidR="00867989">
        <w:t xml:space="preserve">.  </w:t>
      </w:r>
      <w:r w:rsidR="003A5524">
        <w:t>The proposed item descriptor is agnostic to the type</w:t>
      </w:r>
      <w:r w:rsidR="00DD73A9">
        <w:t xml:space="preserve"> of HRD test, though would be subject to the </w:t>
      </w:r>
      <w:r w:rsidR="000100EF">
        <w:t>demonstration o</w:t>
      </w:r>
      <w:r w:rsidR="00DD73A9">
        <w:t>f s</w:t>
      </w:r>
      <w:r w:rsidR="000100EF">
        <w:t>ufficient concordance from the associated laboratory</w:t>
      </w:r>
      <w:r w:rsidR="00DD73A9">
        <w:t xml:space="preserve">.  </w:t>
      </w:r>
    </w:p>
    <w:p w14:paraId="1A7E1C79"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3170554" w14:textId="75688B8A" w:rsidR="00DF0C51" w:rsidRDefault="00820175" w:rsidP="00E357B9">
      <w:pPr>
        <w:ind w:left="426"/>
        <w:rPr>
          <w:b/>
          <w:szCs w:val="20"/>
        </w:rPr>
      </w:pPr>
      <w:r>
        <w:t>Not applicable</w:t>
      </w:r>
      <w:r w:rsidR="00BB3F8E">
        <w:t xml:space="preserve"> – this application </w:t>
      </w:r>
      <w:r w:rsidR="00A90111">
        <w:t>does not involve a prothesis or medical device</w:t>
      </w:r>
      <w:r w:rsidR="00657D67">
        <w:t>.  Potential changes to the clinical management of patients are addressed in Question 40</w:t>
      </w:r>
      <w:r w:rsidR="00BB3F8E">
        <w:t xml:space="preserve"> </w:t>
      </w:r>
    </w:p>
    <w:p w14:paraId="55344A45" w14:textId="1A0918B9"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5212227D" w14:textId="757B371C" w:rsidR="00CC09D7" w:rsidRPr="00154B00" w:rsidRDefault="00AC0435" w:rsidP="00E357B9">
      <w:pPr>
        <w:ind w:left="426"/>
        <w:rPr>
          <w:szCs w:val="20"/>
        </w:rPr>
      </w:pPr>
      <w:r>
        <w:t>HRD tumour testing is a new service to be provided by pathology laboratories in Australia</w:t>
      </w:r>
      <w:r w:rsidR="00011923">
        <w:t xml:space="preserve">.  It is expected that NATA accreditation and </w:t>
      </w:r>
      <w:r w:rsidR="003914C6">
        <w:t xml:space="preserve">verification </w:t>
      </w:r>
      <w:r w:rsidR="007C1ED8">
        <w:t>processes</w:t>
      </w:r>
      <w:r w:rsidR="00011923">
        <w:t xml:space="preserve"> would be undertaken prior to availability of the HRD test.  </w:t>
      </w:r>
    </w:p>
    <w:p w14:paraId="1CC2050E"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A48B649" w14:textId="2A38A58F" w:rsidR="00791C8D" w:rsidRPr="00154B00" w:rsidRDefault="00FB19CD" w:rsidP="00FB19CD">
      <w:pPr>
        <w:ind w:left="426"/>
      </w:pPr>
      <w:r>
        <w:t xml:space="preserve">Given the </w:t>
      </w:r>
      <w:r w:rsidR="00495DF5">
        <w:t xml:space="preserve">proximity of </w:t>
      </w:r>
      <w:r>
        <w:t xml:space="preserve">BRCA testing </w:t>
      </w:r>
      <w:r w:rsidR="00495DF5">
        <w:t>to the populations under consideration</w:t>
      </w:r>
      <w:r w:rsidR="002C7F85">
        <w:t xml:space="preserve"> </w:t>
      </w:r>
      <w:r w:rsidR="00B161A3">
        <w:t>for HRD testing</w:t>
      </w:r>
      <w:r>
        <w:t>,</w:t>
      </w:r>
      <w:r w:rsidR="00495DF5">
        <w:t xml:space="preserve"> </w:t>
      </w:r>
      <w:r>
        <w:t>genetic</w:t>
      </w:r>
      <w:r w:rsidR="009974EF">
        <w:t xml:space="preserve"> </w:t>
      </w:r>
      <w:r>
        <w:t xml:space="preserve">counselling </w:t>
      </w:r>
      <w:r w:rsidR="009974EF">
        <w:t>is expected to be</w:t>
      </w:r>
      <w:r w:rsidR="003131BC">
        <w:t xml:space="preserve"> commenced prior to </w:t>
      </w:r>
      <w:r w:rsidR="002C7F85">
        <w:t>and following the availability of test results</w:t>
      </w:r>
      <w:r>
        <w:t>.</w:t>
      </w:r>
      <w:r w:rsidR="00495DF5">
        <w:rPr>
          <w:rStyle w:val="CommentReference"/>
        </w:rPr>
        <w:t xml:space="preserve"> </w:t>
      </w:r>
    </w:p>
    <w:p w14:paraId="3286044F"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A6012DB" w14:textId="5FA778F5" w:rsidR="00B17E26" w:rsidRPr="00154B00" w:rsidRDefault="00D0432C" w:rsidP="00884E69">
      <w:pPr>
        <w:ind w:left="426"/>
        <w:rPr>
          <w:szCs w:val="20"/>
        </w:rPr>
      </w:pPr>
      <w:r>
        <w:t>Testing to identify HRD status</w:t>
      </w:r>
      <w:r w:rsidR="00855448">
        <w:t xml:space="preserve">, results interpretation and reporting </w:t>
      </w:r>
      <w:r w:rsidR="00E5586A">
        <w:t>will be conducted molecular pathologists</w:t>
      </w:r>
      <w:r w:rsidR="00F10EC5">
        <w:t xml:space="preserve"> </w:t>
      </w:r>
      <w:r w:rsidR="008E7866">
        <w:t>from s</w:t>
      </w:r>
      <w:r w:rsidR="00E5586A">
        <w:t xml:space="preserve">pecialist laboratories </w:t>
      </w:r>
      <w:r w:rsidR="008E7866">
        <w:t xml:space="preserve">that are appropriately accredited and registered for this diagnostic testing procedure.  </w:t>
      </w:r>
    </w:p>
    <w:p w14:paraId="32C03254"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12578108" w14:textId="6D178EBD" w:rsidR="00B17E26" w:rsidRPr="00154B00" w:rsidRDefault="00042B53" w:rsidP="00884E69">
      <w:pPr>
        <w:ind w:left="426"/>
        <w:rPr>
          <w:szCs w:val="20"/>
        </w:rPr>
      </w:pPr>
      <w:r>
        <w:t>O</w:t>
      </w:r>
      <w:r w:rsidR="00133CEA">
        <w:t xml:space="preserve">nce HRD testing is MBS funded, </w:t>
      </w:r>
      <w:r>
        <w:t xml:space="preserve">it is expected that multiple </w:t>
      </w:r>
      <w:r w:rsidR="00046D40">
        <w:t xml:space="preserve">laboratories will have the capability to provide a timely service for patients.  </w:t>
      </w:r>
    </w:p>
    <w:p w14:paraId="41FDD271"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7C2A2064" w14:textId="77777777" w:rsidR="00233A4D" w:rsidRPr="00154B00" w:rsidRDefault="00233A4D" w:rsidP="00233A4D">
      <w:pPr>
        <w:ind w:left="426"/>
        <w:rPr>
          <w:szCs w:val="20"/>
        </w:rPr>
      </w:pPr>
      <w:r>
        <w:t xml:space="preserve">Testing for HRD status in patients with advanced ovarian cancer will be based on referral request from a special medical/gynae-oncologist.  </w:t>
      </w:r>
    </w:p>
    <w:p w14:paraId="44B972D8"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54E30DC" w14:textId="77777777" w:rsidR="00726463" w:rsidRPr="00154B00" w:rsidRDefault="00726463" w:rsidP="00726463">
      <w:pPr>
        <w:ind w:left="426"/>
        <w:rPr>
          <w:szCs w:val="20"/>
        </w:rPr>
      </w:pPr>
      <w:r>
        <w:t xml:space="preserve">Testing to identify HRD status, results interpretation and reporting will be conducted molecular pathologists from specialist laboratories that are appropriately accredited and registered for this diagnostic testing procedure.  </w:t>
      </w:r>
    </w:p>
    <w:p w14:paraId="5F0362C8" w14:textId="77777777" w:rsidR="00684BB1" w:rsidRDefault="00684BB1">
      <w:pPr>
        <w:spacing w:before="0" w:after="200" w:line="276" w:lineRule="auto"/>
        <w:rPr>
          <w:b/>
          <w:szCs w:val="20"/>
        </w:rPr>
      </w:pPr>
      <w:r>
        <w:br w:type="page"/>
      </w:r>
    </w:p>
    <w:p w14:paraId="1BA658E0" w14:textId="3A8A198F" w:rsidR="005F3F07" w:rsidRDefault="005C3AE7" w:rsidP="00530204">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57AC56E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098F9BD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655B37F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777FC26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Public outpatient clinic</w:t>
      </w:r>
    </w:p>
    <w:p w14:paraId="7B52771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t>Emergency Department</w:t>
      </w:r>
    </w:p>
    <w:p w14:paraId="25AF565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52902F3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Private consulting rooms – specialist</w:t>
      </w:r>
    </w:p>
    <w:p w14:paraId="0070CC4B"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Private consulting rooms – other health practitioner (nurse or allied health)</w:t>
      </w:r>
    </w:p>
    <w:p w14:paraId="025A154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54EE982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Private day surgery clinic (non-admitted patient)</w:t>
      </w:r>
    </w:p>
    <w:p w14:paraId="604F5229"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Public day surgery clinic (admitted patient)</w:t>
      </w:r>
    </w:p>
    <w:p w14:paraId="5E0FDF8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Public day surgery clinic (non-admitted patient)</w:t>
      </w:r>
    </w:p>
    <w:p w14:paraId="21FE7EA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t>Residential aged care facility</w:t>
      </w:r>
    </w:p>
    <w:p w14:paraId="3B4DB33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t>Patient’s home</w:t>
      </w:r>
    </w:p>
    <w:p w14:paraId="2EE244EA" w14:textId="2970F795" w:rsidR="000A478F" w:rsidRDefault="008F7DA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0A478F">
        <w:rPr>
          <w:szCs w:val="20"/>
        </w:rPr>
        <w:t xml:space="preserve"> </w:t>
      </w:r>
      <w:r w:rsidR="000A478F">
        <w:t>Laboratory</w:t>
      </w:r>
    </w:p>
    <w:p w14:paraId="397A945C"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B0A15">
        <w:rPr>
          <w:szCs w:val="20"/>
        </w:rPr>
      </w:r>
      <w:r w:rsidR="00FB0A15">
        <w:rPr>
          <w:szCs w:val="20"/>
        </w:rPr>
        <w:fldChar w:fldCharType="separate"/>
      </w:r>
      <w:r w:rsidRPr="000A5B32">
        <w:rPr>
          <w:szCs w:val="20"/>
        </w:rPr>
        <w:fldChar w:fldCharType="end"/>
      </w:r>
      <w:r>
        <w:rPr>
          <w:szCs w:val="20"/>
        </w:rPr>
        <w:t xml:space="preserve"> </w:t>
      </w:r>
      <w:r>
        <w:t>Other – please specify below</w:t>
      </w:r>
    </w:p>
    <w:p w14:paraId="70C6918F" w14:textId="77777777" w:rsidR="003433D1" w:rsidRPr="005C3AE7" w:rsidRDefault="00E048ED" w:rsidP="00930E95">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CCB0174" w14:textId="739F302E" w:rsidR="0073597B" w:rsidRDefault="006904E4" w:rsidP="0073597B">
      <w:pPr>
        <w:ind w:left="426"/>
        <w:rPr>
          <w:b/>
          <w:szCs w:val="20"/>
        </w:rPr>
      </w:pPr>
      <w:r>
        <w:t>Not applicable</w:t>
      </w:r>
    </w:p>
    <w:p w14:paraId="63038532" w14:textId="77777777" w:rsidR="003E30FB" w:rsidRDefault="003E30FB" w:rsidP="00530204">
      <w:pPr>
        <w:pStyle w:val="Heading2"/>
      </w:pPr>
      <w:r>
        <w:t xml:space="preserve">Is the </w:t>
      </w:r>
      <w:r w:rsidRPr="001B29A1">
        <w:t>proposed</w:t>
      </w:r>
      <w:r>
        <w:t xml:space="preserve"> medical service intended to be entirely rendered in Australia?</w:t>
      </w:r>
    </w:p>
    <w:p w14:paraId="1919C900" w14:textId="55731D7F" w:rsidR="000A478F" w:rsidRDefault="006904E4"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0A478F">
        <w:rPr>
          <w:szCs w:val="20"/>
        </w:rPr>
        <w:t xml:space="preserve"> Yes</w:t>
      </w:r>
    </w:p>
    <w:p w14:paraId="0D40C5D1"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382DEA14" w14:textId="77777777" w:rsidR="00E60529" w:rsidRPr="00881F93" w:rsidRDefault="005C3AE7" w:rsidP="00684BB1">
      <w:pPr>
        <w:pStyle w:val="Subtitle"/>
        <w:ind w:left="0"/>
      </w:pPr>
      <w:r>
        <w:t xml:space="preserve">PART 6c – </w:t>
      </w:r>
      <w:r w:rsidR="00E60529" w:rsidRPr="00881F93">
        <w:t>INFORMATION ABOUT THE COMPARATOR</w:t>
      </w:r>
      <w:r w:rsidR="00A83EC6" w:rsidRPr="00881F93">
        <w:t>(S)</w:t>
      </w:r>
    </w:p>
    <w:p w14:paraId="5479BFFB" w14:textId="3E0AE7BF" w:rsidR="00E60529" w:rsidRPr="00154B00" w:rsidRDefault="00A83EC6" w:rsidP="00530204">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64C08AA" w14:textId="78517B34" w:rsidR="005416E9" w:rsidRDefault="001A16D7" w:rsidP="001B29A1">
      <w:pPr>
        <w:ind w:left="426"/>
      </w:pPr>
      <w:r>
        <w:t>The test and drug c</w:t>
      </w:r>
      <w:r w:rsidR="005416E9">
        <w:t xml:space="preserve">omparators nominated </w:t>
      </w:r>
      <w:r w:rsidR="00EE27C7">
        <w:t xml:space="preserve">in this application </w:t>
      </w:r>
      <w:r w:rsidR="005416E9">
        <w:t xml:space="preserve">are </w:t>
      </w:r>
      <w:r w:rsidR="00AE37D4">
        <w:t xml:space="preserve">summarised in the </w:t>
      </w:r>
      <w:r w:rsidR="000236CD">
        <w:fldChar w:fldCharType="begin"/>
      </w:r>
      <w:r w:rsidR="000236CD">
        <w:instrText xml:space="preserve"> REF _Ref103868454 \h </w:instrText>
      </w:r>
      <w:r w:rsidR="000236CD">
        <w:fldChar w:fldCharType="separate"/>
      </w:r>
      <w:r w:rsidR="00FB0A15" w:rsidRPr="001758E2">
        <w:rPr>
          <w:rFonts w:cstheme="minorHAnsi"/>
          <w:szCs w:val="20"/>
        </w:rPr>
        <w:t xml:space="preserve">Table </w:t>
      </w:r>
      <w:r w:rsidR="00FB0A15">
        <w:rPr>
          <w:rFonts w:cstheme="minorHAnsi"/>
          <w:noProof/>
          <w:szCs w:val="20"/>
        </w:rPr>
        <w:t>6</w:t>
      </w:r>
      <w:r w:rsidR="000236CD">
        <w:fldChar w:fldCharType="end"/>
      </w:r>
      <w:r w:rsidR="00933B8B">
        <w:t xml:space="preserve">.  The comparators were </w:t>
      </w:r>
      <w:r w:rsidR="00A5192C">
        <w:t xml:space="preserve">informed by the </w:t>
      </w:r>
      <w:r w:rsidR="0061035C">
        <w:t xml:space="preserve">PASC’s consideration </w:t>
      </w:r>
      <w:r w:rsidR="00A5192C">
        <w:t>from</w:t>
      </w:r>
      <w:r w:rsidR="0061035C">
        <w:t xml:space="preserve"> the August 2021 meeting</w:t>
      </w:r>
      <w:r w:rsidR="00022F2E">
        <w:t xml:space="preserve"> (p24</w:t>
      </w:r>
      <w:r w:rsidR="000E151A">
        <w:t>-26</w:t>
      </w:r>
      <w:r w:rsidR="00022F2E">
        <w:t>, Ratified PICO Confirmation - Application 1658)</w:t>
      </w:r>
      <w:r w:rsidR="007B01D8">
        <w:t xml:space="preserve"> </w:t>
      </w:r>
      <w:r w:rsidR="00B6321A">
        <w:t>and adapted according to</w:t>
      </w:r>
      <w:r w:rsidR="007B01D8">
        <w:t xml:space="preserve"> </w:t>
      </w:r>
      <w:r w:rsidR="00B6321A">
        <w:t>the c</w:t>
      </w:r>
      <w:r w:rsidR="007B01D8">
        <w:t>ircumstances applicable to niraparib</w:t>
      </w:r>
      <w:r w:rsidR="00B6321A">
        <w:t xml:space="preserve"> (primary treatment pathway).  A</w:t>
      </w:r>
      <w:r w:rsidR="000E151A">
        <w:t xml:space="preserve">n </w:t>
      </w:r>
      <w:r w:rsidR="00A5192C">
        <w:t xml:space="preserve">extended discussion </w:t>
      </w:r>
      <w:r w:rsidR="00B6321A">
        <w:t xml:space="preserve">regarding the comparators is </w:t>
      </w:r>
      <w:r w:rsidR="00A5192C">
        <w:t>presented below.</w:t>
      </w:r>
    </w:p>
    <w:p w14:paraId="0C8B661E" w14:textId="724DB710" w:rsidR="000236CD" w:rsidRPr="001758E2" w:rsidRDefault="000236CD" w:rsidP="00684BB1">
      <w:pPr>
        <w:pStyle w:val="Caption"/>
        <w:ind w:firstLine="426"/>
        <w:rPr>
          <w:rFonts w:asciiTheme="minorHAnsi" w:hAnsiTheme="minorHAnsi" w:cstheme="minorHAnsi"/>
          <w:sz w:val="20"/>
          <w:szCs w:val="20"/>
        </w:rPr>
      </w:pPr>
      <w:bookmarkStart w:id="15" w:name="_Ref103868454"/>
      <w:r w:rsidRPr="001758E2">
        <w:rPr>
          <w:rFonts w:asciiTheme="minorHAnsi" w:hAnsiTheme="minorHAnsi" w:cstheme="minorHAnsi"/>
          <w:sz w:val="20"/>
          <w:szCs w:val="20"/>
        </w:rPr>
        <w:t xml:space="preserve">Table </w:t>
      </w:r>
      <w:r w:rsidRPr="001758E2">
        <w:rPr>
          <w:rFonts w:asciiTheme="minorHAnsi" w:hAnsiTheme="minorHAnsi" w:cstheme="minorHAnsi"/>
          <w:sz w:val="20"/>
          <w:szCs w:val="20"/>
        </w:rPr>
        <w:fldChar w:fldCharType="begin"/>
      </w:r>
      <w:r w:rsidRPr="001758E2">
        <w:rPr>
          <w:rFonts w:asciiTheme="minorHAnsi" w:hAnsiTheme="minorHAnsi" w:cstheme="minorHAnsi"/>
          <w:sz w:val="20"/>
          <w:szCs w:val="20"/>
        </w:rPr>
        <w:instrText xml:space="preserve"> SEQ Table \* ARABIC </w:instrText>
      </w:r>
      <w:r w:rsidRPr="001758E2">
        <w:rPr>
          <w:rFonts w:asciiTheme="minorHAnsi" w:hAnsiTheme="minorHAnsi" w:cstheme="minorHAnsi"/>
          <w:sz w:val="20"/>
          <w:szCs w:val="20"/>
        </w:rPr>
        <w:fldChar w:fldCharType="separate"/>
      </w:r>
      <w:r w:rsidR="00FB0A15">
        <w:rPr>
          <w:rFonts w:asciiTheme="minorHAnsi" w:hAnsiTheme="minorHAnsi" w:cstheme="minorHAnsi"/>
          <w:noProof/>
          <w:sz w:val="20"/>
          <w:szCs w:val="20"/>
        </w:rPr>
        <w:t>6</w:t>
      </w:r>
      <w:r w:rsidRPr="001758E2">
        <w:rPr>
          <w:rFonts w:asciiTheme="minorHAnsi" w:hAnsiTheme="minorHAnsi" w:cstheme="minorHAnsi"/>
          <w:sz w:val="20"/>
          <w:szCs w:val="20"/>
        </w:rPr>
        <w:fldChar w:fldCharType="end"/>
      </w:r>
      <w:bookmarkEnd w:id="15"/>
      <w:r>
        <w:rPr>
          <w:rFonts w:asciiTheme="minorHAnsi" w:hAnsiTheme="minorHAnsi" w:cstheme="minorHAnsi"/>
          <w:sz w:val="20"/>
          <w:szCs w:val="20"/>
        </w:rPr>
        <w:t xml:space="preserve">: Overview of comparators </w:t>
      </w:r>
      <w:r w:rsidR="00D52310">
        <w:rPr>
          <w:rFonts w:asciiTheme="minorHAnsi" w:hAnsiTheme="minorHAnsi" w:cstheme="minorHAnsi"/>
          <w:sz w:val="20"/>
          <w:szCs w:val="20"/>
        </w:rPr>
        <w:t xml:space="preserve">and applicability to the treatment algorithm </w:t>
      </w:r>
    </w:p>
    <w:tbl>
      <w:tblPr>
        <w:tblStyle w:val="TableGrid"/>
        <w:tblW w:w="0" w:type="auto"/>
        <w:tblInd w:w="421" w:type="dxa"/>
        <w:tblCellMar>
          <w:left w:w="28" w:type="dxa"/>
          <w:right w:w="28" w:type="dxa"/>
        </w:tblCellMar>
        <w:tblLook w:val="04A0" w:firstRow="1" w:lastRow="0" w:firstColumn="1" w:lastColumn="0" w:noHBand="0" w:noVBand="1"/>
      </w:tblPr>
      <w:tblGrid>
        <w:gridCol w:w="1275"/>
        <w:gridCol w:w="1560"/>
        <w:gridCol w:w="1417"/>
        <w:gridCol w:w="4343"/>
      </w:tblGrid>
      <w:tr w:rsidR="0034630F" w:rsidRPr="00AE37D4" w14:paraId="6F919A3C" w14:textId="77777777" w:rsidTr="00684BB1">
        <w:tc>
          <w:tcPr>
            <w:tcW w:w="4252" w:type="dxa"/>
            <w:gridSpan w:val="3"/>
            <w:shd w:val="clear" w:color="auto" w:fill="D9D9D9" w:themeFill="background1" w:themeFillShade="D9"/>
            <w:vAlign w:val="center"/>
          </w:tcPr>
          <w:p w14:paraId="6B59533F" w14:textId="0A0BEC79" w:rsidR="00AE37D4" w:rsidRPr="00AE37D4" w:rsidRDefault="00AE37D4" w:rsidP="00AE37D4">
            <w:pPr>
              <w:spacing w:before="0" w:after="0"/>
              <w:rPr>
                <w:b/>
                <w:bCs/>
              </w:rPr>
            </w:pPr>
            <w:bookmarkStart w:id="16" w:name="_Hlk104825823"/>
            <w:r w:rsidRPr="00AE37D4">
              <w:rPr>
                <w:b/>
                <w:bCs/>
              </w:rPr>
              <w:t>Population circumstance</w:t>
            </w:r>
            <w:r w:rsidR="00D87BD3">
              <w:rPr>
                <w:b/>
                <w:bCs/>
              </w:rPr>
              <w:t xml:space="preserve"> (NDA HGEOC)</w:t>
            </w:r>
          </w:p>
        </w:tc>
        <w:tc>
          <w:tcPr>
            <w:tcW w:w="4343" w:type="dxa"/>
            <w:shd w:val="clear" w:color="auto" w:fill="D9D9D9" w:themeFill="background1" w:themeFillShade="D9"/>
            <w:vAlign w:val="center"/>
          </w:tcPr>
          <w:p w14:paraId="5CDB9936" w14:textId="443E8240" w:rsidR="00AE37D4" w:rsidRPr="00AE37D4" w:rsidRDefault="00AE37D4" w:rsidP="00AE37D4">
            <w:pPr>
              <w:spacing w:before="0" w:after="0"/>
              <w:jc w:val="center"/>
              <w:rPr>
                <w:b/>
                <w:bCs/>
              </w:rPr>
            </w:pPr>
            <w:r w:rsidRPr="00AE37D4">
              <w:rPr>
                <w:b/>
                <w:bCs/>
              </w:rPr>
              <w:t>Comparator</w:t>
            </w:r>
          </w:p>
        </w:tc>
      </w:tr>
      <w:tr w:rsidR="006568D0" w14:paraId="76C71469" w14:textId="77777777" w:rsidTr="00684BB1">
        <w:tc>
          <w:tcPr>
            <w:tcW w:w="1275" w:type="dxa"/>
            <w:vMerge w:val="restart"/>
            <w:vAlign w:val="center"/>
          </w:tcPr>
          <w:p w14:paraId="3FD6E609" w14:textId="46410B3C" w:rsidR="006568D0" w:rsidRDefault="006568D0" w:rsidP="00AE37D4">
            <w:pPr>
              <w:spacing w:before="0" w:after="0"/>
            </w:pPr>
            <w:r>
              <w:t>Test</w:t>
            </w:r>
          </w:p>
        </w:tc>
        <w:tc>
          <w:tcPr>
            <w:tcW w:w="1560" w:type="dxa"/>
            <w:vMerge w:val="restart"/>
            <w:vAlign w:val="center"/>
          </w:tcPr>
          <w:p w14:paraId="4238401D" w14:textId="1FB62FD6" w:rsidR="006568D0" w:rsidRDefault="006568D0" w:rsidP="00612D0C">
            <w:pPr>
              <w:spacing w:before="0" w:after="0"/>
              <w:jc w:val="center"/>
            </w:pPr>
            <w:r>
              <w:t>At diagnosis</w:t>
            </w:r>
          </w:p>
        </w:tc>
        <w:tc>
          <w:tcPr>
            <w:tcW w:w="1417" w:type="dxa"/>
            <w:vAlign w:val="center"/>
          </w:tcPr>
          <w:p w14:paraId="3243B306" w14:textId="745A144D" w:rsidR="006568D0" w:rsidRDefault="006568D0" w:rsidP="00612D0C">
            <w:pPr>
              <w:spacing w:before="0" w:after="0"/>
              <w:jc w:val="center"/>
            </w:pPr>
            <w:r>
              <w:t>Population #1</w:t>
            </w:r>
          </w:p>
        </w:tc>
        <w:tc>
          <w:tcPr>
            <w:tcW w:w="4343" w:type="dxa"/>
            <w:vAlign w:val="center"/>
          </w:tcPr>
          <w:p w14:paraId="6A37B928" w14:textId="135FD6CD" w:rsidR="006568D0" w:rsidRDefault="006568D0" w:rsidP="00AE37D4">
            <w:pPr>
              <w:spacing w:before="0" w:after="0"/>
              <w:jc w:val="center"/>
            </w:pPr>
            <w:r>
              <w:t>Parallel: Tumour BRCA1 or BRCA2 testing</w:t>
            </w:r>
          </w:p>
        </w:tc>
      </w:tr>
      <w:tr w:rsidR="006568D0" w14:paraId="20B57BC2" w14:textId="77777777" w:rsidTr="00684BB1">
        <w:tc>
          <w:tcPr>
            <w:tcW w:w="1275" w:type="dxa"/>
            <w:vMerge/>
            <w:vAlign w:val="center"/>
          </w:tcPr>
          <w:p w14:paraId="562D56A0" w14:textId="77777777" w:rsidR="006568D0" w:rsidRDefault="006568D0" w:rsidP="00AE37D4">
            <w:pPr>
              <w:spacing w:before="0" w:after="0"/>
            </w:pPr>
          </w:p>
        </w:tc>
        <w:tc>
          <w:tcPr>
            <w:tcW w:w="1560" w:type="dxa"/>
            <w:vMerge/>
            <w:vAlign w:val="center"/>
          </w:tcPr>
          <w:p w14:paraId="3EC16D14" w14:textId="77777777" w:rsidR="006568D0" w:rsidRDefault="006568D0" w:rsidP="00612D0C">
            <w:pPr>
              <w:spacing w:before="0" w:after="0"/>
              <w:jc w:val="center"/>
            </w:pPr>
          </w:p>
        </w:tc>
        <w:tc>
          <w:tcPr>
            <w:tcW w:w="1417" w:type="dxa"/>
            <w:vAlign w:val="center"/>
          </w:tcPr>
          <w:p w14:paraId="2461273F" w14:textId="25CEBAE6" w:rsidR="006568D0" w:rsidRDefault="006568D0" w:rsidP="00612D0C">
            <w:pPr>
              <w:spacing w:before="0" w:after="0"/>
              <w:jc w:val="center"/>
            </w:pPr>
            <w:r>
              <w:t>Population #2</w:t>
            </w:r>
          </w:p>
        </w:tc>
        <w:tc>
          <w:tcPr>
            <w:tcW w:w="4343" w:type="dxa"/>
            <w:vAlign w:val="center"/>
          </w:tcPr>
          <w:p w14:paraId="3E2B5DAD" w14:textId="70573893" w:rsidR="006568D0" w:rsidRDefault="006568D0" w:rsidP="00AE37D4">
            <w:pPr>
              <w:spacing w:before="0" w:after="0"/>
              <w:jc w:val="center"/>
            </w:pPr>
            <w:r>
              <w:t>Sequential: No Test</w:t>
            </w:r>
          </w:p>
        </w:tc>
      </w:tr>
      <w:tr w:rsidR="001817B0" w14:paraId="4A356CC2" w14:textId="77777777" w:rsidTr="00684BB1">
        <w:tc>
          <w:tcPr>
            <w:tcW w:w="1275" w:type="dxa"/>
            <w:vMerge/>
            <w:vAlign w:val="center"/>
          </w:tcPr>
          <w:p w14:paraId="682A2C10" w14:textId="77777777" w:rsidR="001817B0" w:rsidRDefault="001817B0" w:rsidP="00612D0C">
            <w:pPr>
              <w:spacing w:before="0" w:after="0"/>
            </w:pPr>
          </w:p>
        </w:tc>
        <w:tc>
          <w:tcPr>
            <w:tcW w:w="1560" w:type="dxa"/>
            <w:vMerge w:val="restart"/>
            <w:vAlign w:val="center"/>
          </w:tcPr>
          <w:p w14:paraId="02CDAD2E" w14:textId="68BC76B5" w:rsidR="001817B0" w:rsidRDefault="001817B0" w:rsidP="00612D0C">
            <w:pPr>
              <w:spacing w:before="0" w:after="0"/>
              <w:jc w:val="center"/>
            </w:pPr>
            <w:r>
              <w:t>At time of primary chemotherapy</w:t>
            </w:r>
          </w:p>
        </w:tc>
        <w:tc>
          <w:tcPr>
            <w:tcW w:w="1417" w:type="dxa"/>
            <w:vMerge w:val="restart"/>
            <w:vAlign w:val="center"/>
          </w:tcPr>
          <w:p w14:paraId="34E9526E" w14:textId="718BCFD2" w:rsidR="001817B0" w:rsidRDefault="001817B0" w:rsidP="001817B0">
            <w:pPr>
              <w:spacing w:before="0" w:after="0"/>
              <w:jc w:val="center"/>
            </w:pPr>
            <w:r>
              <w:t>Population #3</w:t>
            </w:r>
          </w:p>
        </w:tc>
        <w:tc>
          <w:tcPr>
            <w:tcW w:w="4343" w:type="dxa"/>
            <w:vAlign w:val="center"/>
          </w:tcPr>
          <w:p w14:paraId="760C2006" w14:textId="7C638404" w:rsidR="001817B0" w:rsidRDefault="001817B0" w:rsidP="006568D0">
            <w:pPr>
              <w:spacing w:before="0" w:after="0"/>
              <w:jc w:val="center"/>
            </w:pPr>
            <w:r>
              <w:t xml:space="preserve">#3a: Parallel: Tumour BRCA1 or BRCA2 testing </w:t>
            </w:r>
          </w:p>
        </w:tc>
      </w:tr>
      <w:tr w:rsidR="001817B0" w14:paraId="79899441" w14:textId="77777777" w:rsidTr="00684BB1">
        <w:tc>
          <w:tcPr>
            <w:tcW w:w="1275" w:type="dxa"/>
            <w:vMerge/>
            <w:vAlign w:val="center"/>
          </w:tcPr>
          <w:p w14:paraId="202D1C29" w14:textId="77777777" w:rsidR="001817B0" w:rsidRDefault="001817B0" w:rsidP="00612D0C">
            <w:pPr>
              <w:spacing w:before="0" w:after="0"/>
            </w:pPr>
          </w:p>
        </w:tc>
        <w:tc>
          <w:tcPr>
            <w:tcW w:w="1560" w:type="dxa"/>
            <w:vMerge/>
            <w:vAlign w:val="center"/>
          </w:tcPr>
          <w:p w14:paraId="7D9E027E" w14:textId="77777777" w:rsidR="001817B0" w:rsidRDefault="001817B0" w:rsidP="00612D0C">
            <w:pPr>
              <w:spacing w:before="0" w:after="0"/>
              <w:jc w:val="center"/>
            </w:pPr>
          </w:p>
        </w:tc>
        <w:tc>
          <w:tcPr>
            <w:tcW w:w="1417" w:type="dxa"/>
            <w:vMerge/>
            <w:vAlign w:val="center"/>
          </w:tcPr>
          <w:p w14:paraId="31D2A56B" w14:textId="21BDF56B" w:rsidR="001817B0" w:rsidRDefault="001817B0" w:rsidP="00612D0C">
            <w:pPr>
              <w:spacing w:before="0" w:after="0"/>
              <w:jc w:val="center"/>
            </w:pPr>
          </w:p>
        </w:tc>
        <w:tc>
          <w:tcPr>
            <w:tcW w:w="4343" w:type="dxa"/>
            <w:vAlign w:val="center"/>
          </w:tcPr>
          <w:p w14:paraId="7920C745" w14:textId="040AFFF1" w:rsidR="001817B0" w:rsidRDefault="001817B0" w:rsidP="00612D0C">
            <w:pPr>
              <w:spacing w:before="0" w:after="0"/>
              <w:jc w:val="center"/>
            </w:pPr>
            <w:r>
              <w:t>#3b: Sequential: No Test</w:t>
            </w:r>
          </w:p>
        </w:tc>
      </w:tr>
      <w:tr w:rsidR="00612D0C" w14:paraId="2595B0B9" w14:textId="77777777" w:rsidTr="00684BB1">
        <w:tc>
          <w:tcPr>
            <w:tcW w:w="1275" w:type="dxa"/>
            <w:vMerge w:val="restart"/>
            <w:vAlign w:val="center"/>
          </w:tcPr>
          <w:p w14:paraId="38383A18" w14:textId="7EF94F64" w:rsidR="00612D0C" w:rsidRDefault="00612D0C" w:rsidP="00612D0C">
            <w:pPr>
              <w:spacing w:before="0" w:after="0"/>
            </w:pPr>
            <w:r>
              <w:t>Primary Treatment</w:t>
            </w:r>
            <w:r w:rsidR="00D87BD3">
              <w:t>:</w:t>
            </w:r>
            <w:r w:rsidR="00732FE7">
              <w:t xml:space="preserve"> non-</w:t>
            </w:r>
            <w:proofErr w:type="spellStart"/>
            <w:r w:rsidR="00732FE7">
              <w:t>BRCAm</w:t>
            </w:r>
            <w:proofErr w:type="spellEnd"/>
            <w:r w:rsidR="00732FE7">
              <w:t xml:space="preserve"> HRD</w:t>
            </w:r>
          </w:p>
        </w:tc>
        <w:tc>
          <w:tcPr>
            <w:tcW w:w="2977" w:type="dxa"/>
            <w:gridSpan w:val="2"/>
            <w:vAlign w:val="center"/>
          </w:tcPr>
          <w:p w14:paraId="60197259" w14:textId="1347DDCE" w:rsidR="00612D0C" w:rsidRDefault="009B3D00" w:rsidP="00612D0C">
            <w:pPr>
              <w:spacing w:before="0" w:after="0"/>
              <w:jc w:val="center"/>
            </w:pPr>
            <w:r>
              <w:t xml:space="preserve">Platinum Based </w:t>
            </w:r>
            <w:r w:rsidR="00612D0C">
              <w:t>Chemotherapy</w:t>
            </w:r>
          </w:p>
        </w:tc>
        <w:tc>
          <w:tcPr>
            <w:tcW w:w="4343" w:type="dxa"/>
            <w:vAlign w:val="center"/>
          </w:tcPr>
          <w:p w14:paraId="4B44B30C" w14:textId="7CE2BC52" w:rsidR="00612D0C" w:rsidRDefault="00612D0C" w:rsidP="00612D0C">
            <w:pPr>
              <w:spacing w:before="0" w:after="0"/>
              <w:jc w:val="center"/>
            </w:pPr>
            <w:r>
              <w:t>Main comparator: Standard Medical Management</w:t>
            </w:r>
          </w:p>
        </w:tc>
      </w:tr>
      <w:tr w:rsidR="00612D0C" w14:paraId="2A26C68E" w14:textId="77777777" w:rsidTr="00684BB1">
        <w:tc>
          <w:tcPr>
            <w:tcW w:w="1275" w:type="dxa"/>
            <w:vMerge/>
            <w:vAlign w:val="center"/>
          </w:tcPr>
          <w:p w14:paraId="7B5B87A0" w14:textId="77777777" w:rsidR="00612D0C" w:rsidRDefault="00612D0C" w:rsidP="00612D0C">
            <w:pPr>
              <w:spacing w:before="0" w:after="0"/>
            </w:pPr>
          </w:p>
        </w:tc>
        <w:tc>
          <w:tcPr>
            <w:tcW w:w="2977" w:type="dxa"/>
            <w:gridSpan w:val="2"/>
            <w:vAlign w:val="center"/>
          </w:tcPr>
          <w:p w14:paraId="016F04A8" w14:textId="70498806" w:rsidR="00612D0C" w:rsidRDefault="009B3D00" w:rsidP="00612D0C">
            <w:pPr>
              <w:spacing w:before="0" w:after="0"/>
              <w:jc w:val="center"/>
            </w:pPr>
            <w:r>
              <w:t xml:space="preserve">Platinum Based </w:t>
            </w:r>
            <w:r w:rsidR="00612D0C">
              <w:t>Chemotherapy &amp; Bevacizumab</w:t>
            </w:r>
          </w:p>
        </w:tc>
        <w:tc>
          <w:tcPr>
            <w:tcW w:w="4343" w:type="dxa"/>
            <w:vAlign w:val="center"/>
          </w:tcPr>
          <w:p w14:paraId="175B1879" w14:textId="77777777" w:rsidR="00612D0C" w:rsidRDefault="00612D0C" w:rsidP="00612D0C">
            <w:pPr>
              <w:spacing w:before="0" w:after="0"/>
              <w:jc w:val="center"/>
            </w:pPr>
            <w:r>
              <w:t>Near market comparator: Olaparib &amp; Bevacizumab</w:t>
            </w:r>
            <w:r w:rsidR="00C969A0">
              <w:t xml:space="preserve"> maintenance</w:t>
            </w:r>
          </w:p>
          <w:p w14:paraId="1B125A81" w14:textId="22D05B21" w:rsidR="00EE2100" w:rsidRDefault="00EE2100" w:rsidP="00EE2100">
            <w:pPr>
              <w:spacing w:before="0" w:after="0"/>
              <w:jc w:val="center"/>
            </w:pPr>
            <w:r>
              <w:t>Qualitative comparator: Bevacizumab maintenance</w:t>
            </w:r>
          </w:p>
        </w:tc>
      </w:tr>
    </w:tbl>
    <w:bookmarkEnd w:id="16"/>
    <w:p w14:paraId="5EACE0FC" w14:textId="77777777" w:rsidR="005319A9" w:rsidRDefault="00EE27C7" w:rsidP="00EE27C7">
      <w:pPr>
        <w:ind w:firstLine="360"/>
        <w:rPr>
          <w:b/>
          <w:bCs/>
          <w:u w:val="single"/>
        </w:rPr>
      </w:pPr>
      <w:r w:rsidRPr="00EE27C7">
        <w:rPr>
          <w:b/>
          <w:bCs/>
          <w:u w:val="single"/>
        </w:rPr>
        <w:t>Test:</w:t>
      </w:r>
    </w:p>
    <w:p w14:paraId="64E45918" w14:textId="37982E1F" w:rsidR="00343B38" w:rsidRDefault="008C0A94" w:rsidP="00343B38">
      <w:pPr>
        <w:ind w:left="360"/>
      </w:pPr>
      <w:r>
        <w:t>T</w:t>
      </w:r>
      <w:r w:rsidRPr="008C0A94">
        <w:t>est</w:t>
      </w:r>
      <w:r>
        <w:t>ing</w:t>
      </w:r>
      <w:r w:rsidRPr="008C0A94">
        <w:t xml:space="preserve"> of tumour tissue from a patient with advanced (FIGO III-IV), high-grade serous or high-grade epithelial ovarian, fallopian tube or primary peritoneal cancer, requested by a specialist or consultant physician, to determine eligibility relating to BRCA status for access to </w:t>
      </w:r>
      <w:proofErr w:type="spellStart"/>
      <w:r w:rsidR="0024636E">
        <w:t>PARPi</w:t>
      </w:r>
      <w:proofErr w:type="spellEnd"/>
      <w:r w:rsidR="0024636E">
        <w:t xml:space="preserve"> monotherapy on the PBS (</w:t>
      </w:r>
      <w:proofErr w:type="gramStart"/>
      <w:r w:rsidR="0024636E">
        <w:t>i.e.</w:t>
      </w:r>
      <w:proofErr w:type="gramEnd"/>
      <w:r w:rsidR="0024636E">
        <w:t xml:space="preserve"> </w:t>
      </w:r>
      <w:proofErr w:type="spellStart"/>
      <w:r w:rsidR="0024636E">
        <w:t>olaparib</w:t>
      </w:r>
      <w:proofErr w:type="spellEnd"/>
      <w:r w:rsidR="0024636E">
        <w:t xml:space="preserve">, niraparib – PBS listing pending) is currently funded under MBS item 73301.  </w:t>
      </w:r>
      <w:r w:rsidR="000817C3">
        <w:t>As per the populations under consideration for HRD testing, the relevant comparators for testing are as follows:</w:t>
      </w:r>
    </w:p>
    <w:p w14:paraId="518CD009" w14:textId="6CDF8E54" w:rsidR="00CB409D" w:rsidRPr="00AE37D4" w:rsidRDefault="000817C3" w:rsidP="00930E95">
      <w:pPr>
        <w:pStyle w:val="ListParagraph"/>
        <w:numPr>
          <w:ilvl w:val="0"/>
          <w:numId w:val="24"/>
        </w:numPr>
        <w:rPr>
          <w:b/>
          <w:bCs/>
          <w:u w:val="single"/>
        </w:rPr>
      </w:pPr>
      <w:bookmarkStart w:id="17" w:name="_Hlk110930239"/>
      <w:r w:rsidRPr="00AE37D4">
        <w:rPr>
          <w:b/>
          <w:bCs/>
          <w:u w:val="single"/>
        </w:rPr>
        <w:lastRenderedPageBreak/>
        <w:t>Population</w:t>
      </w:r>
      <w:r w:rsidR="00CB409D" w:rsidRPr="00AE37D4">
        <w:rPr>
          <w:b/>
          <w:bCs/>
          <w:u w:val="single"/>
        </w:rPr>
        <w:t xml:space="preserve"> #</w:t>
      </w:r>
      <w:r w:rsidRPr="00AE37D4">
        <w:rPr>
          <w:b/>
          <w:bCs/>
          <w:u w:val="single"/>
        </w:rPr>
        <w:t>1</w:t>
      </w:r>
      <w:r w:rsidR="00AE37D4">
        <w:rPr>
          <w:b/>
          <w:bCs/>
          <w:u w:val="single"/>
        </w:rPr>
        <w:t>:</w:t>
      </w:r>
      <w:r w:rsidR="00CB409D" w:rsidRPr="00AE37D4">
        <w:rPr>
          <w:b/>
          <w:bCs/>
          <w:u w:val="single"/>
        </w:rPr>
        <w:t xml:space="preserve"> Tumour BRCA or BRCA2 testing</w:t>
      </w:r>
      <w:r w:rsidR="00CB409D">
        <w:t xml:space="preserve"> </w:t>
      </w:r>
    </w:p>
    <w:p w14:paraId="3AEAE736" w14:textId="02116BD7" w:rsidR="000817C3" w:rsidRDefault="000817C3" w:rsidP="00930E95">
      <w:pPr>
        <w:pStyle w:val="ListParagraph"/>
        <w:numPr>
          <w:ilvl w:val="0"/>
          <w:numId w:val="24"/>
        </w:numPr>
      </w:pPr>
      <w:r w:rsidRPr="00AE37D4">
        <w:rPr>
          <w:b/>
          <w:bCs/>
          <w:u w:val="single"/>
        </w:rPr>
        <w:t>Population #2</w:t>
      </w:r>
      <w:r w:rsidR="00AE37D4">
        <w:rPr>
          <w:b/>
          <w:bCs/>
          <w:u w:val="single"/>
        </w:rPr>
        <w:t xml:space="preserve">: </w:t>
      </w:r>
      <w:r w:rsidRPr="00AE37D4">
        <w:rPr>
          <w:b/>
          <w:bCs/>
          <w:u w:val="single"/>
        </w:rPr>
        <w:t>No test:</w:t>
      </w:r>
      <w:r>
        <w:t xml:space="preserve"> patients will continue to receive BRCA testing, but for those identified to be non-</w:t>
      </w:r>
      <w:proofErr w:type="spellStart"/>
      <w:r>
        <w:t>BRCAm</w:t>
      </w:r>
      <w:proofErr w:type="spellEnd"/>
      <w:r>
        <w:t xml:space="preserve">, additional analyses will occur to determine GIS and HRD status.   </w:t>
      </w:r>
    </w:p>
    <w:p w14:paraId="55550D45" w14:textId="68C7F5DA" w:rsidR="000817C3" w:rsidRPr="00AE37D4" w:rsidRDefault="000817C3" w:rsidP="00930E95">
      <w:pPr>
        <w:pStyle w:val="ListParagraph"/>
        <w:numPr>
          <w:ilvl w:val="0"/>
          <w:numId w:val="24"/>
        </w:numPr>
        <w:rPr>
          <w:b/>
          <w:bCs/>
          <w:u w:val="single"/>
        </w:rPr>
      </w:pPr>
      <w:r w:rsidRPr="00AE37D4">
        <w:rPr>
          <w:b/>
          <w:bCs/>
          <w:u w:val="single"/>
        </w:rPr>
        <w:t>Population #3</w:t>
      </w:r>
    </w:p>
    <w:p w14:paraId="27579F99" w14:textId="09A00478" w:rsidR="000D29B7" w:rsidRDefault="000D29B7" w:rsidP="00930E95">
      <w:pPr>
        <w:pStyle w:val="ListParagraph"/>
        <w:numPr>
          <w:ilvl w:val="1"/>
          <w:numId w:val="24"/>
        </w:numPr>
      </w:pPr>
      <w:r>
        <w:rPr>
          <w:u w:val="single"/>
        </w:rPr>
        <w:t xml:space="preserve">3a. </w:t>
      </w:r>
      <w:r w:rsidRPr="00AE37D4">
        <w:rPr>
          <w:u w:val="single"/>
        </w:rPr>
        <w:t>Tumour BRCA 1 or BRCA2 testing:</w:t>
      </w:r>
      <w:r>
        <w:t xml:space="preserve"> HRD testing to determine GIS and BRCA status at time of primary therapy</w:t>
      </w:r>
    </w:p>
    <w:p w14:paraId="50ACA661" w14:textId="4179506C" w:rsidR="004F00EB" w:rsidRDefault="00344486" w:rsidP="008C0A94">
      <w:pPr>
        <w:ind w:left="360"/>
        <w:rPr>
          <w:b/>
          <w:bCs/>
          <w:u w:val="single"/>
        </w:rPr>
      </w:pPr>
      <w:r>
        <w:rPr>
          <w:u w:val="single"/>
        </w:rPr>
        <w:t xml:space="preserve">3b. </w:t>
      </w:r>
      <w:r w:rsidRPr="00AE37D4">
        <w:rPr>
          <w:u w:val="single"/>
        </w:rPr>
        <w:t>No test:</w:t>
      </w:r>
      <w:r>
        <w:t xml:space="preserve"> GIS testing at time of primary therapy for non-</w:t>
      </w:r>
      <w:proofErr w:type="spellStart"/>
      <w:r>
        <w:t>BRCAm</w:t>
      </w:r>
      <w:proofErr w:type="spellEnd"/>
      <w:r>
        <w:t xml:space="preserve"> identified patients at </w:t>
      </w:r>
      <w:proofErr w:type="spellStart"/>
      <w:r>
        <w:t>diagnosis</w:t>
      </w:r>
      <w:bookmarkEnd w:id="17"/>
      <w:r w:rsidR="001B3CFB">
        <w:rPr>
          <w:b/>
          <w:bCs/>
          <w:u w:val="single"/>
        </w:rPr>
        <w:t>Maintenance</w:t>
      </w:r>
      <w:proofErr w:type="spellEnd"/>
      <w:r w:rsidR="001B3CFB">
        <w:rPr>
          <w:b/>
          <w:bCs/>
          <w:u w:val="single"/>
        </w:rPr>
        <w:t xml:space="preserve"> Therapy</w:t>
      </w:r>
      <w:r w:rsidR="004F00EB" w:rsidRPr="004F00EB">
        <w:rPr>
          <w:b/>
          <w:bCs/>
          <w:u w:val="single"/>
        </w:rPr>
        <w:t xml:space="preserve">: </w:t>
      </w:r>
      <w:r w:rsidR="005319A9">
        <w:rPr>
          <w:b/>
          <w:bCs/>
          <w:u w:val="single"/>
        </w:rPr>
        <w:t>Non-</w:t>
      </w:r>
      <w:proofErr w:type="spellStart"/>
      <w:r w:rsidR="005319A9">
        <w:rPr>
          <w:b/>
          <w:bCs/>
          <w:u w:val="single"/>
        </w:rPr>
        <w:t>BRCAm</w:t>
      </w:r>
      <w:proofErr w:type="spellEnd"/>
      <w:r w:rsidR="005319A9">
        <w:rPr>
          <w:b/>
          <w:bCs/>
          <w:u w:val="single"/>
        </w:rPr>
        <w:t xml:space="preserve"> </w:t>
      </w:r>
      <w:r w:rsidR="00F4034B">
        <w:rPr>
          <w:b/>
          <w:bCs/>
          <w:u w:val="single"/>
        </w:rPr>
        <w:t>cohort</w:t>
      </w:r>
    </w:p>
    <w:p w14:paraId="36BD46F6" w14:textId="4CD14E27" w:rsidR="00AA6629" w:rsidRDefault="00D53303" w:rsidP="008C0A94">
      <w:pPr>
        <w:ind w:left="360"/>
      </w:pPr>
      <w:r>
        <w:t>T</w:t>
      </w:r>
      <w:r w:rsidR="00AA6629" w:rsidRPr="00AA6629">
        <w:t xml:space="preserve">he evidence base for </w:t>
      </w:r>
      <w:proofErr w:type="spellStart"/>
      <w:r w:rsidR="00AA6629" w:rsidRPr="00AA6629">
        <w:t>PARPi</w:t>
      </w:r>
      <w:proofErr w:type="spellEnd"/>
      <w:r w:rsidR="00AA6629" w:rsidRPr="00AA6629">
        <w:t xml:space="preserve"> monotherapy in 1L maintenance setting supports their use in a population that received chemotherapy as primary treatment only (without bevacizumab)</w:t>
      </w:r>
      <w:r w:rsidR="00BB2023">
        <w:t xml:space="preserve">.  With respect to niraparib, </w:t>
      </w:r>
      <w:r w:rsidR="00BB2023" w:rsidRPr="00BB2023">
        <w:t xml:space="preserve">the pivotal trial (PRIMA) population </w:t>
      </w:r>
      <w:r w:rsidR="00BB2023">
        <w:t>c</w:t>
      </w:r>
      <w:r w:rsidR="00BB2023" w:rsidRPr="00BB2023">
        <w:t>onsisted almost exclusively of patient</w:t>
      </w:r>
      <w:r w:rsidR="00BB2023">
        <w:t>s</w:t>
      </w:r>
      <w:r w:rsidR="00BB2023" w:rsidRPr="00BB2023">
        <w:t xml:space="preserve"> </w:t>
      </w:r>
      <w:r w:rsidR="00BB2023">
        <w:t xml:space="preserve">(99%) </w:t>
      </w:r>
      <w:r w:rsidR="00BB2023" w:rsidRPr="00BB2023">
        <w:t>pre-treated with chemotherapy only and utilisation is expected to be consistent with the clinical evidence</w:t>
      </w:r>
      <w:r w:rsidR="00BB2023">
        <w:t>.  Consequently, t</w:t>
      </w:r>
      <w:r w:rsidR="00BB2023" w:rsidRPr="00BB2023">
        <w:t xml:space="preserve">he rationale for niraparib to substitute for bevacizumab </w:t>
      </w:r>
      <w:r w:rsidR="00BB2023">
        <w:t>pre-treated patients</w:t>
      </w:r>
      <w:r w:rsidR="000236CD">
        <w:t xml:space="preserve"> and therefore bevacizumab or combination Olaparib and bevacizumab as maintenance therapy</w:t>
      </w:r>
      <w:r w:rsidR="00BB2023">
        <w:t xml:space="preserve"> is</w:t>
      </w:r>
      <w:r w:rsidR="00BB2023" w:rsidRPr="00BB2023">
        <w:t xml:space="preserve"> limited. </w:t>
      </w:r>
      <w:r w:rsidR="00AA6629" w:rsidRPr="00AA6629">
        <w:t xml:space="preserve"> </w:t>
      </w:r>
      <w:r w:rsidR="001B3CFB">
        <w:t>Noting the above observations, t</w:t>
      </w:r>
      <w:r w:rsidR="00AA6629" w:rsidRPr="00AA6629">
        <w:t xml:space="preserve">he comparators are considered in the context of a 1L maintenance population distinguished </w:t>
      </w:r>
      <w:proofErr w:type="gramStart"/>
      <w:r w:rsidR="00AA6629" w:rsidRPr="00AA6629">
        <w:t>on the basis of</w:t>
      </w:r>
      <w:proofErr w:type="gramEnd"/>
      <w:r w:rsidR="00AA6629" w:rsidRPr="00AA6629">
        <w:t xml:space="preserve"> primary treatment received (chemotherapy or chemotherapy and bevacizumab) </w:t>
      </w:r>
      <w:r w:rsidR="00AA6629">
        <w:t>in the non-</w:t>
      </w:r>
      <w:proofErr w:type="spellStart"/>
      <w:r w:rsidR="00AA6629">
        <w:t>BRCAm</w:t>
      </w:r>
      <w:proofErr w:type="spellEnd"/>
      <w:r w:rsidR="00AA6629">
        <w:t xml:space="preserve"> cohort</w:t>
      </w:r>
      <w:r w:rsidR="009D2DBA">
        <w:t xml:space="preserve"> </w:t>
      </w:r>
      <w:r w:rsidR="008F6EA4">
        <w:t>(</w:t>
      </w:r>
      <w:r w:rsidR="00237F50">
        <w:t>proposed population</w:t>
      </w:r>
      <w:r w:rsidR="008F6EA4">
        <w:t xml:space="preserve">: </w:t>
      </w:r>
      <w:r w:rsidR="009D2DBA">
        <w:t>refer to Question 23)</w:t>
      </w:r>
      <w:r w:rsidR="00AA6629">
        <w:t xml:space="preserve">.  </w:t>
      </w:r>
    </w:p>
    <w:p w14:paraId="6750D253" w14:textId="1974C5BA" w:rsidR="004F00EB" w:rsidRDefault="0004147F" w:rsidP="008C0A94">
      <w:pPr>
        <w:ind w:left="360"/>
        <w:rPr>
          <w:b/>
          <w:bCs/>
          <w:u w:val="single"/>
        </w:rPr>
      </w:pPr>
      <w:r>
        <w:rPr>
          <w:b/>
          <w:bCs/>
          <w:u w:val="single"/>
        </w:rPr>
        <w:t>CR/PR following primary treatment with chemotherapy only</w:t>
      </w:r>
      <w:r w:rsidR="005319A9">
        <w:rPr>
          <w:b/>
          <w:bCs/>
          <w:u w:val="single"/>
        </w:rPr>
        <w:t>: Standard Medical Management</w:t>
      </w:r>
      <w:r w:rsidR="00A4799F">
        <w:rPr>
          <w:b/>
          <w:bCs/>
          <w:u w:val="single"/>
        </w:rPr>
        <w:t xml:space="preserve"> </w:t>
      </w:r>
    </w:p>
    <w:p w14:paraId="51AF6911" w14:textId="49AF364D" w:rsidR="009D0216" w:rsidRDefault="000A7FAE" w:rsidP="00B6321A">
      <w:pPr>
        <w:pStyle w:val="ListParagraph"/>
        <w:ind w:left="360"/>
      </w:pPr>
      <w:r>
        <w:t xml:space="preserve">Current standard medical management is active surveillance, which involves ongoing follow-up primarily informed by </w:t>
      </w:r>
      <w:r w:rsidRPr="00684D99">
        <w:t>thorough review of symptoms</w:t>
      </w:r>
      <w:r>
        <w:t xml:space="preserve"> and </w:t>
      </w:r>
      <w:r w:rsidRPr="00684D99">
        <w:t xml:space="preserve">physical examination </w:t>
      </w:r>
      <w:r>
        <w:t>(</w:t>
      </w:r>
      <w:r w:rsidRPr="00684D99">
        <w:t>bimanual pelvic and rectovaginal examination</w:t>
      </w:r>
      <w:r>
        <w:t>) at frequent intervals (every 2-4 months for 2 years, then 3-6 months for 3 years, then annually thereafter).  Radiographic imaging (PET/CT scan, MRI) and CA 125 testing is utilised if recurrence is suspected or clinically indicated (</w:t>
      </w:r>
      <w:proofErr w:type="spellStart"/>
      <w:r>
        <w:t>Salani</w:t>
      </w:r>
      <w:proofErr w:type="spellEnd"/>
      <w:r>
        <w:t xml:space="preserve"> 2017, NCCN 2022)</w:t>
      </w:r>
    </w:p>
    <w:p w14:paraId="4BFF14B7" w14:textId="0B6A0449" w:rsidR="005319A9" w:rsidRPr="004851AC" w:rsidRDefault="00303D67" w:rsidP="008C0A94">
      <w:pPr>
        <w:ind w:left="360"/>
        <w:rPr>
          <w:b/>
          <w:bCs/>
          <w:u w:val="single"/>
        </w:rPr>
      </w:pPr>
      <w:r w:rsidRPr="004851AC">
        <w:rPr>
          <w:b/>
          <w:bCs/>
          <w:u w:val="single"/>
        </w:rPr>
        <w:t>CR/PR following primary treatment with chemotherapy and bevacizumab: Bevacizumab</w:t>
      </w:r>
      <w:r w:rsidR="004851AC" w:rsidRPr="004851AC">
        <w:rPr>
          <w:b/>
          <w:bCs/>
          <w:u w:val="single"/>
        </w:rPr>
        <w:t>, Olaparib and Bevacizumab</w:t>
      </w:r>
    </w:p>
    <w:p w14:paraId="761248E4" w14:textId="3FEEF8D9" w:rsidR="00313AA3" w:rsidRDefault="006B40D5" w:rsidP="001B3DE4">
      <w:pPr>
        <w:pStyle w:val="ListParagraph"/>
        <w:ind w:left="360"/>
      </w:pPr>
      <w:r w:rsidRPr="00821AAA">
        <w:t>Bevacizumab is a</w:t>
      </w:r>
      <w:r>
        <w:t xml:space="preserve">n anti-vascular epithelial growth factor (anti-VEGF) monoclonal antibody </w:t>
      </w:r>
      <w:r w:rsidRPr="00821AAA">
        <w:t>that has been listed on the PBS since August 2014</w:t>
      </w:r>
      <w:r>
        <w:t xml:space="preserve"> (March 2014 recommendation).  While PBS listing was changed to an unrestricted listing in June 2021, </w:t>
      </w:r>
      <w:r w:rsidR="002734D2">
        <w:t>the PBAC has previously considered that</w:t>
      </w:r>
      <w:r w:rsidR="005246F7">
        <w:t xml:space="preserve"> few HGEOC patients currently utilise bevacizumab (Niraparib March 2022 </w:t>
      </w:r>
      <w:r w:rsidR="004345F3">
        <w:t>PSD</w:t>
      </w:r>
      <w:r w:rsidR="005246F7">
        <w:t>, Paragraph 7.10)</w:t>
      </w:r>
      <w:r w:rsidR="000F37B1">
        <w:t xml:space="preserve">, with the ESC citing poor tolerability and limited effectiveness (Niraparib March 2022 </w:t>
      </w:r>
      <w:r w:rsidR="00D41AFA">
        <w:t>PSD</w:t>
      </w:r>
      <w:r w:rsidR="000F37B1">
        <w:t>, Paragraph 5.</w:t>
      </w:r>
      <w:r w:rsidR="00D41AFA">
        <w:t>1</w:t>
      </w:r>
      <w:r w:rsidR="00F83826">
        <w:t xml:space="preserve">).  Noting major </w:t>
      </w:r>
      <w:r w:rsidR="00B42856">
        <w:t>transitivity</w:t>
      </w:r>
      <w:r w:rsidR="00F83826">
        <w:t xml:space="preserve"> issues that prevented a reliable quantifica</w:t>
      </w:r>
      <w:r w:rsidR="009C339E">
        <w:t xml:space="preserve">tion of the comparative effectiveness between niraparib and bevacizumab, the ESC and </w:t>
      </w:r>
      <w:r w:rsidR="00672A98">
        <w:t>PBAC considered that it was reasonable that this did not form the basis for an assessment of cost-effectiveness (</w:t>
      </w:r>
      <w:r w:rsidR="0064030B">
        <w:t xml:space="preserve">Niraparib March 2022 </w:t>
      </w:r>
      <w:r w:rsidR="0002724D">
        <w:t>PSD</w:t>
      </w:r>
      <w:r w:rsidR="0064030B">
        <w:t xml:space="preserve">, </w:t>
      </w:r>
      <w:r w:rsidR="00672A98">
        <w:t>paragraph 6.6</w:t>
      </w:r>
      <w:r w:rsidR="009A341C">
        <w:t xml:space="preserve">, </w:t>
      </w:r>
      <w:r w:rsidR="0064030B">
        <w:t xml:space="preserve">7.10) with </w:t>
      </w:r>
      <w:r w:rsidR="00B42856">
        <w:t xml:space="preserve">the clinical evaluation limited to a qualitative comparison.  </w:t>
      </w:r>
    </w:p>
    <w:p w14:paraId="6DC56E18" w14:textId="03199EDD" w:rsidR="004851AC" w:rsidRPr="005319A9" w:rsidRDefault="002C0A5A" w:rsidP="008C0A94">
      <w:pPr>
        <w:ind w:left="360"/>
      </w:pPr>
      <w:r>
        <w:t>O</w:t>
      </w:r>
      <w:r w:rsidR="001A4DFE">
        <w:t xml:space="preserve">laparib and bevacizumab </w:t>
      </w:r>
      <w:r w:rsidR="00CA67CD">
        <w:t>is a near</w:t>
      </w:r>
      <w:r w:rsidR="000236CD">
        <w:t xml:space="preserve"> market</w:t>
      </w:r>
      <w:r w:rsidR="00CA67CD">
        <w:t xml:space="preserve"> comparator, being </w:t>
      </w:r>
      <w:r w:rsidR="001A4DFE">
        <w:t xml:space="preserve">TGA approved on 10 March 2021 for the maintenance treatment of adult patients with advanced HGEOC who are in complete or partial response to PBC and whose cancer is associated with HRD positive status.  </w:t>
      </w:r>
      <w:r w:rsidR="00C75D60">
        <w:t xml:space="preserve">Following two PASC considerations (April 2021, August 2021), </w:t>
      </w:r>
      <w:r w:rsidR="00BD4FC6">
        <w:t xml:space="preserve">the combination is being considered by the PBAC and MSAC at the July 2022 meeting as maintenance therapy </w:t>
      </w:r>
      <w:r w:rsidR="00D33629">
        <w:t xml:space="preserve">for HGEOC </w:t>
      </w:r>
      <w:r w:rsidR="00BD4FC6">
        <w:t xml:space="preserve">in the </w:t>
      </w:r>
      <w:r w:rsidR="00EF0753">
        <w:t>non-</w:t>
      </w:r>
      <w:proofErr w:type="spellStart"/>
      <w:r w:rsidR="00EF0753">
        <w:t>BRCAm</w:t>
      </w:r>
      <w:proofErr w:type="spellEnd"/>
      <w:r w:rsidR="00EF0753">
        <w:t xml:space="preserve"> HRD population.  </w:t>
      </w:r>
      <w:r w:rsidR="000236CD">
        <w:t xml:space="preserve">The population representing the pivotal evidence for </w:t>
      </w:r>
      <w:proofErr w:type="gramStart"/>
      <w:r w:rsidR="000236CD">
        <w:t>Olaparib</w:t>
      </w:r>
      <w:proofErr w:type="gramEnd"/>
      <w:r w:rsidR="000236CD">
        <w:t xml:space="preserve"> and bevacizumab (PAOLA-1) was solely based on a bevacizumab pre-treated population, representing a separate treatment pathway to </w:t>
      </w:r>
      <w:proofErr w:type="spellStart"/>
      <w:r w:rsidR="000236CD">
        <w:t>PARPi</w:t>
      </w:r>
      <w:proofErr w:type="spellEnd"/>
      <w:r w:rsidR="000236CD">
        <w:t xml:space="preserve"> monotherapy (</w:t>
      </w:r>
      <w:proofErr w:type="spellStart"/>
      <w:r w:rsidR="000236CD">
        <w:t>olaparib</w:t>
      </w:r>
      <w:proofErr w:type="spellEnd"/>
      <w:r w:rsidR="000236CD">
        <w:t xml:space="preserve">, niraparib) that derives from patients that had only received chemotherapy.  </w:t>
      </w:r>
    </w:p>
    <w:p w14:paraId="30D7C7A7"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611331B9" w14:textId="4B21DF5A" w:rsidR="006A1038" w:rsidRDefault="00C96973"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r w:rsidR="009D6CE7">
        <w:rPr>
          <w:szCs w:val="20"/>
        </w:rPr>
        <w:t xml:space="preserve"> – </w:t>
      </w:r>
      <w:proofErr w:type="gramStart"/>
      <w:r w:rsidR="009D6CE7">
        <w:rPr>
          <w:szCs w:val="20"/>
        </w:rPr>
        <w:t>note:</w:t>
      </w:r>
      <w:proofErr w:type="gramEnd"/>
      <w:r w:rsidR="009D6CE7">
        <w:rPr>
          <w:szCs w:val="20"/>
        </w:rPr>
        <w:t xml:space="preserve"> applicable to Population #1 </w:t>
      </w:r>
      <w:r w:rsidR="00816D40">
        <w:rPr>
          <w:szCs w:val="20"/>
        </w:rPr>
        <w:t xml:space="preserve">(test at diagnosis) </w:t>
      </w:r>
      <w:r w:rsidR="009D6CE7">
        <w:rPr>
          <w:szCs w:val="20"/>
        </w:rPr>
        <w:t xml:space="preserve">and </w:t>
      </w:r>
      <w:r w:rsidR="00816D40">
        <w:rPr>
          <w:szCs w:val="20"/>
        </w:rPr>
        <w:t xml:space="preserve">population </w:t>
      </w:r>
      <w:r w:rsidR="009D6CE7">
        <w:rPr>
          <w:szCs w:val="20"/>
        </w:rPr>
        <w:t>#3</w:t>
      </w:r>
      <w:r w:rsidR="007C7691">
        <w:rPr>
          <w:szCs w:val="20"/>
        </w:rPr>
        <w:t>b</w:t>
      </w:r>
      <w:r w:rsidR="002922B5">
        <w:rPr>
          <w:szCs w:val="20"/>
        </w:rPr>
        <w:t xml:space="preserve"> </w:t>
      </w:r>
      <w:r w:rsidR="00816D40">
        <w:rPr>
          <w:szCs w:val="20"/>
        </w:rPr>
        <w:t xml:space="preserve">(test </w:t>
      </w:r>
      <w:r w:rsidR="00343B38">
        <w:rPr>
          <w:szCs w:val="20"/>
        </w:rPr>
        <w:t>for patients that receive</w:t>
      </w:r>
      <w:r w:rsidR="00816D40">
        <w:rPr>
          <w:szCs w:val="20"/>
        </w:rPr>
        <w:t xml:space="preserve"> </w:t>
      </w:r>
      <w:r w:rsidR="00612D0C">
        <w:rPr>
          <w:szCs w:val="20"/>
        </w:rPr>
        <w:t xml:space="preserve">primary </w:t>
      </w:r>
      <w:r w:rsidR="00343B38">
        <w:rPr>
          <w:szCs w:val="20"/>
        </w:rPr>
        <w:t>PBC</w:t>
      </w:r>
      <w:r w:rsidR="00612D0C">
        <w:rPr>
          <w:szCs w:val="20"/>
        </w:rPr>
        <w:t xml:space="preserve">) </w:t>
      </w:r>
      <w:r w:rsidR="002922B5">
        <w:rPr>
          <w:szCs w:val="20"/>
        </w:rPr>
        <w:t xml:space="preserve">where </w:t>
      </w:r>
      <w:r w:rsidR="00DD37E7">
        <w:rPr>
          <w:szCs w:val="20"/>
        </w:rPr>
        <w:t>parallel testing of BRCA and GIS via the HRD test will replace BRCA testing</w:t>
      </w:r>
      <w:r w:rsidR="00612D0C">
        <w:rPr>
          <w:szCs w:val="20"/>
        </w:rPr>
        <w:t xml:space="preserve"> at diagnosis</w:t>
      </w:r>
    </w:p>
    <w:p w14:paraId="3867812A"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B0A15">
        <w:rPr>
          <w:szCs w:val="20"/>
        </w:rPr>
      </w:r>
      <w:r w:rsidR="00FB0A15">
        <w:rPr>
          <w:szCs w:val="20"/>
        </w:rPr>
        <w:fldChar w:fldCharType="separate"/>
      </w:r>
      <w:r w:rsidRPr="00753C44">
        <w:rPr>
          <w:szCs w:val="20"/>
        </w:rPr>
        <w:fldChar w:fldCharType="end"/>
      </w:r>
      <w:r>
        <w:rPr>
          <w:szCs w:val="20"/>
        </w:rPr>
        <w:t xml:space="preserve"> No  </w:t>
      </w:r>
    </w:p>
    <w:p w14:paraId="75D304DE" w14:textId="38DAB9C5" w:rsidR="000159B9" w:rsidRPr="00154B00" w:rsidRDefault="009D6CE7" w:rsidP="001B29A1">
      <w:pPr>
        <w:ind w:left="426"/>
        <w:rPr>
          <w:szCs w:val="20"/>
        </w:rPr>
      </w:pPr>
      <w:r>
        <w:t>MBS Item Numbers</w:t>
      </w:r>
      <w:r w:rsidR="001C7711">
        <w:t>: 73295, 73296, 73301</w:t>
      </w:r>
    </w:p>
    <w:p w14:paraId="6CD458FA" w14:textId="77777777" w:rsidR="00684BB1" w:rsidRDefault="00684BB1">
      <w:pPr>
        <w:spacing w:before="0" w:after="200" w:line="276" w:lineRule="auto"/>
        <w:rPr>
          <w:b/>
          <w:szCs w:val="20"/>
        </w:rPr>
      </w:pPr>
      <w:r>
        <w:br w:type="page"/>
      </w:r>
    </w:p>
    <w:p w14:paraId="3B6EA5F8" w14:textId="29665C38" w:rsidR="00A83EC6" w:rsidRPr="00154B00" w:rsidRDefault="005C3AE7" w:rsidP="00530204">
      <w:pPr>
        <w:pStyle w:val="Heading2"/>
      </w:pPr>
      <w:r>
        <w:lastRenderedPageBreak/>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1EE1F589" w14:textId="54242A31" w:rsidR="001B29A1" w:rsidRDefault="00D3699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1B29A1">
        <w:rPr>
          <w:szCs w:val="20"/>
        </w:rPr>
        <w:t xml:space="preserve"> </w:t>
      </w:r>
      <w:r w:rsidR="00282BE8">
        <w:rPr>
          <w:szCs w:val="20"/>
        </w:rPr>
        <w:t>In addition to (</w:t>
      </w:r>
      <w:proofErr w:type="gramStart"/>
      <w:r w:rsidR="00282BE8">
        <w:rPr>
          <w:szCs w:val="20"/>
        </w:rPr>
        <w:t>i.e.</w:t>
      </w:r>
      <w:proofErr w:type="gramEnd"/>
      <w:r w:rsidR="00282BE8">
        <w:rPr>
          <w:szCs w:val="20"/>
        </w:rPr>
        <w:t xml:space="preserve"> it is an add-on service)</w:t>
      </w:r>
      <w:r w:rsidR="001B29A1">
        <w:rPr>
          <w:szCs w:val="20"/>
        </w:rPr>
        <w:t xml:space="preserve"> </w:t>
      </w:r>
      <w:r w:rsidR="003B5A70">
        <w:rPr>
          <w:szCs w:val="20"/>
        </w:rPr>
        <w:t xml:space="preserve">- </w:t>
      </w:r>
      <w:r w:rsidR="003B5A70" w:rsidRPr="003B5A70">
        <w:rPr>
          <w:szCs w:val="20"/>
        </w:rPr>
        <w:t>Testing for GIS to occur sequentially following a non-</w:t>
      </w:r>
      <w:proofErr w:type="spellStart"/>
      <w:r w:rsidR="003B5A70" w:rsidRPr="003B5A70">
        <w:rPr>
          <w:szCs w:val="20"/>
        </w:rPr>
        <w:t>BRCAm</w:t>
      </w:r>
      <w:proofErr w:type="spellEnd"/>
      <w:r w:rsidR="003B5A70" w:rsidRPr="003B5A70">
        <w:rPr>
          <w:szCs w:val="20"/>
        </w:rPr>
        <w:t xml:space="preserve"> test result</w:t>
      </w:r>
      <w:r w:rsidR="007F69A4">
        <w:rPr>
          <w:szCs w:val="20"/>
        </w:rPr>
        <w:t xml:space="preserve"> </w:t>
      </w:r>
      <w:r w:rsidR="006C4056">
        <w:rPr>
          <w:szCs w:val="20"/>
        </w:rPr>
        <w:t>(applicable to Population #2 and #3a)</w:t>
      </w:r>
    </w:p>
    <w:p w14:paraId="0F9861A7" w14:textId="77777777" w:rsidR="003B5A70" w:rsidRDefault="003B5A70" w:rsidP="001B29A1">
      <w:pPr>
        <w:spacing w:before="0" w:after="0"/>
        <w:ind w:left="426"/>
        <w:rPr>
          <w:szCs w:val="20"/>
        </w:rPr>
      </w:pPr>
    </w:p>
    <w:p w14:paraId="5D954576" w14:textId="01680979" w:rsidR="001B29A1" w:rsidRDefault="00D3699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B0A15">
        <w:rPr>
          <w:szCs w:val="20"/>
        </w:rPr>
      </w:r>
      <w:r w:rsidR="00FB0A15">
        <w:rPr>
          <w:szCs w:val="20"/>
        </w:rPr>
        <w:fldChar w:fldCharType="separate"/>
      </w:r>
      <w:r>
        <w:rPr>
          <w:szCs w:val="20"/>
        </w:rPr>
        <w:fldChar w:fldCharType="end"/>
      </w:r>
      <w:r w:rsidR="001B29A1">
        <w:rPr>
          <w:szCs w:val="20"/>
        </w:rPr>
        <w:t xml:space="preserve"> </w:t>
      </w:r>
      <w:r w:rsidR="00282BE8">
        <w:rPr>
          <w:szCs w:val="20"/>
        </w:rPr>
        <w:t>Instead of (</w:t>
      </w:r>
      <w:proofErr w:type="gramStart"/>
      <w:r w:rsidR="00282BE8">
        <w:rPr>
          <w:szCs w:val="20"/>
        </w:rPr>
        <w:t>i.e.</w:t>
      </w:r>
      <w:proofErr w:type="gramEnd"/>
      <w:r w:rsidR="00282BE8">
        <w:rPr>
          <w:szCs w:val="20"/>
        </w:rPr>
        <w:t xml:space="preserve"> it is a replacement or alternative)</w:t>
      </w:r>
      <w:r w:rsidR="003B5A70">
        <w:rPr>
          <w:szCs w:val="20"/>
        </w:rPr>
        <w:t xml:space="preserve"> - </w:t>
      </w:r>
      <w:r w:rsidR="003B5A70" w:rsidRPr="003B5A70">
        <w:rPr>
          <w:szCs w:val="20"/>
        </w:rPr>
        <w:t>- HRD testing for BRCA1/2 variant and GIS in parallel</w:t>
      </w:r>
      <w:r w:rsidR="00224375">
        <w:rPr>
          <w:szCs w:val="20"/>
        </w:rPr>
        <w:t xml:space="preserve"> (applicable to Population #1 and #3b)</w:t>
      </w:r>
    </w:p>
    <w:p w14:paraId="42969EA7" w14:textId="77777777" w:rsidR="00E70D86" w:rsidRPr="00154B00" w:rsidRDefault="00095B45" w:rsidP="00930E95">
      <w:pPr>
        <w:pStyle w:val="Heading2"/>
        <w:numPr>
          <w:ilvl w:val="0"/>
          <w:numId w:val="9"/>
        </w:numPr>
      </w:pPr>
      <w:r w:rsidRPr="00095B45">
        <w:t>If yes, please outline the extent to which the current service/comparator is expected to be substituted</w:t>
      </w:r>
    </w:p>
    <w:p w14:paraId="27513DE4" w14:textId="3767323C" w:rsidR="003433D1" w:rsidRPr="001B29A1" w:rsidRDefault="00300306" w:rsidP="001B29A1">
      <w:pPr>
        <w:ind w:left="426"/>
        <w:rPr>
          <w:szCs w:val="20"/>
        </w:rPr>
      </w:pPr>
      <w:r>
        <w:t xml:space="preserve">With respect to Population #1 and #3a, </w:t>
      </w:r>
      <w:r w:rsidR="009825C9">
        <w:t>o</w:t>
      </w:r>
      <w:r w:rsidR="006D1632">
        <w:t>f</w:t>
      </w:r>
      <w:r w:rsidR="00AD1F65">
        <w:t xml:space="preserve"> patients </w:t>
      </w:r>
      <w:r w:rsidR="006D1632">
        <w:t xml:space="preserve">that </w:t>
      </w:r>
      <w:r w:rsidR="007D3D00">
        <w:t>can</w:t>
      </w:r>
      <w:r w:rsidR="006D1632">
        <w:t xml:space="preserve"> </w:t>
      </w:r>
      <w:r w:rsidR="00AD1F65">
        <w:t>provide a tumour sample for testing</w:t>
      </w:r>
      <w:r w:rsidR="006D1632">
        <w:t xml:space="preserve"> (95%), </w:t>
      </w:r>
      <w:r w:rsidR="009A3B71">
        <w:t xml:space="preserve">HRD testing </w:t>
      </w:r>
      <w:r w:rsidR="007D3D00">
        <w:t>is</w:t>
      </w:r>
      <w:r w:rsidR="009A3B71">
        <w:t xml:space="preserve"> expected to entirely substitute for BRCA testing.  </w:t>
      </w:r>
      <w:r w:rsidR="007D3D00">
        <w:t xml:space="preserve">The remaining patients (5%) will continue to access germline </w:t>
      </w:r>
      <w:r w:rsidR="00883814">
        <w:t>B</w:t>
      </w:r>
      <w:r w:rsidR="007D3D00">
        <w:t xml:space="preserve">RCA testing.  </w:t>
      </w:r>
    </w:p>
    <w:p w14:paraId="53B724F8" w14:textId="77777777" w:rsidR="00DF0D47" w:rsidRPr="00881F93" w:rsidRDefault="00095B45" w:rsidP="00684BB1">
      <w:pPr>
        <w:pStyle w:val="Subtitle"/>
        <w:ind w:left="0"/>
      </w:pPr>
      <w:r w:rsidRPr="00095B45">
        <w:t xml:space="preserve">PART 6c </w:t>
      </w:r>
      <w:proofErr w:type="gramStart"/>
      <w:r w:rsidRPr="00095B45">
        <w:t>CONTINUED  –</w:t>
      </w:r>
      <w:proofErr w:type="gramEnd"/>
      <w:r w:rsidRPr="00095B45">
        <w:t xml:space="preserve"> INFORMATION ABOUT ALGORITHMS (CLINICAL MANAGEMENT PATHWAYS)</w:t>
      </w:r>
      <w:r w:rsidR="008D1A4B">
        <w:t>s</w:t>
      </w:r>
    </w:p>
    <w:p w14:paraId="34122D23" w14:textId="7A06BF4D"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537AF5E9" w14:textId="77777777" w:rsidR="00FB0A15" w:rsidRPr="00FB0A15" w:rsidRDefault="00895A0F" w:rsidP="00095B45">
      <w:pPr>
        <w:pStyle w:val="ListParagraph"/>
        <w:ind w:left="360"/>
        <w:rPr>
          <w:rFonts w:cstheme="minorHAnsi"/>
          <w:szCs w:val="20"/>
        </w:rPr>
      </w:pPr>
      <w:r w:rsidRPr="00A43597">
        <w:t>The current clinical management algorithm for the</w:t>
      </w:r>
      <w:r w:rsidR="00FF53EC" w:rsidRPr="00A43597">
        <w:t xml:space="preserve"> treatment of NDA HGEOC is presented </w:t>
      </w:r>
      <w:r w:rsidR="00A43597" w:rsidRPr="00A43597">
        <w:t xml:space="preserve">in </w:t>
      </w:r>
      <w:r w:rsidR="00A43597" w:rsidRPr="00A43597">
        <w:fldChar w:fldCharType="begin"/>
      </w:r>
      <w:r w:rsidR="00A43597" w:rsidRPr="00A43597">
        <w:instrText xml:space="preserve"> REF _Ref103950990 \h  \* MERGEFORMAT </w:instrText>
      </w:r>
      <w:r w:rsidR="00A43597" w:rsidRPr="00A43597">
        <w:fldChar w:fldCharType="separate"/>
      </w:r>
    </w:p>
    <w:p w14:paraId="7158EF68" w14:textId="2FC37A4E" w:rsidR="003108E3" w:rsidRDefault="00FB0A15" w:rsidP="006D1E9C">
      <w:pPr>
        <w:pStyle w:val="ListParagraph"/>
        <w:ind w:left="360"/>
      </w:pPr>
      <w:r w:rsidRPr="00FB0A15">
        <w:rPr>
          <w:rFonts w:cstheme="minorHAnsi"/>
          <w:szCs w:val="20"/>
        </w:rPr>
        <w:t>Figure</w:t>
      </w:r>
      <w:r w:rsidRPr="00FB0A15">
        <w:rPr>
          <w:rFonts w:cstheme="minorHAnsi"/>
          <w:noProof/>
          <w:szCs w:val="20"/>
        </w:rPr>
        <w:t xml:space="preserve"> </w:t>
      </w:r>
      <w:r>
        <w:rPr>
          <w:rFonts w:cstheme="minorHAnsi"/>
          <w:b/>
          <w:bCs/>
          <w:noProof/>
          <w:szCs w:val="20"/>
        </w:rPr>
        <w:t>3</w:t>
      </w:r>
      <w:r w:rsidR="00A43597" w:rsidRPr="00A43597">
        <w:fldChar w:fldCharType="end"/>
      </w:r>
      <w:r w:rsidR="00A43597" w:rsidRPr="00A43597">
        <w:t xml:space="preserve">.  </w:t>
      </w:r>
      <w:r w:rsidR="00145712" w:rsidRPr="00145712">
        <w:t>In the absence of relevant updated Australian guidelines, the clinical management algorithm is modelled according to established international guidelines from the American Society of Clinical Oncology (ASCO, Tew 2020), National Comprehensive Cancer Network (NCCN 2022), the European Society of Medical Oncology (ESMO; Ledermann 2013; Updated July 2021) and the ESMO-European Society of Gynaecology (ESGO) 2019 consensus recommendations on ovarian cancer (Colombo 2019), acknowledging treatment circumstances applicable to the Australian setting (</w:t>
      </w:r>
      <w:proofErr w:type="spellStart"/>
      <w:r w:rsidR="00145712" w:rsidRPr="00145712">
        <w:t>eviQ</w:t>
      </w:r>
      <w:proofErr w:type="spellEnd"/>
      <w:r w:rsidR="00145712" w:rsidRPr="00145712">
        <w:t xml:space="preserve"> guidelines, MBS, PBS Schedule).  </w:t>
      </w:r>
    </w:p>
    <w:p w14:paraId="6E4E9F46" w14:textId="77777777" w:rsidR="00684BB1" w:rsidRDefault="00684BB1" w:rsidP="00095B45">
      <w:pPr>
        <w:pStyle w:val="ListParagraph"/>
        <w:ind w:left="360"/>
        <w:rPr>
          <w:rFonts w:cstheme="minorHAnsi"/>
          <w:b/>
          <w:bCs/>
          <w:szCs w:val="20"/>
        </w:rPr>
      </w:pPr>
      <w:bookmarkStart w:id="18" w:name="_Ref103950990"/>
    </w:p>
    <w:p w14:paraId="41A2F6CE" w14:textId="293CE255" w:rsidR="00704DE1" w:rsidRPr="00704DE1" w:rsidRDefault="00704DE1" w:rsidP="00095B45">
      <w:pPr>
        <w:pStyle w:val="ListParagraph"/>
        <w:ind w:left="360"/>
        <w:rPr>
          <w:b/>
          <w:bCs/>
        </w:rPr>
      </w:pPr>
      <w:r w:rsidRPr="00704DE1">
        <w:rPr>
          <w:rFonts w:cstheme="minorHAnsi"/>
          <w:b/>
          <w:bCs/>
          <w:szCs w:val="20"/>
        </w:rPr>
        <w:t xml:space="preserve">Figure </w:t>
      </w:r>
      <w:r w:rsidRPr="00704DE1">
        <w:rPr>
          <w:rFonts w:cstheme="minorHAnsi"/>
          <w:b/>
          <w:bCs/>
          <w:szCs w:val="20"/>
        </w:rPr>
        <w:fldChar w:fldCharType="begin"/>
      </w:r>
      <w:r w:rsidRPr="00704DE1">
        <w:rPr>
          <w:rFonts w:cstheme="minorHAnsi"/>
          <w:b/>
          <w:bCs/>
          <w:szCs w:val="20"/>
        </w:rPr>
        <w:instrText xml:space="preserve"> SEQ Figure \* ARABIC </w:instrText>
      </w:r>
      <w:r w:rsidRPr="00704DE1">
        <w:rPr>
          <w:rFonts w:cstheme="minorHAnsi"/>
          <w:b/>
          <w:bCs/>
          <w:szCs w:val="20"/>
        </w:rPr>
        <w:fldChar w:fldCharType="separate"/>
      </w:r>
      <w:r w:rsidR="00FB0A15">
        <w:rPr>
          <w:rFonts w:cstheme="minorHAnsi"/>
          <w:b/>
          <w:bCs/>
          <w:noProof/>
          <w:szCs w:val="20"/>
        </w:rPr>
        <w:t>3</w:t>
      </w:r>
      <w:r w:rsidRPr="00704DE1">
        <w:rPr>
          <w:rFonts w:cstheme="minorHAnsi"/>
          <w:b/>
          <w:bCs/>
          <w:szCs w:val="20"/>
        </w:rPr>
        <w:fldChar w:fldCharType="end"/>
      </w:r>
      <w:bookmarkEnd w:id="18"/>
      <w:r w:rsidRPr="00704DE1">
        <w:rPr>
          <w:rFonts w:cstheme="minorHAnsi"/>
          <w:b/>
          <w:bCs/>
          <w:szCs w:val="20"/>
        </w:rPr>
        <w:t xml:space="preserve">: </w:t>
      </w:r>
      <w:r w:rsidR="00A43597">
        <w:rPr>
          <w:rFonts w:cstheme="minorHAnsi"/>
          <w:b/>
          <w:bCs/>
          <w:szCs w:val="20"/>
        </w:rPr>
        <w:t>Clinical management algorithm for the treatment of NDA HGEOC adapted from ASCO, ESMO, NCCN Guidelines and the Australian setting (</w:t>
      </w:r>
      <w:proofErr w:type="spellStart"/>
      <w:r w:rsidR="00A43597">
        <w:rPr>
          <w:rFonts w:cstheme="minorHAnsi"/>
          <w:b/>
          <w:bCs/>
          <w:szCs w:val="20"/>
        </w:rPr>
        <w:t>eviQ</w:t>
      </w:r>
      <w:proofErr w:type="spellEnd"/>
      <w:r w:rsidR="00A43597">
        <w:rPr>
          <w:rFonts w:cstheme="minorHAnsi"/>
          <w:b/>
          <w:bCs/>
          <w:szCs w:val="20"/>
        </w:rPr>
        <w:t xml:space="preserve"> guidelines, MBS &amp; PBS schedule)</w:t>
      </w:r>
    </w:p>
    <w:p w14:paraId="5BB8B4F5" w14:textId="0D9E6106" w:rsidR="00FF53EC" w:rsidRDefault="006553F4" w:rsidP="0028197A">
      <w:pPr>
        <w:pStyle w:val="ListParagraph"/>
        <w:spacing w:after="0"/>
        <w:ind w:left="357"/>
      </w:pPr>
      <w:r>
        <w:rPr>
          <w:noProof/>
        </w:rPr>
        <w:drawing>
          <wp:inline distT="0" distB="0" distL="0" distR="0" wp14:anchorId="0FFCE6D8" wp14:editId="7877B762">
            <wp:extent cx="5534025" cy="239485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35926" cy="2438948"/>
                    </a:xfrm>
                    <a:prstGeom prst="rect">
                      <a:avLst/>
                    </a:prstGeom>
                  </pic:spPr>
                </pic:pic>
              </a:graphicData>
            </a:graphic>
          </wp:inline>
        </w:drawing>
      </w:r>
    </w:p>
    <w:p w14:paraId="6FD3A58F" w14:textId="1F9C7D5C" w:rsidR="00054AAB" w:rsidRDefault="00054AAB" w:rsidP="00094839">
      <w:pPr>
        <w:pStyle w:val="TableNotes"/>
        <w:spacing w:after="0"/>
        <w:ind w:left="360"/>
      </w:pPr>
      <w:r>
        <w:t>Note: Platinum-based chemotherapy is recommended as adjuvant therapy post-PDS and as neoadjuvant therapy prior to IDS and adjuvant therapy post-IDS. Following completion of platinum-based chemotherapy, patients are required to be in response (</w:t>
      </w:r>
      <w:proofErr w:type="gramStart"/>
      <w:r>
        <w:t>i.e.</w:t>
      </w:r>
      <w:proofErr w:type="gramEnd"/>
      <w:r>
        <w:t xml:space="preserve"> CR/PR) in order to transition to maintenance PARP inhibitors. </w:t>
      </w:r>
      <w:r w:rsidR="00094839">
        <w:t xml:space="preserve"> </w:t>
      </w:r>
      <w:r>
        <w:t xml:space="preserve">Abbreviations: </w:t>
      </w:r>
      <w:proofErr w:type="spellStart"/>
      <w:r>
        <w:t>BRCAm</w:t>
      </w:r>
      <w:proofErr w:type="spellEnd"/>
      <w:r>
        <w:t xml:space="preserve"> = BRCA gene mutation; IDS = interval debulking surgery; PDS = primary debulking surgery. </w:t>
      </w:r>
    </w:p>
    <w:p w14:paraId="6495EA11" w14:textId="6B45483C" w:rsidR="001238AD" w:rsidRDefault="00054AAB" w:rsidP="0028197A">
      <w:pPr>
        <w:pStyle w:val="TableNotes"/>
        <w:spacing w:after="0"/>
        <w:ind w:firstLine="360"/>
      </w:pPr>
      <w:r>
        <w:t xml:space="preserve">Source: Tew 2020, NCCN 2022, Ledermann 2013; updated Jul 2021; Alsop </w:t>
      </w:r>
      <w:proofErr w:type="gramStart"/>
      <w:r>
        <w:t>2012;</w:t>
      </w:r>
      <w:proofErr w:type="gramEnd"/>
      <w:r>
        <w:t xml:space="preserve"> </w:t>
      </w:r>
    </w:p>
    <w:p w14:paraId="5EBF91ED" w14:textId="7D179227" w:rsidR="00094839" w:rsidRDefault="006D0743" w:rsidP="00094839">
      <w:pPr>
        <w:ind w:left="360"/>
      </w:pPr>
      <w:r>
        <w:t>Primary treatment of NDA (Stage III/IV) high-grade serous/endometrioid OC involves a combination of debulking (cytoreductive) surgery and systemic chemotherapy:</w:t>
      </w:r>
    </w:p>
    <w:p w14:paraId="7B5571F8" w14:textId="498153F5" w:rsidR="0051100C" w:rsidRPr="0051100C" w:rsidRDefault="0051100C" w:rsidP="006D0743">
      <w:pPr>
        <w:ind w:left="360"/>
        <w:rPr>
          <w:b/>
          <w:bCs/>
          <w:u w:val="single"/>
        </w:rPr>
      </w:pPr>
      <w:r w:rsidRPr="0051100C">
        <w:rPr>
          <w:b/>
          <w:bCs/>
          <w:u w:val="single"/>
        </w:rPr>
        <w:t>Debulking surgery</w:t>
      </w:r>
    </w:p>
    <w:p w14:paraId="6A4C0168" w14:textId="2CC80325" w:rsidR="006D0743" w:rsidRDefault="006D0743" w:rsidP="002D3BA0">
      <w:pPr>
        <w:ind w:left="360"/>
      </w:pPr>
      <w:r>
        <w:lastRenderedPageBreak/>
        <w:t xml:space="preserve">The goal of debulking surgery is to achieve complete cytoreduction of all abdominal, pelvic, and retroperitoneal disease, as the extent of residual disease is an important prognostic factor for survival in advanced epithelial ovarian cancer (Chi 2009, NCCN 2021).  </w:t>
      </w:r>
    </w:p>
    <w:p w14:paraId="193C8DA4" w14:textId="5096E722" w:rsidR="009618B2" w:rsidRPr="006D0743" w:rsidRDefault="006D0743" w:rsidP="00DA2E32">
      <w:pPr>
        <w:ind w:left="360"/>
        <w:rPr>
          <w:rFonts w:cs="AdvOT1ef757c0"/>
          <w:szCs w:val="24"/>
        </w:rPr>
      </w:pPr>
      <w:r>
        <w:t xml:space="preserve">Primary debulking surgery (PDS) involving extensive upper abdominal surgical resection followed by chemotherapy </w:t>
      </w:r>
      <w:r>
        <w:rPr>
          <w:rFonts w:cs="AdvOT1ef757c0"/>
          <w:szCs w:val="24"/>
        </w:rPr>
        <w:t>is the standard approach for the initial treatment of advanced, high-grade serous/endometroid OC.  More recently, n</w:t>
      </w:r>
      <w:r>
        <w:t>eoadjuvant chemotherapy and subsequent interval debulking surgery (NACT-IDS) has been used as an alternative to PDS</w:t>
      </w:r>
      <w:r>
        <w:rPr>
          <w:rFonts w:cs="AdvOT1ef757c0"/>
          <w:szCs w:val="24"/>
        </w:rPr>
        <w:t>.  Critical to the choice of surgical intervention is the</w:t>
      </w:r>
      <w:r>
        <w:t xml:space="preserve"> p</w:t>
      </w:r>
      <w:r w:rsidRPr="00117EFF">
        <w:t>re-operative assessment of tumour spread, and patient condition</w:t>
      </w:r>
      <w:r>
        <w:t xml:space="preserve"> which will determine the </w:t>
      </w:r>
      <w:r w:rsidRPr="00117EFF">
        <w:t>likelihood of achieving complete cytoreduction with PDS with an acceptable operative morbidity.</w:t>
      </w:r>
      <w:r>
        <w:t xml:space="preserve">  Consequently, </w:t>
      </w:r>
      <w:r>
        <w:rPr>
          <w:rFonts w:cs="AdvOT1ef757c0"/>
          <w:szCs w:val="24"/>
        </w:rPr>
        <w:t>NACT-IDS is largely offered to patients with higher risk of perioperative morbidity or mortality (</w:t>
      </w:r>
      <w:proofErr w:type="gramStart"/>
      <w:r>
        <w:rPr>
          <w:rFonts w:cs="AdvOT1ef757c0"/>
          <w:szCs w:val="24"/>
        </w:rPr>
        <w:t>e.g.</w:t>
      </w:r>
      <w:proofErr w:type="gramEnd"/>
      <w:r>
        <w:rPr>
          <w:rFonts w:cs="AdvOT1ef757c0"/>
          <w:szCs w:val="24"/>
        </w:rPr>
        <w:t xml:space="preserve"> advanced age, co-morbidities, poor performance status) and those with extensive tumour dissemination, including large-volume ascites and/or large-volume pleural effusion (Colombo 2019, NCCN 2021, Hacker 2017).  </w:t>
      </w:r>
      <w:r w:rsidR="00DA2E32">
        <w:rPr>
          <w:rFonts w:cs="AdvOT1ef757c0"/>
          <w:szCs w:val="24"/>
        </w:rPr>
        <w:t>Overall</w:t>
      </w:r>
      <w:r>
        <w:rPr>
          <w:rFonts w:cs="AdvOT1ef757c0"/>
          <w:szCs w:val="24"/>
        </w:rPr>
        <w:t xml:space="preserve">, </w:t>
      </w:r>
      <w:r w:rsidR="001238AD">
        <w:rPr>
          <w:rFonts w:cs="AdvOT1ef757c0"/>
          <w:szCs w:val="24"/>
        </w:rPr>
        <w:t xml:space="preserve">this has seen </w:t>
      </w:r>
      <w:r>
        <w:t xml:space="preserve">a gradual shift towards </w:t>
      </w:r>
      <w:r w:rsidR="001238AD">
        <w:t xml:space="preserve">the predominant </w:t>
      </w:r>
      <w:r>
        <w:t xml:space="preserve">utilisation of NACT-IDS </w:t>
      </w:r>
      <w:r w:rsidR="00DA2E32">
        <w:rPr>
          <w:rFonts w:cs="AdvOT1ef757c0"/>
          <w:szCs w:val="24"/>
        </w:rPr>
        <w:t xml:space="preserve">in Australian </w:t>
      </w:r>
      <w:r w:rsidRPr="006D0743">
        <w:rPr>
          <w:rFonts w:cs="AdvOT1ef757c0"/>
          <w:szCs w:val="24"/>
        </w:rPr>
        <w:t>practice</w:t>
      </w:r>
      <w:r w:rsidR="00DA2E32">
        <w:rPr>
          <w:rFonts w:cs="AdvOT1ef757c0"/>
          <w:szCs w:val="24"/>
        </w:rPr>
        <w:t xml:space="preserve"> (</w:t>
      </w:r>
      <w:r w:rsidRPr="006D0743">
        <w:rPr>
          <w:rFonts w:cs="AdvOT1ef757c0"/>
          <w:szCs w:val="24"/>
        </w:rPr>
        <w:t>Nicklin 2017</w:t>
      </w:r>
      <w:r w:rsidR="00DA2E32">
        <w:rPr>
          <w:rFonts w:cs="AdvOT1ef757c0"/>
          <w:szCs w:val="24"/>
        </w:rPr>
        <w:t xml:space="preserve">).  </w:t>
      </w:r>
    </w:p>
    <w:p w14:paraId="72C87C92" w14:textId="77777777" w:rsidR="00DD6222" w:rsidRPr="0072706D" w:rsidRDefault="00DD6222" w:rsidP="00DD6222">
      <w:pPr>
        <w:pStyle w:val="ListParagraph"/>
        <w:ind w:left="0" w:firstLine="360"/>
        <w:rPr>
          <w:b/>
          <w:u w:val="single"/>
        </w:rPr>
      </w:pPr>
      <w:r w:rsidRPr="0072706D">
        <w:rPr>
          <w:b/>
          <w:u w:val="single"/>
        </w:rPr>
        <w:t xml:space="preserve">Chemotherapy </w:t>
      </w:r>
    </w:p>
    <w:p w14:paraId="105FDF4F" w14:textId="6243B901" w:rsidR="00DD6222" w:rsidRDefault="00DD6222" w:rsidP="00DD6222">
      <w:pPr>
        <w:ind w:left="360"/>
        <w:rPr>
          <w:b/>
          <w:bCs/>
        </w:rPr>
      </w:pPr>
      <w:r>
        <w:t xml:space="preserve">For patients who receive PDS, adjuvant systemic chemotherapy with a platinum agent in conjunction with a </w:t>
      </w:r>
      <w:proofErr w:type="spellStart"/>
      <w:r>
        <w:t>taxane</w:t>
      </w:r>
      <w:proofErr w:type="spellEnd"/>
      <w:r>
        <w:t xml:space="preserve"> is recommended post PDS</w:t>
      </w:r>
      <w:r w:rsidR="00BC716B">
        <w:t xml:space="preserve">. </w:t>
      </w:r>
      <w:r w:rsidRPr="003A1F1A">
        <w:t xml:space="preserve"> </w:t>
      </w:r>
      <w:r w:rsidR="00BC716B">
        <w:t>T</w:t>
      </w:r>
      <w:r w:rsidRPr="003A1F1A">
        <w:t>he following chemotherapy regimens are</w:t>
      </w:r>
      <w:r>
        <w:t xml:space="preserve"> recommended in the </w:t>
      </w:r>
      <w:proofErr w:type="spellStart"/>
      <w:r>
        <w:t>eviQ</w:t>
      </w:r>
      <w:proofErr w:type="spellEnd"/>
      <w:r>
        <w:t xml:space="preserve"> guidelines (v.10):</w:t>
      </w:r>
    </w:p>
    <w:p w14:paraId="49068D53" w14:textId="77777777" w:rsidR="00DD6222" w:rsidRPr="007757E7" w:rsidRDefault="00DD6222" w:rsidP="00DD6222">
      <w:pPr>
        <w:pStyle w:val="ListParagraph"/>
        <w:numPr>
          <w:ilvl w:val="0"/>
          <w:numId w:val="27"/>
        </w:numPr>
        <w:spacing w:before="0" w:after="0"/>
        <w:jc w:val="both"/>
        <w:rPr>
          <w:b/>
          <w:bCs/>
        </w:rPr>
      </w:pPr>
      <w:r>
        <w:t>252: Paclitaxel 175 mg/m</w:t>
      </w:r>
      <w:r w:rsidRPr="0094076A">
        <w:rPr>
          <w:vertAlign w:val="superscript"/>
        </w:rPr>
        <w:t xml:space="preserve">2 </w:t>
      </w:r>
      <w:r>
        <w:t>IV, Carboplatin 5 AUC IV Q3W for 6 cycles</w:t>
      </w:r>
    </w:p>
    <w:p w14:paraId="1B6888C3" w14:textId="77777777" w:rsidR="00DD6222" w:rsidRDefault="00DD6222" w:rsidP="00DD6222">
      <w:pPr>
        <w:pStyle w:val="ListParagraph"/>
        <w:numPr>
          <w:ilvl w:val="0"/>
          <w:numId w:val="27"/>
        </w:numPr>
        <w:spacing w:before="0" w:after="0"/>
        <w:jc w:val="both"/>
      </w:pPr>
      <w:r>
        <w:t>1016: Paclitaxel 80mg/m</w:t>
      </w:r>
      <w:r w:rsidRPr="0094076A">
        <w:rPr>
          <w:vertAlign w:val="superscript"/>
        </w:rPr>
        <w:t>2</w:t>
      </w:r>
      <w:r>
        <w:t xml:space="preserve"> IV on days 1, 8, and 15, Carboplatin 5 AUC Q3W for 6 cycles</w:t>
      </w:r>
    </w:p>
    <w:p w14:paraId="648E8CE6" w14:textId="46CFF425" w:rsidR="00DD6222" w:rsidRDefault="00DD6222" w:rsidP="00DD6222">
      <w:pPr>
        <w:pStyle w:val="ListParagraph"/>
        <w:numPr>
          <w:ilvl w:val="0"/>
          <w:numId w:val="27"/>
        </w:numPr>
        <w:spacing w:before="0" w:after="0"/>
        <w:jc w:val="both"/>
      </w:pPr>
      <w:r>
        <w:t>1897: Paclitaxel 60mgm</w:t>
      </w:r>
      <w:r w:rsidRPr="0094076A">
        <w:rPr>
          <w:vertAlign w:val="superscript"/>
        </w:rPr>
        <w:t>2</w:t>
      </w:r>
      <w:r>
        <w:t xml:space="preserve"> IV, Carboplatin 2 AUC once weekly for 18 weeks</w:t>
      </w:r>
    </w:p>
    <w:p w14:paraId="4D61603E" w14:textId="40AFEC9F" w:rsidR="00DD6222" w:rsidRDefault="00DD6222" w:rsidP="00DD6222">
      <w:pPr>
        <w:ind w:left="360"/>
      </w:pPr>
      <w:r w:rsidRPr="00281E2F">
        <w:t>For patients receiving NACT-IDS,</w:t>
      </w:r>
      <w:r>
        <w:t xml:space="preserve"> the</w:t>
      </w:r>
      <w:r w:rsidRPr="00281E2F">
        <w:t xml:space="preserve"> NCCN</w:t>
      </w:r>
      <w:r>
        <w:t xml:space="preserve"> 2022</w:t>
      </w:r>
      <w:r w:rsidRPr="00281E2F">
        <w:t xml:space="preserve"> guidelines </w:t>
      </w:r>
      <w:r>
        <w:t xml:space="preserve">indicate that the IV regimens recommended for adjuvant chemotherapy post PDS are also applicable for NACT-IDS.  A minimum of 6 cycles of platinum-based chemotherapy is required, with 3 cycles given as adjuvant chemotherapy after IDS.  Typically, this means 3 cycles 0f chemotherapy are given as NACT prior to IDS followed by 3 cycles of adjuvant chemotherapy. </w:t>
      </w:r>
    </w:p>
    <w:p w14:paraId="00B856A0" w14:textId="77777777" w:rsidR="00DD6222" w:rsidRPr="00E12CD5" w:rsidRDefault="00DD6222" w:rsidP="00DD6222">
      <w:pPr>
        <w:pStyle w:val="ListParagraph"/>
        <w:ind w:left="0" w:firstLine="360"/>
        <w:rPr>
          <w:b/>
          <w:u w:val="single"/>
        </w:rPr>
      </w:pPr>
      <w:r w:rsidRPr="00E12CD5">
        <w:rPr>
          <w:b/>
          <w:u w:val="single"/>
        </w:rPr>
        <w:t xml:space="preserve">Addition of bevacizumab </w:t>
      </w:r>
    </w:p>
    <w:p w14:paraId="3ADFE9E1" w14:textId="34AD3675" w:rsidR="00DD6222" w:rsidRDefault="002359A7" w:rsidP="00DD6222">
      <w:pPr>
        <w:ind w:left="360"/>
      </w:pPr>
      <w:r>
        <w:t>T</w:t>
      </w:r>
      <w:r w:rsidRPr="002359A7">
        <w:t xml:space="preserve">he PBAC has previously considered that few HGEOC patients currently utilise bevacizumab (Niraparib March 2022 </w:t>
      </w:r>
      <w:r w:rsidR="00B94B47">
        <w:t>PSD</w:t>
      </w:r>
      <w:r w:rsidRPr="002359A7">
        <w:t xml:space="preserve">, Paragraph 7.10), with the ESC citing poor tolerability and limited effectiveness (Niraparib March 2022 </w:t>
      </w:r>
      <w:r w:rsidR="00B94B47">
        <w:t>PSD, Paragraph 5.1</w:t>
      </w:r>
      <w:r w:rsidRPr="002359A7">
        <w:t>)</w:t>
      </w:r>
      <w:r w:rsidR="00DD6222">
        <w:t xml:space="preserve">.  </w:t>
      </w:r>
      <w:r w:rsidR="00DD6222" w:rsidRPr="00CD75BA">
        <w:t>The</w:t>
      </w:r>
      <w:r w:rsidR="00DD6222">
        <w:t xml:space="preserve"> </w:t>
      </w:r>
      <w:proofErr w:type="spellStart"/>
      <w:r w:rsidR="00DD6222">
        <w:t>eviQ</w:t>
      </w:r>
      <w:proofErr w:type="spellEnd"/>
      <w:r w:rsidR="00DD6222">
        <w:t xml:space="preserve"> guidelines (v.10) recommends the following 1L platinum-based chemotherapy regimen involving the addition of </w:t>
      </w:r>
      <w:r w:rsidR="00FB348F">
        <w:t>bevacizumab in patients with NDA HGE</w:t>
      </w:r>
      <w:r w:rsidR="004373E4">
        <w:t xml:space="preserve">OC that are </w:t>
      </w:r>
      <w:proofErr w:type="spellStart"/>
      <w:r w:rsidR="004373E4">
        <w:t>suboptimally</w:t>
      </w:r>
      <w:proofErr w:type="spellEnd"/>
      <w:r w:rsidR="004373E4">
        <w:t xml:space="preserve"> debulked (maximum diameter of any gross residual disease &gt;1cm)</w:t>
      </w:r>
      <w:r w:rsidR="00DD6222">
        <w:t>:</w:t>
      </w:r>
    </w:p>
    <w:p w14:paraId="3B1C2798" w14:textId="77777777" w:rsidR="00DD6222" w:rsidRDefault="00DD6222" w:rsidP="00DD6222">
      <w:pPr>
        <w:pStyle w:val="ListParagraph"/>
        <w:numPr>
          <w:ilvl w:val="0"/>
          <w:numId w:val="28"/>
        </w:numPr>
        <w:spacing w:before="0" w:after="0"/>
        <w:jc w:val="both"/>
      </w:pPr>
      <w:r w:rsidDel="004A3C76">
        <w:t xml:space="preserve">1601: </w:t>
      </w:r>
      <w:r>
        <w:t>Paclitaxel 175mg/m</w:t>
      </w:r>
      <w:r w:rsidRPr="00A553B2">
        <w:rPr>
          <w:vertAlign w:val="superscript"/>
        </w:rPr>
        <w:t>2</w:t>
      </w:r>
      <w:r>
        <w:t xml:space="preserve"> IV, Carboplatin 5 AUC IV Q3W for 6 cycles. Bevacizumab (7.5mg/kg IV Q3W) to be administered in combination with paclitaxel and carboplatin from cycle 2 to cycle 6 and continued as a single agent from cycle 7 to cycle 19 (</w:t>
      </w:r>
      <w:proofErr w:type="gramStart"/>
      <w:r>
        <w:t>i.e.</w:t>
      </w:r>
      <w:proofErr w:type="gramEnd"/>
      <w:r>
        <w:t xml:space="preserve"> maximum of 18 cycles of bevacizumab in total). </w:t>
      </w:r>
    </w:p>
    <w:p w14:paraId="436FAAD1" w14:textId="393B2FE4" w:rsidR="00022DB0" w:rsidRPr="00022DB0" w:rsidRDefault="00022DB0" w:rsidP="00022DB0">
      <w:pPr>
        <w:ind w:left="360"/>
        <w:rPr>
          <w:b/>
          <w:bCs/>
          <w:u w:val="single"/>
        </w:rPr>
      </w:pPr>
      <w:r>
        <w:rPr>
          <w:b/>
          <w:bCs/>
          <w:u w:val="single"/>
        </w:rPr>
        <w:t>Maintenance treatment</w:t>
      </w:r>
      <w:r w:rsidR="008C7C6C">
        <w:rPr>
          <w:b/>
          <w:bCs/>
          <w:u w:val="single"/>
        </w:rPr>
        <w:t>:</w:t>
      </w:r>
    </w:p>
    <w:p w14:paraId="4227C2C4" w14:textId="45EBAA5B" w:rsidR="00DD6222" w:rsidRDefault="00F24958" w:rsidP="004373E4">
      <w:pPr>
        <w:ind w:left="360"/>
      </w:pPr>
      <w:r w:rsidRPr="00F24958">
        <w:t xml:space="preserve">The current maintenance management is influenced by </w:t>
      </w:r>
      <w:r w:rsidR="00A416D9">
        <w:t>MBS/</w:t>
      </w:r>
      <w:r w:rsidRPr="00F24958">
        <w:t xml:space="preserve">PBS requirements and the evidentiary basis for use.  Consideration of primary treatment received and </w:t>
      </w:r>
      <w:proofErr w:type="spellStart"/>
      <w:r w:rsidRPr="00F24958">
        <w:t>BRCAm</w:t>
      </w:r>
      <w:proofErr w:type="spellEnd"/>
      <w:r w:rsidRPr="00F24958">
        <w:t xml:space="preserve"> status informs the available maintenance therapies</w:t>
      </w:r>
      <w:r w:rsidR="00A416D9">
        <w:t xml:space="preserve">.  </w:t>
      </w:r>
    </w:p>
    <w:p w14:paraId="65FECE3F" w14:textId="77777777" w:rsidR="001B46A8" w:rsidRPr="007E4F6C" w:rsidRDefault="001B46A8" w:rsidP="001B46A8">
      <w:pPr>
        <w:ind w:firstLine="360"/>
      </w:pPr>
      <w:r w:rsidRPr="00AE236E">
        <w:rPr>
          <w:b/>
          <w:u w:val="single"/>
        </w:rPr>
        <w:t>Primary treatment with chemotherapy only:</w:t>
      </w:r>
    </w:p>
    <w:p w14:paraId="7B3B36AD" w14:textId="77777777" w:rsidR="001B46A8" w:rsidRPr="00623DD3" w:rsidRDefault="001B46A8" w:rsidP="001B46A8">
      <w:pPr>
        <w:ind w:firstLine="360"/>
      </w:pPr>
      <w:proofErr w:type="spellStart"/>
      <w:r w:rsidRPr="00BF3914">
        <w:rPr>
          <w:b/>
        </w:rPr>
        <w:t>BRCAm</w:t>
      </w:r>
      <w:proofErr w:type="spellEnd"/>
      <w:r w:rsidRPr="00BF3914">
        <w:rPr>
          <w:b/>
        </w:rPr>
        <w:t xml:space="preserve"> population:</w:t>
      </w:r>
      <w:r w:rsidRPr="00BF3914">
        <w:t xml:space="preserve"> </w:t>
      </w:r>
    </w:p>
    <w:p w14:paraId="20B4BCFD" w14:textId="77777777" w:rsidR="002878DF" w:rsidRDefault="001B46A8" w:rsidP="001B46A8">
      <w:pPr>
        <w:pStyle w:val="ListParagraph"/>
        <w:ind w:left="360"/>
      </w:pPr>
      <w:r>
        <w:t>O</w:t>
      </w:r>
      <w:r w:rsidRPr="00D12570">
        <w:t>laparib</w:t>
      </w:r>
      <w:r>
        <w:t xml:space="preserve"> is PBS listed </w:t>
      </w:r>
      <w:r w:rsidRPr="00A6516C">
        <w:t xml:space="preserve">for the first line maintenance treatment of patients with </w:t>
      </w:r>
      <w:r>
        <w:t>NDA</w:t>
      </w:r>
      <w:r w:rsidRPr="00A6516C">
        <w:t xml:space="preserve"> Stage III/IV HGEOC associated with a class 4 or 6 BRCA1 or BRCA2 gene mutation who are in complete response or partial response to first line platinum-based chemotherapy</w:t>
      </w:r>
      <w:r>
        <w:t xml:space="preserve">.  </w:t>
      </w:r>
      <w:r w:rsidR="00A524EC">
        <w:t xml:space="preserve">Current ovarian cancer guidelines recommend that patients with NDA HGEOC be referred for BRCA1/2 testing.  BRCA1/2 testing is </w:t>
      </w:r>
      <w:r w:rsidR="00F05CCF">
        <w:t xml:space="preserve">MBS funded under MBS item 73295 for germline testing or MBS Item 73301 for tumour testing to determine eligibility for Olaparib as maintenance treatment.  </w:t>
      </w:r>
    </w:p>
    <w:p w14:paraId="638589D9" w14:textId="77777777" w:rsidR="002878DF" w:rsidRDefault="002878DF" w:rsidP="001B46A8">
      <w:pPr>
        <w:pStyle w:val="ListParagraph"/>
        <w:ind w:left="360"/>
      </w:pPr>
    </w:p>
    <w:p w14:paraId="25EB8B3B" w14:textId="67938B4D" w:rsidR="006D0743" w:rsidRDefault="001B46A8" w:rsidP="001B46A8">
      <w:pPr>
        <w:pStyle w:val="ListParagraph"/>
        <w:ind w:left="360"/>
      </w:pPr>
      <w:r>
        <w:lastRenderedPageBreak/>
        <w:t xml:space="preserve">While the current </w:t>
      </w:r>
      <w:proofErr w:type="spellStart"/>
      <w:r>
        <w:t>olaparib</w:t>
      </w:r>
      <w:proofErr w:type="spellEnd"/>
      <w:r>
        <w:t xml:space="preserve"> PBS listing does not specify no prior bevacizumab as primary treatment, the pivotal evidence (SOLO-1) supporting the use of </w:t>
      </w:r>
      <w:proofErr w:type="spellStart"/>
      <w:r>
        <w:t>olaparib</w:t>
      </w:r>
      <w:proofErr w:type="spellEnd"/>
      <w:r>
        <w:t xml:space="preserve"> in the 1L maintenance setting is applicable to the population who received chemotherapy only (without bevacizumab) as primary treatment</w:t>
      </w:r>
      <w:r w:rsidR="002878DF">
        <w:t xml:space="preserve">.  </w:t>
      </w:r>
    </w:p>
    <w:p w14:paraId="0DB61BF8" w14:textId="77777777" w:rsidR="00684BB1" w:rsidRDefault="00684BB1">
      <w:pPr>
        <w:spacing w:before="0" w:after="200" w:line="276" w:lineRule="auto"/>
        <w:rPr>
          <w:b/>
        </w:rPr>
      </w:pPr>
      <w:r>
        <w:rPr>
          <w:b/>
        </w:rPr>
        <w:br w:type="page"/>
      </w:r>
    </w:p>
    <w:p w14:paraId="531F4114" w14:textId="23C312D4" w:rsidR="006A5CC2" w:rsidRPr="00F474D8" w:rsidRDefault="006A5CC2" w:rsidP="006A5CC2">
      <w:pPr>
        <w:ind w:firstLine="360"/>
      </w:pPr>
      <w:r w:rsidRPr="00BF3914">
        <w:rPr>
          <w:b/>
        </w:rPr>
        <w:lastRenderedPageBreak/>
        <w:t>Non-</w:t>
      </w:r>
      <w:proofErr w:type="spellStart"/>
      <w:r w:rsidRPr="00BF3914">
        <w:rPr>
          <w:b/>
        </w:rPr>
        <w:t>BRCAm</w:t>
      </w:r>
      <w:proofErr w:type="spellEnd"/>
      <w:r w:rsidRPr="00BF3914">
        <w:rPr>
          <w:b/>
        </w:rPr>
        <w:t xml:space="preserve"> population:</w:t>
      </w:r>
      <w:r w:rsidRPr="00F474D8">
        <w:t xml:space="preserve"> </w:t>
      </w:r>
    </w:p>
    <w:p w14:paraId="1CF1077E" w14:textId="08FF525B" w:rsidR="002878DF" w:rsidRDefault="006A5CC2" w:rsidP="006A5CC2">
      <w:pPr>
        <w:pStyle w:val="ListParagraph"/>
        <w:ind w:left="360"/>
      </w:pPr>
      <w:r>
        <w:t>N</w:t>
      </w:r>
      <w:r w:rsidRPr="006A191B">
        <w:t>o</w:t>
      </w:r>
      <w:r>
        <w:t xml:space="preserve"> maintenance therapy options are available, with standard medical management being active surveillance.  </w:t>
      </w:r>
      <w:r w:rsidR="00CC6AA9" w:rsidRPr="00CC6AA9">
        <w:t>There is currently no evidence to support the use of bevacizumab as maintenance therapy only without prior combination treatment with chemotherapy.</w:t>
      </w:r>
    </w:p>
    <w:p w14:paraId="7FB1CC15" w14:textId="77777777" w:rsidR="00B60A5F" w:rsidRDefault="00B60A5F" w:rsidP="00B60A5F">
      <w:pPr>
        <w:ind w:firstLine="360"/>
      </w:pPr>
      <w:r w:rsidRPr="006B3643">
        <w:rPr>
          <w:b/>
          <w:u w:val="single"/>
        </w:rPr>
        <w:t>Primary treatment with chemotherapy + bevacizumab:</w:t>
      </w:r>
      <w:r>
        <w:t xml:space="preserve"> </w:t>
      </w:r>
    </w:p>
    <w:p w14:paraId="3172EABE" w14:textId="77777777" w:rsidR="00165ECC" w:rsidRDefault="00D36B62" w:rsidP="00165ECC">
      <w:pPr>
        <w:pStyle w:val="ListParagraph"/>
        <w:ind w:left="360"/>
      </w:pPr>
      <w:r>
        <w:t xml:space="preserve">As per the </w:t>
      </w:r>
      <w:proofErr w:type="spellStart"/>
      <w:r w:rsidR="00F355EB">
        <w:t>eVIQ</w:t>
      </w:r>
      <w:proofErr w:type="spellEnd"/>
      <w:r w:rsidR="00F355EB">
        <w:t xml:space="preserve"> guidelines the population most applicable for bevacizumab are patients with NDA HGEOC that are </w:t>
      </w:r>
      <w:proofErr w:type="spellStart"/>
      <w:r w:rsidR="00F355EB">
        <w:t>suboptimally</w:t>
      </w:r>
      <w:proofErr w:type="spellEnd"/>
      <w:r w:rsidR="00F355EB">
        <w:t xml:space="preserve"> debulked (maximum diameter of any gross residual disease &gt;1cm).  </w:t>
      </w:r>
      <w:r w:rsidR="00165ECC">
        <w:t xml:space="preserve">Bevacizumab use in this population is expected to remain aligned with the TGA indication, which requires bevacizumab to be continued as maintenance monotherapy following primary treatment with chemotherapy. </w:t>
      </w:r>
    </w:p>
    <w:p w14:paraId="20A43B3D" w14:textId="77777777" w:rsidR="00165ECC" w:rsidRDefault="00165ECC" w:rsidP="00165ECC">
      <w:pPr>
        <w:pStyle w:val="ListParagraph"/>
        <w:ind w:left="360"/>
      </w:pPr>
    </w:p>
    <w:p w14:paraId="5A47B345" w14:textId="28EE5062" w:rsidR="00CC6AA9" w:rsidRDefault="003D614D" w:rsidP="00146154">
      <w:pPr>
        <w:pStyle w:val="ListParagraph"/>
        <w:ind w:left="360"/>
      </w:pPr>
      <w:r>
        <w:t>B</w:t>
      </w:r>
      <w:r w:rsidR="00165ECC">
        <w:t>evacizumab use being limited to the treatment phase only (with nil intent on continuation as maintenance treatment) is not recommended by NCCN 202</w:t>
      </w:r>
      <w:r w:rsidR="008E708C">
        <w:t>2</w:t>
      </w:r>
      <w:r w:rsidR="00165ECC">
        <w:t xml:space="preserve"> guidelines.  Evidence from the GOG-0218 trial (Burger 2011) reported no significant difference in PFS between the group receiving carboplatin/paclitaxel/bevacizumab as primary treatment (without single-agent bevacizumab maintenance) vs. the control group receiving carboplatin/paclitaxel as primary treatment only (HR = 0.908; 95% CI: 0.795, 1.040; p=0.16).</w:t>
      </w:r>
    </w:p>
    <w:p w14:paraId="1C2E2867" w14:textId="77777777" w:rsidR="006B0B7F" w:rsidRDefault="006B0B7F" w:rsidP="00146154">
      <w:pPr>
        <w:pStyle w:val="ListParagraph"/>
        <w:ind w:left="360"/>
      </w:pPr>
    </w:p>
    <w:p w14:paraId="109414A7" w14:textId="7E88920E" w:rsidR="00095B45" w:rsidRDefault="00095B45" w:rsidP="00095B45">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0E0BF7BF" w14:textId="29F8302C" w:rsidR="0027609E" w:rsidRDefault="00F23DFA" w:rsidP="00E54F5B">
      <w:pPr>
        <w:ind w:left="357"/>
      </w:pPr>
      <w:r w:rsidRPr="00F23DFA">
        <w:t xml:space="preserve">At the August 2021 meeting, the PASC considered there were three </w:t>
      </w:r>
      <w:r w:rsidR="00DF1A13">
        <w:t xml:space="preserve">test </w:t>
      </w:r>
      <w:r w:rsidRPr="00F23DFA">
        <w:t>populations that could be considered for HRD testing</w:t>
      </w:r>
      <w:r w:rsidR="00C96816">
        <w:t xml:space="preserve">, to reflect alternative approaches to the positioning of the HRD test </w:t>
      </w:r>
      <w:r w:rsidR="00FE0E94">
        <w:t>in parallel</w:t>
      </w:r>
      <w:r w:rsidR="006923C3">
        <w:t xml:space="preserve"> (Population #1), sequential (Population #2) and </w:t>
      </w:r>
      <w:r w:rsidR="00A224D0">
        <w:t xml:space="preserve">testing </w:t>
      </w:r>
      <w:r w:rsidR="00BC6FE8">
        <w:t xml:space="preserve">for patients that receive primary </w:t>
      </w:r>
      <w:proofErr w:type="gramStart"/>
      <w:r w:rsidR="00BC6FE8">
        <w:t>platinum based</w:t>
      </w:r>
      <w:proofErr w:type="gramEnd"/>
      <w:r w:rsidR="00BC6FE8">
        <w:t xml:space="preserve"> chemotherapy</w:t>
      </w:r>
      <w:r w:rsidR="00A224D0">
        <w:t xml:space="preserve"> (Population #3)</w:t>
      </w:r>
      <w:r>
        <w:t xml:space="preserve">. </w:t>
      </w:r>
      <w:r w:rsidR="000A3261">
        <w:t xml:space="preserve"> Future clinical management algorithms based on these scenarios are </w:t>
      </w:r>
      <w:r w:rsidR="0027609E">
        <w:t>presented</w:t>
      </w:r>
      <w:r w:rsidR="000A3261">
        <w:t xml:space="preserve"> below.  </w:t>
      </w:r>
    </w:p>
    <w:p w14:paraId="6EFD3814" w14:textId="77777777" w:rsidR="00FB0A15" w:rsidRDefault="00DF1A13">
      <w:pPr>
        <w:spacing w:before="0" w:after="200" w:line="276" w:lineRule="auto"/>
        <w:rPr>
          <w:rFonts w:eastAsiaTheme="majorEastAsia" w:cstheme="minorHAnsi"/>
          <w:b/>
          <w:bCs/>
          <w:szCs w:val="20"/>
        </w:rPr>
      </w:pPr>
      <w:bookmarkStart w:id="19" w:name="_Hlk110930377"/>
      <w:r>
        <w:t>I</w:t>
      </w:r>
      <w:r w:rsidR="00017EA7">
        <w:t>t is proposed that patients identified as non-</w:t>
      </w:r>
      <w:proofErr w:type="spellStart"/>
      <w:r w:rsidR="00017EA7">
        <w:t>BRCAm</w:t>
      </w:r>
      <w:proofErr w:type="spellEnd"/>
      <w:r w:rsidR="00017EA7">
        <w:t xml:space="preserve"> HRD will receive niraparib as maintenance therapy following CR/PR to primary platinum-based chemotherapy only, extending utilisation from the current </w:t>
      </w:r>
      <w:proofErr w:type="spellStart"/>
      <w:r w:rsidR="00017EA7">
        <w:t>BRCAm</w:t>
      </w:r>
      <w:proofErr w:type="spellEnd"/>
      <w:r w:rsidR="00017EA7">
        <w:t xml:space="preserve"> cohort.  </w:t>
      </w:r>
      <w:r w:rsidR="0089320B">
        <w:t>As per the pivotal evidence (PRIMA),</w:t>
      </w:r>
      <w:r w:rsidR="003834A8">
        <w:t xml:space="preserve"> in the non-</w:t>
      </w:r>
      <w:proofErr w:type="spellStart"/>
      <w:r w:rsidR="003834A8">
        <w:t>BRCAm</w:t>
      </w:r>
      <w:proofErr w:type="spellEnd"/>
      <w:r w:rsidR="003834A8">
        <w:t xml:space="preserve"> HRD cohort</w:t>
      </w:r>
      <w:r w:rsidR="0089320B">
        <w:t xml:space="preserve"> a clinically significant benefit for </w:t>
      </w:r>
      <w:r w:rsidR="004B0FB4">
        <w:t xml:space="preserve">PFS </w:t>
      </w:r>
      <w:r w:rsidR="008E7F2D">
        <w:t>was</w:t>
      </w:r>
      <w:r w:rsidR="0089320B">
        <w:t xml:space="preserve"> demonstrated </w:t>
      </w:r>
      <w:r w:rsidR="004B0FB4">
        <w:t>for the comparison of niraparib vs SMM</w:t>
      </w:r>
      <w:r w:rsidR="00E95EB2">
        <w:t xml:space="preserve"> </w:t>
      </w:r>
      <w:r w:rsidR="00DB48D1">
        <w:t xml:space="preserve">(HR = </w:t>
      </w:r>
      <w:r w:rsidR="00A539F5">
        <w:t>0.50, 95% CI: 0.31, 0.83</w:t>
      </w:r>
      <w:r w:rsidR="0002041D">
        <w:t xml:space="preserve">; </w:t>
      </w:r>
      <w:proofErr w:type="gramStart"/>
      <w:r w:rsidR="0002041D">
        <w:t>11.4 month</w:t>
      </w:r>
      <w:proofErr w:type="gramEnd"/>
      <w:r w:rsidR="0002041D">
        <w:t xml:space="preserve"> </w:t>
      </w:r>
      <w:r w:rsidR="00E95EB2">
        <w:t>median</w:t>
      </w:r>
      <w:r w:rsidR="0002041D">
        <w:t xml:space="preserve"> benefit</w:t>
      </w:r>
      <w:r w:rsidR="008E7F2D">
        <w:t xml:space="preserve">; refer to </w:t>
      </w:r>
      <w:r w:rsidR="00F0217E">
        <w:fldChar w:fldCharType="begin"/>
      </w:r>
      <w:r w:rsidR="00F0217E">
        <w:instrText xml:space="preserve"> REF _Ref104210809 \h </w:instrText>
      </w:r>
      <w:r w:rsidR="00F0217E">
        <w:fldChar w:fldCharType="separate"/>
      </w:r>
      <w:r w:rsidR="00FB0A15">
        <w:rPr>
          <w:rFonts w:cstheme="minorHAnsi"/>
          <w:szCs w:val="20"/>
        </w:rPr>
        <w:br w:type="page"/>
      </w:r>
    </w:p>
    <w:p w14:paraId="4DCEC1BF" w14:textId="2E5ECEDD" w:rsidR="00CA4973" w:rsidRDefault="00FB0A15" w:rsidP="00E54F5B">
      <w:pPr>
        <w:ind w:left="357"/>
      </w:pPr>
      <w:r w:rsidRPr="001758E2">
        <w:rPr>
          <w:rFonts w:cstheme="minorHAnsi"/>
          <w:szCs w:val="20"/>
        </w:rPr>
        <w:lastRenderedPageBreak/>
        <w:t xml:space="preserve">Table </w:t>
      </w:r>
      <w:r>
        <w:rPr>
          <w:rFonts w:cstheme="minorHAnsi"/>
          <w:noProof/>
          <w:szCs w:val="20"/>
        </w:rPr>
        <w:t>3</w:t>
      </w:r>
      <w:r w:rsidR="00F0217E">
        <w:fldChar w:fldCharType="end"/>
      </w:r>
      <w:r w:rsidR="00A539F5">
        <w:t>)</w:t>
      </w:r>
      <w:r w:rsidR="00E95EB2">
        <w:t xml:space="preserve">. </w:t>
      </w:r>
      <w:r w:rsidR="00FD43EC">
        <w:t xml:space="preserve"> </w:t>
      </w:r>
    </w:p>
    <w:bookmarkEnd w:id="19"/>
    <w:p w14:paraId="1BE91740" w14:textId="72DE1B6B" w:rsidR="0047363C" w:rsidRDefault="00017EA7" w:rsidP="00E54F5B">
      <w:pPr>
        <w:ind w:left="357"/>
      </w:pPr>
      <w:r>
        <w:t xml:space="preserve">Patients that are </w:t>
      </w:r>
      <w:proofErr w:type="spellStart"/>
      <w:r>
        <w:t>HRp</w:t>
      </w:r>
      <w:proofErr w:type="spellEnd"/>
      <w:r>
        <w:t xml:space="preserve"> or </w:t>
      </w:r>
      <w:proofErr w:type="spellStart"/>
      <w:r>
        <w:t>HRnd</w:t>
      </w:r>
      <w:proofErr w:type="spellEnd"/>
      <w:r>
        <w:t xml:space="preserve"> will continue to receive current therapy: platinum-based chemotherapy followed by active surveillance </w:t>
      </w:r>
      <w:r w:rsidR="00D1686F">
        <w:t xml:space="preserve">(standard medical management) </w:t>
      </w:r>
      <w:r>
        <w:t xml:space="preserve">or platinum-based chemotherapy with bevacizumab followed by bevacizumab maintenance.  </w:t>
      </w:r>
    </w:p>
    <w:p w14:paraId="3C7F8638" w14:textId="1A9914CC" w:rsidR="000A3261" w:rsidRDefault="007D41FB" w:rsidP="00E54F5B">
      <w:pPr>
        <w:ind w:left="357"/>
      </w:pPr>
      <w:bookmarkStart w:id="20" w:name="_Hlk110930406"/>
      <w:r w:rsidRPr="00CA44D6">
        <w:rPr>
          <w:b/>
          <w:bCs/>
          <w:u w:val="single"/>
        </w:rPr>
        <w:t>Population #1: HRD testing for BRCA1/2 variant and GIS in parallel</w:t>
      </w:r>
      <w:r>
        <w:t>:</w:t>
      </w:r>
    </w:p>
    <w:p w14:paraId="1841E545" w14:textId="77777777" w:rsidR="00FB0A15" w:rsidRPr="00FB0A15" w:rsidRDefault="00C3397D" w:rsidP="00FB0A15">
      <w:pPr>
        <w:ind w:left="357"/>
        <w:rPr>
          <w:rFonts w:cstheme="minorHAnsi"/>
          <w:szCs w:val="20"/>
        </w:rPr>
      </w:pPr>
      <w:r w:rsidRPr="00AC1BDA">
        <w:t xml:space="preserve">The proposed future </w:t>
      </w:r>
      <w:r w:rsidR="00DF0A3E" w:rsidRPr="00AC1BDA">
        <w:t>clinical management algorithm for population #1 is presented in</w:t>
      </w:r>
      <w:r w:rsidR="00AC1BDA" w:rsidRPr="00AC1BDA">
        <w:t xml:space="preserve"> </w:t>
      </w:r>
      <w:r w:rsidR="00AC1BDA" w:rsidRPr="00AC1BDA">
        <w:fldChar w:fldCharType="begin"/>
      </w:r>
      <w:r w:rsidR="00AC1BDA" w:rsidRPr="00AC1BDA">
        <w:instrText xml:space="preserve"> REF _Ref103957332 \h  \* MERGEFORMAT </w:instrText>
      </w:r>
      <w:r w:rsidR="00AC1BDA" w:rsidRPr="00AC1BDA">
        <w:fldChar w:fldCharType="separate"/>
      </w:r>
      <w:r w:rsidR="00FB0A15" w:rsidRPr="00FB0A15">
        <w:rPr>
          <w:rFonts w:cstheme="minorHAnsi"/>
          <w:szCs w:val="20"/>
        </w:rPr>
        <w:br w:type="page"/>
      </w:r>
    </w:p>
    <w:p w14:paraId="6DCADA9E" w14:textId="6C6DC249" w:rsidR="00AB6789" w:rsidRDefault="00FB0A15" w:rsidP="00AB6789">
      <w:pPr>
        <w:ind w:left="357"/>
      </w:pPr>
      <w:r w:rsidRPr="00FB0A15">
        <w:rPr>
          <w:rFonts w:cstheme="minorHAnsi"/>
          <w:noProof/>
          <w:szCs w:val="20"/>
        </w:rPr>
        <w:lastRenderedPageBreak/>
        <w:t>Figure</w:t>
      </w:r>
      <w:r w:rsidRPr="00704DE1">
        <w:rPr>
          <w:rFonts w:cstheme="minorHAnsi"/>
          <w:b/>
          <w:bCs/>
          <w:szCs w:val="20"/>
        </w:rPr>
        <w:t xml:space="preserve"> </w:t>
      </w:r>
      <w:r>
        <w:rPr>
          <w:rFonts w:cstheme="minorHAnsi"/>
          <w:b/>
          <w:bCs/>
          <w:noProof/>
          <w:szCs w:val="20"/>
        </w:rPr>
        <w:t>4</w:t>
      </w:r>
      <w:r w:rsidR="00AC1BDA" w:rsidRPr="00AC1BDA">
        <w:fldChar w:fldCharType="end"/>
      </w:r>
      <w:r w:rsidR="00DF0A3E" w:rsidRPr="00AC1BDA">
        <w:t xml:space="preserve">.  </w:t>
      </w:r>
      <w:r w:rsidR="00AB6789">
        <w:t xml:space="preserve">Population #1 </w:t>
      </w:r>
      <w:r w:rsidR="001249A0">
        <w:t>considers</w:t>
      </w:r>
      <w:r w:rsidR="00AB6789">
        <w:t xml:space="preserve"> a HRD</w:t>
      </w:r>
      <w:r w:rsidR="00781CE4">
        <w:t xml:space="preserve"> test</w:t>
      </w:r>
      <w:r w:rsidR="00AB6789">
        <w:t xml:space="preserve"> that evaluates BRCA1/2 and GIS status in parallel.  Such a test will replace the tumour BRCA1/2 test (MBS item 73301) that is currently being performed at diagnosis as the one test will cover both GIS and BRCA1/2.  </w:t>
      </w:r>
    </w:p>
    <w:p w14:paraId="4274ED99" w14:textId="77777777" w:rsidR="00684BB1" w:rsidRDefault="00684BB1">
      <w:pPr>
        <w:spacing w:before="0" w:after="200" w:line="276" w:lineRule="auto"/>
        <w:rPr>
          <w:rFonts w:cstheme="minorHAnsi"/>
          <w:b/>
          <w:bCs/>
          <w:szCs w:val="20"/>
        </w:rPr>
      </w:pPr>
      <w:bookmarkStart w:id="21" w:name="_Ref103957332"/>
      <w:r>
        <w:rPr>
          <w:rFonts w:cstheme="minorHAnsi"/>
          <w:b/>
          <w:bCs/>
          <w:szCs w:val="20"/>
        </w:rPr>
        <w:br w:type="page"/>
      </w:r>
    </w:p>
    <w:p w14:paraId="16B0844E" w14:textId="2DFF8E06" w:rsidR="00AC1BDA" w:rsidRDefault="00AC1BDA" w:rsidP="00E54F5B">
      <w:pPr>
        <w:ind w:left="357"/>
      </w:pPr>
      <w:r w:rsidRPr="00704DE1">
        <w:rPr>
          <w:rFonts w:cstheme="minorHAnsi"/>
          <w:b/>
          <w:bCs/>
          <w:szCs w:val="20"/>
        </w:rPr>
        <w:lastRenderedPageBreak/>
        <w:t xml:space="preserve">Figure </w:t>
      </w:r>
      <w:r w:rsidRPr="00704DE1">
        <w:rPr>
          <w:rFonts w:cstheme="minorHAnsi"/>
          <w:b/>
          <w:bCs/>
          <w:szCs w:val="20"/>
        </w:rPr>
        <w:fldChar w:fldCharType="begin"/>
      </w:r>
      <w:r w:rsidRPr="00704DE1">
        <w:rPr>
          <w:rFonts w:cstheme="minorHAnsi"/>
          <w:b/>
          <w:bCs/>
          <w:szCs w:val="20"/>
        </w:rPr>
        <w:instrText xml:space="preserve"> SEQ Figure \* ARABIC </w:instrText>
      </w:r>
      <w:r w:rsidRPr="00704DE1">
        <w:rPr>
          <w:rFonts w:cstheme="minorHAnsi"/>
          <w:b/>
          <w:bCs/>
          <w:szCs w:val="20"/>
        </w:rPr>
        <w:fldChar w:fldCharType="separate"/>
      </w:r>
      <w:r w:rsidR="00FB0A15">
        <w:rPr>
          <w:rFonts w:cstheme="minorHAnsi"/>
          <w:b/>
          <w:bCs/>
          <w:noProof/>
          <w:szCs w:val="20"/>
        </w:rPr>
        <w:t>4</w:t>
      </w:r>
      <w:r w:rsidRPr="00704DE1">
        <w:rPr>
          <w:rFonts w:cstheme="minorHAnsi"/>
          <w:b/>
          <w:bCs/>
          <w:szCs w:val="20"/>
        </w:rPr>
        <w:fldChar w:fldCharType="end"/>
      </w:r>
      <w:bookmarkEnd w:id="21"/>
      <w:r w:rsidRPr="00704DE1">
        <w:rPr>
          <w:rFonts w:cstheme="minorHAnsi"/>
          <w:b/>
          <w:bCs/>
          <w:szCs w:val="20"/>
        </w:rPr>
        <w:t xml:space="preserve">: </w:t>
      </w:r>
      <w:r>
        <w:rPr>
          <w:rFonts w:cstheme="minorHAnsi"/>
          <w:b/>
          <w:bCs/>
          <w:szCs w:val="20"/>
        </w:rPr>
        <w:t>Clinical management algorithm for the treatment of NDA HGEOC – Population #1</w:t>
      </w:r>
    </w:p>
    <w:p w14:paraId="6FC07722" w14:textId="4609716B" w:rsidR="007D41FB" w:rsidRDefault="000C04BF" w:rsidP="00E54F5B">
      <w:pPr>
        <w:ind w:left="357"/>
      </w:pPr>
      <w:r>
        <w:rPr>
          <w:noProof/>
        </w:rPr>
        <w:drawing>
          <wp:inline distT="0" distB="0" distL="0" distR="0" wp14:anchorId="7350F673" wp14:editId="0385EA2E">
            <wp:extent cx="5519439" cy="24955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31278" cy="2500903"/>
                    </a:xfrm>
                    <a:prstGeom prst="rect">
                      <a:avLst/>
                    </a:prstGeom>
                  </pic:spPr>
                </pic:pic>
              </a:graphicData>
            </a:graphic>
          </wp:inline>
        </w:drawing>
      </w:r>
    </w:p>
    <w:p w14:paraId="015CD5DE" w14:textId="77777777" w:rsidR="0028197A" w:rsidRDefault="0028197A" w:rsidP="00684BB1"/>
    <w:p w14:paraId="430FF48A" w14:textId="77777777" w:rsidR="00DF2321" w:rsidRDefault="00DF2321" w:rsidP="00DF2321">
      <w:pPr>
        <w:ind w:left="357"/>
        <w:rPr>
          <w:b/>
          <w:bCs/>
          <w:u w:val="single"/>
        </w:rPr>
      </w:pPr>
      <w:r w:rsidRPr="00DF2321">
        <w:rPr>
          <w:b/>
          <w:bCs/>
          <w:u w:val="single"/>
        </w:rPr>
        <w:t>Population #2: Testing for GIS to occur sequentially following a non-</w:t>
      </w:r>
      <w:proofErr w:type="spellStart"/>
      <w:r w:rsidRPr="00DF2321">
        <w:rPr>
          <w:b/>
          <w:bCs/>
          <w:u w:val="single"/>
        </w:rPr>
        <w:t>BRCAm</w:t>
      </w:r>
      <w:proofErr w:type="spellEnd"/>
      <w:r w:rsidRPr="00DF2321">
        <w:rPr>
          <w:b/>
          <w:bCs/>
          <w:u w:val="single"/>
        </w:rPr>
        <w:t xml:space="preserve"> test result: </w:t>
      </w:r>
    </w:p>
    <w:p w14:paraId="464ED58F" w14:textId="77777777" w:rsidR="00FB0A15" w:rsidRPr="00FB0A15" w:rsidRDefault="00962B68" w:rsidP="00962B68">
      <w:pPr>
        <w:ind w:left="357"/>
        <w:rPr>
          <w:rFonts w:cstheme="minorHAnsi"/>
          <w:szCs w:val="20"/>
        </w:rPr>
      </w:pPr>
      <w:r w:rsidRPr="00962B68">
        <w:t>The proposed future clinical management algorithm for population #</w:t>
      </w:r>
      <w:r w:rsidR="00E70B29">
        <w:t>2</w:t>
      </w:r>
      <w:r w:rsidRPr="00962B68">
        <w:t xml:space="preserve"> is presented in </w:t>
      </w:r>
      <w:r w:rsidRPr="00962B68">
        <w:fldChar w:fldCharType="begin"/>
      </w:r>
      <w:r w:rsidRPr="00962B68">
        <w:instrText xml:space="preserve"> REF _Ref103957616 \h  \* MERGEFORMAT </w:instrText>
      </w:r>
      <w:r w:rsidRPr="00962B68">
        <w:fldChar w:fldCharType="separate"/>
      </w:r>
    </w:p>
    <w:p w14:paraId="0184B717" w14:textId="60B0AF25" w:rsidR="00145712" w:rsidRDefault="00FB0A15" w:rsidP="00145712">
      <w:pPr>
        <w:ind w:left="357"/>
      </w:pPr>
      <w:r w:rsidRPr="00FB0A15">
        <w:rPr>
          <w:rFonts w:cstheme="minorHAnsi"/>
          <w:szCs w:val="20"/>
        </w:rPr>
        <w:t>Figure</w:t>
      </w:r>
      <w:r w:rsidRPr="00FB0A15">
        <w:rPr>
          <w:rFonts w:cstheme="minorHAnsi"/>
          <w:noProof/>
          <w:szCs w:val="20"/>
        </w:rPr>
        <w:t xml:space="preserve"> </w:t>
      </w:r>
      <w:r>
        <w:rPr>
          <w:rFonts w:cstheme="minorHAnsi"/>
          <w:b/>
          <w:bCs/>
          <w:noProof/>
          <w:szCs w:val="20"/>
        </w:rPr>
        <w:t>5</w:t>
      </w:r>
      <w:r w:rsidR="00962B68" w:rsidRPr="00962B68">
        <w:fldChar w:fldCharType="end"/>
      </w:r>
      <w:r w:rsidR="00962B68">
        <w:t xml:space="preserve">.  </w:t>
      </w:r>
      <w:r w:rsidR="00145712">
        <w:t xml:space="preserve">Population #2 </w:t>
      </w:r>
      <w:r w:rsidR="001249A0">
        <w:t>considers</w:t>
      </w:r>
      <w:r w:rsidR="00145712">
        <w:t xml:space="preserve"> a HRD test that evaluates BRCA1/2 and GIS status sequentially.  At diagnosis all patients with a viable tissue sample will receive BRCA testing.  For </w:t>
      </w:r>
      <w:r w:rsidR="00145712" w:rsidRPr="00AB6789">
        <w:t>those identified to be non-</w:t>
      </w:r>
      <w:proofErr w:type="spellStart"/>
      <w:r w:rsidR="00145712" w:rsidRPr="00AB6789">
        <w:t>BRCAm</w:t>
      </w:r>
      <w:proofErr w:type="spellEnd"/>
      <w:r w:rsidR="00145712" w:rsidRPr="00AB6789">
        <w:t xml:space="preserve">, additional analyses will occur to determine GIS and </w:t>
      </w:r>
      <w:r w:rsidR="00145712">
        <w:t xml:space="preserve">confirm the patient’s </w:t>
      </w:r>
      <w:r w:rsidR="00145712" w:rsidRPr="00AB6789">
        <w:t xml:space="preserve">HRD status.  </w:t>
      </w:r>
    </w:p>
    <w:p w14:paraId="5B9E8B5B" w14:textId="77777777" w:rsidR="00684BB1" w:rsidRDefault="00684BB1" w:rsidP="00962B68">
      <w:pPr>
        <w:ind w:left="357"/>
        <w:rPr>
          <w:rFonts w:cstheme="minorHAnsi"/>
          <w:b/>
          <w:bCs/>
          <w:szCs w:val="20"/>
        </w:rPr>
      </w:pPr>
      <w:bookmarkStart w:id="22" w:name="_Ref103957616"/>
    </w:p>
    <w:p w14:paraId="1FF6B108" w14:textId="6D00BAEB" w:rsidR="00962B68" w:rsidRDefault="00962B68" w:rsidP="00962B68">
      <w:pPr>
        <w:ind w:left="357"/>
      </w:pPr>
      <w:r w:rsidRPr="00704DE1">
        <w:rPr>
          <w:rFonts w:cstheme="minorHAnsi"/>
          <w:b/>
          <w:bCs/>
          <w:szCs w:val="20"/>
        </w:rPr>
        <w:t xml:space="preserve">Figure </w:t>
      </w:r>
      <w:r w:rsidRPr="00704DE1">
        <w:rPr>
          <w:rFonts w:cstheme="minorHAnsi"/>
          <w:b/>
          <w:bCs/>
          <w:szCs w:val="20"/>
        </w:rPr>
        <w:fldChar w:fldCharType="begin"/>
      </w:r>
      <w:r w:rsidRPr="00704DE1">
        <w:rPr>
          <w:rFonts w:cstheme="minorHAnsi"/>
          <w:b/>
          <w:bCs/>
          <w:szCs w:val="20"/>
        </w:rPr>
        <w:instrText xml:space="preserve"> SEQ Figure \* ARABIC </w:instrText>
      </w:r>
      <w:r w:rsidRPr="00704DE1">
        <w:rPr>
          <w:rFonts w:cstheme="minorHAnsi"/>
          <w:b/>
          <w:bCs/>
          <w:szCs w:val="20"/>
        </w:rPr>
        <w:fldChar w:fldCharType="separate"/>
      </w:r>
      <w:r w:rsidR="00FB0A15">
        <w:rPr>
          <w:rFonts w:cstheme="minorHAnsi"/>
          <w:b/>
          <w:bCs/>
          <w:noProof/>
          <w:szCs w:val="20"/>
        </w:rPr>
        <w:t>5</w:t>
      </w:r>
      <w:r w:rsidRPr="00704DE1">
        <w:rPr>
          <w:rFonts w:cstheme="minorHAnsi"/>
          <w:b/>
          <w:bCs/>
          <w:szCs w:val="20"/>
        </w:rPr>
        <w:fldChar w:fldCharType="end"/>
      </w:r>
      <w:bookmarkEnd w:id="22"/>
      <w:r w:rsidRPr="00704DE1">
        <w:rPr>
          <w:rFonts w:cstheme="minorHAnsi"/>
          <w:b/>
          <w:bCs/>
          <w:szCs w:val="20"/>
        </w:rPr>
        <w:t xml:space="preserve">: </w:t>
      </w:r>
      <w:r>
        <w:rPr>
          <w:rFonts w:cstheme="minorHAnsi"/>
          <w:b/>
          <w:bCs/>
          <w:szCs w:val="20"/>
        </w:rPr>
        <w:t>Clinical management algorithm for the treatment of NDA HGEOC – Population #2</w:t>
      </w:r>
    </w:p>
    <w:p w14:paraId="37FCC55A" w14:textId="103C275E" w:rsidR="00DF2321" w:rsidRDefault="007312FF" w:rsidP="00DF2321">
      <w:pPr>
        <w:ind w:left="357"/>
      </w:pPr>
      <w:r>
        <w:rPr>
          <w:noProof/>
        </w:rPr>
        <w:drawing>
          <wp:inline distT="0" distB="0" distL="0" distR="0" wp14:anchorId="6EBF0375" wp14:editId="6C678A73">
            <wp:extent cx="5731510" cy="26860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686050"/>
                    </a:xfrm>
                    <a:prstGeom prst="rect">
                      <a:avLst/>
                    </a:prstGeom>
                  </pic:spPr>
                </pic:pic>
              </a:graphicData>
            </a:graphic>
          </wp:inline>
        </w:drawing>
      </w:r>
    </w:p>
    <w:p w14:paraId="48FD6B6A" w14:textId="7E67F623" w:rsidR="004C1689" w:rsidRDefault="004C1689" w:rsidP="00DF2321">
      <w:pPr>
        <w:ind w:left="357"/>
      </w:pPr>
      <w:bookmarkStart w:id="23" w:name="_Hlk110930437"/>
      <w:r>
        <w:t>Note: BRCA test refers to MBS Item 73301</w:t>
      </w:r>
    </w:p>
    <w:bookmarkEnd w:id="20"/>
    <w:p w14:paraId="3AEABFA7" w14:textId="77777777" w:rsidR="000E7BBC" w:rsidRDefault="000E7BBC" w:rsidP="00DF2321">
      <w:pPr>
        <w:ind w:left="357"/>
      </w:pPr>
    </w:p>
    <w:p w14:paraId="127928C1" w14:textId="56252620" w:rsidR="00A224D0" w:rsidRPr="00065C90" w:rsidRDefault="00DF2321" w:rsidP="00DF2321">
      <w:pPr>
        <w:ind w:left="357"/>
        <w:rPr>
          <w:u w:val="single"/>
        </w:rPr>
      </w:pPr>
      <w:r w:rsidRPr="00DF2321">
        <w:rPr>
          <w:b/>
          <w:bCs/>
          <w:u w:val="single"/>
        </w:rPr>
        <w:t>Population #3: Testing for BRCA/HRD/GIS to occur for patients that have received a first line platinum-based chemotherapy regimen only</w:t>
      </w:r>
    </w:p>
    <w:p w14:paraId="57D5157E" w14:textId="77777777" w:rsidR="00FB0A15" w:rsidRPr="00FB0A15" w:rsidRDefault="00FD6FB7" w:rsidP="00FB0A15">
      <w:pPr>
        <w:ind w:left="357"/>
        <w:rPr>
          <w:rFonts w:cstheme="minorHAnsi"/>
          <w:szCs w:val="20"/>
        </w:rPr>
      </w:pPr>
      <w:r w:rsidRPr="00065C90">
        <w:t>The proposed treatment algorithm for Population #3</w:t>
      </w:r>
      <w:r w:rsidR="00170D7D" w:rsidRPr="00065C90">
        <w:t>a</w:t>
      </w:r>
      <w:r w:rsidRPr="00065C90">
        <w:t xml:space="preserve"> </w:t>
      </w:r>
      <w:r w:rsidR="00C2397B" w:rsidRPr="00065C90">
        <w:t xml:space="preserve">via </w:t>
      </w:r>
      <w:r w:rsidR="00065C90" w:rsidRPr="00065C90">
        <w:t>parallel</w:t>
      </w:r>
      <w:r w:rsidR="00C2397B" w:rsidRPr="00065C90">
        <w:t xml:space="preserve"> testing (</w:t>
      </w:r>
      <w:r w:rsidR="00065C90" w:rsidRPr="00065C90">
        <w:fldChar w:fldCharType="begin"/>
      </w:r>
      <w:r w:rsidR="00065C90" w:rsidRPr="00065C90">
        <w:instrText xml:space="preserve"> REF _Ref104190842 \h  \* MERGEFORMAT </w:instrText>
      </w:r>
      <w:r w:rsidR="00065C90" w:rsidRPr="00065C90">
        <w:fldChar w:fldCharType="separate"/>
      </w:r>
      <w:r w:rsidR="00FB0A15" w:rsidRPr="00FB0A15">
        <w:rPr>
          <w:rFonts w:cstheme="minorHAnsi"/>
          <w:szCs w:val="20"/>
        </w:rPr>
        <w:br w:type="page"/>
      </w:r>
    </w:p>
    <w:p w14:paraId="75578B11" w14:textId="39A7EADB" w:rsidR="00FD6FB7" w:rsidRPr="00065C90" w:rsidRDefault="00FB0A15" w:rsidP="00DF2321">
      <w:pPr>
        <w:ind w:left="357"/>
      </w:pPr>
      <w:r w:rsidRPr="00FB0A15">
        <w:rPr>
          <w:rFonts w:cstheme="minorHAnsi"/>
          <w:noProof/>
          <w:szCs w:val="20"/>
        </w:rPr>
        <w:lastRenderedPageBreak/>
        <w:t>Figure</w:t>
      </w:r>
      <w:r w:rsidRPr="00704DE1">
        <w:rPr>
          <w:rFonts w:cstheme="minorHAnsi"/>
          <w:b/>
          <w:bCs/>
          <w:szCs w:val="20"/>
        </w:rPr>
        <w:t xml:space="preserve"> </w:t>
      </w:r>
      <w:r>
        <w:rPr>
          <w:rFonts w:cstheme="minorHAnsi"/>
          <w:b/>
          <w:bCs/>
          <w:noProof/>
          <w:szCs w:val="20"/>
        </w:rPr>
        <w:t>6</w:t>
      </w:r>
      <w:r w:rsidR="00065C90" w:rsidRPr="00065C90">
        <w:fldChar w:fldCharType="end"/>
      </w:r>
      <w:r w:rsidR="00C2397B" w:rsidRPr="00065C90">
        <w:t xml:space="preserve">) and </w:t>
      </w:r>
      <w:r w:rsidR="00170D7D" w:rsidRPr="00065C90">
        <w:t xml:space="preserve">#3b </w:t>
      </w:r>
      <w:r w:rsidR="008962CC" w:rsidRPr="00065C90">
        <w:t xml:space="preserve">via </w:t>
      </w:r>
      <w:r w:rsidR="00065C90" w:rsidRPr="00065C90">
        <w:t xml:space="preserve">sequential </w:t>
      </w:r>
      <w:r w:rsidR="00853DE2" w:rsidRPr="00065C90">
        <w:t xml:space="preserve">testing </w:t>
      </w:r>
      <w:r w:rsidR="00E26C12">
        <w:t>for patients that receive</w:t>
      </w:r>
      <w:r w:rsidR="00853DE2" w:rsidRPr="00065C90">
        <w:t xml:space="preserve"> </w:t>
      </w:r>
      <w:proofErr w:type="gramStart"/>
      <w:r w:rsidR="00853DE2" w:rsidRPr="00065C90">
        <w:t>platinum based</w:t>
      </w:r>
      <w:proofErr w:type="gramEnd"/>
      <w:r w:rsidR="00853DE2" w:rsidRPr="00065C90">
        <w:t xml:space="preserve"> chemotherapy (</w:t>
      </w:r>
      <w:r w:rsidR="00065C90" w:rsidRPr="00065C90">
        <w:fldChar w:fldCharType="begin"/>
      </w:r>
      <w:r w:rsidR="00065C90" w:rsidRPr="00065C90">
        <w:instrText xml:space="preserve"> REF _Ref104190797 \h  \* MERGEFORMAT </w:instrText>
      </w:r>
      <w:r w:rsidR="00065C90" w:rsidRPr="00065C90">
        <w:fldChar w:fldCharType="separate"/>
      </w:r>
      <w:r w:rsidRPr="00FB0A15">
        <w:rPr>
          <w:rFonts w:cstheme="minorHAnsi"/>
          <w:szCs w:val="20"/>
        </w:rPr>
        <w:t xml:space="preserve">Figure </w:t>
      </w:r>
      <w:r w:rsidRPr="00FB0A15">
        <w:rPr>
          <w:rFonts w:cstheme="minorHAnsi"/>
          <w:noProof/>
          <w:szCs w:val="20"/>
        </w:rPr>
        <w:t>7</w:t>
      </w:r>
      <w:r w:rsidR="00065C90" w:rsidRPr="00065C90">
        <w:fldChar w:fldCharType="end"/>
      </w:r>
      <w:r w:rsidR="00853DE2" w:rsidRPr="00065C90">
        <w:t xml:space="preserve">) is presented below.  </w:t>
      </w:r>
    </w:p>
    <w:p w14:paraId="39739C34" w14:textId="77777777" w:rsidR="00684BB1" w:rsidRDefault="00684BB1">
      <w:pPr>
        <w:spacing w:before="0" w:after="200" w:line="276" w:lineRule="auto"/>
        <w:rPr>
          <w:rFonts w:cstheme="minorHAnsi"/>
          <w:b/>
          <w:bCs/>
          <w:szCs w:val="20"/>
        </w:rPr>
      </w:pPr>
      <w:bookmarkStart w:id="24" w:name="_Ref104190842"/>
      <w:r>
        <w:rPr>
          <w:rFonts w:cstheme="minorHAnsi"/>
          <w:b/>
          <w:bCs/>
          <w:szCs w:val="20"/>
        </w:rPr>
        <w:br w:type="page"/>
      </w:r>
    </w:p>
    <w:p w14:paraId="4F6071E6" w14:textId="1B049561" w:rsidR="00065C90" w:rsidRDefault="00065C90" w:rsidP="00065C90">
      <w:pPr>
        <w:ind w:left="357"/>
      </w:pPr>
      <w:r w:rsidRPr="00704DE1">
        <w:rPr>
          <w:rFonts w:cstheme="minorHAnsi"/>
          <w:b/>
          <w:bCs/>
          <w:szCs w:val="20"/>
        </w:rPr>
        <w:lastRenderedPageBreak/>
        <w:t xml:space="preserve">Figure </w:t>
      </w:r>
      <w:r w:rsidRPr="00704DE1">
        <w:rPr>
          <w:rFonts w:cstheme="minorHAnsi"/>
          <w:b/>
          <w:bCs/>
          <w:szCs w:val="20"/>
        </w:rPr>
        <w:fldChar w:fldCharType="begin"/>
      </w:r>
      <w:r w:rsidRPr="00704DE1">
        <w:rPr>
          <w:rFonts w:cstheme="minorHAnsi"/>
          <w:b/>
          <w:bCs/>
          <w:szCs w:val="20"/>
        </w:rPr>
        <w:instrText xml:space="preserve"> SEQ Figure \* ARABIC </w:instrText>
      </w:r>
      <w:r w:rsidRPr="00704DE1">
        <w:rPr>
          <w:rFonts w:cstheme="minorHAnsi"/>
          <w:b/>
          <w:bCs/>
          <w:szCs w:val="20"/>
        </w:rPr>
        <w:fldChar w:fldCharType="separate"/>
      </w:r>
      <w:r w:rsidR="00FB0A15">
        <w:rPr>
          <w:rFonts w:cstheme="minorHAnsi"/>
          <w:b/>
          <w:bCs/>
          <w:noProof/>
          <w:szCs w:val="20"/>
        </w:rPr>
        <w:t>6</w:t>
      </w:r>
      <w:r w:rsidRPr="00704DE1">
        <w:rPr>
          <w:rFonts w:cstheme="minorHAnsi"/>
          <w:b/>
          <w:bCs/>
          <w:szCs w:val="20"/>
        </w:rPr>
        <w:fldChar w:fldCharType="end"/>
      </w:r>
      <w:bookmarkEnd w:id="24"/>
      <w:r w:rsidRPr="00704DE1">
        <w:rPr>
          <w:rFonts w:cstheme="minorHAnsi"/>
          <w:b/>
          <w:bCs/>
          <w:szCs w:val="20"/>
        </w:rPr>
        <w:t xml:space="preserve">: </w:t>
      </w:r>
      <w:r>
        <w:rPr>
          <w:rFonts w:cstheme="minorHAnsi"/>
          <w:b/>
          <w:bCs/>
          <w:szCs w:val="20"/>
        </w:rPr>
        <w:t>Clinical management algorithm for the treatment of NDA HGEOC – Population #3</w:t>
      </w:r>
      <w:r w:rsidR="00481B97">
        <w:rPr>
          <w:rFonts w:cstheme="minorHAnsi"/>
          <w:b/>
          <w:bCs/>
          <w:szCs w:val="20"/>
        </w:rPr>
        <w:t>a</w:t>
      </w:r>
      <w:r>
        <w:rPr>
          <w:rFonts w:cstheme="minorHAnsi"/>
          <w:b/>
          <w:bCs/>
          <w:szCs w:val="20"/>
        </w:rPr>
        <w:t xml:space="preserve">: Parallel HRD testing </w:t>
      </w:r>
      <w:r w:rsidR="00E26C12">
        <w:rPr>
          <w:rFonts w:cstheme="minorHAnsi"/>
          <w:b/>
          <w:bCs/>
          <w:szCs w:val="20"/>
        </w:rPr>
        <w:t>for patients that receive</w:t>
      </w:r>
      <w:r>
        <w:rPr>
          <w:rFonts w:cstheme="minorHAnsi"/>
          <w:b/>
          <w:bCs/>
          <w:szCs w:val="20"/>
        </w:rPr>
        <w:t xml:space="preserve"> platinum-based chemotherapy</w:t>
      </w:r>
    </w:p>
    <w:p w14:paraId="41FE51CE" w14:textId="1FE2BC75" w:rsidR="00065C90" w:rsidRDefault="00065C90" w:rsidP="00065C90">
      <w:pPr>
        <w:ind w:left="357"/>
      </w:pPr>
      <w:r>
        <w:rPr>
          <w:noProof/>
        </w:rPr>
        <w:drawing>
          <wp:inline distT="0" distB="0" distL="0" distR="0" wp14:anchorId="54953017" wp14:editId="4A3D6267">
            <wp:extent cx="5731510" cy="291973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4">
                      <a:extLst>
                        <a:ext uri="{28A0092B-C50C-407E-A947-70E740481C1C}">
                          <a14:useLocalDpi xmlns:a14="http://schemas.microsoft.com/office/drawing/2010/main" val="0"/>
                        </a:ext>
                      </a:extLst>
                    </a:blip>
                    <a:stretch>
                      <a:fillRect/>
                    </a:stretch>
                  </pic:blipFill>
                  <pic:spPr>
                    <a:xfrm>
                      <a:off x="0" y="0"/>
                      <a:ext cx="5731510" cy="2919730"/>
                    </a:xfrm>
                    <a:prstGeom prst="rect">
                      <a:avLst/>
                    </a:prstGeom>
                  </pic:spPr>
                </pic:pic>
              </a:graphicData>
            </a:graphic>
          </wp:inline>
        </w:drawing>
      </w:r>
    </w:p>
    <w:p w14:paraId="73C23699" w14:textId="77777777" w:rsidR="00BC6FE8" w:rsidRDefault="00BC6FE8" w:rsidP="00065C90">
      <w:pPr>
        <w:ind w:left="357"/>
      </w:pPr>
    </w:p>
    <w:p w14:paraId="5B9B1185" w14:textId="77777777" w:rsidR="00BC6FE8" w:rsidRDefault="00BC6FE8" w:rsidP="00065C90">
      <w:pPr>
        <w:ind w:left="357"/>
      </w:pPr>
    </w:p>
    <w:p w14:paraId="797DB1F9" w14:textId="37085B20" w:rsidR="00145712" w:rsidRDefault="00145712" w:rsidP="00145712">
      <w:pPr>
        <w:ind w:left="357"/>
      </w:pPr>
      <w:bookmarkStart w:id="25" w:name="_Ref104190797"/>
      <w:r w:rsidRPr="00704DE1">
        <w:rPr>
          <w:rFonts w:cstheme="minorHAnsi"/>
          <w:b/>
          <w:bCs/>
          <w:szCs w:val="20"/>
        </w:rPr>
        <w:t xml:space="preserve">Figure </w:t>
      </w:r>
      <w:r w:rsidRPr="00704DE1">
        <w:rPr>
          <w:rFonts w:cstheme="minorHAnsi"/>
          <w:b/>
          <w:bCs/>
          <w:szCs w:val="20"/>
        </w:rPr>
        <w:fldChar w:fldCharType="begin"/>
      </w:r>
      <w:r w:rsidRPr="00704DE1">
        <w:rPr>
          <w:rFonts w:cstheme="minorHAnsi"/>
          <w:b/>
          <w:bCs/>
          <w:szCs w:val="20"/>
        </w:rPr>
        <w:instrText xml:space="preserve"> SEQ Figure \* ARABIC </w:instrText>
      </w:r>
      <w:r w:rsidRPr="00704DE1">
        <w:rPr>
          <w:rFonts w:cstheme="minorHAnsi"/>
          <w:b/>
          <w:bCs/>
          <w:szCs w:val="20"/>
        </w:rPr>
        <w:fldChar w:fldCharType="separate"/>
      </w:r>
      <w:r w:rsidR="00FB0A15">
        <w:rPr>
          <w:rFonts w:cstheme="minorHAnsi"/>
          <w:b/>
          <w:bCs/>
          <w:noProof/>
          <w:szCs w:val="20"/>
        </w:rPr>
        <w:t>7</w:t>
      </w:r>
      <w:r w:rsidRPr="00704DE1">
        <w:rPr>
          <w:rFonts w:cstheme="minorHAnsi"/>
          <w:b/>
          <w:bCs/>
          <w:szCs w:val="20"/>
        </w:rPr>
        <w:fldChar w:fldCharType="end"/>
      </w:r>
      <w:bookmarkEnd w:id="25"/>
      <w:r w:rsidRPr="00704DE1">
        <w:rPr>
          <w:rFonts w:cstheme="minorHAnsi"/>
          <w:b/>
          <w:bCs/>
          <w:szCs w:val="20"/>
        </w:rPr>
        <w:t xml:space="preserve">: </w:t>
      </w:r>
      <w:r>
        <w:rPr>
          <w:rFonts w:cstheme="minorHAnsi"/>
          <w:b/>
          <w:bCs/>
          <w:szCs w:val="20"/>
        </w:rPr>
        <w:t>Clinical management algorithm for the treatment of NDA HGEOC – Population #3</w:t>
      </w:r>
      <w:r w:rsidR="00481B97">
        <w:rPr>
          <w:rFonts w:cstheme="minorHAnsi"/>
          <w:b/>
          <w:bCs/>
          <w:szCs w:val="20"/>
        </w:rPr>
        <w:t>b</w:t>
      </w:r>
      <w:r>
        <w:rPr>
          <w:rFonts w:cstheme="minorHAnsi"/>
          <w:b/>
          <w:bCs/>
          <w:szCs w:val="20"/>
        </w:rPr>
        <w:t xml:space="preserve">: </w:t>
      </w:r>
      <w:r w:rsidR="00BE1E7B">
        <w:rPr>
          <w:rFonts w:cstheme="minorHAnsi"/>
          <w:b/>
          <w:bCs/>
          <w:szCs w:val="20"/>
        </w:rPr>
        <w:t xml:space="preserve">Sequential </w:t>
      </w:r>
      <w:r>
        <w:rPr>
          <w:rFonts w:cstheme="minorHAnsi"/>
          <w:b/>
          <w:bCs/>
          <w:szCs w:val="20"/>
        </w:rPr>
        <w:t xml:space="preserve">HRD testing </w:t>
      </w:r>
      <w:r w:rsidR="00E26C12">
        <w:rPr>
          <w:rFonts w:cstheme="minorHAnsi"/>
          <w:b/>
          <w:bCs/>
          <w:szCs w:val="20"/>
        </w:rPr>
        <w:t>for patients that receive</w:t>
      </w:r>
      <w:r w:rsidR="00BE1E7B">
        <w:rPr>
          <w:rFonts w:cstheme="minorHAnsi"/>
          <w:b/>
          <w:bCs/>
          <w:szCs w:val="20"/>
        </w:rPr>
        <w:t xml:space="preserve"> </w:t>
      </w:r>
      <w:r w:rsidR="00410CD9">
        <w:rPr>
          <w:rFonts w:cstheme="minorHAnsi"/>
          <w:b/>
          <w:bCs/>
          <w:szCs w:val="20"/>
        </w:rPr>
        <w:t>platinum-based</w:t>
      </w:r>
      <w:r w:rsidR="00BE1E7B">
        <w:rPr>
          <w:rFonts w:cstheme="minorHAnsi"/>
          <w:b/>
          <w:bCs/>
          <w:szCs w:val="20"/>
        </w:rPr>
        <w:t xml:space="preserve"> chemotherapy</w:t>
      </w:r>
    </w:p>
    <w:p w14:paraId="69C8CB2A" w14:textId="4DD78710" w:rsidR="00DF2321" w:rsidRDefault="00A35DE2" w:rsidP="00DF2321">
      <w:pPr>
        <w:ind w:left="357"/>
      </w:pPr>
      <w:r>
        <w:rPr>
          <w:noProof/>
        </w:rPr>
        <w:drawing>
          <wp:inline distT="0" distB="0" distL="0" distR="0" wp14:anchorId="606542B5" wp14:editId="488A722E">
            <wp:extent cx="5731510" cy="32658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265805"/>
                    </a:xfrm>
                    <a:prstGeom prst="rect">
                      <a:avLst/>
                    </a:prstGeom>
                  </pic:spPr>
                </pic:pic>
              </a:graphicData>
            </a:graphic>
          </wp:inline>
        </w:drawing>
      </w:r>
    </w:p>
    <w:p w14:paraId="0265D03E" w14:textId="53E6F5F6" w:rsidR="006F067B" w:rsidRDefault="004C1689" w:rsidP="00AD1762">
      <w:pPr>
        <w:ind w:left="357"/>
      </w:pPr>
      <w:r>
        <w:t>Note: BRCA test refers to MBS Item 73301</w:t>
      </w:r>
      <w:bookmarkEnd w:id="23"/>
      <w:r w:rsidR="006F067B">
        <w:br w:type="page"/>
      </w:r>
    </w:p>
    <w:p w14:paraId="582DAECA" w14:textId="77777777" w:rsidR="00095B45" w:rsidRPr="00095B45" w:rsidRDefault="00095B45" w:rsidP="00684BB1">
      <w:pPr>
        <w:pStyle w:val="Subtitle"/>
        <w:ind w:left="0"/>
      </w:pPr>
      <w:r w:rsidRPr="00095B45">
        <w:lastRenderedPageBreak/>
        <w:t>PART 6d – INFORMATION ABOUT CLINICAL OUTCOMES</w:t>
      </w:r>
    </w:p>
    <w:p w14:paraId="6B977297"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852401C" w14:textId="04A06527" w:rsidR="005E237E" w:rsidRDefault="005E237E" w:rsidP="005E237E">
      <w:pPr>
        <w:ind w:left="426"/>
        <w:rPr>
          <w:szCs w:val="20"/>
        </w:rPr>
      </w:pPr>
      <w:r w:rsidRPr="005E237E">
        <w:rPr>
          <w:szCs w:val="20"/>
        </w:rPr>
        <w:t>For patients with NDA (FIGO stage III-IV) HGEOC who are in response (CR/PR) to PBC</w:t>
      </w:r>
      <w:r w:rsidR="005F3A31">
        <w:rPr>
          <w:szCs w:val="20"/>
        </w:rPr>
        <w:t>, the co-depe</w:t>
      </w:r>
      <w:r w:rsidR="00D82ED8">
        <w:rPr>
          <w:szCs w:val="20"/>
        </w:rPr>
        <w:t>n</w:t>
      </w:r>
      <w:r w:rsidR="005F3A31">
        <w:rPr>
          <w:szCs w:val="20"/>
        </w:rPr>
        <w:t xml:space="preserve">dent </w:t>
      </w:r>
      <w:r w:rsidR="00D82ED8">
        <w:rPr>
          <w:szCs w:val="20"/>
        </w:rPr>
        <w:t xml:space="preserve">technologies of tumour testing to identify HRD status and treatment with niraparib as maintenance therapy in patients </w:t>
      </w:r>
      <w:r w:rsidR="00B25FEB">
        <w:rPr>
          <w:szCs w:val="20"/>
        </w:rPr>
        <w:t>with HRD and no BRCA1/2 pathogenic variant is</w:t>
      </w:r>
      <w:r w:rsidRPr="005E237E">
        <w:rPr>
          <w:szCs w:val="20"/>
        </w:rPr>
        <w:t>:</w:t>
      </w:r>
    </w:p>
    <w:p w14:paraId="0841C159" w14:textId="6B55E4D8" w:rsidR="005E237E" w:rsidRDefault="00B25FEB" w:rsidP="005E237E">
      <w:pPr>
        <w:pStyle w:val="ListParagraph"/>
        <w:numPr>
          <w:ilvl w:val="0"/>
          <w:numId w:val="28"/>
        </w:numPr>
        <w:rPr>
          <w:szCs w:val="20"/>
        </w:rPr>
      </w:pPr>
      <w:r>
        <w:rPr>
          <w:szCs w:val="20"/>
        </w:rPr>
        <w:t>S</w:t>
      </w:r>
      <w:r w:rsidR="005E237E" w:rsidRPr="005E237E">
        <w:rPr>
          <w:szCs w:val="20"/>
        </w:rPr>
        <w:t xml:space="preserve">uperior in terms of </w:t>
      </w:r>
      <w:r w:rsidR="00A70DC2">
        <w:rPr>
          <w:szCs w:val="20"/>
        </w:rPr>
        <w:t xml:space="preserve">effectiveness </w:t>
      </w:r>
      <w:r w:rsidR="005E237E" w:rsidRPr="005E237E">
        <w:rPr>
          <w:szCs w:val="20"/>
        </w:rPr>
        <w:t xml:space="preserve">compared to </w:t>
      </w:r>
      <w:r w:rsidR="00954A41">
        <w:rPr>
          <w:szCs w:val="20"/>
        </w:rPr>
        <w:t>n</w:t>
      </w:r>
      <w:r w:rsidR="005E237E" w:rsidRPr="005E237E">
        <w:rPr>
          <w:szCs w:val="20"/>
        </w:rPr>
        <w:t>o HRD testing &amp; SMM.</w:t>
      </w:r>
    </w:p>
    <w:p w14:paraId="2C140AAF" w14:textId="00D89391" w:rsidR="004E3CC7" w:rsidRPr="005E237E" w:rsidRDefault="00AF4811" w:rsidP="005E237E">
      <w:pPr>
        <w:pStyle w:val="ListParagraph"/>
        <w:numPr>
          <w:ilvl w:val="0"/>
          <w:numId w:val="28"/>
        </w:numPr>
        <w:rPr>
          <w:szCs w:val="20"/>
        </w:rPr>
      </w:pPr>
      <w:r>
        <w:rPr>
          <w:szCs w:val="20"/>
        </w:rPr>
        <w:t>I</w:t>
      </w:r>
      <w:r w:rsidR="005E237E" w:rsidRPr="005E237E">
        <w:rPr>
          <w:szCs w:val="20"/>
        </w:rPr>
        <w:t xml:space="preserve">nferior to </w:t>
      </w:r>
      <w:r w:rsidR="00954A41">
        <w:rPr>
          <w:szCs w:val="20"/>
        </w:rPr>
        <w:t>n</w:t>
      </w:r>
      <w:r w:rsidR="005E237E" w:rsidRPr="005E237E">
        <w:rPr>
          <w:szCs w:val="20"/>
        </w:rPr>
        <w:t>o HRD testing &amp; SMM with respect to safety</w:t>
      </w:r>
    </w:p>
    <w:p w14:paraId="17EAB0EC" w14:textId="77777777" w:rsidR="004E3CC7" w:rsidRDefault="0047363C" w:rsidP="00943A5E">
      <w:pPr>
        <w:pStyle w:val="Heading2"/>
      </w:pPr>
      <w:r w:rsidRPr="0047363C">
        <w:t>Please state what the overall clinical claim is</w:t>
      </w:r>
      <w:r>
        <w:t>:</w:t>
      </w:r>
    </w:p>
    <w:p w14:paraId="10F71094" w14:textId="77777777" w:rsidR="00C10002" w:rsidRDefault="00C10002" w:rsidP="00C10002">
      <w:pPr>
        <w:ind w:left="426"/>
        <w:rPr>
          <w:szCs w:val="20"/>
        </w:rPr>
      </w:pPr>
      <w:r w:rsidRPr="005E237E">
        <w:rPr>
          <w:szCs w:val="20"/>
        </w:rPr>
        <w:t>For patients with NDA (FIGO stage III-IV) HGEOC who are in response (CR/PR) to PBC</w:t>
      </w:r>
      <w:r>
        <w:rPr>
          <w:szCs w:val="20"/>
        </w:rPr>
        <w:t>, the co-dependent technologies of tumour testing to identify HRD status and treatment with niraparib as maintenance therapy in patients with HRD and no BRCA1/2 pathogenic variant is</w:t>
      </w:r>
      <w:r w:rsidRPr="005E237E">
        <w:rPr>
          <w:szCs w:val="20"/>
        </w:rPr>
        <w:t>:</w:t>
      </w:r>
    </w:p>
    <w:p w14:paraId="7143C7A4" w14:textId="77777777" w:rsidR="00C10002" w:rsidRDefault="00C10002" w:rsidP="00C10002">
      <w:pPr>
        <w:pStyle w:val="ListParagraph"/>
        <w:numPr>
          <w:ilvl w:val="0"/>
          <w:numId w:val="28"/>
        </w:numPr>
        <w:rPr>
          <w:szCs w:val="20"/>
        </w:rPr>
      </w:pPr>
      <w:r>
        <w:rPr>
          <w:szCs w:val="20"/>
        </w:rPr>
        <w:t>S</w:t>
      </w:r>
      <w:r w:rsidRPr="005E237E">
        <w:rPr>
          <w:szCs w:val="20"/>
        </w:rPr>
        <w:t xml:space="preserve">uperior in terms of </w:t>
      </w:r>
      <w:r>
        <w:rPr>
          <w:szCs w:val="20"/>
        </w:rPr>
        <w:t xml:space="preserve">effectiveness </w:t>
      </w:r>
      <w:r w:rsidRPr="005E237E">
        <w:rPr>
          <w:szCs w:val="20"/>
        </w:rPr>
        <w:t xml:space="preserve">compared to </w:t>
      </w:r>
      <w:r>
        <w:rPr>
          <w:szCs w:val="20"/>
        </w:rPr>
        <w:t>n</w:t>
      </w:r>
      <w:r w:rsidRPr="005E237E">
        <w:rPr>
          <w:szCs w:val="20"/>
        </w:rPr>
        <w:t>o HRD testing &amp; SMM.</w:t>
      </w:r>
    </w:p>
    <w:p w14:paraId="504EE287" w14:textId="77777777" w:rsidR="00C10002" w:rsidRPr="005E237E" w:rsidRDefault="00C10002" w:rsidP="00C10002">
      <w:pPr>
        <w:pStyle w:val="ListParagraph"/>
        <w:numPr>
          <w:ilvl w:val="0"/>
          <w:numId w:val="28"/>
        </w:numPr>
        <w:rPr>
          <w:szCs w:val="20"/>
        </w:rPr>
      </w:pPr>
      <w:r>
        <w:rPr>
          <w:szCs w:val="20"/>
        </w:rPr>
        <w:t>I</w:t>
      </w:r>
      <w:r w:rsidRPr="005E237E">
        <w:rPr>
          <w:szCs w:val="20"/>
        </w:rPr>
        <w:t xml:space="preserve">nferior to </w:t>
      </w:r>
      <w:r>
        <w:rPr>
          <w:szCs w:val="20"/>
        </w:rPr>
        <w:t>n</w:t>
      </w:r>
      <w:r w:rsidRPr="005E237E">
        <w:rPr>
          <w:szCs w:val="20"/>
        </w:rPr>
        <w:t>o HRD testing &amp; SMM with respect to safety</w:t>
      </w:r>
    </w:p>
    <w:p w14:paraId="78A16DA8" w14:textId="097D1F07"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p w14:paraId="63F8CA81" w14:textId="4FB2A6B8" w:rsidR="00943A5E" w:rsidRDefault="00F60C41" w:rsidP="00943A5E">
      <w:pPr>
        <w:ind w:left="360"/>
      </w:pPr>
      <w:r>
        <w:t xml:space="preserve">Health outcomes that are relevant to the application are </w:t>
      </w:r>
      <w:r w:rsidR="00A116EA">
        <w:t>as follows:</w:t>
      </w:r>
    </w:p>
    <w:p w14:paraId="4B3A970A" w14:textId="71493A3C" w:rsidR="00A116EA" w:rsidRPr="005B70EE" w:rsidRDefault="00951665" w:rsidP="00943A5E">
      <w:pPr>
        <w:ind w:left="360"/>
        <w:rPr>
          <w:b/>
          <w:bCs/>
          <w:u w:val="single"/>
        </w:rPr>
      </w:pPr>
      <w:r w:rsidRPr="005B70EE">
        <w:rPr>
          <w:b/>
          <w:bCs/>
          <w:u w:val="single"/>
        </w:rPr>
        <w:t>Test</w:t>
      </w:r>
    </w:p>
    <w:p w14:paraId="1AC5CC58" w14:textId="5E1B4502" w:rsidR="005B70EE" w:rsidRDefault="005B70EE" w:rsidP="005B70EE">
      <w:pPr>
        <w:pStyle w:val="ListParagraph"/>
        <w:numPr>
          <w:ilvl w:val="0"/>
          <w:numId w:val="28"/>
        </w:numPr>
      </w:pPr>
      <w:r>
        <w:t xml:space="preserve">Comparison of concordance and discordance between evidentiary standard (Myriad </w:t>
      </w:r>
      <w:proofErr w:type="spellStart"/>
      <w:r>
        <w:t>MyChoice</w:t>
      </w:r>
      <w:proofErr w:type="spellEnd"/>
      <w:r>
        <w:t xml:space="preserve"> Assay) and local HRD test to determine HRD status</w:t>
      </w:r>
    </w:p>
    <w:p w14:paraId="313D1D31" w14:textId="42FAD6A8" w:rsidR="005B70EE" w:rsidRDefault="005B70EE" w:rsidP="005B70EE">
      <w:pPr>
        <w:pStyle w:val="ListParagraph"/>
        <w:numPr>
          <w:ilvl w:val="0"/>
          <w:numId w:val="28"/>
        </w:numPr>
      </w:pPr>
      <w:r>
        <w:t xml:space="preserve">Comparison of the analytical performance of the local HRD test compared with current tumour BRCA testing to determine BRCA pathogenic variant status (Applicable to </w:t>
      </w:r>
      <w:r w:rsidR="00C03813">
        <w:t xml:space="preserve">parallel testing scenarios for </w:t>
      </w:r>
      <w:r>
        <w:t>Population #1</w:t>
      </w:r>
      <w:r w:rsidR="00C03813">
        <w:t xml:space="preserve"> and Population #3</w:t>
      </w:r>
      <w:r>
        <w:t>)</w:t>
      </w:r>
    </w:p>
    <w:p w14:paraId="1095B6BF" w14:textId="1D3EB7B0" w:rsidR="005B70EE" w:rsidRDefault="005B70EE" w:rsidP="005B70EE">
      <w:pPr>
        <w:pStyle w:val="ListParagraph"/>
        <w:numPr>
          <w:ilvl w:val="0"/>
          <w:numId w:val="28"/>
        </w:numPr>
      </w:pPr>
      <w:r>
        <w:t>Clinical validity of the test: differential prognostic effect of HRD positive status in HGEOC, including an assessment of whether the prognostic effect varies further according to BRCA status</w:t>
      </w:r>
    </w:p>
    <w:p w14:paraId="5A907DF9" w14:textId="109D1E3D" w:rsidR="005B70EE" w:rsidRDefault="005B70EE" w:rsidP="005B70EE">
      <w:pPr>
        <w:pStyle w:val="ListParagraph"/>
        <w:numPr>
          <w:ilvl w:val="0"/>
          <w:numId w:val="28"/>
        </w:numPr>
      </w:pPr>
      <w:r>
        <w:t>Clinical utility of the test: treatment effect modification of niraparib by HRD positive status in patients with NDA HGEOC who are in response to PBC</w:t>
      </w:r>
    </w:p>
    <w:p w14:paraId="743DA952" w14:textId="2A1D4AB2" w:rsidR="005B70EE" w:rsidRDefault="005B70EE" w:rsidP="005B70EE">
      <w:pPr>
        <w:pStyle w:val="ListParagraph"/>
        <w:numPr>
          <w:ilvl w:val="0"/>
          <w:numId w:val="28"/>
        </w:numPr>
      </w:pPr>
      <w:r>
        <w:t>Other test related considerations: test failure rates and re-biopsy rates; test turnaround time</w:t>
      </w:r>
    </w:p>
    <w:p w14:paraId="7B45C1D1" w14:textId="15C89EF0" w:rsidR="00951665" w:rsidRDefault="005B70EE" w:rsidP="005B70EE">
      <w:pPr>
        <w:pStyle w:val="ListParagraph"/>
        <w:numPr>
          <w:ilvl w:val="0"/>
          <w:numId w:val="28"/>
        </w:numPr>
      </w:pPr>
      <w:r>
        <w:t>Safety: adverse events associated with biopsy/re-biopsy for patients with inadequate tissue for tumour testing</w:t>
      </w:r>
    </w:p>
    <w:p w14:paraId="371E9973" w14:textId="5A34948D" w:rsidR="00A116EA" w:rsidRPr="005B70EE" w:rsidRDefault="005B70EE" w:rsidP="00943A5E">
      <w:pPr>
        <w:ind w:left="360"/>
        <w:rPr>
          <w:b/>
          <w:bCs/>
          <w:u w:val="single"/>
        </w:rPr>
      </w:pPr>
      <w:r w:rsidRPr="005B70EE">
        <w:rPr>
          <w:b/>
          <w:bCs/>
          <w:u w:val="single"/>
        </w:rPr>
        <w:t>Maintenance Therapy</w:t>
      </w:r>
    </w:p>
    <w:p w14:paraId="15EA2FCF" w14:textId="274BC6B2" w:rsidR="005B70EE" w:rsidRDefault="00C03813" w:rsidP="005B70EE">
      <w:pPr>
        <w:pStyle w:val="ListParagraph"/>
        <w:numPr>
          <w:ilvl w:val="0"/>
          <w:numId w:val="28"/>
        </w:numPr>
      </w:pPr>
      <w:r>
        <w:t>Progression Free Survival</w:t>
      </w:r>
    </w:p>
    <w:p w14:paraId="59464A7A" w14:textId="3A4118A5" w:rsidR="00C03813" w:rsidRDefault="00C03813" w:rsidP="005B70EE">
      <w:pPr>
        <w:pStyle w:val="ListParagraph"/>
        <w:numPr>
          <w:ilvl w:val="0"/>
          <w:numId w:val="28"/>
        </w:numPr>
      </w:pPr>
      <w:r>
        <w:t>Overall Survival</w:t>
      </w:r>
    </w:p>
    <w:p w14:paraId="3DC4FCDB" w14:textId="5C72FCF3" w:rsidR="00C03813" w:rsidRDefault="00C03813" w:rsidP="005B70EE">
      <w:pPr>
        <w:pStyle w:val="ListParagraph"/>
        <w:numPr>
          <w:ilvl w:val="0"/>
          <w:numId w:val="28"/>
        </w:numPr>
      </w:pPr>
      <w:r>
        <w:t>Health related quality of life</w:t>
      </w:r>
    </w:p>
    <w:p w14:paraId="5B75B2B6" w14:textId="4A30166F" w:rsidR="00CC1171" w:rsidRDefault="00CC1171" w:rsidP="005B70EE">
      <w:pPr>
        <w:pStyle w:val="ListParagraph"/>
        <w:numPr>
          <w:ilvl w:val="0"/>
          <w:numId w:val="28"/>
        </w:numPr>
      </w:pPr>
      <w:r>
        <w:t>Safety</w:t>
      </w:r>
    </w:p>
    <w:p w14:paraId="7DF71D06" w14:textId="77777777" w:rsidR="00CC1171" w:rsidRPr="00943A5E" w:rsidRDefault="00CC1171" w:rsidP="00CC1171">
      <w:pPr>
        <w:ind w:left="360"/>
      </w:pPr>
    </w:p>
    <w:p w14:paraId="5A7D9619"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1EF411C1"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1459D655" w14:textId="7B2FDF40" w:rsidR="006C74B1" w:rsidRPr="00684BB1" w:rsidRDefault="002259CE" w:rsidP="00684BB1">
      <w:pPr>
        <w:spacing w:before="60"/>
        <w:ind w:left="360"/>
      </w:pPr>
      <w:r>
        <w:t xml:space="preserve">Based on the Australian Institute of Health and Welfare, </w:t>
      </w:r>
      <w:r w:rsidR="00BC19EA">
        <w:t xml:space="preserve">ovarian </w:t>
      </w:r>
      <w:proofErr w:type="gramStart"/>
      <w:r w:rsidR="00BC19EA">
        <w:t>cancer</w:t>
      </w:r>
      <w:proofErr w:type="gramEnd"/>
      <w:r w:rsidR="00BC19EA">
        <w:t xml:space="preserve"> and serous carcinomas of the fallopian tube</w:t>
      </w:r>
      <w:r w:rsidR="0015338F">
        <w:t xml:space="preserve"> (C56, C57 and C58 with </w:t>
      </w:r>
      <w:proofErr w:type="spellStart"/>
      <w:r w:rsidR="0015338F">
        <w:t>histologies</w:t>
      </w:r>
      <w:proofErr w:type="spellEnd"/>
      <w:r w:rsidR="0015338F">
        <w:t xml:space="preserve"> 8441, 8460, 8461)</w:t>
      </w:r>
      <w:r w:rsidR="00BC19EA">
        <w:t xml:space="preserve"> </w:t>
      </w:r>
      <w:r w:rsidR="00486464">
        <w:t>were</w:t>
      </w:r>
      <w:r w:rsidR="00BC19EA">
        <w:t xml:space="preserve"> projected to have an incidence of 1720 in </w:t>
      </w:r>
      <w:r w:rsidR="006773E5">
        <w:t xml:space="preserve">2021.  </w:t>
      </w:r>
      <w:r w:rsidR="00950607">
        <w:t>With respect to peritoneal cancer</w:t>
      </w:r>
      <w:r w:rsidR="00CA255B">
        <w:t xml:space="preserve"> (C48)</w:t>
      </w:r>
      <w:r w:rsidR="00950607">
        <w:t xml:space="preserve">, </w:t>
      </w:r>
      <w:r w:rsidR="00E04287">
        <w:t>with the exclusion of cases in the retroperitoneum</w:t>
      </w:r>
      <w:r w:rsidR="00CA255B">
        <w:t xml:space="preserve"> (MOH 2013</w:t>
      </w:r>
      <w:r w:rsidR="001559C6">
        <w:t>)</w:t>
      </w:r>
      <w:r w:rsidR="00E04287">
        <w:t xml:space="preserve">, </w:t>
      </w:r>
      <w:r w:rsidR="00CA255B">
        <w:t>the incidence is estimated to be 117</w:t>
      </w:r>
      <w:r w:rsidR="00950607">
        <w:t xml:space="preserve"> in 2021</w:t>
      </w:r>
      <w:r w:rsidR="001559C6">
        <w:t xml:space="preserve">.  </w:t>
      </w:r>
    </w:p>
    <w:p w14:paraId="55803DB7" w14:textId="77777777" w:rsidR="00382407" w:rsidRPr="00154B00" w:rsidRDefault="00382407" w:rsidP="00684BB1">
      <w:pPr>
        <w:pStyle w:val="Heading2"/>
        <w:spacing w:after="60"/>
        <w:ind w:left="357" w:hanging="357"/>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33CC7038" w14:textId="64B7C9C8" w:rsidR="00382407" w:rsidRPr="00684BB1" w:rsidRDefault="003A6518" w:rsidP="00684BB1">
      <w:pPr>
        <w:spacing w:before="60"/>
        <w:ind w:left="360"/>
      </w:pPr>
      <w:r>
        <w:t>T</w:t>
      </w:r>
      <w:r w:rsidR="005A59E2">
        <w:t xml:space="preserve">esting to determine </w:t>
      </w:r>
      <w:r>
        <w:t xml:space="preserve">HRD status would be conducted only once per primary tumour diagnosis.  </w:t>
      </w:r>
    </w:p>
    <w:p w14:paraId="44F9ECE9" w14:textId="77777777" w:rsidR="00382407" w:rsidRPr="00154B00" w:rsidRDefault="00382407" w:rsidP="00684BB1">
      <w:pPr>
        <w:pStyle w:val="Heading2"/>
        <w:spacing w:after="60"/>
        <w:ind w:left="357" w:hanging="357"/>
      </w:pPr>
      <w:r w:rsidRPr="00154B00">
        <w:t>How many years would the proposed medical service</w:t>
      </w:r>
      <w:r w:rsidR="00FC1607">
        <w:t>/technology</w:t>
      </w:r>
      <w:r w:rsidRPr="00154B00">
        <w:t xml:space="preserve"> be required for the patient?</w:t>
      </w:r>
    </w:p>
    <w:p w14:paraId="7D75D0AC" w14:textId="425BA75B" w:rsidR="00BA6D50" w:rsidRPr="00684BB1" w:rsidRDefault="00BA6D50" w:rsidP="00684BB1">
      <w:pPr>
        <w:spacing w:before="60"/>
        <w:ind w:left="357"/>
      </w:pPr>
      <w:r>
        <w:t xml:space="preserve">Testing to determine HRD status would be conducted only once per primary tumour diagnosis.  </w:t>
      </w:r>
    </w:p>
    <w:p w14:paraId="504D3AA2" w14:textId="77777777" w:rsidR="002A6753" w:rsidRPr="00154B00" w:rsidRDefault="000E47E7" w:rsidP="00684BB1">
      <w:pPr>
        <w:pStyle w:val="Heading2"/>
        <w:spacing w:after="60"/>
        <w:ind w:left="357" w:hanging="357"/>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8A9CEA7" w14:textId="7DC796E9" w:rsidR="00C85E4C" w:rsidRPr="00356421" w:rsidRDefault="000F6043" w:rsidP="00684BB1">
      <w:pPr>
        <w:spacing w:before="60"/>
        <w:ind w:left="357"/>
      </w:pPr>
      <w:r w:rsidRPr="00356421">
        <w:t xml:space="preserve">The number of patients that would utilise HRD testing for the first year </w:t>
      </w:r>
      <w:r w:rsidR="00344E1C" w:rsidRPr="00356421">
        <w:t xml:space="preserve">is summarised in </w:t>
      </w:r>
      <w:r w:rsidR="00356421" w:rsidRPr="00356421">
        <w:fldChar w:fldCharType="begin"/>
      </w:r>
      <w:r w:rsidR="00356421" w:rsidRPr="00356421">
        <w:instrText xml:space="preserve"> REF _Ref104279070 \h  \* MERGEFORMAT </w:instrText>
      </w:r>
      <w:r w:rsidR="00356421" w:rsidRPr="00356421">
        <w:fldChar w:fldCharType="separate"/>
      </w:r>
      <w:r w:rsidR="00FB0A15" w:rsidRPr="00FB0A15">
        <w:t>Table 7</w:t>
      </w:r>
      <w:r w:rsidR="00356421" w:rsidRPr="00356421">
        <w:fldChar w:fldCharType="end"/>
      </w:r>
      <w:r w:rsidR="00356421" w:rsidRPr="00356421">
        <w:t xml:space="preserve"> </w:t>
      </w:r>
      <w:r w:rsidR="00344E1C" w:rsidRPr="00356421">
        <w:t xml:space="preserve">below.  </w:t>
      </w:r>
      <w:r w:rsidR="00503B48">
        <w:t>From the incident ovarian cancer population</w:t>
      </w:r>
      <w:r w:rsidR="00F306E1">
        <w:t xml:space="preserve">, </w:t>
      </w:r>
      <w:r w:rsidR="003A089B">
        <w:t xml:space="preserve">patients with </w:t>
      </w:r>
      <w:r w:rsidR="001779A5">
        <w:t>high grade</w:t>
      </w:r>
      <w:r w:rsidR="004D4A69">
        <w:t xml:space="preserve"> (93.6%, Alsop 2012)</w:t>
      </w:r>
      <w:r w:rsidR="001779A5">
        <w:t>, epithelial</w:t>
      </w:r>
      <w:r w:rsidR="004D4A69">
        <w:t xml:space="preserve"> (83.7%, AIHW 2010)</w:t>
      </w:r>
      <w:r w:rsidR="001779A5">
        <w:t xml:space="preserve"> and advanced disease </w:t>
      </w:r>
      <w:r w:rsidR="004337B1">
        <w:t xml:space="preserve">(81.8%; Lindemann 2018) </w:t>
      </w:r>
      <w:r w:rsidR="001779A5">
        <w:t xml:space="preserve">were estimated to be 1178 in 2021.  </w:t>
      </w:r>
      <w:r w:rsidR="006A77BC">
        <w:t xml:space="preserve">It is assumed that 95% of these patients will </w:t>
      </w:r>
      <w:r w:rsidR="00D11D15">
        <w:t>have a tumour sample available for testing</w:t>
      </w:r>
      <w:r w:rsidR="00A33F76">
        <w:t xml:space="preserve">, of which </w:t>
      </w:r>
      <w:r w:rsidR="00E767B6">
        <w:t xml:space="preserve">all patients would receive HRD testing in </w:t>
      </w:r>
      <w:r w:rsidR="00A33F76">
        <w:t xml:space="preserve">Population #1 </w:t>
      </w:r>
      <w:r w:rsidR="00E767B6">
        <w:t>scenario (</w:t>
      </w:r>
      <w:r w:rsidR="00A33F76">
        <w:t xml:space="preserve">1119 patients).  </w:t>
      </w:r>
      <w:r w:rsidR="00E767B6">
        <w:t xml:space="preserve">In a sequential </w:t>
      </w:r>
      <w:r w:rsidR="000D5F87">
        <w:t>testing situation (Population #2)</w:t>
      </w:r>
      <w:r w:rsidR="00E767B6">
        <w:t>, patients identified as non-</w:t>
      </w:r>
      <w:proofErr w:type="spellStart"/>
      <w:r w:rsidR="00E767B6">
        <w:t>BRCAm</w:t>
      </w:r>
      <w:proofErr w:type="spellEnd"/>
      <w:r w:rsidR="00E767B6">
        <w:t xml:space="preserve"> (</w:t>
      </w:r>
      <w:r w:rsidR="006F366A">
        <w:t>PBAC, 74.7%) would undergo subsequent GIS</w:t>
      </w:r>
      <w:r w:rsidR="000D5F87">
        <w:t xml:space="preserve"> (836 patients).  </w:t>
      </w:r>
      <w:r w:rsidR="008F1B28">
        <w:t>M</w:t>
      </w:r>
      <w:r w:rsidR="002F3890">
        <w:t>ost patients receive 1L PBC (</w:t>
      </w:r>
      <w:r w:rsidR="0034665D">
        <w:t xml:space="preserve">Alsop 2012, </w:t>
      </w:r>
      <w:r w:rsidR="002F3890">
        <w:t>91.5%)</w:t>
      </w:r>
      <w:r w:rsidR="00497675">
        <w:t xml:space="preserve"> and a chemotherapy only regimen (</w:t>
      </w:r>
      <w:r w:rsidR="000A0DD9">
        <w:t xml:space="preserve">Niraparib March 2022 </w:t>
      </w:r>
      <w:r w:rsidR="0080345D">
        <w:t>PSD</w:t>
      </w:r>
      <w:r w:rsidR="000A0DD9">
        <w:t>, Paragraph 7.10</w:t>
      </w:r>
      <w:r w:rsidR="00A2321D">
        <w:t xml:space="preserve"> and </w:t>
      </w:r>
      <w:r w:rsidR="000A0DD9">
        <w:t>5.</w:t>
      </w:r>
      <w:r w:rsidR="0080345D">
        <w:t>1</w:t>
      </w:r>
      <w:r w:rsidR="00A2321D">
        <w:t>; refer to Question 36</w:t>
      </w:r>
      <w:r w:rsidR="00497675">
        <w:t>)</w:t>
      </w:r>
      <w:r w:rsidR="008F1B28">
        <w:t xml:space="preserve">, representing the HRD testing population </w:t>
      </w:r>
      <w:r w:rsidR="00067E75">
        <w:t xml:space="preserve">that receive first line </w:t>
      </w:r>
      <w:proofErr w:type="gramStart"/>
      <w:r w:rsidR="00067E75">
        <w:t>platinum based</w:t>
      </w:r>
      <w:proofErr w:type="gramEnd"/>
      <w:r w:rsidR="00067E75">
        <w:t xml:space="preserve"> chemotherapy</w:t>
      </w:r>
      <w:r w:rsidR="008F1B28">
        <w:t xml:space="preserve"> (Population #3</w:t>
      </w:r>
      <w:r w:rsidR="00A40C87">
        <w:t>a</w:t>
      </w:r>
      <w:r w:rsidR="008F1B28">
        <w:t xml:space="preserve">, </w:t>
      </w:r>
      <w:r w:rsidR="00EC2C28">
        <w:t>972</w:t>
      </w:r>
      <w:r w:rsidR="008F1B28">
        <w:t xml:space="preserve"> patients). </w:t>
      </w:r>
    </w:p>
    <w:p w14:paraId="016860A6" w14:textId="7EC0A11F" w:rsidR="00344E1C" w:rsidRPr="00DD6222" w:rsidRDefault="00344E1C" w:rsidP="006221F9">
      <w:pPr>
        <w:spacing w:after="0"/>
        <w:rPr>
          <w:rFonts w:cstheme="minorHAnsi"/>
          <w:b/>
          <w:bCs/>
          <w:szCs w:val="20"/>
        </w:rPr>
      </w:pPr>
      <w:bookmarkStart w:id="26" w:name="_Ref104279070"/>
      <w:r w:rsidRPr="00DD6222">
        <w:rPr>
          <w:rFonts w:cstheme="minorHAnsi"/>
          <w:b/>
          <w:bCs/>
          <w:szCs w:val="20"/>
        </w:rPr>
        <w:t xml:space="preserve">Table </w:t>
      </w:r>
      <w:r w:rsidRPr="00DD6222">
        <w:rPr>
          <w:rFonts w:cstheme="minorHAnsi"/>
          <w:b/>
          <w:bCs/>
          <w:szCs w:val="20"/>
        </w:rPr>
        <w:fldChar w:fldCharType="begin"/>
      </w:r>
      <w:r w:rsidRPr="00DD6222">
        <w:rPr>
          <w:rFonts w:cstheme="minorHAnsi"/>
          <w:b/>
          <w:bCs/>
          <w:szCs w:val="20"/>
        </w:rPr>
        <w:instrText xml:space="preserve"> SEQ Table \* ARABIC </w:instrText>
      </w:r>
      <w:r w:rsidRPr="00DD6222">
        <w:rPr>
          <w:rFonts w:cstheme="minorHAnsi"/>
          <w:b/>
          <w:bCs/>
          <w:szCs w:val="20"/>
        </w:rPr>
        <w:fldChar w:fldCharType="separate"/>
      </w:r>
      <w:r w:rsidR="00FB0A15">
        <w:rPr>
          <w:rFonts w:cstheme="minorHAnsi"/>
          <w:b/>
          <w:bCs/>
          <w:noProof/>
          <w:szCs w:val="20"/>
        </w:rPr>
        <w:t>7</w:t>
      </w:r>
      <w:r w:rsidRPr="00DD6222">
        <w:rPr>
          <w:rFonts w:cstheme="minorHAnsi"/>
          <w:b/>
          <w:bCs/>
          <w:szCs w:val="20"/>
        </w:rPr>
        <w:fldChar w:fldCharType="end"/>
      </w:r>
      <w:bookmarkEnd w:id="26"/>
      <w:r w:rsidRPr="00DD6222">
        <w:rPr>
          <w:rFonts w:cstheme="minorHAnsi"/>
          <w:b/>
          <w:bCs/>
          <w:szCs w:val="20"/>
        </w:rPr>
        <w:t xml:space="preserve">: </w:t>
      </w:r>
      <w:r w:rsidR="003B5E6C">
        <w:rPr>
          <w:rFonts w:cstheme="minorHAnsi"/>
          <w:b/>
          <w:bCs/>
          <w:szCs w:val="20"/>
        </w:rPr>
        <w:t>N</w:t>
      </w:r>
      <w:r w:rsidR="00356421">
        <w:rPr>
          <w:rFonts w:cstheme="minorHAnsi"/>
          <w:b/>
          <w:bCs/>
          <w:szCs w:val="20"/>
        </w:rPr>
        <w:t>umber of patients utilising HRD testing according to Population #1, #2 and #3</w:t>
      </w:r>
    </w:p>
    <w:tbl>
      <w:tblPr>
        <w:tblStyle w:val="TableGrid"/>
        <w:tblW w:w="5343" w:type="pct"/>
        <w:tblCellMar>
          <w:left w:w="28" w:type="dxa"/>
          <w:right w:w="28" w:type="dxa"/>
        </w:tblCellMar>
        <w:tblLook w:val="04A0" w:firstRow="1" w:lastRow="0" w:firstColumn="1" w:lastColumn="0" w:noHBand="0" w:noVBand="1"/>
      </w:tblPr>
      <w:tblGrid>
        <w:gridCol w:w="3256"/>
        <w:gridCol w:w="850"/>
        <w:gridCol w:w="5528"/>
      </w:tblGrid>
      <w:tr w:rsidR="00C85E4C" w:rsidRPr="002359A7" w14:paraId="3D9823A7" w14:textId="77777777" w:rsidTr="00684BB1">
        <w:tc>
          <w:tcPr>
            <w:tcW w:w="1690" w:type="pct"/>
            <w:shd w:val="clear" w:color="auto" w:fill="D9D9D9" w:themeFill="background1" w:themeFillShade="D9"/>
            <w:vAlign w:val="center"/>
          </w:tcPr>
          <w:p w14:paraId="35278BB7" w14:textId="77777777" w:rsidR="00C85E4C" w:rsidRPr="002359A7" w:rsidRDefault="00C85E4C" w:rsidP="004327D3">
            <w:pPr>
              <w:pStyle w:val="TableHeading"/>
              <w:spacing w:after="0"/>
              <w:rPr>
                <w:rStyle w:val="TableText"/>
                <w:rFonts w:cstheme="minorHAnsi"/>
              </w:rPr>
            </w:pPr>
          </w:p>
        </w:tc>
        <w:tc>
          <w:tcPr>
            <w:tcW w:w="441" w:type="pct"/>
            <w:shd w:val="clear" w:color="auto" w:fill="D9D9D9" w:themeFill="background1" w:themeFillShade="D9"/>
            <w:vAlign w:val="center"/>
          </w:tcPr>
          <w:p w14:paraId="4927CC96" w14:textId="77777777" w:rsidR="00C85E4C" w:rsidRPr="002359A7" w:rsidRDefault="00C85E4C" w:rsidP="004327D3">
            <w:pPr>
              <w:pStyle w:val="TableHeading"/>
              <w:spacing w:after="0"/>
              <w:jc w:val="center"/>
              <w:rPr>
                <w:rStyle w:val="TableText"/>
                <w:rFonts w:cstheme="minorHAnsi"/>
              </w:rPr>
            </w:pPr>
            <w:r>
              <w:rPr>
                <w:rStyle w:val="TableText"/>
                <w:rFonts w:cstheme="minorHAnsi"/>
              </w:rPr>
              <w:t>2</w:t>
            </w:r>
            <w:r w:rsidRPr="00AB3796">
              <w:rPr>
                <w:rStyle w:val="TableText"/>
                <w:rFonts w:cstheme="minorHAnsi"/>
              </w:rPr>
              <w:t>021</w:t>
            </w:r>
          </w:p>
        </w:tc>
        <w:tc>
          <w:tcPr>
            <w:tcW w:w="2869" w:type="pct"/>
            <w:shd w:val="clear" w:color="auto" w:fill="D9D9D9" w:themeFill="background1" w:themeFillShade="D9"/>
            <w:vAlign w:val="center"/>
          </w:tcPr>
          <w:p w14:paraId="16E07FEB" w14:textId="77777777" w:rsidR="00C85E4C" w:rsidRDefault="00C85E4C" w:rsidP="001462B2">
            <w:pPr>
              <w:pStyle w:val="TableHeading"/>
              <w:spacing w:after="0"/>
              <w:jc w:val="center"/>
              <w:rPr>
                <w:rStyle w:val="TableText"/>
                <w:rFonts w:cstheme="minorHAnsi"/>
              </w:rPr>
            </w:pPr>
            <w:r>
              <w:rPr>
                <w:rStyle w:val="TableText"/>
                <w:rFonts w:cstheme="minorHAnsi"/>
              </w:rPr>
              <w:t>Source</w:t>
            </w:r>
          </w:p>
        </w:tc>
      </w:tr>
      <w:tr w:rsidR="006221F9" w:rsidRPr="002359A7" w14:paraId="1F7EBC3D" w14:textId="77777777" w:rsidTr="00684BB1">
        <w:tc>
          <w:tcPr>
            <w:tcW w:w="1690" w:type="pct"/>
            <w:vAlign w:val="center"/>
          </w:tcPr>
          <w:p w14:paraId="109C89E0" w14:textId="219B3FE1" w:rsidR="00C85E4C" w:rsidRPr="002359A7" w:rsidRDefault="00C85E4C" w:rsidP="004327D3">
            <w:pPr>
              <w:spacing w:before="0" w:after="0"/>
              <w:rPr>
                <w:rStyle w:val="TableText"/>
                <w:rFonts w:cstheme="minorHAnsi"/>
              </w:rPr>
            </w:pPr>
            <w:r>
              <w:rPr>
                <w:rStyle w:val="TableText"/>
                <w:rFonts w:cstheme="minorHAnsi"/>
              </w:rPr>
              <w:t xml:space="preserve">Ovarian </w:t>
            </w:r>
            <w:r w:rsidR="006221F9">
              <w:rPr>
                <w:rStyle w:val="TableText"/>
                <w:rFonts w:cstheme="minorHAnsi"/>
              </w:rPr>
              <w:t>c</w:t>
            </w:r>
            <w:r>
              <w:rPr>
                <w:rStyle w:val="TableText"/>
                <w:rFonts w:cstheme="minorHAnsi"/>
              </w:rPr>
              <w:t>ancer and serous carcinomas of the fallopian tube</w:t>
            </w:r>
          </w:p>
        </w:tc>
        <w:tc>
          <w:tcPr>
            <w:tcW w:w="441" w:type="pct"/>
            <w:vAlign w:val="center"/>
          </w:tcPr>
          <w:p w14:paraId="6061FF6F" w14:textId="77777777" w:rsidR="00C85E4C" w:rsidRPr="002359A7" w:rsidRDefault="00C85E4C" w:rsidP="004327D3">
            <w:pPr>
              <w:spacing w:before="0" w:after="0"/>
              <w:jc w:val="center"/>
              <w:rPr>
                <w:rStyle w:val="TableText"/>
                <w:rFonts w:cstheme="minorHAnsi"/>
              </w:rPr>
            </w:pPr>
            <w:r>
              <w:rPr>
                <w:rStyle w:val="TableText"/>
                <w:rFonts w:cstheme="minorHAnsi"/>
              </w:rPr>
              <w:t>1720</w:t>
            </w:r>
          </w:p>
        </w:tc>
        <w:tc>
          <w:tcPr>
            <w:tcW w:w="2869" w:type="pct"/>
            <w:vAlign w:val="center"/>
          </w:tcPr>
          <w:p w14:paraId="2A9133D8" w14:textId="77777777" w:rsidR="00C85E4C" w:rsidRPr="002359A7" w:rsidRDefault="00C85E4C" w:rsidP="001462B2">
            <w:pPr>
              <w:spacing w:before="0" w:after="0"/>
              <w:jc w:val="center"/>
              <w:rPr>
                <w:rStyle w:val="TableText"/>
                <w:rFonts w:cstheme="minorHAnsi"/>
              </w:rPr>
            </w:pPr>
            <w:r>
              <w:rPr>
                <w:rStyle w:val="TableText"/>
                <w:rFonts w:cstheme="minorHAnsi"/>
              </w:rPr>
              <w:t xml:space="preserve">AIHW: </w:t>
            </w:r>
            <w:r w:rsidRPr="005036B1">
              <w:rPr>
                <w:rStyle w:val="TableText"/>
                <w:rFonts w:cstheme="minorHAnsi"/>
              </w:rPr>
              <w:t xml:space="preserve">C56, C57 and C58 with </w:t>
            </w:r>
            <w:proofErr w:type="spellStart"/>
            <w:r w:rsidRPr="005036B1">
              <w:rPr>
                <w:rStyle w:val="TableText"/>
                <w:rFonts w:cstheme="minorHAnsi"/>
              </w:rPr>
              <w:t>histologies</w:t>
            </w:r>
            <w:proofErr w:type="spellEnd"/>
            <w:r w:rsidRPr="005036B1">
              <w:rPr>
                <w:rStyle w:val="TableText"/>
                <w:rFonts w:cstheme="minorHAnsi"/>
              </w:rPr>
              <w:t xml:space="preserve"> 8441, 8460, 8461</w:t>
            </w:r>
          </w:p>
        </w:tc>
      </w:tr>
      <w:tr w:rsidR="006221F9" w:rsidRPr="002359A7" w14:paraId="3F64C911" w14:textId="77777777" w:rsidTr="00684BB1">
        <w:tc>
          <w:tcPr>
            <w:tcW w:w="1690" w:type="pct"/>
            <w:vAlign w:val="center"/>
          </w:tcPr>
          <w:p w14:paraId="5C0830AC" w14:textId="1C84C550" w:rsidR="00C85E4C" w:rsidRPr="002359A7" w:rsidRDefault="00C85E4C" w:rsidP="004327D3">
            <w:pPr>
              <w:spacing w:before="0" w:after="0"/>
              <w:rPr>
                <w:rStyle w:val="TableText"/>
                <w:rFonts w:cstheme="minorHAnsi"/>
              </w:rPr>
            </w:pPr>
            <w:r>
              <w:rPr>
                <w:rStyle w:val="TableText"/>
                <w:rFonts w:cstheme="minorHAnsi"/>
              </w:rPr>
              <w:t>Peritoneal</w:t>
            </w:r>
            <w:r w:rsidR="006221F9">
              <w:rPr>
                <w:rStyle w:val="TableText"/>
                <w:rFonts w:cstheme="minorHAnsi"/>
              </w:rPr>
              <w:t xml:space="preserve"> c</w:t>
            </w:r>
            <w:r>
              <w:rPr>
                <w:rStyle w:val="TableText"/>
                <w:rFonts w:cstheme="minorHAnsi"/>
              </w:rPr>
              <w:t>ancer</w:t>
            </w:r>
          </w:p>
        </w:tc>
        <w:tc>
          <w:tcPr>
            <w:tcW w:w="441" w:type="pct"/>
            <w:vAlign w:val="center"/>
          </w:tcPr>
          <w:p w14:paraId="41401F62" w14:textId="77777777" w:rsidR="00C85E4C" w:rsidRPr="002359A7" w:rsidRDefault="00C85E4C" w:rsidP="004327D3">
            <w:pPr>
              <w:spacing w:before="0" w:after="0"/>
              <w:jc w:val="center"/>
              <w:rPr>
                <w:rStyle w:val="TableText"/>
                <w:rFonts w:cstheme="minorHAnsi"/>
              </w:rPr>
            </w:pPr>
            <w:r>
              <w:rPr>
                <w:rStyle w:val="TableText"/>
                <w:rFonts w:cstheme="minorHAnsi"/>
              </w:rPr>
              <w:t>117</w:t>
            </w:r>
          </w:p>
        </w:tc>
        <w:tc>
          <w:tcPr>
            <w:tcW w:w="2869" w:type="pct"/>
            <w:vAlign w:val="center"/>
          </w:tcPr>
          <w:p w14:paraId="5400D7D4" w14:textId="00904B00" w:rsidR="00C85E4C" w:rsidRPr="002359A7" w:rsidRDefault="00744B33" w:rsidP="001462B2">
            <w:pPr>
              <w:spacing w:before="0" w:after="0"/>
              <w:jc w:val="center"/>
              <w:rPr>
                <w:rStyle w:val="TableText"/>
                <w:rFonts w:cstheme="minorHAnsi"/>
              </w:rPr>
            </w:pPr>
            <w:r>
              <w:rPr>
                <w:rStyle w:val="TableText"/>
                <w:rFonts w:cstheme="minorHAnsi"/>
              </w:rPr>
              <w:t>AIHW</w:t>
            </w:r>
            <w:r w:rsidR="00C85E4C">
              <w:rPr>
                <w:rStyle w:val="TableText"/>
                <w:rFonts w:cstheme="minorHAnsi"/>
              </w:rPr>
              <w:t>: C48 (female only), exclud</w:t>
            </w:r>
            <w:r w:rsidR="006221F9">
              <w:rPr>
                <w:rStyle w:val="TableText"/>
                <w:rFonts w:cstheme="minorHAnsi"/>
              </w:rPr>
              <w:t>e</w:t>
            </w:r>
            <w:r w:rsidR="00C85E4C">
              <w:rPr>
                <w:rStyle w:val="TableText"/>
                <w:rFonts w:cstheme="minorHAnsi"/>
              </w:rPr>
              <w:t xml:space="preserve"> retroperitoneal (MOH 2013)</w:t>
            </w:r>
          </w:p>
        </w:tc>
      </w:tr>
      <w:tr w:rsidR="006221F9" w:rsidRPr="002359A7" w14:paraId="5AC1EF65" w14:textId="77777777" w:rsidTr="00684BB1">
        <w:tc>
          <w:tcPr>
            <w:tcW w:w="1690" w:type="pct"/>
            <w:vAlign w:val="center"/>
          </w:tcPr>
          <w:p w14:paraId="18825DFB" w14:textId="055E74FA" w:rsidR="00C85E4C" w:rsidRPr="002359A7" w:rsidRDefault="00C85E4C" w:rsidP="004327D3">
            <w:pPr>
              <w:spacing w:before="0" w:after="0"/>
              <w:rPr>
                <w:rStyle w:val="TableText"/>
                <w:rFonts w:cstheme="minorHAnsi"/>
              </w:rPr>
            </w:pPr>
            <w:r>
              <w:rPr>
                <w:rStyle w:val="TableText"/>
                <w:rFonts w:cstheme="minorHAnsi"/>
              </w:rPr>
              <w:t xml:space="preserve">High </w:t>
            </w:r>
            <w:r w:rsidR="006221F9">
              <w:rPr>
                <w:rStyle w:val="TableText"/>
                <w:rFonts w:cstheme="minorHAnsi"/>
              </w:rPr>
              <w:t>g</w:t>
            </w:r>
            <w:r>
              <w:rPr>
                <w:rStyle w:val="TableText"/>
                <w:rFonts w:cstheme="minorHAnsi"/>
              </w:rPr>
              <w:t>rade</w:t>
            </w:r>
          </w:p>
        </w:tc>
        <w:tc>
          <w:tcPr>
            <w:tcW w:w="441" w:type="pct"/>
            <w:vAlign w:val="center"/>
          </w:tcPr>
          <w:p w14:paraId="5C5C20A0" w14:textId="77777777" w:rsidR="00C85E4C" w:rsidRPr="002359A7" w:rsidRDefault="00C85E4C" w:rsidP="004327D3">
            <w:pPr>
              <w:spacing w:before="0" w:after="0"/>
              <w:jc w:val="center"/>
              <w:rPr>
                <w:rStyle w:val="TableText"/>
                <w:rFonts w:cstheme="minorHAnsi"/>
              </w:rPr>
            </w:pPr>
            <w:r>
              <w:rPr>
                <w:rStyle w:val="TableText"/>
                <w:rFonts w:cstheme="minorHAnsi"/>
              </w:rPr>
              <w:t>93.6%</w:t>
            </w:r>
          </w:p>
        </w:tc>
        <w:tc>
          <w:tcPr>
            <w:tcW w:w="2869" w:type="pct"/>
            <w:vAlign w:val="center"/>
          </w:tcPr>
          <w:p w14:paraId="555C8E0A" w14:textId="77777777" w:rsidR="00C85E4C" w:rsidRPr="002359A7" w:rsidRDefault="00C85E4C" w:rsidP="001462B2">
            <w:pPr>
              <w:spacing w:before="0" w:after="0"/>
              <w:jc w:val="center"/>
              <w:rPr>
                <w:rStyle w:val="TableText"/>
                <w:rFonts w:cstheme="minorHAnsi"/>
              </w:rPr>
            </w:pPr>
            <w:r>
              <w:rPr>
                <w:rStyle w:val="TableText"/>
                <w:rFonts w:cstheme="minorHAnsi"/>
              </w:rPr>
              <w:t>AOCS: Alsop 2012</w:t>
            </w:r>
          </w:p>
        </w:tc>
      </w:tr>
      <w:tr w:rsidR="006221F9" w:rsidRPr="002359A7" w14:paraId="3D01A81D" w14:textId="77777777" w:rsidTr="00684BB1">
        <w:tc>
          <w:tcPr>
            <w:tcW w:w="1690" w:type="pct"/>
            <w:vAlign w:val="center"/>
          </w:tcPr>
          <w:p w14:paraId="5D09E6C2" w14:textId="77777777" w:rsidR="00C85E4C" w:rsidRDefault="00C85E4C" w:rsidP="004327D3">
            <w:pPr>
              <w:spacing w:before="0" w:after="0"/>
              <w:rPr>
                <w:rStyle w:val="TableText"/>
                <w:rFonts w:cstheme="minorHAnsi"/>
              </w:rPr>
            </w:pPr>
            <w:r>
              <w:rPr>
                <w:rStyle w:val="TableText"/>
                <w:rFonts w:cstheme="minorHAnsi"/>
              </w:rPr>
              <w:t>Epithelial tumours</w:t>
            </w:r>
          </w:p>
        </w:tc>
        <w:tc>
          <w:tcPr>
            <w:tcW w:w="441" w:type="pct"/>
            <w:vAlign w:val="center"/>
          </w:tcPr>
          <w:p w14:paraId="5FE67DFC" w14:textId="77777777" w:rsidR="00C85E4C" w:rsidRDefault="00C85E4C" w:rsidP="004327D3">
            <w:pPr>
              <w:spacing w:before="0" w:after="0"/>
              <w:jc w:val="center"/>
              <w:rPr>
                <w:rStyle w:val="TableText"/>
                <w:rFonts w:cstheme="minorHAnsi"/>
              </w:rPr>
            </w:pPr>
            <w:r>
              <w:rPr>
                <w:rStyle w:val="TableText"/>
                <w:rFonts w:cstheme="minorHAnsi"/>
              </w:rPr>
              <w:t>83.7%</w:t>
            </w:r>
          </w:p>
        </w:tc>
        <w:tc>
          <w:tcPr>
            <w:tcW w:w="2869" w:type="pct"/>
            <w:vAlign w:val="center"/>
          </w:tcPr>
          <w:p w14:paraId="287C20C3" w14:textId="77777777" w:rsidR="00C85E4C" w:rsidRDefault="00C85E4C" w:rsidP="001462B2">
            <w:pPr>
              <w:spacing w:before="0" w:after="0"/>
              <w:jc w:val="center"/>
              <w:rPr>
                <w:rStyle w:val="TableText"/>
                <w:rFonts w:cstheme="minorHAnsi"/>
              </w:rPr>
            </w:pPr>
            <w:r>
              <w:rPr>
                <w:rStyle w:val="TableText"/>
                <w:rFonts w:cstheme="minorHAnsi"/>
              </w:rPr>
              <w:t>AIHW 2010</w:t>
            </w:r>
          </w:p>
        </w:tc>
      </w:tr>
      <w:tr w:rsidR="006221F9" w:rsidRPr="002359A7" w14:paraId="73C491CC" w14:textId="77777777" w:rsidTr="00684BB1">
        <w:tc>
          <w:tcPr>
            <w:tcW w:w="1690" w:type="pct"/>
            <w:vAlign w:val="center"/>
          </w:tcPr>
          <w:p w14:paraId="039B411F" w14:textId="77777777" w:rsidR="00C85E4C" w:rsidRPr="002359A7" w:rsidRDefault="00C85E4C" w:rsidP="004327D3">
            <w:pPr>
              <w:spacing w:before="0" w:after="0"/>
              <w:rPr>
                <w:rStyle w:val="TableText"/>
                <w:rFonts w:cstheme="minorHAnsi"/>
              </w:rPr>
            </w:pPr>
            <w:r>
              <w:rPr>
                <w:rStyle w:val="TableText"/>
                <w:rFonts w:cstheme="minorHAnsi"/>
              </w:rPr>
              <w:t>Advanced stage (FIGO III-IV)</w:t>
            </w:r>
          </w:p>
        </w:tc>
        <w:tc>
          <w:tcPr>
            <w:tcW w:w="441" w:type="pct"/>
            <w:vAlign w:val="center"/>
          </w:tcPr>
          <w:p w14:paraId="761DFAE8" w14:textId="77777777" w:rsidR="00C85E4C" w:rsidRPr="002359A7" w:rsidRDefault="00C85E4C" w:rsidP="004327D3">
            <w:pPr>
              <w:spacing w:before="0" w:after="0"/>
              <w:jc w:val="center"/>
              <w:rPr>
                <w:rStyle w:val="TableText"/>
                <w:rFonts w:cstheme="minorHAnsi"/>
              </w:rPr>
            </w:pPr>
            <w:r>
              <w:rPr>
                <w:rStyle w:val="TableText"/>
                <w:rFonts w:cstheme="minorHAnsi"/>
              </w:rPr>
              <w:t>81.8%</w:t>
            </w:r>
          </w:p>
        </w:tc>
        <w:tc>
          <w:tcPr>
            <w:tcW w:w="2869" w:type="pct"/>
            <w:vAlign w:val="center"/>
          </w:tcPr>
          <w:p w14:paraId="772F7C68" w14:textId="77777777" w:rsidR="00C85E4C" w:rsidRPr="002359A7" w:rsidRDefault="00C85E4C" w:rsidP="001462B2">
            <w:pPr>
              <w:spacing w:before="0" w:after="0"/>
              <w:jc w:val="center"/>
              <w:rPr>
                <w:rStyle w:val="TableText"/>
                <w:rFonts w:cstheme="minorHAnsi"/>
              </w:rPr>
            </w:pPr>
            <w:r>
              <w:rPr>
                <w:rStyle w:val="TableText"/>
                <w:rFonts w:cstheme="minorHAnsi"/>
              </w:rPr>
              <w:t>AOCS: Lindemann 2018</w:t>
            </w:r>
          </w:p>
        </w:tc>
      </w:tr>
      <w:tr w:rsidR="006221F9" w:rsidRPr="002359A7" w14:paraId="7865F3D2" w14:textId="77777777" w:rsidTr="00684BB1">
        <w:tc>
          <w:tcPr>
            <w:tcW w:w="1690" w:type="pct"/>
            <w:vAlign w:val="center"/>
          </w:tcPr>
          <w:p w14:paraId="571A2E3A" w14:textId="77777777" w:rsidR="00C85E4C" w:rsidRDefault="00C85E4C" w:rsidP="004327D3">
            <w:pPr>
              <w:spacing w:before="0" w:after="0"/>
              <w:rPr>
                <w:rStyle w:val="TableText"/>
                <w:rFonts w:cstheme="minorHAnsi"/>
              </w:rPr>
            </w:pPr>
            <w:r>
              <w:rPr>
                <w:rStyle w:val="TableText"/>
                <w:rFonts w:cstheme="minorHAnsi"/>
              </w:rPr>
              <w:t>Incidence of NDA HGEOC</w:t>
            </w:r>
          </w:p>
        </w:tc>
        <w:tc>
          <w:tcPr>
            <w:tcW w:w="441" w:type="pct"/>
            <w:vAlign w:val="center"/>
          </w:tcPr>
          <w:p w14:paraId="226C4F4C" w14:textId="77777777" w:rsidR="00C85E4C" w:rsidRDefault="00C85E4C" w:rsidP="004327D3">
            <w:pPr>
              <w:spacing w:before="0" w:after="0"/>
              <w:jc w:val="center"/>
              <w:rPr>
                <w:rStyle w:val="TableText"/>
                <w:rFonts w:cstheme="minorHAnsi"/>
              </w:rPr>
            </w:pPr>
            <w:r>
              <w:rPr>
                <w:rStyle w:val="TableText"/>
                <w:rFonts w:cstheme="minorHAnsi"/>
              </w:rPr>
              <w:t>1178</w:t>
            </w:r>
          </w:p>
        </w:tc>
        <w:tc>
          <w:tcPr>
            <w:tcW w:w="2869" w:type="pct"/>
            <w:vAlign w:val="center"/>
          </w:tcPr>
          <w:p w14:paraId="302AE37D" w14:textId="77777777" w:rsidR="00C85E4C" w:rsidRDefault="00C85E4C" w:rsidP="001462B2">
            <w:pPr>
              <w:spacing w:before="0" w:after="0"/>
              <w:jc w:val="center"/>
              <w:rPr>
                <w:rStyle w:val="TableText"/>
                <w:rFonts w:cstheme="minorHAnsi"/>
              </w:rPr>
            </w:pPr>
            <w:r>
              <w:rPr>
                <w:rStyle w:val="TableText"/>
                <w:rFonts w:cstheme="minorHAnsi"/>
              </w:rPr>
              <w:t>Calculated</w:t>
            </w:r>
          </w:p>
        </w:tc>
      </w:tr>
      <w:tr w:rsidR="006221F9" w:rsidRPr="002359A7" w14:paraId="31C2AC87" w14:textId="77777777" w:rsidTr="00684BB1">
        <w:tc>
          <w:tcPr>
            <w:tcW w:w="1690" w:type="pct"/>
            <w:tcBorders>
              <w:bottom w:val="double" w:sz="4" w:space="0" w:color="auto"/>
            </w:tcBorders>
            <w:vAlign w:val="center"/>
          </w:tcPr>
          <w:p w14:paraId="7A47AF14" w14:textId="037B77E9" w:rsidR="00C85E4C" w:rsidRDefault="006B362C" w:rsidP="004327D3">
            <w:pPr>
              <w:spacing w:before="0" w:after="0"/>
              <w:rPr>
                <w:rStyle w:val="TableText"/>
                <w:rFonts w:cstheme="minorHAnsi"/>
              </w:rPr>
            </w:pPr>
            <w:r>
              <w:rPr>
                <w:rStyle w:val="TableText"/>
                <w:rFonts w:cstheme="minorHAnsi"/>
              </w:rPr>
              <w:t>Tumour sample available for testing</w:t>
            </w:r>
          </w:p>
        </w:tc>
        <w:tc>
          <w:tcPr>
            <w:tcW w:w="441" w:type="pct"/>
            <w:tcBorders>
              <w:bottom w:val="double" w:sz="4" w:space="0" w:color="auto"/>
            </w:tcBorders>
            <w:vAlign w:val="center"/>
          </w:tcPr>
          <w:p w14:paraId="2B1492C5" w14:textId="3C4711FE" w:rsidR="00C85E4C" w:rsidRDefault="00C85E4C" w:rsidP="004327D3">
            <w:pPr>
              <w:spacing w:before="0" w:after="0"/>
              <w:jc w:val="center"/>
              <w:rPr>
                <w:rStyle w:val="TableText"/>
                <w:rFonts w:cstheme="minorHAnsi"/>
              </w:rPr>
            </w:pPr>
            <w:r>
              <w:rPr>
                <w:rStyle w:val="TableText"/>
                <w:rFonts w:cstheme="minorHAnsi"/>
              </w:rPr>
              <w:t>95</w:t>
            </w:r>
            <w:r w:rsidR="00163064">
              <w:rPr>
                <w:rStyle w:val="TableText"/>
                <w:rFonts w:cstheme="minorHAnsi"/>
              </w:rPr>
              <w:t>.0</w:t>
            </w:r>
            <w:r>
              <w:rPr>
                <w:rStyle w:val="TableText"/>
                <w:rFonts w:cstheme="minorHAnsi"/>
              </w:rPr>
              <w:t>%</w:t>
            </w:r>
          </w:p>
        </w:tc>
        <w:tc>
          <w:tcPr>
            <w:tcW w:w="2869" w:type="pct"/>
            <w:tcBorders>
              <w:bottom w:val="double" w:sz="4" w:space="0" w:color="auto"/>
            </w:tcBorders>
            <w:vAlign w:val="center"/>
          </w:tcPr>
          <w:p w14:paraId="4F4F56D3" w14:textId="77777777" w:rsidR="00C85E4C" w:rsidRDefault="00C85E4C" w:rsidP="001462B2">
            <w:pPr>
              <w:spacing w:before="0" w:after="0"/>
              <w:jc w:val="center"/>
              <w:rPr>
                <w:rStyle w:val="TableText"/>
                <w:rFonts w:cstheme="minorHAnsi"/>
              </w:rPr>
            </w:pPr>
            <w:r>
              <w:rPr>
                <w:rStyle w:val="TableText"/>
                <w:rFonts w:cstheme="minorHAnsi"/>
              </w:rPr>
              <w:t>Assumption</w:t>
            </w:r>
          </w:p>
        </w:tc>
      </w:tr>
      <w:tr w:rsidR="006221F9" w:rsidRPr="002359A7" w14:paraId="04E81991" w14:textId="77777777" w:rsidTr="00684BB1">
        <w:tc>
          <w:tcPr>
            <w:tcW w:w="1690" w:type="pct"/>
            <w:tcBorders>
              <w:top w:val="double" w:sz="4" w:space="0" w:color="auto"/>
            </w:tcBorders>
            <w:vAlign w:val="center"/>
          </w:tcPr>
          <w:p w14:paraId="146182A6" w14:textId="77777777" w:rsidR="00C85E4C" w:rsidRDefault="00C85E4C" w:rsidP="004327D3">
            <w:pPr>
              <w:spacing w:before="0" w:after="0"/>
              <w:rPr>
                <w:rStyle w:val="TableText"/>
                <w:rFonts w:cstheme="minorHAnsi"/>
              </w:rPr>
            </w:pPr>
            <w:r>
              <w:rPr>
                <w:rStyle w:val="TableText"/>
                <w:rFonts w:cstheme="minorHAnsi"/>
              </w:rPr>
              <w:t>Population #1</w:t>
            </w:r>
          </w:p>
        </w:tc>
        <w:tc>
          <w:tcPr>
            <w:tcW w:w="441" w:type="pct"/>
            <w:tcBorders>
              <w:top w:val="double" w:sz="4" w:space="0" w:color="auto"/>
            </w:tcBorders>
            <w:vAlign w:val="center"/>
          </w:tcPr>
          <w:p w14:paraId="7BDDD858" w14:textId="77777777" w:rsidR="00C85E4C" w:rsidRDefault="00C85E4C" w:rsidP="004327D3">
            <w:pPr>
              <w:spacing w:before="0" w:after="0"/>
              <w:jc w:val="center"/>
              <w:rPr>
                <w:rStyle w:val="TableText"/>
                <w:rFonts w:cstheme="minorHAnsi"/>
              </w:rPr>
            </w:pPr>
            <w:r>
              <w:rPr>
                <w:rStyle w:val="TableText"/>
                <w:rFonts w:cstheme="minorHAnsi"/>
              </w:rPr>
              <w:t>1119</w:t>
            </w:r>
          </w:p>
        </w:tc>
        <w:tc>
          <w:tcPr>
            <w:tcW w:w="2869" w:type="pct"/>
            <w:tcBorders>
              <w:top w:val="double" w:sz="4" w:space="0" w:color="auto"/>
            </w:tcBorders>
            <w:vAlign w:val="center"/>
          </w:tcPr>
          <w:p w14:paraId="08C19119" w14:textId="77777777" w:rsidR="00C85E4C" w:rsidRDefault="00C85E4C" w:rsidP="001462B2">
            <w:pPr>
              <w:spacing w:before="0" w:after="0"/>
              <w:jc w:val="center"/>
              <w:rPr>
                <w:rStyle w:val="TableText"/>
                <w:rFonts w:cstheme="minorHAnsi"/>
              </w:rPr>
            </w:pPr>
            <w:r>
              <w:rPr>
                <w:rStyle w:val="TableText"/>
                <w:rFonts w:cstheme="minorHAnsi"/>
              </w:rPr>
              <w:t>Calculated</w:t>
            </w:r>
          </w:p>
        </w:tc>
      </w:tr>
      <w:tr w:rsidR="006221F9" w:rsidRPr="002359A7" w14:paraId="15A54DED" w14:textId="77777777" w:rsidTr="00684BB1">
        <w:tc>
          <w:tcPr>
            <w:tcW w:w="1690" w:type="pct"/>
            <w:vAlign w:val="center"/>
          </w:tcPr>
          <w:p w14:paraId="57298CF7" w14:textId="77777777" w:rsidR="00C85E4C" w:rsidRDefault="00C85E4C" w:rsidP="004327D3">
            <w:pPr>
              <w:spacing w:before="0" w:after="0"/>
              <w:rPr>
                <w:rStyle w:val="TableText"/>
                <w:rFonts w:cstheme="minorHAnsi"/>
              </w:rPr>
            </w:pPr>
            <w:r>
              <w:rPr>
                <w:rStyle w:val="TableText"/>
                <w:rFonts w:cstheme="minorHAnsi"/>
              </w:rPr>
              <w:t>Population #2</w:t>
            </w:r>
          </w:p>
        </w:tc>
        <w:tc>
          <w:tcPr>
            <w:tcW w:w="441" w:type="pct"/>
            <w:vAlign w:val="center"/>
          </w:tcPr>
          <w:p w14:paraId="7011CFE5" w14:textId="77777777" w:rsidR="00C85E4C" w:rsidRDefault="00C85E4C" w:rsidP="004327D3">
            <w:pPr>
              <w:spacing w:before="0" w:after="0"/>
              <w:jc w:val="center"/>
              <w:rPr>
                <w:rStyle w:val="TableText"/>
                <w:rFonts w:cstheme="minorHAnsi"/>
              </w:rPr>
            </w:pPr>
            <w:r>
              <w:rPr>
                <w:rStyle w:val="TableText"/>
                <w:rFonts w:cstheme="minorHAnsi"/>
              </w:rPr>
              <w:t>836</w:t>
            </w:r>
          </w:p>
        </w:tc>
        <w:tc>
          <w:tcPr>
            <w:tcW w:w="2869" w:type="pct"/>
            <w:vAlign w:val="center"/>
          </w:tcPr>
          <w:p w14:paraId="7661812B" w14:textId="77777777" w:rsidR="00C85E4C" w:rsidRDefault="00C85E4C" w:rsidP="001462B2">
            <w:pPr>
              <w:spacing w:before="0" w:after="0"/>
              <w:jc w:val="center"/>
              <w:rPr>
                <w:rStyle w:val="TableText"/>
                <w:rFonts w:cstheme="minorHAnsi"/>
              </w:rPr>
            </w:pPr>
            <w:r>
              <w:rPr>
                <w:rStyle w:val="TableText"/>
                <w:rFonts w:cstheme="minorHAnsi"/>
              </w:rPr>
              <w:t>PBAC - Non-</w:t>
            </w:r>
            <w:proofErr w:type="spellStart"/>
            <w:r>
              <w:rPr>
                <w:rStyle w:val="TableText"/>
                <w:rFonts w:cstheme="minorHAnsi"/>
              </w:rPr>
              <w:t>BRCAm</w:t>
            </w:r>
            <w:proofErr w:type="spellEnd"/>
            <w:r>
              <w:rPr>
                <w:rStyle w:val="TableText"/>
                <w:rFonts w:cstheme="minorHAnsi"/>
              </w:rPr>
              <w:t xml:space="preserve"> Cohort: 74.7%</w:t>
            </w:r>
          </w:p>
        </w:tc>
      </w:tr>
      <w:tr w:rsidR="006221F9" w:rsidRPr="002359A7" w14:paraId="0EA2DCBE" w14:textId="77777777" w:rsidTr="00684BB1">
        <w:tc>
          <w:tcPr>
            <w:tcW w:w="1690" w:type="pct"/>
            <w:vAlign w:val="center"/>
          </w:tcPr>
          <w:p w14:paraId="01AB47F5" w14:textId="77777777" w:rsidR="00C85E4C" w:rsidRDefault="00C85E4C" w:rsidP="004327D3">
            <w:pPr>
              <w:spacing w:before="0" w:after="0"/>
              <w:rPr>
                <w:rStyle w:val="TableText"/>
                <w:rFonts w:cstheme="minorHAnsi"/>
              </w:rPr>
            </w:pPr>
            <w:r>
              <w:rPr>
                <w:rStyle w:val="TableText"/>
                <w:rFonts w:cstheme="minorHAnsi"/>
              </w:rPr>
              <w:t>Receive 1L PBC</w:t>
            </w:r>
          </w:p>
        </w:tc>
        <w:tc>
          <w:tcPr>
            <w:tcW w:w="441" w:type="pct"/>
            <w:vAlign w:val="center"/>
          </w:tcPr>
          <w:p w14:paraId="22F420BA" w14:textId="77777777" w:rsidR="00C85E4C" w:rsidRDefault="00C85E4C" w:rsidP="004327D3">
            <w:pPr>
              <w:spacing w:before="0" w:after="0"/>
              <w:jc w:val="center"/>
              <w:rPr>
                <w:rStyle w:val="TableText"/>
                <w:rFonts w:cstheme="minorHAnsi"/>
              </w:rPr>
            </w:pPr>
            <w:r>
              <w:rPr>
                <w:rStyle w:val="TableText"/>
                <w:rFonts w:cstheme="minorHAnsi"/>
              </w:rPr>
              <w:t>91.5%</w:t>
            </w:r>
          </w:p>
        </w:tc>
        <w:tc>
          <w:tcPr>
            <w:tcW w:w="2869" w:type="pct"/>
            <w:vAlign w:val="center"/>
          </w:tcPr>
          <w:p w14:paraId="0A98452F" w14:textId="77777777" w:rsidR="00C85E4C" w:rsidRDefault="00C85E4C" w:rsidP="001462B2">
            <w:pPr>
              <w:spacing w:before="0" w:after="0"/>
              <w:jc w:val="center"/>
              <w:rPr>
                <w:rStyle w:val="TableText"/>
                <w:rFonts w:cstheme="minorHAnsi"/>
              </w:rPr>
            </w:pPr>
            <w:r>
              <w:rPr>
                <w:rStyle w:val="TableText"/>
                <w:rFonts w:cstheme="minorHAnsi"/>
              </w:rPr>
              <w:t>Alsop 2012</w:t>
            </w:r>
          </w:p>
        </w:tc>
      </w:tr>
      <w:tr w:rsidR="00374FFD" w:rsidRPr="002359A7" w14:paraId="21D39E0E" w14:textId="77777777" w:rsidTr="00684BB1">
        <w:tc>
          <w:tcPr>
            <w:tcW w:w="1690" w:type="pct"/>
            <w:vAlign w:val="center"/>
          </w:tcPr>
          <w:p w14:paraId="4F0D486C" w14:textId="6A3B108A" w:rsidR="00374FFD" w:rsidRDefault="00374FFD" w:rsidP="004327D3">
            <w:pPr>
              <w:spacing w:before="0" w:after="0"/>
              <w:rPr>
                <w:rStyle w:val="TableText"/>
                <w:rFonts w:cstheme="minorHAnsi"/>
              </w:rPr>
            </w:pPr>
            <w:r>
              <w:rPr>
                <w:rStyle w:val="TableText"/>
                <w:rFonts w:cstheme="minorHAnsi"/>
              </w:rPr>
              <w:t>Receive chemotherapy only regimen</w:t>
            </w:r>
          </w:p>
        </w:tc>
        <w:tc>
          <w:tcPr>
            <w:tcW w:w="441" w:type="pct"/>
            <w:vAlign w:val="center"/>
          </w:tcPr>
          <w:p w14:paraId="4BA04574" w14:textId="0297A863" w:rsidR="00374FFD" w:rsidRDefault="00374FFD" w:rsidP="004327D3">
            <w:pPr>
              <w:spacing w:before="0" w:after="0"/>
              <w:jc w:val="center"/>
              <w:rPr>
                <w:rStyle w:val="TableText"/>
                <w:rFonts w:cstheme="minorHAnsi"/>
              </w:rPr>
            </w:pPr>
            <w:r>
              <w:rPr>
                <w:rStyle w:val="TableText"/>
                <w:rFonts w:cstheme="minorHAnsi"/>
              </w:rPr>
              <w:t>95</w:t>
            </w:r>
            <w:r w:rsidR="00163064">
              <w:rPr>
                <w:rStyle w:val="TableText"/>
                <w:rFonts w:cstheme="minorHAnsi"/>
              </w:rPr>
              <w:t>.0</w:t>
            </w:r>
            <w:r>
              <w:rPr>
                <w:rStyle w:val="TableText"/>
                <w:rFonts w:cstheme="minorHAnsi"/>
              </w:rPr>
              <w:t>%</w:t>
            </w:r>
          </w:p>
        </w:tc>
        <w:tc>
          <w:tcPr>
            <w:tcW w:w="2869" w:type="pct"/>
            <w:vAlign w:val="center"/>
          </w:tcPr>
          <w:p w14:paraId="5E955465" w14:textId="76E9BC0F" w:rsidR="00374FFD" w:rsidRDefault="0094554E" w:rsidP="001462B2">
            <w:pPr>
              <w:spacing w:before="0" w:after="0"/>
              <w:jc w:val="center"/>
              <w:rPr>
                <w:rStyle w:val="TableText"/>
                <w:rFonts w:cstheme="minorHAnsi"/>
              </w:rPr>
            </w:pPr>
            <w:r>
              <w:rPr>
                <w:rStyle w:val="TableText"/>
                <w:rFonts w:cstheme="minorHAnsi"/>
              </w:rPr>
              <w:t>Item 7.07</w:t>
            </w:r>
            <w:r w:rsidR="002E035D" w:rsidRPr="002E035D">
              <w:rPr>
                <w:rStyle w:val="TableText"/>
                <w:rFonts w:cstheme="minorHAnsi"/>
              </w:rPr>
              <w:t xml:space="preserve"> March 2022 </w:t>
            </w:r>
            <w:r w:rsidR="001462B2">
              <w:rPr>
                <w:rStyle w:val="TableText"/>
                <w:rFonts w:cstheme="minorHAnsi"/>
              </w:rPr>
              <w:t>PSD</w:t>
            </w:r>
            <w:r w:rsidR="002E035D" w:rsidRPr="002E035D">
              <w:rPr>
                <w:rStyle w:val="TableText"/>
                <w:rFonts w:cstheme="minorHAnsi"/>
              </w:rPr>
              <w:t>, Paragraph 7.10</w:t>
            </w:r>
            <w:r w:rsidR="002E035D">
              <w:rPr>
                <w:rStyle w:val="TableText"/>
                <w:rFonts w:cstheme="minorHAnsi"/>
              </w:rPr>
              <w:t xml:space="preserve"> &amp; </w:t>
            </w:r>
            <w:r w:rsidR="002E035D" w:rsidRPr="002E035D">
              <w:rPr>
                <w:rStyle w:val="TableText"/>
                <w:rFonts w:cstheme="minorHAnsi"/>
              </w:rPr>
              <w:t>5.2.</w:t>
            </w:r>
          </w:p>
        </w:tc>
      </w:tr>
      <w:tr w:rsidR="006221F9" w:rsidRPr="002359A7" w14:paraId="13758CC2" w14:textId="77777777" w:rsidTr="00684BB1">
        <w:tc>
          <w:tcPr>
            <w:tcW w:w="1690" w:type="pct"/>
            <w:vAlign w:val="center"/>
          </w:tcPr>
          <w:p w14:paraId="18FB0F23" w14:textId="63A6FEE5" w:rsidR="00C85E4C" w:rsidRDefault="00C85E4C" w:rsidP="004327D3">
            <w:pPr>
              <w:spacing w:before="0" w:after="0"/>
              <w:rPr>
                <w:rStyle w:val="TableText"/>
                <w:rFonts w:cstheme="minorHAnsi"/>
              </w:rPr>
            </w:pPr>
            <w:r>
              <w:rPr>
                <w:rStyle w:val="TableText"/>
                <w:rFonts w:cstheme="minorHAnsi"/>
              </w:rPr>
              <w:t>Population #3</w:t>
            </w:r>
            <w:r w:rsidR="00DC6531">
              <w:rPr>
                <w:rStyle w:val="TableText"/>
                <w:rFonts w:cstheme="minorHAnsi"/>
              </w:rPr>
              <w:t>a</w:t>
            </w:r>
          </w:p>
        </w:tc>
        <w:tc>
          <w:tcPr>
            <w:tcW w:w="441" w:type="pct"/>
            <w:vAlign w:val="center"/>
          </w:tcPr>
          <w:p w14:paraId="72806856" w14:textId="0F372B85" w:rsidR="00C85E4C" w:rsidRDefault="00B077A8" w:rsidP="004327D3">
            <w:pPr>
              <w:spacing w:before="0" w:after="0"/>
              <w:jc w:val="center"/>
              <w:rPr>
                <w:rStyle w:val="TableText"/>
                <w:rFonts w:cstheme="minorHAnsi"/>
              </w:rPr>
            </w:pPr>
            <w:r>
              <w:rPr>
                <w:rStyle w:val="TableText"/>
                <w:rFonts w:cstheme="minorHAnsi"/>
              </w:rPr>
              <w:t>972</w:t>
            </w:r>
          </w:p>
        </w:tc>
        <w:tc>
          <w:tcPr>
            <w:tcW w:w="2869" w:type="pct"/>
            <w:vAlign w:val="center"/>
          </w:tcPr>
          <w:p w14:paraId="432F950B" w14:textId="77777777" w:rsidR="00C85E4C" w:rsidRDefault="00C85E4C" w:rsidP="001462B2">
            <w:pPr>
              <w:spacing w:before="0" w:after="0"/>
              <w:jc w:val="center"/>
              <w:rPr>
                <w:rStyle w:val="TableText"/>
                <w:rFonts w:cstheme="minorHAnsi"/>
              </w:rPr>
            </w:pPr>
            <w:r>
              <w:rPr>
                <w:rStyle w:val="TableText"/>
                <w:rFonts w:cstheme="minorHAnsi"/>
              </w:rPr>
              <w:t>Calculated</w:t>
            </w:r>
          </w:p>
        </w:tc>
      </w:tr>
      <w:tr w:rsidR="00DC6531" w:rsidRPr="002359A7" w14:paraId="42E6D0A3" w14:textId="77777777" w:rsidTr="00684BB1">
        <w:tc>
          <w:tcPr>
            <w:tcW w:w="1690" w:type="pct"/>
            <w:vAlign w:val="center"/>
          </w:tcPr>
          <w:p w14:paraId="3D27DEEF" w14:textId="5904606B" w:rsidR="00DC6531" w:rsidRDefault="00DC6531" w:rsidP="00DC6531">
            <w:pPr>
              <w:spacing w:before="0" w:after="0"/>
              <w:rPr>
                <w:rStyle w:val="TableText"/>
                <w:rFonts w:cstheme="minorHAnsi"/>
              </w:rPr>
            </w:pPr>
            <w:r>
              <w:rPr>
                <w:rStyle w:val="TableText"/>
                <w:rFonts w:cstheme="minorHAnsi"/>
              </w:rPr>
              <w:t>Population #3b</w:t>
            </w:r>
          </w:p>
        </w:tc>
        <w:tc>
          <w:tcPr>
            <w:tcW w:w="441" w:type="pct"/>
            <w:vAlign w:val="center"/>
          </w:tcPr>
          <w:p w14:paraId="3DA03BE9" w14:textId="4E4EFA19" w:rsidR="00DC6531" w:rsidRDefault="00A40C87" w:rsidP="00DC6531">
            <w:pPr>
              <w:spacing w:before="0" w:after="0"/>
              <w:jc w:val="center"/>
              <w:rPr>
                <w:rStyle w:val="TableText"/>
                <w:rFonts w:cstheme="minorHAnsi"/>
              </w:rPr>
            </w:pPr>
            <w:r>
              <w:rPr>
                <w:rStyle w:val="TableText"/>
                <w:rFonts w:cstheme="minorHAnsi"/>
              </w:rPr>
              <w:t>726</w:t>
            </w:r>
          </w:p>
        </w:tc>
        <w:tc>
          <w:tcPr>
            <w:tcW w:w="2869" w:type="pct"/>
            <w:vAlign w:val="center"/>
          </w:tcPr>
          <w:p w14:paraId="47271F41" w14:textId="5828AE51" w:rsidR="00DC6531" w:rsidRDefault="00DC6531" w:rsidP="00DC6531">
            <w:pPr>
              <w:spacing w:before="0" w:after="0"/>
              <w:jc w:val="center"/>
              <w:rPr>
                <w:rStyle w:val="TableText"/>
                <w:rFonts w:cstheme="minorHAnsi"/>
              </w:rPr>
            </w:pPr>
            <w:r>
              <w:rPr>
                <w:rStyle w:val="TableText"/>
                <w:rFonts w:cstheme="minorHAnsi"/>
              </w:rPr>
              <w:t>PBAC - Non-</w:t>
            </w:r>
            <w:proofErr w:type="spellStart"/>
            <w:r>
              <w:rPr>
                <w:rStyle w:val="TableText"/>
                <w:rFonts w:cstheme="minorHAnsi"/>
              </w:rPr>
              <w:t>BRCAm</w:t>
            </w:r>
            <w:proofErr w:type="spellEnd"/>
            <w:r>
              <w:rPr>
                <w:rStyle w:val="TableText"/>
                <w:rFonts w:cstheme="minorHAnsi"/>
              </w:rPr>
              <w:t xml:space="preserve"> Cohort: 74.7%</w:t>
            </w:r>
          </w:p>
        </w:tc>
      </w:tr>
    </w:tbl>
    <w:p w14:paraId="634E2B34" w14:textId="21E45AC9" w:rsidR="00DD6AC8" w:rsidRDefault="00DD6AC8" w:rsidP="00DD6AC8">
      <w:pPr>
        <w:pStyle w:val="TableNotes"/>
      </w:pPr>
      <w:r>
        <w:t xml:space="preserve">Abbreviations: </w:t>
      </w:r>
      <w:r w:rsidR="00A40C87">
        <w:t>AIHW = Australian institute of health and welfare; AOCS = Australian Ovarian Cancer Study</w:t>
      </w:r>
    </w:p>
    <w:p w14:paraId="53E65ECC" w14:textId="7AB5EB05"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7FCBB835" w14:textId="482F5F25" w:rsidR="003433D1" w:rsidRDefault="000861D9" w:rsidP="00684BB1">
      <w:pPr>
        <w:ind w:left="360"/>
        <w:rPr>
          <w:b/>
          <w:sz w:val="32"/>
          <w:szCs w:val="32"/>
        </w:rPr>
      </w:pPr>
      <w:r>
        <w:t xml:space="preserve">A detailed utilisation analysis will be presented in the co-dependent submission.  The risk of leakage beyond the proposed population is low, given the proposed MBS item descriptor.  </w:t>
      </w:r>
      <w:r w:rsidR="00816EB6">
        <w:t>I</w:t>
      </w:r>
      <w:r w:rsidR="009F0C0D">
        <w:t>t is not anticipated there will be constraints in the health system in meeting the needs of the proposed population</w:t>
      </w:r>
      <w:r w:rsidR="00816EB6">
        <w:t xml:space="preserve">, noting </w:t>
      </w:r>
      <w:r w:rsidR="00816EB6" w:rsidRPr="00684BB1">
        <w:t xml:space="preserve">that it is expected that </w:t>
      </w:r>
      <w:proofErr w:type="gramStart"/>
      <w:r w:rsidR="00816EB6" w:rsidRPr="00684BB1">
        <w:t>a number of</w:t>
      </w:r>
      <w:proofErr w:type="gramEnd"/>
      <w:r w:rsidR="00816EB6" w:rsidRPr="00684BB1">
        <w:t xml:space="preserve"> pathology laboratories will undergo accreditation for HRD tests following the launch of the </w:t>
      </w:r>
      <w:r w:rsidR="00684BB1" w:rsidRPr="00684BB1">
        <w:rPr>
          <w:b/>
          <w:bCs/>
        </w:rPr>
        <w:t>REDACTED</w:t>
      </w:r>
      <w:r w:rsidR="00816EB6" w:rsidRPr="00684BB1">
        <w:t xml:space="preserve"> assay in </w:t>
      </w:r>
      <w:r w:rsidR="00684BB1" w:rsidRPr="00684BB1">
        <w:rPr>
          <w:b/>
          <w:bCs/>
          <w:szCs w:val="20"/>
        </w:rPr>
        <w:t>REDACTED</w:t>
      </w:r>
      <w:r w:rsidR="009F0C0D" w:rsidRPr="00684BB1">
        <w:t>.</w:t>
      </w:r>
      <w:r w:rsidR="009F0C0D">
        <w:t xml:space="preserve">  </w:t>
      </w:r>
      <w:r w:rsidR="003433D1">
        <w:rPr>
          <w:b/>
          <w:sz w:val="32"/>
          <w:szCs w:val="32"/>
        </w:rPr>
        <w:br w:type="page"/>
      </w:r>
    </w:p>
    <w:p w14:paraId="4566BC92"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115CF57F"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642D56A" w14:textId="44406274" w:rsidR="00951933" w:rsidRPr="00154B00" w:rsidRDefault="008C6543" w:rsidP="00AE1188">
      <w:pPr>
        <w:ind w:left="426"/>
        <w:rPr>
          <w:szCs w:val="20"/>
        </w:rPr>
      </w:pPr>
      <w:r w:rsidRPr="00684BB1">
        <w:rPr>
          <w:szCs w:val="20"/>
        </w:rPr>
        <w:t>T</w:t>
      </w:r>
      <w:r w:rsidR="002C5C0F" w:rsidRPr="00684BB1">
        <w:rPr>
          <w:szCs w:val="20"/>
        </w:rPr>
        <w:t xml:space="preserve">he </w:t>
      </w:r>
      <w:r w:rsidR="00684BB1" w:rsidRPr="00684BB1">
        <w:rPr>
          <w:b/>
          <w:bCs/>
          <w:szCs w:val="20"/>
        </w:rPr>
        <w:t>REDACTED</w:t>
      </w:r>
      <w:r w:rsidR="002C5C0F" w:rsidRPr="00684BB1">
        <w:rPr>
          <w:szCs w:val="20"/>
        </w:rPr>
        <w:t xml:space="preserve"> test </w:t>
      </w:r>
      <w:r w:rsidRPr="00684BB1">
        <w:rPr>
          <w:szCs w:val="20"/>
        </w:rPr>
        <w:t xml:space="preserve">is expected to be </w:t>
      </w:r>
      <w:r w:rsidR="00FF16EA" w:rsidRPr="00684BB1">
        <w:rPr>
          <w:szCs w:val="20"/>
        </w:rPr>
        <w:t>launched</w:t>
      </w:r>
      <w:r w:rsidR="002C5C0F" w:rsidRPr="00684BB1">
        <w:rPr>
          <w:szCs w:val="20"/>
        </w:rPr>
        <w:t xml:space="preserve"> in Australia from </w:t>
      </w:r>
      <w:r w:rsidR="00684BB1" w:rsidRPr="00684BB1">
        <w:rPr>
          <w:b/>
          <w:bCs/>
          <w:szCs w:val="20"/>
        </w:rPr>
        <w:t>REDACTED</w:t>
      </w:r>
      <w:r w:rsidR="002C5C0F" w:rsidRPr="00684BB1">
        <w:rPr>
          <w:szCs w:val="20"/>
        </w:rPr>
        <w:t xml:space="preserve">.  </w:t>
      </w:r>
      <w:r w:rsidR="00FF16EA" w:rsidRPr="00684BB1">
        <w:rPr>
          <w:szCs w:val="20"/>
        </w:rPr>
        <w:t>The p</w:t>
      </w:r>
      <w:r w:rsidR="002C5C0F" w:rsidRPr="00684BB1">
        <w:rPr>
          <w:szCs w:val="20"/>
        </w:rPr>
        <w:t xml:space="preserve">ricing of the </w:t>
      </w:r>
      <w:r w:rsidR="0061444F" w:rsidRPr="00684BB1">
        <w:rPr>
          <w:szCs w:val="20"/>
        </w:rPr>
        <w:t>assay</w:t>
      </w:r>
      <w:r w:rsidR="002C5C0F" w:rsidRPr="00684BB1">
        <w:rPr>
          <w:szCs w:val="20"/>
        </w:rPr>
        <w:t xml:space="preserve"> is expected to be available </w:t>
      </w:r>
      <w:r w:rsidR="00FF16EA" w:rsidRPr="00684BB1">
        <w:rPr>
          <w:szCs w:val="20"/>
        </w:rPr>
        <w:t>following</w:t>
      </w:r>
      <w:r w:rsidR="00985E2F" w:rsidRPr="00684BB1">
        <w:rPr>
          <w:szCs w:val="20"/>
        </w:rPr>
        <w:t xml:space="preserve"> </w:t>
      </w:r>
      <w:r w:rsidRPr="00684BB1">
        <w:rPr>
          <w:szCs w:val="20"/>
        </w:rPr>
        <w:t>the submission of this application in July 2022</w:t>
      </w:r>
      <w:r w:rsidR="000118D0" w:rsidRPr="00684BB1">
        <w:rPr>
          <w:szCs w:val="20"/>
        </w:rPr>
        <w:t>.  O</w:t>
      </w:r>
      <w:r w:rsidR="00832CC7" w:rsidRPr="00684BB1">
        <w:rPr>
          <w:szCs w:val="20"/>
        </w:rPr>
        <w:t>verall</w:t>
      </w:r>
      <w:r w:rsidR="00832CC7">
        <w:rPr>
          <w:szCs w:val="20"/>
        </w:rPr>
        <w:t xml:space="preserve"> costs associated with </w:t>
      </w:r>
      <w:r w:rsidR="000118D0">
        <w:rPr>
          <w:szCs w:val="20"/>
        </w:rPr>
        <w:t>providing the</w:t>
      </w:r>
      <w:r w:rsidR="00F35700">
        <w:rPr>
          <w:szCs w:val="20"/>
        </w:rPr>
        <w:t xml:space="preserve"> </w:t>
      </w:r>
      <w:r w:rsidR="0061444F">
        <w:rPr>
          <w:szCs w:val="20"/>
        </w:rPr>
        <w:t xml:space="preserve">service to determine HRD status </w:t>
      </w:r>
      <w:r w:rsidR="000118D0">
        <w:rPr>
          <w:szCs w:val="20"/>
        </w:rPr>
        <w:t>will</w:t>
      </w:r>
      <w:r w:rsidR="00985E2F">
        <w:rPr>
          <w:szCs w:val="20"/>
        </w:rPr>
        <w:t xml:space="preserve"> be presented in a future co-dependent submission.  </w:t>
      </w:r>
    </w:p>
    <w:p w14:paraId="3D0219E7"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14A876F5" w14:textId="6C0D8CB8" w:rsidR="00951933" w:rsidRDefault="0085310F" w:rsidP="00AE1188">
      <w:pPr>
        <w:ind w:left="426"/>
        <w:rPr>
          <w:b/>
          <w:szCs w:val="20"/>
        </w:rPr>
      </w:pPr>
      <w:r>
        <w:t>Tumour</w:t>
      </w:r>
      <w:r w:rsidR="00EE2100">
        <w:t xml:space="preserve"> HRD</w:t>
      </w:r>
      <w:r>
        <w:t xml:space="preserve"> testing </w:t>
      </w:r>
      <w:r w:rsidR="00EE2100">
        <w:t>is expected to</w:t>
      </w:r>
      <w:r w:rsidR="00831F36">
        <w:t xml:space="preserve"> take 4-6 weeks from request to reporting.  This includes time for the request and time to transport the tumour specimen to a specialist laboratory</w:t>
      </w:r>
      <w:r w:rsidR="002347E9">
        <w:t xml:space="preserve"> where required (7-10 days).  Testing in the laboratory may require several hours of activity to perform plus run time for automated processes depending on instrumentation and procedures being followed and could take up to 4 weeks.  Reporting the results to the requesting specialist or consultant physician takes a further </w:t>
      </w:r>
      <w:r w:rsidR="00914D49">
        <w:t xml:space="preserve">1-2 days.  </w:t>
      </w:r>
    </w:p>
    <w:p w14:paraId="1DE845C9" w14:textId="77777777" w:rsidR="00D269F6" w:rsidRDefault="00D269F6" w:rsidP="00D269F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74B0B7C1" w14:textId="5508C9D9" w:rsidR="00341AF0" w:rsidRDefault="00341AF0" w:rsidP="005F2382">
      <w:r>
        <w:t>The proposed MBS item descriptor relevant to Population #</w:t>
      </w:r>
      <w:proofErr w:type="gramStart"/>
      <w:r>
        <w:t>1</w:t>
      </w:r>
      <w:r w:rsidR="002E2B4E">
        <w:t>,</w:t>
      </w:r>
      <w:r>
        <w:t>#</w:t>
      </w:r>
      <w:proofErr w:type="gramEnd"/>
      <w:r>
        <w:t>2</w:t>
      </w:r>
      <w:r w:rsidR="00A94A35">
        <w:t xml:space="preserve">, </w:t>
      </w:r>
      <w:r w:rsidR="002E2B4E">
        <w:t>#3</w:t>
      </w:r>
      <w:r w:rsidR="00A94A35">
        <w:t>a and #3b</w:t>
      </w:r>
      <w:r w:rsidR="002E2B4E">
        <w:t xml:space="preserve"> </w:t>
      </w:r>
      <w:r>
        <w:t xml:space="preserve">is </w:t>
      </w:r>
      <w:r w:rsidR="00AD02FC">
        <w:t xml:space="preserve">provided below.  </w:t>
      </w:r>
      <w:r w:rsidR="00D67BC5">
        <w:t>T</w:t>
      </w:r>
      <w:r w:rsidR="009945E9">
        <w:t>h</w:t>
      </w:r>
      <w:r w:rsidR="00C16FEB">
        <w:t>is acknowledges the</w:t>
      </w:r>
      <w:r w:rsidR="009945E9">
        <w:t xml:space="preserve"> PASC</w:t>
      </w:r>
      <w:r w:rsidR="00C16FEB">
        <w:t>’s advice</w:t>
      </w:r>
      <w:r w:rsidR="00D67BC5">
        <w:t xml:space="preserve"> (August 2021) </w:t>
      </w:r>
      <w:r w:rsidR="009945E9">
        <w:t xml:space="preserve">that </w:t>
      </w:r>
      <w:r w:rsidR="00D67BC5">
        <w:t>the item descriptor should specify that the proposed test also uses a genomic instability score (GIS) to differentiate from germline testing of non-BRCA1/2 genes in the HRD pathway</w:t>
      </w:r>
      <w:r w:rsidR="009E08F7">
        <w:t xml:space="preserve">.  </w:t>
      </w:r>
      <w:r w:rsidR="008C10AA">
        <w:t xml:space="preserve">GSK notes </w:t>
      </w:r>
      <w:r w:rsidR="00E57421">
        <w:t xml:space="preserve">that with the </w:t>
      </w:r>
      <w:r w:rsidR="007429B6">
        <w:t>consideration</w:t>
      </w:r>
      <w:r w:rsidR="00550E17">
        <w:t xml:space="preserve"> </w:t>
      </w:r>
      <w:r w:rsidR="00E57421">
        <w:t xml:space="preserve">of HRD testing </w:t>
      </w:r>
      <w:r w:rsidR="00550E17">
        <w:t>by the MSAC in July 2022</w:t>
      </w:r>
      <w:r w:rsidR="00E57421">
        <w:t xml:space="preserve"> (#1658)</w:t>
      </w:r>
      <w:r w:rsidR="00735718">
        <w:t xml:space="preserve">, </w:t>
      </w:r>
      <w:r w:rsidR="00BA319A">
        <w:t xml:space="preserve">there may be subsequent advice </w:t>
      </w:r>
      <w:r w:rsidR="00E90238">
        <w:t xml:space="preserve">regarding </w:t>
      </w:r>
      <w:r w:rsidR="00005DF7">
        <w:t>the</w:t>
      </w:r>
      <w:r w:rsidR="00735718">
        <w:t xml:space="preserve"> </w:t>
      </w:r>
      <w:r w:rsidR="00C32129">
        <w:t>appropriate population for HRD testing</w:t>
      </w:r>
      <w:r w:rsidR="00735718">
        <w:t xml:space="preserve"> and </w:t>
      </w:r>
      <w:r w:rsidR="00005DF7">
        <w:t>the wording for the</w:t>
      </w:r>
      <w:r w:rsidR="00735718">
        <w:t xml:space="preserve"> </w:t>
      </w:r>
      <w:r w:rsidR="00D3530A">
        <w:t>proposed item descriptor</w:t>
      </w:r>
      <w:r w:rsidR="00DF5CD0">
        <w:t xml:space="preserve"> (</w:t>
      </w:r>
      <w:proofErr w:type="gramStart"/>
      <w:r w:rsidR="00DF5CD0">
        <w:t>e.g.</w:t>
      </w:r>
      <w:proofErr w:type="gramEnd"/>
      <w:r w:rsidR="00DF5CD0">
        <w:t xml:space="preserve"> reference to GIS</w:t>
      </w:r>
      <w:r w:rsidR="00257B35">
        <w:t xml:space="preserve">; reference to </w:t>
      </w:r>
      <w:r w:rsidR="00A83D5A">
        <w:t>the primary</w:t>
      </w:r>
      <w:r w:rsidR="00257B35">
        <w:t xml:space="preserve"> chemotherapy regimen)</w:t>
      </w:r>
      <w:r w:rsidR="00D3530A">
        <w:t xml:space="preserve">.  </w:t>
      </w:r>
    </w:p>
    <w:p w14:paraId="4506ECE5" w14:textId="77777777" w:rsidR="00AD02FC" w:rsidRPr="00AD02FC" w:rsidRDefault="00AD02FC" w:rsidP="00AD02FC">
      <w:pPr>
        <w:rPr>
          <w:b/>
          <w:bCs/>
          <w:u w:val="single"/>
        </w:rPr>
      </w:pPr>
      <w:r w:rsidRPr="00AD02FC">
        <w:rPr>
          <w:b/>
          <w:bCs/>
          <w:u w:val="single"/>
        </w:rPr>
        <w:t>Population #1: HRD testing for BRCA1/2 variant and GIS in parallel</w:t>
      </w:r>
    </w:p>
    <w:p w14:paraId="5E15A8F8" w14:textId="77777777" w:rsidR="005F2382" w:rsidRPr="00AE1188" w:rsidRDefault="005F2382" w:rsidP="005F2382">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6 – Pathology services</w:t>
      </w:r>
    </w:p>
    <w:p w14:paraId="07F43E97" w14:textId="77777777" w:rsidR="009945E9" w:rsidRDefault="005F2382" w:rsidP="005F2382">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p>
    <w:p w14:paraId="20407A2F" w14:textId="2C9C6C52" w:rsidR="005F2382" w:rsidRDefault="005F2382" w:rsidP="005F2382">
      <w:pPr>
        <w:pBdr>
          <w:top w:val="single" w:sz="4" w:space="1" w:color="auto"/>
          <w:left w:val="single" w:sz="4" w:space="4" w:color="auto"/>
          <w:bottom w:val="single" w:sz="4" w:space="1" w:color="auto"/>
          <w:right w:val="single" w:sz="4" w:space="4" w:color="auto"/>
        </w:pBdr>
        <w:rPr>
          <w:szCs w:val="20"/>
        </w:rPr>
      </w:pPr>
      <w:r>
        <w:rPr>
          <w:szCs w:val="20"/>
        </w:rPr>
        <w:t>A test of tumour tissue from a patient with advanced (FIGO III-IV), high grade serous or high grade epithelial ovarian, fallopian tube or primary peritoneal cancer, requested by a specialist or consultant physician, to determine eligibility with respect to homologous recombination deficiency (HRD) status for access to treatment with niraparib under the Pharmaceutical Benefits Scheme (PBS)</w:t>
      </w:r>
    </w:p>
    <w:p w14:paraId="0247522C" w14:textId="32630E7A" w:rsidR="009945E9" w:rsidRPr="00AE1188" w:rsidRDefault="009945E9" w:rsidP="005F2382">
      <w:pPr>
        <w:pBdr>
          <w:top w:val="single" w:sz="4" w:space="1" w:color="auto"/>
          <w:left w:val="single" w:sz="4" w:space="4" w:color="auto"/>
          <w:bottom w:val="single" w:sz="4" w:space="1" w:color="auto"/>
          <w:right w:val="single" w:sz="4" w:space="4" w:color="auto"/>
        </w:pBdr>
        <w:rPr>
          <w:szCs w:val="20"/>
        </w:rPr>
      </w:pPr>
      <w:r w:rsidRPr="009945E9">
        <w:rPr>
          <w:szCs w:val="20"/>
        </w:rPr>
        <w:t>Evidence of homologous recombination deficiency must be derived through a validated test of tumour tissue to determine a genomic instability score.</w:t>
      </w:r>
    </w:p>
    <w:p w14:paraId="649C1D4A" w14:textId="677C11F7" w:rsidR="005F2382" w:rsidRPr="00AE1188" w:rsidRDefault="005F2382" w:rsidP="005F2382">
      <w:pPr>
        <w:pBdr>
          <w:top w:val="single" w:sz="4" w:space="1" w:color="auto"/>
          <w:left w:val="single" w:sz="4" w:space="4" w:color="auto"/>
          <w:bottom w:val="single" w:sz="4" w:space="1" w:color="auto"/>
          <w:right w:val="single" w:sz="4" w:space="4" w:color="auto"/>
        </w:pBdr>
        <w:rPr>
          <w:szCs w:val="20"/>
        </w:rPr>
      </w:pPr>
      <w:r w:rsidRPr="00AE1188">
        <w:rPr>
          <w:szCs w:val="20"/>
        </w:rPr>
        <w:t xml:space="preserve">Fee:  </w:t>
      </w:r>
      <w:r w:rsidR="00684BB1">
        <w:t>$3000</w:t>
      </w:r>
    </w:p>
    <w:p w14:paraId="38ABC756" w14:textId="24372059" w:rsidR="00AD02FC" w:rsidRDefault="00AD02FC" w:rsidP="00AD02FC">
      <w:pPr>
        <w:rPr>
          <w:b/>
          <w:bCs/>
          <w:u w:val="single"/>
        </w:rPr>
      </w:pPr>
      <w:r w:rsidRPr="00AD02FC">
        <w:rPr>
          <w:b/>
          <w:bCs/>
          <w:u w:val="single"/>
        </w:rPr>
        <w:t>Population #2: Testing for GIS to occur sequentially following a non-</w:t>
      </w:r>
      <w:proofErr w:type="spellStart"/>
      <w:r w:rsidRPr="00AD02FC">
        <w:rPr>
          <w:b/>
          <w:bCs/>
          <w:u w:val="single"/>
        </w:rPr>
        <w:t>BRCAm</w:t>
      </w:r>
      <w:proofErr w:type="spellEnd"/>
      <w:r w:rsidRPr="00AD02FC">
        <w:rPr>
          <w:b/>
          <w:bCs/>
          <w:u w:val="single"/>
        </w:rPr>
        <w:t xml:space="preserve"> test result</w:t>
      </w:r>
    </w:p>
    <w:p w14:paraId="72C9ED02" w14:textId="17229162"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96480B">
        <w:t>6 – Pathology services</w:t>
      </w:r>
    </w:p>
    <w:p w14:paraId="06201581" w14:textId="77777777" w:rsidR="009945E9"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p>
    <w:p w14:paraId="6EFC76C6" w14:textId="4011CE31" w:rsidR="00AE1188" w:rsidRDefault="00AC6801" w:rsidP="00AE1188">
      <w:pPr>
        <w:pBdr>
          <w:top w:val="single" w:sz="4" w:space="1" w:color="auto"/>
          <w:left w:val="single" w:sz="4" w:space="4" w:color="auto"/>
          <w:bottom w:val="single" w:sz="4" w:space="1" w:color="auto"/>
          <w:right w:val="single" w:sz="4" w:space="4" w:color="auto"/>
        </w:pBdr>
        <w:rPr>
          <w:szCs w:val="20"/>
        </w:rPr>
      </w:pPr>
      <w:r>
        <w:rPr>
          <w:szCs w:val="20"/>
        </w:rPr>
        <w:t xml:space="preserve">A </w:t>
      </w:r>
      <w:r w:rsidR="004D4DAD">
        <w:rPr>
          <w:szCs w:val="20"/>
        </w:rPr>
        <w:t xml:space="preserve">test of tumour tissue from a patient with </w:t>
      </w:r>
      <w:r w:rsidR="009C696B">
        <w:rPr>
          <w:szCs w:val="20"/>
        </w:rPr>
        <w:t xml:space="preserve">advanced (FIGO III-IV), high grade serous or high grade </w:t>
      </w:r>
      <w:r w:rsidR="00526EE1">
        <w:rPr>
          <w:szCs w:val="20"/>
        </w:rPr>
        <w:t xml:space="preserve">epithelial ovarian, fallopian tube or primary </w:t>
      </w:r>
      <w:r w:rsidR="006D2662">
        <w:rPr>
          <w:szCs w:val="20"/>
        </w:rPr>
        <w:t>peritoneal</w:t>
      </w:r>
      <w:r w:rsidR="00526EE1">
        <w:rPr>
          <w:szCs w:val="20"/>
        </w:rPr>
        <w:t xml:space="preserve"> cancer, </w:t>
      </w:r>
      <w:r w:rsidR="006D2662">
        <w:rPr>
          <w:szCs w:val="20"/>
        </w:rPr>
        <w:t xml:space="preserve">requested by a specialist or consultant physician, to </w:t>
      </w:r>
      <w:r w:rsidR="00060324">
        <w:rPr>
          <w:szCs w:val="20"/>
        </w:rPr>
        <w:t xml:space="preserve">determine eligibility with respect to homologous recombination deficiency (HRD) status </w:t>
      </w:r>
      <w:r w:rsidR="00E43749">
        <w:rPr>
          <w:szCs w:val="20"/>
        </w:rPr>
        <w:t xml:space="preserve">in patients that do not express BRCA1 or BRCA2 </w:t>
      </w:r>
      <w:r w:rsidR="00295E3F">
        <w:rPr>
          <w:szCs w:val="20"/>
        </w:rPr>
        <w:t>pathogenic or likely pathogenic variants, for access to treatment with niraparib under the Pharmaceutical Benefits Scheme (PBS)</w:t>
      </w:r>
    </w:p>
    <w:p w14:paraId="52846AA3" w14:textId="77777777" w:rsidR="009945E9" w:rsidRPr="00AE1188" w:rsidRDefault="009945E9" w:rsidP="009945E9">
      <w:pPr>
        <w:pBdr>
          <w:top w:val="single" w:sz="4" w:space="1" w:color="auto"/>
          <w:left w:val="single" w:sz="4" w:space="4" w:color="auto"/>
          <w:bottom w:val="single" w:sz="4" w:space="1" w:color="auto"/>
          <w:right w:val="single" w:sz="4" w:space="4" w:color="auto"/>
        </w:pBdr>
        <w:rPr>
          <w:szCs w:val="20"/>
        </w:rPr>
      </w:pPr>
      <w:r w:rsidRPr="009945E9">
        <w:rPr>
          <w:szCs w:val="20"/>
        </w:rPr>
        <w:t>Evidence of homologous recombination deficiency must be derived through a validated test of tumour tissue to determine a genomic instability score.</w:t>
      </w:r>
    </w:p>
    <w:p w14:paraId="66658EB3" w14:textId="4AF3A775"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 xml:space="preserve">Fee:  </w:t>
      </w:r>
      <w:r w:rsidR="00684BB1">
        <w:t>$3000</w:t>
      </w:r>
    </w:p>
    <w:p w14:paraId="18326F50" w14:textId="77777777" w:rsidR="009E08F7" w:rsidRDefault="009E08F7" w:rsidP="008938F0">
      <w:pPr>
        <w:rPr>
          <w:b/>
          <w:bCs/>
          <w:u w:val="single"/>
        </w:rPr>
      </w:pPr>
    </w:p>
    <w:p w14:paraId="2CB994CB" w14:textId="77777777" w:rsidR="009E08F7" w:rsidRDefault="009E08F7" w:rsidP="008938F0">
      <w:pPr>
        <w:rPr>
          <w:b/>
          <w:bCs/>
          <w:u w:val="single"/>
        </w:rPr>
      </w:pPr>
    </w:p>
    <w:p w14:paraId="708E829F" w14:textId="77777777" w:rsidR="009E08F7" w:rsidRDefault="009E08F7" w:rsidP="008938F0">
      <w:pPr>
        <w:rPr>
          <w:b/>
          <w:bCs/>
          <w:u w:val="single"/>
        </w:rPr>
      </w:pPr>
    </w:p>
    <w:p w14:paraId="33865A1E" w14:textId="2635FA69" w:rsidR="006707F4" w:rsidRDefault="006707F4" w:rsidP="008938F0">
      <w:pPr>
        <w:rPr>
          <w:b/>
          <w:bCs/>
          <w:u w:val="single"/>
        </w:rPr>
      </w:pPr>
      <w:bookmarkStart w:id="27" w:name="_Hlk108779390"/>
      <w:r>
        <w:rPr>
          <w:b/>
          <w:bCs/>
          <w:u w:val="single"/>
        </w:rPr>
        <w:t>Population #3a:</w:t>
      </w:r>
    </w:p>
    <w:p w14:paraId="68B1DE6E" w14:textId="77777777" w:rsidR="006707F4" w:rsidRPr="00AE1188" w:rsidRDefault="006707F4" w:rsidP="004E0838">
      <w:pPr>
        <w:pBdr>
          <w:top w:val="single" w:sz="4" w:space="1" w:color="auto"/>
          <w:left w:val="single" w:sz="4" w:space="4" w:color="auto"/>
          <w:bottom w:val="single" w:sz="4" w:space="0" w:color="auto"/>
          <w:right w:val="single" w:sz="4" w:space="4" w:color="auto"/>
          <w:between w:val="single" w:sz="4" w:space="1" w:color="auto"/>
          <w:bar w:val="single" w:sz="4" w:color="auto"/>
        </w:pBdr>
        <w:rPr>
          <w:szCs w:val="20"/>
        </w:rPr>
      </w:pPr>
      <w:r>
        <w:rPr>
          <w:szCs w:val="20"/>
        </w:rPr>
        <w:t xml:space="preserve">Category </w:t>
      </w:r>
      <w:r>
        <w:t>6 – Pathology services</w:t>
      </w:r>
    </w:p>
    <w:p w14:paraId="62DD2669" w14:textId="77777777" w:rsidR="009945E9" w:rsidRDefault="006707F4" w:rsidP="004E0838">
      <w:pPr>
        <w:pBdr>
          <w:top w:val="single" w:sz="4" w:space="1" w:color="auto"/>
          <w:left w:val="single" w:sz="4" w:space="4" w:color="auto"/>
          <w:bottom w:val="single" w:sz="4" w:space="0" w:color="auto"/>
          <w:right w:val="single" w:sz="4" w:space="4" w:color="auto"/>
        </w:pBdr>
        <w:rPr>
          <w:szCs w:val="20"/>
        </w:rPr>
      </w:pPr>
      <w:r w:rsidRPr="00AE1188">
        <w:rPr>
          <w:szCs w:val="20"/>
        </w:rPr>
        <w:t>Proposed item descriptor</w:t>
      </w:r>
      <w:r>
        <w:rPr>
          <w:szCs w:val="20"/>
        </w:rPr>
        <w:t xml:space="preserve">: </w:t>
      </w:r>
    </w:p>
    <w:p w14:paraId="0AAF15F4" w14:textId="17E5B854" w:rsidR="006707F4" w:rsidRDefault="006707F4" w:rsidP="004E0838">
      <w:pPr>
        <w:pBdr>
          <w:top w:val="single" w:sz="4" w:space="1" w:color="auto"/>
          <w:left w:val="single" w:sz="4" w:space="4" w:color="auto"/>
          <w:bottom w:val="single" w:sz="4" w:space="0" w:color="auto"/>
          <w:right w:val="single" w:sz="4" w:space="4" w:color="auto"/>
        </w:pBdr>
        <w:rPr>
          <w:szCs w:val="20"/>
        </w:rPr>
      </w:pPr>
      <w:r>
        <w:rPr>
          <w:szCs w:val="20"/>
        </w:rPr>
        <w:t xml:space="preserve">A test of tumour tissue from a patient with advanced (FIGO III-IV), high grade serous or high grade epithelial ovarian, fallopian tube or primary peritoneal cancer who have </w:t>
      </w:r>
      <w:r w:rsidRPr="00B161A3">
        <w:rPr>
          <w:szCs w:val="20"/>
        </w:rPr>
        <w:t xml:space="preserve">received a first-line </w:t>
      </w:r>
      <w:proofErr w:type="gramStart"/>
      <w:r w:rsidRPr="00B161A3">
        <w:rPr>
          <w:szCs w:val="20"/>
        </w:rPr>
        <w:t>platinum based</w:t>
      </w:r>
      <w:proofErr w:type="gramEnd"/>
      <w:r w:rsidRPr="00B161A3">
        <w:rPr>
          <w:szCs w:val="20"/>
        </w:rPr>
        <w:t xml:space="preserve"> chemotherapy regimen,</w:t>
      </w:r>
      <w:r>
        <w:rPr>
          <w:szCs w:val="20"/>
        </w:rPr>
        <w:t xml:space="preserve"> requested by a specialist or consultant physician, to determine eligibility with respect to homologous recombination deficiency (HRD) status for access to treatment with niraparib under the Pharmaceutical Benefits Scheme (PBS)</w:t>
      </w:r>
    </w:p>
    <w:p w14:paraId="380A834D" w14:textId="3DE0F982" w:rsidR="009945E9" w:rsidRDefault="009945E9" w:rsidP="004E0838">
      <w:pPr>
        <w:pBdr>
          <w:top w:val="single" w:sz="4" w:space="1" w:color="auto"/>
          <w:left w:val="single" w:sz="4" w:space="4" w:color="auto"/>
          <w:bottom w:val="single" w:sz="4" w:space="0" w:color="auto"/>
          <w:right w:val="single" w:sz="4" w:space="4" w:color="auto"/>
        </w:pBdr>
        <w:rPr>
          <w:szCs w:val="20"/>
        </w:rPr>
      </w:pPr>
      <w:r w:rsidRPr="009945E9">
        <w:rPr>
          <w:szCs w:val="20"/>
        </w:rPr>
        <w:t>Evidence of homologous recombination deficiency must be derived through a validated test of tumour tissue to determine a genomic instability score.</w:t>
      </w:r>
    </w:p>
    <w:p w14:paraId="5544853D" w14:textId="40B8519F" w:rsidR="00D05163" w:rsidRPr="00B161A3" w:rsidRDefault="00D05163" w:rsidP="004E0838">
      <w:pPr>
        <w:pBdr>
          <w:top w:val="single" w:sz="4" w:space="1" w:color="auto"/>
          <w:left w:val="single" w:sz="4" w:space="4" w:color="auto"/>
          <w:bottom w:val="single" w:sz="4" w:space="0" w:color="auto"/>
          <w:right w:val="single" w:sz="4" w:space="4" w:color="auto"/>
        </w:pBdr>
        <w:rPr>
          <w:szCs w:val="20"/>
        </w:rPr>
      </w:pPr>
      <w:r w:rsidRPr="00B161A3">
        <w:t xml:space="preserve">A patient must not have received bevacizumab as part of their first-line </w:t>
      </w:r>
      <w:proofErr w:type="gramStart"/>
      <w:r w:rsidRPr="00B161A3">
        <w:t>platinum based</w:t>
      </w:r>
      <w:proofErr w:type="gramEnd"/>
      <w:r w:rsidRPr="00B161A3">
        <w:t xml:space="preserve"> chemotherapy regimen</w:t>
      </w:r>
    </w:p>
    <w:p w14:paraId="79E9EC02" w14:textId="2228AD74" w:rsidR="006707F4" w:rsidRPr="00B161A3" w:rsidRDefault="006707F4" w:rsidP="004E0838">
      <w:pPr>
        <w:pBdr>
          <w:top w:val="single" w:sz="4" w:space="1" w:color="auto"/>
          <w:left w:val="single" w:sz="4" w:space="4" w:color="auto"/>
          <w:bottom w:val="single" w:sz="4" w:space="0" w:color="auto"/>
          <w:right w:val="single" w:sz="4" w:space="4" w:color="auto"/>
        </w:pBdr>
        <w:rPr>
          <w:szCs w:val="20"/>
        </w:rPr>
      </w:pPr>
      <w:r w:rsidRPr="00B161A3">
        <w:rPr>
          <w:szCs w:val="20"/>
        </w:rPr>
        <w:t xml:space="preserve">Fee:  </w:t>
      </w:r>
      <w:r w:rsidR="00684BB1">
        <w:t>$3000</w:t>
      </w:r>
    </w:p>
    <w:p w14:paraId="7723933C" w14:textId="443C05A4" w:rsidR="008938F0" w:rsidRPr="00B161A3" w:rsidRDefault="006707F4" w:rsidP="008938F0">
      <w:r w:rsidRPr="00B161A3">
        <w:rPr>
          <w:b/>
          <w:bCs/>
          <w:u w:val="single"/>
        </w:rPr>
        <w:t>Population #3b:</w:t>
      </w:r>
    </w:p>
    <w:p w14:paraId="720CB976" w14:textId="77777777" w:rsidR="008008BB" w:rsidRPr="00B161A3" w:rsidRDefault="008008BB" w:rsidP="008008BB">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B161A3">
        <w:rPr>
          <w:szCs w:val="20"/>
        </w:rPr>
        <w:t xml:space="preserve">Category </w:t>
      </w:r>
      <w:r w:rsidRPr="00B161A3">
        <w:t>6 – Pathology services</w:t>
      </w:r>
    </w:p>
    <w:p w14:paraId="74492ADA" w14:textId="77777777" w:rsidR="009945E9" w:rsidRPr="00B161A3" w:rsidRDefault="008008BB" w:rsidP="008008BB">
      <w:pPr>
        <w:pBdr>
          <w:top w:val="single" w:sz="4" w:space="1" w:color="auto"/>
          <w:left w:val="single" w:sz="4" w:space="4" w:color="auto"/>
          <w:bottom w:val="single" w:sz="4" w:space="1" w:color="auto"/>
          <w:right w:val="single" w:sz="4" w:space="4" w:color="auto"/>
        </w:pBdr>
        <w:rPr>
          <w:szCs w:val="20"/>
        </w:rPr>
      </w:pPr>
      <w:r w:rsidRPr="00B161A3">
        <w:rPr>
          <w:szCs w:val="20"/>
        </w:rPr>
        <w:t xml:space="preserve">Proposed item descriptor: </w:t>
      </w:r>
    </w:p>
    <w:p w14:paraId="6D33E9B0" w14:textId="59177750" w:rsidR="008008BB" w:rsidRPr="00B161A3" w:rsidRDefault="008008BB" w:rsidP="008008BB">
      <w:pPr>
        <w:pBdr>
          <w:top w:val="single" w:sz="4" w:space="1" w:color="auto"/>
          <w:left w:val="single" w:sz="4" w:space="4" w:color="auto"/>
          <w:bottom w:val="single" w:sz="4" w:space="1" w:color="auto"/>
          <w:right w:val="single" w:sz="4" w:space="4" w:color="auto"/>
        </w:pBdr>
        <w:rPr>
          <w:szCs w:val="20"/>
        </w:rPr>
      </w:pPr>
      <w:r w:rsidRPr="00B161A3">
        <w:rPr>
          <w:szCs w:val="20"/>
        </w:rPr>
        <w:t>A test of tumour tissue from a patient with advanced (FIGO III-IV), high grade serous or high grade epithelial ovarian, fallopian tube or primary peritoneal cancer</w:t>
      </w:r>
      <w:r w:rsidR="00FF4984" w:rsidRPr="00B161A3">
        <w:rPr>
          <w:szCs w:val="20"/>
        </w:rPr>
        <w:t xml:space="preserve"> who have received </w:t>
      </w:r>
      <w:r w:rsidR="00382429" w:rsidRPr="00B161A3">
        <w:rPr>
          <w:szCs w:val="20"/>
        </w:rPr>
        <w:t>a first-line platinum based chemotherapy regimen</w:t>
      </w:r>
      <w:r w:rsidRPr="00B161A3">
        <w:rPr>
          <w:szCs w:val="20"/>
        </w:rPr>
        <w:t>, requested by a specialist or consultant physician, to determine eligibility with respect to homologous recombination deficiency (HRD) status in patients that do not express BRCA1 or BRCA2 pathogenic or likely pathogenic variants, for access to treatment with niraparib under the Pharmaceutical Benefits Scheme (PBS)</w:t>
      </w:r>
    </w:p>
    <w:p w14:paraId="6564B6DE" w14:textId="77777777" w:rsidR="009945E9" w:rsidRPr="00B161A3" w:rsidRDefault="009945E9" w:rsidP="009945E9">
      <w:pPr>
        <w:pBdr>
          <w:top w:val="single" w:sz="4" w:space="1" w:color="auto"/>
          <w:left w:val="single" w:sz="4" w:space="4" w:color="auto"/>
          <w:bottom w:val="single" w:sz="4" w:space="1" w:color="auto"/>
          <w:right w:val="single" w:sz="4" w:space="4" w:color="auto"/>
        </w:pBdr>
        <w:rPr>
          <w:szCs w:val="20"/>
        </w:rPr>
      </w:pPr>
      <w:r w:rsidRPr="00B161A3">
        <w:rPr>
          <w:szCs w:val="20"/>
        </w:rPr>
        <w:t>Evidence of homologous recombination deficiency must be derived through a validated test of tumour tissue to determine a genomic instability score.</w:t>
      </w:r>
    </w:p>
    <w:p w14:paraId="3D7E0E0C" w14:textId="27EDBDB3" w:rsidR="00D05163" w:rsidRPr="00B161A3" w:rsidRDefault="00D05163" w:rsidP="009945E9">
      <w:pPr>
        <w:pBdr>
          <w:top w:val="single" w:sz="4" w:space="1" w:color="auto"/>
          <w:left w:val="single" w:sz="4" w:space="4" w:color="auto"/>
          <w:bottom w:val="single" w:sz="4" w:space="1" w:color="auto"/>
          <w:right w:val="single" w:sz="4" w:space="4" w:color="auto"/>
        </w:pBdr>
        <w:rPr>
          <w:szCs w:val="20"/>
        </w:rPr>
      </w:pPr>
      <w:r w:rsidRPr="00B161A3">
        <w:t xml:space="preserve">A patient must not have received bevacizumab as part of their first-line </w:t>
      </w:r>
      <w:proofErr w:type="gramStart"/>
      <w:r w:rsidRPr="00B161A3">
        <w:t>platinum based</w:t>
      </w:r>
      <w:proofErr w:type="gramEnd"/>
      <w:r w:rsidRPr="00B161A3">
        <w:t xml:space="preserve"> chemotherapy regimen</w:t>
      </w:r>
    </w:p>
    <w:p w14:paraId="7B98EEA8" w14:textId="65FCAA9F" w:rsidR="008008BB" w:rsidRPr="00AE1188" w:rsidRDefault="008008BB" w:rsidP="008008BB">
      <w:pPr>
        <w:pBdr>
          <w:top w:val="single" w:sz="4" w:space="1" w:color="auto"/>
          <w:left w:val="single" w:sz="4" w:space="4" w:color="auto"/>
          <w:bottom w:val="single" w:sz="4" w:space="1" w:color="auto"/>
          <w:right w:val="single" w:sz="4" w:space="4" w:color="auto"/>
        </w:pBdr>
        <w:rPr>
          <w:szCs w:val="20"/>
        </w:rPr>
      </w:pPr>
      <w:r w:rsidRPr="00B161A3">
        <w:rPr>
          <w:szCs w:val="20"/>
        </w:rPr>
        <w:t xml:space="preserve">Fee:  </w:t>
      </w:r>
      <w:r w:rsidR="00684BB1">
        <w:t>$3000</w:t>
      </w:r>
    </w:p>
    <w:bookmarkEnd w:id="27"/>
    <w:p w14:paraId="2EC69EAF" w14:textId="77777777" w:rsidR="008938F0" w:rsidRDefault="008938F0" w:rsidP="008938F0"/>
    <w:p w14:paraId="61206422" w14:textId="11EAC8BC" w:rsidR="00D269F6" w:rsidRPr="00D269F6" w:rsidRDefault="00D269F6" w:rsidP="00D269F6">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06815138" w14:textId="1539D034" w:rsidR="006663FC" w:rsidRPr="006663FC" w:rsidRDefault="006663FC" w:rsidP="00CB1120">
      <w:pPr>
        <w:ind w:firstLine="360"/>
      </w:pPr>
      <w:r>
        <w:t>Not applicable</w:t>
      </w:r>
    </w:p>
    <w:p w14:paraId="42B88FD0" w14:textId="06A63E84" w:rsidR="00282B37" w:rsidRDefault="00282B37" w:rsidP="003F28DF">
      <w:pPr>
        <w:pStyle w:val="Heading2"/>
        <w:numPr>
          <w:ilvl w:val="0"/>
          <w:numId w:val="0"/>
        </w:numPr>
      </w:pPr>
    </w:p>
    <w:sectPr w:rsidR="00282B37" w:rsidSect="005E5B6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50FD" w14:textId="77777777" w:rsidR="00961069" w:rsidRDefault="00961069" w:rsidP="00CF2DFA">
      <w:pPr>
        <w:spacing w:after="0"/>
      </w:pPr>
      <w:r>
        <w:separator/>
      </w:r>
    </w:p>
  </w:endnote>
  <w:endnote w:type="continuationSeparator" w:id="0">
    <w:p w14:paraId="24562174" w14:textId="77777777" w:rsidR="00961069" w:rsidRDefault="00961069" w:rsidP="00CF2DFA">
      <w:pPr>
        <w:spacing w:after="0"/>
      </w:pPr>
      <w:r>
        <w:continuationSeparator/>
      </w:r>
    </w:p>
  </w:endnote>
  <w:endnote w:type="continuationNotice" w:id="1">
    <w:p w14:paraId="2E7F8BC5" w14:textId="77777777" w:rsidR="00961069" w:rsidRDefault="009610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vOT1ef757c0">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DDBB098" w14:textId="77777777" w:rsidR="00961069" w:rsidRDefault="0096106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0129075" w14:textId="77777777" w:rsidR="00961069" w:rsidRPr="003F7CB9" w:rsidRDefault="0096106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966B" w14:textId="77777777" w:rsidR="00961069" w:rsidRDefault="00961069" w:rsidP="00CF2DFA">
      <w:pPr>
        <w:spacing w:after="0"/>
      </w:pPr>
      <w:r>
        <w:separator/>
      </w:r>
    </w:p>
  </w:footnote>
  <w:footnote w:type="continuationSeparator" w:id="0">
    <w:p w14:paraId="0F105937" w14:textId="77777777" w:rsidR="00961069" w:rsidRDefault="00961069" w:rsidP="00CF2DFA">
      <w:pPr>
        <w:spacing w:after="0"/>
      </w:pPr>
      <w:r>
        <w:continuationSeparator/>
      </w:r>
    </w:p>
  </w:footnote>
  <w:footnote w:type="continuationNotice" w:id="1">
    <w:p w14:paraId="5B04DCEC" w14:textId="77777777" w:rsidR="00961069" w:rsidRDefault="0096106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431018"/>
    <w:multiLevelType w:val="hybridMultilevel"/>
    <w:tmpl w:val="0526E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0A3168"/>
    <w:multiLevelType w:val="hybridMultilevel"/>
    <w:tmpl w:val="4952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0035A"/>
    <w:multiLevelType w:val="hybridMultilevel"/>
    <w:tmpl w:val="6F709B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DF5FF7"/>
    <w:multiLevelType w:val="hybridMultilevel"/>
    <w:tmpl w:val="9A20499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27E657B2"/>
    <w:multiLevelType w:val="hybridMultilevel"/>
    <w:tmpl w:val="14C4F8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2174A63"/>
    <w:multiLevelType w:val="hybridMultilevel"/>
    <w:tmpl w:val="2088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58042A"/>
    <w:multiLevelType w:val="hybridMultilevel"/>
    <w:tmpl w:val="C5A62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FF3AD8"/>
    <w:multiLevelType w:val="hybridMultilevel"/>
    <w:tmpl w:val="4B625AA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4" w15:restartNumberingAfterBreak="0">
    <w:nsid w:val="3D52241D"/>
    <w:multiLevelType w:val="hybridMultilevel"/>
    <w:tmpl w:val="3F30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470BC"/>
    <w:multiLevelType w:val="hybridMultilevel"/>
    <w:tmpl w:val="39A0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9669CD"/>
    <w:multiLevelType w:val="hybridMultilevel"/>
    <w:tmpl w:val="6370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215A06"/>
    <w:multiLevelType w:val="hybridMultilevel"/>
    <w:tmpl w:val="83C24152"/>
    <w:lvl w:ilvl="0" w:tplc="0C090001">
      <w:start w:val="1"/>
      <w:numFmt w:val="bullet"/>
      <w:lvlText w:val=""/>
      <w:lvlJc w:val="left"/>
      <w:pPr>
        <w:ind w:left="720" w:hanging="360"/>
      </w:pPr>
      <w:rPr>
        <w:rFonts w:ascii="Symbol" w:hAnsi="Symbol" w:hint="default"/>
      </w:rPr>
    </w:lvl>
    <w:lvl w:ilvl="1" w:tplc="5E4CECE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3644A6"/>
    <w:multiLevelType w:val="multilevel"/>
    <w:tmpl w:val="D21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A0EEE"/>
    <w:multiLevelType w:val="hybridMultilevel"/>
    <w:tmpl w:val="0B343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DE3762"/>
    <w:multiLevelType w:val="hybridMultilevel"/>
    <w:tmpl w:val="C98C72A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0" w15:restartNumberingAfterBreak="0">
    <w:nsid w:val="72D357EA"/>
    <w:multiLevelType w:val="hybridMultilevel"/>
    <w:tmpl w:val="0F241C3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827D28"/>
    <w:multiLevelType w:val="multilevel"/>
    <w:tmpl w:val="8262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51CA7"/>
    <w:multiLevelType w:val="hybridMultilevel"/>
    <w:tmpl w:val="D9F4FF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7D460B4"/>
    <w:multiLevelType w:val="hybridMultilevel"/>
    <w:tmpl w:val="6C08E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603D72"/>
    <w:multiLevelType w:val="hybridMultilevel"/>
    <w:tmpl w:val="1B48F0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1"/>
  </w:num>
  <w:num w:numId="4">
    <w:abstractNumId w:val="26"/>
  </w:num>
  <w:num w:numId="5">
    <w:abstractNumId w:val="5"/>
  </w:num>
  <w:num w:numId="6">
    <w:abstractNumId w:val="20"/>
  </w:num>
  <w:num w:numId="7">
    <w:abstractNumId w:val="16"/>
  </w:num>
  <w:num w:numId="8">
    <w:abstractNumId w:val="27"/>
  </w:num>
  <w:num w:numId="9">
    <w:abstractNumId w:val="3"/>
  </w:num>
  <w:num w:numId="10">
    <w:abstractNumId w:val="23"/>
  </w:num>
  <w:num w:numId="11">
    <w:abstractNumId w:val="8"/>
  </w:num>
  <w:num w:numId="12">
    <w:abstractNumId w:val="22"/>
  </w:num>
  <w:num w:numId="13">
    <w:abstractNumId w:val="7"/>
  </w:num>
  <w:num w:numId="14">
    <w:abstractNumId w:val="18"/>
  </w:num>
  <w:num w:numId="15">
    <w:abstractNumId w:val="0"/>
  </w:num>
  <w:num w:numId="16">
    <w:abstractNumId w:val="31"/>
  </w:num>
  <w:num w:numId="17">
    <w:abstractNumId w:val="24"/>
  </w:num>
  <w:num w:numId="18">
    <w:abstractNumId w:val="25"/>
  </w:num>
  <w:num w:numId="19">
    <w:abstractNumId w:val="33"/>
  </w:num>
  <w:num w:numId="20">
    <w:abstractNumId w:val="29"/>
  </w:num>
  <w:num w:numId="21">
    <w:abstractNumId w:val="15"/>
  </w:num>
  <w:num w:numId="22">
    <w:abstractNumId w:val="12"/>
  </w:num>
  <w:num w:numId="23">
    <w:abstractNumId w:val="30"/>
  </w:num>
  <w:num w:numId="24">
    <w:abstractNumId w:val="4"/>
  </w:num>
  <w:num w:numId="25">
    <w:abstractNumId w:val="9"/>
  </w:num>
  <w:num w:numId="26">
    <w:abstractNumId w:val="34"/>
  </w:num>
  <w:num w:numId="27">
    <w:abstractNumId w:val="32"/>
  </w:num>
  <w:num w:numId="28">
    <w:abstractNumId w:val="21"/>
  </w:num>
  <w:num w:numId="29">
    <w:abstractNumId w:val="14"/>
  </w:num>
  <w:num w:numId="30">
    <w:abstractNumId w:val="6"/>
  </w:num>
  <w:num w:numId="31">
    <w:abstractNumId w:val="13"/>
  </w:num>
  <w:num w:numId="32">
    <w:abstractNumId w:val="11"/>
  </w:num>
  <w:num w:numId="33">
    <w:abstractNumId w:val="10"/>
  </w:num>
  <w:num w:numId="34">
    <w:abstractNumId w:val="17"/>
  </w:num>
  <w:num w:numId="3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1A6D"/>
    <w:rsid w:val="00001F03"/>
    <w:rsid w:val="00005DF7"/>
    <w:rsid w:val="00007415"/>
    <w:rsid w:val="000100EF"/>
    <w:rsid w:val="0001048F"/>
    <w:rsid w:val="00010C46"/>
    <w:rsid w:val="00010E6E"/>
    <w:rsid w:val="000110DC"/>
    <w:rsid w:val="000118D0"/>
    <w:rsid w:val="00011923"/>
    <w:rsid w:val="00013B4E"/>
    <w:rsid w:val="00014D82"/>
    <w:rsid w:val="000158AA"/>
    <w:rsid w:val="000159B9"/>
    <w:rsid w:val="00016B6E"/>
    <w:rsid w:val="00016D5F"/>
    <w:rsid w:val="00017EA7"/>
    <w:rsid w:val="0002041D"/>
    <w:rsid w:val="00022DB0"/>
    <w:rsid w:val="00022F2E"/>
    <w:rsid w:val="000236CD"/>
    <w:rsid w:val="00023E21"/>
    <w:rsid w:val="00025ABC"/>
    <w:rsid w:val="00026412"/>
    <w:rsid w:val="0002724D"/>
    <w:rsid w:val="00027B2E"/>
    <w:rsid w:val="00031F6F"/>
    <w:rsid w:val="000346BC"/>
    <w:rsid w:val="00034D6E"/>
    <w:rsid w:val="00040EF1"/>
    <w:rsid w:val="0004147F"/>
    <w:rsid w:val="00042333"/>
    <w:rsid w:val="00042B53"/>
    <w:rsid w:val="0004619A"/>
    <w:rsid w:val="00046D40"/>
    <w:rsid w:val="0004709A"/>
    <w:rsid w:val="0005001C"/>
    <w:rsid w:val="0005089D"/>
    <w:rsid w:val="000525BC"/>
    <w:rsid w:val="000542CB"/>
    <w:rsid w:val="00054AAB"/>
    <w:rsid w:val="00055E55"/>
    <w:rsid w:val="00057C39"/>
    <w:rsid w:val="00060324"/>
    <w:rsid w:val="000608D3"/>
    <w:rsid w:val="0006283D"/>
    <w:rsid w:val="0006413A"/>
    <w:rsid w:val="00065C90"/>
    <w:rsid w:val="000662FA"/>
    <w:rsid w:val="00067E75"/>
    <w:rsid w:val="0007115F"/>
    <w:rsid w:val="0007290C"/>
    <w:rsid w:val="00073222"/>
    <w:rsid w:val="00073644"/>
    <w:rsid w:val="00073AB1"/>
    <w:rsid w:val="00074CC1"/>
    <w:rsid w:val="00075609"/>
    <w:rsid w:val="000770BA"/>
    <w:rsid w:val="0007764F"/>
    <w:rsid w:val="00080099"/>
    <w:rsid w:val="000817C3"/>
    <w:rsid w:val="00082B62"/>
    <w:rsid w:val="00082F4F"/>
    <w:rsid w:val="00083171"/>
    <w:rsid w:val="0008323F"/>
    <w:rsid w:val="0008590E"/>
    <w:rsid w:val="000861D9"/>
    <w:rsid w:val="00086EE4"/>
    <w:rsid w:val="000907E8"/>
    <w:rsid w:val="00092580"/>
    <w:rsid w:val="000926D7"/>
    <w:rsid w:val="00092D71"/>
    <w:rsid w:val="00092DBA"/>
    <w:rsid w:val="00093F22"/>
    <w:rsid w:val="00094839"/>
    <w:rsid w:val="00094969"/>
    <w:rsid w:val="00094A9B"/>
    <w:rsid w:val="00094D22"/>
    <w:rsid w:val="000955E7"/>
    <w:rsid w:val="00095B45"/>
    <w:rsid w:val="00096E47"/>
    <w:rsid w:val="000A00D4"/>
    <w:rsid w:val="000A0DD9"/>
    <w:rsid w:val="000A110D"/>
    <w:rsid w:val="000A319A"/>
    <w:rsid w:val="000A3261"/>
    <w:rsid w:val="000A33D2"/>
    <w:rsid w:val="000A3537"/>
    <w:rsid w:val="000A478F"/>
    <w:rsid w:val="000A5B32"/>
    <w:rsid w:val="000A7FAE"/>
    <w:rsid w:val="000B1642"/>
    <w:rsid w:val="000B1D80"/>
    <w:rsid w:val="000B3CD0"/>
    <w:rsid w:val="000B4697"/>
    <w:rsid w:val="000B5696"/>
    <w:rsid w:val="000B573C"/>
    <w:rsid w:val="000C04BF"/>
    <w:rsid w:val="000C0D3C"/>
    <w:rsid w:val="000C4A03"/>
    <w:rsid w:val="000C67F0"/>
    <w:rsid w:val="000C6EB2"/>
    <w:rsid w:val="000D066E"/>
    <w:rsid w:val="000D0831"/>
    <w:rsid w:val="000D1622"/>
    <w:rsid w:val="000D18BC"/>
    <w:rsid w:val="000D1ADA"/>
    <w:rsid w:val="000D29B7"/>
    <w:rsid w:val="000D5F87"/>
    <w:rsid w:val="000D6FCA"/>
    <w:rsid w:val="000E12ED"/>
    <w:rsid w:val="000E151A"/>
    <w:rsid w:val="000E2E02"/>
    <w:rsid w:val="000E31A6"/>
    <w:rsid w:val="000E3652"/>
    <w:rsid w:val="000E46E3"/>
    <w:rsid w:val="000E47E7"/>
    <w:rsid w:val="000E5439"/>
    <w:rsid w:val="000E5C59"/>
    <w:rsid w:val="000E6E75"/>
    <w:rsid w:val="000E76F9"/>
    <w:rsid w:val="000E7BBC"/>
    <w:rsid w:val="000F0039"/>
    <w:rsid w:val="000F0AEC"/>
    <w:rsid w:val="000F1EF3"/>
    <w:rsid w:val="000F3129"/>
    <w:rsid w:val="000F3311"/>
    <w:rsid w:val="000F37B1"/>
    <w:rsid w:val="000F6043"/>
    <w:rsid w:val="000F60DA"/>
    <w:rsid w:val="000F6AF0"/>
    <w:rsid w:val="00101676"/>
    <w:rsid w:val="0010212B"/>
    <w:rsid w:val="00102686"/>
    <w:rsid w:val="0010296C"/>
    <w:rsid w:val="00105A73"/>
    <w:rsid w:val="00107ECA"/>
    <w:rsid w:val="0011036E"/>
    <w:rsid w:val="00110577"/>
    <w:rsid w:val="00111452"/>
    <w:rsid w:val="00112908"/>
    <w:rsid w:val="001130B0"/>
    <w:rsid w:val="0011369B"/>
    <w:rsid w:val="00114709"/>
    <w:rsid w:val="001148C4"/>
    <w:rsid w:val="00115B72"/>
    <w:rsid w:val="0011742E"/>
    <w:rsid w:val="00121313"/>
    <w:rsid w:val="001219F4"/>
    <w:rsid w:val="001238AD"/>
    <w:rsid w:val="00123C6C"/>
    <w:rsid w:val="00123D10"/>
    <w:rsid w:val="00124809"/>
    <w:rsid w:val="001249A0"/>
    <w:rsid w:val="00124DF4"/>
    <w:rsid w:val="00126B33"/>
    <w:rsid w:val="001300B1"/>
    <w:rsid w:val="00132215"/>
    <w:rsid w:val="00132B9C"/>
    <w:rsid w:val="00133024"/>
    <w:rsid w:val="00133CEA"/>
    <w:rsid w:val="00134038"/>
    <w:rsid w:val="00140B69"/>
    <w:rsid w:val="00143E71"/>
    <w:rsid w:val="00144191"/>
    <w:rsid w:val="00145712"/>
    <w:rsid w:val="00146154"/>
    <w:rsid w:val="001462B2"/>
    <w:rsid w:val="0014667A"/>
    <w:rsid w:val="00146E6E"/>
    <w:rsid w:val="00146FB9"/>
    <w:rsid w:val="001479AE"/>
    <w:rsid w:val="00150B00"/>
    <w:rsid w:val="00151417"/>
    <w:rsid w:val="0015191A"/>
    <w:rsid w:val="00151A92"/>
    <w:rsid w:val="00151F28"/>
    <w:rsid w:val="001531D7"/>
    <w:rsid w:val="0015338F"/>
    <w:rsid w:val="0015364F"/>
    <w:rsid w:val="001548FB"/>
    <w:rsid w:val="00154B00"/>
    <w:rsid w:val="001559C6"/>
    <w:rsid w:val="00155D31"/>
    <w:rsid w:val="001569FF"/>
    <w:rsid w:val="00160669"/>
    <w:rsid w:val="00161143"/>
    <w:rsid w:val="00161488"/>
    <w:rsid w:val="00163064"/>
    <w:rsid w:val="001644E9"/>
    <w:rsid w:val="00164AB8"/>
    <w:rsid w:val="00165ECC"/>
    <w:rsid w:val="00166EBF"/>
    <w:rsid w:val="00170D7D"/>
    <w:rsid w:val="00171FE7"/>
    <w:rsid w:val="0017217E"/>
    <w:rsid w:val="00174233"/>
    <w:rsid w:val="001758E2"/>
    <w:rsid w:val="001763DB"/>
    <w:rsid w:val="0017651D"/>
    <w:rsid w:val="001779A5"/>
    <w:rsid w:val="00177B8C"/>
    <w:rsid w:val="001817B0"/>
    <w:rsid w:val="00182987"/>
    <w:rsid w:val="001831A7"/>
    <w:rsid w:val="001845D9"/>
    <w:rsid w:val="001847A3"/>
    <w:rsid w:val="0018513E"/>
    <w:rsid w:val="0018591E"/>
    <w:rsid w:val="0018630F"/>
    <w:rsid w:val="00187010"/>
    <w:rsid w:val="0018786B"/>
    <w:rsid w:val="001906CD"/>
    <w:rsid w:val="00190F91"/>
    <w:rsid w:val="00191B99"/>
    <w:rsid w:val="001924BA"/>
    <w:rsid w:val="001925D5"/>
    <w:rsid w:val="00196329"/>
    <w:rsid w:val="0019694B"/>
    <w:rsid w:val="00196B55"/>
    <w:rsid w:val="00197D29"/>
    <w:rsid w:val="001A02E3"/>
    <w:rsid w:val="001A0598"/>
    <w:rsid w:val="001A11CF"/>
    <w:rsid w:val="001A12E5"/>
    <w:rsid w:val="001A16D7"/>
    <w:rsid w:val="001A1ADF"/>
    <w:rsid w:val="001A238A"/>
    <w:rsid w:val="001A365C"/>
    <w:rsid w:val="001A3B47"/>
    <w:rsid w:val="001A3EED"/>
    <w:rsid w:val="001A4DFE"/>
    <w:rsid w:val="001A75D3"/>
    <w:rsid w:val="001A75ED"/>
    <w:rsid w:val="001A7E88"/>
    <w:rsid w:val="001B171D"/>
    <w:rsid w:val="001B29A1"/>
    <w:rsid w:val="001B3CFB"/>
    <w:rsid w:val="001B3DE4"/>
    <w:rsid w:val="001B46A8"/>
    <w:rsid w:val="001B5169"/>
    <w:rsid w:val="001B6164"/>
    <w:rsid w:val="001B6A2C"/>
    <w:rsid w:val="001C293A"/>
    <w:rsid w:val="001C53B7"/>
    <w:rsid w:val="001C579F"/>
    <w:rsid w:val="001C7711"/>
    <w:rsid w:val="001C7810"/>
    <w:rsid w:val="001D14AD"/>
    <w:rsid w:val="001D2787"/>
    <w:rsid w:val="001D29E4"/>
    <w:rsid w:val="001D43FB"/>
    <w:rsid w:val="001D5CEB"/>
    <w:rsid w:val="001D7398"/>
    <w:rsid w:val="001D77ED"/>
    <w:rsid w:val="001E015A"/>
    <w:rsid w:val="001E0941"/>
    <w:rsid w:val="001E0D09"/>
    <w:rsid w:val="001E0E73"/>
    <w:rsid w:val="001E1180"/>
    <w:rsid w:val="001E23EA"/>
    <w:rsid w:val="001E38B5"/>
    <w:rsid w:val="001E4461"/>
    <w:rsid w:val="001E5E58"/>
    <w:rsid w:val="001E6919"/>
    <w:rsid w:val="001E6958"/>
    <w:rsid w:val="001E7919"/>
    <w:rsid w:val="001F1E36"/>
    <w:rsid w:val="001F2BC9"/>
    <w:rsid w:val="001F2F4D"/>
    <w:rsid w:val="001F5694"/>
    <w:rsid w:val="001F75E4"/>
    <w:rsid w:val="00200A2E"/>
    <w:rsid w:val="00200ABD"/>
    <w:rsid w:val="00200FBF"/>
    <w:rsid w:val="00201924"/>
    <w:rsid w:val="00202473"/>
    <w:rsid w:val="002040A1"/>
    <w:rsid w:val="0020437B"/>
    <w:rsid w:val="0020504D"/>
    <w:rsid w:val="002053F2"/>
    <w:rsid w:val="002062D3"/>
    <w:rsid w:val="00206D63"/>
    <w:rsid w:val="0020775B"/>
    <w:rsid w:val="00210456"/>
    <w:rsid w:val="0021185D"/>
    <w:rsid w:val="00211A6B"/>
    <w:rsid w:val="00211FA7"/>
    <w:rsid w:val="00212750"/>
    <w:rsid w:val="00213CE5"/>
    <w:rsid w:val="002161B6"/>
    <w:rsid w:val="002168B0"/>
    <w:rsid w:val="00216C46"/>
    <w:rsid w:val="00216EEB"/>
    <w:rsid w:val="002205F1"/>
    <w:rsid w:val="00221D8D"/>
    <w:rsid w:val="00224375"/>
    <w:rsid w:val="00224915"/>
    <w:rsid w:val="0022504C"/>
    <w:rsid w:val="002259C9"/>
    <w:rsid w:val="002259CE"/>
    <w:rsid w:val="00226777"/>
    <w:rsid w:val="0023327B"/>
    <w:rsid w:val="00233A4D"/>
    <w:rsid w:val="00233FB6"/>
    <w:rsid w:val="00234634"/>
    <w:rsid w:val="002347E9"/>
    <w:rsid w:val="002351C6"/>
    <w:rsid w:val="00235841"/>
    <w:rsid w:val="002359A7"/>
    <w:rsid w:val="00235BD1"/>
    <w:rsid w:val="00236443"/>
    <w:rsid w:val="00237F50"/>
    <w:rsid w:val="00241B4C"/>
    <w:rsid w:val="00242B0E"/>
    <w:rsid w:val="0024636E"/>
    <w:rsid w:val="00247837"/>
    <w:rsid w:val="00247904"/>
    <w:rsid w:val="00247DF0"/>
    <w:rsid w:val="00250A77"/>
    <w:rsid w:val="00252FFB"/>
    <w:rsid w:val="00253467"/>
    <w:rsid w:val="00254813"/>
    <w:rsid w:val="0025534E"/>
    <w:rsid w:val="00257B35"/>
    <w:rsid w:val="00257FF2"/>
    <w:rsid w:val="00260325"/>
    <w:rsid w:val="00263EEE"/>
    <w:rsid w:val="00265822"/>
    <w:rsid w:val="002658EA"/>
    <w:rsid w:val="0026601B"/>
    <w:rsid w:val="0026653D"/>
    <w:rsid w:val="0027105F"/>
    <w:rsid w:val="002711FB"/>
    <w:rsid w:val="00273379"/>
    <w:rsid w:val="002734D2"/>
    <w:rsid w:val="002742AA"/>
    <w:rsid w:val="0027469D"/>
    <w:rsid w:val="00274C52"/>
    <w:rsid w:val="002756BC"/>
    <w:rsid w:val="0027609E"/>
    <w:rsid w:val="00277F7D"/>
    <w:rsid w:val="00280FEE"/>
    <w:rsid w:val="0028197A"/>
    <w:rsid w:val="00282B37"/>
    <w:rsid w:val="00282BE8"/>
    <w:rsid w:val="00283318"/>
    <w:rsid w:val="002847EB"/>
    <w:rsid w:val="00285159"/>
    <w:rsid w:val="00285525"/>
    <w:rsid w:val="002855B4"/>
    <w:rsid w:val="002878DF"/>
    <w:rsid w:val="002902EB"/>
    <w:rsid w:val="002922B5"/>
    <w:rsid w:val="00293E1B"/>
    <w:rsid w:val="00294CD8"/>
    <w:rsid w:val="00295E3F"/>
    <w:rsid w:val="00296405"/>
    <w:rsid w:val="00296E8B"/>
    <w:rsid w:val="002A270B"/>
    <w:rsid w:val="002A49D2"/>
    <w:rsid w:val="002A50FD"/>
    <w:rsid w:val="002A6036"/>
    <w:rsid w:val="002A6753"/>
    <w:rsid w:val="002A7927"/>
    <w:rsid w:val="002B1B63"/>
    <w:rsid w:val="002B2204"/>
    <w:rsid w:val="002B25A5"/>
    <w:rsid w:val="002B28D7"/>
    <w:rsid w:val="002B3EE7"/>
    <w:rsid w:val="002B4FE1"/>
    <w:rsid w:val="002B592B"/>
    <w:rsid w:val="002B5F50"/>
    <w:rsid w:val="002B7EB6"/>
    <w:rsid w:val="002C063D"/>
    <w:rsid w:val="002C0A5A"/>
    <w:rsid w:val="002C0B61"/>
    <w:rsid w:val="002C1462"/>
    <w:rsid w:val="002C15E6"/>
    <w:rsid w:val="002C247D"/>
    <w:rsid w:val="002C2DF6"/>
    <w:rsid w:val="002C3345"/>
    <w:rsid w:val="002C5C0F"/>
    <w:rsid w:val="002C5E41"/>
    <w:rsid w:val="002C7C0C"/>
    <w:rsid w:val="002C7F85"/>
    <w:rsid w:val="002D3BA0"/>
    <w:rsid w:val="002D409A"/>
    <w:rsid w:val="002D5574"/>
    <w:rsid w:val="002E035D"/>
    <w:rsid w:val="002E1AAA"/>
    <w:rsid w:val="002E2B4E"/>
    <w:rsid w:val="002E381A"/>
    <w:rsid w:val="002E5B9C"/>
    <w:rsid w:val="002E6A17"/>
    <w:rsid w:val="002F30E7"/>
    <w:rsid w:val="002F3890"/>
    <w:rsid w:val="002F4074"/>
    <w:rsid w:val="00300306"/>
    <w:rsid w:val="00300EEB"/>
    <w:rsid w:val="003011BF"/>
    <w:rsid w:val="003013A9"/>
    <w:rsid w:val="00301958"/>
    <w:rsid w:val="003020B5"/>
    <w:rsid w:val="003027BB"/>
    <w:rsid w:val="00303851"/>
    <w:rsid w:val="00303D67"/>
    <w:rsid w:val="00304B73"/>
    <w:rsid w:val="00305807"/>
    <w:rsid w:val="003108E3"/>
    <w:rsid w:val="00310A10"/>
    <w:rsid w:val="003131BC"/>
    <w:rsid w:val="00313AA3"/>
    <w:rsid w:val="003155A4"/>
    <w:rsid w:val="00317B3C"/>
    <w:rsid w:val="00327D25"/>
    <w:rsid w:val="003318AF"/>
    <w:rsid w:val="003319A7"/>
    <w:rsid w:val="003330A5"/>
    <w:rsid w:val="00333CA0"/>
    <w:rsid w:val="00334FE3"/>
    <w:rsid w:val="00337349"/>
    <w:rsid w:val="00340DDB"/>
    <w:rsid w:val="00341AF0"/>
    <w:rsid w:val="003421AE"/>
    <w:rsid w:val="003433D1"/>
    <w:rsid w:val="00343B38"/>
    <w:rsid w:val="00344486"/>
    <w:rsid w:val="0034483D"/>
    <w:rsid w:val="00344B24"/>
    <w:rsid w:val="00344E1C"/>
    <w:rsid w:val="003456B9"/>
    <w:rsid w:val="003459AE"/>
    <w:rsid w:val="003461CA"/>
    <w:rsid w:val="0034630F"/>
    <w:rsid w:val="0034665D"/>
    <w:rsid w:val="00346D98"/>
    <w:rsid w:val="00347158"/>
    <w:rsid w:val="003479F5"/>
    <w:rsid w:val="0035067D"/>
    <w:rsid w:val="00353A16"/>
    <w:rsid w:val="00354D55"/>
    <w:rsid w:val="00356421"/>
    <w:rsid w:val="0035776D"/>
    <w:rsid w:val="00361AA6"/>
    <w:rsid w:val="003625CB"/>
    <w:rsid w:val="00363C24"/>
    <w:rsid w:val="003648F7"/>
    <w:rsid w:val="00364FD9"/>
    <w:rsid w:val="003659CF"/>
    <w:rsid w:val="00365AB7"/>
    <w:rsid w:val="00367B3E"/>
    <w:rsid w:val="00367C1B"/>
    <w:rsid w:val="00370FC8"/>
    <w:rsid w:val="00371680"/>
    <w:rsid w:val="00374FFD"/>
    <w:rsid w:val="00375668"/>
    <w:rsid w:val="003756AD"/>
    <w:rsid w:val="00376707"/>
    <w:rsid w:val="00376B61"/>
    <w:rsid w:val="00376E1A"/>
    <w:rsid w:val="00382407"/>
    <w:rsid w:val="00382429"/>
    <w:rsid w:val="00382487"/>
    <w:rsid w:val="003834A8"/>
    <w:rsid w:val="0038665C"/>
    <w:rsid w:val="00386A64"/>
    <w:rsid w:val="00386FA1"/>
    <w:rsid w:val="0038724A"/>
    <w:rsid w:val="00390142"/>
    <w:rsid w:val="003904AC"/>
    <w:rsid w:val="00390547"/>
    <w:rsid w:val="0039106D"/>
    <w:rsid w:val="003914C6"/>
    <w:rsid w:val="00392F00"/>
    <w:rsid w:val="0039311B"/>
    <w:rsid w:val="003948A0"/>
    <w:rsid w:val="0039602C"/>
    <w:rsid w:val="00397377"/>
    <w:rsid w:val="003A089B"/>
    <w:rsid w:val="003A1678"/>
    <w:rsid w:val="003A1F1A"/>
    <w:rsid w:val="003A22DE"/>
    <w:rsid w:val="003A2860"/>
    <w:rsid w:val="003A3C35"/>
    <w:rsid w:val="003A5524"/>
    <w:rsid w:val="003A6173"/>
    <w:rsid w:val="003A6518"/>
    <w:rsid w:val="003A7D30"/>
    <w:rsid w:val="003B0C65"/>
    <w:rsid w:val="003B304C"/>
    <w:rsid w:val="003B3C5C"/>
    <w:rsid w:val="003B40BB"/>
    <w:rsid w:val="003B581B"/>
    <w:rsid w:val="003B5A70"/>
    <w:rsid w:val="003B5CEF"/>
    <w:rsid w:val="003B5E6C"/>
    <w:rsid w:val="003B605D"/>
    <w:rsid w:val="003C04F3"/>
    <w:rsid w:val="003C256E"/>
    <w:rsid w:val="003C3436"/>
    <w:rsid w:val="003C415E"/>
    <w:rsid w:val="003C47CA"/>
    <w:rsid w:val="003D0F1C"/>
    <w:rsid w:val="003D1A85"/>
    <w:rsid w:val="003D348B"/>
    <w:rsid w:val="003D3D2D"/>
    <w:rsid w:val="003D5ED9"/>
    <w:rsid w:val="003D614D"/>
    <w:rsid w:val="003D6DE1"/>
    <w:rsid w:val="003D6FBD"/>
    <w:rsid w:val="003D75EE"/>
    <w:rsid w:val="003D795C"/>
    <w:rsid w:val="003E1D67"/>
    <w:rsid w:val="003E2084"/>
    <w:rsid w:val="003E2DAE"/>
    <w:rsid w:val="003E30FB"/>
    <w:rsid w:val="003E56C4"/>
    <w:rsid w:val="003E57EF"/>
    <w:rsid w:val="003E5F88"/>
    <w:rsid w:val="003E7151"/>
    <w:rsid w:val="003F2711"/>
    <w:rsid w:val="003F28DF"/>
    <w:rsid w:val="003F4747"/>
    <w:rsid w:val="003F59CC"/>
    <w:rsid w:val="003F5EC1"/>
    <w:rsid w:val="003F6C70"/>
    <w:rsid w:val="003F7CB9"/>
    <w:rsid w:val="0040013E"/>
    <w:rsid w:val="0040045C"/>
    <w:rsid w:val="00400590"/>
    <w:rsid w:val="00401DC6"/>
    <w:rsid w:val="00403333"/>
    <w:rsid w:val="00404AD3"/>
    <w:rsid w:val="0040536A"/>
    <w:rsid w:val="00410873"/>
    <w:rsid w:val="00410CD9"/>
    <w:rsid w:val="00411735"/>
    <w:rsid w:val="00411BC7"/>
    <w:rsid w:val="00414D65"/>
    <w:rsid w:val="004159ED"/>
    <w:rsid w:val="00415C74"/>
    <w:rsid w:val="0042236F"/>
    <w:rsid w:val="00422A5A"/>
    <w:rsid w:val="00423F0A"/>
    <w:rsid w:val="0042419A"/>
    <w:rsid w:val="00425E44"/>
    <w:rsid w:val="00426F75"/>
    <w:rsid w:val="00431CC3"/>
    <w:rsid w:val="004327D3"/>
    <w:rsid w:val="00432A57"/>
    <w:rsid w:val="00432D2E"/>
    <w:rsid w:val="004337B1"/>
    <w:rsid w:val="00434064"/>
    <w:rsid w:val="004345F3"/>
    <w:rsid w:val="00435487"/>
    <w:rsid w:val="00435969"/>
    <w:rsid w:val="0043654D"/>
    <w:rsid w:val="004371A8"/>
    <w:rsid w:val="004373E4"/>
    <w:rsid w:val="00437F60"/>
    <w:rsid w:val="0044062D"/>
    <w:rsid w:val="00441CA8"/>
    <w:rsid w:val="004473D7"/>
    <w:rsid w:val="00450BF1"/>
    <w:rsid w:val="00451840"/>
    <w:rsid w:val="00454707"/>
    <w:rsid w:val="00454B13"/>
    <w:rsid w:val="00456227"/>
    <w:rsid w:val="004571C4"/>
    <w:rsid w:val="00460C9A"/>
    <w:rsid w:val="00462E60"/>
    <w:rsid w:val="00464924"/>
    <w:rsid w:val="0046498D"/>
    <w:rsid w:val="004657D3"/>
    <w:rsid w:val="0047037B"/>
    <w:rsid w:val="00470CBD"/>
    <w:rsid w:val="00472A1E"/>
    <w:rsid w:val="0047363C"/>
    <w:rsid w:val="00473DF6"/>
    <w:rsid w:val="0047530F"/>
    <w:rsid w:val="0047581D"/>
    <w:rsid w:val="00476521"/>
    <w:rsid w:val="00480289"/>
    <w:rsid w:val="00480F92"/>
    <w:rsid w:val="00481279"/>
    <w:rsid w:val="00481B97"/>
    <w:rsid w:val="00483368"/>
    <w:rsid w:val="0048381E"/>
    <w:rsid w:val="00483A56"/>
    <w:rsid w:val="004851AC"/>
    <w:rsid w:val="00485A6B"/>
    <w:rsid w:val="00486464"/>
    <w:rsid w:val="004867E1"/>
    <w:rsid w:val="00486F24"/>
    <w:rsid w:val="00494011"/>
    <w:rsid w:val="0049556C"/>
    <w:rsid w:val="00495A89"/>
    <w:rsid w:val="00495DF5"/>
    <w:rsid w:val="00496BD5"/>
    <w:rsid w:val="00497675"/>
    <w:rsid w:val="004A0BF4"/>
    <w:rsid w:val="004A0DAC"/>
    <w:rsid w:val="004A14E9"/>
    <w:rsid w:val="004A23AF"/>
    <w:rsid w:val="004A263B"/>
    <w:rsid w:val="004A43D4"/>
    <w:rsid w:val="004A5BD2"/>
    <w:rsid w:val="004A78A0"/>
    <w:rsid w:val="004B0BEA"/>
    <w:rsid w:val="004B0F45"/>
    <w:rsid w:val="004B0FB4"/>
    <w:rsid w:val="004B177A"/>
    <w:rsid w:val="004B362D"/>
    <w:rsid w:val="004B5E63"/>
    <w:rsid w:val="004B62E0"/>
    <w:rsid w:val="004B639C"/>
    <w:rsid w:val="004B68AE"/>
    <w:rsid w:val="004C0C2B"/>
    <w:rsid w:val="004C1021"/>
    <w:rsid w:val="004C1689"/>
    <w:rsid w:val="004C2FE5"/>
    <w:rsid w:val="004C35B0"/>
    <w:rsid w:val="004C49EF"/>
    <w:rsid w:val="004C4A19"/>
    <w:rsid w:val="004C5570"/>
    <w:rsid w:val="004C60DC"/>
    <w:rsid w:val="004C7D2C"/>
    <w:rsid w:val="004D00C9"/>
    <w:rsid w:val="004D0EC2"/>
    <w:rsid w:val="004D2F8A"/>
    <w:rsid w:val="004D3F2F"/>
    <w:rsid w:val="004D4A69"/>
    <w:rsid w:val="004D4DAD"/>
    <w:rsid w:val="004E06A1"/>
    <w:rsid w:val="004E0838"/>
    <w:rsid w:val="004E14D7"/>
    <w:rsid w:val="004E16F5"/>
    <w:rsid w:val="004E23B0"/>
    <w:rsid w:val="004E3CC7"/>
    <w:rsid w:val="004E41AA"/>
    <w:rsid w:val="004E465F"/>
    <w:rsid w:val="004E49FC"/>
    <w:rsid w:val="004E5B69"/>
    <w:rsid w:val="004E643F"/>
    <w:rsid w:val="004F00EB"/>
    <w:rsid w:val="004F1639"/>
    <w:rsid w:val="004F2A87"/>
    <w:rsid w:val="004F2BBB"/>
    <w:rsid w:val="004F5BC0"/>
    <w:rsid w:val="005026A8"/>
    <w:rsid w:val="005036B1"/>
    <w:rsid w:val="00503B48"/>
    <w:rsid w:val="00505823"/>
    <w:rsid w:val="00506D0D"/>
    <w:rsid w:val="00507C56"/>
    <w:rsid w:val="00510DF1"/>
    <w:rsid w:val="0051100C"/>
    <w:rsid w:val="00513D45"/>
    <w:rsid w:val="00515A7E"/>
    <w:rsid w:val="005202D6"/>
    <w:rsid w:val="005211D2"/>
    <w:rsid w:val="00522644"/>
    <w:rsid w:val="0052344E"/>
    <w:rsid w:val="005246F7"/>
    <w:rsid w:val="005252E7"/>
    <w:rsid w:val="00526478"/>
    <w:rsid w:val="00526A91"/>
    <w:rsid w:val="00526EE1"/>
    <w:rsid w:val="005272F8"/>
    <w:rsid w:val="0052734D"/>
    <w:rsid w:val="00530204"/>
    <w:rsid w:val="005319A9"/>
    <w:rsid w:val="005321D5"/>
    <w:rsid w:val="00532DCF"/>
    <w:rsid w:val="00532F57"/>
    <w:rsid w:val="005331D6"/>
    <w:rsid w:val="00534C5F"/>
    <w:rsid w:val="00534D7E"/>
    <w:rsid w:val="00534FA3"/>
    <w:rsid w:val="00535BE6"/>
    <w:rsid w:val="00537CD4"/>
    <w:rsid w:val="00540257"/>
    <w:rsid w:val="00541462"/>
    <w:rsid w:val="005416E9"/>
    <w:rsid w:val="0054192F"/>
    <w:rsid w:val="00542CD6"/>
    <w:rsid w:val="00544EB3"/>
    <w:rsid w:val="0054594B"/>
    <w:rsid w:val="00546F50"/>
    <w:rsid w:val="005473F2"/>
    <w:rsid w:val="0054749B"/>
    <w:rsid w:val="00550E17"/>
    <w:rsid w:val="00550E6B"/>
    <w:rsid w:val="005517C0"/>
    <w:rsid w:val="00551CC6"/>
    <w:rsid w:val="0055391B"/>
    <w:rsid w:val="00554E7A"/>
    <w:rsid w:val="00556B46"/>
    <w:rsid w:val="005577E5"/>
    <w:rsid w:val="0056015F"/>
    <w:rsid w:val="00560541"/>
    <w:rsid w:val="005626DF"/>
    <w:rsid w:val="0056396C"/>
    <w:rsid w:val="00563E00"/>
    <w:rsid w:val="00563F72"/>
    <w:rsid w:val="00565152"/>
    <w:rsid w:val="00566964"/>
    <w:rsid w:val="00566A94"/>
    <w:rsid w:val="00566B06"/>
    <w:rsid w:val="005672D0"/>
    <w:rsid w:val="00567483"/>
    <w:rsid w:val="00567882"/>
    <w:rsid w:val="00572CEB"/>
    <w:rsid w:val="00576754"/>
    <w:rsid w:val="00576B0E"/>
    <w:rsid w:val="0058054D"/>
    <w:rsid w:val="0058071E"/>
    <w:rsid w:val="005808E2"/>
    <w:rsid w:val="005811B7"/>
    <w:rsid w:val="00581809"/>
    <w:rsid w:val="00581C83"/>
    <w:rsid w:val="005834C9"/>
    <w:rsid w:val="00586637"/>
    <w:rsid w:val="005868F6"/>
    <w:rsid w:val="00587D4E"/>
    <w:rsid w:val="00597179"/>
    <w:rsid w:val="005A27F0"/>
    <w:rsid w:val="005A555B"/>
    <w:rsid w:val="005A55F0"/>
    <w:rsid w:val="005A58BA"/>
    <w:rsid w:val="005A59E2"/>
    <w:rsid w:val="005A5ABD"/>
    <w:rsid w:val="005A5D30"/>
    <w:rsid w:val="005A6AB9"/>
    <w:rsid w:val="005B0BBD"/>
    <w:rsid w:val="005B0E25"/>
    <w:rsid w:val="005B21C2"/>
    <w:rsid w:val="005B70EE"/>
    <w:rsid w:val="005B7CE5"/>
    <w:rsid w:val="005C07F7"/>
    <w:rsid w:val="005C333E"/>
    <w:rsid w:val="005C3AE7"/>
    <w:rsid w:val="005C50E3"/>
    <w:rsid w:val="005C5F0A"/>
    <w:rsid w:val="005C6D32"/>
    <w:rsid w:val="005C70F6"/>
    <w:rsid w:val="005D0677"/>
    <w:rsid w:val="005D2C4C"/>
    <w:rsid w:val="005D30AA"/>
    <w:rsid w:val="005D41C5"/>
    <w:rsid w:val="005D7A6F"/>
    <w:rsid w:val="005E143B"/>
    <w:rsid w:val="005E237E"/>
    <w:rsid w:val="005E294C"/>
    <w:rsid w:val="005E2CE3"/>
    <w:rsid w:val="005E5B6B"/>
    <w:rsid w:val="005E61CF"/>
    <w:rsid w:val="005E71AD"/>
    <w:rsid w:val="005E7A07"/>
    <w:rsid w:val="005E7CD3"/>
    <w:rsid w:val="005E7DF0"/>
    <w:rsid w:val="005F0B4A"/>
    <w:rsid w:val="005F2258"/>
    <w:rsid w:val="005F2382"/>
    <w:rsid w:val="005F3A31"/>
    <w:rsid w:val="005F3F07"/>
    <w:rsid w:val="005F52B2"/>
    <w:rsid w:val="005F79FE"/>
    <w:rsid w:val="00602F36"/>
    <w:rsid w:val="0060301D"/>
    <w:rsid w:val="00603D04"/>
    <w:rsid w:val="006057BA"/>
    <w:rsid w:val="006061EB"/>
    <w:rsid w:val="006064D3"/>
    <w:rsid w:val="00606857"/>
    <w:rsid w:val="00606A55"/>
    <w:rsid w:val="006100CE"/>
    <w:rsid w:val="0061035C"/>
    <w:rsid w:val="00610642"/>
    <w:rsid w:val="006128C8"/>
    <w:rsid w:val="00612D0C"/>
    <w:rsid w:val="00613A49"/>
    <w:rsid w:val="0061444F"/>
    <w:rsid w:val="00614B15"/>
    <w:rsid w:val="00615F42"/>
    <w:rsid w:val="006162E2"/>
    <w:rsid w:val="00616B1C"/>
    <w:rsid w:val="006176F4"/>
    <w:rsid w:val="006205BC"/>
    <w:rsid w:val="006221F9"/>
    <w:rsid w:val="00623B3D"/>
    <w:rsid w:val="006258C2"/>
    <w:rsid w:val="00626365"/>
    <w:rsid w:val="00627689"/>
    <w:rsid w:val="00630E22"/>
    <w:rsid w:val="006331C9"/>
    <w:rsid w:val="0063676B"/>
    <w:rsid w:val="006370F0"/>
    <w:rsid w:val="00637911"/>
    <w:rsid w:val="0064030B"/>
    <w:rsid w:val="0064168C"/>
    <w:rsid w:val="00643755"/>
    <w:rsid w:val="00643872"/>
    <w:rsid w:val="00644BF2"/>
    <w:rsid w:val="00644CB3"/>
    <w:rsid w:val="00645B81"/>
    <w:rsid w:val="006512D6"/>
    <w:rsid w:val="00654113"/>
    <w:rsid w:val="006548D5"/>
    <w:rsid w:val="006553F4"/>
    <w:rsid w:val="006568D0"/>
    <w:rsid w:val="00657B46"/>
    <w:rsid w:val="00657D67"/>
    <w:rsid w:val="0066051D"/>
    <w:rsid w:val="00661EA2"/>
    <w:rsid w:val="00662D08"/>
    <w:rsid w:val="00662E0F"/>
    <w:rsid w:val="006644AC"/>
    <w:rsid w:val="00664EE5"/>
    <w:rsid w:val="006663FC"/>
    <w:rsid w:val="0066710E"/>
    <w:rsid w:val="006707F4"/>
    <w:rsid w:val="00672A98"/>
    <w:rsid w:val="00672AF7"/>
    <w:rsid w:val="00672E8C"/>
    <w:rsid w:val="006764EC"/>
    <w:rsid w:val="006773E5"/>
    <w:rsid w:val="00680AE8"/>
    <w:rsid w:val="0068221C"/>
    <w:rsid w:val="00682A37"/>
    <w:rsid w:val="006835FE"/>
    <w:rsid w:val="006843A4"/>
    <w:rsid w:val="00684BB1"/>
    <w:rsid w:val="006856C9"/>
    <w:rsid w:val="00686E3F"/>
    <w:rsid w:val="0068764A"/>
    <w:rsid w:val="006904E4"/>
    <w:rsid w:val="00692346"/>
    <w:rsid w:val="006923C3"/>
    <w:rsid w:val="00693BFD"/>
    <w:rsid w:val="00695039"/>
    <w:rsid w:val="00695065"/>
    <w:rsid w:val="006961DD"/>
    <w:rsid w:val="006968E7"/>
    <w:rsid w:val="006A0281"/>
    <w:rsid w:val="006A1038"/>
    <w:rsid w:val="006A26AD"/>
    <w:rsid w:val="006A5CC2"/>
    <w:rsid w:val="006A649A"/>
    <w:rsid w:val="006A7126"/>
    <w:rsid w:val="006A77BC"/>
    <w:rsid w:val="006B0773"/>
    <w:rsid w:val="006B0B7F"/>
    <w:rsid w:val="006B1AD2"/>
    <w:rsid w:val="006B1B37"/>
    <w:rsid w:val="006B1B49"/>
    <w:rsid w:val="006B362C"/>
    <w:rsid w:val="006B40D5"/>
    <w:rsid w:val="006B4C9C"/>
    <w:rsid w:val="006B5FB3"/>
    <w:rsid w:val="006B6390"/>
    <w:rsid w:val="006B73BD"/>
    <w:rsid w:val="006B7CF8"/>
    <w:rsid w:val="006C0356"/>
    <w:rsid w:val="006C03C2"/>
    <w:rsid w:val="006C0843"/>
    <w:rsid w:val="006C3727"/>
    <w:rsid w:val="006C4056"/>
    <w:rsid w:val="006C74B1"/>
    <w:rsid w:val="006D0743"/>
    <w:rsid w:val="006D09B9"/>
    <w:rsid w:val="006D0D7D"/>
    <w:rsid w:val="006D1632"/>
    <w:rsid w:val="006D1E9C"/>
    <w:rsid w:val="006D23C6"/>
    <w:rsid w:val="006D2662"/>
    <w:rsid w:val="006D446A"/>
    <w:rsid w:val="006D6121"/>
    <w:rsid w:val="006D75B5"/>
    <w:rsid w:val="006E100D"/>
    <w:rsid w:val="006E1C2C"/>
    <w:rsid w:val="006E43EC"/>
    <w:rsid w:val="006E57AA"/>
    <w:rsid w:val="006E5BBA"/>
    <w:rsid w:val="006E5EB6"/>
    <w:rsid w:val="006E5FFE"/>
    <w:rsid w:val="006E6402"/>
    <w:rsid w:val="006E706C"/>
    <w:rsid w:val="006F067B"/>
    <w:rsid w:val="006F20CF"/>
    <w:rsid w:val="006F2B3A"/>
    <w:rsid w:val="006F366A"/>
    <w:rsid w:val="006F38ED"/>
    <w:rsid w:val="00701B18"/>
    <w:rsid w:val="00702211"/>
    <w:rsid w:val="0070256F"/>
    <w:rsid w:val="00703460"/>
    <w:rsid w:val="00703929"/>
    <w:rsid w:val="00704082"/>
    <w:rsid w:val="00704DE1"/>
    <w:rsid w:val="007060E2"/>
    <w:rsid w:val="00706BF3"/>
    <w:rsid w:val="007074C8"/>
    <w:rsid w:val="00707D4D"/>
    <w:rsid w:val="007118AD"/>
    <w:rsid w:val="007149A1"/>
    <w:rsid w:val="007153B5"/>
    <w:rsid w:val="00717A44"/>
    <w:rsid w:val="00723052"/>
    <w:rsid w:val="00723446"/>
    <w:rsid w:val="00723503"/>
    <w:rsid w:val="00723F83"/>
    <w:rsid w:val="00725D0A"/>
    <w:rsid w:val="007261ED"/>
    <w:rsid w:val="0072643E"/>
    <w:rsid w:val="00726463"/>
    <w:rsid w:val="007307E7"/>
    <w:rsid w:val="00730C04"/>
    <w:rsid w:val="0073111E"/>
    <w:rsid w:val="007312D4"/>
    <w:rsid w:val="007312FF"/>
    <w:rsid w:val="007323A3"/>
    <w:rsid w:val="00732FE7"/>
    <w:rsid w:val="00734B0D"/>
    <w:rsid w:val="00734FE3"/>
    <w:rsid w:val="00735718"/>
    <w:rsid w:val="0073597B"/>
    <w:rsid w:val="007378F6"/>
    <w:rsid w:val="00737949"/>
    <w:rsid w:val="00737C07"/>
    <w:rsid w:val="0074131A"/>
    <w:rsid w:val="007429B6"/>
    <w:rsid w:val="00744B33"/>
    <w:rsid w:val="0074545D"/>
    <w:rsid w:val="00750637"/>
    <w:rsid w:val="00750E11"/>
    <w:rsid w:val="007522E3"/>
    <w:rsid w:val="0075335B"/>
    <w:rsid w:val="00753C44"/>
    <w:rsid w:val="00754383"/>
    <w:rsid w:val="007564D1"/>
    <w:rsid w:val="00757232"/>
    <w:rsid w:val="00757C4B"/>
    <w:rsid w:val="00760679"/>
    <w:rsid w:val="007608E8"/>
    <w:rsid w:val="007608F8"/>
    <w:rsid w:val="0076173A"/>
    <w:rsid w:val="00763628"/>
    <w:rsid w:val="00763FBF"/>
    <w:rsid w:val="007657FF"/>
    <w:rsid w:val="00765CA8"/>
    <w:rsid w:val="007670A9"/>
    <w:rsid w:val="007672C0"/>
    <w:rsid w:val="00767E99"/>
    <w:rsid w:val="00770E4A"/>
    <w:rsid w:val="00771168"/>
    <w:rsid w:val="00771824"/>
    <w:rsid w:val="00771E7B"/>
    <w:rsid w:val="0077206D"/>
    <w:rsid w:val="00772E62"/>
    <w:rsid w:val="00772F58"/>
    <w:rsid w:val="0077381F"/>
    <w:rsid w:val="00773F38"/>
    <w:rsid w:val="0077525F"/>
    <w:rsid w:val="00775A6A"/>
    <w:rsid w:val="007762F0"/>
    <w:rsid w:val="0077789B"/>
    <w:rsid w:val="00780B50"/>
    <w:rsid w:val="00780D29"/>
    <w:rsid w:val="0078107D"/>
    <w:rsid w:val="00781CE4"/>
    <w:rsid w:val="00785937"/>
    <w:rsid w:val="0078671B"/>
    <w:rsid w:val="00786E19"/>
    <w:rsid w:val="00791C8D"/>
    <w:rsid w:val="0079296A"/>
    <w:rsid w:val="0079354C"/>
    <w:rsid w:val="00793F10"/>
    <w:rsid w:val="00794181"/>
    <w:rsid w:val="00794AC7"/>
    <w:rsid w:val="00794CF7"/>
    <w:rsid w:val="00795122"/>
    <w:rsid w:val="00797097"/>
    <w:rsid w:val="007977AC"/>
    <w:rsid w:val="007A2800"/>
    <w:rsid w:val="007A4092"/>
    <w:rsid w:val="007A58C1"/>
    <w:rsid w:val="007A59E0"/>
    <w:rsid w:val="007A7F6F"/>
    <w:rsid w:val="007B01D8"/>
    <w:rsid w:val="007B04C6"/>
    <w:rsid w:val="007B0A74"/>
    <w:rsid w:val="007B4C76"/>
    <w:rsid w:val="007B64E4"/>
    <w:rsid w:val="007B6BB7"/>
    <w:rsid w:val="007B7780"/>
    <w:rsid w:val="007C1ED8"/>
    <w:rsid w:val="007C2260"/>
    <w:rsid w:val="007C3FF7"/>
    <w:rsid w:val="007C49CF"/>
    <w:rsid w:val="007C5EC2"/>
    <w:rsid w:val="007C6506"/>
    <w:rsid w:val="007C7691"/>
    <w:rsid w:val="007D005B"/>
    <w:rsid w:val="007D1674"/>
    <w:rsid w:val="007D1E52"/>
    <w:rsid w:val="007D2358"/>
    <w:rsid w:val="007D25F6"/>
    <w:rsid w:val="007D3D00"/>
    <w:rsid w:val="007D41FB"/>
    <w:rsid w:val="007D76DD"/>
    <w:rsid w:val="007E1665"/>
    <w:rsid w:val="007E2D58"/>
    <w:rsid w:val="007E39E4"/>
    <w:rsid w:val="007E6FB3"/>
    <w:rsid w:val="007F00AE"/>
    <w:rsid w:val="007F1A05"/>
    <w:rsid w:val="007F21B4"/>
    <w:rsid w:val="007F2B39"/>
    <w:rsid w:val="007F2C93"/>
    <w:rsid w:val="007F40A8"/>
    <w:rsid w:val="007F69A4"/>
    <w:rsid w:val="007F77DF"/>
    <w:rsid w:val="008008BB"/>
    <w:rsid w:val="00801C70"/>
    <w:rsid w:val="00801E33"/>
    <w:rsid w:val="00802553"/>
    <w:rsid w:val="0080345D"/>
    <w:rsid w:val="00803EAB"/>
    <w:rsid w:val="008046B5"/>
    <w:rsid w:val="00805E32"/>
    <w:rsid w:val="00806EE2"/>
    <w:rsid w:val="008101FA"/>
    <w:rsid w:val="00810224"/>
    <w:rsid w:val="008127C0"/>
    <w:rsid w:val="00812EDD"/>
    <w:rsid w:val="008139C5"/>
    <w:rsid w:val="0081650F"/>
    <w:rsid w:val="00816A87"/>
    <w:rsid w:val="00816D40"/>
    <w:rsid w:val="00816EB6"/>
    <w:rsid w:val="0081722B"/>
    <w:rsid w:val="008173BF"/>
    <w:rsid w:val="00820175"/>
    <w:rsid w:val="00820D1E"/>
    <w:rsid w:val="0082105B"/>
    <w:rsid w:val="008213C6"/>
    <w:rsid w:val="0082218B"/>
    <w:rsid w:val="00826050"/>
    <w:rsid w:val="008268C6"/>
    <w:rsid w:val="0082780A"/>
    <w:rsid w:val="00830862"/>
    <w:rsid w:val="00831F36"/>
    <w:rsid w:val="00832842"/>
    <w:rsid w:val="00832B31"/>
    <w:rsid w:val="00832CC7"/>
    <w:rsid w:val="00833CE4"/>
    <w:rsid w:val="00834ECC"/>
    <w:rsid w:val="00834FA3"/>
    <w:rsid w:val="00835981"/>
    <w:rsid w:val="0084012C"/>
    <w:rsid w:val="008403E0"/>
    <w:rsid w:val="00841DE6"/>
    <w:rsid w:val="00842650"/>
    <w:rsid w:val="00846513"/>
    <w:rsid w:val="0084657B"/>
    <w:rsid w:val="00846E12"/>
    <w:rsid w:val="0085022A"/>
    <w:rsid w:val="00850584"/>
    <w:rsid w:val="0085310F"/>
    <w:rsid w:val="00853DE2"/>
    <w:rsid w:val="00855448"/>
    <w:rsid w:val="00855545"/>
    <w:rsid w:val="00855944"/>
    <w:rsid w:val="00856A69"/>
    <w:rsid w:val="00856D67"/>
    <w:rsid w:val="008570F6"/>
    <w:rsid w:val="00857782"/>
    <w:rsid w:val="00863B34"/>
    <w:rsid w:val="008645DA"/>
    <w:rsid w:val="00864A18"/>
    <w:rsid w:val="008678AD"/>
    <w:rsid w:val="00867989"/>
    <w:rsid w:val="00870833"/>
    <w:rsid w:val="008722F8"/>
    <w:rsid w:val="00872A1B"/>
    <w:rsid w:val="00873023"/>
    <w:rsid w:val="00874571"/>
    <w:rsid w:val="0087692C"/>
    <w:rsid w:val="00876C61"/>
    <w:rsid w:val="00876FA1"/>
    <w:rsid w:val="0087752C"/>
    <w:rsid w:val="00880657"/>
    <w:rsid w:val="00881006"/>
    <w:rsid w:val="0088188D"/>
    <w:rsid w:val="00881A71"/>
    <w:rsid w:val="00881F93"/>
    <w:rsid w:val="00882CB5"/>
    <w:rsid w:val="008833FD"/>
    <w:rsid w:val="00883641"/>
    <w:rsid w:val="00883814"/>
    <w:rsid w:val="00884E69"/>
    <w:rsid w:val="00885BA6"/>
    <w:rsid w:val="00885F78"/>
    <w:rsid w:val="008860FB"/>
    <w:rsid w:val="00886A05"/>
    <w:rsid w:val="008873BA"/>
    <w:rsid w:val="00890082"/>
    <w:rsid w:val="00891191"/>
    <w:rsid w:val="0089320B"/>
    <w:rsid w:val="008938F0"/>
    <w:rsid w:val="00895A0F"/>
    <w:rsid w:val="00896227"/>
    <w:rsid w:val="00896288"/>
    <w:rsid w:val="008962CC"/>
    <w:rsid w:val="008A4345"/>
    <w:rsid w:val="008A48D2"/>
    <w:rsid w:val="008A672E"/>
    <w:rsid w:val="008A7423"/>
    <w:rsid w:val="008B2610"/>
    <w:rsid w:val="008B471D"/>
    <w:rsid w:val="008B49E4"/>
    <w:rsid w:val="008B729C"/>
    <w:rsid w:val="008B79F2"/>
    <w:rsid w:val="008B7A48"/>
    <w:rsid w:val="008C0A94"/>
    <w:rsid w:val="008C10AA"/>
    <w:rsid w:val="008C1455"/>
    <w:rsid w:val="008C251B"/>
    <w:rsid w:val="008C4A93"/>
    <w:rsid w:val="008C50B3"/>
    <w:rsid w:val="008C5813"/>
    <w:rsid w:val="008C5A9B"/>
    <w:rsid w:val="008C6543"/>
    <w:rsid w:val="008C7C6C"/>
    <w:rsid w:val="008D1A4B"/>
    <w:rsid w:val="008D1C85"/>
    <w:rsid w:val="008D2568"/>
    <w:rsid w:val="008D3248"/>
    <w:rsid w:val="008D39EC"/>
    <w:rsid w:val="008D495A"/>
    <w:rsid w:val="008D62A6"/>
    <w:rsid w:val="008E0E49"/>
    <w:rsid w:val="008E1AB4"/>
    <w:rsid w:val="008E29C5"/>
    <w:rsid w:val="008E35FD"/>
    <w:rsid w:val="008E38B1"/>
    <w:rsid w:val="008E4C13"/>
    <w:rsid w:val="008E60B3"/>
    <w:rsid w:val="008E6227"/>
    <w:rsid w:val="008E708C"/>
    <w:rsid w:val="008E732D"/>
    <w:rsid w:val="008E7866"/>
    <w:rsid w:val="008E78B9"/>
    <w:rsid w:val="008E7F2D"/>
    <w:rsid w:val="008F08F9"/>
    <w:rsid w:val="008F1B28"/>
    <w:rsid w:val="008F1DC5"/>
    <w:rsid w:val="008F277F"/>
    <w:rsid w:val="008F35F8"/>
    <w:rsid w:val="008F4BBD"/>
    <w:rsid w:val="008F6EA4"/>
    <w:rsid w:val="008F79A0"/>
    <w:rsid w:val="008F7DAD"/>
    <w:rsid w:val="00900093"/>
    <w:rsid w:val="00901F1C"/>
    <w:rsid w:val="0090543D"/>
    <w:rsid w:val="009056C5"/>
    <w:rsid w:val="009068E8"/>
    <w:rsid w:val="00907917"/>
    <w:rsid w:val="0091226F"/>
    <w:rsid w:val="00913985"/>
    <w:rsid w:val="00914D49"/>
    <w:rsid w:val="00917DEB"/>
    <w:rsid w:val="00922CF7"/>
    <w:rsid w:val="00923159"/>
    <w:rsid w:val="00923D13"/>
    <w:rsid w:val="009262F2"/>
    <w:rsid w:val="009274C6"/>
    <w:rsid w:val="00930750"/>
    <w:rsid w:val="00930E7D"/>
    <w:rsid w:val="00930E95"/>
    <w:rsid w:val="009313BD"/>
    <w:rsid w:val="00931FF6"/>
    <w:rsid w:val="0093388F"/>
    <w:rsid w:val="00933B8B"/>
    <w:rsid w:val="00935C85"/>
    <w:rsid w:val="00936101"/>
    <w:rsid w:val="00937791"/>
    <w:rsid w:val="0094012A"/>
    <w:rsid w:val="0094088E"/>
    <w:rsid w:val="00941EE6"/>
    <w:rsid w:val="0094303B"/>
    <w:rsid w:val="00943397"/>
    <w:rsid w:val="00943A5E"/>
    <w:rsid w:val="0094554E"/>
    <w:rsid w:val="0094715E"/>
    <w:rsid w:val="00950607"/>
    <w:rsid w:val="00950A36"/>
    <w:rsid w:val="00950F45"/>
    <w:rsid w:val="00951665"/>
    <w:rsid w:val="00951933"/>
    <w:rsid w:val="009522E3"/>
    <w:rsid w:val="009525E3"/>
    <w:rsid w:val="00954343"/>
    <w:rsid w:val="00954A41"/>
    <w:rsid w:val="00955135"/>
    <w:rsid w:val="00955271"/>
    <w:rsid w:val="009554F5"/>
    <w:rsid w:val="0096081D"/>
    <w:rsid w:val="00960984"/>
    <w:rsid w:val="00961069"/>
    <w:rsid w:val="0096167E"/>
    <w:rsid w:val="009618B2"/>
    <w:rsid w:val="00962B68"/>
    <w:rsid w:val="009632B2"/>
    <w:rsid w:val="00963C9C"/>
    <w:rsid w:val="00963ED4"/>
    <w:rsid w:val="0096474F"/>
    <w:rsid w:val="0096480B"/>
    <w:rsid w:val="00965777"/>
    <w:rsid w:val="009659BE"/>
    <w:rsid w:val="00965B6B"/>
    <w:rsid w:val="009661F5"/>
    <w:rsid w:val="0096661E"/>
    <w:rsid w:val="00967B0A"/>
    <w:rsid w:val="00971AAC"/>
    <w:rsid w:val="00971EDB"/>
    <w:rsid w:val="00973205"/>
    <w:rsid w:val="009747B2"/>
    <w:rsid w:val="00974D50"/>
    <w:rsid w:val="0097540E"/>
    <w:rsid w:val="009760C5"/>
    <w:rsid w:val="00976B13"/>
    <w:rsid w:val="009816E6"/>
    <w:rsid w:val="0098228B"/>
    <w:rsid w:val="009825C9"/>
    <w:rsid w:val="0098402D"/>
    <w:rsid w:val="00985E2F"/>
    <w:rsid w:val="00987ABE"/>
    <w:rsid w:val="009907CB"/>
    <w:rsid w:val="00990F3F"/>
    <w:rsid w:val="009910F9"/>
    <w:rsid w:val="00991EE4"/>
    <w:rsid w:val="00992199"/>
    <w:rsid w:val="009939DC"/>
    <w:rsid w:val="00993B9C"/>
    <w:rsid w:val="009945E9"/>
    <w:rsid w:val="0099494E"/>
    <w:rsid w:val="00994AB1"/>
    <w:rsid w:val="009952A3"/>
    <w:rsid w:val="009968D3"/>
    <w:rsid w:val="00997095"/>
    <w:rsid w:val="009970B1"/>
    <w:rsid w:val="009974EF"/>
    <w:rsid w:val="009A32EC"/>
    <w:rsid w:val="009A341C"/>
    <w:rsid w:val="009A3B71"/>
    <w:rsid w:val="009A4926"/>
    <w:rsid w:val="009A58A8"/>
    <w:rsid w:val="009A5961"/>
    <w:rsid w:val="009A7ADD"/>
    <w:rsid w:val="009B1B33"/>
    <w:rsid w:val="009B39DD"/>
    <w:rsid w:val="009B3D00"/>
    <w:rsid w:val="009B4E1E"/>
    <w:rsid w:val="009B592F"/>
    <w:rsid w:val="009C03FB"/>
    <w:rsid w:val="009C0DFD"/>
    <w:rsid w:val="009C339E"/>
    <w:rsid w:val="009C4B4F"/>
    <w:rsid w:val="009C57F6"/>
    <w:rsid w:val="009C5852"/>
    <w:rsid w:val="009C618A"/>
    <w:rsid w:val="009C696B"/>
    <w:rsid w:val="009C6E38"/>
    <w:rsid w:val="009C7C00"/>
    <w:rsid w:val="009D01D8"/>
    <w:rsid w:val="009D0216"/>
    <w:rsid w:val="009D2DBA"/>
    <w:rsid w:val="009D451A"/>
    <w:rsid w:val="009D4674"/>
    <w:rsid w:val="009D6A69"/>
    <w:rsid w:val="009D6CE7"/>
    <w:rsid w:val="009E08F7"/>
    <w:rsid w:val="009E109B"/>
    <w:rsid w:val="009E7515"/>
    <w:rsid w:val="009F0583"/>
    <w:rsid w:val="009F0BFA"/>
    <w:rsid w:val="009F0C02"/>
    <w:rsid w:val="009F0C0D"/>
    <w:rsid w:val="009F2CB5"/>
    <w:rsid w:val="009F56D8"/>
    <w:rsid w:val="009F5758"/>
    <w:rsid w:val="009F7836"/>
    <w:rsid w:val="00A02109"/>
    <w:rsid w:val="00A0283F"/>
    <w:rsid w:val="00A04CEB"/>
    <w:rsid w:val="00A04F4A"/>
    <w:rsid w:val="00A060EB"/>
    <w:rsid w:val="00A06466"/>
    <w:rsid w:val="00A065E9"/>
    <w:rsid w:val="00A1006B"/>
    <w:rsid w:val="00A116EA"/>
    <w:rsid w:val="00A11BAC"/>
    <w:rsid w:val="00A12558"/>
    <w:rsid w:val="00A13A17"/>
    <w:rsid w:val="00A13BF5"/>
    <w:rsid w:val="00A15338"/>
    <w:rsid w:val="00A15E07"/>
    <w:rsid w:val="00A20AB9"/>
    <w:rsid w:val="00A220B4"/>
    <w:rsid w:val="00A224D0"/>
    <w:rsid w:val="00A2321D"/>
    <w:rsid w:val="00A23927"/>
    <w:rsid w:val="00A241FB"/>
    <w:rsid w:val="00A24352"/>
    <w:rsid w:val="00A249B9"/>
    <w:rsid w:val="00A25D84"/>
    <w:rsid w:val="00A2604C"/>
    <w:rsid w:val="00A2631D"/>
    <w:rsid w:val="00A26343"/>
    <w:rsid w:val="00A26D8C"/>
    <w:rsid w:val="00A31DB5"/>
    <w:rsid w:val="00A33CAE"/>
    <w:rsid w:val="00A33EA6"/>
    <w:rsid w:val="00A33F76"/>
    <w:rsid w:val="00A34D9F"/>
    <w:rsid w:val="00A35DE2"/>
    <w:rsid w:val="00A3648B"/>
    <w:rsid w:val="00A408B5"/>
    <w:rsid w:val="00A40C87"/>
    <w:rsid w:val="00A4129B"/>
    <w:rsid w:val="00A416D9"/>
    <w:rsid w:val="00A4296C"/>
    <w:rsid w:val="00A43099"/>
    <w:rsid w:val="00A43597"/>
    <w:rsid w:val="00A4799F"/>
    <w:rsid w:val="00A5192C"/>
    <w:rsid w:val="00A524EC"/>
    <w:rsid w:val="00A526CE"/>
    <w:rsid w:val="00A529E2"/>
    <w:rsid w:val="00A52F81"/>
    <w:rsid w:val="00A539F5"/>
    <w:rsid w:val="00A539F8"/>
    <w:rsid w:val="00A57F10"/>
    <w:rsid w:val="00A62FCB"/>
    <w:rsid w:val="00A6491A"/>
    <w:rsid w:val="00A65205"/>
    <w:rsid w:val="00A6594E"/>
    <w:rsid w:val="00A70839"/>
    <w:rsid w:val="00A70DC2"/>
    <w:rsid w:val="00A71DC5"/>
    <w:rsid w:val="00A727B6"/>
    <w:rsid w:val="00A75BFF"/>
    <w:rsid w:val="00A75D46"/>
    <w:rsid w:val="00A76939"/>
    <w:rsid w:val="00A7746F"/>
    <w:rsid w:val="00A803B7"/>
    <w:rsid w:val="00A81CC6"/>
    <w:rsid w:val="00A83D5A"/>
    <w:rsid w:val="00A83EC6"/>
    <w:rsid w:val="00A8488D"/>
    <w:rsid w:val="00A84D97"/>
    <w:rsid w:val="00A852FB"/>
    <w:rsid w:val="00A85848"/>
    <w:rsid w:val="00A86997"/>
    <w:rsid w:val="00A86ADA"/>
    <w:rsid w:val="00A86E4A"/>
    <w:rsid w:val="00A872E8"/>
    <w:rsid w:val="00A8732C"/>
    <w:rsid w:val="00A90111"/>
    <w:rsid w:val="00A9062D"/>
    <w:rsid w:val="00A9148E"/>
    <w:rsid w:val="00A9206F"/>
    <w:rsid w:val="00A92FF7"/>
    <w:rsid w:val="00A9387A"/>
    <w:rsid w:val="00A939AA"/>
    <w:rsid w:val="00A93F58"/>
    <w:rsid w:val="00A940E9"/>
    <w:rsid w:val="00A941BE"/>
    <w:rsid w:val="00A9436A"/>
    <w:rsid w:val="00A94A35"/>
    <w:rsid w:val="00A94C5D"/>
    <w:rsid w:val="00A96329"/>
    <w:rsid w:val="00A96D50"/>
    <w:rsid w:val="00AA079D"/>
    <w:rsid w:val="00AA0F0F"/>
    <w:rsid w:val="00AA134B"/>
    <w:rsid w:val="00AA2CFE"/>
    <w:rsid w:val="00AA5FDA"/>
    <w:rsid w:val="00AA614C"/>
    <w:rsid w:val="00AA6291"/>
    <w:rsid w:val="00AA647C"/>
    <w:rsid w:val="00AA6629"/>
    <w:rsid w:val="00AA7C0E"/>
    <w:rsid w:val="00AB0589"/>
    <w:rsid w:val="00AB190C"/>
    <w:rsid w:val="00AB3796"/>
    <w:rsid w:val="00AB3F57"/>
    <w:rsid w:val="00AB6431"/>
    <w:rsid w:val="00AB6789"/>
    <w:rsid w:val="00AC0435"/>
    <w:rsid w:val="00AC0820"/>
    <w:rsid w:val="00AC0C91"/>
    <w:rsid w:val="00AC0EA0"/>
    <w:rsid w:val="00AC1BDA"/>
    <w:rsid w:val="00AC21E2"/>
    <w:rsid w:val="00AC2319"/>
    <w:rsid w:val="00AC24FD"/>
    <w:rsid w:val="00AC275F"/>
    <w:rsid w:val="00AC30F1"/>
    <w:rsid w:val="00AC6801"/>
    <w:rsid w:val="00AC6956"/>
    <w:rsid w:val="00AC6A03"/>
    <w:rsid w:val="00AC6F16"/>
    <w:rsid w:val="00AC7D85"/>
    <w:rsid w:val="00AD02FC"/>
    <w:rsid w:val="00AD1762"/>
    <w:rsid w:val="00AD1863"/>
    <w:rsid w:val="00AD1CA4"/>
    <w:rsid w:val="00AD1F65"/>
    <w:rsid w:val="00AD1FAE"/>
    <w:rsid w:val="00AD2ADA"/>
    <w:rsid w:val="00AD2E85"/>
    <w:rsid w:val="00AD2F72"/>
    <w:rsid w:val="00AD37D4"/>
    <w:rsid w:val="00AD65BE"/>
    <w:rsid w:val="00AD7986"/>
    <w:rsid w:val="00AE0466"/>
    <w:rsid w:val="00AE0EA4"/>
    <w:rsid w:val="00AE1188"/>
    <w:rsid w:val="00AE1D29"/>
    <w:rsid w:val="00AE2BFB"/>
    <w:rsid w:val="00AE37D4"/>
    <w:rsid w:val="00AE38C6"/>
    <w:rsid w:val="00AE472C"/>
    <w:rsid w:val="00AE738C"/>
    <w:rsid w:val="00AE75A0"/>
    <w:rsid w:val="00AE76F5"/>
    <w:rsid w:val="00AF1046"/>
    <w:rsid w:val="00AF3F03"/>
    <w:rsid w:val="00AF4466"/>
    <w:rsid w:val="00AF4811"/>
    <w:rsid w:val="00AF5D1E"/>
    <w:rsid w:val="00AF5D56"/>
    <w:rsid w:val="00AF70C8"/>
    <w:rsid w:val="00AF757B"/>
    <w:rsid w:val="00B018FB"/>
    <w:rsid w:val="00B0404A"/>
    <w:rsid w:val="00B040A9"/>
    <w:rsid w:val="00B042D2"/>
    <w:rsid w:val="00B0593D"/>
    <w:rsid w:val="00B05978"/>
    <w:rsid w:val="00B067E0"/>
    <w:rsid w:val="00B077A8"/>
    <w:rsid w:val="00B12D5B"/>
    <w:rsid w:val="00B13017"/>
    <w:rsid w:val="00B15427"/>
    <w:rsid w:val="00B15D1C"/>
    <w:rsid w:val="00B161A3"/>
    <w:rsid w:val="00B16253"/>
    <w:rsid w:val="00B1647C"/>
    <w:rsid w:val="00B1711E"/>
    <w:rsid w:val="00B1720A"/>
    <w:rsid w:val="00B17CBE"/>
    <w:rsid w:val="00B17E26"/>
    <w:rsid w:val="00B20569"/>
    <w:rsid w:val="00B2178B"/>
    <w:rsid w:val="00B218AD"/>
    <w:rsid w:val="00B228E0"/>
    <w:rsid w:val="00B22CDB"/>
    <w:rsid w:val="00B22DD2"/>
    <w:rsid w:val="00B231A4"/>
    <w:rsid w:val="00B2514D"/>
    <w:rsid w:val="00B25381"/>
    <w:rsid w:val="00B254C3"/>
    <w:rsid w:val="00B25D20"/>
    <w:rsid w:val="00B25FEB"/>
    <w:rsid w:val="00B31C99"/>
    <w:rsid w:val="00B321E7"/>
    <w:rsid w:val="00B33AA7"/>
    <w:rsid w:val="00B34271"/>
    <w:rsid w:val="00B36B63"/>
    <w:rsid w:val="00B417EC"/>
    <w:rsid w:val="00B42856"/>
    <w:rsid w:val="00B42B05"/>
    <w:rsid w:val="00B43BA5"/>
    <w:rsid w:val="00B44437"/>
    <w:rsid w:val="00B452FD"/>
    <w:rsid w:val="00B45CA5"/>
    <w:rsid w:val="00B53BA6"/>
    <w:rsid w:val="00B55F7E"/>
    <w:rsid w:val="00B5731D"/>
    <w:rsid w:val="00B60A5F"/>
    <w:rsid w:val="00B60DAC"/>
    <w:rsid w:val="00B610E0"/>
    <w:rsid w:val="00B61D7D"/>
    <w:rsid w:val="00B6321A"/>
    <w:rsid w:val="00B6378B"/>
    <w:rsid w:val="00B639FF"/>
    <w:rsid w:val="00B63E3A"/>
    <w:rsid w:val="00B64A72"/>
    <w:rsid w:val="00B722B4"/>
    <w:rsid w:val="00B73A38"/>
    <w:rsid w:val="00B743AC"/>
    <w:rsid w:val="00B75965"/>
    <w:rsid w:val="00B75C61"/>
    <w:rsid w:val="00B771AD"/>
    <w:rsid w:val="00B77742"/>
    <w:rsid w:val="00B80335"/>
    <w:rsid w:val="00B814CB"/>
    <w:rsid w:val="00B82C20"/>
    <w:rsid w:val="00B83781"/>
    <w:rsid w:val="00B856F8"/>
    <w:rsid w:val="00B866BD"/>
    <w:rsid w:val="00B86B63"/>
    <w:rsid w:val="00B874F0"/>
    <w:rsid w:val="00B923F5"/>
    <w:rsid w:val="00B92C50"/>
    <w:rsid w:val="00B930EC"/>
    <w:rsid w:val="00B94577"/>
    <w:rsid w:val="00B94B47"/>
    <w:rsid w:val="00B95F61"/>
    <w:rsid w:val="00B973DF"/>
    <w:rsid w:val="00BA042A"/>
    <w:rsid w:val="00BA0CF8"/>
    <w:rsid w:val="00BA1943"/>
    <w:rsid w:val="00BA1ADF"/>
    <w:rsid w:val="00BA319A"/>
    <w:rsid w:val="00BA51FC"/>
    <w:rsid w:val="00BA52B8"/>
    <w:rsid w:val="00BA6D50"/>
    <w:rsid w:val="00BA72E3"/>
    <w:rsid w:val="00BA79DA"/>
    <w:rsid w:val="00BA7C78"/>
    <w:rsid w:val="00BB003A"/>
    <w:rsid w:val="00BB1BFC"/>
    <w:rsid w:val="00BB2023"/>
    <w:rsid w:val="00BB2AD8"/>
    <w:rsid w:val="00BB3358"/>
    <w:rsid w:val="00BB3382"/>
    <w:rsid w:val="00BB3643"/>
    <w:rsid w:val="00BB3F8E"/>
    <w:rsid w:val="00BB578A"/>
    <w:rsid w:val="00BB6D68"/>
    <w:rsid w:val="00BC19EA"/>
    <w:rsid w:val="00BC3790"/>
    <w:rsid w:val="00BC3DA0"/>
    <w:rsid w:val="00BC4012"/>
    <w:rsid w:val="00BC424B"/>
    <w:rsid w:val="00BC4546"/>
    <w:rsid w:val="00BC6FE8"/>
    <w:rsid w:val="00BC716B"/>
    <w:rsid w:val="00BD24A9"/>
    <w:rsid w:val="00BD3F87"/>
    <w:rsid w:val="00BD4FC6"/>
    <w:rsid w:val="00BD6048"/>
    <w:rsid w:val="00BD6C89"/>
    <w:rsid w:val="00BD7F12"/>
    <w:rsid w:val="00BE0FDE"/>
    <w:rsid w:val="00BE1682"/>
    <w:rsid w:val="00BE1E7B"/>
    <w:rsid w:val="00BE24F2"/>
    <w:rsid w:val="00BE2E82"/>
    <w:rsid w:val="00BE3615"/>
    <w:rsid w:val="00BE3E5F"/>
    <w:rsid w:val="00BE54E1"/>
    <w:rsid w:val="00BF0F30"/>
    <w:rsid w:val="00BF2100"/>
    <w:rsid w:val="00BF2B29"/>
    <w:rsid w:val="00BF3E6F"/>
    <w:rsid w:val="00BF3E9A"/>
    <w:rsid w:val="00BF54EC"/>
    <w:rsid w:val="00BF648E"/>
    <w:rsid w:val="00BF6497"/>
    <w:rsid w:val="00BF6AC5"/>
    <w:rsid w:val="00C007E1"/>
    <w:rsid w:val="00C01121"/>
    <w:rsid w:val="00C01716"/>
    <w:rsid w:val="00C01C13"/>
    <w:rsid w:val="00C030A5"/>
    <w:rsid w:val="00C03813"/>
    <w:rsid w:val="00C04457"/>
    <w:rsid w:val="00C05A45"/>
    <w:rsid w:val="00C05F24"/>
    <w:rsid w:val="00C0796F"/>
    <w:rsid w:val="00C10002"/>
    <w:rsid w:val="00C11B34"/>
    <w:rsid w:val="00C1227A"/>
    <w:rsid w:val="00C12C5C"/>
    <w:rsid w:val="00C15355"/>
    <w:rsid w:val="00C16877"/>
    <w:rsid w:val="00C16FEB"/>
    <w:rsid w:val="00C171FB"/>
    <w:rsid w:val="00C1767B"/>
    <w:rsid w:val="00C209C2"/>
    <w:rsid w:val="00C20BCF"/>
    <w:rsid w:val="00C224EB"/>
    <w:rsid w:val="00C2267F"/>
    <w:rsid w:val="00C22AD8"/>
    <w:rsid w:val="00C2397B"/>
    <w:rsid w:val="00C23B55"/>
    <w:rsid w:val="00C2428F"/>
    <w:rsid w:val="00C24391"/>
    <w:rsid w:val="00C24B5A"/>
    <w:rsid w:val="00C2560E"/>
    <w:rsid w:val="00C262EA"/>
    <w:rsid w:val="00C32129"/>
    <w:rsid w:val="00C330AE"/>
    <w:rsid w:val="00C3397D"/>
    <w:rsid w:val="00C33C73"/>
    <w:rsid w:val="00C33EE8"/>
    <w:rsid w:val="00C34442"/>
    <w:rsid w:val="00C35436"/>
    <w:rsid w:val="00C3557E"/>
    <w:rsid w:val="00C3594B"/>
    <w:rsid w:val="00C368D1"/>
    <w:rsid w:val="00C36A52"/>
    <w:rsid w:val="00C37BC8"/>
    <w:rsid w:val="00C43102"/>
    <w:rsid w:val="00C45167"/>
    <w:rsid w:val="00C45C65"/>
    <w:rsid w:val="00C461EB"/>
    <w:rsid w:val="00C4696B"/>
    <w:rsid w:val="00C47EEC"/>
    <w:rsid w:val="00C50513"/>
    <w:rsid w:val="00C511B9"/>
    <w:rsid w:val="00C51247"/>
    <w:rsid w:val="00C51603"/>
    <w:rsid w:val="00C54433"/>
    <w:rsid w:val="00C54503"/>
    <w:rsid w:val="00C56566"/>
    <w:rsid w:val="00C56A78"/>
    <w:rsid w:val="00C56DF7"/>
    <w:rsid w:val="00C56EAC"/>
    <w:rsid w:val="00C57E7A"/>
    <w:rsid w:val="00C61F57"/>
    <w:rsid w:val="00C63055"/>
    <w:rsid w:val="00C63AA6"/>
    <w:rsid w:val="00C64498"/>
    <w:rsid w:val="00C67D19"/>
    <w:rsid w:val="00C70271"/>
    <w:rsid w:val="00C70340"/>
    <w:rsid w:val="00C73B62"/>
    <w:rsid w:val="00C74F37"/>
    <w:rsid w:val="00C75D60"/>
    <w:rsid w:val="00C76702"/>
    <w:rsid w:val="00C76790"/>
    <w:rsid w:val="00C76CD8"/>
    <w:rsid w:val="00C776B1"/>
    <w:rsid w:val="00C779A8"/>
    <w:rsid w:val="00C80F44"/>
    <w:rsid w:val="00C815FE"/>
    <w:rsid w:val="00C81BCF"/>
    <w:rsid w:val="00C81EA0"/>
    <w:rsid w:val="00C81FA0"/>
    <w:rsid w:val="00C83364"/>
    <w:rsid w:val="00C83A79"/>
    <w:rsid w:val="00C84643"/>
    <w:rsid w:val="00C847AE"/>
    <w:rsid w:val="00C85656"/>
    <w:rsid w:val="00C859E9"/>
    <w:rsid w:val="00C85E4C"/>
    <w:rsid w:val="00C86294"/>
    <w:rsid w:val="00C90A03"/>
    <w:rsid w:val="00C92B9E"/>
    <w:rsid w:val="00C96816"/>
    <w:rsid w:val="00C96973"/>
    <w:rsid w:val="00C969A0"/>
    <w:rsid w:val="00C96CA7"/>
    <w:rsid w:val="00C97A60"/>
    <w:rsid w:val="00C97E9B"/>
    <w:rsid w:val="00CA04C6"/>
    <w:rsid w:val="00CA0561"/>
    <w:rsid w:val="00CA255B"/>
    <w:rsid w:val="00CA26DD"/>
    <w:rsid w:val="00CA41C8"/>
    <w:rsid w:val="00CA44D6"/>
    <w:rsid w:val="00CA4973"/>
    <w:rsid w:val="00CA5BDA"/>
    <w:rsid w:val="00CA67CD"/>
    <w:rsid w:val="00CB1120"/>
    <w:rsid w:val="00CB12EC"/>
    <w:rsid w:val="00CB1983"/>
    <w:rsid w:val="00CB1A50"/>
    <w:rsid w:val="00CB409D"/>
    <w:rsid w:val="00CB4457"/>
    <w:rsid w:val="00CB5E1B"/>
    <w:rsid w:val="00CC09D7"/>
    <w:rsid w:val="00CC1171"/>
    <w:rsid w:val="00CC12B8"/>
    <w:rsid w:val="00CC1A26"/>
    <w:rsid w:val="00CC2F60"/>
    <w:rsid w:val="00CC329D"/>
    <w:rsid w:val="00CC3E4F"/>
    <w:rsid w:val="00CC3F79"/>
    <w:rsid w:val="00CC4A5B"/>
    <w:rsid w:val="00CC5AB1"/>
    <w:rsid w:val="00CC5B59"/>
    <w:rsid w:val="00CC6AA9"/>
    <w:rsid w:val="00CC707D"/>
    <w:rsid w:val="00CD0E0E"/>
    <w:rsid w:val="00CD123C"/>
    <w:rsid w:val="00CD22E3"/>
    <w:rsid w:val="00CD33F3"/>
    <w:rsid w:val="00CD3DB9"/>
    <w:rsid w:val="00CD4E44"/>
    <w:rsid w:val="00CD5AE4"/>
    <w:rsid w:val="00CD689C"/>
    <w:rsid w:val="00CD6981"/>
    <w:rsid w:val="00CD753B"/>
    <w:rsid w:val="00CD7A7D"/>
    <w:rsid w:val="00CD7C8A"/>
    <w:rsid w:val="00CE0F9E"/>
    <w:rsid w:val="00CE3038"/>
    <w:rsid w:val="00CE4716"/>
    <w:rsid w:val="00CE489C"/>
    <w:rsid w:val="00CF0880"/>
    <w:rsid w:val="00CF17AA"/>
    <w:rsid w:val="00CF1E3D"/>
    <w:rsid w:val="00CF1ED3"/>
    <w:rsid w:val="00CF2D8E"/>
    <w:rsid w:val="00CF2DFA"/>
    <w:rsid w:val="00CF4CC9"/>
    <w:rsid w:val="00CF51B4"/>
    <w:rsid w:val="00CF5AD8"/>
    <w:rsid w:val="00CF7C2A"/>
    <w:rsid w:val="00CF7EDF"/>
    <w:rsid w:val="00D00122"/>
    <w:rsid w:val="00D01D2A"/>
    <w:rsid w:val="00D0432C"/>
    <w:rsid w:val="00D04652"/>
    <w:rsid w:val="00D0478F"/>
    <w:rsid w:val="00D04D46"/>
    <w:rsid w:val="00D05163"/>
    <w:rsid w:val="00D053DD"/>
    <w:rsid w:val="00D06A91"/>
    <w:rsid w:val="00D10B47"/>
    <w:rsid w:val="00D11D15"/>
    <w:rsid w:val="00D11EB1"/>
    <w:rsid w:val="00D132A7"/>
    <w:rsid w:val="00D1464C"/>
    <w:rsid w:val="00D14998"/>
    <w:rsid w:val="00D151DE"/>
    <w:rsid w:val="00D1540C"/>
    <w:rsid w:val="00D1686F"/>
    <w:rsid w:val="00D17F17"/>
    <w:rsid w:val="00D20529"/>
    <w:rsid w:val="00D209F2"/>
    <w:rsid w:val="00D20B80"/>
    <w:rsid w:val="00D21CF3"/>
    <w:rsid w:val="00D2234F"/>
    <w:rsid w:val="00D22419"/>
    <w:rsid w:val="00D227C5"/>
    <w:rsid w:val="00D22AC6"/>
    <w:rsid w:val="00D23597"/>
    <w:rsid w:val="00D25488"/>
    <w:rsid w:val="00D269F6"/>
    <w:rsid w:val="00D26B60"/>
    <w:rsid w:val="00D30BDC"/>
    <w:rsid w:val="00D30F4A"/>
    <w:rsid w:val="00D32F59"/>
    <w:rsid w:val="00D33629"/>
    <w:rsid w:val="00D33A1D"/>
    <w:rsid w:val="00D3530A"/>
    <w:rsid w:val="00D358D7"/>
    <w:rsid w:val="00D363B7"/>
    <w:rsid w:val="00D36993"/>
    <w:rsid w:val="00D36B62"/>
    <w:rsid w:val="00D419F2"/>
    <w:rsid w:val="00D41AFA"/>
    <w:rsid w:val="00D4444A"/>
    <w:rsid w:val="00D44496"/>
    <w:rsid w:val="00D457DE"/>
    <w:rsid w:val="00D45ADE"/>
    <w:rsid w:val="00D4722F"/>
    <w:rsid w:val="00D52310"/>
    <w:rsid w:val="00D52A28"/>
    <w:rsid w:val="00D53303"/>
    <w:rsid w:val="00D55ECA"/>
    <w:rsid w:val="00D55F38"/>
    <w:rsid w:val="00D56765"/>
    <w:rsid w:val="00D56E0E"/>
    <w:rsid w:val="00D57F88"/>
    <w:rsid w:val="00D61560"/>
    <w:rsid w:val="00D6173A"/>
    <w:rsid w:val="00D62642"/>
    <w:rsid w:val="00D63B3F"/>
    <w:rsid w:val="00D64EB8"/>
    <w:rsid w:val="00D65182"/>
    <w:rsid w:val="00D6551E"/>
    <w:rsid w:val="00D66832"/>
    <w:rsid w:val="00D67BC5"/>
    <w:rsid w:val="00D709A1"/>
    <w:rsid w:val="00D70BEB"/>
    <w:rsid w:val="00D70D53"/>
    <w:rsid w:val="00D7105C"/>
    <w:rsid w:val="00D729D9"/>
    <w:rsid w:val="00D73646"/>
    <w:rsid w:val="00D777B4"/>
    <w:rsid w:val="00D77A90"/>
    <w:rsid w:val="00D82114"/>
    <w:rsid w:val="00D823C4"/>
    <w:rsid w:val="00D82ED8"/>
    <w:rsid w:val="00D8360B"/>
    <w:rsid w:val="00D85676"/>
    <w:rsid w:val="00D85EF4"/>
    <w:rsid w:val="00D87BD3"/>
    <w:rsid w:val="00D90AD6"/>
    <w:rsid w:val="00D93C77"/>
    <w:rsid w:val="00D95BBB"/>
    <w:rsid w:val="00D96141"/>
    <w:rsid w:val="00D969FB"/>
    <w:rsid w:val="00D96ADA"/>
    <w:rsid w:val="00DA0438"/>
    <w:rsid w:val="00DA14DB"/>
    <w:rsid w:val="00DA173B"/>
    <w:rsid w:val="00DA2886"/>
    <w:rsid w:val="00DA2E32"/>
    <w:rsid w:val="00DA5575"/>
    <w:rsid w:val="00DA5E50"/>
    <w:rsid w:val="00DA5F87"/>
    <w:rsid w:val="00DA7D0C"/>
    <w:rsid w:val="00DB311C"/>
    <w:rsid w:val="00DB3797"/>
    <w:rsid w:val="00DB432D"/>
    <w:rsid w:val="00DB4400"/>
    <w:rsid w:val="00DB48D1"/>
    <w:rsid w:val="00DB4F74"/>
    <w:rsid w:val="00DB519B"/>
    <w:rsid w:val="00DB552A"/>
    <w:rsid w:val="00DB5AAB"/>
    <w:rsid w:val="00DB7BCD"/>
    <w:rsid w:val="00DB7D94"/>
    <w:rsid w:val="00DB7F8D"/>
    <w:rsid w:val="00DC0003"/>
    <w:rsid w:val="00DC0B7B"/>
    <w:rsid w:val="00DC14F4"/>
    <w:rsid w:val="00DC2309"/>
    <w:rsid w:val="00DC4B1B"/>
    <w:rsid w:val="00DC62ED"/>
    <w:rsid w:val="00DC6531"/>
    <w:rsid w:val="00DC7694"/>
    <w:rsid w:val="00DC7FBE"/>
    <w:rsid w:val="00DD006E"/>
    <w:rsid w:val="00DD0D30"/>
    <w:rsid w:val="00DD0DB4"/>
    <w:rsid w:val="00DD130E"/>
    <w:rsid w:val="00DD308E"/>
    <w:rsid w:val="00DD37E7"/>
    <w:rsid w:val="00DD4B82"/>
    <w:rsid w:val="00DD5942"/>
    <w:rsid w:val="00DD6222"/>
    <w:rsid w:val="00DD6450"/>
    <w:rsid w:val="00DD654C"/>
    <w:rsid w:val="00DD6AC8"/>
    <w:rsid w:val="00DD6BD4"/>
    <w:rsid w:val="00DD73A9"/>
    <w:rsid w:val="00DE0929"/>
    <w:rsid w:val="00DE2307"/>
    <w:rsid w:val="00DE268B"/>
    <w:rsid w:val="00DE30A9"/>
    <w:rsid w:val="00DF0A3E"/>
    <w:rsid w:val="00DF0C51"/>
    <w:rsid w:val="00DF0D47"/>
    <w:rsid w:val="00DF1652"/>
    <w:rsid w:val="00DF1A13"/>
    <w:rsid w:val="00DF2321"/>
    <w:rsid w:val="00DF2B98"/>
    <w:rsid w:val="00DF37D8"/>
    <w:rsid w:val="00DF56EE"/>
    <w:rsid w:val="00DF5CD0"/>
    <w:rsid w:val="00DF6D37"/>
    <w:rsid w:val="00E00724"/>
    <w:rsid w:val="00E01503"/>
    <w:rsid w:val="00E01B08"/>
    <w:rsid w:val="00E02F63"/>
    <w:rsid w:val="00E04287"/>
    <w:rsid w:val="00E048ED"/>
    <w:rsid w:val="00E04FB3"/>
    <w:rsid w:val="00E058F2"/>
    <w:rsid w:val="00E05D9C"/>
    <w:rsid w:val="00E06102"/>
    <w:rsid w:val="00E14541"/>
    <w:rsid w:val="00E208D0"/>
    <w:rsid w:val="00E21016"/>
    <w:rsid w:val="00E21AE1"/>
    <w:rsid w:val="00E23E71"/>
    <w:rsid w:val="00E240DD"/>
    <w:rsid w:val="00E255DA"/>
    <w:rsid w:val="00E26966"/>
    <w:rsid w:val="00E26C12"/>
    <w:rsid w:val="00E26E50"/>
    <w:rsid w:val="00E301E6"/>
    <w:rsid w:val="00E30F19"/>
    <w:rsid w:val="00E31977"/>
    <w:rsid w:val="00E32470"/>
    <w:rsid w:val="00E33992"/>
    <w:rsid w:val="00E33C4A"/>
    <w:rsid w:val="00E357B9"/>
    <w:rsid w:val="00E35836"/>
    <w:rsid w:val="00E3677E"/>
    <w:rsid w:val="00E41C67"/>
    <w:rsid w:val="00E42438"/>
    <w:rsid w:val="00E431D2"/>
    <w:rsid w:val="00E4321E"/>
    <w:rsid w:val="00E43749"/>
    <w:rsid w:val="00E44559"/>
    <w:rsid w:val="00E44B80"/>
    <w:rsid w:val="00E469E7"/>
    <w:rsid w:val="00E47623"/>
    <w:rsid w:val="00E47BD2"/>
    <w:rsid w:val="00E47CCC"/>
    <w:rsid w:val="00E503AD"/>
    <w:rsid w:val="00E504D2"/>
    <w:rsid w:val="00E50BEC"/>
    <w:rsid w:val="00E54F5B"/>
    <w:rsid w:val="00E5586A"/>
    <w:rsid w:val="00E57421"/>
    <w:rsid w:val="00E60112"/>
    <w:rsid w:val="00E60529"/>
    <w:rsid w:val="00E6222F"/>
    <w:rsid w:val="00E641EF"/>
    <w:rsid w:val="00E65311"/>
    <w:rsid w:val="00E6735D"/>
    <w:rsid w:val="00E70B29"/>
    <w:rsid w:val="00E70C22"/>
    <w:rsid w:val="00E70D86"/>
    <w:rsid w:val="00E74C67"/>
    <w:rsid w:val="00E753C9"/>
    <w:rsid w:val="00E7628E"/>
    <w:rsid w:val="00E767B6"/>
    <w:rsid w:val="00E82F54"/>
    <w:rsid w:val="00E832D5"/>
    <w:rsid w:val="00E84941"/>
    <w:rsid w:val="00E8649B"/>
    <w:rsid w:val="00E86589"/>
    <w:rsid w:val="00E8715C"/>
    <w:rsid w:val="00E871CD"/>
    <w:rsid w:val="00E90238"/>
    <w:rsid w:val="00E90261"/>
    <w:rsid w:val="00E90990"/>
    <w:rsid w:val="00E90FAF"/>
    <w:rsid w:val="00E92EB2"/>
    <w:rsid w:val="00E953B9"/>
    <w:rsid w:val="00E95583"/>
    <w:rsid w:val="00E95D3D"/>
    <w:rsid w:val="00E95EB2"/>
    <w:rsid w:val="00E95FE2"/>
    <w:rsid w:val="00EA0E25"/>
    <w:rsid w:val="00EA173C"/>
    <w:rsid w:val="00EA50BA"/>
    <w:rsid w:val="00EA5878"/>
    <w:rsid w:val="00EB358C"/>
    <w:rsid w:val="00EB4362"/>
    <w:rsid w:val="00EB68B8"/>
    <w:rsid w:val="00EB6B1F"/>
    <w:rsid w:val="00EC127A"/>
    <w:rsid w:val="00EC145D"/>
    <w:rsid w:val="00EC1FF9"/>
    <w:rsid w:val="00EC2737"/>
    <w:rsid w:val="00EC2C28"/>
    <w:rsid w:val="00EC2C5D"/>
    <w:rsid w:val="00EC37A1"/>
    <w:rsid w:val="00ED1333"/>
    <w:rsid w:val="00ED1F66"/>
    <w:rsid w:val="00ED25D5"/>
    <w:rsid w:val="00ED26A3"/>
    <w:rsid w:val="00ED7ED5"/>
    <w:rsid w:val="00EE0262"/>
    <w:rsid w:val="00EE085D"/>
    <w:rsid w:val="00EE13E6"/>
    <w:rsid w:val="00EE2100"/>
    <w:rsid w:val="00EE2716"/>
    <w:rsid w:val="00EE27C7"/>
    <w:rsid w:val="00EE58F6"/>
    <w:rsid w:val="00EE6450"/>
    <w:rsid w:val="00EE6BA1"/>
    <w:rsid w:val="00EE6E90"/>
    <w:rsid w:val="00EE76B2"/>
    <w:rsid w:val="00EF0753"/>
    <w:rsid w:val="00EF6580"/>
    <w:rsid w:val="00EF696E"/>
    <w:rsid w:val="00F0031F"/>
    <w:rsid w:val="00F01C2C"/>
    <w:rsid w:val="00F0217E"/>
    <w:rsid w:val="00F02625"/>
    <w:rsid w:val="00F026FA"/>
    <w:rsid w:val="00F02AB8"/>
    <w:rsid w:val="00F05CCF"/>
    <w:rsid w:val="00F072D8"/>
    <w:rsid w:val="00F07826"/>
    <w:rsid w:val="00F1084A"/>
    <w:rsid w:val="00F10EC5"/>
    <w:rsid w:val="00F10ED8"/>
    <w:rsid w:val="00F11751"/>
    <w:rsid w:val="00F12422"/>
    <w:rsid w:val="00F16494"/>
    <w:rsid w:val="00F17E39"/>
    <w:rsid w:val="00F212B2"/>
    <w:rsid w:val="00F222BE"/>
    <w:rsid w:val="00F2297A"/>
    <w:rsid w:val="00F23DFA"/>
    <w:rsid w:val="00F24179"/>
    <w:rsid w:val="00F24958"/>
    <w:rsid w:val="00F24FD6"/>
    <w:rsid w:val="00F250DA"/>
    <w:rsid w:val="00F25E1D"/>
    <w:rsid w:val="00F30128"/>
    <w:rsid w:val="00F301F1"/>
    <w:rsid w:val="00F306E1"/>
    <w:rsid w:val="00F30979"/>
    <w:rsid w:val="00F30C22"/>
    <w:rsid w:val="00F312C5"/>
    <w:rsid w:val="00F328DF"/>
    <w:rsid w:val="00F33F1A"/>
    <w:rsid w:val="00F3461A"/>
    <w:rsid w:val="00F355EB"/>
    <w:rsid w:val="00F35700"/>
    <w:rsid w:val="00F368DE"/>
    <w:rsid w:val="00F37C03"/>
    <w:rsid w:val="00F4034B"/>
    <w:rsid w:val="00F41B12"/>
    <w:rsid w:val="00F44E2F"/>
    <w:rsid w:val="00F47EC6"/>
    <w:rsid w:val="00F531CE"/>
    <w:rsid w:val="00F547F7"/>
    <w:rsid w:val="00F549BA"/>
    <w:rsid w:val="00F54CCF"/>
    <w:rsid w:val="00F60C41"/>
    <w:rsid w:val="00F61D7A"/>
    <w:rsid w:val="00F637B3"/>
    <w:rsid w:val="00F65B33"/>
    <w:rsid w:val="00F66CF7"/>
    <w:rsid w:val="00F66D84"/>
    <w:rsid w:val="00F66F6D"/>
    <w:rsid w:val="00F67588"/>
    <w:rsid w:val="00F67BCB"/>
    <w:rsid w:val="00F704ED"/>
    <w:rsid w:val="00F70DF3"/>
    <w:rsid w:val="00F753C0"/>
    <w:rsid w:val="00F77C57"/>
    <w:rsid w:val="00F813C7"/>
    <w:rsid w:val="00F83566"/>
    <w:rsid w:val="00F83826"/>
    <w:rsid w:val="00F83A9D"/>
    <w:rsid w:val="00F8426C"/>
    <w:rsid w:val="00F84AC2"/>
    <w:rsid w:val="00F855CC"/>
    <w:rsid w:val="00F87C7E"/>
    <w:rsid w:val="00F906B5"/>
    <w:rsid w:val="00F92A6E"/>
    <w:rsid w:val="00F93784"/>
    <w:rsid w:val="00F93FEC"/>
    <w:rsid w:val="00F94FDC"/>
    <w:rsid w:val="00F95594"/>
    <w:rsid w:val="00F9620A"/>
    <w:rsid w:val="00F971CC"/>
    <w:rsid w:val="00F97884"/>
    <w:rsid w:val="00F97CCE"/>
    <w:rsid w:val="00FA1FC8"/>
    <w:rsid w:val="00FA2CAA"/>
    <w:rsid w:val="00FA33AA"/>
    <w:rsid w:val="00FA3DA1"/>
    <w:rsid w:val="00FA5271"/>
    <w:rsid w:val="00FA6554"/>
    <w:rsid w:val="00FA6921"/>
    <w:rsid w:val="00FA6E15"/>
    <w:rsid w:val="00FA708A"/>
    <w:rsid w:val="00FB06E2"/>
    <w:rsid w:val="00FB0A15"/>
    <w:rsid w:val="00FB19CD"/>
    <w:rsid w:val="00FB1EB3"/>
    <w:rsid w:val="00FB1F22"/>
    <w:rsid w:val="00FB2646"/>
    <w:rsid w:val="00FB348F"/>
    <w:rsid w:val="00FB7C48"/>
    <w:rsid w:val="00FC0DCB"/>
    <w:rsid w:val="00FC1607"/>
    <w:rsid w:val="00FC5A39"/>
    <w:rsid w:val="00FC6EF4"/>
    <w:rsid w:val="00FC7049"/>
    <w:rsid w:val="00FD43EC"/>
    <w:rsid w:val="00FD513E"/>
    <w:rsid w:val="00FD51F6"/>
    <w:rsid w:val="00FD6158"/>
    <w:rsid w:val="00FD6FB7"/>
    <w:rsid w:val="00FD72D3"/>
    <w:rsid w:val="00FD7E66"/>
    <w:rsid w:val="00FE0E94"/>
    <w:rsid w:val="00FE16C1"/>
    <w:rsid w:val="00FE19FF"/>
    <w:rsid w:val="00FE1C38"/>
    <w:rsid w:val="00FE221D"/>
    <w:rsid w:val="00FE33A6"/>
    <w:rsid w:val="00FE4F89"/>
    <w:rsid w:val="00FE5452"/>
    <w:rsid w:val="00FE6621"/>
    <w:rsid w:val="00FE7F3C"/>
    <w:rsid w:val="00FF0F59"/>
    <w:rsid w:val="00FF16EA"/>
    <w:rsid w:val="00FF23B8"/>
    <w:rsid w:val="00FF29B0"/>
    <w:rsid w:val="00FF2A4D"/>
    <w:rsid w:val="00FF4984"/>
    <w:rsid w:val="00FF4BE1"/>
    <w:rsid w:val="00FF53EC"/>
    <w:rsid w:val="00FF59A8"/>
    <w:rsid w:val="00FF7FCB"/>
    <w:rsid w:val="011ECCE5"/>
    <w:rsid w:val="0122D2E5"/>
    <w:rsid w:val="015C72D9"/>
    <w:rsid w:val="01A47B57"/>
    <w:rsid w:val="01AB69C7"/>
    <w:rsid w:val="01B4FB84"/>
    <w:rsid w:val="020B4DFA"/>
    <w:rsid w:val="023D70E6"/>
    <w:rsid w:val="02E068D3"/>
    <w:rsid w:val="030CCC37"/>
    <w:rsid w:val="0370A051"/>
    <w:rsid w:val="03CF20C4"/>
    <w:rsid w:val="03F2C971"/>
    <w:rsid w:val="041D8FE9"/>
    <w:rsid w:val="0429F41A"/>
    <w:rsid w:val="042A5889"/>
    <w:rsid w:val="044FE712"/>
    <w:rsid w:val="04565983"/>
    <w:rsid w:val="0477480A"/>
    <w:rsid w:val="04C24FCE"/>
    <w:rsid w:val="04C9B354"/>
    <w:rsid w:val="051531B9"/>
    <w:rsid w:val="0515C251"/>
    <w:rsid w:val="053E8C7F"/>
    <w:rsid w:val="05646E3B"/>
    <w:rsid w:val="05A6DAA2"/>
    <w:rsid w:val="05B74C2B"/>
    <w:rsid w:val="05D8D237"/>
    <w:rsid w:val="05F61BFC"/>
    <w:rsid w:val="060E5B0C"/>
    <w:rsid w:val="062BB78F"/>
    <w:rsid w:val="065EAEEA"/>
    <w:rsid w:val="06694905"/>
    <w:rsid w:val="067A158D"/>
    <w:rsid w:val="06AC0161"/>
    <w:rsid w:val="06BAB65E"/>
    <w:rsid w:val="06DF6DD4"/>
    <w:rsid w:val="06E1BF93"/>
    <w:rsid w:val="06FB53A7"/>
    <w:rsid w:val="073FD39E"/>
    <w:rsid w:val="0758C06A"/>
    <w:rsid w:val="078FB8A8"/>
    <w:rsid w:val="07A83A9C"/>
    <w:rsid w:val="07C7DA96"/>
    <w:rsid w:val="07D9CFCF"/>
    <w:rsid w:val="0829C561"/>
    <w:rsid w:val="08DAB226"/>
    <w:rsid w:val="08E08759"/>
    <w:rsid w:val="08F1B0AD"/>
    <w:rsid w:val="08F82134"/>
    <w:rsid w:val="09182371"/>
    <w:rsid w:val="09332219"/>
    <w:rsid w:val="0934B3AB"/>
    <w:rsid w:val="0950B2E0"/>
    <w:rsid w:val="09B415AF"/>
    <w:rsid w:val="09EB69FC"/>
    <w:rsid w:val="09FF3DD4"/>
    <w:rsid w:val="0A6AA32C"/>
    <w:rsid w:val="0A929CF8"/>
    <w:rsid w:val="0A9AB57D"/>
    <w:rsid w:val="0AB926E1"/>
    <w:rsid w:val="0ABD973B"/>
    <w:rsid w:val="0ADFAE61"/>
    <w:rsid w:val="0B045969"/>
    <w:rsid w:val="0B4C3B77"/>
    <w:rsid w:val="0B5E1147"/>
    <w:rsid w:val="0BCCC481"/>
    <w:rsid w:val="0BF7F714"/>
    <w:rsid w:val="0C358441"/>
    <w:rsid w:val="0C3AAD3E"/>
    <w:rsid w:val="0C501AC0"/>
    <w:rsid w:val="0CA05F84"/>
    <w:rsid w:val="0CB7A5F6"/>
    <w:rsid w:val="0CD810A4"/>
    <w:rsid w:val="0D0B0E09"/>
    <w:rsid w:val="0D2E4BA2"/>
    <w:rsid w:val="0D4C8BED"/>
    <w:rsid w:val="0DF7A5E4"/>
    <w:rsid w:val="0DFA3940"/>
    <w:rsid w:val="0E1997A5"/>
    <w:rsid w:val="0E5646F6"/>
    <w:rsid w:val="0E590530"/>
    <w:rsid w:val="0EE45794"/>
    <w:rsid w:val="0F1CA609"/>
    <w:rsid w:val="0F6F8F7B"/>
    <w:rsid w:val="0F99FB1E"/>
    <w:rsid w:val="0FA15EF8"/>
    <w:rsid w:val="0FD2E5D3"/>
    <w:rsid w:val="0FD3166F"/>
    <w:rsid w:val="100FEE3A"/>
    <w:rsid w:val="10421753"/>
    <w:rsid w:val="10BE5E34"/>
    <w:rsid w:val="10F25E46"/>
    <w:rsid w:val="11608FB4"/>
    <w:rsid w:val="11649D35"/>
    <w:rsid w:val="11A225A2"/>
    <w:rsid w:val="120BDC8B"/>
    <w:rsid w:val="12775C6A"/>
    <w:rsid w:val="12B2E2B3"/>
    <w:rsid w:val="12E352B4"/>
    <w:rsid w:val="136418F7"/>
    <w:rsid w:val="137751C7"/>
    <w:rsid w:val="13A422DD"/>
    <w:rsid w:val="13B79258"/>
    <w:rsid w:val="13C93FF4"/>
    <w:rsid w:val="13E78D39"/>
    <w:rsid w:val="1415B502"/>
    <w:rsid w:val="1474FA6F"/>
    <w:rsid w:val="14884F4A"/>
    <w:rsid w:val="14B0DD65"/>
    <w:rsid w:val="1524E5F3"/>
    <w:rsid w:val="1644DA8B"/>
    <w:rsid w:val="1652714A"/>
    <w:rsid w:val="16680132"/>
    <w:rsid w:val="1675FE98"/>
    <w:rsid w:val="1695EDAA"/>
    <w:rsid w:val="16BA445A"/>
    <w:rsid w:val="172318DA"/>
    <w:rsid w:val="174BCD78"/>
    <w:rsid w:val="1786A0E7"/>
    <w:rsid w:val="178752C2"/>
    <w:rsid w:val="1792069C"/>
    <w:rsid w:val="17A55A92"/>
    <w:rsid w:val="17EA6B80"/>
    <w:rsid w:val="18075CFF"/>
    <w:rsid w:val="181C3F63"/>
    <w:rsid w:val="1837883B"/>
    <w:rsid w:val="1841D1CD"/>
    <w:rsid w:val="1862695F"/>
    <w:rsid w:val="1897EB20"/>
    <w:rsid w:val="189CA639"/>
    <w:rsid w:val="18AAC2AD"/>
    <w:rsid w:val="1933AA30"/>
    <w:rsid w:val="19B89AE0"/>
    <w:rsid w:val="19C57304"/>
    <w:rsid w:val="1A0DD535"/>
    <w:rsid w:val="1A569AB4"/>
    <w:rsid w:val="1A8EA0E4"/>
    <w:rsid w:val="1AFBD83B"/>
    <w:rsid w:val="1B435A91"/>
    <w:rsid w:val="1B562A64"/>
    <w:rsid w:val="1B83357F"/>
    <w:rsid w:val="1B9B9477"/>
    <w:rsid w:val="1BA4187A"/>
    <w:rsid w:val="1BAF916A"/>
    <w:rsid w:val="1BBDD212"/>
    <w:rsid w:val="1C8F0D24"/>
    <w:rsid w:val="1CD64697"/>
    <w:rsid w:val="1CE59652"/>
    <w:rsid w:val="1D1F48AF"/>
    <w:rsid w:val="1D51E240"/>
    <w:rsid w:val="1DAB1E66"/>
    <w:rsid w:val="1DCAD5D5"/>
    <w:rsid w:val="1DD1045B"/>
    <w:rsid w:val="1E284276"/>
    <w:rsid w:val="1E4A16CB"/>
    <w:rsid w:val="1E57151E"/>
    <w:rsid w:val="1E6C1682"/>
    <w:rsid w:val="1E9B6E05"/>
    <w:rsid w:val="1EE88369"/>
    <w:rsid w:val="1F695BCA"/>
    <w:rsid w:val="1F69ABCA"/>
    <w:rsid w:val="1F8E56C9"/>
    <w:rsid w:val="1F951C30"/>
    <w:rsid w:val="1F9D418B"/>
    <w:rsid w:val="1FAA91D7"/>
    <w:rsid w:val="1FB9499B"/>
    <w:rsid w:val="1FC343AF"/>
    <w:rsid w:val="1FFC04A3"/>
    <w:rsid w:val="1FFE312B"/>
    <w:rsid w:val="2022642D"/>
    <w:rsid w:val="20BD99CE"/>
    <w:rsid w:val="21379A05"/>
    <w:rsid w:val="219447C8"/>
    <w:rsid w:val="21C0C554"/>
    <w:rsid w:val="22155840"/>
    <w:rsid w:val="224A57AF"/>
    <w:rsid w:val="22705B07"/>
    <w:rsid w:val="22A4644D"/>
    <w:rsid w:val="22E1BBA4"/>
    <w:rsid w:val="230A5367"/>
    <w:rsid w:val="23A3D3E5"/>
    <w:rsid w:val="23AEA733"/>
    <w:rsid w:val="246C1A75"/>
    <w:rsid w:val="247DD5B3"/>
    <w:rsid w:val="24A4EAD0"/>
    <w:rsid w:val="24D3882D"/>
    <w:rsid w:val="24EF8412"/>
    <w:rsid w:val="2500444A"/>
    <w:rsid w:val="25321F25"/>
    <w:rsid w:val="25928AC3"/>
    <w:rsid w:val="26043BAC"/>
    <w:rsid w:val="2618E36E"/>
    <w:rsid w:val="263F8BEA"/>
    <w:rsid w:val="26450560"/>
    <w:rsid w:val="267358ED"/>
    <w:rsid w:val="26956A36"/>
    <w:rsid w:val="26BB6560"/>
    <w:rsid w:val="277E512B"/>
    <w:rsid w:val="284B8559"/>
    <w:rsid w:val="286A9AD7"/>
    <w:rsid w:val="28877BFC"/>
    <w:rsid w:val="28976DC1"/>
    <w:rsid w:val="28C2D3A5"/>
    <w:rsid w:val="28DE32F2"/>
    <w:rsid w:val="28FB6AD3"/>
    <w:rsid w:val="298D4C0D"/>
    <w:rsid w:val="29C8401D"/>
    <w:rsid w:val="29EB96B3"/>
    <w:rsid w:val="2A0C6ED7"/>
    <w:rsid w:val="2A3C0530"/>
    <w:rsid w:val="2AAD2CEE"/>
    <w:rsid w:val="2ABC1231"/>
    <w:rsid w:val="2ACD7E46"/>
    <w:rsid w:val="2B44BBFE"/>
    <w:rsid w:val="2B68E815"/>
    <w:rsid w:val="2BDEEB68"/>
    <w:rsid w:val="2C7A8598"/>
    <w:rsid w:val="2D3F87F9"/>
    <w:rsid w:val="2D658265"/>
    <w:rsid w:val="2DC4D460"/>
    <w:rsid w:val="2DF347F4"/>
    <w:rsid w:val="2DFB4CA0"/>
    <w:rsid w:val="2EB5C1E1"/>
    <w:rsid w:val="2EE6F545"/>
    <w:rsid w:val="2F71AAEB"/>
    <w:rsid w:val="2F72FE21"/>
    <w:rsid w:val="2F966187"/>
    <w:rsid w:val="2FB43592"/>
    <w:rsid w:val="2FBA05DD"/>
    <w:rsid w:val="2FDFC1E9"/>
    <w:rsid w:val="3012D18E"/>
    <w:rsid w:val="3037FFA7"/>
    <w:rsid w:val="30D7F21E"/>
    <w:rsid w:val="312ED2C4"/>
    <w:rsid w:val="3140C14B"/>
    <w:rsid w:val="318BB870"/>
    <w:rsid w:val="3193FEAD"/>
    <w:rsid w:val="31989F8D"/>
    <w:rsid w:val="31CA4638"/>
    <w:rsid w:val="320C7137"/>
    <w:rsid w:val="323446A8"/>
    <w:rsid w:val="3298FADB"/>
    <w:rsid w:val="32C164C3"/>
    <w:rsid w:val="33145716"/>
    <w:rsid w:val="331AB105"/>
    <w:rsid w:val="3341BA3A"/>
    <w:rsid w:val="3366CA36"/>
    <w:rsid w:val="33BD9374"/>
    <w:rsid w:val="33DB1C6D"/>
    <w:rsid w:val="3409A559"/>
    <w:rsid w:val="345670E7"/>
    <w:rsid w:val="345AA78D"/>
    <w:rsid w:val="348E1670"/>
    <w:rsid w:val="35136C85"/>
    <w:rsid w:val="35267648"/>
    <w:rsid w:val="352D806E"/>
    <w:rsid w:val="35E78093"/>
    <w:rsid w:val="35EAB654"/>
    <w:rsid w:val="35F7A90D"/>
    <w:rsid w:val="35FBB849"/>
    <w:rsid w:val="35FC51D7"/>
    <w:rsid w:val="3612A6F7"/>
    <w:rsid w:val="3621A21C"/>
    <w:rsid w:val="362ABD52"/>
    <w:rsid w:val="3633212A"/>
    <w:rsid w:val="3634CC99"/>
    <w:rsid w:val="3646D26E"/>
    <w:rsid w:val="36BBCE99"/>
    <w:rsid w:val="3721D441"/>
    <w:rsid w:val="375688E9"/>
    <w:rsid w:val="37B6BEED"/>
    <w:rsid w:val="385BF7D6"/>
    <w:rsid w:val="3869336D"/>
    <w:rsid w:val="3869E0FB"/>
    <w:rsid w:val="3875F19C"/>
    <w:rsid w:val="389047BE"/>
    <w:rsid w:val="38914675"/>
    <w:rsid w:val="38B7ED71"/>
    <w:rsid w:val="38C6B2B2"/>
    <w:rsid w:val="38F8AD4D"/>
    <w:rsid w:val="39335B21"/>
    <w:rsid w:val="394CB9BC"/>
    <w:rsid w:val="39A4A33B"/>
    <w:rsid w:val="39E8AD7B"/>
    <w:rsid w:val="3A24A5CB"/>
    <w:rsid w:val="3AD8006A"/>
    <w:rsid w:val="3B013863"/>
    <w:rsid w:val="3B328BB7"/>
    <w:rsid w:val="3BF3C50C"/>
    <w:rsid w:val="3CBB9EFE"/>
    <w:rsid w:val="3CC06F48"/>
    <w:rsid w:val="3CC2A05E"/>
    <w:rsid w:val="3D1CF658"/>
    <w:rsid w:val="3D26E7F5"/>
    <w:rsid w:val="3D50AF6A"/>
    <w:rsid w:val="3DA166BF"/>
    <w:rsid w:val="3DD54388"/>
    <w:rsid w:val="3DE90C2C"/>
    <w:rsid w:val="3E58D025"/>
    <w:rsid w:val="3E5F6D23"/>
    <w:rsid w:val="3E8CDFEC"/>
    <w:rsid w:val="3ECC6DC9"/>
    <w:rsid w:val="3ED6D2A3"/>
    <w:rsid w:val="3EEE91CC"/>
    <w:rsid w:val="3F2FB721"/>
    <w:rsid w:val="3F66BCB7"/>
    <w:rsid w:val="3F851AE7"/>
    <w:rsid w:val="3F944086"/>
    <w:rsid w:val="3FD34A5A"/>
    <w:rsid w:val="401969B3"/>
    <w:rsid w:val="40285C9E"/>
    <w:rsid w:val="403A2D85"/>
    <w:rsid w:val="40512F41"/>
    <w:rsid w:val="405FD48D"/>
    <w:rsid w:val="407E520D"/>
    <w:rsid w:val="40BCDFAA"/>
    <w:rsid w:val="4137EABF"/>
    <w:rsid w:val="414E316A"/>
    <w:rsid w:val="415BCEC1"/>
    <w:rsid w:val="418569B7"/>
    <w:rsid w:val="419948B7"/>
    <w:rsid w:val="41C55CF8"/>
    <w:rsid w:val="42686607"/>
    <w:rsid w:val="42C8B3B0"/>
    <w:rsid w:val="43019A70"/>
    <w:rsid w:val="431A6EF9"/>
    <w:rsid w:val="43ACB19B"/>
    <w:rsid w:val="43DB3D3E"/>
    <w:rsid w:val="4479A3F6"/>
    <w:rsid w:val="447AA518"/>
    <w:rsid w:val="44BFC9B9"/>
    <w:rsid w:val="44D0E326"/>
    <w:rsid w:val="44E6AD97"/>
    <w:rsid w:val="44F445DD"/>
    <w:rsid w:val="450D089E"/>
    <w:rsid w:val="45289872"/>
    <w:rsid w:val="45CA0019"/>
    <w:rsid w:val="45EB04AF"/>
    <w:rsid w:val="46A28A26"/>
    <w:rsid w:val="46A69E9C"/>
    <w:rsid w:val="46DACCD5"/>
    <w:rsid w:val="46E7B51E"/>
    <w:rsid w:val="4710E9CE"/>
    <w:rsid w:val="472DA670"/>
    <w:rsid w:val="47437ED0"/>
    <w:rsid w:val="47474D0F"/>
    <w:rsid w:val="4757083B"/>
    <w:rsid w:val="4766B4C5"/>
    <w:rsid w:val="478C8638"/>
    <w:rsid w:val="47954636"/>
    <w:rsid w:val="4797DF2F"/>
    <w:rsid w:val="47AF9A6E"/>
    <w:rsid w:val="47E648BE"/>
    <w:rsid w:val="47E88D8E"/>
    <w:rsid w:val="4802933D"/>
    <w:rsid w:val="484CC915"/>
    <w:rsid w:val="48559019"/>
    <w:rsid w:val="48616233"/>
    <w:rsid w:val="48713BB4"/>
    <w:rsid w:val="48DF7800"/>
    <w:rsid w:val="49423C8B"/>
    <w:rsid w:val="495CE140"/>
    <w:rsid w:val="49EEDF1D"/>
    <w:rsid w:val="49F1573B"/>
    <w:rsid w:val="49FC95E0"/>
    <w:rsid w:val="4A24765B"/>
    <w:rsid w:val="4A521DC7"/>
    <w:rsid w:val="4A55E07F"/>
    <w:rsid w:val="4A64AFBA"/>
    <w:rsid w:val="4AA45B52"/>
    <w:rsid w:val="4AB0326E"/>
    <w:rsid w:val="4ADDD56D"/>
    <w:rsid w:val="4B0AEDFF"/>
    <w:rsid w:val="4B27B3D6"/>
    <w:rsid w:val="4B301E6B"/>
    <w:rsid w:val="4BC03F34"/>
    <w:rsid w:val="4BF859EB"/>
    <w:rsid w:val="4C0790F0"/>
    <w:rsid w:val="4C32D82B"/>
    <w:rsid w:val="4C5D0F6D"/>
    <w:rsid w:val="4CAFE009"/>
    <w:rsid w:val="4CE0606C"/>
    <w:rsid w:val="4CF475DF"/>
    <w:rsid w:val="4D32F0DD"/>
    <w:rsid w:val="4DC3DEAC"/>
    <w:rsid w:val="4DE9D153"/>
    <w:rsid w:val="4E239C03"/>
    <w:rsid w:val="4E339E72"/>
    <w:rsid w:val="4E3A0E6B"/>
    <w:rsid w:val="4E9BA852"/>
    <w:rsid w:val="4EF808CB"/>
    <w:rsid w:val="4F08E259"/>
    <w:rsid w:val="4F25231A"/>
    <w:rsid w:val="4F4FF851"/>
    <w:rsid w:val="4F664946"/>
    <w:rsid w:val="4F72E4A1"/>
    <w:rsid w:val="4F99C52A"/>
    <w:rsid w:val="5016277E"/>
    <w:rsid w:val="50829B81"/>
    <w:rsid w:val="50C480B6"/>
    <w:rsid w:val="50E260CB"/>
    <w:rsid w:val="51014E7E"/>
    <w:rsid w:val="5130521B"/>
    <w:rsid w:val="515BE6DE"/>
    <w:rsid w:val="517B26C8"/>
    <w:rsid w:val="51B37D07"/>
    <w:rsid w:val="5201D2B3"/>
    <w:rsid w:val="521A1CB9"/>
    <w:rsid w:val="523514C8"/>
    <w:rsid w:val="524593BB"/>
    <w:rsid w:val="5257DF53"/>
    <w:rsid w:val="528AF040"/>
    <w:rsid w:val="52D49C6A"/>
    <w:rsid w:val="52E02279"/>
    <w:rsid w:val="52E69054"/>
    <w:rsid w:val="52F40F40"/>
    <w:rsid w:val="5399D060"/>
    <w:rsid w:val="53E60736"/>
    <w:rsid w:val="542A9DD7"/>
    <w:rsid w:val="5446ACA5"/>
    <w:rsid w:val="544FDD0B"/>
    <w:rsid w:val="5457C324"/>
    <w:rsid w:val="54C7758E"/>
    <w:rsid w:val="54E09853"/>
    <w:rsid w:val="5567E7A3"/>
    <w:rsid w:val="55790EE8"/>
    <w:rsid w:val="5592885F"/>
    <w:rsid w:val="55936234"/>
    <w:rsid w:val="55ADA760"/>
    <w:rsid w:val="55D5C0C8"/>
    <w:rsid w:val="55F3B37B"/>
    <w:rsid w:val="56185A2C"/>
    <w:rsid w:val="56475C6D"/>
    <w:rsid w:val="56B92029"/>
    <w:rsid w:val="56BC58C7"/>
    <w:rsid w:val="56D708DB"/>
    <w:rsid w:val="5763BAD1"/>
    <w:rsid w:val="57EF2B9B"/>
    <w:rsid w:val="582794E0"/>
    <w:rsid w:val="5844A9CD"/>
    <w:rsid w:val="585D314B"/>
    <w:rsid w:val="58E1CE0F"/>
    <w:rsid w:val="58E566CC"/>
    <w:rsid w:val="593B076F"/>
    <w:rsid w:val="59F04F29"/>
    <w:rsid w:val="5A1AB162"/>
    <w:rsid w:val="5A485395"/>
    <w:rsid w:val="5B617D9B"/>
    <w:rsid w:val="5B791969"/>
    <w:rsid w:val="5B7C12A8"/>
    <w:rsid w:val="5BFE14BC"/>
    <w:rsid w:val="5C32A3D8"/>
    <w:rsid w:val="5C84C8DD"/>
    <w:rsid w:val="5CA90A96"/>
    <w:rsid w:val="5CADFB5F"/>
    <w:rsid w:val="5CC9F29D"/>
    <w:rsid w:val="5D5F75E6"/>
    <w:rsid w:val="5DACD4A8"/>
    <w:rsid w:val="5DCCA5C9"/>
    <w:rsid w:val="5E2C9819"/>
    <w:rsid w:val="5E9A168E"/>
    <w:rsid w:val="5EE6F375"/>
    <w:rsid w:val="5EF4DAAB"/>
    <w:rsid w:val="5EF8D77C"/>
    <w:rsid w:val="5F2E76C1"/>
    <w:rsid w:val="5F76F2AC"/>
    <w:rsid w:val="5F8758F1"/>
    <w:rsid w:val="5F8A361F"/>
    <w:rsid w:val="5FB75461"/>
    <w:rsid w:val="60025613"/>
    <w:rsid w:val="603406C9"/>
    <w:rsid w:val="6107AB7E"/>
    <w:rsid w:val="611262FC"/>
    <w:rsid w:val="6169A6A1"/>
    <w:rsid w:val="6169B147"/>
    <w:rsid w:val="61AED041"/>
    <w:rsid w:val="61B7C119"/>
    <w:rsid w:val="61FCF701"/>
    <w:rsid w:val="62A405F4"/>
    <w:rsid w:val="62A486FE"/>
    <w:rsid w:val="62AD237E"/>
    <w:rsid w:val="62AF75DA"/>
    <w:rsid w:val="63A16AD5"/>
    <w:rsid w:val="63FFD45B"/>
    <w:rsid w:val="6404698F"/>
    <w:rsid w:val="64716999"/>
    <w:rsid w:val="647BA52C"/>
    <w:rsid w:val="64C956C0"/>
    <w:rsid w:val="65400C2E"/>
    <w:rsid w:val="655DEF5D"/>
    <w:rsid w:val="65ADAC62"/>
    <w:rsid w:val="65D556AF"/>
    <w:rsid w:val="65F58AEB"/>
    <w:rsid w:val="66490869"/>
    <w:rsid w:val="665AB2B1"/>
    <w:rsid w:val="665FD418"/>
    <w:rsid w:val="6668A707"/>
    <w:rsid w:val="6670344F"/>
    <w:rsid w:val="667D1596"/>
    <w:rsid w:val="66A37EA9"/>
    <w:rsid w:val="670EFA14"/>
    <w:rsid w:val="6715B979"/>
    <w:rsid w:val="67819CAC"/>
    <w:rsid w:val="6788ED4C"/>
    <w:rsid w:val="6798DD7B"/>
    <w:rsid w:val="67AB5308"/>
    <w:rsid w:val="67F3F936"/>
    <w:rsid w:val="68284AED"/>
    <w:rsid w:val="683824BA"/>
    <w:rsid w:val="685034BE"/>
    <w:rsid w:val="691CA66D"/>
    <w:rsid w:val="69367490"/>
    <w:rsid w:val="693BBC50"/>
    <w:rsid w:val="6956711F"/>
    <w:rsid w:val="695A09AC"/>
    <w:rsid w:val="695E975B"/>
    <w:rsid w:val="697C99DD"/>
    <w:rsid w:val="69BD58BD"/>
    <w:rsid w:val="69F6B9E5"/>
    <w:rsid w:val="6A0F924E"/>
    <w:rsid w:val="6AAC65A3"/>
    <w:rsid w:val="6B28A5FA"/>
    <w:rsid w:val="6B987D0F"/>
    <w:rsid w:val="6B9A2BCF"/>
    <w:rsid w:val="6BB9BE24"/>
    <w:rsid w:val="6BD59B04"/>
    <w:rsid w:val="6BE2F38E"/>
    <w:rsid w:val="6BF8EC3D"/>
    <w:rsid w:val="6C2CDF88"/>
    <w:rsid w:val="6C46C2FE"/>
    <w:rsid w:val="6D0A81E2"/>
    <w:rsid w:val="6D52AB4D"/>
    <w:rsid w:val="6DE81DD4"/>
    <w:rsid w:val="6E669974"/>
    <w:rsid w:val="6EDF318B"/>
    <w:rsid w:val="6EEE0F8A"/>
    <w:rsid w:val="6F29E9E6"/>
    <w:rsid w:val="6F50CA5C"/>
    <w:rsid w:val="6F596B93"/>
    <w:rsid w:val="6F6A2050"/>
    <w:rsid w:val="6F6CED6F"/>
    <w:rsid w:val="6FDC5F17"/>
    <w:rsid w:val="6FEA6EC1"/>
    <w:rsid w:val="708038D3"/>
    <w:rsid w:val="70EBBDAE"/>
    <w:rsid w:val="70FC392C"/>
    <w:rsid w:val="711257C2"/>
    <w:rsid w:val="717B097A"/>
    <w:rsid w:val="71B529D2"/>
    <w:rsid w:val="71DB0639"/>
    <w:rsid w:val="72174654"/>
    <w:rsid w:val="72E8BAD7"/>
    <w:rsid w:val="72ECE283"/>
    <w:rsid w:val="72EDCC17"/>
    <w:rsid w:val="7314F704"/>
    <w:rsid w:val="7332E52A"/>
    <w:rsid w:val="73AB91E2"/>
    <w:rsid w:val="74349182"/>
    <w:rsid w:val="74AEC7E4"/>
    <w:rsid w:val="74BE163D"/>
    <w:rsid w:val="75297A07"/>
    <w:rsid w:val="75407992"/>
    <w:rsid w:val="75521E8E"/>
    <w:rsid w:val="7579A15B"/>
    <w:rsid w:val="75955769"/>
    <w:rsid w:val="759D09BD"/>
    <w:rsid w:val="76079063"/>
    <w:rsid w:val="7614C258"/>
    <w:rsid w:val="762B6997"/>
    <w:rsid w:val="763A6774"/>
    <w:rsid w:val="763E6D01"/>
    <w:rsid w:val="7657D8A7"/>
    <w:rsid w:val="767DC24B"/>
    <w:rsid w:val="768F9344"/>
    <w:rsid w:val="76CEE424"/>
    <w:rsid w:val="77B09B18"/>
    <w:rsid w:val="77C0E920"/>
    <w:rsid w:val="7811A8FF"/>
    <w:rsid w:val="785E8284"/>
    <w:rsid w:val="78FA191C"/>
    <w:rsid w:val="79800110"/>
    <w:rsid w:val="7995B7B8"/>
    <w:rsid w:val="799BC0D2"/>
    <w:rsid w:val="7A27E6E5"/>
    <w:rsid w:val="7A3E3363"/>
    <w:rsid w:val="7AA3DB4D"/>
    <w:rsid w:val="7B066319"/>
    <w:rsid w:val="7B252AF4"/>
    <w:rsid w:val="7B2E2903"/>
    <w:rsid w:val="7B496742"/>
    <w:rsid w:val="7B5ADF4A"/>
    <w:rsid w:val="7BD2131D"/>
    <w:rsid w:val="7BE9968A"/>
    <w:rsid w:val="7C266E2F"/>
    <w:rsid w:val="7C30C72F"/>
    <w:rsid w:val="7C7642EA"/>
    <w:rsid w:val="7C7D1C05"/>
    <w:rsid w:val="7CD84887"/>
    <w:rsid w:val="7CE3EE77"/>
    <w:rsid w:val="7D557C1B"/>
    <w:rsid w:val="7D5997BD"/>
    <w:rsid w:val="7D9CB131"/>
    <w:rsid w:val="7DD76A16"/>
    <w:rsid w:val="7DF5D24F"/>
    <w:rsid w:val="7E0F7439"/>
    <w:rsid w:val="7E2C6A17"/>
    <w:rsid w:val="7E48E228"/>
    <w:rsid w:val="7E8419D9"/>
    <w:rsid w:val="7EC9F02B"/>
    <w:rsid w:val="7F03AF15"/>
    <w:rsid w:val="7F5E69FD"/>
    <w:rsid w:val="7F77F061"/>
    <w:rsid w:val="7F83C808"/>
    <w:rsid w:val="7F94971D"/>
    <w:rsid w:val="7FA5B0B6"/>
    <w:rsid w:val="7FD5BD8A"/>
    <w:rsid w:val="7FDFF0A8"/>
    <w:rsid w:val="7FFCD2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7D2201"/>
  <w15:docId w15:val="{13B822D1-2E6B-4D52-9917-304AAEEA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E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5">
    <w:name w:val="heading 5"/>
    <w:basedOn w:val="Normal"/>
    <w:next w:val="Normal"/>
    <w:link w:val="Heading5Char"/>
    <w:uiPriority w:val="9"/>
    <w:semiHidden/>
    <w:unhideWhenUsed/>
    <w:qFormat/>
    <w:rsid w:val="009618B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ASD Table,Summary box,Table Gridbeth,CMA Table Template,MSD 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mmary Bullets,Footer Setting,Bullet List,FooterText,List Paragraph1,numbered,Paragraphe de liste1,Bulletr List Paragraph,列出段落,列出段落1,List Paragraph2,List Paragraph21,Párrafo de lista1,Parágrafo da Lista1,リスト段落1,Listeafsnit1,Bullet list"/>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FollowedHyperlink">
    <w:name w:val="FollowedHyperlink"/>
    <w:basedOn w:val="DefaultParagraphFont"/>
    <w:uiPriority w:val="99"/>
    <w:semiHidden/>
    <w:unhideWhenUsed/>
    <w:rsid w:val="006057BA"/>
    <w:rPr>
      <w:color w:val="800080" w:themeColor="followedHyperlink"/>
      <w:u w:val="single"/>
    </w:rPr>
  </w:style>
  <w:style w:type="character" w:styleId="UnresolvedMention">
    <w:name w:val="Unresolved Mention"/>
    <w:basedOn w:val="DefaultParagraphFont"/>
    <w:uiPriority w:val="99"/>
    <w:unhideWhenUsed/>
    <w:rsid w:val="00637911"/>
    <w:rPr>
      <w:color w:val="605E5C"/>
      <w:shd w:val="clear" w:color="auto" w:fill="E1DFDD"/>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qFormat/>
    <w:rsid w:val="001758E2"/>
    <w:pPr>
      <w:spacing w:before="0" w:after="0"/>
      <w:jc w:val="both"/>
    </w:pPr>
    <w:rPr>
      <w:rFonts w:ascii="Candara" w:eastAsiaTheme="majorEastAsia" w:hAnsi="Candara" w:cstheme="majorBidi"/>
      <w:b/>
      <w:bCs/>
      <w:sz w:val="24"/>
      <w:szCs w:val="18"/>
    </w:rPr>
  </w:style>
  <w:style w:type="character" w:customStyle="1" w:styleId="TableText">
    <w:name w:val="Table Text"/>
    <w:basedOn w:val="DefaultParagraphFont"/>
    <w:uiPriority w:val="4"/>
    <w:qFormat/>
    <w:rsid w:val="00AB3796"/>
    <w:rPr>
      <w:rFonts w:asciiTheme="minorHAnsi" w:hAnsiTheme="minorHAnsi" w:cs="Times New Roman"/>
      <w:sz w:val="20"/>
    </w:rPr>
  </w:style>
  <w:style w:type="paragraph" w:customStyle="1" w:styleId="TableNotes">
    <w:name w:val="Table Notes"/>
    <w:basedOn w:val="Normal"/>
    <w:link w:val="TableNotesChar"/>
    <w:uiPriority w:val="6"/>
    <w:qFormat/>
    <w:rsid w:val="001758E2"/>
    <w:pPr>
      <w:spacing w:before="0" w:after="40"/>
      <w:jc w:val="both"/>
    </w:pPr>
    <w:rPr>
      <w:rFonts w:ascii="Arial Narrow" w:eastAsiaTheme="majorEastAsia" w:hAnsi="Arial Narrow" w:cstheme="majorBidi"/>
      <w:sz w:val="16"/>
    </w:rPr>
  </w:style>
  <w:style w:type="character" w:customStyle="1" w:styleId="TableNotesChar">
    <w:name w:val="Table Notes Char"/>
    <w:basedOn w:val="DefaultParagraphFont"/>
    <w:link w:val="TableNotes"/>
    <w:uiPriority w:val="6"/>
    <w:locked/>
    <w:rsid w:val="001758E2"/>
    <w:rPr>
      <w:rFonts w:ascii="Arial Narrow" w:eastAsiaTheme="majorEastAsia" w:hAnsi="Arial Narrow" w:cstheme="majorBidi"/>
      <w:sz w:val="16"/>
    </w:rPr>
  </w:style>
  <w:style w:type="paragraph" w:customStyle="1" w:styleId="TableHeading">
    <w:name w:val="TableHeading"/>
    <w:basedOn w:val="Normal"/>
    <w:qFormat/>
    <w:rsid w:val="001758E2"/>
    <w:pPr>
      <w:spacing w:before="0" w:after="60"/>
      <w:jc w:val="both"/>
    </w:pPr>
    <w:rPr>
      <w:rFonts w:ascii="Arial Narrow" w:hAnsi="Arial Narrow"/>
      <w:b/>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basedOn w:val="DefaultParagraphFont"/>
    <w:link w:val="Caption"/>
    <w:uiPriority w:val="35"/>
    <w:rsid w:val="001758E2"/>
    <w:rPr>
      <w:rFonts w:ascii="Candara" w:eastAsiaTheme="majorEastAsia" w:hAnsi="Candara" w:cstheme="majorBidi"/>
      <w:b/>
      <w:bCs/>
      <w:sz w:val="24"/>
      <w:szCs w:val="18"/>
    </w:rPr>
  </w:style>
  <w:style w:type="character" w:customStyle="1" w:styleId="ListParagraphChar">
    <w:name w:val="List Paragraph Char"/>
    <w:aliases w:val="Summary Bullets Char,Footer Setting Char,Bullet List Char,FooterText Char,List Paragraph1 Char,numbered Char,Paragraphe de liste1 Char,Bulletr List Paragraph Char,列出段落 Char,列出段落1 Char,List Paragraph2 Char,List Paragraph21 Char"/>
    <w:basedOn w:val="DefaultParagraphFont"/>
    <w:link w:val="ListParagraph"/>
    <w:uiPriority w:val="34"/>
    <w:qFormat/>
    <w:rsid w:val="00D358D7"/>
    <w:rPr>
      <w:sz w:val="20"/>
    </w:rPr>
  </w:style>
  <w:style w:type="character" w:customStyle="1" w:styleId="Heading5Char">
    <w:name w:val="Heading 5 Char"/>
    <w:basedOn w:val="DefaultParagraphFont"/>
    <w:link w:val="Heading5"/>
    <w:uiPriority w:val="9"/>
    <w:semiHidden/>
    <w:rsid w:val="009618B2"/>
    <w:rPr>
      <w:rFonts w:asciiTheme="majorHAnsi" w:eastAsiaTheme="majorEastAsia" w:hAnsiTheme="majorHAnsi" w:cstheme="majorBidi"/>
      <w:color w:val="365F91" w:themeColor="accent1" w:themeShade="BF"/>
      <w:sz w:val="20"/>
    </w:rPr>
  </w:style>
  <w:style w:type="character" w:styleId="Mention">
    <w:name w:val="Mention"/>
    <w:basedOn w:val="DefaultParagraphFont"/>
    <w:uiPriority w:val="99"/>
    <w:unhideWhenUsed/>
    <w:rsid w:val="00363C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30912566">
      <w:bodyDiv w:val="1"/>
      <w:marLeft w:val="0"/>
      <w:marRight w:val="0"/>
      <w:marTop w:val="0"/>
      <w:marBottom w:val="0"/>
      <w:divBdr>
        <w:top w:val="none" w:sz="0" w:space="0" w:color="auto"/>
        <w:left w:val="none" w:sz="0" w:space="0" w:color="auto"/>
        <w:bottom w:val="none" w:sz="0" w:space="0" w:color="auto"/>
        <w:right w:val="none" w:sz="0" w:space="0" w:color="auto"/>
      </w:divBdr>
    </w:div>
    <w:div w:id="362632725">
      <w:bodyDiv w:val="1"/>
      <w:marLeft w:val="0"/>
      <w:marRight w:val="0"/>
      <w:marTop w:val="0"/>
      <w:marBottom w:val="0"/>
      <w:divBdr>
        <w:top w:val="none" w:sz="0" w:space="0" w:color="auto"/>
        <w:left w:val="none" w:sz="0" w:space="0" w:color="auto"/>
        <w:bottom w:val="none" w:sz="0" w:space="0" w:color="auto"/>
        <w:right w:val="none" w:sz="0" w:space="0" w:color="auto"/>
      </w:divBdr>
    </w:div>
    <w:div w:id="1005204266">
      <w:bodyDiv w:val="1"/>
      <w:marLeft w:val="0"/>
      <w:marRight w:val="0"/>
      <w:marTop w:val="0"/>
      <w:marBottom w:val="0"/>
      <w:divBdr>
        <w:top w:val="none" w:sz="0" w:space="0" w:color="auto"/>
        <w:left w:val="none" w:sz="0" w:space="0" w:color="auto"/>
        <w:bottom w:val="none" w:sz="0" w:space="0" w:color="auto"/>
        <w:right w:val="none" w:sz="0" w:space="0" w:color="auto"/>
      </w:divBdr>
    </w:div>
    <w:div w:id="1145468950">
      <w:bodyDiv w:val="1"/>
      <w:marLeft w:val="0"/>
      <w:marRight w:val="0"/>
      <w:marTop w:val="0"/>
      <w:marBottom w:val="0"/>
      <w:divBdr>
        <w:top w:val="none" w:sz="0" w:space="0" w:color="auto"/>
        <w:left w:val="none" w:sz="0" w:space="0" w:color="auto"/>
        <w:bottom w:val="none" w:sz="0" w:space="0" w:color="auto"/>
        <w:right w:val="none" w:sz="0" w:space="0" w:color="auto"/>
      </w:divBdr>
    </w:div>
    <w:div w:id="1387486915">
      <w:bodyDiv w:val="1"/>
      <w:marLeft w:val="0"/>
      <w:marRight w:val="0"/>
      <w:marTop w:val="0"/>
      <w:marBottom w:val="0"/>
      <w:divBdr>
        <w:top w:val="none" w:sz="0" w:space="0" w:color="auto"/>
        <w:left w:val="none" w:sz="0" w:space="0" w:color="auto"/>
        <w:bottom w:val="none" w:sz="0" w:space="0" w:color="auto"/>
        <w:right w:val="none" w:sz="0" w:space="0" w:color="auto"/>
      </w:divBdr>
    </w:div>
    <w:div w:id="1404834018">
      <w:bodyDiv w:val="1"/>
      <w:marLeft w:val="0"/>
      <w:marRight w:val="0"/>
      <w:marTop w:val="0"/>
      <w:marBottom w:val="0"/>
      <w:divBdr>
        <w:top w:val="none" w:sz="0" w:space="0" w:color="auto"/>
        <w:left w:val="none" w:sz="0" w:space="0" w:color="auto"/>
        <w:bottom w:val="none" w:sz="0" w:space="0" w:color="auto"/>
        <w:right w:val="none" w:sz="0" w:space="0" w:color="auto"/>
      </w:divBdr>
    </w:div>
    <w:div w:id="1703482344">
      <w:bodyDiv w:val="1"/>
      <w:marLeft w:val="0"/>
      <w:marRight w:val="0"/>
      <w:marTop w:val="0"/>
      <w:marBottom w:val="0"/>
      <w:divBdr>
        <w:top w:val="none" w:sz="0" w:space="0" w:color="auto"/>
        <w:left w:val="none" w:sz="0" w:space="0" w:color="auto"/>
        <w:bottom w:val="none" w:sz="0" w:space="0" w:color="auto"/>
        <w:right w:val="none" w:sz="0" w:space="0" w:color="auto"/>
      </w:divBdr>
    </w:div>
    <w:div w:id="1801609533">
      <w:bodyDiv w:val="1"/>
      <w:marLeft w:val="0"/>
      <w:marRight w:val="0"/>
      <w:marTop w:val="0"/>
      <w:marBottom w:val="0"/>
      <w:divBdr>
        <w:top w:val="none" w:sz="0" w:space="0" w:color="auto"/>
        <w:left w:val="none" w:sz="0" w:space="0" w:color="auto"/>
        <w:bottom w:val="none" w:sz="0" w:space="0" w:color="auto"/>
        <w:right w:val="none" w:sz="0" w:space="0" w:color="auto"/>
      </w:divBdr>
    </w:div>
    <w:div w:id="207049505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hyperlink" Target="https://ijgc.bmj.com/content/31/Suppl_3/A375.1.info" TargetMode="Externa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doi.org/10.1158/1078-0432.ccr-15-2477" TargetMode="External"/><Relationship Id="rId17" Type="http://schemas.openxmlformats.org/officeDocument/2006/relationships/diagramLayout" Target="diagrams/layout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jm.org/doi/full/10.1056/NEJMoa1910962"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ascopubs.org/doi/abs/10.1200/JCO.2022.40.16_suppl.e17571" TargetMode="External"/><Relationship Id="rId22" Type="http://schemas.openxmlformats.org/officeDocument/2006/relationships/image" Target="media/image3.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5CFBCF-3639-42B9-A0C6-7D1E27F93984}"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AU"/>
        </a:p>
      </dgm:t>
    </dgm:pt>
    <dgm:pt modelId="{364E1291-AFB1-42D6-ADB6-D559CA39CF5F}">
      <dgm:prSet phldrT="[Text]"/>
      <dgm:spPr/>
      <dgm:t>
        <a:bodyPr/>
        <a:lstStyle/>
        <a:p>
          <a:r>
            <a:rPr lang="en-AU"/>
            <a:t>Step 1: </a:t>
          </a:r>
        </a:p>
        <a:p>
          <a:r>
            <a:rPr lang="en-AU"/>
            <a:t>Clinical presentation of suspected ovarian cancer: patient referred to a medical/gynae-oncologist</a:t>
          </a:r>
        </a:p>
      </dgm:t>
    </dgm:pt>
    <dgm:pt modelId="{CABD7301-71FE-4037-A206-5844277E5136}" type="parTrans" cxnId="{EE84D486-D121-40E0-AB76-C82AF16AB243}">
      <dgm:prSet/>
      <dgm:spPr/>
      <dgm:t>
        <a:bodyPr/>
        <a:lstStyle/>
        <a:p>
          <a:endParaRPr lang="en-AU"/>
        </a:p>
      </dgm:t>
    </dgm:pt>
    <dgm:pt modelId="{FCB1B328-C645-4BEE-A0EF-FFE6A48DD08C}" type="sibTrans" cxnId="{EE84D486-D121-40E0-AB76-C82AF16AB243}">
      <dgm:prSet/>
      <dgm:spPr/>
      <dgm:t>
        <a:bodyPr/>
        <a:lstStyle/>
        <a:p>
          <a:endParaRPr lang="en-AU"/>
        </a:p>
      </dgm:t>
    </dgm:pt>
    <dgm:pt modelId="{8EE38227-649C-47FD-BBF2-C19F0E884C82}">
      <dgm:prSet phldrT="[Text]"/>
      <dgm:spPr/>
      <dgm:t>
        <a:bodyPr/>
        <a:lstStyle/>
        <a:p>
          <a:r>
            <a:rPr lang="en-AU"/>
            <a:t>Step 2:</a:t>
          </a:r>
        </a:p>
        <a:p>
          <a:r>
            <a:rPr lang="en-AU"/>
            <a:t>Clinical workup by medical/gynae-oncologist: investigative tests to confirm ovarian cancer diagnosis</a:t>
          </a:r>
        </a:p>
      </dgm:t>
    </dgm:pt>
    <dgm:pt modelId="{9BA51317-1E1E-4B4D-801F-1169841B3711}" type="parTrans" cxnId="{3CD3144D-A9D3-4320-8EA2-D098DC70CF71}">
      <dgm:prSet/>
      <dgm:spPr/>
      <dgm:t>
        <a:bodyPr/>
        <a:lstStyle/>
        <a:p>
          <a:endParaRPr lang="en-AU"/>
        </a:p>
      </dgm:t>
    </dgm:pt>
    <dgm:pt modelId="{8326BF45-E02E-42A6-A211-0403AD13B392}" type="sibTrans" cxnId="{3CD3144D-A9D3-4320-8EA2-D098DC70CF71}">
      <dgm:prSet/>
      <dgm:spPr/>
      <dgm:t>
        <a:bodyPr/>
        <a:lstStyle/>
        <a:p>
          <a:endParaRPr lang="en-AU"/>
        </a:p>
      </dgm:t>
    </dgm:pt>
    <dgm:pt modelId="{6AFEF9D3-67AB-4805-82A6-1189BF50F11B}">
      <dgm:prSet phldrT="[Text]"/>
      <dgm:spPr/>
      <dgm:t>
        <a:bodyPr/>
        <a:lstStyle/>
        <a:p>
          <a:r>
            <a:rPr lang="en-AU"/>
            <a:t>Step 3:</a:t>
          </a:r>
        </a:p>
        <a:p>
          <a:r>
            <a:rPr lang="en-AU"/>
            <a:t>Pathology confirms high grade serous epithelial histology</a:t>
          </a:r>
        </a:p>
      </dgm:t>
    </dgm:pt>
    <dgm:pt modelId="{20736434-D7A2-41D1-A5CA-7D78BB837639}" type="parTrans" cxnId="{81E056DA-3FB6-4F5D-B55B-48CC8B941D91}">
      <dgm:prSet/>
      <dgm:spPr/>
      <dgm:t>
        <a:bodyPr/>
        <a:lstStyle/>
        <a:p>
          <a:endParaRPr lang="en-AU"/>
        </a:p>
      </dgm:t>
    </dgm:pt>
    <dgm:pt modelId="{0C18B2DD-48B1-4827-8296-C835F21EB314}" type="sibTrans" cxnId="{81E056DA-3FB6-4F5D-B55B-48CC8B941D91}">
      <dgm:prSet/>
      <dgm:spPr/>
      <dgm:t>
        <a:bodyPr/>
        <a:lstStyle/>
        <a:p>
          <a:endParaRPr lang="en-AU"/>
        </a:p>
      </dgm:t>
    </dgm:pt>
    <dgm:pt modelId="{BDE75470-43A8-40FC-AAB4-70BCAB048E42}">
      <dgm:prSet phldrT="[Text]"/>
      <dgm:spPr/>
      <dgm:t>
        <a:bodyPr/>
        <a:lstStyle/>
        <a:p>
          <a:r>
            <a:rPr lang="en-AU"/>
            <a:t>Step 4:</a:t>
          </a:r>
        </a:p>
        <a:p>
          <a:r>
            <a:rPr lang="en-AU"/>
            <a:t>Tissue sample from biopsy or cytoreductive surgery for BRCA testing</a:t>
          </a:r>
        </a:p>
      </dgm:t>
    </dgm:pt>
    <dgm:pt modelId="{B45B8306-247D-42A1-B71A-CACD908CF590}" type="parTrans" cxnId="{EA1932FF-EEBA-4A7E-8A16-FA0A533C5A12}">
      <dgm:prSet/>
      <dgm:spPr/>
      <dgm:t>
        <a:bodyPr/>
        <a:lstStyle/>
        <a:p>
          <a:endParaRPr lang="en-AU"/>
        </a:p>
      </dgm:t>
    </dgm:pt>
    <dgm:pt modelId="{FE46A265-01D2-4328-9FA2-4091CA1EAE17}" type="sibTrans" cxnId="{EA1932FF-EEBA-4A7E-8A16-FA0A533C5A12}">
      <dgm:prSet/>
      <dgm:spPr/>
      <dgm:t>
        <a:bodyPr/>
        <a:lstStyle/>
        <a:p>
          <a:endParaRPr lang="en-AU"/>
        </a:p>
      </dgm:t>
    </dgm:pt>
    <dgm:pt modelId="{F88D8D3E-1EA1-4915-83D3-262E5A07B438}">
      <dgm:prSet phldrT="[Text]"/>
      <dgm:spPr/>
      <dgm:t>
        <a:bodyPr/>
        <a:lstStyle/>
        <a:p>
          <a:r>
            <a:rPr lang="en-AU"/>
            <a:t>Step 5:</a:t>
          </a:r>
        </a:p>
        <a:p>
          <a:r>
            <a:rPr lang="en-AU"/>
            <a:t>BRCA test results reported to medical/gynae-oncologist</a:t>
          </a:r>
        </a:p>
      </dgm:t>
    </dgm:pt>
    <dgm:pt modelId="{789AAF43-F1B9-48A4-9EA6-05653D99FA82}" type="parTrans" cxnId="{8F069AB0-D5CB-4A3A-8979-7F667B5E8F05}">
      <dgm:prSet/>
      <dgm:spPr/>
      <dgm:t>
        <a:bodyPr/>
        <a:lstStyle/>
        <a:p>
          <a:endParaRPr lang="en-AU"/>
        </a:p>
      </dgm:t>
    </dgm:pt>
    <dgm:pt modelId="{881C5217-320D-4CFD-A211-888D481A4896}" type="sibTrans" cxnId="{8F069AB0-D5CB-4A3A-8979-7F667B5E8F05}">
      <dgm:prSet/>
      <dgm:spPr/>
      <dgm:t>
        <a:bodyPr/>
        <a:lstStyle/>
        <a:p>
          <a:endParaRPr lang="en-AU"/>
        </a:p>
      </dgm:t>
    </dgm:pt>
    <dgm:pt modelId="{F60D32D7-BB69-44BA-A2BA-3EA06B5FCF6A}" type="pres">
      <dgm:prSet presAssocID="{475CFBCF-3639-42B9-A0C6-7D1E27F93984}" presName="Name0" presStyleCnt="0">
        <dgm:presLayoutVars>
          <dgm:dir/>
          <dgm:resizeHandles val="exact"/>
        </dgm:presLayoutVars>
      </dgm:prSet>
      <dgm:spPr/>
    </dgm:pt>
    <dgm:pt modelId="{A597FF66-8CE9-4793-91F7-6F23FE33D0C7}" type="pres">
      <dgm:prSet presAssocID="{364E1291-AFB1-42D6-ADB6-D559CA39CF5F}" presName="node" presStyleLbl="node1" presStyleIdx="0" presStyleCnt="5">
        <dgm:presLayoutVars>
          <dgm:bulletEnabled val="1"/>
        </dgm:presLayoutVars>
      </dgm:prSet>
      <dgm:spPr/>
    </dgm:pt>
    <dgm:pt modelId="{90DAF05D-2067-4B35-8B7B-720CA41FB309}" type="pres">
      <dgm:prSet presAssocID="{FCB1B328-C645-4BEE-A0EF-FFE6A48DD08C}" presName="sibTrans" presStyleLbl="sibTrans1D1" presStyleIdx="0" presStyleCnt="4"/>
      <dgm:spPr/>
    </dgm:pt>
    <dgm:pt modelId="{ABA71BFB-8B54-491B-AF6E-3F28C085AED4}" type="pres">
      <dgm:prSet presAssocID="{FCB1B328-C645-4BEE-A0EF-FFE6A48DD08C}" presName="connectorText" presStyleLbl="sibTrans1D1" presStyleIdx="0" presStyleCnt="4"/>
      <dgm:spPr/>
    </dgm:pt>
    <dgm:pt modelId="{B8051C88-A5AE-443D-8799-1E46052EFA57}" type="pres">
      <dgm:prSet presAssocID="{8EE38227-649C-47FD-BBF2-C19F0E884C82}" presName="node" presStyleLbl="node1" presStyleIdx="1" presStyleCnt="5">
        <dgm:presLayoutVars>
          <dgm:bulletEnabled val="1"/>
        </dgm:presLayoutVars>
      </dgm:prSet>
      <dgm:spPr/>
    </dgm:pt>
    <dgm:pt modelId="{33F920BB-7DCF-47DC-91C9-44297E6E9816}" type="pres">
      <dgm:prSet presAssocID="{8326BF45-E02E-42A6-A211-0403AD13B392}" presName="sibTrans" presStyleLbl="sibTrans1D1" presStyleIdx="1" presStyleCnt="4"/>
      <dgm:spPr/>
    </dgm:pt>
    <dgm:pt modelId="{9AE87223-D1D3-46A2-828C-7980E3245A5A}" type="pres">
      <dgm:prSet presAssocID="{8326BF45-E02E-42A6-A211-0403AD13B392}" presName="connectorText" presStyleLbl="sibTrans1D1" presStyleIdx="1" presStyleCnt="4"/>
      <dgm:spPr/>
    </dgm:pt>
    <dgm:pt modelId="{995F34B0-0A6C-4D8C-B272-3DC571924F6B}" type="pres">
      <dgm:prSet presAssocID="{6AFEF9D3-67AB-4805-82A6-1189BF50F11B}" presName="node" presStyleLbl="node1" presStyleIdx="2" presStyleCnt="5">
        <dgm:presLayoutVars>
          <dgm:bulletEnabled val="1"/>
        </dgm:presLayoutVars>
      </dgm:prSet>
      <dgm:spPr/>
    </dgm:pt>
    <dgm:pt modelId="{BBF0C98D-F5F9-4A22-AB3E-99A060DBA7E2}" type="pres">
      <dgm:prSet presAssocID="{0C18B2DD-48B1-4827-8296-C835F21EB314}" presName="sibTrans" presStyleLbl="sibTrans1D1" presStyleIdx="2" presStyleCnt="4"/>
      <dgm:spPr/>
    </dgm:pt>
    <dgm:pt modelId="{19090891-027A-4224-B708-22242A345FF6}" type="pres">
      <dgm:prSet presAssocID="{0C18B2DD-48B1-4827-8296-C835F21EB314}" presName="connectorText" presStyleLbl="sibTrans1D1" presStyleIdx="2" presStyleCnt="4"/>
      <dgm:spPr/>
    </dgm:pt>
    <dgm:pt modelId="{7197B68B-D8EE-4A22-AACF-5B5486594B29}" type="pres">
      <dgm:prSet presAssocID="{BDE75470-43A8-40FC-AAB4-70BCAB048E42}" presName="node" presStyleLbl="node1" presStyleIdx="3" presStyleCnt="5">
        <dgm:presLayoutVars>
          <dgm:bulletEnabled val="1"/>
        </dgm:presLayoutVars>
      </dgm:prSet>
      <dgm:spPr/>
    </dgm:pt>
    <dgm:pt modelId="{2D0BC6BE-8DF9-4C1D-8B6C-0EA59ECCECEB}" type="pres">
      <dgm:prSet presAssocID="{FE46A265-01D2-4328-9FA2-4091CA1EAE17}" presName="sibTrans" presStyleLbl="sibTrans1D1" presStyleIdx="3" presStyleCnt="4"/>
      <dgm:spPr/>
    </dgm:pt>
    <dgm:pt modelId="{6193B139-4EC4-443A-9611-9B30810C826B}" type="pres">
      <dgm:prSet presAssocID="{FE46A265-01D2-4328-9FA2-4091CA1EAE17}" presName="connectorText" presStyleLbl="sibTrans1D1" presStyleIdx="3" presStyleCnt="4"/>
      <dgm:spPr/>
    </dgm:pt>
    <dgm:pt modelId="{E87DDADB-6F2B-4FAA-AF73-BA130B56AC81}" type="pres">
      <dgm:prSet presAssocID="{F88D8D3E-1EA1-4915-83D3-262E5A07B438}" presName="node" presStyleLbl="node1" presStyleIdx="4" presStyleCnt="5">
        <dgm:presLayoutVars>
          <dgm:bulletEnabled val="1"/>
        </dgm:presLayoutVars>
      </dgm:prSet>
      <dgm:spPr/>
    </dgm:pt>
  </dgm:ptLst>
  <dgm:cxnLst>
    <dgm:cxn modelId="{2D4BF134-2F2D-4566-9D53-414DA718F219}" type="presOf" srcId="{475CFBCF-3639-42B9-A0C6-7D1E27F93984}" destId="{F60D32D7-BB69-44BA-A2BA-3EA06B5FCF6A}" srcOrd="0" destOrd="0" presId="urn:microsoft.com/office/officeart/2005/8/layout/bProcess3"/>
    <dgm:cxn modelId="{8604B336-9CB7-4AFF-B2CA-3D5F8CA2569A}" type="presOf" srcId="{FCB1B328-C645-4BEE-A0EF-FFE6A48DD08C}" destId="{ABA71BFB-8B54-491B-AF6E-3F28C085AED4}" srcOrd="1" destOrd="0" presId="urn:microsoft.com/office/officeart/2005/8/layout/bProcess3"/>
    <dgm:cxn modelId="{BA8D083E-C365-4A2E-8424-51C37759FCAA}" type="presOf" srcId="{6AFEF9D3-67AB-4805-82A6-1189BF50F11B}" destId="{995F34B0-0A6C-4D8C-B272-3DC571924F6B}" srcOrd="0" destOrd="0" presId="urn:microsoft.com/office/officeart/2005/8/layout/bProcess3"/>
    <dgm:cxn modelId="{D722E75E-C4C5-4CC1-A67E-D68E5DE0615C}" type="presOf" srcId="{8326BF45-E02E-42A6-A211-0403AD13B392}" destId="{33F920BB-7DCF-47DC-91C9-44297E6E9816}" srcOrd="0" destOrd="0" presId="urn:microsoft.com/office/officeart/2005/8/layout/bProcess3"/>
    <dgm:cxn modelId="{3F56B048-4304-4379-9CA2-F92021DD25D6}" type="presOf" srcId="{FE46A265-01D2-4328-9FA2-4091CA1EAE17}" destId="{2D0BC6BE-8DF9-4C1D-8B6C-0EA59ECCECEB}" srcOrd="0" destOrd="0" presId="urn:microsoft.com/office/officeart/2005/8/layout/bProcess3"/>
    <dgm:cxn modelId="{E5E76849-1F70-4532-B97C-1533540F8340}" type="presOf" srcId="{364E1291-AFB1-42D6-ADB6-D559CA39CF5F}" destId="{A597FF66-8CE9-4793-91F7-6F23FE33D0C7}" srcOrd="0" destOrd="0" presId="urn:microsoft.com/office/officeart/2005/8/layout/bProcess3"/>
    <dgm:cxn modelId="{39638569-9A22-4912-9734-F1F98FEDBE3E}" type="presOf" srcId="{FCB1B328-C645-4BEE-A0EF-FFE6A48DD08C}" destId="{90DAF05D-2067-4B35-8B7B-720CA41FB309}" srcOrd="0" destOrd="0" presId="urn:microsoft.com/office/officeart/2005/8/layout/bProcess3"/>
    <dgm:cxn modelId="{3CD3144D-A9D3-4320-8EA2-D098DC70CF71}" srcId="{475CFBCF-3639-42B9-A0C6-7D1E27F93984}" destId="{8EE38227-649C-47FD-BBF2-C19F0E884C82}" srcOrd="1" destOrd="0" parTransId="{9BA51317-1E1E-4B4D-801F-1169841B3711}" sibTransId="{8326BF45-E02E-42A6-A211-0403AD13B392}"/>
    <dgm:cxn modelId="{420C3E6D-C306-4409-AC68-095B24BC4074}" type="presOf" srcId="{F88D8D3E-1EA1-4915-83D3-262E5A07B438}" destId="{E87DDADB-6F2B-4FAA-AF73-BA130B56AC81}" srcOrd="0" destOrd="0" presId="urn:microsoft.com/office/officeart/2005/8/layout/bProcess3"/>
    <dgm:cxn modelId="{29FF8070-DD33-4275-85FA-579FC68A6BC1}" type="presOf" srcId="{8326BF45-E02E-42A6-A211-0403AD13B392}" destId="{9AE87223-D1D3-46A2-828C-7980E3245A5A}" srcOrd="1" destOrd="0" presId="urn:microsoft.com/office/officeart/2005/8/layout/bProcess3"/>
    <dgm:cxn modelId="{EE84D486-D121-40E0-AB76-C82AF16AB243}" srcId="{475CFBCF-3639-42B9-A0C6-7D1E27F93984}" destId="{364E1291-AFB1-42D6-ADB6-D559CA39CF5F}" srcOrd="0" destOrd="0" parTransId="{CABD7301-71FE-4037-A206-5844277E5136}" sibTransId="{FCB1B328-C645-4BEE-A0EF-FFE6A48DD08C}"/>
    <dgm:cxn modelId="{DE4042AA-C654-450B-859A-781ED630759C}" type="presOf" srcId="{FE46A265-01D2-4328-9FA2-4091CA1EAE17}" destId="{6193B139-4EC4-443A-9611-9B30810C826B}" srcOrd="1" destOrd="0" presId="urn:microsoft.com/office/officeart/2005/8/layout/bProcess3"/>
    <dgm:cxn modelId="{8F069AB0-D5CB-4A3A-8979-7F667B5E8F05}" srcId="{475CFBCF-3639-42B9-A0C6-7D1E27F93984}" destId="{F88D8D3E-1EA1-4915-83D3-262E5A07B438}" srcOrd="4" destOrd="0" parTransId="{789AAF43-F1B9-48A4-9EA6-05653D99FA82}" sibTransId="{881C5217-320D-4CFD-A211-888D481A4896}"/>
    <dgm:cxn modelId="{49F5B8BD-B65E-4F09-BAA9-AB80D2895945}" type="presOf" srcId="{BDE75470-43A8-40FC-AAB4-70BCAB048E42}" destId="{7197B68B-D8EE-4A22-AACF-5B5486594B29}" srcOrd="0" destOrd="0" presId="urn:microsoft.com/office/officeart/2005/8/layout/bProcess3"/>
    <dgm:cxn modelId="{9D29DEC0-970C-43FB-841C-0F152BC7BB71}" type="presOf" srcId="{8EE38227-649C-47FD-BBF2-C19F0E884C82}" destId="{B8051C88-A5AE-443D-8799-1E46052EFA57}" srcOrd="0" destOrd="0" presId="urn:microsoft.com/office/officeart/2005/8/layout/bProcess3"/>
    <dgm:cxn modelId="{CB5DDFC2-30CB-4AF9-AA2C-8C6207B4CC83}" type="presOf" srcId="{0C18B2DD-48B1-4827-8296-C835F21EB314}" destId="{19090891-027A-4224-B708-22242A345FF6}" srcOrd="1" destOrd="0" presId="urn:microsoft.com/office/officeart/2005/8/layout/bProcess3"/>
    <dgm:cxn modelId="{EB683AC3-FFBD-4683-A65A-AF8A2527F31A}" type="presOf" srcId="{0C18B2DD-48B1-4827-8296-C835F21EB314}" destId="{BBF0C98D-F5F9-4A22-AB3E-99A060DBA7E2}" srcOrd="0" destOrd="0" presId="urn:microsoft.com/office/officeart/2005/8/layout/bProcess3"/>
    <dgm:cxn modelId="{81E056DA-3FB6-4F5D-B55B-48CC8B941D91}" srcId="{475CFBCF-3639-42B9-A0C6-7D1E27F93984}" destId="{6AFEF9D3-67AB-4805-82A6-1189BF50F11B}" srcOrd="2" destOrd="0" parTransId="{20736434-D7A2-41D1-A5CA-7D78BB837639}" sibTransId="{0C18B2DD-48B1-4827-8296-C835F21EB314}"/>
    <dgm:cxn modelId="{EA1932FF-EEBA-4A7E-8A16-FA0A533C5A12}" srcId="{475CFBCF-3639-42B9-A0C6-7D1E27F93984}" destId="{BDE75470-43A8-40FC-AAB4-70BCAB048E42}" srcOrd="3" destOrd="0" parTransId="{B45B8306-247D-42A1-B71A-CACD908CF590}" sibTransId="{FE46A265-01D2-4328-9FA2-4091CA1EAE17}"/>
    <dgm:cxn modelId="{5BC32DA2-164E-4A3A-9BB7-FCFCEE59F919}" type="presParOf" srcId="{F60D32D7-BB69-44BA-A2BA-3EA06B5FCF6A}" destId="{A597FF66-8CE9-4793-91F7-6F23FE33D0C7}" srcOrd="0" destOrd="0" presId="urn:microsoft.com/office/officeart/2005/8/layout/bProcess3"/>
    <dgm:cxn modelId="{4583EB1A-BF89-4851-A5C1-D37FAC544A70}" type="presParOf" srcId="{F60D32D7-BB69-44BA-A2BA-3EA06B5FCF6A}" destId="{90DAF05D-2067-4B35-8B7B-720CA41FB309}" srcOrd="1" destOrd="0" presId="urn:microsoft.com/office/officeart/2005/8/layout/bProcess3"/>
    <dgm:cxn modelId="{F4BB7E10-65B3-4A19-8B3A-5A6BC2B0E032}" type="presParOf" srcId="{90DAF05D-2067-4B35-8B7B-720CA41FB309}" destId="{ABA71BFB-8B54-491B-AF6E-3F28C085AED4}" srcOrd="0" destOrd="0" presId="urn:microsoft.com/office/officeart/2005/8/layout/bProcess3"/>
    <dgm:cxn modelId="{AAB480AD-ADDD-4184-8490-744F7460A55F}" type="presParOf" srcId="{F60D32D7-BB69-44BA-A2BA-3EA06B5FCF6A}" destId="{B8051C88-A5AE-443D-8799-1E46052EFA57}" srcOrd="2" destOrd="0" presId="urn:microsoft.com/office/officeart/2005/8/layout/bProcess3"/>
    <dgm:cxn modelId="{EAF9C4FA-7C72-4DB0-B3F6-5D4683CE5168}" type="presParOf" srcId="{F60D32D7-BB69-44BA-A2BA-3EA06B5FCF6A}" destId="{33F920BB-7DCF-47DC-91C9-44297E6E9816}" srcOrd="3" destOrd="0" presId="urn:microsoft.com/office/officeart/2005/8/layout/bProcess3"/>
    <dgm:cxn modelId="{6742DE0F-6444-44DD-8D10-5DA2BC40BC72}" type="presParOf" srcId="{33F920BB-7DCF-47DC-91C9-44297E6E9816}" destId="{9AE87223-D1D3-46A2-828C-7980E3245A5A}" srcOrd="0" destOrd="0" presId="urn:microsoft.com/office/officeart/2005/8/layout/bProcess3"/>
    <dgm:cxn modelId="{A6E388DF-92F1-4A96-A892-1DC44E9B33D6}" type="presParOf" srcId="{F60D32D7-BB69-44BA-A2BA-3EA06B5FCF6A}" destId="{995F34B0-0A6C-4D8C-B272-3DC571924F6B}" srcOrd="4" destOrd="0" presId="urn:microsoft.com/office/officeart/2005/8/layout/bProcess3"/>
    <dgm:cxn modelId="{5FB6789C-0E49-4635-8EEA-DB625919D485}" type="presParOf" srcId="{F60D32D7-BB69-44BA-A2BA-3EA06B5FCF6A}" destId="{BBF0C98D-F5F9-4A22-AB3E-99A060DBA7E2}" srcOrd="5" destOrd="0" presId="urn:microsoft.com/office/officeart/2005/8/layout/bProcess3"/>
    <dgm:cxn modelId="{979AF756-4584-4AE6-B655-0DC786B34DF0}" type="presParOf" srcId="{BBF0C98D-F5F9-4A22-AB3E-99A060DBA7E2}" destId="{19090891-027A-4224-B708-22242A345FF6}" srcOrd="0" destOrd="0" presId="urn:microsoft.com/office/officeart/2005/8/layout/bProcess3"/>
    <dgm:cxn modelId="{06D6B6CD-9ED3-4D7D-A21C-3D3CB5A02D70}" type="presParOf" srcId="{F60D32D7-BB69-44BA-A2BA-3EA06B5FCF6A}" destId="{7197B68B-D8EE-4A22-AACF-5B5486594B29}" srcOrd="6" destOrd="0" presId="urn:microsoft.com/office/officeart/2005/8/layout/bProcess3"/>
    <dgm:cxn modelId="{D09472B8-4D46-4BE0-8203-A107C6ED82FD}" type="presParOf" srcId="{F60D32D7-BB69-44BA-A2BA-3EA06B5FCF6A}" destId="{2D0BC6BE-8DF9-4C1D-8B6C-0EA59ECCECEB}" srcOrd="7" destOrd="0" presId="urn:microsoft.com/office/officeart/2005/8/layout/bProcess3"/>
    <dgm:cxn modelId="{0EC56261-F2CC-4C49-876D-3F4A4D5FF601}" type="presParOf" srcId="{2D0BC6BE-8DF9-4C1D-8B6C-0EA59ECCECEB}" destId="{6193B139-4EC4-443A-9611-9B30810C826B}" srcOrd="0" destOrd="0" presId="urn:microsoft.com/office/officeart/2005/8/layout/bProcess3"/>
    <dgm:cxn modelId="{C08651FB-6354-433A-90B3-081C664D5DE7}" type="presParOf" srcId="{F60D32D7-BB69-44BA-A2BA-3EA06B5FCF6A}" destId="{E87DDADB-6F2B-4FAA-AF73-BA130B56AC81}" srcOrd="8"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AF05D-2067-4B35-8B7B-720CA41FB309}">
      <dsp:nvSpPr>
        <dsp:cNvPr id="0" name=""/>
        <dsp:cNvSpPr/>
      </dsp:nvSpPr>
      <dsp:spPr>
        <a:xfrm>
          <a:off x="1621467" y="482558"/>
          <a:ext cx="341762" cy="91440"/>
        </a:xfrm>
        <a:custGeom>
          <a:avLst/>
          <a:gdLst/>
          <a:ahLst/>
          <a:cxnLst/>
          <a:rect l="0" t="0" r="0" b="0"/>
          <a:pathLst>
            <a:path>
              <a:moveTo>
                <a:pt x="0" y="45720"/>
              </a:moveTo>
              <a:lnTo>
                <a:pt x="34176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783039" y="526417"/>
        <a:ext cx="18618" cy="3723"/>
      </dsp:txXfrm>
    </dsp:sp>
    <dsp:sp modelId="{A597FF66-8CE9-4793-91F7-6F23FE33D0C7}">
      <dsp:nvSpPr>
        <dsp:cNvPr id="0" name=""/>
        <dsp:cNvSpPr/>
      </dsp:nvSpPr>
      <dsp:spPr>
        <a:xfrm>
          <a:off x="4300" y="42589"/>
          <a:ext cx="1618966" cy="971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kern="1200"/>
            <a:t>Step 1: </a:t>
          </a:r>
        </a:p>
        <a:p>
          <a:pPr marL="0" lvl="0" indent="0" algn="ctr" defTabSz="400050">
            <a:lnSpc>
              <a:spcPct val="90000"/>
            </a:lnSpc>
            <a:spcBef>
              <a:spcPct val="0"/>
            </a:spcBef>
            <a:spcAft>
              <a:spcPct val="35000"/>
            </a:spcAft>
            <a:buNone/>
          </a:pPr>
          <a:r>
            <a:rPr lang="en-AU" sz="900" kern="1200"/>
            <a:t>Clinical presentation of suspected ovarian cancer: patient referred to a medical/gynae-oncologist</a:t>
          </a:r>
        </a:p>
      </dsp:txBody>
      <dsp:txXfrm>
        <a:off x="4300" y="42589"/>
        <a:ext cx="1618966" cy="971379"/>
      </dsp:txXfrm>
    </dsp:sp>
    <dsp:sp modelId="{33F920BB-7DCF-47DC-91C9-44297E6E9816}">
      <dsp:nvSpPr>
        <dsp:cNvPr id="0" name=""/>
        <dsp:cNvSpPr/>
      </dsp:nvSpPr>
      <dsp:spPr>
        <a:xfrm>
          <a:off x="3612795" y="482558"/>
          <a:ext cx="341762" cy="91440"/>
        </a:xfrm>
        <a:custGeom>
          <a:avLst/>
          <a:gdLst/>
          <a:ahLst/>
          <a:cxnLst/>
          <a:rect l="0" t="0" r="0" b="0"/>
          <a:pathLst>
            <a:path>
              <a:moveTo>
                <a:pt x="0" y="45720"/>
              </a:moveTo>
              <a:lnTo>
                <a:pt x="34176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3774367" y="526417"/>
        <a:ext cx="18618" cy="3723"/>
      </dsp:txXfrm>
    </dsp:sp>
    <dsp:sp modelId="{B8051C88-A5AE-443D-8799-1E46052EFA57}">
      <dsp:nvSpPr>
        <dsp:cNvPr id="0" name=""/>
        <dsp:cNvSpPr/>
      </dsp:nvSpPr>
      <dsp:spPr>
        <a:xfrm>
          <a:off x="1995629" y="42589"/>
          <a:ext cx="1618966" cy="971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kern="1200"/>
            <a:t>Step 2:</a:t>
          </a:r>
        </a:p>
        <a:p>
          <a:pPr marL="0" lvl="0" indent="0" algn="ctr" defTabSz="400050">
            <a:lnSpc>
              <a:spcPct val="90000"/>
            </a:lnSpc>
            <a:spcBef>
              <a:spcPct val="0"/>
            </a:spcBef>
            <a:spcAft>
              <a:spcPct val="35000"/>
            </a:spcAft>
            <a:buNone/>
          </a:pPr>
          <a:r>
            <a:rPr lang="en-AU" sz="900" kern="1200"/>
            <a:t>Clinical workup by medical/gynae-oncologist: investigative tests to confirm ovarian cancer diagnosis</a:t>
          </a:r>
        </a:p>
      </dsp:txBody>
      <dsp:txXfrm>
        <a:off x="1995629" y="42589"/>
        <a:ext cx="1618966" cy="971379"/>
      </dsp:txXfrm>
    </dsp:sp>
    <dsp:sp modelId="{BBF0C98D-F5F9-4A22-AB3E-99A060DBA7E2}">
      <dsp:nvSpPr>
        <dsp:cNvPr id="0" name=""/>
        <dsp:cNvSpPr/>
      </dsp:nvSpPr>
      <dsp:spPr>
        <a:xfrm>
          <a:off x="813783" y="1012168"/>
          <a:ext cx="3982657" cy="341762"/>
        </a:xfrm>
        <a:custGeom>
          <a:avLst/>
          <a:gdLst/>
          <a:ahLst/>
          <a:cxnLst/>
          <a:rect l="0" t="0" r="0" b="0"/>
          <a:pathLst>
            <a:path>
              <a:moveTo>
                <a:pt x="3982657" y="0"/>
              </a:moveTo>
              <a:lnTo>
                <a:pt x="3982657" y="187981"/>
              </a:lnTo>
              <a:lnTo>
                <a:pt x="0" y="187981"/>
              </a:lnTo>
              <a:lnTo>
                <a:pt x="0" y="34176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705111" y="1181188"/>
        <a:ext cx="200001" cy="3723"/>
      </dsp:txXfrm>
    </dsp:sp>
    <dsp:sp modelId="{995F34B0-0A6C-4D8C-B272-3DC571924F6B}">
      <dsp:nvSpPr>
        <dsp:cNvPr id="0" name=""/>
        <dsp:cNvSpPr/>
      </dsp:nvSpPr>
      <dsp:spPr>
        <a:xfrm>
          <a:off x="3986957" y="42589"/>
          <a:ext cx="1618966" cy="971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kern="1200"/>
            <a:t>Step 3:</a:t>
          </a:r>
        </a:p>
        <a:p>
          <a:pPr marL="0" lvl="0" indent="0" algn="ctr" defTabSz="400050">
            <a:lnSpc>
              <a:spcPct val="90000"/>
            </a:lnSpc>
            <a:spcBef>
              <a:spcPct val="0"/>
            </a:spcBef>
            <a:spcAft>
              <a:spcPct val="35000"/>
            </a:spcAft>
            <a:buNone/>
          </a:pPr>
          <a:r>
            <a:rPr lang="en-AU" sz="900" kern="1200"/>
            <a:t>Pathology confirms high grade serous epithelial histology</a:t>
          </a:r>
        </a:p>
      </dsp:txBody>
      <dsp:txXfrm>
        <a:off x="3986957" y="42589"/>
        <a:ext cx="1618966" cy="971379"/>
      </dsp:txXfrm>
    </dsp:sp>
    <dsp:sp modelId="{2D0BC6BE-8DF9-4C1D-8B6C-0EA59ECCECEB}">
      <dsp:nvSpPr>
        <dsp:cNvPr id="0" name=""/>
        <dsp:cNvSpPr/>
      </dsp:nvSpPr>
      <dsp:spPr>
        <a:xfrm>
          <a:off x="1621467" y="1826301"/>
          <a:ext cx="341762" cy="91440"/>
        </a:xfrm>
        <a:custGeom>
          <a:avLst/>
          <a:gdLst/>
          <a:ahLst/>
          <a:cxnLst/>
          <a:rect l="0" t="0" r="0" b="0"/>
          <a:pathLst>
            <a:path>
              <a:moveTo>
                <a:pt x="0" y="45720"/>
              </a:moveTo>
              <a:lnTo>
                <a:pt x="34176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783039" y="1870159"/>
        <a:ext cx="18618" cy="3723"/>
      </dsp:txXfrm>
    </dsp:sp>
    <dsp:sp modelId="{7197B68B-D8EE-4A22-AACF-5B5486594B29}">
      <dsp:nvSpPr>
        <dsp:cNvPr id="0" name=""/>
        <dsp:cNvSpPr/>
      </dsp:nvSpPr>
      <dsp:spPr>
        <a:xfrm>
          <a:off x="4300" y="1386331"/>
          <a:ext cx="1618966" cy="971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kern="1200"/>
            <a:t>Step 4:</a:t>
          </a:r>
        </a:p>
        <a:p>
          <a:pPr marL="0" lvl="0" indent="0" algn="ctr" defTabSz="400050">
            <a:lnSpc>
              <a:spcPct val="90000"/>
            </a:lnSpc>
            <a:spcBef>
              <a:spcPct val="0"/>
            </a:spcBef>
            <a:spcAft>
              <a:spcPct val="35000"/>
            </a:spcAft>
            <a:buNone/>
          </a:pPr>
          <a:r>
            <a:rPr lang="en-AU" sz="900" kern="1200"/>
            <a:t>Tissue sample from biopsy or cytoreductive surgery for BRCA testing</a:t>
          </a:r>
        </a:p>
      </dsp:txBody>
      <dsp:txXfrm>
        <a:off x="4300" y="1386331"/>
        <a:ext cx="1618966" cy="971379"/>
      </dsp:txXfrm>
    </dsp:sp>
    <dsp:sp modelId="{E87DDADB-6F2B-4FAA-AF73-BA130B56AC81}">
      <dsp:nvSpPr>
        <dsp:cNvPr id="0" name=""/>
        <dsp:cNvSpPr/>
      </dsp:nvSpPr>
      <dsp:spPr>
        <a:xfrm>
          <a:off x="1995629" y="1386331"/>
          <a:ext cx="1618966" cy="971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kern="1200"/>
            <a:t>Step 5:</a:t>
          </a:r>
        </a:p>
        <a:p>
          <a:pPr marL="0" lvl="0" indent="0" algn="ctr" defTabSz="400050">
            <a:lnSpc>
              <a:spcPct val="90000"/>
            </a:lnSpc>
            <a:spcBef>
              <a:spcPct val="0"/>
            </a:spcBef>
            <a:spcAft>
              <a:spcPct val="35000"/>
            </a:spcAft>
            <a:buNone/>
          </a:pPr>
          <a:r>
            <a:rPr lang="en-AU" sz="900" kern="1200"/>
            <a:t>BRCA test results reported to medical/gynae-oncologist</a:t>
          </a:r>
        </a:p>
      </dsp:txBody>
      <dsp:txXfrm>
        <a:off x="1995629" y="1386331"/>
        <a:ext cx="1618966" cy="97137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11348</Words>
  <Characters>64687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75884</CharactersWithSpaces>
  <SharedDoc>false</SharedDoc>
  <HLinks>
    <vt:vector size="120" baseType="variant">
      <vt:variant>
        <vt:i4>2031726</vt:i4>
      </vt:variant>
      <vt:variant>
        <vt:i4>210</vt:i4>
      </vt:variant>
      <vt:variant>
        <vt:i4>0</vt:i4>
      </vt:variant>
      <vt:variant>
        <vt:i4>5</vt:i4>
      </vt:variant>
      <vt:variant>
        <vt:lpwstr>mailto:Benhur.Amanuel@health.wa.gov.au</vt:lpwstr>
      </vt:variant>
      <vt:variant>
        <vt:lpwstr/>
      </vt:variant>
      <vt:variant>
        <vt:i4>6750209</vt:i4>
      </vt:variant>
      <vt:variant>
        <vt:i4>207</vt:i4>
      </vt:variant>
      <vt:variant>
        <vt:i4>0</vt:i4>
      </vt:variant>
      <vt:variant>
        <vt:i4>5</vt:i4>
      </vt:variant>
      <vt:variant>
        <vt:lpwstr>mailto:Chee.Lee@health.nsw.gov.au</vt:lpwstr>
      </vt:variant>
      <vt:variant>
        <vt:lpwstr/>
      </vt:variant>
      <vt:variant>
        <vt:i4>5046287</vt:i4>
      </vt:variant>
      <vt:variant>
        <vt:i4>204</vt:i4>
      </vt:variant>
      <vt:variant>
        <vt:i4>0</vt:i4>
      </vt:variant>
      <vt:variant>
        <vt:i4>5</vt:i4>
      </vt:variant>
      <vt:variant>
        <vt:lpwstr>tel:(02)95539588</vt:lpwstr>
      </vt:variant>
      <vt:variant>
        <vt:lpwstr/>
      </vt:variant>
      <vt:variant>
        <vt:i4>6946905</vt:i4>
      </vt:variant>
      <vt:variant>
        <vt:i4>198</vt:i4>
      </vt:variant>
      <vt:variant>
        <vt:i4>0</vt:i4>
      </vt:variant>
      <vt:variant>
        <vt:i4>5</vt:i4>
      </vt:variant>
      <vt:variant>
        <vt:lpwstr>https://ascopubs.org/doi/abs/10.1200/JCO.2022.40.16_suppl.e17571</vt:lpwstr>
      </vt:variant>
      <vt:variant>
        <vt:lpwstr/>
      </vt:variant>
      <vt:variant>
        <vt:i4>5439596</vt:i4>
      </vt:variant>
      <vt:variant>
        <vt:i4>195</vt:i4>
      </vt:variant>
      <vt:variant>
        <vt:i4>0</vt:i4>
      </vt:variant>
      <vt:variant>
        <vt:i4>5</vt:i4>
      </vt:variant>
      <vt:variant>
        <vt:lpwstr>https://ijgc.bmj.com/content/31/Suppl_3/A375.1.info</vt:lpwstr>
      </vt:variant>
      <vt:variant>
        <vt:lpwstr/>
      </vt:variant>
      <vt:variant>
        <vt:i4>5046343</vt:i4>
      </vt:variant>
      <vt:variant>
        <vt:i4>192</vt:i4>
      </vt:variant>
      <vt:variant>
        <vt:i4>0</vt:i4>
      </vt:variant>
      <vt:variant>
        <vt:i4>5</vt:i4>
      </vt:variant>
      <vt:variant>
        <vt:lpwstr>https://doi.org/10.1158/1078-0432.ccr-15-2477</vt:lpwstr>
      </vt:variant>
      <vt:variant>
        <vt:lpwstr/>
      </vt:variant>
      <vt:variant>
        <vt:i4>2949157</vt:i4>
      </vt:variant>
      <vt:variant>
        <vt:i4>189</vt:i4>
      </vt:variant>
      <vt:variant>
        <vt:i4>0</vt:i4>
      </vt:variant>
      <vt:variant>
        <vt:i4>5</vt:i4>
      </vt:variant>
      <vt:variant>
        <vt:lpwstr>https://www.nejm.org/doi/full/10.1056/NEJMoa1910962</vt:lpwstr>
      </vt:variant>
      <vt:variant>
        <vt:lpwstr/>
      </vt:variant>
      <vt:variant>
        <vt:i4>655401</vt:i4>
      </vt:variant>
      <vt:variant>
        <vt:i4>9</vt:i4>
      </vt:variant>
      <vt:variant>
        <vt:i4>0</vt:i4>
      </vt:variant>
      <vt:variant>
        <vt:i4>5</vt:i4>
      </vt:variant>
      <vt:variant>
        <vt:lpwstr>mailto:michael.a.haberl@gsk.com</vt:lpwstr>
      </vt:variant>
      <vt:variant>
        <vt:lpwstr/>
      </vt:variant>
      <vt:variant>
        <vt:i4>1769590</vt:i4>
      </vt:variant>
      <vt:variant>
        <vt:i4>6</vt:i4>
      </vt:variant>
      <vt:variant>
        <vt:i4>0</vt:i4>
      </vt:variant>
      <vt:variant>
        <vt:i4>5</vt:i4>
      </vt:variant>
      <vt:variant>
        <vt:lpwstr>mailto:marcus.8.tan@gsk.com</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1769590</vt:i4>
      </vt:variant>
      <vt:variant>
        <vt:i4>24</vt:i4>
      </vt:variant>
      <vt:variant>
        <vt:i4>0</vt:i4>
      </vt:variant>
      <vt:variant>
        <vt:i4>5</vt:i4>
      </vt:variant>
      <vt:variant>
        <vt:lpwstr>mailto:marcus.8.tan@gsk.com</vt:lpwstr>
      </vt:variant>
      <vt:variant>
        <vt:lpwstr/>
      </vt:variant>
      <vt:variant>
        <vt:i4>1769590</vt:i4>
      </vt:variant>
      <vt:variant>
        <vt:i4>21</vt:i4>
      </vt:variant>
      <vt:variant>
        <vt:i4>0</vt:i4>
      </vt:variant>
      <vt:variant>
        <vt:i4>5</vt:i4>
      </vt:variant>
      <vt:variant>
        <vt:lpwstr>mailto:marcus.8.tan@gsk.com</vt:lpwstr>
      </vt:variant>
      <vt:variant>
        <vt:lpwstr/>
      </vt:variant>
      <vt:variant>
        <vt:i4>7798855</vt:i4>
      </vt:variant>
      <vt:variant>
        <vt:i4>18</vt:i4>
      </vt:variant>
      <vt:variant>
        <vt:i4>0</vt:i4>
      </vt:variant>
      <vt:variant>
        <vt:i4>5</vt:i4>
      </vt:variant>
      <vt:variant>
        <vt:lpwstr>mailto:melissa.x.stallard@gsk.com</vt:lpwstr>
      </vt:variant>
      <vt:variant>
        <vt:lpwstr/>
      </vt:variant>
      <vt:variant>
        <vt:i4>1114153</vt:i4>
      </vt:variant>
      <vt:variant>
        <vt:i4>15</vt:i4>
      </vt:variant>
      <vt:variant>
        <vt:i4>0</vt:i4>
      </vt:variant>
      <vt:variant>
        <vt:i4>5</vt:i4>
      </vt:variant>
      <vt:variant>
        <vt:lpwstr>mailto:ashish.x.banerjee@gsk.com</vt:lpwstr>
      </vt:variant>
      <vt:variant>
        <vt:lpwstr/>
      </vt:variant>
      <vt:variant>
        <vt:i4>1769590</vt:i4>
      </vt:variant>
      <vt:variant>
        <vt:i4>12</vt:i4>
      </vt:variant>
      <vt:variant>
        <vt:i4>0</vt:i4>
      </vt:variant>
      <vt:variant>
        <vt:i4>5</vt:i4>
      </vt:variant>
      <vt:variant>
        <vt:lpwstr>mailto:marcus.8.tan@gsk.com</vt:lpwstr>
      </vt:variant>
      <vt:variant>
        <vt:lpwstr/>
      </vt:variant>
      <vt:variant>
        <vt:i4>1769590</vt:i4>
      </vt:variant>
      <vt:variant>
        <vt:i4>9</vt:i4>
      </vt:variant>
      <vt:variant>
        <vt:i4>0</vt:i4>
      </vt:variant>
      <vt:variant>
        <vt:i4>5</vt:i4>
      </vt:variant>
      <vt:variant>
        <vt:lpwstr>mailto:marcus.8.tan@gsk.com</vt:lpwstr>
      </vt:variant>
      <vt:variant>
        <vt:lpwstr/>
      </vt:variant>
      <vt:variant>
        <vt:i4>7929933</vt:i4>
      </vt:variant>
      <vt:variant>
        <vt:i4>6</vt:i4>
      </vt:variant>
      <vt:variant>
        <vt:i4>0</vt:i4>
      </vt:variant>
      <vt:variant>
        <vt:i4>5</vt:i4>
      </vt:variant>
      <vt:variant>
        <vt:lpwstr>mailto:katrina.x.vanin@gsk.com</vt:lpwstr>
      </vt:variant>
      <vt:variant>
        <vt:lpwstr/>
      </vt:variant>
      <vt:variant>
        <vt:i4>1114153</vt:i4>
      </vt:variant>
      <vt:variant>
        <vt:i4>3</vt:i4>
      </vt:variant>
      <vt:variant>
        <vt:i4>0</vt:i4>
      </vt:variant>
      <vt:variant>
        <vt:i4>5</vt:i4>
      </vt:variant>
      <vt:variant>
        <vt:lpwstr>mailto:ashish.x.banerjee@gsk.com</vt:lpwstr>
      </vt:variant>
      <vt:variant>
        <vt:lpwstr/>
      </vt:variant>
      <vt:variant>
        <vt:i4>1769590</vt:i4>
      </vt:variant>
      <vt:variant>
        <vt:i4>0</vt:i4>
      </vt:variant>
      <vt:variant>
        <vt:i4>0</vt:i4>
      </vt:variant>
      <vt:variant>
        <vt:i4>5</vt:i4>
      </vt:variant>
      <vt:variant>
        <vt:lpwstr>mailto:marcus.8.tan@gsk.com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Department of Health</cp:lastModifiedBy>
  <cp:revision>3</cp:revision>
  <cp:lastPrinted>2022-10-14T00:56:00Z</cp:lastPrinted>
  <dcterms:created xsi:type="dcterms:W3CDTF">2022-10-14T00:54:00Z</dcterms:created>
  <dcterms:modified xsi:type="dcterms:W3CDTF">2022-10-14T00:56:00Z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