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8B29" w14:textId="39F4502F" w:rsidR="00E44B80" w:rsidRPr="00F637B3" w:rsidRDefault="00E44B80" w:rsidP="00D55776">
      <w:pPr>
        <w:jc w:val="center"/>
      </w:pPr>
    </w:p>
    <w:p w14:paraId="0EC77D36" w14:textId="7C90A2C3" w:rsidR="008B2610" w:rsidRDefault="00FF1D23" w:rsidP="00D55776">
      <w:pPr>
        <w:pStyle w:val="Title"/>
        <w:spacing w:before="1800"/>
        <w:ind w:left="357"/>
      </w:pPr>
      <w:r>
        <w:t xml:space="preserve">MSAC </w:t>
      </w:r>
      <w:r w:rsidR="008B2610" w:rsidRPr="001906CD">
        <w:t xml:space="preserve">Application </w:t>
      </w:r>
      <w:r>
        <w:t>1738</w:t>
      </w:r>
    </w:p>
    <w:p w14:paraId="0A6266BC" w14:textId="005B3352" w:rsidR="00FF1D23" w:rsidRPr="00FF1D23" w:rsidRDefault="00FF1D23" w:rsidP="00D55776">
      <w:pPr>
        <w:spacing w:before="960"/>
        <w:ind w:left="357"/>
        <w:jc w:val="center"/>
      </w:pPr>
      <w:r w:rsidRPr="00FF1D23">
        <w:rPr>
          <w:rFonts w:ascii="Arial" w:hAnsi="Arial" w:cs="Arial"/>
          <w:b/>
          <w:color w:val="548DD4" w:themeColor="text2" w:themeTint="99"/>
          <w:sz w:val="48"/>
          <w:szCs w:val="48"/>
        </w:rPr>
        <w:t xml:space="preserve">Two testing options to detect </w:t>
      </w:r>
      <w:r w:rsidR="00D55776">
        <w:rPr>
          <w:rFonts w:ascii="Arial" w:hAnsi="Arial" w:cs="Arial"/>
          <w:b/>
          <w:color w:val="548DD4" w:themeColor="text2" w:themeTint="99"/>
          <w:sz w:val="48"/>
          <w:szCs w:val="48"/>
        </w:rPr>
        <w:br/>
      </w:r>
      <w:r w:rsidRPr="00FF1D23">
        <w:rPr>
          <w:rFonts w:ascii="Arial" w:hAnsi="Arial" w:cs="Arial"/>
          <w:b/>
          <w:color w:val="548DD4" w:themeColor="text2" w:themeTint="99"/>
          <w:sz w:val="48"/>
          <w:szCs w:val="48"/>
        </w:rPr>
        <w:t>early</w:t>
      </w:r>
      <w:r>
        <w:rPr>
          <w:rFonts w:ascii="Arial" w:hAnsi="Arial" w:cs="Arial"/>
          <w:b/>
          <w:bCs/>
          <w:color w:val="548DD4" w:themeColor="text2" w:themeTint="99"/>
          <w:sz w:val="48"/>
          <w:szCs w:val="48"/>
        </w:rPr>
        <w:t>-</w:t>
      </w:r>
      <w:r w:rsidRPr="00FF1D23">
        <w:rPr>
          <w:rFonts w:ascii="Arial" w:hAnsi="Arial" w:cs="Arial"/>
          <w:b/>
          <w:color w:val="548DD4" w:themeColor="text2" w:themeTint="99"/>
          <w:sz w:val="48"/>
          <w:szCs w:val="48"/>
        </w:rPr>
        <w:t>stage Alzheimer's Disease, to</w:t>
      </w:r>
      <w:r>
        <w:rPr>
          <w:rFonts w:ascii="Arial" w:hAnsi="Arial" w:cs="Arial"/>
          <w:b/>
          <w:bCs/>
          <w:color w:val="548DD4" w:themeColor="text2" w:themeTint="99"/>
          <w:sz w:val="48"/>
          <w:szCs w:val="48"/>
        </w:rPr>
        <w:t xml:space="preserve"> </w:t>
      </w:r>
      <w:r w:rsidRPr="00FF1D23">
        <w:rPr>
          <w:rFonts w:ascii="Arial" w:hAnsi="Arial" w:cs="Arial"/>
          <w:b/>
          <w:color w:val="548DD4" w:themeColor="text2" w:themeTint="99"/>
          <w:sz w:val="48"/>
          <w:szCs w:val="48"/>
        </w:rPr>
        <w:t xml:space="preserve">determine eligibility for PBS subsidised </w:t>
      </w:r>
      <w:proofErr w:type="spellStart"/>
      <w:r w:rsidRPr="00FF1D23">
        <w:rPr>
          <w:rFonts w:ascii="Arial" w:hAnsi="Arial" w:cs="Arial"/>
          <w:b/>
          <w:color w:val="548DD4" w:themeColor="text2" w:themeTint="99"/>
          <w:sz w:val="48"/>
          <w:szCs w:val="48"/>
        </w:rPr>
        <w:t>lecanemab</w:t>
      </w:r>
      <w:proofErr w:type="spellEnd"/>
      <w:r w:rsidRPr="00FF1D23">
        <w:rPr>
          <w:rFonts w:ascii="Arial" w:hAnsi="Arial" w:cs="Arial"/>
          <w:b/>
          <w:color w:val="548DD4" w:themeColor="text2" w:themeTint="99"/>
          <w:sz w:val="48"/>
          <w:szCs w:val="48"/>
        </w:rPr>
        <w:t xml:space="preserve"> treatment</w:t>
      </w:r>
    </w:p>
    <w:p w14:paraId="22136119" w14:textId="77777777" w:rsidR="0000380D" w:rsidRPr="0000380D" w:rsidRDefault="0000380D" w:rsidP="00D55776"/>
    <w:p w14:paraId="188CCD58" w14:textId="3EE5F364" w:rsidR="00E04FB3" w:rsidRPr="00C776B1" w:rsidRDefault="00D73646" w:rsidP="00D55776">
      <w:pPr>
        <w:pStyle w:val="Heading1"/>
        <w:ind w:left="0" w:firstLine="0"/>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CAE6BBA" w14:textId="77777777" w:rsidR="00392F00" w:rsidRDefault="00D57F88" w:rsidP="00D55776">
      <w:pPr>
        <w:pStyle w:val="Heading2"/>
      </w:pPr>
      <w:r w:rsidRPr="00A8732C">
        <w:t>Applicant d</w:t>
      </w:r>
      <w:r w:rsidR="00392F00" w:rsidRPr="00A8732C">
        <w:t>etails</w:t>
      </w:r>
      <w:r w:rsidR="000D066E" w:rsidRPr="00A8732C">
        <w:t xml:space="preserve"> (primary and alternative contacts)</w:t>
      </w:r>
    </w:p>
    <w:p w14:paraId="7A67B8B3" w14:textId="61B10462" w:rsidR="00C171FB" w:rsidRDefault="00C171FB" w:rsidP="00D55776">
      <w:pPr>
        <w:pBdr>
          <w:top w:val="single" w:sz="4" w:space="1" w:color="auto"/>
          <w:left w:val="single" w:sz="4" w:space="4" w:color="auto"/>
          <w:bottom w:val="single" w:sz="4" w:space="1" w:color="auto"/>
          <w:right w:val="single" w:sz="4" w:space="4" w:color="auto"/>
        </w:pBdr>
      </w:pPr>
      <w:r>
        <w:t>Corporatio</w:t>
      </w:r>
      <w:r w:rsidR="00FF1D23">
        <w:t>n/</w:t>
      </w:r>
      <w:r>
        <w:t xml:space="preserve">partnership details </w:t>
      </w:r>
    </w:p>
    <w:p w14:paraId="7825AE39" w14:textId="5A13DB98" w:rsidR="00C171FB" w:rsidRDefault="00C171FB" w:rsidP="00D55776">
      <w:pPr>
        <w:pBdr>
          <w:top w:val="single" w:sz="4" w:space="1" w:color="auto"/>
          <w:left w:val="single" w:sz="4" w:space="4" w:color="auto"/>
          <w:bottom w:val="single" w:sz="4" w:space="1" w:color="auto"/>
          <w:right w:val="single" w:sz="4" w:space="4" w:color="auto"/>
        </w:pBdr>
      </w:pPr>
      <w:r>
        <w:t xml:space="preserve">Corporation name: </w:t>
      </w:r>
      <w:bookmarkStart w:id="1" w:name="_Hlk118711526"/>
      <w:r w:rsidR="00CB1651">
        <w:t xml:space="preserve">Eisai </w:t>
      </w:r>
      <w:r w:rsidR="00F8436E">
        <w:t>A</w:t>
      </w:r>
      <w:r w:rsidR="00CB1651">
        <w:t>ustralia Pty Ltd</w:t>
      </w:r>
      <w:bookmarkEnd w:id="1"/>
    </w:p>
    <w:p w14:paraId="74867D9F" w14:textId="73803303" w:rsidR="00C171FB" w:rsidRPr="00C171FB" w:rsidRDefault="00C171FB" w:rsidP="00D55776">
      <w:pPr>
        <w:pBdr>
          <w:top w:val="single" w:sz="4" w:space="1" w:color="auto"/>
          <w:left w:val="single" w:sz="4" w:space="4" w:color="auto"/>
          <w:bottom w:val="single" w:sz="4" w:space="1" w:color="auto"/>
          <w:right w:val="single" w:sz="4" w:space="4" w:color="auto"/>
        </w:pBdr>
      </w:pPr>
      <w:r>
        <w:t xml:space="preserve">Business trading name: </w:t>
      </w:r>
      <w:r w:rsidR="00DB0809">
        <w:t>Eisai Australia Pty Ltd</w:t>
      </w:r>
    </w:p>
    <w:p w14:paraId="668E37B8" w14:textId="741E7A76" w:rsidR="00C171FB" w:rsidRPr="00C171FB" w:rsidRDefault="00C171FB" w:rsidP="00D55776">
      <w:pPr>
        <w:rPr>
          <w:b/>
        </w:rPr>
      </w:pPr>
      <w:r>
        <w:rPr>
          <w:b/>
        </w:rPr>
        <w:t>Primary contact name:</w:t>
      </w:r>
      <w:r w:rsidRPr="00FF1D23">
        <w:rPr>
          <w:b/>
          <w:bCs/>
        </w:rPr>
        <w:t xml:space="preserve"> </w:t>
      </w:r>
      <w:r w:rsidR="00FF1D23" w:rsidRPr="00FF1D23">
        <w:rPr>
          <w:b/>
          <w:bCs/>
        </w:rPr>
        <w:t>REDACTED</w:t>
      </w:r>
      <w:r w:rsidR="00DB0809" w:rsidRPr="00C171FB">
        <w:rPr>
          <w:b/>
        </w:rPr>
        <w:t xml:space="preserve"> </w:t>
      </w:r>
    </w:p>
    <w:p w14:paraId="78FC6A87" w14:textId="77777777" w:rsidR="00C171FB" w:rsidRDefault="00C171FB" w:rsidP="00D55776">
      <w:pPr>
        <w:pBdr>
          <w:top w:val="single" w:sz="4" w:space="1" w:color="auto"/>
          <w:left w:val="single" w:sz="4" w:space="4" w:color="auto"/>
          <w:bottom w:val="single" w:sz="4" w:space="1" w:color="auto"/>
          <w:right w:val="single" w:sz="4" w:space="4" w:color="auto"/>
        </w:pBdr>
      </w:pPr>
      <w:r>
        <w:t>Primary contact numbers</w:t>
      </w:r>
    </w:p>
    <w:p w14:paraId="068FB156" w14:textId="7D1373CE" w:rsidR="00C171FB" w:rsidRDefault="00C171FB" w:rsidP="00D55776">
      <w:pPr>
        <w:pBdr>
          <w:top w:val="single" w:sz="4" w:space="1" w:color="auto"/>
          <w:left w:val="single" w:sz="4" w:space="4" w:color="auto"/>
          <w:bottom w:val="single" w:sz="4" w:space="1" w:color="auto"/>
          <w:right w:val="single" w:sz="4" w:space="4" w:color="auto"/>
        </w:pBdr>
      </w:pPr>
      <w:r>
        <w:t xml:space="preserve">Business: </w:t>
      </w:r>
      <w:r w:rsidR="00FF1D23" w:rsidRPr="00FF1D23">
        <w:rPr>
          <w:b/>
          <w:bCs/>
        </w:rPr>
        <w:t>REDACTED</w:t>
      </w:r>
    </w:p>
    <w:p w14:paraId="5192E01F" w14:textId="7478EC6E" w:rsidR="00C171FB" w:rsidRDefault="00C171FB" w:rsidP="00D55776">
      <w:pPr>
        <w:pBdr>
          <w:top w:val="single" w:sz="4" w:space="1" w:color="auto"/>
          <w:left w:val="single" w:sz="4" w:space="4" w:color="auto"/>
          <w:bottom w:val="single" w:sz="4" w:space="1" w:color="auto"/>
          <w:right w:val="single" w:sz="4" w:space="4" w:color="auto"/>
        </w:pBdr>
      </w:pPr>
      <w:r>
        <w:t>Mobile</w:t>
      </w:r>
      <w:r w:rsidR="00FF1D23">
        <w:t xml:space="preserve">: </w:t>
      </w:r>
      <w:r w:rsidR="00FF1D23" w:rsidRPr="00FF1D23">
        <w:rPr>
          <w:b/>
          <w:bCs/>
        </w:rPr>
        <w:t>REDACTED</w:t>
      </w:r>
    </w:p>
    <w:p w14:paraId="255C5598" w14:textId="1DA7B1D7" w:rsidR="00C171FB" w:rsidRDefault="00C171FB" w:rsidP="00D55776">
      <w:pPr>
        <w:pBdr>
          <w:top w:val="single" w:sz="4" w:space="1" w:color="auto"/>
          <w:left w:val="single" w:sz="4" w:space="4" w:color="auto"/>
          <w:bottom w:val="single" w:sz="4" w:space="1" w:color="auto"/>
          <w:right w:val="single" w:sz="4" w:space="4" w:color="auto"/>
        </w:pBdr>
      </w:pPr>
      <w:r>
        <w:t>Email:</w:t>
      </w:r>
      <w:r w:rsidR="00FF1D23">
        <w:t xml:space="preserve"> </w:t>
      </w:r>
      <w:r w:rsidR="00FF1D23" w:rsidRPr="00FF1D23">
        <w:rPr>
          <w:b/>
          <w:bCs/>
        </w:rPr>
        <w:t>REDACTED</w:t>
      </w:r>
    </w:p>
    <w:p w14:paraId="0D1C24DA" w14:textId="77777777" w:rsidR="00C171FB" w:rsidRPr="00C171FB" w:rsidRDefault="00C171FB" w:rsidP="00D55776"/>
    <w:p w14:paraId="0BBE6EB4" w14:textId="77777777" w:rsidR="00AD2E85" w:rsidRDefault="00AD2E85" w:rsidP="00D55776">
      <w:pPr>
        <w:pStyle w:val="Heading2"/>
      </w:pPr>
      <w:r>
        <w:t xml:space="preserve">(a) </w:t>
      </w:r>
      <w:r w:rsidRPr="00AD2E85">
        <w:t>Are you a consultant acting on behalf on an applicant?</w:t>
      </w:r>
    </w:p>
    <w:p w14:paraId="23A9A903" w14:textId="77777777" w:rsidR="00AD2E85" w:rsidRDefault="00AD2E85" w:rsidP="00D55776">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B81886">
        <w:fldChar w:fldCharType="separate"/>
      </w:r>
      <w:r w:rsidRPr="00753C44">
        <w:fldChar w:fldCharType="end"/>
      </w:r>
      <w:r>
        <w:t xml:space="preserve"> Yes</w:t>
      </w:r>
    </w:p>
    <w:p w14:paraId="3EC5A5B7" w14:textId="73766F2B" w:rsidR="00AD2E85" w:rsidRPr="00753C44" w:rsidRDefault="00DB0809" w:rsidP="00D55776">
      <w:pPr>
        <w:pStyle w:val="Tickboxes"/>
      </w:pPr>
      <w:r>
        <w:fldChar w:fldCharType="begin">
          <w:ffData>
            <w:name w:val=""/>
            <w:enabled/>
            <w:calcOnExit w:val="0"/>
            <w:checkBox>
              <w:sizeAuto/>
              <w:default w:val="1"/>
            </w:checkBox>
          </w:ffData>
        </w:fldChar>
      </w:r>
      <w:r w:rsidRPr="00DB0809">
        <w:instrText xml:space="preserve"> FORMCHECKBOX </w:instrText>
      </w:r>
      <w:r w:rsidR="00B81886">
        <w:fldChar w:fldCharType="separate"/>
      </w:r>
      <w:r>
        <w:fldChar w:fldCharType="end"/>
      </w:r>
      <w:r w:rsidR="00AD2E85">
        <w:t xml:space="preserve"> No</w:t>
      </w:r>
      <w:r w:rsidR="00AD2E85" w:rsidRPr="00753C44">
        <w:t xml:space="preserve">  </w:t>
      </w:r>
    </w:p>
    <w:p w14:paraId="3F733E37" w14:textId="77777777" w:rsidR="00AD2E85" w:rsidRDefault="00AD2E85" w:rsidP="00D55776">
      <w:pPr>
        <w:rPr>
          <w:b/>
          <w:bCs/>
        </w:rPr>
      </w:pPr>
      <w:r w:rsidRPr="0000380D">
        <w:rPr>
          <w:b/>
          <w:bCs/>
        </w:rPr>
        <w:t>(b) If yes what is the Applicant(s) name that you are acting on behalf of?</w:t>
      </w:r>
    </w:p>
    <w:p w14:paraId="2F5CBFAA" w14:textId="0DF991B0" w:rsidR="00E2297C" w:rsidRPr="00E2297C" w:rsidRDefault="00E2297C" w:rsidP="00D55776">
      <w:r w:rsidRPr="00E2297C">
        <w:t>Not applicable</w:t>
      </w:r>
    </w:p>
    <w:p w14:paraId="389E9433" w14:textId="3B519CB8" w:rsidR="00534C5F" w:rsidRPr="00154B00" w:rsidRDefault="00494011" w:rsidP="00D55776">
      <w:pPr>
        <w:pStyle w:val="Heading2"/>
      </w:pPr>
      <w:r>
        <w:t xml:space="preserve">(a) </w:t>
      </w:r>
      <w:r w:rsidR="00534C5F">
        <w:t>Are you a lobbyist acting on behalf of an Applicant?</w:t>
      </w:r>
    </w:p>
    <w:p w14:paraId="36A832DB" w14:textId="77777777" w:rsidR="00A6491A" w:rsidRDefault="00A6491A" w:rsidP="00D55776">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B81886">
        <w:fldChar w:fldCharType="separate"/>
      </w:r>
      <w:r w:rsidRPr="00753C44">
        <w:fldChar w:fldCharType="end"/>
      </w:r>
      <w:r>
        <w:t xml:space="preserve"> Yes</w:t>
      </w:r>
    </w:p>
    <w:p w14:paraId="6DB3DC97" w14:textId="2EBE1C00" w:rsidR="00A6491A" w:rsidRPr="00753C44" w:rsidRDefault="00DB0809" w:rsidP="00D55776">
      <w:pPr>
        <w:pStyle w:val="Tickboxes"/>
      </w:pPr>
      <w:r>
        <w:fldChar w:fldCharType="begin">
          <w:ffData>
            <w:name w:val=""/>
            <w:enabled/>
            <w:calcOnExit w:val="0"/>
            <w:checkBox>
              <w:sizeAuto/>
              <w:default w:val="1"/>
            </w:checkBox>
          </w:ffData>
        </w:fldChar>
      </w:r>
      <w:r w:rsidRPr="00DB0809">
        <w:instrText xml:space="preserve"> FORMCHECKBOX </w:instrText>
      </w:r>
      <w:r w:rsidR="00B81886">
        <w:fldChar w:fldCharType="separate"/>
      </w:r>
      <w:r>
        <w:fldChar w:fldCharType="end"/>
      </w:r>
      <w:r w:rsidR="00A6491A">
        <w:t xml:space="preserve"> No</w:t>
      </w:r>
      <w:r w:rsidR="00A6491A" w:rsidRPr="00753C44">
        <w:t xml:space="preserve">  </w:t>
      </w:r>
    </w:p>
    <w:p w14:paraId="28226F50" w14:textId="77777777" w:rsidR="00534C5F" w:rsidRPr="00154B00" w:rsidRDefault="00534C5F" w:rsidP="00D55776">
      <w:pPr>
        <w:pStyle w:val="Heading2"/>
        <w:numPr>
          <w:ilvl w:val="0"/>
          <w:numId w:val="2"/>
        </w:numPr>
      </w:pPr>
      <w:r w:rsidRPr="00154B00">
        <w:t xml:space="preserve">If yes, </w:t>
      </w:r>
      <w:r>
        <w:t xml:space="preserve">are </w:t>
      </w:r>
      <w:r w:rsidRPr="00FE33A6">
        <w:t>you</w:t>
      </w:r>
      <w:r>
        <w:t xml:space="preserve"> listed on the Register of Lobbyists?</w:t>
      </w:r>
    </w:p>
    <w:p w14:paraId="611DE9CC" w14:textId="3B53FBE1" w:rsidR="00A6491A" w:rsidRPr="00753C44" w:rsidRDefault="00D55776" w:rsidP="00D55776">
      <w:pPr>
        <w:pStyle w:val="Tickboxes"/>
      </w:pPr>
      <w:r>
        <w:t>Not applicable</w:t>
      </w:r>
    </w:p>
    <w:p w14:paraId="539F282D" w14:textId="77777777" w:rsidR="00CE0F9E" w:rsidRPr="00154B00" w:rsidRDefault="00CE0F9E" w:rsidP="00D55776">
      <w:pPr>
        <w:pStyle w:val="Heading2"/>
        <w:numPr>
          <w:ilvl w:val="0"/>
          <w:numId w:val="2"/>
        </w:numPr>
      </w:pPr>
      <w:r>
        <w:t>Have you engaged a consultant on your behalf?</w:t>
      </w:r>
    </w:p>
    <w:p w14:paraId="1BD523DC" w14:textId="77777777" w:rsidR="00CE0F9E" w:rsidRDefault="00CE0F9E" w:rsidP="00D55776">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B81886">
        <w:fldChar w:fldCharType="separate"/>
      </w:r>
      <w:r w:rsidRPr="00753C44">
        <w:fldChar w:fldCharType="end"/>
      </w:r>
      <w:r>
        <w:t xml:space="preserve"> Yes </w:t>
      </w:r>
    </w:p>
    <w:p w14:paraId="5ACD7CC5" w14:textId="58C80DBF" w:rsidR="00CE0F9E" w:rsidRDefault="00E26F72" w:rsidP="00D55776">
      <w:pPr>
        <w:pStyle w:val="Tickboxes"/>
      </w:pPr>
      <w:r>
        <w:fldChar w:fldCharType="begin">
          <w:ffData>
            <w:name w:val=""/>
            <w:enabled/>
            <w:calcOnExit w:val="0"/>
            <w:checkBox>
              <w:sizeAuto/>
              <w:default w:val="1"/>
            </w:checkBox>
          </w:ffData>
        </w:fldChar>
      </w:r>
      <w:r w:rsidRPr="00E26F72">
        <w:instrText xml:space="preserve"> FORMCHECKBOX </w:instrText>
      </w:r>
      <w:r w:rsidR="00B81886">
        <w:fldChar w:fldCharType="separate"/>
      </w:r>
      <w:r>
        <w:fldChar w:fldCharType="end"/>
      </w:r>
      <w:r w:rsidR="00CE0F9E">
        <w:t xml:space="preserve"> No</w:t>
      </w:r>
      <w:r w:rsidR="00CE0F9E" w:rsidRPr="00753C44">
        <w:t xml:space="preserve">  </w:t>
      </w:r>
    </w:p>
    <w:p w14:paraId="18388735" w14:textId="77777777" w:rsidR="00CE0F9E" w:rsidRDefault="00CE0F9E" w:rsidP="00D55776"/>
    <w:p w14:paraId="4BA7B679" w14:textId="77777777" w:rsidR="00CE0F9E" w:rsidRPr="00753C44" w:rsidRDefault="00CE0F9E" w:rsidP="00D55776"/>
    <w:p w14:paraId="7C101EF6" w14:textId="77777777" w:rsidR="00E04FB3" w:rsidRDefault="00E04FB3" w:rsidP="00D55776">
      <w:r w:rsidRPr="00154B00">
        <w:br w:type="page"/>
      </w:r>
    </w:p>
    <w:p w14:paraId="1180CFDC" w14:textId="77777777" w:rsidR="00D57F88" w:rsidRPr="00C776B1" w:rsidRDefault="00730C04" w:rsidP="00D55776">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5B2F494" w14:textId="77777777" w:rsidR="000B3CD0" w:rsidRDefault="000B3CD0" w:rsidP="00D55776">
      <w:pPr>
        <w:pStyle w:val="Heading2"/>
      </w:pPr>
      <w:r w:rsidRPr="00154B00">
        <w:t>Application title</w:t>
      </w:r>
      <w:r w:rsidR="00A8732C">
        <w:t xml:space="preserve"> </w:t>
      </w:r>
    </w:p>
    <w:p w14:paraId="0D5D9A73" w14:textId="3E8EA72D" w:rsidR="009056C5" w:rsidRPr="00FE4A55" w:rsidRDefault="00B81886" w:rsidP="00B81886">
      <w:pPr>
        <w:rPr>
          <w:bCs/>
        </w:rPr>
      </w:pPr>
      <w:r w:rsidRPr="00B81886">
        <w:rPr>
          <w:bCs/>
        </w:rPr>
        <w:t>Two testing options to detect early-stage Alzheimer's Disease, to determine eligibility for PBS subsidised</w:t>
      </w:r>
      <w:r>
        <w:rPr>
          <w:bCs/>
        </w:rPr>
        <w:t xml:space="preserve"> </w:t>
      </w:r>
      <w:proofErr w:type="spellStart"/>
      <w:r w:rsidRPr="00B81886">
        <w:rPr>
          <w:bCs/>
        </w:rPr>
        <w:t>lecanemab</w:t>
      </w:r>
      <w:proofErr w:type="spellEnd"/>
      <w:r w:rsidRPr="00B81886">
        <w:rPr>
          <w:bCs/>
        </w:rPr>
        <w:t xml:space="preserve"> treatment</w:t>
      </w:r>
    </w:p>
    <w:p w14:paraId="5AFAE898" w14:textId="77777777" w:rsidR="009B4E1E" w:rsidRDefault="009B4E1E" w:rsidP="00D55776">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6B9FF9C" w14:textId="4E35628B" w:rsidR="002C3345" w:rsidRDefault="00B57446" w:rsidP="00D55776">
      <w:r w:rsidRPr="00B57446">
        <w:t xml:space="preserve">Alzheimer’s Disease (AD) is a progressive, </w:t>
      </w:r>
      <w:r w:rsidR="00283D58">
        <w:t>neurodegenerative</w:t>
      </w:r>
      <w:r w:rsidRPr="00B57446">
        <w:t xml:space="preserve"> disorder, characterized by an unrelenting decline in cognition</w:t>
      </w:r>
      <w:r w:rsidR="00763D91">
        <w:t xml:space="preserve"> and</w:t>
      </w:r>
      <w:r w:rsidRPr="00B57446">
        <w:t xml:space="preserve"> behavioural disturbances, that result in the person’s inability to perform usual daily living</w:t>
      </w:r>
      <w:r w:rsidR="009D21F9">
        <w:t xml:space="preserve"> </w:t>
      </w:r>
      <w:r w:rsidRPr="00B57446">
        <w:t xml:space="preserve">activities. </w:t>
      </w:r>
      <w:r w:rsidR="00AE5CC7" w:rsidRPr="00AE5CC7">
        <w:t xml:space="preserve">AD is the most common cause of dementia, accounting for </w:t>
      </w:r>
      <w:r w:rsidR="003A6473">
        <w:t>60-70%</w:t>
      </w:r>
      <w:r w:rsidR="000C120C">
        <w:rPr>
          <w:rStyle w:val="EndnoteReference"/>
        </w:rPr>
        <w:endnoteReference w:id="2"/>
      </w:r>
      <w:r w:rsidR="00AE5CC7" w:rsidRPr="00AE5CC7">
        <w:t xml:space="preserve"> of all cases.</w:t>
      </w:r>
    </w:p>
    <w:p w14:paraId="71BC597C" w14:textId="6134E098" w:rsidR="008C1010" w:rsidRDefault="008C1010" w:rsidP="00D55776">
      <w:r w:rsidRPr="008C1010">
        <w:t>The pathophysiology is related to the injury and death of neurons, initiating in the hippocampus brain region that is involved with memory and learning, followed by gradual atrophy of the entire brain. The main neuropathological hallmarks are extracellular senile (neuritic) plaques containing aggregated amyloid beta</w:t>
      </w:r>
      <w:r w:rsidR="000A0F08">
        <w:t xml:space="preserve"> (</w:t>
      </w:r>
      <w:r w:rsidR="000A0F08" w:rsidRPr="001E65D1">
        <w:t>Aß</w:t>
      </w:r>
      <w:r w:rsidR="000A0F08">
        <w:t>)</w:t>
      </w:r>
      <w:r w:rsidRPr="008C1010">
        <w:t xml:space="preserve"> peptides and intraneuronal neurofibrillary tangles composed of abnormal hyperphosphorylated Tau protein.</w:t>
      </w:r>
    </w:p>
    <w:p w14:paraId="6951991B" w14:textId="73CAD89B" w:rsidR="00283D58" w:rsidRDefault="00283D58" w:rsidP="00D55776">
      <w:r w:rsidRPr="00283D58">
        <w:t>The ultimate outcome is a loss of cognition and memory. Early symptoms include difficulty with recent memories, apathy, and depression. Later symptoms include impaired communication, disorientation, confusion, poor judgment, behavioural changes, and difficulty speaking, swallowing, and walking. In the final stages, individuals are bedridden and need full-time care.</w:t>
      </w:r>
    </w:p>
    <w:p w14:paraId="088FEF33" w14:textId="77777777" w:rsidR="000955E7" w:rsidRDefault="000955E7" w:rsidP="00D55776">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7346962" w14:textId="3D4F8545" w:rsidR="00207813" w:rsidRDefault="00617F72" w:rsidP="00D55776">
      <w:bookmarkStart w:id="2" w:name="_Hlk119058968"/>
      <w:r w:rsidRPr="00617F72">
        <w:t>The propose</w:t>
      </w:r>
      <w:r w:rsidR="00D82DCE">
        <w:t>d</w:t>
      </w:r>
      <w:r w:rsidRPr="00617F72">
        <w:t xml:space="preserve"> two </w:t>
      </w:r>
      <w:r w:rsidR="00DA668C">
        <w:t xml:space="preserve">medical </w:t>
      </w:r>
      <w:r w:rsidR="00DA668C" w:rsidRPr="00D14195">
        <w:t xml:space="preserve">services </w:t>
      </w:r>
      <w:r w:rsidR="0077358D">
        <w:t xml:space="preserve">are </w:t>
      </w:r>
      <w:r w:rsidR="0034114F">
        <w:t xml:space="preserve">for </w:t>
      </w:r>
      <w:r w:rsidR="00B15BD0">
        <w:t>the</w:t>
      </w:r>
      <w:r w:rsidR="00C512FA" w:rsidRPr="001E65D1">
        <w:t xml:space="preserve"> </w:t>
      </w:r>
      <w:r w:rsidR="00770992" w:rsidRPr="001E65D1">
        <w:t xml:space="preserve">protein biomarker </w:t>
      </w:r>
      <w:r w:rsidR="0034114F">
        <w:t>tests</w:t>
      </w:r>
      <w:r w:rsidR="0050126E">
        <w:t>,</w:t>
      </w:r>
      <w:r w:rsidR="000F45CB">
        <w:t xml:space="preserve"> </w:t>
      </w:r>
      <w:r w:rsidR="0095602D" w:rsidRPr="001E65D1">
        <w:t>Aß positron emission tomography (PET) and cerebrospinal fluid (CSF)</w:t>
      </w:r>
      <w:r w:rsidR="00B15BD0">
        <w:t>,</w:t>
      </w:r>
      <w:r w:rsidR="00657FE0">
        <w:t xml:space="preserve"> </w:t>
      </w:r>
      <w:r w:rsidR="002F2A7D">
        <w:t>either</w:t>
      </w:r>
      <w:r w:rsidR="000F45CB">
        <w:t xml:space="preserve"> of which </w:t>
      </w:r>
      <w:r w:rsidR="00C14A32">
        <w:t>could be</w:t>
      </w:r>
      <w:r w:rsidR="00491FA2">
        <w:t xml:space="preserve"> used </w:t>
      </w:r>
      <w:r w:rsidR="0051410B">
        <w:t>to detect the</w:t>
      </w:r>
      <w:r w:rsidR="001E65D1" w:rsidRPr="001E65D1">
        <w:t xml:space="preserve"> presence of Aß pathology in patients</w:t>
      </w:r>
      <w:r w:rsidR="007A2780">
        <w:t xml:space="preserve"> with </w:t>
      </w:r>
      <w:r w:rsidR="007A2780" w:rsidRPr="007A2780">
        <w:t>AD</w:t>
      </w:r>
      <w:r w:rsidR="009152B2">
        <w:t>.</w:t>
      </w:r>
      <w:r w:rsidR="00C7280D">
        <w:t xml:space="preserve"> </w:t>
      </w:r>
      <w:r w:rsidR="00751872">
        <w:t>A</w:t>
      </w:r>
      <w:r w:rsidR="00751872" w:rsidRPr="004B25B1">
        <w:t xml:space="preserve"> positive Aβ PET scan or CSF biomarker test result </w:t>
      </w:r>
      <w:r w:rsidR="00C7280D">
        <w:t>will be used to</w:t>
      </w:r>
      <w:r w:rsidR="008C6027" w:rsidRPr="00D14195">
        <w:t xml:space="preserve"> determine patient eligibility to </w:t>
      </w:r>
      <w:r w:rsidR="00590B7C">
        <w:t xml:space="preserve">the </w:t>
      </w:r>
      <w:r w:rsidR="008C6027" w:rsidRPr="00D14195">
        <w:t>drug treatment</w:t>
      </w:r>
      <w:r w:rsidR="008C6027">
        <w:t>,</w:t>
      </w:r>
      <w:r w:rsidR="008C6027" w:rsidRPr="00302055">
        <w:t xml:space="preserve"> </w:t>
      </w:r>
      <w:r w:rsidR="008C6027">
        <w:t>lecanemab</w:t>
      </w:r>
      <w:r w:rsidR="00590B7C">
        <w:t>.</w:t>
      </w:r>
    </w:p>
    <w:bookmarkEnd w:id="2"/>
    <w:p w14:paraId="6CD638D9" w14:textId="4916AFD3" w:rsidR="00BA11B9" w:rsidRDefault="00590B7C" w:rsidP="00D55776">
      <w:r w:rsidRPr="00D14195">
        <w:t xml:space="preserve">Pharmaceutical Benefits Schedule (PBS) </w:t>
      </w:r>
      <w:r w:rsidR="00D7133D">
        <w:t xml:space="preserve">subsidy will </w:t>
      </w:r>
      <w:r w:rsidR="005D57DA">
        <w:t xml:space="preserve">also </w:t>
      </w:r>
      <w:r w:rsidR="00D7133D">
        <w:t xml:space="preserve">be sought for </w:t>
      </w:r>
      <w:r w:rsidR="00D7133D" w:rsidRPr="00D7133D">
        <w:t xml:space="preserve">lecanemab (brand name </w:t>
      </w:r>
      <w:r w:rsidR="006350A2">
        <w:t>TBC</w:t>
      </w:r>
      <w:r w:rsidR="00D7133D" w:rsidRPr="00D7133D">
        <w:t>)</w:t>
      </w:r>
      <w:r w:rsidR="001E04E7">
        <w:t>,</w:t>
      </w:r>
      <w:r w:rsidR="001A43DA" w:rsidRPr="001A43DA">
        <w:t xml:space="preserve"> a</w:t>
      </w:r>
      <w:r w:rsidR="00A46544">
        <w:t>n</w:t>
      </w:r>
      <w:r w:rsidR="001A43DA" w:rsidRPr="001A43DA">
        <w:t xml:space="preserve"> anti-Aβ protofibril antibody</w:t>
      </w:r>
      <w:r w:rsidR="001E04E7">
        <w:t>,</w:t>
      </w:r>
      <w:r w:rsidR="001A43DA" w:rsidRPr="001A43DA">
        <w:t xml:space="preserve"> for the treatment of mild cognitive impairment </w:t>
      </w:r>
      <w:r w:rsidR="003316F4">
        <w:t xml:space="preserve">(MCI) </w:t>
      </w:r>
      <w:r w:rsidR="001A43DA" w:rsidRPr="001A43DA">
        <w:t xml:space="preserve">due to AD </w:t>
      </w:r>
      <w:r w:rsidR="00267CF6">
        <w:t xml:space="preserve">or mild AD dementia </w:t>
      </w:r>
      <w:r w:rsidR="001A43DA" w:rsidRPr="001A43DA">
        <w:t>with confirmed presence</w:t>
      </w:r>
      <w:r w:rsidR="00930CFB">
        <w:t xml:space="preserve"> </w:t>
      </w:r>
      <w:r w:rsidR="00930CFB" w:rsidRPr="001A43DA">
        <w:t xml:space="preserve">(via Aß PET </w:t>
      </w:r>
      <w:r w:rsidR="00930CFB">
        <w:t>or</w:t>
      </w:r>
      <w:r w:rsidR="00930CFB" w:rsidRPr="001A43DA">
        <w:t xml:space="preserve"> CSF)</w:t>
      </w:r>
      <w:r w:rsidR="001A43DA" w:rsidRPr="001A43DA">
        <w:t xml:space="preserve"> of amyloid pathology.  </w:t>
      </w:r>
    </w:p>
    <w:p w14:paraId="607BF3D3" w14:textId="7FC600ED" w:rsidR="00EC5512" w:rsidRDefault="00EC5512" w:rsidP="00D55776">
      <w:r>
        <w:t>D</w:t>
      </w:r>
      <w:r w:rsidRPr="00B5633E">
        <w:t>iagnosis of AD in Australia, is predominantly based on clinical findings and a brain scan with computerised tomography</w:t>
      </w:r>
      <w:r w:rsidR="003316F4">
        <w:t xml:space="preserve"> (CT)</w:t>
      </w:r>
      <w:r w:rsidRPr="00B5633E">
        <w:t xml:space="preserve"> or magnetic resonance imaging</w:t>
      </w:r>
      <w:r w:rsidR="003316F4">
        <w:t xml:space="preserve"> (MRI)</w:t>
      </w:r>
      <w:r w:rsidRPr="00B5633E">
        <w:t xml:space="preserve">. This clinical diagnosis approach, without PET or CSF evidence of brain amyloid, is only </w:t>
      </w:r>
      <w:r w:rsidR="003316F4">
        <w:t>~</w:t>
      </w:r>
      <w:r w:rsidRPr="00B5633E">
        <w:t xml:space="preserve">70% accurate in the </w:t>
      </w:r>
      <w:r w:rsidR="003316F4">
        <w:t xml:space="preserve">MCI and </w:t>
      </w:r>
      <w:r w:rsidRPr="00B5633E">
        <w:t>mild dementia phase compared to the “gold standard” neuropathology examination.</w:t>
      </w:r>
    </w:p>
    <w:p w14:paraId="41F9CDED" w14:textId="77777777" w:rsidR="00D11EB1" w:rsidRPr="0011036E" w:rsidRDefault="00730C04" w:rsidP="00D55776">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75DD703" w14:textId="219F1EB9" w:rsidR="00753C44" w:rsidRPr="00466349" w:rsidRDefault="00E93E36" w:rsidP="00D55776">
      <w:pPr>
        <w:pStyle w:val="Tickboxes"/>
        <w:ind w:left="567" w:hanging="207"/>
        <w:rPr>
          <w:b/>
        </w:rPr>
      </w:pPr>
      <w:r w:rsidRPr="00466349">
        <w:rPr>
          <w:b/>
        </w:rPr>
        <w:fldChar w:fldCharType="begin">
          <w:ffData>
            <w:name w:val="Check1"/>
            <w:enabled/>
            <w:calcOnExit w:val="0"/>
            <w:checkBox>
              <w:sizeAuto/>
              <w:default w:val="1"/>
            </w:checkBox>
          </w:ffData>
        </w:fldChar>
      </w:r>
      <w:bookmarkStart w:id="3" w:name="Check1"/>
      <w:r w:rsidRPr="00466349">
        <w:rPr>
          <w:b/>
        </w:rPr>
        <w:instrText xml:space="preserve"> FORMCHECKBOX </w:instrText>
      </w:r>
      <w:r w:rsidR="00B81886">
        <w:rPr>
          <w:b/>
        </w:rPr>
      </w:r>
      <w:r w:rsidR="00B81886">
        <w:rPr>
          <w:b/>
        </w:rPr>
        <w:fldChar w:fldCharType="separate"/>
      </w:r>
      <w:r w:rsidRPr="00466349">
        <w:rPr>
          <w:b/>
        </w:rPr>
        <w:fldChar w:fldCharType="end"/>
      </w:r>
      <w:bookmarkEnd w:id="3"/>
      <w:r w:rsidR="006B6390" w:rsidRPr="00466349">
        <w:rPr>
          <w:b/>
        </w:rPr>
        <w:t xml:space="preserve"> Yes</w:t>
      </w:r>
    </w:p>
    <w:p w14:paraId="560E66BB" w14:textId="77777777" w:rsidR="00753C44" w:rsidRPr="00466349" w:rsidRDefault="006B6390" w:rsidP="00D55776">
      <w:pPr>
        <w:pStyle w:val="Tickboxes"/>
        <w:ind w:left="567" w:hanging="207"/>
        <w:rPr>
          <w:b/>
        </w:rPr>
      </w:pPr>
      <w:r w:rsidRPr="00466349">
        <w:rPr>
          <w:b/>
        </w:rPr>
        <w:fldChar w:fldCharType="begin">
          <w:ffData>
            <w:name w:val="Check2"/>
            <w:enabled/>
            <w:calcOnExit w:val="0"/>
            <w:checkBox>
              <w:sizeAuto/>
              <w:default w:val="0"/>
            </w:checkBox>
          </w:ffData>
        </w:fldChar>
      </w:r>
      <w:r w:rsidRPr="00466349">
        <w:rPr>
          <w:b/>
        </w:rPr>
        <w:instrText xml:space="preserve"> FORMCHECKBOX </w:instrText>
      </w:r>
      <w:r w:rsidR="00B81886">
        <w:rPr>
          <w:b/>
        </w:rPr>
      </w:r>
      <w:r w:rsidR="00B81886">
        <w:rPr>
          <w:b/>
        </w:rPr>
        <w:fldChar w:fldCharType="separate"/>
      </w:r>
      <w:r w:rsidRPr="00466349">
        <w:rPr>
          <w:b/>
        </w:rPr>
        <w:fldChar w:fldCharType="end"/>
      </w:r>
      <w:r w:rsidRPr="00466349">
        <w:rPr>
          <w:b/>
        </w:rPr>
        <w:t xml:space="preserve"> No</w:t>
      </w:r>
      <w:r w:rsidR="00753C44" w:rsidRPr="00466349">
        <w:rPr>
          <w:b/>
        </w:rPr>
        <w:t xml:space="preserve">  </w:t>
      </w:r>
    </w:p>
    <w:p w14:paraId="0187E935" w14:textId="77777777" w:rsidR="000B3CD0" w:rsidRPr="0011036E" w:rsidRDefault="000B3CD0" w:rsidP="00D5577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60A3E7D" w14:textId="77777777" w:rsidR="00753C44" w:rsidRPr="00466349" w:rsidRDefault="006B6390" w:rsidP="00D55776">
      <w:pPr>
        <w:pStyle w:val="Tickboxes"/>
        <w:ind w:left="567" w:hanging="207"/>
        <w:rPr>
          <w:b/>
        </w:rPr>
      </w:pPr>
      <w:r w:rsidRPr="00466349">
        <w:rPr>
          <w:b/>
        </w:rPr>
        <w:fldChar w:fldCharType="begin">
          <w:ffData>
            <w:name w:val="Check2"/>
            <w:enabled/>
            <w:calcOnExit w:val="0"/>
            <w:checkBox>
              <w:sizeAuto/>
              <w:default w:val="0"/>
            </w:checkBox>
          </w:ffData>
        </w:fldChar>
      </w:r>
      <w:r w:rsidRPr="00466349">
        <w:rPr>
          <w:b/>
        </w:rPr>
        <w:instrText xml:space="preserve"> FORMCHECKBOX </w:instrText>
      </w:r>
      <w:r w:rsidR="00B81886">
        <w:rPr>
          <w:b/>
        </w:rPr>
      </w:r>
      <w:r w:rsidR="00B81886">
        <w:rPr>
          <w:b/>
        </w:rPr>
        <w:fldChar w:fldCharType="separate"/>
      </w:r>
      <w:r w:rsidRPr="00466349">
        <w:rPr>
          <w:b/>
        </w:rPr>
        <w:fldChar w:fldCharType="end"/>
      </w:r>
      <w:r w:rsidRPr="00466349">
        <w:rPr>
          <w:b/>
        </w:rPr>
        <w:t xml:space="preserve"> </w:t>
      </w:r>
      <w:r w:rsidR="00753C44" w:rsidRPr="00466349">
        <w:rPr>
          <w:b/>
        </w:rPr>
        <w:t>Amendment to existing MBS item(s)</w:t>
      </w:r>
    </w:p>
    <w:p w14:paraId="620C3001" w14:textId="758738BF" w:rsidR="00753C44" w:rsidRPr="00466349" w:rsidRDefault="00E93E36" w:rsidP="00D55776">
      <w:pPr>
        <w:pStyle w:val="Tickboxes"/>
        <w:ind w:left="567" w:hanging="207"/>
        <w:rPr>
          <w:b/>
        </w:rPr>
      </w:pPr>
      <w:r w:rsidRPr="00466349">
        <w:rPr>
          <w:b/>
        </w:rPr>
        <w:fldChar w:fldCharType="begin">
          <w:ffData>
            <w:name w:val="Check2"/>
            <w:enabled/>
            <w:calcOnExit w:val="0"/>
            <w:checkBox>
              <w:sizeAuto/>
              <w:default w:val="1"/>
            </w:checkBox>
          </w:ffData>
        </w:fldChar>
      </w:r>
      <w:bookmarkStart w:id="4" w:name="Check2"/>
      <w:r w:rsidRPr="00466349">
        <w:rPr>
          <w:b/>
        </w:rPr>
        <w:instrText xml:space="preserve"> FORMCHECKBOX </w:instrText>
      </w:r>
      <w:r w:rsidR="00B81886">
        <w:rPr>
          <w:b/>
        </w:rPr>
      </w:r>
      <w:r w:rsidR="00B81886">
        <w:rPr>
          <w:b/>
        </w:rPr>
        <w:fldChar w:fldCharType="separate"/>
      </w:r>
      <w:r w:rsidRPr="00466349">
        <w:rPr>
          <w:b/>
        </w:rPr>
        <w:fldChar w:fldCharType="end"/>
      </w:r>
      <w:bookmarkEnd w:id="4"/>
      <w:r w:rsidR="006B6390" w:rsidRPr="00466349">
        <w:rPr>
          <w:b/>
        </w:rPr>
        <w:t xml:space="preserve"> </w:t>
      </w:r>
      <w:r w:rsidR="00753C44" w:rsidRPr="00466349">
        <w:rPr>
          <w:b/>
        </w:rPr>
        <w:t>New MBS item(s)</w:t>
      </w:r>
    </w:p>
    <w:p w14:paraId="089A7F91" w14:textId="77777777" w:rsidR="000B3CD0" w:rsidRPr="0011036E" w:rsidRDefault="000B3CD0" w:rsidP="00D5577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2A1C920D" w14:textId="3493501E" w:rsidR="003D795C" w:rsidRPr="00CB12EC" w:rsidRDefault="000059DC" w:rsidP="00D55776">
      <w:r>
        <w:t>Not applicable</w:t>
      </w:r>
    </w:p>
    <w:p w14:paraId="251BD54A" w14:textId="77777777" w:rsidR="006C0843" w:rsidRPr="0011036E" w:rsidRDefault="006C0843" w:rsidP="00D5577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B167CB0" w14:textId="2468A0D9" w:rsidR="002A270B" w:rsidRPr="00CB12EC" w:rsidRDefault="00121387" w:rsidP="00D55776">
      <w:r>
        <w:t>Not applicable</w:t>
      </w:r>
    </w:p>
    <w:p w14:paraId="18BA2FFA" w14:textId="77777777" w:rsidR="00534C5F" w:rsidRPr="007E39E4" w:rsidRDefault="000770BA" w:rsidP="00D5577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9CF3A99" w14:textId="77777777" w:rsidR="006B6390" w:rsidRPr="0000380D" w:rsidRDefault="006B6390" w:rsidP="00D55776">
      <w:pPr>
        <w:pStyle w:val="Tickboxes"/>
        <w:ind w:left="567" w:hanging="207"/>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B81886">
        <w:rPr>
          <w:b/>
        </w:rPr>
      </w:r>
      <w:r w:rsidR="00B81886">
        <w:rPr>
          <w:b/>
        </w:rPr>
        <w:fldChar w:fldCharType="separate"/>
      </w:r>
      <w:r w:rsidRPr="0000380D">
        <w:rPr>
          <w:b/>
        </w:rPr>
        <w:fldChar w:fldCharType="end"/>
      </w:r>
      <w:r w:rsidRPr="0000380D">
        <w:rPr>
          <w:b/>
        </w:rPr>
        <w:t xml:space="preserve"> </w:t>
      </w:r>
      <w:r w:rsidRPr="0000380D">
        <w:rPr>
          <w:rStyle w:val="Strong"/>
          <w:b w:val="0"/>
        </w:rPr>
        <w:t>A new item which also seeks to allow access to the MBS for a specific health practitioner group</w:t>
      </w:r>
    </w:p>
    <w:p w14:paraId="5E07E2EF" w14:textId="2BB6447A" w:rsidR="006B6390" w:rsidRPr="0000380D" w:rsidRDefault="000059DC" w:rsidP="00D55776">
      <w:pPr>
        <w:pStyle w:val="Tickboxes"/>
        <w:ind w:left="567" w:hanging="207"/>
        <w:rPr>
          <w:rStyle w:val="Strong"/>
          <w:b w:val="0"/>
        </w:rPr>
      </w:pPr>
      <w:r>
        <w:rPr>
          <w:b/>
        </w:rPr>
        <w:fldChar w:fldCharType="begin">
          <w:ffData>
            <w:name w:val=""/>
            <w:enabled/>
            <w:calcOnExit w:val="0"/>
            <w:checkBox>
              <w:sizeAuto/>
              <w:default w:val="1"/>
            </w:checkBox>
          </w:ffData>
        </w:fldChar>
      </w:r>
      <w:r>
        <w:rPr>
          <w:b/>
        </w:rPr>
        <w:instrText xml:space="preserve"> FORMCHECKBOX </w:instrText>
      </w:r>
      <w:r w:rsidR="00B81886">
        <w:rPr>
          <w:b/>
        </w:rPr>
      </w:r>
      <w:r w:rsidR="00B81886">
        <w:rPr>
          <w:b/>
        </w:rPr>
        <w:fldChar w:fldCharType="separate"/>
      </w:r>
      <w:r>
        <w:rPr>
          <w:b/>
        </w:rPr>
        <w:fldChar w:fldCharType="end"/>
      </w:r>
      <w:r w:rsidR="006B6390" w:rsidRPr="0000380D">
        <w:rPr>
          <w:b/>
        </w:rPr>
        <w:t xml:space="preserve"> </w:t>
      </w:r>
      <w:r w:rsidR="006B6390" w:rsidRPr="0000380D">
        <w:rPr>
          <w:rStyle w:val="Strong"/>
          <w:b w:val="0"/>
        </w:rPr>
        <w:t>A new item that is proposing a way of clinically delivering a service that is new to the MBS (in terms of new technology and/or population)</w:t>
      </w:r>
    </w:p>
    <w:p w14:paraId="6F99E57B" w14:textId="77777777" w:rsidR="006B6390" w:rsidRPr="0000380D" w:rsidRDefault="006B6390" w:rsidP="00D55776">
      <w:pPr>
        <w:pStyle w:val="Tickboxes"/>
        <w:ind w:left="567" w:hanging="207"/>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B81886">
        <w:rPr>
          <w:b/>
        </w:rPr>
      </w:r>
      <w:r w:rsidR="00B81886">
        <w:rPr>
          <w:b/>
        </w:rPr>
        <w:fldChar w:fldCharType="separate"/>
      </w:r>
      <w:r w:rsidRPr="0000380D">
        <w:rPr>
          <w:b/>
        </w:rPr>
        <w:fldChar w:fldCharType="end"/>
      </w:r>
      <w:r w:rsidRPr="0000380D">
        <w:rPr>
          <w:b/>
        </w:rPr>
        <w:t xml:space="preserve"> </w:t>
      </w:r>
      <w:r w:rsidRPr="0000380D">
        <w:rPr>
          <w:rStyle w:val="Strong"/>
          <w:b w:val="0"/>
        </w:rPr>
        <w:t>A new item for a specific single consultation item</w:t>
      </w:r>
    </w:p>
    <w:p w14:paraId="7E0586C8" w14:textId="77777777" w:rsidR="006B6390" w:rsidRPr="0000380D" w:rsidRDefault="006B6390" w:rsidP="00D55776">
      <w:pPr>
        <w:pStyle w:val="Tickboxes"/>
        <w:ind w:left="567" w:hanging="207"/>
        <w:rPr>
          <w:rStyle w:val="Strong"/>
          <w:b w:val="0"/>
        </w:rPr>
      </w:pPr>
      <w:r w:rsidRPr="0000380D">
        <w:rPr>
          <w:b/>
        </w:rPr>
        <w:fldChar w:fldCharType="begin">
          <w:ffData>
            <w:name w:val="Check2"/>
            <w:enabled/>
            <w:calcOnExit w:val="0"/>
            <w:checkBox>
              <w:sizeAuto/>
              <w:default w:val="0"/>
            </w:checkBox>
          </w:ffData>
        </w:fldChar>
      </w:r>
      <w:r w:rsidRPr="0000380D">
        <w:rPr>
          <w:b/>
        </w:rPr>
        <w:instrText xml:space="preserve"> FORMCHECKBOX </w:instrText>
      </w:r>
      <w:r w:rsidR="00B81886">
        <w:rPr>
          <w:b/>
        </w:rPr>
      </w:r>
      <w:r w:rsidR="00B81886">
        <w:rPr>
          <w:b/>
        </w:rPr>
        <w:fldChar w:fldCharType="separate"/>
      </w:r>
      <w:r w:rsidRPr="0000380D">
        <w:rPr>
          <w:b/>
        </w:rPr>
        <w:fldChar w:fldCharType="end"/>
      </w:r>
      <w:r w:rsidRPr="0000380D">
        <w:rPr>
          <w:b/>
        </w:rPr>
        <w:t xml:space="preserve"> </w:t>
      </w:r>
      <w:r w:rsidRPr="0000380D">
        <w:rPr>
          <w:rStyle w:val="Strong"/>
          <w:b w:val="0"/>
        </w:rPr>
        <w:t>A new item for a global consultation item(s)</w:t>
      </w:r>
    </w:p>
    <w:p w14:paraId="3510A476" w14:textId="77777777" w:rsidR="003027BB" w:rsidRPr="007E39E4" w:rsidRDefault="00F30C22" w:rsidP="00D5577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A821BCE" w14:textId="77777777" w:rsidR="000A5B32" w:rsidRDefault="000A5B32"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rsidRPr="000A5B32">
        <w:t xml:space="preserve"> Yes</w:t>
      </w:r>
    </w:p>
    <w:p w14:paraId="4C719EFA" w14:textId="54E71360" w:rsidR="00626365" w:rsidRDefault="000059DC" w:rsidP="00D55776">
      <w:pPr>
        <w:pStyle w:val="Tickboxes"/>
      </w:pPr>
      <w:r>
        <w:fldChar w:fldCharType="begin">
          <w:ffData>
            <w:name w:val=""/>
            <w:enabled/>
            <w:calcOnExit w:val="0"/>
            <w:checkBox>
              <w:sizeAuto/>
              <w:default w:val="1"/>
            </w:checkBox>
          </w:ffData>
        </w:fldChar>
      </w:r>
      <w:r>
        <w:instrText xml:space="preserve"> FORMCHECKBOX </w:instrText>
      </w:r>
      <w:r w:rsidR="00B81886">
        <w:fldChar w:fldCharType="separate"/>
      </w:r>
      <w:r>
        <w:fldChar w:fldCharType="end"/>
      </w:r>
      <w:r w:rsidR="000A5B32" w:rsidRPr="000A5B32">
        <w:t xml:space="preserve"> No</w:t>
      </w:r>
    </w:p>
    <w:p w14:paraId="77B07909" w14:textId="77777777" w:rsidR="003027BB" w:rsidRPr="007E39E4" w:rsidRDefault="003027BB" w:rsidP="00D5577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82051B2" w14:textId="6CFB14A7" w:rsidR="000A5B32" w:rsidRPr="00855944" w:rsidRDefault="00E815A3" w:rsidP="00D55776">
      <w:pPr>
        <w:rPr>
          <w:rStyle w:val="Strong"/>
        </w:rPr>
      </w:pPr>
      <w:r>
        <w:t>Not applicable</w:t>
      </w:r>
    </w:p>
    <w:p w14:paraId="1AEAE438" w14:textId="18E6E565" w:rsidR="000B3CD0" w:rsidRDefault="000B3CD0" w:rsidP="00D55776">
      <w:pPr>
        <w:pStyle w:val="Heading2"/>
      </w:pPr>
      <w:r w:rsidRPr="00154B00">
        <w:t xml:space="preserve">What is the type of </w:t>
      </w:r>
      <w:r w:rsidR="00B45CA5">
        <w:t xml:space="preserve">medical </w:t>
      </w:r>
      <w:r w:rsidRPr="00154B00">
        <w:t>service</w:t>
      </w:r>
      <w:r w:rsidR="00B45CA5">
        <w:t>/technology?</w:t>
      </w:r>
    </w:p>
    <w:p w14:paraId="404207EB" w14:textId="77777777" w:rsidR="00A6594E" w:rsidRDefault="00A6594E" w:rsidP="00D55776">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B81886">
        <w:rPr>
          <w:b/>
        </w:rPr>
      </w:r>
      <w:r w:rsidR="00B81886">
        <w:rPr>
          <w:b/>
        </w:rPr>
        <w:fldChar w:fldCharType="separate"/>
      </w:r>
      <w:r w:rsidRPr="0027105F">
        <w:rPr>
          <w:b/>
        </w:rPr>
        <w:fldChar w:fldCharType="end"/>
      </w:r>
      <w:r w:rsidRPr="0027105F">
        <w:rPr>
          <w:b/>
        </w:rPr>
        <w:t xml:space="preserve"> </w:t>
      </w:r>
      <w:r>
        <w:t>Therapeutic medical service</w:t>
      </w:r>
    </w:p>
    <w:p w14:paraId="40369877" w14:textId="77777777" w:rsidR="00A6594E" w:rsidRPr="0000380D" w:rsidRDefault="00A6594E" w:rsidP="00D55776">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B81886">
        <w:fldChar w:fldCharType="separate"/>
      </w:r>
      <w:r w:rsidRPr="0000380D">
        <w:fldChar w:fldCharType="end"/>
      </w:r>
      <w:r w:rsidRPr="0000380D">
        <w:t xml:space="preserve"> Investigative medical service</w:t>
      </w:r>
    </w:p>
    <w:p w14:paraId="0983DBC2" w14:textId="77777777" w:rsidR="00A6594E" w:rsidRPr="0000380D" w:rsidRDefault="00A6594E" w:rsidP="00D55776">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B81886">
        <w:fldChar w:fldCharType="separate"/>
      </w:r>
      <w:r w:rsidRPr="0000380D">
        <w:fldChar w:fldCharType="end"/>
      </w:r>
      <w:r w:rsidRPr="0000380D">
        <w:t xml:space="preserve"> Single consultation medical service</w:t>
      </w:r>
    </w:p>
    <w:p w14:paraId="229262BE" w14:textId="77777777" w:rsidR="00A6594E" w:rsidRPr="0000380D" w:rsidRDefault="00A6594E" w:rsidP="00D55776">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B81886">
        <w:fldChar w:fldCharType="separate"/>
      </w:r>
      <w:r w:rsidRPr="0000380D">
        <w:fldChar w:fldCharType="end"/>
      </w:r>
      <w:r w:rsidRPr="0000380D">
        <w:t xml:space="preserve"> Global consultation medical service</w:t>
      </w:r>
    </w:p>
    <w:p w14:paraId="64E2CE84" w14:textId="77777777" w:rsidR="00A6594E" w:rsidRPr="0000380D" w:rsidRDefault="00A6594E" w:rsidP="00D55776">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B81886">
        <w:fldChar w:fldCharType="separate"/>
      </w:r>
      <w:r w:rsidRPr="0000380D">
        <w:fldChar w:fldCharType="end"/>
      </w:r>
      <w:r w:rsidRPr="0000380D">
        <w:t xml:space="preserve"> Allied health service</w:t>
      </w:r>
    </w:p>
    <w:p w14:paraId="6C198055" w14:textId="2E8F2082" w:rsidR="00A6594E" w:rsidRPr="0000380D" w:rsidRDefault="00E815A3" w:rsidP="00D55776">
      <w:pPr>
        <w:pStyle w:val="Tickboxes"/>
      </w:pPr>
      <w:r>
        <w:fldChar w:fldCharType="begin">
          <w:ffData>
            <w:name w:val=""/>
            <w:enabled/>
            <w:calcOnExit w:val="0"/>
            <w:checkBox>
              <w:sizeAuto/>
              <w:default w:val="1"/>
            </w:checkBox>
          </w:ffData>
        </w:fldChar>
      </w:r>
      <w:r>
        <w:instrText xml:space="preserve"> FORMCHECKBOX </w:instrText>
      </w:r>
      <w:r w:rsidR="00B81886">
        <w:fldChar w:fldCharType="separate"/>
      </w:r>
      <w:r>
        <w:fldChar w:fldCharType="end"/>
      </w:r>
      <w:r w:rsidR="00A6594E" w:rsidRPr="0000380D">
        <w:t xml:space="preserve"> Co-dependent technology</w:t>
      </w:r>
    </w:p>
    <w:p w14:paraId="295D29AD" w14:textId="77777777" w:rsidR="00A6594E" w:rsidRPr="0000380D" w:rsidRDefault="00A6594E" w:rsidP="00D55776">
      <w:pPr>
        <w:pStyle w:val="Tickboxes"/>
      </w:pPr>
      <w:r w:rsidRPr="0000380D">
        <w:fldChar w:fldCharType="begin">
          <w:ffData>
            <w:name w:val="Check2"/>
            <w:enabled/>
            <w:calcOnExit w:val="0"/>
            <w:checkBox>
              <w:sizeAuto/>
              <w:default w:val="0"/>
            </w:checkBox>
          </w:ffData>
        </w:fldChar>
      </w:r>
      <w:r w:rsidRPr="0000380D">
        <w:instrText xml:space="preserve"> FORMCHECKBOX </w:instrText>
      </w:r>
      <w:r w:rsidR="00B81886">
        <w:fldChar w:fldCharType="separate"/>
      </w:r>
      <w:r w:rsidRPr="0000380D">
        <w:fldChar w:fldCharType="end"/>
      </w:r>
      <w:r w:rsidRPr="0000380D">
        <w:t xml:space="preserve"> Hybrid health technology</w:t>
      </w:r>
    </w:p>
    <w:p w14:paraId="7614A1CB" w14:textId="77777777" w:rsidR="0054594B" w:rsidRDefault="0054594B" w:rsidP="00D55776">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08FE1AF" w14:textId="77777777" w:rsidR="00A6594E" w:rsidRDefault="00A6594E" w:rsidP="00D55776">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B81886">
        <w:rPr>
          <w:b/>
        </w:rPr>
      </w:r>
      <w:r w:rsidR="00B81886">
        <w:rPr>
          <w:b/>
        </w:rPr>
        <w:fldChar w:fldCharType="separate"/>
      </w:r>
      <w:r w:rsidRPr="00AF4466">
        <w:rPr>
          <w:b/>
        </w:rPr>
        <w:fldChar w:fldCharType="end"/>
      </w:r>
      <w:r w:rsidRPr="00AF4466">
        <w:rPr>
          <w:b/>
        </w:rPr>
        <w:t xml:space="preserve"> </w:t>
      </w:r>
      <w:r>
        <w:t xml:space="preserve">To be used as a screening tool in asymptomatic populations </w:t>
      </w:r>
    </w:p>
    <w:p w14:paraId="7AD1B0A4" w14:textId="77777777" w:rsidR="00A6594E" w:rsidRDefault="00A6594E" w:rsidP="00D55776">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B81886">
        <w:rPr>
          <w:b/>
        </w:rPr>
      </w:r>
      <w:r w:rsidR="00B81886">
        <w:rPr>
          <w:b/>
        </w:rPr>
        <w:fldChar w:fldCharType="separate"/>
      </w:r>
      <w:r w:rsidRPr="00AF4466">
        <w:rPr>
          <w:b/>
        </w:rPr>
        <w:fldChar w:fldCharType="end"/>
      </w:r>
      <w:r w:rsidRPr="00AF4466">
        <w:rPr>
          <w:b/>
        </w:rPr>
        <w:t xml:space="preserve"> </w:t>
      </w:r>
      <w:r>
        <w:t>Assists in establishing a diagnosis in symptomatic patients</w:t>
      </w:r>
    </w:p>
    <w:p w14:paraId="59727B03" w14:textId="77777777" w:rsidR="00A6594E" w:rsidRDefault="00A6594E" w:rsidP="00D55776">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B81886">
        <w:rPr>
          <w:b/>
        </w:rPr>
      </w:r>
      <w:r w:rsidR="00B81886">
        <w:rPr>
          <w:b/>
        </w:rPr>
        <w:fldChar w:fldCharType="separate"/>
      </w:r>
      <w:r w:rsidRPr="00AF4466">
        <w:rPr>
          <w:b/>
        </w:rPr>
        <w:fldChar w:fldCharType="end"/>
      </w:r>
      <w:r w:rsidRPr="00AF4466">
        <w:rPr>
          <w:b/>
        </w:rPr>
        <w:t xml:space="preserve"> </w:t>
      </w:r>
      <w:r>
        <w:t>Provides information about prognosis</w:t>
      </w:r>
    </w:p>
    <w:p w14:paraId="17E6109D" w14:textId="00B658AF" w:rsidR="00A6594E" w:rsidRDefault="00E815A3" w:rsidP="00D55776">
      <w:pPr>
        <w:pStyle w:val="Tickboxes"/>
      </w:pPr>
      <w:r>
        <w:rPr>
          <w:b/>
        </w:rPr>
        <w:fldChar w:fldCharType="begin">
          <w:ffData>
            <w:name w:val=""/>
            <w:enabled/>
            <w:calcOnExit w:val="0"/>
            <w:checkBox>
              <w:sizeAuto/>
              <w:default w:val="1"/>
            </w:checkBox>
          </w:ffData>
        </w:fldChar>
      </w:r>
      <w:r>
        <w:rPr>
          <w:b/>
        </w:rPr>
        <w:instrText xml:space="preserve"> FORMCHECKBOX </w:instrText>
      </w:r>
      <w:r w:rsidR="00B81886">
        <w:rPr>
          <w:b/>
        </w:rPr>
      </w:r>
      <w:r w:rsidR="00B81886">
        <w:rPr>
          <w:b/>
        </w:rPr>
        <w:fldChar w:fldCharType="separate"/>
      </w:r>
      <w:r>
        <w:rPr>
          <w:b/>
        </w:rPr>
        <w:fldChar w:fldCharType="end"/>
      </w:r>
      <w:r w:rsidR="00A6594E" w:rsidRPr="00AF4466">
        <w:rPr>
          <w:b/>
        </w:rPr>
        <w:t xml:space="preserve"> </w:t>
      </w:r>
      <w:r w:rsidR="00A6594E">
        <w:t>Identifies a patient as suitable for therapy by predicting a variation in the effect of the therapy</w:t>
      </w:r>
    </w:p>
    <w:p w14:paraId="70180770" w14:textId="77777777" w:rsidR="00A6594E" w:rsidRPr="00A6594E" w:rsidRDefault="00A6594E" w:rsidP="00D55776">
      <w:pPr>
        <w:pStyle w:val="Tickboxes"/>
      </w:pPr>
      <w:r w:rsidRPr="00AF4466">
        <w:rPr>
          <w:b/>
        </w:rPr>
        <w:fldChar w:fldCharType="begin">
          <w:ffData>
            <w:name w:val="Check2"/>
            <w:enabled/>
            <w:calcOnExit w:val="0"/>
            <w:checkBox>
              <w:sizeAuto/>
              <w:default w:val="0"/>
            </w:checkBox>
          </w:ffData>
        </w:fldChar>
      </w:r>
      <w:r w:rsidRPr="00AF4466">
        <w:rPr>
          <w:b/>
        </w:rPr>
        <w:instrText xml:space="preserve"> FORMCHECKBOX </w:instrText>
      </w:r>
      <w:r w:rsidR="00B81886">
        <w:rPr>
          <w:b/>
        </w:rPr>
      </w:r>
      <w:r w:rsidR="00B81886">
        <w:rPr>
          <w:b/>
        </w:rPr>
        <w:fldChar w:fldCharType="separate"/>
      </w:r>
      <w:r w:rsidRPr="00AF4466">
        <w:rPr>
          <w:b/>
        </w:rPr>
        <w:fldChar w:fldCharType="end"/>
      </w:r>
      <w:r w:rsidRPr="00AF4466">
        <w:rPr>
          <w:b/>
        </w:rPr>
        <w:t xml:space="preserve"> </w:t>
      </w:r>
      <w:r>
        <w:t>Monitors a patient over time to assess treatment response and guide subsequent treatment decisions</w:t>
      </w:r>
    </w:p>
    <w:p w14:paraId="64E23A90" w14:textId="77777777" w:rsidR="000B3CD0" w:rsidRDefault="000B3CD0" w:rsidP="00D55776">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5ED8F49" w14:textId="600FDF39" w:rsidR="00FE16C1" w:rsidRDefault="00E815A3" w:rsidP="00D55776">
      <w:pPr>
        <w:pStyle w:val="Tickboxes"/>
      </w:pPr>
      <w:r>
        <w:rPr>
          <w:b/>
        </w:rPr>
        <w:fldChar w:fldCharType="begin">
          <w:ffData>
            <w:name w:val=""/>
            <w:enabled/>
            <w:calcOnExit w:val="0"/>
            <w:checkBox>
              <w:sizeAuto/>
              <w:default w:val="1"/>
            </w:checkBox>
          </w:ffData>
        </w:fldChar>
      </w:r>
      <w:r>
        <w:rPr>
          <w:b/>
        </w:rPr>
        <w:instrText xml:space="preserve"> FORMCHECKBOX </w:instrText>
      </w:r>
      <w:r w:rsidR="00B81886">
        <w:rPr>
          <w:b/>
        </w:rPr>
      </w:r>
      <w:r w:rsidR="00B81886">
        <w:rPr>
          <w:b/>
        </w:rPr>
        <w:fldChar w:fldCharType="separate"/>
      </w:r>
      <w:r>
        <w:rPr>
          <w:b/>
        </w:rPr>
        <w:fldChar w:fldCharType="end"/>
      </w:r>
      <w:r w:rsidR="00FE16C1" w:rsidRPr="0027105F">
        <w:rPr>
          <w:b/>
        </w:rPr>
        <w:t xml:space="preserve"> </w:t>
      </w:r>
      <w:r w:rsidR="00FE16C1">
        <w:t>Pharmaceutical / Biological</w:t>
      </w:r>
    </w:p>
    <w:p w14:paraId="159ECFB8" w14:textId="77777777" w:rsidR="00FE16C1" w:rsidRDefault="00FE16C1" w:rsidP="00D55776">
      <w:pPr>
        <w:pStyle w:val="Tickboxes"/>
      </w:pPr>
      <w:r w:rsidRPr="0027105F">
        <w:rPr>
          <w:b/>
        </w:rPr>
        <w:fldChar w:fldCharType="begin">
          <w:ffData>
            <w:name w:val="Check2"/>
            <w:enabled/>
            <w:calcOnExit w:val="0"/>
            <w:checkBox>
              <w:sizeAuto/>
              <w:default w:val="0"/>
            </w:checkBox>
          </w:ffData>
        </w:fldChar>
      </w:r>
      <w:r w:rsidRPr="0027105F">
        <w:rPr>
          <w:b/>
        </w:rPr>
        <w:instrText xml:space="preserve"> FORMCHECKBOX </w:instrText>
      </w:r>
      <w:r w:rsidR="00B81886">
        <w:rPr>
          <w:b/>
        </w:rPr>
      </w:r>
      <w:r w:rsidR="00B81886">
        <w:rPr>
          <w:b/>
        </w:rPr>
        <w:fldChar w:fldCharType="separate"/>
      </w:r>
      <w:r w:rsidRPr="0027105F">
        <w:rPr>
          <w:b/>
        </w:rPr>
        <w:fldChar w:fldCharType="end"/>
      </w:r>
      <w:r w:rsidRPr="0027105F">
        <w:rPr>
          <w:b/>
        </w:rPr>
        <w:t xml:space="preserve"> </w:t>
      </w:r>
      <w:r>
        <w:t>Prosthesis or device</w:t>
      </w:r>
    </w:p>
    <w:p w14:paraId="0893846A" w14:textId="77777777" w:rsidR="00FE16C1" w:rsidRPr="00FE16C1" w:rsidRDefault="00FE16C1" w:rsidP="00D55776">
      <w:pPr>
        <w:pStyle w:val="Tickboxes"/>
      </w:pPr>
      <w:r w:rsidRPr="0027105F">
        <w:fldChar w:fldCharType="begin">
          <w:ffData>
            <w:name w:val="Check2"/>
            <w:enabled/>
            <w:calcOnExit w:val="0"/>
            <w:checkBox>
              <w:sizeAuto/>
              <w:default w:val="0"/>
            </w:checkBox>
          </w:ffData>
        </w:fldChar>
      </w:r>
      <w:r w:rsidRPr="0027105F">
        <w:instrText xml:space="preserve"> FORMCHECKBOX </w:instrText>
      </w:r>
      <w:r w:rsidR="00B81886">
        <w:fldChar w:fldCharType="separate"/>
      </w:r>
      <w:r w:rsidRPr="0027105F">
        <w:fldChar w:fldCharType="end"/>
      </w:r>
      <w:r w:rsidRPr="0027105F">
        <w:t xml:space="preserve"> </w:t>
      </w:r>
      <w:r>
        <w:t>No</w:t>
      </w:r>
    </w:p>
    <w:p w14:paraId="1E4B7D53" w14:textId="77777777" w:rsidR="000E5439" w:rsidRPr="001E6958" w:rsidRDefault="00530204" w:rsidP="00D55776">
      <w:pPr>
        <w:pStyle w:val="Heading2"/>
      </w:pPr>
      <w:r>
        <w:t xml:space="preserve">(a)  </w:t>
      </w:r>
      <w:r w:rsidR="000E5439" w:rsidRPr="001E6958">
        <w:t>If the proposed service has a pharmaceutical component to it, is it already covered under an existing Pharmaceutical Benefits Scheme (PBS) listing?</w:t>
      </w:r>
    </w:p>
    <w:p w14:paraId="51139013" w14:textId="77777777" w:rsidR="00FE16C1" w:rsidRDefault="00FE16C1"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rsidRPr="000A5B32">
        <w:t xml:space="preserve"> Yes</w:t>
      </w:r>
    </w:p>
    <w:p w14:paraId="768B0835" w14:textId="7EED423E" w:rsidR="00FE16C1" w:rsidRPr="00FE16C1" w:rsidRDefault="00AF682E" w:rsidP="00D55776">
      <w:pPr>
        <w:pStyle w:val="Tickboxes"/>
      </w:pPr>
      <w:r>
        <w:fldChar w:fldCharType="begin">
          <w:ffData>
            <w:name w:val=""/>
            <w:enabled/>
            <w:calcOnExit w:val="0"/>
            <w:checkBox>
              <w:sizeAuto/>
              <w:default w:val="1"/>
            </w:checkBox>
          </w:ffData>
        </w:fldChar>
      </w:r>
      <w:r>
        <w:instrText xml:space="preserve"> FORMCHECKBOX </w:instrText>
      </w:r>
      <w:r w:rsidR="00B81886">
        <w:fldChar w:fldCharType="separate"/>
      </w:r>
      <w:r>
        <w:fldChar w:fldCharType="end"/>
      </w:r>
      <w:r w:rsidR="00FE16C1">
        <w:t xml:space="preserve"> No  </w:t>
      </w:r>
    </w:p>
    <w:p w14:paraId="4EC6DB41" w14:textId="77777777" w:rsidR="00EC127A" w:rsidRPr="001E6958" w:rsidRDefault="000E5439" w:rsidP="00D55776">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DD62C26" w14:textId="34387960" w:rsidR="007E39E4" w:rsidRPr="007E39E4" w:rsidRDefault="00AF682E" w:rsidP="00D55776">
      <w:pPr>
        <w:rPr>
          <w:b/>
          <w:szCs w:val="20"/>
        </w:rPr>
      </w:pPr>
      <w:r>
        <w:t>Not applicable</w:t>
      </w:r>
    </w:p>
    <w:p w14:paraId="5C6877FB" w14:textId="77777777" w:rsidR="00411735" w:rsidRPr="001E6958" w:rsidRDefault="00411735" w:rsidP="00D55776">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ECFD1A5" w14:textId="77777777" w:rsidR="007E39E4" w:rsidRDefault="007E39E4"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rsidRPr="000A5B32">
        <w:t xml:space="preserve"> Yes</w:t>
      </w:r>
      <w:r w:rsidR="001E6919">
        <w:t xml:space="preserve"> (please provide PBAC submission item number below)</w:t>
      </w:r>
    </w:p>
    <w:p w14:paraId="75AA6B46" w14:textId="376B010F" w:rsidR="001E6919" w:rsidRDefault="00AF682E" w:rsidP="00D55776">
      <w:pPr>
        <w:pStyle w:val="Tickboxes"/>
      </w:pPr>
      <w:r>
        <w:fldChar w:fldCharType="begin">
          <w:ffData>
            <w:name w:val=""/>
            <w:enabled/>
            <w:calcOnExit w:val="0"/>
            <w:checkBox>
              <w:sizeAuto/>
              <w:default w:val="1"/>
            </w:checkBox>
          </w:ffData>
        </w:fldChar>
      </w:r>
      <w:r>
        <w:instrText xml:space="preserve"> FORMCHECKBOX </w:instrText>
      </w:r>
      <w:r w:rsidR="00B81886">
        <w:fldChar w:fldCharType="separate"/>
      </w:r>
      <w:r>
        <w:fldChar w:fldCharType="end"/>
      </w:r>
      <w:r w:rsidR="001E6919">
        <w:t xml:space="preserve"> No</w:t>
      </w:r>
    </w:p>
    <w:p w14:paraId="760E9B5B" w14:textId="77777777" w:rsidR="000E5439" w:rsidRDefault="000E5439" w:rsidP="00D55776">
      <w:pPr>
        <w:pStyle w:val="Heading2"/>
        <w:numPr>
          <w:ilvl w:val="0"/>
          <w:numId w:val="4"/>
        </w:numPr>
      </w:pPr>
      <w:r w:rsidRPr="007E39E4">
        <w:t>If you are seeking both MBS and PBS listing</w:t>
      </w:r>
      <w:r w:rsidR="00B75965" w:rsidRPr="007E39E4">
        <w:t>, what is the trade name and generic name of the pharmaceutical?</w:t>
      </w:r>
    </w:p>
    <w:p w14:paraId="296AF52F" w14:textId="0A1A58AD" w:rsidR="001E6958" w:rsidRDefault="001E6958" w:rsidP="00D55776">
      <w:r>
        <w:t xml:space="preserve">Trade name: </w:t>
      </w:r>
      <w:r w:rsidR="00505EA0">
        <w:t>Not available at the time of submitting this application form.</w:t>
      </w:r>
    </w:p>
    <w:p w14:paraId="074CE11F" w14:textId="57585F93" w:rsidR="001E6958" w:rsidRPr="001E6958" w:rsidRDefault="001E6958" w:rsidP="00D55776">
      <w:r>
        <w:t xml:space="preserve">Generic name: </w:t>
      </w:r>
      <w:r w:rsidR="00505EA0">
        <w:t>Lecanemab</w:t>
      </w:r>
    </w:p>
    <w:p w14:paraId="3FA32A08" w14:textId="77777777" w:rsidR="00FF1D23" w:rsidRDefault="00FF1D23" w:rsidP="00D55776">
      <w:pPr>
        <w:spacing w:before="0" w:after="200" w:line="276" w:lineRule="auto"/>
        <w:ind w:left="0"/>
        <w:rPr>
          <w:b/>
          <w:szCs w:val="20"/>
        </w:rPr>
      </w:pPr>
      <w:r>
        <w:br w:type="page"/>
      </w:r>
    </w:p>
    <w:p w14:paraId="2B651BF5" w14:textId="0EBB39C0" w:rsidR="00B75965" w:rsidRDefault="00530204" w:rsidP="00D55776">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3167C32" w14:textId="5ADF0FD2" w:rsidR="001E6958" w:rsidRDefault="00505EA0" w:rsidP="00D55776">
      <w:pPr>
        <w:pStyle w:val="Tickboxes"/>
      </w:pPr>
      <w:r>
        <w:t>Not applicable</w:t>
      </w:r>
    </w:p>
    <w:p w14:paraId="02859238" w14:textId="77777777" w:rsidR="00B75965" w:rsidRDefault="00B75965" w:rsidP="00D55776">
      <w:pPr>
        <w:pStyle w:val="Heading2"/>
        <w:numPr>
          <w:ilvl w:val="0"/>
          <w:numId w:val="5"/>
        </w:numPr>
      </w:pPr>
      <w:r w:rsidRPr="001E6958">
        <w:t xml:space="preserve">If yes, </w:t>
      </w:r>
      <w:r w:rsidR="00C73B62" w:rsidRPr="001E6958">
        <w:t xml:space="preserve">please provide the following information (where relevant): </w:t>
      </w:r>
    </w:p>
    <w:p w14:paraId="408C554A" w14:textId="77777777" w:rsidR="00505EA0" w:rsidRDefault="00505EA0" w:rsidP="00D55776">
      <w:pPr>
        <w:pStyle w:val="Tickboxes"/>
      </w:pPr>
      <w:r>
        <w:t>Not applicable</w:t>
      </w:r>
    </w:p>
    <w:p w14:paraId="17CA5029" w14:textId="77777777" w:rsidR="00411735" w:rsidRDefault="00411735" w:rsidP="00D55776">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9CFF95A" w14:textId="77777777" w:rsidR="00505EA0" w:rsidRDefault="00505EA0" w:rsidP="00D55776">
      <w:pPr>
        <w:pStyle w:val="Tickboxes"/>
      </w:pPr>
      <w:r>
        <w:t>Not applicable</w:t>
      </w:r>
    </w:p>
    <w:p w14:paraId="111BEF39" w14:textId="04BC2F78" w:rsidR="00016B6E" w:rsidRPr="009939DC" w:rsidRDefault="00016B6E" w:rsidP="00D55776">
      <w:pPr>
        <w:pStyle w:val="Heading2"/>
        <w:numPr>
          <w:ilvl w:val="0"/>
          <w:numId w:val="5"/>
        </w:numPr>
      </w:pPr>
      <w:r w:rsidRPr="009939DC">
        <w:t>Are there any other sponsor(s) and/or manufacturer(</w:t>
      </w:r>
      <w:r w:rsidR="008B729C" w:rsidRPr="009939DC">
        <w:t>s) that have a similar prosthesi</w:t>
      </w:r>
      <w:r w:rsidRPr="009939DC">
        <w:t>s or device component in the Australian marketplace which this application is relevant to?</w:t>
      </w:r>
    </w:p>
    <w:p w14:paraId="59350E3E" w14:textId="77777777" w:rsidR="00505EA0" w:rsidRDefault="00505EA0" w:rsidP="00D55776">
      <w:pPr>
        <w:pStyle w:val="Tickboxes"/>
      </w:pPr>
      <w:r>
        <w:t>Not applicable</w:t>
      </w:r>
    </w:p>
    <w:p w14:paraId="6C9C4260" w14:textId="77777777" w:rsidR="009939DC" w:rsidRDefault="00016B6E" w:rsidP="00D55776">
      <w:pPr>
        <w:pStyle w:val="Heading2"/>
        <w:numPr>
          <w:ilvl w:val="0"/>
          <w:numId w:val="5"/>
        </w:numPr>
      </w:pPr>
      <w:r w:rsidRPr="009939DC">
        <w:t>If yes, please provide the name(s) of the spon</w:t>
      </w:r>
      <w:r w:rsidR="009939DC">
        <w:t>sor(s) and / or manufacturer(s):</w:t>
      </w:r>
    </w:p>
    <w:p w14:paraId="7E9C780F" w14:textId="77777777" w:rsidR="00505EA0" w:rsidRDefault="00505EA0" w:rsidP="00D55776">
      <w:pPr>
        <w:pStyle w:val="Tickboxes"/>
      </w:pPr>
      <w:r>
        <w:t>Not applicable</w:t>
      </w:r>
    </w:p>
    <w:p w14:paraId="64E827FA" w14:textId="77777777" w:rsidR="0084657B" w:rsidRPr="009939DC" w:rsidRDefault="00A9062D" w:rsidP="00D55776">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207DEFD8" w14:textId="77777777" w:rsidR="00DB3AEC" w:rsidRPr="00DB3AEC" w:rsidRDefault="00DB3AEC" w:rsidP="00D55776">
      <w:pPr>
        <w:jc w:val="both"/>
        <w:rPr>
          <w:u w:val="single"/>
        </w:rPr>
      </w:pPr>
      <w:r w:rsidRPr="00DB3AEC">
        <w:rPr>
          <w:u w:val="single"/>
        </w:rPr>
        <w:t>Key consumables for Aβ PET</w:t>
      </w:r>
    </w:p>
    <w:p w14:paraId="14167881" w14:textId="46F78389" w:rsidR="00DB3AEC" w:rsidRDefault="00DB3AEC" w:rsidP="00D55776">
      <w:pPr>
        <w:jc w:val="both"/>
      </w:pPr>
      <w:r>
        <w:t>Radiopharmaceutical for Aβ PET imaging of the brain, for intravenous injection</w:t>
      </w:r>
    </w:p>
    <w:p w14:paraId="73DBF93E" w14:textId="77777777" w:rsidR="00DB3AEC" w:rsidRPr="00DB3AEC" w:rsidRDefault="00DB3AEC" w:rsidP="00D55776">
      <w:pPr>
        <w:jc w:val="both"/>
        <w:rPr>
          <w:u w:val="single"/>
        </w:rPr>
      </w:pPr>
      <w:r w:rsidRPr="00DB3AEC">
        <w:rPr>
          <w:u w:val="single"/>
        </w:rPr>
        <w:t>Key consumables for CSF Aβ and Tau assays</w:t>
      </w:r>
    </w:p>
    <w:p w14:paraId="47B6CD11" w14:textId="43E1AE56" w:rsidR="00DB3AEC" w:rsidRDefault="00DB3AEC" w:rsidP="00D55776">
      <w:pPr>
        <w:jc w:val="both"/>
      </w:pPr>
      <w:r>
        <w:t>Immunoassay kits and reagents</w:t>
      </w:r>
      <w:r w:rsidR="007C0041">
        <w:t xml:space="preserve">, low binding tubes, </w:t>
      </w:r>
    </w:p>
    <w:p w14:paraId="30CE40FC" w14:textId="17E7472C" w:rsidR="00F301F1" w:rsidRPr="00855944" w:rsidRDefault="00F301F1" w:rsidP="00D55776">
      <w:r w:rsidRPr="00855944">
        <w:br w:type="page"/>
      </w:r>
    </w:p>
    <w:p w14:paraId="739FCC60" w14:textId="77777777" w:rsidR="00226777" w:rsidRPr="00C776B1" w:rsidRDefault="00530204" w:rsidP="00D55776">
      <w:pPr>
        <w:pStyle w:val="Heading1"/>
      </w:pPr>
      <w:r>
        <w:lastRenderedPageBreak/>
        <w:t>PART 3</w:t>
      </w:r>
      <w:r w:rsidR="00F93784">
        <w:t xml:space="preserve"> – </w:t>
      </w:r>
      <w:r w:rsidR="00226777" w:rsidRPr="00C776B1">
        <w:t>INFORMATION ABOUT REGULATORY REQUIREMENTS</w:t>
      </w:r>
    </w:p>
    <w:p w14:paraId="54706DFE" w14:textId="1F09B569" w:rsidR="001A1ADF" w:rsidRDefault="000E2E02" w:rsidP="00D55776">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1B28F64F" w14:textId="77777777" w:rsidR="008D0D81" w:rsidRPr="007E1E27" w:rsidRDefault="008D0D81" w:rsidP="00D55776">
      <w:pPr>
        <w:jc w:val="both"/>
        <w:rPr>
          <w:b/>
          <w:bCs/>
          <w:u w:val="single"/>
        </w:rPr>
      </w:pPr>
      <w:r w:rsidRPr="007E1E27">
        <w:rPr>
          <w:b/>
          <w:bCs/>
          <w:u w:val="single"/>
        </w:rPr>
        <w:t>Aβ PET imaging</w:t>
      </w:r>
    </w:p>
    <w:p w14:paraId="0D7DFAD6" w14:textId="77777777" w:rsidR="008D0D81" w:rsidRDefault="008D0D81" w:rsidP="00D55776">
      <w:pPr>
        <w:tabs>
          <w:tab w:val="left" w:pos="7938"/>
        </w:tabs>
        <w:rPr>
          <w:bCs/>
        </w:rPr>
      </w:pPr>
      <w:r w:rsidRPr="007E1E27">
        <w:rPr>
          <w:bCs/>
        </w:rPr>
        <w:t xml:space="preserve">Amyloid beta (Aβ) PET offers direct confirmation of the presence of Aβ brain pathology. PET is a minimally invasive diagnostic imaging technique used to distinguish normal from abnormal tissue in numerous indications including neurologic disorders. It is the only antemortem technique that can directly confirm the presence of brain Aβ pathology. </w:t>
      </w:r>
    </w:p>
    <w:p w14:paraId="350C97D1" w14:textId="77777777" w:rsidR="008D0D81" w:rsidRPr="00D32E3F" w:rsidRDefault="008D0D81" w:rsidP="00D55776">
      <w:pPr>
        <w:tabs>
          <w:tab w:val="left" w:pos="7938"/>
        </w:tabs>
        <w:rPr>
          <w:bCs/>
        </w:rPr>
      </w:pPr>
      <w:r w:rsidRPr="00D32E3F">
        <w:rPr>
          <w:bCs/>
        </w:rPr>
        <w:t>There are currently 85 Medicare eligible PET scanning facilities in Australia. Aβ PET scanning is not currently funded on the MBS</w:t>
      </w:r>
      <w:r>
        <w:rPr>
          <w:rStyle w:val="EndnoteReference"/>
          <w:bCs/>
        </w:rPr>
        <w:endnoteReference w:id="3"/>
      </w:r>
      <w:r w:rsidRPr="00D32E3F">
        <w:rPr>
          <w:bCs/>
        </w:rPr>
        <w:t>.</w:t>
      </w:r>
    </w:p>
    <w:p w14:paraId="3F290FFB" w14:textId="77777777" w:rsidR="008D0D81" w:rsidRPr="007E1E27" w:rsidRDefault="008D0D81" w:rsidP="00D55776">
      <w:pPr>
        <w:tabs>
          <w:tab w:val="left" w:pos="7938"/>
        </w:tabs>
        <w:rPr>
          <w:bCs/>
        </w:rPr>
      </w:pPr>
      <w:r w:rsidRPr="007E1E27">
        <w:rPr>
          <w:bCs/>
        </w:rPr>
        <w:t>Aβ PET imaging employs a radioisotope labelled tracer that is intravenously administered and travels to the brain to selectively bind Aβ aggregates. As the radiolabel tracer decays, the positron emissions from the decay are captured by the PET scanner camera. The relative differences in the rate of the tracer decay within the different anatomical regions of the brain provide information that can be used to create an image which informs on the density and location of the amyloid plaques within the brain.</w:t>
      </w:r>
    </w:p>
    <w:p w14:paraId="2556EEF8" w14:textId="1BF94FF0" w:rsidR="008D0D81" w:rsidRPr="00D32E3F" w:rsidRDefault="008D0D81" w:rsidP="00D55776">
      <w:pPr>
        <w:tabs>
          <w:tab w:val="left" w:pos="7938"/>
        </w:tabs>
        <w:rPr>
          <w:bCs/>
        </w:rPr>
      </w:pPr>
      <w:r>
        <w:t>Cyclotek</w:t>
      </w:r>
      <w:r>
        <w:rPr>
          <w:rStyle w:val="EndnoteReference"/>
          <w:bCs/>
        </w:rPr>
        <w:endnoteReference w:id="4"/>
      </w:r>
      <w:r>
        <w:t xml:space="preserve"> are the only company that produce Aβ PET radiotracers commercially in Australia</w:t>
      </w:r>
      <w:r w:rsidR="008A0185" w:rsidRPr="008A0185">
        <w:rPr>
          <w:bCs/>
        </w:rPr>
        <w:t xml:space="preserve"> </w:t>
      </w:r>
      <w:r w:rsidR="008A0185" w:rsidRPr="00D32E3F">
        <w:rPr>
          <w:bCs/>
        </w:rPr>
        <w:t>and New Zealand</w:t>
      </w:r>
      <w:r>
        <w:t xml:space="preserve">. </w:t>
      </w:r>
      <w:r w:rsidRPr="00D32E3F">
        <w:rPr>
          <w:bCs/>
        </w:rPr>
        <w:t>Cyclotek</w:t>
      </w:r>
      <w:r>
        <w:rPr>
          <w:bCs/>
        </w:rPr>
        <w:t xml:space="preserve"> </w:t>
      </w:r>
      <w:r w:rsidRPr="00D32E3F">
        <w:rPr>
          <w:bCs/>
        </w:rPr>
        <w:t>has validated the manufacture of the three Aβ radiopharmaceuticals, 18F-florbetaben (Neuraceq®), 18F-florbetapir (Amyvid®) and 18F-flutemetamol (</w:t>
      </w:r>
      <w:proofErr w:type="spellStart"/>
      <w:r w:rsidRPr="00D32E3F">
        <w:rPr>
          <w:bCs/>
        </w:rPr>
        <w:t>Vizamyl</w:t>
      </w:r>
      <w:proofErr w:type="spellEnd"/>
      <w:r w:rsidRPr="00D32E3F">
        <w:rPr>
          <w:bCs/>
        </w:rPr>
        <w:t xml:space="preserve">®) </w:t>
      </w:r>
      <w:r>
        <w:t>(</w:t>
      </w:r>
      <w:r w:rsidR="00577229">
        <w:rPr>
          <w:highlight w:val="yellow"/>
        </w:rPr>
        <w:fldChar w:fldCharType="begin"/>
      </w:r>
      <w:r w:rsidR="00577229">
        <w:instrText xml:space="preserve"> REF _Ref118990460 \h </w:instrText>
      </w:r>
      <w:r w:rsidR="00E2297C">
        <w:rPr>
          <w:highlight w:val="yellow"/>
        </w:rPr>
        <w:instrText xml:space="preserve"> \* MERGEFORMAT </w:instrText>
      </w:r>
      <w:r w:rsidR="00577229">
        <w:rPr>
          <w:highlight w:val="yellow"/>
        </w:rPr>
      </w:r>
      <w:r w:rsidR="00577229">
        <w:rPr>
          <w:highlight w:val="yellow"/>
        </w:rPr>
        <w:fldChar w:fldCharType="separate"/>
      </w:r>
      <w:r w:rsidR="00BE644F">
        <w:t xml:space="preserve">Table </w:t>
      </w:r>
      <w:r w:rsidR="00BE644F">
        <w:rPr>
          <w:noProof/>
        </w:rPr>
        <w:t>1</w:t>
      </w:r>
      <w:r w:rsidR="00577229">
        <w:rPr>
          <w:highlight w:val="yellow"/>
        </w:rPr>
        <w:fldChar w:fldCharType="end"/>
      </w:r>
      <w:r w:rsidRPr="00577229">
        <w:t>)</w:t>
      </w:r>
      <w:r w:rsidRPr="00577229">
        <w:rPr>
          <w:bCs/>
        </w:rPr>
        <w:t>.</w:t>
      </w:r>
      <w:r>
        <w:rPr>
          <w:bCs/>
        </w:rPr>
        <w:t xml:space="preserve"> These are also </w:t>
      </w:r>
      <w:r w:rsidRPr="00D32E3F">
        <w:rPr>
          <w:bCs/>
        </w:rPr>
        <w:t>available through the Special Access Scheme</w:t>
      </w:r>
      <w:r>
        <w:rPr>
          <w:bCs/>
        </w:rPr>
        <w:t>. They have</w:t>
      </w:r>
      <w:r w:rsidRPr="00D32E3F">
        <w:rPr>
          <w:bCs/>
        </w:rPr>
        <w:t xml:space="preserve"> regulatory approval in jurisdictions US and Europe.</w:t>
      </w:r>
    </w:p>
    <w:p w14:paraId="131A7152" w14:textId="6492E8F1" w:rsidR="008D0D81" w:rsidRPr="00D32E3F" w:rsidRDefault="008D0D81" w:rsidP="00D55776">
      <w:pPr>
        <w:tabs>
          <w:tab w:val="left" w:pos="7938"/>
        </w:tabs>
        <w:rPr>
          <w:bCs/>
        </w:rPr>
      </w:pPr>
      <w:r w:rsidRPr="00D32E3F">
        <w:rPr>
          <w:bCs/>
        </w:rPr>
        <w:t xml:space="preserve">Other producers of Aβ PET radiopharmaceuticals in Australia include hospital nuclear medicine departments with onsite cyclotrons. Manufacturing standards across local producers of Aβ PET tracers can vary as local hospitals do not require a Good Manufacturing Practice license, which is mandatory </w:t>
      </w:r>
      <w:r w:rsidRPr="004F7F01">
        <w:rPr>
          <w:bCs/>
        </w:rPr>
        <w:t>for commercial companies. Another radiopharmaceutical, 18F-flutafuranol or NAV4694, is produced by Austin Health Melbourne, Sir Charles Gardner Hospital Perth</w:t>
      </w:r>
      <w:r w:rsidR="00E07B9F" w:rsidRPr="004F7F01">
        <w:rPr>
          <w:bCs/>
        </w:rPr>
        <w:t xml:space="preserve"> and the</w:t>
      </w:r>
      <w:r w:rsidRPr="004F7F01">
        <w:rPr>
          <w:bCs/>
        </w:rPr>
        <w:t xml:space="preserve"> Royal Brisbane Hospital. It is used</w:t>
      </w:r>
      <w:r w:rsidRPr="00D32E3F">
        <w:rPr>
          <w:bCs/>
        </w:rPr>
        <w:t xml:space="preserve"> for research and currently has limited clinical use although it is under development for wider commercial use.</w:t>
      </w:r>
      <w:r w:rsidR="009A5CA7">
        <w:rPr>
          <w:bCs/>
        </w:rPr>
        <w:t xml:space="preserve"> The use of the NAV4694 tracer may be necessary to allow for equitable access in Australia as the other FDA- </w:t>
      </w:r>
      <w:r w:rsidR="009A5CA7" w:rsidRPr="004F7F01">
        <w:rPr>
          <w:bCs/>
        </w:rPr>
        <w:t>approved tracers are not currently manufactured in Western Australia and can only be shipped to South Australia and the eastern states</w:t>
      </w:r>
      <w:r w:rsidR="009A5CA7">
        <w:rPr>
          <w:bCs/>
        </w:rPr>
        <w:t xml:space="preserve">. The applicant sponsor is currently having discussions with clinical experts to obtain equivalence data for NAV and </w:t>
      </w:r>
      <w:r w:rsidR="00080D7B" w:rsidRPr="00080D7B">
        <w:rPr>
          <w:bCs/>
        </w:rPr>
        <w:t xml:space="preserve">18F-florbetaben </w:t>
      </w:r>
      <w:r w:rsidR="000E4EC1">
        <w:rPr>
          <w:bCs/>
        </w:rPr>
        <w:t>/</w:t>
      </w:r>
      <w:r w:rsidR="004F37B6" w:rsidRPr="004F37B6">
        <w:rPr>
          <w:bCs/>
        </w:rPr>
        <w:t>18F-florbetapir</w:t>
      </w:r>
      <w:r w:rsidR="009A5CA7">
        <w:rPr>
          <w:bCs/>
        </w:rPr>
        <w:t xml:space="preserve"> on the same patients.</w:t>
      </w:r>
    </w:p>
    <w:p w14:paraId="32076A4B" w14:textId="5B971816" w:rsidR="00D54900" w:rsidRDefault="006A0041" w:rsidP="00D55776">
      <w:pPr>
        <w:pStyle w:val="Caption"/>
        <w:ind w:left="426"/>
      </w:pPr>
      <w:bookmarkStart w:id="5" w:name="_Ref118990460"/>
      <w:r>
        <w:t xml:space="preserve">Table </w:t>
      </w:r>
      <w:fldSimple w:instr=" SEQ Table \* ARABIC ">
        <w:r w:rsidR="00BE644F">
          <w:rPr>
            <w:noProof/>
          </w:rPr>
          <w:t>1</w:t>
        </w:r>
      </w:fldSimple>
      <w:bookmarkEnd w:id="5"/>
      <w:r w:rsidR="008F4716">
        <w:t xml:space="preserve">: </w:t>
      </w:r>
      <w:r w:rsidR="008F4716" w:rsidRPr="008F4716">
        <w:t>Aβ PET imaging radioisotope labelled tracer</w:t>
      </w:r>
    </w:p>
    <w:tbl>
      <w:tblPr>
        <w:tblStyle w:val="TableGrid"/>
        <w:tblW w:w="0" w:type="auto"/>
        <w:tblInd w:w="360" w:type="dxa"/>
        <w:tblLayout w:type="fixed"/>
        <w:tblLook w:val="04A0" w:firstRow="1" w:lastRow="0" w:firstColumn="1" w:lastColumn="0" w:noHBand="0" w:noVBand="1"/>
      </w:tblPr>
      <w:tblGrid>
        <w:gridCol w:w="1195"/>
        <w:gridCol w:w="2551"/>
        <w:gridCol w:w="1985"/>
        <w:gridCol w:w="1417"/>
        <w:gridCol w:w="1559"/>
      </w:tblGrid>
      <w:tr w:rsidR="00052610" w14:paraId="094E2A54" w14:textId="77777777" w:rsidTr="00D55776">
        <w:trPr>
          <w:tblHeader/>
        </w:trPr>
        <w:tc>
          <w:tcPr>
            <w:tcW w:w="1195" w:type="dxa"/>
            <w:shd w:val="clear" w:color="auto" w:fill="F2F2F2" w:themeFill="background1" w:themeFillShade="F2"/>
          </w:tcPr>
          <w:p w14:paraId="19787FFC" w14:textId="6F44EB7B" w:rsidR="00052610" w:rsidRPr="00052610" w:rsidRDefault="00052610" w:rsidP="00D55776">
            <w:pPr>
              <w:spacing w:before="0" w:after="0"/>
              <w:ind w:left="0"/>
              <w:rPr>
                <w:b/>
                <w:bCs/>
              </w:rPr>
            </w:pPr>
            <w:r w:rsidRPr="00052610">
              <w:rPr>
                <w:b/>
                <w:bCs/>
              </w:rPr>
              <w:t>Type of therapeutic good</w:t>
            </w:r>
          </w:p>
        </w:tc>
        <w:tc>
          <w:tcPr>
            <w:tcW w:w="2551" w:type="dxa"/>
            <w:shd w:val="clear" w:color="auto" w:fill="F2F2F2" w:themeFill="background1" w:themeFillShade="F2"/>
          </w:tcPr>
          <w:p w14:paraId="3ED298C0" w14:textId="334CF201" w:rsidR="00052610" w:rsidRPr="00052610" w:rsidRDefault="00052610" w:rsidP="00D55776">
            <w:pPr>
              <w:spacing w:before="0" w:after="0"/>
              <w:ind w:left="0"/>
              <w:rPr>
                <w:b/>
                <w:bCs/>
              </w:rPr>
            </w:pPr>
            <w:r w:rsidRPr="00052610">
              <w:rPr>
                <w:b/>
                <w:bCs/>
              </w:rPr>
              <w:t>Product details</w:t>
            </w:r>
          </w:p>
        </w:tc>
        <w:tc>
          <w:tcPr>
            <w:tcW w:w="1985" w:type="dxa"/>
            <w:shd w:val="clear" w:color="auto" w:fill="F2F2F2" w:themeFill="background1" w:themeFillShade="F2"/>
          </w:tcPr>
          <w:p w14:paraId="303ACC0D" w14:textId="7E9FD88E" w:rsidR="00052610" w:rsidRPr="00052610" w:rsidRDefault="00052610" w:rsidP="00D55776">
            <w:pPr>
              <w:spacing w:before="0" w:after="0"/>
              <w:ind w:left="0"/>
              <w:rPr>
                <w:b/>
                <w:bCs/>
              </w:rPr>
            </w:pPr>
            <w:r w:rsidRPr="00052610">
              <w:rPr>
                <w:b/>
                <w:bCs/>
              </w:rPr>
              <w:t>Commercial availability</w:t>
            </w:r>
          </w:p>
        </w:tc>
        <w:tc>
          <w:tcPr>
            <w:tcW w:w="1417" w:type="dxa"/>
            <w:shd w:val="clear" w:color="auto" w:fill="F2F2F2" w:themeFill="background1" w:themeFillShade="F2"/>
          </w:tcPr>
          <w:p w14:paraId="5AB2E171" w14:textId="20B775DD" w:rsidR="00052610" w:rsidRPr="00052610" w:rsidRDefault="00052610" w:rsidP="00D55776">
            <w:pPr>
              <w:spacing w:before="0" w:after="0"/>
              <w:ind w:left="0"/>
              <w:rPr>
                <w:b/>
                <w:bCs/>
              </w:rPr>
            </w:pPr>
            <w:r w:rsidRPr="00052610">
              <w:rPr>
                <w:b/>
                <w:bCs/>
              </w:rPr>
              <w:t>Brand Name</w:t>
            </w:r>
          </w:p>
        </w:tc>
        <w:tc>
          <w:tcPr>
            <w:tcW w:w="1559" w:type="dxa"/>
            <w:shd w:val="clear" w:color="auto" w:fill="F2F2F2" w:themeFill="background1" w:themeFillShade="F2"/>
          </w:tcPr>
          <w:p w14:paraId="1B7F9A46" w14:textId="34BC6EF4" w:rsidR="00052610" w:rsidRPr="00052610" w:rsidRDefault="00052610" w:rsidP="00D55776">
            <w:pPr>
              <w:spacing w:before="0" w:after="0"/>
              <w:ind w:left="0"/>
              <w:rPr>
                <w:b/>
                <w:bCs/>
              </w:rPr>
            </w:pPr>
            <w:r w:rsidRPr="00052610">
              <w:rPr>
                <w:b/>
                <w:bCs/>
              </w:rPr>
              <w:t>Sponsor’s Name</w:t>
            </w:r>
          </w:p>
        </w:tc>
      </w:tr>
      <w:tr w:rsidR="00555084" w14:paraId="2C64FFF0" w14:textId="77777777" w:rsidTr="00D55776">
        <w:tc>
          <w:tcPr>
            <w:tcW w:w="1195" w:type="dxa"/>
          </w:tcPr>
          <w:p w14:paraId="16BA8327" w14:textId="6F56DA2F" w:rsidR="00F911B9" w:rsidRDefault="00900765" w:rsidP="00D55776">
            <w:pPr>
              <w:spacing w:before="0" w:after="0"/>
              <w:ind w:left="0"/>
            </w:pPr>
            <w:r>
              <w:t>Diagnostic radiopharmaceutical for PET</w:t>
            </w:r>
          </w:p>
        </w:tc>
        <w:tc>
          <w:tcPr>
            <w:tcW w:w="2551" w:type="dxa"/>
          </w:tcPr>
          <w:p w14:paraId="0C463036" w14:textId="2088DDE0" w:rsidR="00F911B9" w:rsidRPr="002C2501" w:rsidRDefault="00900765" w:rsidP="00D55776">
            <w:pPr>
              <w:spacing w:before="0" w:after="0"/>
              <w:ind w:left="0"/>
            </w:pPr>
            <w:r>
              <w:rPr>
                <w:vertAlign w:val="superscript"/>
              </w:rPr>
              <w:t>11</w:t>
            </w:r>
            <w:r>
              <w:t>C</w:t>
            </w:r>
            <w:r w:rsidR="00CF129B">
              <w:t xml:space="preserve"> [2-(4’-[11C]</w:t>
            </w:r>
            <w:r w:rsidR="00B515FC">
              <w:t xml:space="preserve"> </w:t>
            </w:r>
            <w:r w:rsidR="00555084">
              <w:t>methylaminophenyl)-6-hydroxy-benzothiazole] (“</w:t>
            </w:r>
            <w:r w:rsidR="002C2501">
              <w:rPr>
                <w:vertAlign w:val="superscript"/>
              </w:rPr>
              <w:t>11</w:t>
            </w:r>
            <w:r w:rsidR="002C2501">
              <w:t>C Pittsburgh compound B [PiB])</w:t>
            </w:r>
          </w:p>
        </w:tc>
        <w:tc>
          <w:tcPr>
            <w:tcW w:w="1985" w:type="dxa"/>
          </w:tcPr>
          <w:p w14:paraId="7BB42E34" w14:textId="7FB6D9A2" w:rsidR="00F911B9" w:rsidRDefault="002C2501" w:rsidP="00D55776">
            <w:pPr>
              <w:spacing w:before="0" w:after="0"/>
              <w:ind w:left="0"/>
            </w:pPr>
            <w:r>
              <w:t>Not applicable</w:t>
            </w:r>
          </w:p>
        </w:tc>
        <w:tc>
          <w:tcPr>
            <w:tcW w:w="1417" w:type="dxa"/>
          </w:tcPr>
          <w:p w14:paraId="4A5D6FA2" w14:textId="5CED34BE" w:rsidR="00F911B9" w:rsidRDefault="002C2501" w:rsidP="00D55776">
            <w:pPr>
              <w:spacing w:before="0" w:after="0"/>
              <w:ind w:left="0"/>
            </w:pPr>
            <w:r>
              <w:t>Not applicable</w:t>
            </w:r>
          </w:p>
        </w:tc>
        <w:tc>
          <w:tcPr>
            <w:tcW w:w="1559" w:type="dxa"/>
          </w:tcPr>
          <w:p w14:paraId="7D9085AC" w14:textId="5BC54647" w:rsidR="00F911B9" w:rsidRDefault="002C2501" w:rsidP="00D55776">
            <w:pPr>
              <w:spacing w:before="0" w:after="0"/>
              <w:ind w:left="0"/>
            </w:pPr>
            <w:r>
              <w:t>Not applicable</w:t>
            </w:r>
          </w:p>
        </w:tc>
      </w:tr>
      <w:tr w:rsidR="00555084" w14:paraId="5B7BED48" w14:textId="77777777" w:rsidTr="00D55776">
        <w:tc>
          <w:tcPr>
            <w:tcW w:w="1195" w:type="dxa"/>
          </w:tcPr>
          <w:p w14:paraId="39BB55C2" w14:textId="014BAC65" w:rsidR="00F911B9" w:rsidRDefault="00EF3D52" w:rsidP="00D55776">
            <w:pPr>
              <w:spacing w:before="0" w:after="0"/>
              <w:ind w:left="0"/>
            </w:pPr>
            <w:r>
              <w:t>Diagnostic radiopharmaceutical for PET</w:t>
            </w:r>
          </w:p>
        </w:tc>
        <w:tc>
          <w:tcPr>
            <w:tcW w:w="2551" w:type="dxa"/>
          </w:tcPr>
          <w:p w14:paraId="62D5B676" w14:textId="751B7386" w:rsidR="00F911B9" w:rsidRPr="004002C7" w:rsidRDefault="004002C7" w:rsidP="00D55776">
            <w:pPr>
              <w:spacing w:before="0" w:after="0"/>
              <w:ind w:left="0"/>
            </w:pPr>
            <w:r>
              <w:rPr>
                <w:vertAlign w:val="superscript"/>
              </w:rPr>
              <w:t>18</w:t>
            </w:r>
            <w:r>
              <w:t>F</w:t>
            </w:r>
            <w:r w:rsidR="001634B8">
              <w:t>-</w:t>
            </w:r>
            <w:r>
              <w:t>florbetapir for iv injection</w:t>
            </w:r>
          </w:p>
        </w:tc>
        <w:tc>
          <w:tcPr>
            <w:tcW w:w="1985" w:type="dxa"/>
          </w:tcPr>
          <w:p w14:paraId="3BC5B58B" w14:textId="478602E0" w:rsidR="00F911B9" w:rsidRDefault="004002C7" w:rsidP="00D55776">
            <w:pPr>
              <w:spacing w:before="0" w:after="0"/>
              <w:ind w:left="0"/>
            </w:pPr>
            <w:r>
              <w:t>Commerciall</w:t>
            </w:r>
            <w:r w:rsidR="00D54900">
              <w:t>y available in some jurisdictions outside of Australia</w:t>
            </w:r>
          </w:p>
        </w:tc>
        <w:tc>
          <w:tcPr>
            <w:tcW w:w="1417" w:type="dxa"/>
          </w:tcPr>
          <w:p w14:paraId="2AD265D2" w14:textId="3E385ABF" w:rsidR="00F911B9" w:rsidRPr="00EF3D52" w:rsidRDefault="00EF3D52" w:rsidP="00D55776">
            <w:pPr>
              <w:spacing w:before="0" w:after="0"/>
              <w:ind w:left="0"/>
              <w:rPr>
                <w:vertAlign w:val="superscript"/>
              </w:rPr>
            </w:pPr>
            <w:r>
              <w:t>Amyvid</w:t>
            </w:r>
            <w:r>
              <w:rPr>
                <w:vertAlign w:val="superscript"/>
              </w:rPr>
              <w:t>®</w:t>
            </w:r>
          </w:p>
        </w:tc>
        <w:tc>
          <w:tcPr>
            <w:tcW w:w="1559" w:type="dxa"/>
          </w:tcPr>
          <w:p w14:paraId="6498F856" w14:textId="0BB36AF3" w:rsidR="00F911B9" w:rsidRDefault="00EF3D52" w:rsidP="00D55776">
            <w:pPr>
              <w:spacing w:before="0" w:after="0"/>
              <w:ind w:left="0"/>
            </w:pPr>
            <w:r>
              <w:t>Eli Lilly</w:t>
            </w:r>
          </w:p>
        </w:tc>
      </w:tr>
      <w:tr w:rsidR="00555084" w14:paraId="7323592F" w14:textId="77777777" w:rsidTr="00D55776">
        <w:tc>
          <w:tcPr>
            <w:tcW w:w="1195" w:type="dxa"/>
          </w:tcPr>
          <w:p w14:paraId="3C4ACE87" w14:textId="0051DE90" w:rsidR="00F911B9" w:rsidRDefault="00EF3D52" w:rsidP="00D55776">
            <w:pPr>
              <w:spacing w:before="0" w:after="0"/>
              <w:ind w:left="0"/>
            </w:pPr>
            <w:r>
              <w:t>Diagnostic radiopharmaceutical for PET</w:t>
            </w:r>
          </w:p>
        </w:tc>
        <w:tc>
          <w:tcPr>
            <w:tcW w:w="2551" w:type="dxa"/>
          </w:tcPr>
          <w:p w14:paraId="1CE1F60C" w14:textId="6713A8C6" w:rsidR="00F911B9" w:rsidRDefault="004002C7" w:rsidP="00D55776">
            <w:pPr>
              <w:spacing w:before="0" w:after="0"/>
              <w:ind w:left="0"/>
            </w:pPr>
            <w:r>
              <w:rPr>
                <w:vertAlign w:val="superscript"/>
              </w:rPr>
              <w:t>18</w:t>
            </w:r>
            <w:r>
              <w:t>F</w:t>
            </w:r>
            <w:r w:rsidR="00240411">
              <w:t>-</w:t>
            </w:r>
            <w:r>
              <w:t>florbeta</w:t>
            </w:r>
            <w:r w:rsidR="000D1028">
              <w:t>ben</w:t>
            </w:r>
            <w:r>
              <w:t xml:space="preserve"> for iv injection</w:t>
            </w:r>
          </w:p>
        </w:tc>
        <w:tc>
          <w:tcPr>
            <w:tcW w:w="1985" w:type="dxa"/>
          </w:tcPr>
          <w:p w14:paraId="23A8FE82" w14:textId="661E8D85" w:rsidR="00F911B9" w:rsidRDefault="00D54900" w:rsidP="00D55776">
            <w:pPr>
              <w:spacing w:before="0" w:after="0"/>
              <w:ind w:left="0"/>
            </w:pPr>
            <w:r>
              <w:t>Commercially available in some jurisdictions outside of Australia</w:t>
            </w:r>
          </w:p>
        </w:tc>
        <w:tc>
          <w:tcPr>
            <w:tcW w:w="1417" w:type="dxa"/>
          </w:tcPr>
          <w:p w14:paraId="25387408" w14:textId="3FC21D6C" w:rsidR="00F911B9" w:rsidRPr="00EF3D52" w:rsidRDefault="00EF3D52" w:rsidP="00D55776">
            <w:pPr>
              <w:spacing w:before="0" w:after="0"/>
              <w:ind w:left="0"/>
              <w:rPr>
                <w:vertAlign w:val="superscript"/>
              </w:rPr>
            </w:pPr>
            <w:r>
              <w:t>Neuraceq</w:t>
            </w:r>
            <w:r>
              <w:rPr>
                <w:vertAlign w:val="superscript"/>
              </w:rPr>
              <w:t>®</w:t>
            </w:r>
          </w:p>
        </w:tc>
        <w:tc>
          <w:tcPr>
            <w:tcW w:w="1559" w:type="dxa"/>
          </w:tcPr>
          <w:p w14:paraId="01C8103B" w14:textId="24C81145" w:rsidR="00F911B9" w:rsidRDefault="00EF3D52" w:rsidP="00D55776">
            <w:pPr>
              <w:spacing w:before="0" w:after="0"/>
              <w:ind w:left="0"/>
            </w:pPr>
            <w:r>
              <w:t>PIRAMAL Imaging</w:t>
            </w:r>
          </w:p>
        </w:tc>
      </w:tr>
      <w:tr w:rsidR="00555084" w14:paraId="6F363BBA" w14:textId="77777777" w:rsidTr="00D55776">
        <w:tc>
          <w:tcPr>
            <w:tcW w:w="1195" w:type="dxa"/>
          </w:tcPr>
          <w:p w14:paraId="2E21514B" w14:textId="5FD3E59F" w:rsidR="00F911B9" w:rsidRDefault="00EF3D52" w:rsidP="00D55776">
            <w:pPr>
              <w:pageBreakBefore/>
              <w:spacing w:before="0" w:after="0"/>
              <w:ind w:left="0"/>
            </w:pPr>
            <w:r>
              <w:lastRenderedPageBreak/>
              <w:t>Diagnostic radiopharmaceutical for PET</w:t>
            </w:r>
          </w:p>
        </w:tc>
        <w:tc>
          <w:tcPr>
            <w:tcW w:w="2551" w:type="dxa"/>
          </w:tcPr>
          <w:p w14:paraId="4F388655" w14:textId="1EF191ED" w:rsidR="00F911B9" w:rsidRDefault="004002C7" w:rsidP="00D55776">
            <w:pPr>
              <w:spacing w:before="0" w:after="0"/>
              <w:ind w:left="0"/>
            </w:pPr>
            <w:r>
              <w:rPr>
                <w:vertAlign w:val="superscript"/>
              </w:rPr>
              <w:t>18</w:t>
            </w:r>
            <w:r>
              <w:t>F</w:t>
            </w:r>
            <w:r w:rsidR="00240411">
              <w:t>-</w:t>
            </w:r>
            <w:r>
              <w:t>fl</w:t>
            </w:r>
            <w:r w:rsidR="00F83291">
              <w:t>utemetamol</w:t>
            </w:r>
            <w:r>
              <w:t xml:space="preserve"> for iv injection</w:t>
            </w:r>
          </w:p>
        </w:tc>
        <w:tc>
          <w:tcPr>
            <w:tcW w:w="1985" w:type="dxa"/>
          </w:tcPr>
          <w:p w14:paraId="46864DC9" w14:textId="3D281756" w:rsidR="00F911B9" w:rsidRDefault="00D54900" w:rsidP="00D55776">
            <w:pPr>
              <w:spacing w:before="0" w:after="0"/>
              <w:ind w:left="0"/>
            </w:pPr>
            <w:r>
              <w:t>Commercially available in some jurisdictions outside of Australia</w:t>
            </w:r>
          </w:p>
        </w:tc>
        <w:tc>
          <w:tcPr>
            <w:tcW w:w="1417" w:type="dxa"/>
          </w:tcPr>
          <w:p w14:paraId="2962E8DE" w14:textId="5614EACE" w:rsidR="00F911B9" w:rsidRPr="00EF3D52" w:rsidRDefault="00EF3D52" w:rsidP="00D55776">
            <w:pPr>
              <w:spacing w:before="0" w:after="0"/>
              <w:ind w:left="0"/>
              <w:rPr>
                <w:vertAlign w:val="superscript"/>
              </w:rPr>
            </w:pPr>
            <w:r>
              <w:t>Vizamyl</w:t>
            </w:r>
            <w:r>
              <w:rPr>
                <w:vertAlign w:val="superscript"/>
              </w:rPr>
              <w:t>®</w:t>
            </w:r>
          </w:p>
        </w:tc>
        <w:tc>
          <w:tcPr>
            <w:tcW w:w="1559" w:type="dxa"/>
          </w:tcPr>
          <w:p w14:paraId="528C661D" w14:textId="73184F22" w:rsidR="00F911B9" w:rsidRDefault="00EF3D52" w:rsidP="00D55776">
            <w:pPr>
              <w:spacing w:before="0" w:after="0"/>
              <w:ind w:left="0"/>
            </w:pPr>
            <w:r>
              <w:t>GE Healthcare</w:t>
            </w:r>
          </w:p>
        </w:tc>
      </w:tr>
      <w:tr w:rsidR="00555084" w14:paraId="3F46C80B" w14:textId="77777777" w:rsidTr="00D55776">
        <w:tc>
          <w:tcPr>
            <w:tcW w:w="1195" w:type="dxa"/>
          </w:tcPr>
          <w:p w14:paraId="0E9E3C92" w14:textId="5F1CDE27" w:rsidR="00F911B9" w:rsidRDefault="00EF3D52" w:rsidP="00D55776">
            <w:pPr>
              <w:spacing w:before="0" w:after="0"/>
              <w:ind w:left="0"/>
            </w:pPr>
            <w:r>
              <w:t>Diagnostic radiopharmaceutical for PET</w:t>
            </w:r>
          </w:p>
        </w:tc>
        <w:tc>
          <w:tcPr>
            <w:tcW w:w="2551" w:type="dxa"/>
          </w:tcPr>
          <w:p w14:paraId="67865307" w14:textId="03B2734A" w:rsidR="00F911B9" w:rsidRDefault="004002C7" w:rsidP="00D55776">
            <w:pPr>
              <w:spacing w:before="0" w:after="0"/>
              <w:ind w:left="0"/>
            </w:pPr>
            <w:r>
              <w:rPr>
                <w:vertAlign w:val="superscript"/>
              </w:rPr>
              <w:t>18</w:t>
            </w:r>
            <w:r>
              <w:t>F</w:t>
            </w:r>
            <w:r w:rsidR="00A67021">
              <w:t>-</w:t>
            </w:r>
            <w:r>
              <w:t>fl</w:t>
            </w:r>
            <w:r w:rsidR="00EF48FD">
              <w:t xml:space="preserve">utafuranol </w:t>
            </w:r>
            <w:r>
              <w:t>r for iv injection (NAV4694)</w:t>
            </w:r>
          </w:p>
        </w:tc>
        <w:tc>
          <w:tcPr>
            <w:tcW w:w="1985" w:type="dxa"/>
          </w:tcPr>
          <w:p w14:paraId="272C10E8" w14:textId="461406EC" w:rsidR="00F911B9" w:rsidRDefault="00D54900" w:rsidP="00D55776">
            <w:pPr>
              <w:spacing w:before="0" w:after="0"/>
              <w:ind w:left="0"/>
            </w:pPr>
            <w:r>
              <w:t>Commercially available in some jurisdictions outside of Australia</w:t>
            </w:r>
          </w:p>
        </w:tc>
        <w:tc>
          <w:tcPr>
            <w:tcW w:w="1417" w:type="dxa"/>
          </w:tcPr>
          <w:p w14:paraId="60915432" w14:textId="1573A974" w:rsidR="00F911B9" w:rsidRDefault="002C2501" w:rsidP="00D55776">
            <w:pPr>
              <w:spacing w:before="0" w:after="0"/>
              <w:ind w:left="0"/>
            </w:pPr>
            <w:r>
              <w:t>Not applicable</w:t>
            </w:r>
          </w:p>
        </w:tc>
        <w:tc>
          <w:tcPr>
            <w:tcW w:w="1559" w:type="dxa"/>
          </w:tcPr>
          <w:p w14:paraId="4257D9AE" w14:textId="79F9D273" w:rsidR="00F911B9" w:rsidRDefault="00EF3D52" w:rsidP="00D55776">
            <w:pPr>
              <w:spacing w:before="0" w:after="0"/>
              <w:ind w:left="0"/>
            </w:pPr>
            <w:r>
              <w:t>Cerveau Technologies have acquired licensing rights that cover Australia</w:t>
            </w:r>
          </w:p>
        </w:tc>
      </w:tr>
    </w:tbl>
    <w:p w14:paraId="6B036C8C" w14:textId="2660859A" w:rsidR="00352267" w:rsidRPr="0012130C" w:rsidRDefault="007E1E27" w:rsidP="00D55776">
      <w:pPr>
        <w:jc w:val="both"/>
        <w:rPr>
          <w:b/>
          <w:bCs/>
          <w:u w:val="single"/>
        </w:rPr>
      </w:pPr>
      <w:r w:rsidRPr="007E1E27">
        <w:rPr>
          <w:b/>
          <w:bCs/>
          <w:u w:val="single"/>
        </w:rPr>
        <w:t xml:space="preserve">CSF AD </w:t>
      </w:r>
      <w:r w:rsidR="00352267" w:rsidRPr="0012130C">
        <w:rPr>
          <w:b/>
          <w:bCs/>
          <w:u w:val="single"/>
        </w:rPr>
        <w:t>Aβ and Tau CSF biomarker assay kits</w:t>
      </w:r>
    </w:p>
    <w:p w14:paraId="250CE8E4" w14:textId="0330A6A3" w:rsidR="007E1E27" w:rsidRPr="007E1E27" w:rsidRDefault="007E1E27" w:rsidP="00D55776">
      <w:pPr>
        <w:rPr>
          <w:bCs/>
        </w:rPr>
      </w:pPr>
      <w:r w:rsidRPr="007E1E27">
        <w:rPr>
          <w:bCs/>
        </w:rPr>
        <w:t xml:space="preserve">CSF AD biomarker testing offers confirmation of the presence of Aβ and tau (including phospho-tau) brain pathology. </w:t>
      </w:r>
      <w:r w:rsidR="007C503D">
        <w:rPr>
          <w:bCs/>
        </w:rPr>
        <w:t xml:space="preserve"> </w:t>
      </w:r>
      <w:r w:rsidRPr="007E1E27">
        <w:rPr>
          <w:bCs/>
        </w:rPr>
        <w:t>CSF AD biomarker testing is performed by in vitro immunoassays. A CSF sample is obtained from the patient by lumbar puncture (LP) using a standardised collection procedure. Levels of specific biomarkers (amyloid β42 peptides, total tau and phosphorylated tau) in the sample are then quantified by in vitro immunoassay methods, and amyloid positivity or negativity determined by cut-offs which have been validated against Aβ PET.</w:t>
      </w:r>
    </w:p>
    <w:p w14:paraId="7B4F48C5" w14:textId="77777777" w:rsidR="007E1E27" w:rsidRPr="007E1E27" w:rsidRDefault="007E1E27" w:rsidP="00D55776">
      <w:pPr>
        <w:rPr>
          <w:bCs/>
        </w:rPr>
      </w:pPr>
      <w:r w:rsidRPr="007E1E27">
        <w:rPr>
          <w:bCs/>
        </w:rPr>
        <w:t>Testing for CSF AD biomarkers is therefore an alternative to Aβ PET to confirm Aβ pathology.</w:t>
      </w:r>
    </w:p>
    <w:p w14:paraId="27B74949" w14:textId="3BCE8176" w:rsidR="00F911B9" w:rsidRDefault="0012130C" w:rsidP="00D55776">
      <w:r>
        <w:t xml:space="preserve">There are a number of commercial CSF AD biomarker assay kits (immunoassay kits for amyloid isoforms, total tau and phosphorylated-tau) that are approved in jurisdictions outside of Australia (examples are shown in </w:t>
      </w:r>
      <w:r w:rsidR="00577229">
        <w:rPr>
          <w:highlight w:val="yellow"/>
        </w:rPr>
        <w:fldChar w:fldCharType="begin"/>
      </w:r>
      <w:r w:rsidR="00577229">
        <w:instrText xml:space="preserve"> REF _Ref118990483 \h </w:instrText>
      </w:r>
      <w:r w:rsidR="00E2297C">
        <w:rPr>
          <w:highlight w:val="yellow"/>
        </w:rPr>
        <w:instrText xml:space="preserve"> \* MERGEFORMAT </w:instrText>
      </w:r>
      <w:r w:rsidR="00577229">
        <w:rPr>
          <w:highlight w:val="yellow"/>
        </w:rPr>
      </w:r>
      <w:r w:rsidR="00577229">
        <w:rPr>
          <w:highlight w:val="yellow"/>
        </w:rPr>
        <w:fldChar w:fldCharType="separate"/>
      </w:r>
      <w:r w:rsidR="00BE644F">
        <w:t xml:space="preserve">Table </w:t>
      </w:r>
      <w:r w:rsidR="00BE644F">
        <w:rPr>
          <w:noProof/>
        </w:rPr>
        <w:t>2</w:t>
      </w:r>
      <w:r w:rsidR="00577229">
        <w:rPr>
          <w:highlight w:val="yellow"/>
        </w:rPr>
        <w:fldChar w:fldCharType="end"/>
      </w:r>
      <w:r w:rsidR="00577229">
        <w:t>.</w:t>
      </w:r>
      <w:r w:rsidR="004F10C1">
        <w:t xml:space="preserve"> </w:t>
      </w:r>
      <w:r w:rsidR="00232E57">
        <w:t>As per a previous application</w:t>
      </w:r>
      <w:r w:rsidR="00C90C46">
        <w:t>,</w:t>
      </w:r>
      <w:r>
        <w:t xml:space="preserve"> CSF AD biomarker testing is currently offered for a non-rebated fee by at least one National Association of Testing Authorities Australia (NATA)/ International Laboratory Accreditation Cooperation (ILAC) accredited diagnostic laboratory (National Dementia Diagnostics Laboratory (NDDL) at the Florey Institute)</w:t>
      </w:r>
      <w:r w:rsidR="007E7256">
        <w:rPr>
          <w:rStyle w:val="EndnoteReference"/>
        </w:rPr>
        <w:endnoteReference w:id="5"/>
      </w:r>
      <w:r>
        <w:t xml:space="preserve"> (see: </w:t>
      </w:r>
      <w:hyperlink r:id="rId11" w:history="1">
        <w:r w:rsidRPr="00233E33">
          <w:rPr>
            <w:rStyle w:val="Hyperlink"/>
          </w:rPr>
          <w:t>https://www.florey.edu.au/science-research/scientific-services-facilities/nationaldementia-diagnostics-laboratory</w:t>
        </w:r>
      </w:hyperlink>
      <w:r>
        <w:t>).</w:t>
      </w:r>
    </w:p>
    <w:p w14:paraId="2E3C8D3E" w14:textId="1EA44AC2" w:rsidR="0012130C" w:rsidRDefault="004522BA" w:rsidP="00D55776">
      <w:pPr>
        <w:pStyle w:val="Caption"/>
        <w:ind w:left="426"/>
      </w:pPr>
      <w:bookmarkStart w:id="6" w:name="_Ref118990483"/>
      <w:r>
        <w:t xml:space="preserve">Table </w:t>
      </w:r>
      <w:fldSimple w:instr=" SEQ Table \* ARABIC ">
        <w:r w:rsidR="00BE644F">
          <w:rPr>
            <w:noProof/>
          </w:rPr>
          <w:t>2</w:t>
        </w:r>
      </w:fldSimple>
      <w:bookmarkEnd w:id="6"/>
      <w:r>
        <w:t>:</w:t>
      </w:r>
      <w:r w:rsidRPr="004522BA">
        <w:t xml:space="preserve"> </w:t>
      </w:r>
      <w:r w:rsidR="00C80D19">
        <w:t>C</w:t>
      </w:r>
      <w:r w:rsidRPr="004522BA">
        <w:t>ommercial CSF AD biomarker assay kits</w:t>
      </w:r>
      <w:r w:rsidR="00FD6714">
        <w:t xml:space="preserve"> approved outside of Australia </w:t>
      </w:r>
    </w:p>
    <w:tbl>
      <w:tblPr>
        <w:tblStyle w:val="TableGrid"/>
        <w:tblW w:w="8707" w:type="dxa"/>
        <w:tblInd w:w="360" w:type="dxa"/>
        <w:tblLayout w:type="fixed"/>
        <w:tblLook w:val="04A0" w:firstRow="1" w:lastRow="0" w:firstColumn="1" w:lastColumn="0" w:noHBand="0" w:noVBand="1"/>
      </w:tblPr>
      <w:tblGrid>
        <w:gridCol w:w="1195"/>
        <w:gridCol w:w="2551"/>
        <w:gridCol w:w="1985"/>
        <w:gridCol w:w="1417"/>
        <w:gridCol w:w="1559"/>
      </w:tblGrid>
      <w:tr w:rsidR="004D3CE3" w:rsidRPr="00C80D19" w14:paraId="11E61476" w14:textId="77777777" w:rsidTr="00D55776">
        <w:trPr>
          <w:tblHeader/>
        </w:trPr>
        <w:tc>
          <w:tcPr>
            <w:tcW w:w="1195" w:type="dxa"/>
            <w:shd w:val="clear" w:color="auto" w:fill="F2F2F2" w:themeFill="background1" w:themeFillShade="F2"/>
          </w:tcPr>
          <w:p w14:paraId="50C1B9F8" w14:textId="0479E2F8" w:rsidR="00052610" w:rsidRPr="00C80D19" w:rsidRDefault="00052610" w:rsidP="00D55776">
            <w:pPr>
              <w:spacing w:before="0" w:after="0"/>
              <w:ind w:left="0"/>
              <w:rPr>
                <w:rFonts w:cstheme="minorHAnsi"/>
                <w:szCs w:val="20"/>
              </w:rPr>
            </w:pPr>
            <w:r w:rsidRPr="00C80D19">
              <w:rPr>
                <w:rFonts w:cstheme="minorHAnsi"/>
                <w:b/>
                <w:szCs w:val="20"/>
              </w:rPr>
              <w:t>Type of therapeutic good</w:t>
            </w:r>
          </w:p>
        </w:tc>
        <w:tc>
          <w:tcPr>
            <w:tcW w:w="2551" w:type="dxa"/>
            <w:shd w:val="clear" w:color="auto" w:fill="F2F2F2" w:themeFill="background1" w:themeFillShade="F2"/>
          </w:tcPr>
          <w:p w14:paraId="33084E97" w14:textId="5304F5FF" w:rsidR="00052610" w:rsidRPr="00C80D19" w:rsidRDefault="00052610" w:rsidP="00D55776">
            <w:pPr>
              <w:spacing w:before="0" w:after="0"/>
              <w:ind w:left="0"/>
              <w:rPr>
                <w:rFonts w:cstheme="minorHAnsi"/>
                <w:szCs w:val="20"/>
              </w:rPr>
            </w:pPr>
            <w:r w:rsidRPr="00C80D19">
              <w:rPr>
                <w:rFonts w:cstheme="minorHAnsi"/>
                <w:b/>
                <w:szCs w:val="20"/>
              </w:rPr>
              <w:t>Product details</w:t>
            </w:r>
          </w:p>
        </w:tc>
        <w:tc>
          <w:tcPr>
            <w:tcW w:w="1985" w:type="dxa"/>
            <w:shd w:val="clear" w:color="auto" w:fill="F2F2F2" w:themeFill="background1" w:themeFillShade="F2"/>
          </w:tcPr>
          <w:p w14:paraId="60BBB51F" w14:textId="005E276D" w:rsidR="00052610" w:rsidRPr="00C80D19" w:rsidRDefault="00052610" w:rsidP="00D55776">
            <w:pPr>
              <w:spacing w:before="0" w:after="0"/>
              <w:ind w:left="0"/>
              <w:rPr>
                <w:rFonts w:cstheme="minorHAnsi"/>
                <w:szCs w:val="20"/>
              </w:rPr>
            </w:pPr>
            <w:r w:rsidRPr="00C80D19">
              <w:rPr>
                <w:rFonts w:cstheme="minorHAnsi"/>
                <w:b/>
                <w:szCs w:val="20"/>
              </w:rPr>
              <w:t>Commercial availability</w:t>
            </w:r>
          </w:p>
        </w:tc>
        <w:tc>
          <w:tcPr>
            <w:tcW w:w="1417" w:type="dxa"/>
            <w:shd w:val="clear" w:color="auto" w:fill="F2F2F2" w:themeFill="background1" w:themeFillShade="F2"/>
          </w:tcPr>
          <w:p w14:paraId="1C203DEE" w14:textId="371B2517" w:rsidR="00052610" w:rsidRPr="00C80D19" w:rsidRDefault="00052610" w:rsidP="00D55776">
            <w:pPr>
              <w:spacing w:before="0" w:after="0"/>
              <w:ind w:left="0"/>
              <w:rPr>
                <w:rFonts w:cstheme="minorHAnsi"/>
                <w:szCs w:val="20"/>
              </w:rPr>
            </w:pPr>
            <w:r w:rsidRPr="00C80D19">
              <w:rPr>
                <w:rFonts w:cstheme="minorHAnsi"/>
                <w:b/>
                <w:szCs w:val="20"/>
              </w:rPr>
              <w:t>Brand Name</w:t>
            </w:r>
          </w:p>
        </w:tc>
        <w:tc>
          <w:tcPr>
            <w:tcW w:w="1559" w:type="dxa"/>
            <w:shd w:val="clear" w:color="auto" w:fill="F2F2F2" w:themeFill="background1" w:themeFillShade="F2"/>
          </w:tcPr>
          <w:p w14:paraId="1BF49ADF" w14:textId="276AA871" w:rsidR="00052610" w:rsidRPr="00C80D19" w:rsidRDefault="00052610" w:rsidP="00D55776">
            <w:pPr>
              <w:spacing w:before="0" w:after="0"/>
              <w:ind w:left="0"/>
              <w:rPr>
                <w:rFonts w:cstheme="minorHAnsi"/>
                <w:szCs w:val="20"/>
              </w:rPr>
            </w:pPr>
            <w:r w:rsidRPr="00C80D19">
              <w:rPr>
                <w:rFonts w:cstheme="minorHAnsi"/>
                <w:b/>
                <w:szCs w:val="20"/>
              </w:rPr>
              <w:t>Sponsor’s Name</w:t>
            </w:r>
          </w:p>
        </w:tc>
      </w:tr>
      <w:tr w:rsidR="004D3CE3" w:rsidRPr="00C80D19" w14:paraId="00ECFCA5" w14:textId="77777777" w:rsidTr="00D55776">
        <w:tc>
          <w:tcPr>
            <w:tcW w:w="1195" w:type="dxa"/>
          </w:tcPr>
          <w:p w14:paraId="42ABB63A" w14:textId="1CD51DFC" w:rsidR="00052610" w:rsidRPr="00C80D19" w:rsidRDefault="00052610" w:rsidP="00D55776">
            <w:pPr>
              <w:spacing w:before="0" w:after="0"/>
              <w:ind w:left="0"/>
              <w:rPr>
                <w:rFonts w:cstheme="minorHAnsi"/>
                <w:szCs w:val="20"/>
              </w:rPr>
            </w:pPr>
            <w:r w:rsidRPr="00C80D19">
              <w:rPr>
                <w:rFonts w:cstheme="minorHAnsi"/>
                <w:szCs w:val="20"/>
              </w:rPr>
              <w:t>In vitro diagnostic test</w:t>
            </w:r>
          </w:p>
        </w:tc>
        <w:tc>
          <w:tcPr>
            <w:tcW w:w="2551" w:type="dxa"/>
          </w:tcPr>
          <w:p w14:paraId="507AB439" w14:textId="605B6DD3" w:rsidR="00052610" w:rsidRPr="00C80D19" w:rsidRDefault="00052610" w:rsidP="00D55776">
            <w:pPr>
              <w:spacing w:before="0" w:after="0"/>
              <w:ind w:left="0"/>
              <w:rPr>
                <w:rFonts w:cstheme="minorHAnsi"/>
                <w:szCs w:val="20"/>
              </w:rPr>
            </w:pPr>
            <w:r w:rsidRPr="00C80D19">
              <w:rPr>
                <w:rFonts w:cstheme="minorHAnsi"/>
                <w:szCs w:val="20"/>
              </w:rPr>
              <w:t xml:space="preserve">Enzyme linked immunoassay for quantitative determination of AD biomarkers (amyloid </w:t>
            </w:r>
            <w:r w:rsidR="002B266E" w:rsidRPr="00C80D19">
              <w:rPr>
                <w:rFonts w:cstheme="minorHAnsi"/>
                <w:szCs w:val="20"/>
              </w:rPr>
              <w:t>and tau proteins) in human cerebrospinal fluid (CSF).</w:t>
            </w:r>
          </w:p>
        </w:tc>
        <w:tc>
          <w:tcPr>
            <w:tcW w:w="1985" w:type="dxa"/>
          </w:tcPr>
          <w:p w14:paraId="63610E87" w14:textId="77777777" w:rsidR="00052610" w:rsidRPr="00C80D19" w:rsidRDefault="002B266E" w:rsidP="00D55776">
            <w:pPr>
              <w:spacing w:before="0" w:after="0"/>
              <w:ind w:left="0"/>
              <w:rPr>
                <w:rFonts w:cstheme="minorHAnsi"/>
                <w:szCs w:val="20"/>
              </w:rPr>
            </w:pPr>
            <w:r w:rsidRPr="00C80D19">
              <w:rPr>
                <w:rFonts w:cstheme="minorHAnsi"/>
                <w:szCs w:val="20"/>
              </w:rPr>
              <w:t>ADx- EUROIMMUN</w:t>
            </w:r>
          </w:p>
          <w:p w14:paraId="3C4A09A2" w14:textId="77777777" w:rsidR="002B266E" w:rsidRPr="00C80D19" w:rsidRDefault="007F3375" w:rsidP="00D55776">
            <w:pPr>
              <w:pStyle w:val="ListParagraph"/>
              <w:numPr>
                <w:ilvl w:val="0"/>
                <w:numId w:val="13"/>
              </w:numPr>
              <w:spacing w:before="0" w:after="0"/>
              <w:ind w:left="124" w:hanging="170"/>
              <w:rPr>
                <w:rFonts w:cstheme="minorHAnsi"/>
                <w:szCs w:val="20"/>
              </w:rPr>
            </w:pPr>
            <w:r w:rsidRPr="00C80D19">
              <w:rPr>
                <w:rFonts w:cstheme="minorHAnsi"/>
                <w:szCs w:val="20"/>
              </w:rPr>
              <w:t>ELISA for BetaAmyloid (1-42)</w:t>
            </w:r>
          </w:p>
          <w:p w14:paraId="7119E4C5" w14:textId="77777777" w:rsidR="007F3375" w:rsidRPr="00C80D19" w:rsidRDefault="007F3375" w:rsidP="00D55776">
            <w:pPr>
              <w:pStyle w:val="ListParagraph"/>
              <w:numPr>
                <w:ilvl w:val="0"/>
                <w:numId w:val="13"/>
              </w:numPr>
              <w:spacing w:before="0" w:after="0"/>
              <w:ind w:left="124" w:hanging="170"/>
              <w:rPr>
                <w:rFonts w:cstheme="minorHAnsi"/>
                <w:szCs w:val="20"/>
              </w:rPr>
            </w:pPr>
            <w:r w:rsidRPr="00C80D19">
              <w:rPr>
                <w:rFonts w:cstheme="minorHAnsi"/>
                <w:szCs w:val="20"/>
              </w:rPr>
              <w:t>ELISA for BetaAmyloid (1-40)</w:t>
            </w:r>
          </w:p>
          <w:p w14:paraId="1C0F39DB" w14:textId="77777777" w:rsidR="007F3375" w:rsidRPr="00C80D19" w:rsidRDefault="007F3375" w:rsidP="00D55776">
            <w:pPr>
              <w:pStyle w:val="ListParagraph"/>
              <w:numPr>
                <w:ilvl w:val="0"/>
                <w:numId w:val="13"/>
              </w:numPr>
              <w:spacing w:before="0" w:after="0"/>
              <w:ind w:left="124" w:hanging="170"/>
              <w:rPr>
                <w:rFonts w:cstheme="minorHAnsi"/>
                <w:szCs w:val="20"/>
              </w:rPr>
            </w:pPr>
            <w:r w:rsidRPr="00C80D19">
              <w:rPr>
                <w:rFonts w:cstheme="minorHAnsi"/>
                <w:szCs w:val="20"/>
              </w:rPr>
              <w:t>ELISA for total tau</w:t>
            </w:r>
          </w:p>
          <w:p w14:paraId="0E60D0CB" w14:textId="6AFB42C6" w:rsidR="007F3375" w:rsidRPr="00C80D19" w:rsidRDefault="007F3375" w:rsidP="00D55776">
            <w:pPr>
              <w:pStyle w:val="ListParagraph"/>
              <w:numPr>
                <w:ilvl w:val="0"/>
                <w:numId w:val="13"/>
              </w:numPr>
              <w:spacing w:before="0" w:after="0"/>
              <w:ind w:left="124" w:hanging="170"/>
              <w:rPr>
                <w:rFonts w:cstheme="minorHAnsi"/>
                <w:szCs w:val="20"/>
              </w:rPr>
            </w:pPr>
            <w:r w:rsidRPr="00C80D19">
              <w:rPr>
                <w:rFonts w:cstheme="minorHAnsi"/>
                <w:szCs w:val="20"/>
              </w:rPr>
              <w:t>ELISA for P-tau</w:t>
            </w:r>
          </w:p>
        </w:tc>
        <w:tc>
          <w:tcPr>
            <w:tcW w:w="1417" w:type="dxa"/>
          </w:tcPr>
          <w:p w14:paraId="3336A64E" w14:textId="249B499F" w:rsidR="00052610" w:rsidRPr="00C80D19" w:rsidRDefault="007F3375" w:rsidP="00D55776">
            <w:pPr>
              <w:spacing w:before="0" w:after="0"/>
              <w:ind w:left="0"/>
              <w:rPr>
                <w:rFonts w:cstheme="minorHAnsi"/>
                <w:szCs w:val="20"/>
              </w:rPr>
            </w:pPr>
            <w:r w:rsidRPr="00C80D19">
              <w:rPr>
                <w:rFonts w:cstheme="minorHAnsi"/>
                <w:szCs w:val="20"/>
              </w:rPr>
              <w:t>EUROIMMUN</w:t>
            </w:r>
          </w:p>
        </w:tc>
        <w:tc>
          <w:tcPr>
            <w:tcW w:w="1559" w:type="dxa"/>
          </w:tcPr>
          <w:p w14:paraId="0DD01734" w14:textId="390AEDB6" w:rsidR="00052610" w:rsidRPr="00C80D19" w:rsidRDefault="007F3375" w:rsidP="00D55776">
            <w:pPr>
              <w:spacing w:before="0" w:after="0"/>
              <w:ind w:left="0"/>
              <w:rPr>
                <w:rFonts w:cstheme="minorHAnsi"/>
                <w:szCs w:val="20"/>
              </w:rPr>
            </w:pPr>
            <w:r w:rsidRPr="00C80D19">
              <w:rPr>
                <w:rFonts w:cstheme="minorHAnsi"/>
                <w:szCs w:val="20"/>
              </w:rPr>
              <w:t xml:space="preserve">Commercially available in some jurisdictions outside of Australia </w:t>
            </w:r>
            <w:r w:rsidR="00BA7036">
              <w:rPr>
                <w:rStyle w:val="EndnoteReference"/>
                <w:rFonts w:cstheme="minorHAnsi"/>
                <w:szCs w:val="20"/>
              </w:rPr>
              <w:endnoteReference w:id="6"/>
            </w:r>
          </w:p>
          <w:p w14:paraId="5296DEC5" w14:textId="4BA13134" w:rsidR="004D3CE3" w:rsidRPr="00C80D19" w:rsidRDefault="00B81886" w:rsidP="00D55776">
            <w:pPr>
              <w:spacing w:before="0" w:after="0"/>
              <w:ind w:left="0"/>
              <w:rPr>
                <w:rFonts w:cstheme="minorHAnsi"/>
                <w:szCs w:val="20"/>
              </w:rPr>
            </w:pPr>
            <w:hyperlink r:id="rId12" w:history="1">
              <w:r w:rsidR="00D55776">
                <w:rPr>
                  <w:rStyle w:val="Hyperlink"/>
                  <w:rFonts w:cstheme="minorHAnsi"/>
                  <w:szCs w:val="20"/>
                </w:rPr>
                <w:t>https://www.euroimmun.com/</w:t>
              </w:r>
            </w:hyperlink>
          </w:p>
        </w:tc>
      </w:tr>
      <w:tr w:rsidR="004D3CE3" w:rsidRPr="00C80D19" w14:paraId="374E8967" w14:textId="77777777" w:rsidTr="00D55776">
        <w:tc>
          <w:tcPr>
            <w:tcW w:w="1195" w:type="dxa"/>
          </w:tcPr>
          <w:p w14:paraId="1EA4E796" w14:textId="061E6D74" w:rsidR="00052610" w:rsidRPr="00C80D19" w:rsidRDefault="00F66A0F" w:rsidP="00D55776">
            <w:pPr>
              <w:spacing w:before="0" w:after="0"/>
              <w:ind w:left="0"/>
              <w:rPr>
                <w:rFonts w:cstheme="minorHAnsi"/>
                <w:szCs w:val="20"/>
              </w:rPr>
            </w:pPr>
            <w:r w:rsidRPr="00C80D19">
              <w:rPr>
                <w:rFonts w:cstheme="minorHAnsi"/>
                <w:szCs w:val="20"/>
              </w:rPr>
              <w:t>In vitro diagnostic test</w:t>
            </w:r>
          </w:p>
        </w:tc>
        <w:tc>
          <w:tcPr>
            <w:tcW w:w="2551" w:type="dxa"/>
          </w:tcPr>
          <w:p w14:paraId="562109F9" w14:textId="5CD10F20" w:rsidR="009C20A0" w:rsidRPr="00C80D19" w:rsidRDefault="00922B2B" w:rsidP="00D55776">
            <w:pPr>
              <w:spacing w:before="0" w:after="0"/>
              <w:ind w:left="0"/>
              <w:rPr>
                <w:rFonts w:cstheme="minorHAnsi"/>
                <w:szCs w:val="20"/>
              </w:rPr>
            </w:pPr>
            <w:r w:rsidRPr="00C80D19">
              <w:rPr>
                <w:rFonts w:cstheme="minorHAnsi"/>
                <w:szCs w:val="20"/>
              </w:rPr>
              <w:t>Quantitative</w:t>
            </w:r>
            <w:r w:rsidR="007752BD" w:rsidRPr="00C80D19">
              <w:rPr>
                <w:rFonts w:cstheme="minorHAnsi"/>
                <w:szCs w:val="20"/>
              </w:rPr>
              <w:t xml:space="preserve"> </w:t>
            </w:r>
            <w:r w:rsidRPr="00C80D19">
              <w:rPr>
                <w:rFonts w:cstheme="minorHAnsi"/>
                <w:szCs w:val="20"/>
              </w:rPr>
              <w:t>fluorimetric xMAP®</w:t>
            </w:r>
            <w:r w:rsidR="007752BD" w:rsidRPr="00C80D19">
              <w:rPr>
                <w:rFonts w:cstheme="minorHAnsi"/>
                <w:szCs w:val="20"/>
              </w:rPr>
              <w:t xml:space="preserve"> </w:t>
            </w:r>
            <w:r w:rsidRPr="00C80D19">
              <w:rPr>
                <w:rFonts w:cstheme="minorHAnsi"/>
                <w:szCs w:val="20"/>
              </w:rPr>
              <w:t>microbead-based</w:t>
            </w:r>
            <w:r w:rsidR="007752BD" w:rsidRPr="00C80D19">
              <w:rPr>
                <w:rFonts w:cstheme="minorHAnsi"/>
                <w:szCs w:val="20"/>
              </w:rPr>
              <w:t xml:space="preserve"> </w:t>
            </w:r>
            <w:r w:rsidRPr="00C80D19">
              <w:rPr>
                <w:rFonts w:cstheme="minorHAnsi"/>
                <w:szCs w:val="20"/>
              </w:rPr>
              <w:t>multiplex sandwich</w:t>
            </w:r>
            <w:r w:rsidR="007752BD" w:rsidRPr="00C80D19">
              <w:rPr>
                <w:rFonts w:cstheme="minorHAnsi"/>
                <w:szCs w:val="20"/>
              </w:rPr>
              <w:t xml:space="preserve"> </w:t>
            </w:r>
            <w:r w:rsidRPr="00C80D19">
              <w:rPr>
                <w:rFonts w:cstheme="minorHAnsi"/>
                <w:szCs w:val="20"/>
              </w:rPr>
              <w:t>enzyme linked</w:t>
            </w:r>
            <w:r w:rsidR="007752BD" w:rsidRPr="00C80D19">
              <w:rPr>
                <w:rFonts w:cstheme="minorHAnsi"/>
                <w:szCs w:val="20"/>
              </w:rPr>
              <w:t xml:space="preserve"> </w:t>
            </w:r>
            <w:r w:rsidRPr="00C80D19">
              <w:rPr>
                <w:rFonts w:cstheme="minorHAnsi"/>
                <w:szCs w:val="20"/>
              </w:rPr>
              <w:t>immunoassay (ELISA)</w:t>
            </w:r>
            <w:r w:rsidR="007752BD" w:rsidRPr="00C80D19">
              <w:rPr>
                <w:rFonts w:cstheme="minorHAnsi"/>
                <w:szCs w:val="20"/>
              </w:rPr>
              <w:t xml:space="preserve"> </w:t>
            </w:r>
            <w:r w:rsidRPr="00C80D19">
              <w:rPr>
                <w:rFonts w:cstheme="minorHAnsi"/>
                <w:szCs w:val="20"/>
              </w:rPr>
              <w:t>for the simultaneous</w:t>
            </w:r>
            <w:r w:rsidR="007752BD" w:rsidRPr="00C80D19">
              <w:rPr>
                <w:rFonts w:cstheme="minorHAnsi"/>
                <w:szCs w:val="20"/>
              </w:rPr>
              <w:t xml:space="preserve"> </w:t>
            </w:r>
            <w:r w:rsidRPr="00C80D19">
              <w:rPr>
                <w:rFonts w:cstheme="minorHAnsi"/>
                <w:szCs w:val="20"/>
              </w:rPr>
              <w:t>quantification of</w:t>
            </w:r>
            <w:r w:rsidR="007752BD" w:rsidRPr="00C80D19">
              <w:rPr>
                <w:rFonts w:cstheme="minorHAnsi"/>
                <w:szCs w:val="20"/>
              </w:rPr>
              <w:t xml:space="preserve"> p</w:t>
            </w:r>
            <w:r w:rsidRPr="00C80D19">
              <w:rPr>
                <w:rFonts w:cstheme="minorHAnsi"/>
                <w:szCs w:val="20"/>
              </w:rPr>
              <w:t>hosphorylated tau</w:t>
            </w:r>
            <w:r w:rsidR="007752BD" w:rsidRPr="00C80D19">
              <w:rPr>
                <w:rFonts w:cstheme="minorHAnsi"/>
                <w:szCs w:val="20"/>
              </w:rPr>
              <w:t xml:space="preserve"> </w:t>
            </w:r>
            <w:r w:rsidRPr="00C80D19">
              <w:rPr>
                <w:rFonts w:cstheme="minorHAnsi"/>
                <w:szCs w:val="20"/>
              </w:rPr>
              <w:t>(P-tau(181P)), tau,</w:t>
            </w:r>
            <w:r w:rsidR="007752BD" w:rsidRPr="00C80D19">
              <w:rPr>
                <w:rFonts w:cstheme="minorHAnsi"/>
                <w:szCs w:val="20"/>
              </w:rPr>
              <w:t xml:space="preserve"> </w:t>
            </w:r>
            <w:r w:rsidRPr="00C80D19">
              <w:rPr>
                <w:rFonts w:cstheme="minorHAnsi"/>
                <w:szCs w:val="20"/>
              </w:rPr>
              <w:t>and ß-amyloid</w:t>
            </w:r>
            <w:r w:rsidR="00D55776">
              <w:rPr>
                <w:rFonts w:cstheme="minorHAnsi"/>
                <w:szCs w:val="20"/>
              </w:rPr>
              <w:t xml:space="preserve"> </w:t>
            </w:r>
            <w:r w:rsidRPr="00C80D19">
              <w:rPr>
                <w:rFonts w:cstheme="minorHAnsi"/>
                <w:szCs w:val="20"/>
              </w:rPr>
              <w:t>(1-42)</w:t>
            </w:r>
            <w:r w:rsidR="007752BD" w:rsidRPr="00C80D19">
              <w:rPr>
                <w:rFonts w:cstheme="minorHAnsi"/>
                <w:szCs w:val="20"/>
              </w:rPr>
              <w:t xml:space="preserve"> </w:t>
            </w:r>
            <w:r w:rsidRPr="00C80D19">
              <w:rPr>
                <w:rFonts w:cstheme="minorHAnsi"/>
                <w:szCs w:val="20"/>
              </w:rPr>
              <w:t>(</w:t>
            </w:r>
            <w:proofErr w:type="spellStart"/>
            <w:r w:rsidRPr="00C80D19">
              <w:rPr>
                <w:rFonts w:cstheme="minorHAnsi"/>
                <w:szCs w:val="20"/>
              </w:rPr>
              <w:t>Aß</w:t>
            </w:r>
            <w:proofErr w:type="spellEnd"/>
            <w:r w:rsidRPr="00C80D19">
              <w:rPr>
                <w:rFonts w:cstheme="minorHAnsi"/>
                <w:szCs w:val="20"/>
              </w:rPr>
              <w:t>(1-42)) in human</w:t>
            </w:r>
            <w:r w:rsidR="007752BD" w:rsidRPr="00C80D19">
              <w:rPr>
                <w:rFonts w:cstheme="minorHAnsi"/>
                <w:szCs w:val="20"/>
              </w:rPr>
              <w:t xml:space="preserve"> </w:t>
            </w:r>
            <w:r w:rsidRPr="00C80D19">
              <w:rPr>
                <w:rFonts w:cstheme="minorHAnsi"/>
                <w:szCs w:val="20"/>
              </w:rPr>
              <w:t>CSF.</w:t>
            </w:r>
            <w:r w:rsidR="007752BD" w:rsidRPr="00C80D19">
              <w:rPr>
                <w:rFonts w:cstheme="minorHAnsi"/>
                <w:szCs w:val="20"/>
              </w:rPr>
              <w:t xml:space="preserve"> </w:t>
            </w:r>
          </w:p>
          <w:p w14:paraId="37552E53" w14:textId="48F41045" w:rsidR="00052610" w:rsidRPr="00C80D19" w:rsidRDefault="00922B2B" w:rsidP="00D55776">
            <w:pPr>
              <w:spacing w:before="0" w:after="0"/>
              <w:ind w:left="0"/>
              <w:rPr>
                <w:rFonts w:cstheme="minorHAnsi"/>
                <w:szCs w:val="20"/>
              </w:rPr>
            </w:pPr>
            <w:r w:rsidRPr="00C80D19">
              <w:rPr>
                <w:rFonts w:cstheme="minorHAnsi"/>
                <w:szCs w:val="20"/>
              </w:rPr>
              <w:t>For research use only.</w:t>
            </w:r>
            <w:r w:rsidR="007752BD" w:rsidRPr="00C80D19">
              <w:rPr>
                <w:rFonts w:cstheme="minorHAnsi"/>
                <w:szCs w:val="20"/>
              </w:rPr>
              <w:t xml:space="preserve"> </w:t>
            </w:r>
            <w:r w:rsidRPr="00C80D19">
              <w:rPr>
                <w:rFonts w:cstheme="minorHAnsi"/>
                <w:szCs w:val="20"/>
              </w:rPr>
              <w:t>Not for use in</w:t>
            </w:r>
            <w:r w:rsidR="007752BD" w:rsidRPr="00C80D19">
              <w:rPr>
                <w:rFonts w:cstheme="minorHAnsi"/>
                <w:szCs w:val="20"/>
              </w:rPr>
              <w:t xml:space="preserve"> </w:t>
            </w:r>
            <w:r w:rsidRPr="00C80D19">
              <w:rPr>
                <w:rFonts w:cstheme="minorHAnsi"/>
                <w:szCs w:val="20"/>
              </w:rPr>
              <w:t>diagnostic</w:t>
            </w:r>
            <w:r w:rsidR="007752BD" w:rsidRPr="00C80D19">
              <w:rPr>
                <w:rFonts w:cstheme="minorHAnsi"/>
                <w:szCs w:val="20"/>
              </w:rPr>
              <w:t xml:space="preserve"> </w:t>
            </w:r>
            <w:r w:rsidRPr="00C80D19">
              <w:rPr>
                <w:rFonts w:cstheme="minorHAnsi"/>
                <w:szCs w:val="20"/>
              </w:rPr>
              <w:t>procedures.</w:t>
            </w:r>
          </w:p>
        </w:tc>
        <w:tc>
          <w:tcPr>
            <w:tcW w:w="1985" w:type="dxa"/>
          </w:tcPr>
          <w:p w14:paraId="59DEFA68" w14:textId="3C54BD64" w:rsidR="00052610" w:rsidRPr="00C80D19" w:rsidRDefault="009C20A0" w:rsidP="00D55776">
            <w:pPr>
              <w:spacing w:before="0" w:after="0"/>
              <w:ind w:left="0"/>
              <w:rPr>
                <w:rFonts w:cstheme="minorHAnsi"/>
                <w:szCs w:val="20"/>
              </w:rPr>
            </w:pPr>
            <w:r w:rsidRPr="00C80D19">
              <w:rPr>
                <w:rFonts w:cstheme="minorHAnsi"/>
                <w:szCs w:val="20"/>
              </w:rPr>
              <w:t>INNO-BIA AlzBio3 xMAP</w:t>
            </w:r>
          </w:p>
        </w:tc>
        <w:tc>
          <w:tcPr>
            <w:tcW w:w="1417" w:type="dxa"/>
          </w:tcPr>
          <w:p w14:paraId="5A395E9E" w14:textId="6F1E4ECE" w:rsidR="00052610" w:rsidRPr="00C80D19" w:rsidRDefault="00DC75C0" w:rsidP="00D55776">
            <w:pPr>
              <w:spacing w:before="0" w:after="0"/>
              <w:ind w:left="0"/>
              <w:rPr>
                <w:rFonts w:cstheme="minorHAnsi"/>
                <w:szCs w:val="20"/>
              </w:rPr>
            </w:pPr>
            <w:r w:rsidRPr="00C80D19">
              <w:rPr>
                <w:rFonts w:cstheme="minorHAnsi"/>
                <w:szCs w:val="20"/>
              </w:rPr>
              <w:t>Innogenetics</w:t>
            </w:r>
          </w:p>
        </w:tc>
        <w:tc>
          <w:tcPr>
            <w:tcW w:w="1559" w:type="dxa"/>
          </w:tcPr>
          <w:p w14:paraId="14E0AD27" w14:textId="77777777" w:rsidR="00DC75C0" w:rsidRPr="00C80D19" w:rsidRDefault="00DC75C0" w:rsidP="00D55776">
            <w:pPr>
              <w:spacing w:before="0" w:after="0"/>
              <w:ind w:left="0"/>
              <w:rPr>
                <w:rFonts w:cstheme="minorHAnsi"/>
                <w:szCs w:val="20"/>
              </w:rPr>
            </w:pPr>
            <w:r w:rsidRPr="00C80D19">
              <w:rPr>
                <w:rFonts w:cstheme="minorHAnsi"/>
                <w:szCs w:val="20"/>
              </w:rPr>
              <w:t xml:space="preserve">Commercially available in some jurisdictions outside of Australia </w:t>
            </w:r>
          </w:p>
          <w:p w14:paraId="22E31BE5" w14:textId="73106C5D" w:rsidR="00052610" w:rsidRPr="00C80D19" w:rsidRDefault="00B81886" w:rsidP="00D55776">
            <w:pPr>
              <w:spacing w:before="0" w:after="0"/>
              <w:ind w:left="0"/>
              <w:rPr>
                <w:rFonts w:cstheme="minorHAnsi"/>
                <w:szCs w:val="20"/>
              </w:rPr>
            </w:pPr>
            <w:hyperlink r:id="rId13" w:history="1">
              <w:r w:rsidR="00DB4D0D" w:rsidRPr="00C80D19">
                <w:rPr>
                  <w:rStyle w:val="Hyperlink"/>
                  <w:rFonts w:cstheme="minorHAnsi"/>
                  <w:szCs w:val="20"/>
                </w:rPr>
                <w:t>https://search.cosmobio.co.jp/cosmo_search_p/search_gate2</w:t>
              </w:r>
              <w:bookmarkStart w:id="7" w:name="_Hlt119057631"/>
              <w:bookmarkStart w:id="8" w:name="_Hlt119057632"/>
              <w:r w:rsidR="004A7128">
                <w:rPr>
                  <w:rStyle w:val="EndnoteReference"/>
                  <w:rFonts w:cstheme="minorHAnsi"/>
                  <w:color w:val="0000FF" w:themeColor="hyperlink"/>
                  <w:szCs w:val="20"/>
                  <w:u w:val="single"/>
                </w:rPr>
                <w:endnoteReference w:id="7"/>
              </w:r>
              <w:r w:rsidR="00DB4D0D" w:rsidRPr="00C80D19">
                <w:rPr>
                  <w:rStyle w:val="Hyperlink"/>
                  <w:rFonts w:cstheme="minorHAnsi"/>
                  <w:szCs w:val="20"/>
                </w:rPr>
                <w:t>/</w:t>
              </w:r>
              <w:bookmarkEnd w:id="7"/>
              <w:bookmarkEnd w:id="8"/>
              <w:r w:rsidR="00DB4D0D" w:rsidRPr="00C80D19">
                <w:rPr>
                  <w:rStyle w:val="Hyperlink"/>
                  <w:rFonts w:cstheme="minorHAnsi"/>
                  <w:szCs w:val="20"/>
                </w:rPr>
                <w:t>docs/IGT_/80584.20090219.pdf</w:t>
              </w:r>
            </w:hyperlink>
          </w:p>
          <w:p w14:paraId="65EFB062" w14:textId="58C89AAF" w:rsidR="00DB4D0D" w:rsidRPr="00C80D19" w:rsidRDefault="00DB4D0D" w:rsidP="00D55776">
            <w:pPr>
              <w:spacing w:before="0" w:after="0"/>
              <w:ind w:left="0"/>
              <w:rPr>
                <w:rFonts w:cstheme="minorHAnsi"/>
                <w:szCs w:val="20"/>
              </w:rPr>
            </w:pPr>
          </w:p>
        </w:tc>
      </w:tr>
      <w:tr w:rsidR="004D3CE3" w:rsidRPr="00C80D19" w14:paraId="11B987DD" w14:textId="77777777" w:rsidTr="00D55776">
        <w:tc>
          <w:tcPr>
            <w:tcW w:w="1195" w:type="dxa"/>
          </w:tcPr>
          <w:p w14:paraId="6064E34B" w14:textId="05FF58E2" w:rsidR="00052610" w:rsidRPr="00C80D19" w:rsidRDefault="00F66A0F" w:rsidP="00D55776">
            <w:pPr>
              <w:spacing w:before="0" w:after="0"/>
              <w:ind w:left="0"/>
              <w:rPr>
                <w:rFonts w:cstheme="minorHAnsi"/>
                <w:szCs w:val="20"/>
              </w:rPr>
            </w:pPr>
            <w:r w:rsidRPr="00C80D19">
              <w:rPr>
                <w:rFonts w:cstheme="minorHAnsi"/>
                <w:szCs w:val="20"/>
              </w:rPr>
              <w:lastRenderedPageBreak/>
              <w:t>In vitro diagnostic test</w:t>
            </w:r>
          </w:p>
        </w:tc>
        <w:tc>
          <w:tcPr>
            <w:tcW w:w="2551" w:type="dxa"/>
          </w:tcPr>
          <w:p w14:paraId="1970AF6E" w14:textId="31C6F665" w:rsidR="00052610" w:rsidRPr="00C80D19" w:rsidRDefault="00F82FF5" w:rsidP="00D55776">
            <w:pPr>
              <w:spacing w:before="0" w:after="0"/>
              <w:ind w:left="0"/>
              <w:rPr>
                <w:rFonts w:cstheme="minorHAnsi"/>
                <w:szCs w:val="20"/>
              </w:rPr>
            </w:pPr>
            <w:r w:rsidRPr="00C80D19">
              <w:rPr>
                <w:rFonts w:cstheme="minorHAnsi"/>
                <w:szCs w:val="20"/>
              </w:rPr>
              <w:t>ElectroChemiLumines cence sandwich Immunoassay (ECLIA) for the in vitro quantitative determination of AD biomarkers (amyloid; tau proteins) in human Cerebrospinal Fluid (CSF) Electrochemiluminescence assay using the Cobas e610 instrument</w:t>
            </w:r>
          </w:p>
        </w:tc>
        <w:tc>
          <w:tcPr>
            <w:tcW w:w="1985" w:type="dxa"/>
          </w:tcPr>
          <w:p w14:paraId="09B59D3A" w14:textId="4B347013" w:rsidR="007E17E2" w:rsidRPr="00C80D19" w:rsidRDefault="007E17E2" w:rsidP="00D55776">
            <w:pPr>
              <w:spacing w:before="0" w:after="0"/>
              <w:ind w:left="0"/>
              <w:rPr>
                <w:rFonts w:cstheme="minorHAnsi"/>
                <w:szCs w:val="20"/>
              </w:rPr>
            </w:pPr>
            <w:r w:rsidRPr="00C80D19">
              <w:rPr>
                <w:rFonts w:cstheme="minorHAnsi"/>
                <w:szCs w:val="20"/>
              </w:rPr>
              <w:t>Elecsys® β-Amyloid</w:t>
            </w:r>
            <w:r w:rsidR="00A9088E" w:rsidRPr="00C80D19">
              <w:rPr>
                <w:rFonts w:cstheme="minorHAnsi"/>
                <w:szCs w:val="20"/>
              </w:rPr>
              <w:t xml:space="preserve"> </w:t>
            </w:r>
            <w:r w:rsidRPr="00C80D19">
              <w:rPr>
                <w:rFonts w:cstheme="minorHAnsi"/>
                <w:szCs w:val="20"/>
              </w:rPr>
              <w:t>(1-42) CSF</w:t>
            </w:r>
          </w:p>
          <w:p w14:paraId="75CD6AB4" w14:textId="5CAB4F99" w:rsidR="007E17E2" w:rsidRPr="00C80D19" w:rsidRDefault="007E17E2" w:rsidP="00D55776">
            <w:pPr>
              <w:spacing w:before="0" w:after="0"/>
              <w:ind w:left="0"/>
              <w:rPr>
                <w:rFonts w:cstheme="minorHAnsi"/>
                <w:szCs w:val="20"/>
              </w:rPr>
            </w:pPr>
            <w:r w:rsidRPr="00C80D19">
              <w:rPr>
                <w:rFonts w:cstheme="minorHAnsi"/>
                <w:szCs w:val="20"/>
              </w:rPr>
              <w:t>Elecsys® Phospho-Tau (181P) CSF</w:t>
            </w:r>
          </w:p>
          <w:p w14:paraId="1306DA1E" w14:textId="38164F3C" w:rsidR="00052610" w:rsidRPr="00C80D19" w:rsidRDefault="007E17E2" w:rsidP="00D55776">
            <w:pPr>
              <w:spacing w:before="0" w:after="0"/>
              <w:ind w:left="0"/>
              <w:rPr>
                <w:rFonts w:cstheme="minorHAnsi"/>
                <w:szCs w:val="20"/>
              </w:rPr>
            </w:pPr>
            <w:r w:rsidRPr="00C80D19">
              <w:rPr>
                <w:rFonts w:cstheme="minorHAnsi"/>
                <w:szCs w:val="20"/>
              </w:rPr>
              <w:t>Elecsys® Total -Tau</w:t>
            </w:r>
            <w:r w:rsidR="00A9088E" w:rsidRPr="00C80D19">
              <w:rPr>
                <w:rFonts w:cstheme="minorHAnsi"/>
                <w:szCs w:val="20"/>
              </w:rPr>
              <w:t xml:space="preserve"> </w:t>
            </w:r>
            <w:r w:rsidRPr="00C80D19">
              <w:rPr>
                <w:rFonts w:cstheme="minorHAnsi"/>
                <w:szCs w:val="20"/>
              </w:rPr>
              <w:t>CSF</w:t>
            </w:r>
          </w:p>
        </w:tc>
        <w:tc>
          <w:tcPr>
            <w:tcW w:w="1417" w:type="dxa"/>
          </w:tcPr>
          <w:p w14:paraId="08EA6B7F" w14:textId="63220712" w:rsidR="00052610" w:rsidRPr="00C80D19" w:rsidRDefault="007E17E2" w:rsidP="00D55776">
            <w:pPr>
              <w:spacing w:before="0" w:after="0"/>
              <w:ind w:left="0"/>
              <w:rPr>
                <w:rFonts w:cstheme="minorHAnsi"/>
                <w:szCs w:val="20"/>
              </w:rPr>
            </w:pPr>
            <w:r w:rsidRPr="00C80D19">
              <w:rPr>
                <w:rFonts w:cstheme="minorHAnsi"/>
                <w:szCs w:val="20"/>
              </w:rPr>
              <w:t>Roche Diagnostics</w:t>
            </w:r>
          </w:p>
        </w:tc>
        <w:tc>
          <w:tcPr>
            <w:tcW w:w="1559" w:type="dxa"/>
          </w:tcPr>
          <w:p w14:paraId="5A96A2D6" w14:textId="3CF186C2" w:rsidR="007E17E2" w:rsidRPr="00C80D19" w:rsidRDefault="007E17E2" w:rsidP="00D55776">
            <w:pPr>
              <w:spacing w:before="0" w:after="0"/>
              <w:ind w:left="0"/>
              <w:rPr>
                <w:rFonts w:cstheme="minorHAnsi"/>
                <w:szCs w:val="20"/>
              </w:rPr>
            </w:pPr>
            <w:r w:rsidRPr="00C80D19">
              <w:rPr>
                <w:rFonts w:cstheme="minorHAnsi"/>
                <w:szCs w:val="20"/>
              </w:rPr>
              <w:t>Commercially available in some jurisdictions outside of Australia</w:t>
            </w:r>
            <w:r w:rsidR="00FA4A08">
              <w:rPr>
                <w:rStyle w:val="EndnoteReference"/>
                <w:rFonts w:cstheme="minorHAnsi"/>
                <w:szCs w:val="20"/>
              </w:rPr>
              <w:endnoteReference w:id="8"/>
            </w:r>
            <w:r w:rsidRPr="00C80D19">
              <w:rPr>
                <w:rFonts w:cstheme="minorHAnsi"/>
                <w:szCs w:val="20"/>
              </w:rPr>
              <w:t xml:space="preserve"> </w:t>
            </w:r>
          </w:p>
          <w:p w14:paraId="2AC474A6" w14:textId="7BD4D716" w:rsidR="007122B4" w:rsidRPr="00C80D19" w:rsidRDefault="00B81886" w:rsidP="00D55776">
            <w:pPr>
              <w:spacing w:before="0" w:after="0"/>
              <w:ind w:left="0"/>
              <w:rPr>
                <w:rFonts w:cstheme="minorHAnsi"/>
                <w:szCs w:val="20"/>
              </w:rPr>
            </w:pPr>
            <w:hyperlink r:id="rId14" w:history="1">
              <w:r w:rsidR="001335CF" w:rsidRPr="00C80D19">
                <w:rPr>
                  <w:rStyle w:val="Hyperlink"/>
                  <w:rFonts w:cstheme="minorHAnsi"/>
                  <w:szCs w:val="20"/>
                </w:rPr>
                <w:t>https://diagnostics.roche.com/global/en/products/product-category/neurology.html</w:t>
              </w:r>
            </w:hyperlink>
          </w:p>
          <w:p w14:paraId="242A9C43" w14:textId="2A4817C4" w:rsidR="007122B4" w:rsidRPr="00C80D19" w:rsidRDefault="007122B4" w:rsidP="00D55776">
            <w:pPr>
              <w:spacing w:before="0" w:after="0"/>
              <w:ind w:left="0"/>
              <w:rPr>
                <w:rFonts w:cstheme="minorHAnsi"/>
                <w:szCs w:val="20"/>
              </w:rPr>
            </w:pPr>
          </w:p>
        </w:tc>
      </w:tr>
      <w:tr w:rsidR="004D3CE3" w:rsidRPr="00C80D19" w14:paraId="5DFE2B97" w14:textId="77777777" w:rsidTr="00D55776">
        <w:tc>
          <w:tcPr>
            <w:tcW w:w="1195" w:type="dxa"/>
          </w:tcPr>
          <w:p w14:paraId="159DF4BE" w14:textId="5859BEF3" w:rsidR="00052610" w:rsidRPr="00C80D19" w:rsidRDefault="00F66A0F" w:rsidP="00D55776">
            <w:pPr>
              <w:spacing w:before="0" w:after="0"/>
              <w:ind w:left="0"/>
              <w:rPr>
                <w:rFonts w:cstheme="minorHAnsi"/>
                <w:szCs w:val="20"/>
              </w:rPr>
            </w:pPr>
            <w:r w:rsidRPr="00C80D19">
              <w:rPr>
                <w:rFonts w:cstheme="minorHAnsi"/>
                <w:szCs w:val="20"/>
              </w:rPr>
              <w:t>In vitro diagnostic test</w:t>
            </w:r>
          </w:p>
        </w:tc>
        <w:tc>
          <w:tcPr>
            <w:tcW w:w="2551" w:type="dxa"/>
          </w:tcPr>
          <w:p w14:paraId="16A7D9FA" w14:textId="6B564B66" w:rsidR="00B7116B" w:rsidRPr="00C80D19" w:rsidRDefault="00B7116B" w:rsidP="00D55776">
            <w:pPr>
              <w:spacing w:before="0" w:after="0"/>
              <w:ind w:left="0"/>
              <w:rPr>
                <w:rFonts w:cstheme="minorHAnsi"/>
                <w:szCs w:val="20"/>
              </w:rPr>
            </w:pPr>
            <w:r w:rsidRPr="00C80D19">
              <w:rPr>
                <w:rFonts w:cstheme="minorHAnsi"/>
                <w:szCs w:val="20"/>
              </w:rPr>
              <w:t>Immunoassay (using immunoreaction cartridges) intended for the quantitative measurement AD biomarkers (amyloid; tau proteins) in CSF, based on CLEIA (ChemiLuminescent Enzyme ImmunoAssay) technology</w:t>
            </w:r>
          </w:p>
          <w:p w14:paraId="67C2CD20" w14:textId="0B0E7275" w:rsidR="00052610" w:rsidRPr="00C80D19" w:rsidRDefault="00B7116B" w:rsidP="00D55776">
            <w:pPr>
              <w:spacing w:before="0" w:after="0"/>
              <w:ind w:left="0"/>
              <w:rPr>
                <w:rFonts w:cstheme="minorHAnsi"/>
                <w:szCs w:val="20"/>
              </w:rPr>
            </w:pPr>
            <w:r w:rsidRPr="00C80D19">
              <w:rPr>
                <w:rFonts w:cstheme="minorHAnsi"/>
                <w:szCs w:val="20"/>
              </w:rPr>
              <w:t>Intended to be used in conjunction with Lumipulse G β- Amyloid 1-40 assay</w:t>
            </w:r>
          </w:p>
        </w:tc>
        <w:tc>
          <w:tcPr>
            <w:tcW w:w="1985" w:type="dxa"/>
          </w:tcPr>
          <w:p w14:paraId="5E9A872A" w14:textId="0E23C24A" w:rsidR="00B7116B" w:rsidRPr="00C80D19" w:rsidRDefault="00B7116B" w:rsidP="00D55776">
            <w:pPr>
              <w:spacing w:before="0" w:after="0"/>
              <w:ind w:left="0"/>
              <w:rPr>
                <w:rFonts w:cstheme="minorHAnsi"/>
                <w:szCs w:val="20"/>
              </w:rPr>
            </w:pPr>
            <w:r w:rsidRPr="00C80D19">
              <w:rPr>
                <w:rFonts w:cstheme="minorHAnsi"/>
                <w:szCs w:val="20"/>
              </w:rPr>
              <w:t>Lumipulse G β-Amyloid 1-42</w:t>
            </w:r>
          </w:p>
          <w:p w14:paraId="62A6B108" w14:textId="02585E24" w:rsidR="00B7116B" w:rsidRPr="00C80D19" w:rsidRDefault="00B7116B" w:rsidP="00D55776">
            <w:pPr>
              <w:spacing w:before="0" w:after="0"/>
              <w:ind w:left="0"/>
              <w:rPr>
                <w:rFonts w:cstheme="minorHAnsi"/>
                <w:szCs w:val="20"/>
              </w:rPr>
            </w:pPr>
            <w:r w:rsidRPr="00C80D19">
              <w:rPr>
                <w:rFonts w:cstheme="minorHAnsi"/>
                <w:szCs w:val="20"/>
              </w:rPr>
              <w:t>Lumipulse G β-Amyloid 1-40</w:t>
            </w:r>
          </w:p>
          <w:p w14:paraId="1B9C4EE9" w14:textId="632020B9" w:rsidR="00B7116B" w:rsidRPr="00C80D19" w:rsidRDefault="00B7116B" w:rsidP="00D55776">
            <w:pPr>
              <w:spacing w:before="0" w:after="0"/>
              <w:ind w:left="0"/>
              <w:rPr>
                <w:rFonts w:cstheme="minorHAnsi"/>
                <w:szCs w:val="20"/>
              </w:rPr>
            </w:pPr>
            <w:r w:rsidRPr="00C80D19">
              <w:rPr>
                <w:rFonts w:cstheme="minorHAnsi"/>
                <w:szCs w:val="20"/>
              </w:rPr>
              <w:t>Lumipulse G Ptau</w:t>
            </w:r>
            <w:r w:rsidR="00E85BF4" w:rsidRPr="00C80D19">
              <w:rPr>
                <w:rFonts w:cstheme="minorHAnsi"/>
                <w:szCs w:val="20"/>
              </w:rPr>
              <w:t xml:space="preserve"> </w:t>
            </w:r>
            <w:r w:rsidRPr="00C80D19">
              <w:rPr>
                <w:rFonts w:cstheme="minorHAnsi"/>
                <w:szCs w:val="20"/>
              </w:rPr>
              <w:t>181</w:t>
            </w:r>
          </w:p>
          <w:p w14:paraId="374435FE" w14:textId="13BEDFCC" w:rsidR="00052610" w:rsidRPr="00C80D19" w:rsidRDefault="00B7116B" w:rsidP="00D55776">
            <w:pPr>
              <w:spacing w:before="0" w:after="0"/>
              <w:ind w:left="0"/>
              <w:rPr>
                <w:rFonts w:cstheme="minorHAnsi"/>
                <w:szCs w:val="20"/>
              </w:rPr>
            </w:pPr>
            <w:r w:rsidRPr="00C80D19">
              <w:rPr>
                <w:rFonts w:cstheme="minorHAnsi"/>
                <w:szCs w:val="20"/>
              </w:rPr>
              <w:t>Lumipulse G total</w:t>
            </w:r>
            <w:r w:rsidR="00E85BF4" w:rsidRPr="00C80D19">
              <w:rPr>
                <w:rFonts w:cstheme="minorHAnsi"/>
                <w:szCs w:val="20"/>
              </w:rPr>
              <w:t xml:space="preserve"> </w:t>
            </w:r>
            <w:r w:rsidRPr="00C80D19">
              <w:rPr>
                <w:rFonts w:cstheme="minorHAnsi"/>
                <w:szCs w:val="20"/>
              </w:rPr>
              <w:t>tau</w:t>
            </w:r>
          </w:p>
        </w:tc>
        <w:tc>
          <w:tcPr>
            <w:tcW w:w="1417" w:type="dxa"/>
          </w:tcPr>
          <w:p w14:paraId="4ED8244B" w14:textId="410177E4" w:rsidR="00052610" w:rsidRPr="00C80D19" w:rsidRDefault="00A060C7" w:rsidP="00D55776">
            <w:pPr>
              <w:spacing w:before="0" w:after="0"/>
              <w:ind w:left="0"/>
              <w:rPr>
                <w:rFonts w:cstheme="minorHAnsi"/>
                <w:szCs w:val="20"/>
              </w:rPr>
            </w:pPr>
            <w:r>
              <w:rPr>
                <w:rFonts w:cstheme="minorHAnsi"/>
                <w:szCs w:val="20"/>
              </w:rPr>
              <w:t>F</w:t>
            </w:r>
            <w:r w:rsidR="007E17E2" w:rsidRPr="00C80D19">
              <w:rPr>
                <w:rFonts w:cstheme="minorHAnsi"/>
                <w:szCs w:val="20"/>
              </w:rPr>
              <w:t>ujirebio</w:t>
            </w:r>
          </w:p>
        </w:tc>
        <w:tc>
          <w:tcPr>
            <w:tcW w:w="1559" w:type="dxa"/>
          </w:tcPr>
          <w:p w14:paraId="5DED007B" w14:textId="6767DFFE" w:rsidR="007E17E2" w:rsidRPr="00C80D19" w:rsidRDefault="007E17E2" w:rsidP="00D55776">
            <w:pPr>
              <w:spacing w:before="0" w:after="0"/>
              <w:ind w:left="0"/>
              <w:rPr>
                <w:rFonts w:cstheme="minorHAnsi"/>
                <w:szCs w:val="20"/>
              </w:rPr>
            </w:pPr>
            <w:r w:rsidRPr="00C80D19">
              <w:rPr>
                <w:rFonts w:cstheme="minorHAnsi"/>
                <w:szCs w:val="20"/>
              </w:rPr>
              <w:t>Commercially available in some jurisdictions outside of Australia</w:t>
            </w:r>
            <w:r w:rsidR="00932796">
              <w:rPr>
                <w:rStyle w:val="EndnoteReference"/>
                <w:rFonts w:cstheme="minorHAnsi"/>
                <w:szCs w:val="20"/>
              </w:rPr>
              <w:endnoteReference w:id="9"/>
            </w:r>
            <w:r w:rsidRPr="00C80D19">
              <w:rPr>
                <w:rFonts w:cstheme="minorHAnsi"/>
                <w:szCs w:val="20"/>
              </w:rPr>
              <w:t xml:space="preserve"> </w:t>
            </w:r>
          </w:p>
          <w:p w14:paraId="49670742" w14:textId="2092E153" w:rsidR="003167F6" w:rsidRPr="00C80D19" w:rsidRDefault="00B81886" w:rsidP="00D55776">
            <w:pPr>
              <w:spacing w:before="0" w:after="0"/>
              <w:ind w:left="0"/>
              <w:rPr>
                <w:rFonts w:cstheme="minorHAnsi"/>
                <w:szCs w:val="20"/>
              </w:rPr>
            </w:pPr>
            <w:hyperlink r:id="rId15" w:history="1">
              <w:r w:rsidR="003167F6" w:rsidRPr="00C80D19">
                <w:rPr>
                  <w:rStyle w:val="Hyperlink"/>
                  <w:rFonts w:cstheme="minorHAnsi"/>
                  <w:szCs w:val="20"/>
                </w:rPr>
                <w:t>https://www.fujirebio.com/en/prod</w:t>
              </w:r>
              <w:bookmarkStart w:id="9" w:name="_Hlt119057813"/>
              <w:bookmarkStart w:id="10" w:name="_Hlt119057814"/>
              <w:r w:rsidR="003167F6" w:rsidRPr="00C80D19">
                <w:rPr>
                  <w:rStyle w:val="Hyperlink"/>
                  <w:rFonts w:cstheme="minorHAnsi"/>
                  <w:szCs w:val="20"/>
                </w:rPr>
                <w:t>u</w:t>
              </w:r>
              <w:bookmarkEnd w:id="9"/>
              <w:bookmarkEnd w:id="10"/>
              <w:r w:rsidR="003167F6" w:rsidRPr="00C80D19">
                <w:rPr>
                  <w:rStyle w:val="Hyperlink"/>
                  <w:rFonts w:cstheme="minorHAnsi"/>
                  <w:szCs w:val="20"/>
                </w:rPr>
                <w:t>cts-solutions/neurodegeneration</w:t>
              </w:r>
            </w:hyperlink>
          </w:p>
          <w:p w14:paraId="6AC10C5F" w14:textId="1163DB64" w:rsidR="00052610" w:rsidRPr="00C80D19" w:rsidRDefault="00052610" w:rsidP="00D55776">
            <w:pPr>
              <w:spacing w:before="0" w:after="0"/>
              <w:ind w:left="0"/>
              <w:rPr>
                <w:rFonts w:cstheme="minorHAnsi"/>
                <w:szCs w:val="20"/>
              </w:rPr>
            </w:pPr>
          </w:p>
          <w:p w14:paraId="54F534FA" w14:textId="201BEF89" w:rsidR="00E85BF4" w:rsidRPr="00C80D19" w:rsidRDefault="00E85BF4" w:rsidP="00D55776">
            <w:pPr>
              <w:spacing w:before="0" w:after="0"/>
              <w:ind w:left="0"/>
              <w:rPr>
                <w:rFonts w:cstheme="minorHAnsi"/>
                <w:szCs w:val="20"/>
              </w:rPr>
            </w:pPr>
          </w:p>
        </w:tc>
      </w:tr>
    </w:tbl>
    <w:p w14:paraId="0ACE3664" w14:textId="77777777" w:rsidR="00761565" w:rsidRDefault="00761565" w:rsidP="00D55776"/>
    <w:p w14:paraId="703E53C1" w14:textId="77777777" w:rsidR="000E2E02" w:rsidRPr="00154B00" w:rsidRDefault="000E2E02" w:rsidP="00D55776">
      <w:pPr>
        <w:pStyle w:val="Heading2"/>
        <w:numPr>
          <w:ilvl w:val="0"/>
          <w:numId w:val="6"/>
        </w:numPr>
      </w:pPr>
      <w:r>
        <w:t>If a</w:t>
      </w:r>
      <w:r w:rsidRPr="000E2E02">
        <w:t xml:space="preserve"> medical device is involved, has the medical device been classified by TGA as a Class III OR Active Implantable Medical Device (AIMD) under the TGA regulatory scheme for devices?</w:t>
      </w:r>
    </w:p>
    <w:p w14:paraId="221FF9B1" w14:textId="77777777" w:rsidR="000E2E02" w:rsidRPr="00615F42" w:rsidRDefault="000E2E02"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rsidRPr="000A5B32">
        <w:t xml:space="preserve"> </w:t>
      </w:r>
      <w:r w:rsidRPr="00615F42">
        <w:t>Class III</w:t>
      </w:r>
    </w:p>
    <w:p w14:paraId="3FBAC867" w14:textId="77777777" w:rsidR="000E2E02" w:rsidRPr="00615F42" w:rsidRDefault="000E2E02"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rsidRPr="000A5B32">
        <w:t xml:space="preserve"> </w:t>
      </w:r>
      <w:r w:rsidRPr="00615F42">
        <w:t>AIMD</w:t>
      </w:r>
    </w:p>
    <w:p w14:paraId="4DFB28BA" w14:textId="2182B9A7" w:rsidR="000F3129" w:rsidRPr="00154B00" w:rsidRDefault="003C15F6" w:rsidP="00D55776">
      <w:pPr>
        <w:pStyle w:val="Tickboxes"/>
      </w:pPr>
      <w:r>
        <w:fldChar w:fldCharType="begin">
          <w:ffData>
            <w:name w:val=""/>
            <w:enabled/>
            <w:calcOnExit w:val="0"/>
            <w:checkBox>
              <w:sizeAuto/>
              <w:default w:val="1"/>
            </w:checkBox>
          </w:ffData>
        </w:fldChar>
      </w:r>
      <w:r>
        <w:instrText xml:space="preserve"> FORMCHECKBOX </w:instrText>
      </w:r>
      <w:r w:rsidR="00B81886">
        <w:fldChar w:fldCharType="separate"/>
      </w:r>
      <w:r>
        <w:fldChar w:fldCharType="end"/>
      </w:r>
      <w:r w:rsidR="000E2E02" w:rsidRPr="000A5B32">
        <w:t xml:space="preserve"> </w:t>
      </w:r>
      <w:r w:rsidR="000E2E02" w:rsidRPr="00615F42">
        <w:t>N/A</w:t>
      </w:r>
    </w:p>
    <w:p w14:paraId="375642E9" w14:textId="77777777" w:rsidR="000E2E02" w:rsidRDefault="000E2E02" w:rsidP="00D55776">
      <w:pPr>
        <w:pStyle w:val="Heading2"/>
        <w:numPr>
          <w:ilvl w:val="0"/>
          <w:numId w:val="6"/>
        </w:numPr>
        <w:rPr>
          <w:lang w:val="en-GB"/>
        </w:rPr>
      </w:pPr>
      <w:r w:rsidRPr="000E2E02">
        <w:rPr>
          <w:lang w:val="en-GB"/>
        </w:rPr>
        <w:t>Is the therapeutic good classified by TGA for Research Use Only (RUO)?</w:t>
      </w:r>
    </w:p>
    <w:p w14:paraId="0351A83C" w14:textId="128A0711" w:rsidR="000E2E02" w:rsidRPr="0000380D" w:rsidRDefault="005E4CF5" w:rsidP="00D55776">
      <w:r>
        <w:t xml:space="preserve">No </w:t>
      </w:r>
    </w:p>
    <w:p w14:paraId="6EAFB320" w14:textId="77777777" w:rsidR="003421AE" w:rsidRPr="00A6491A" w:rsidRDefault="0011369B" w:rsidP="00D5577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577CEB5" w14:textId="4D2A2BE8" w:rsidR="00615F42" w:rsidRDefault="000B3159" w:rsidP="00D55776">
      <w:pPr>
        <w:pStyle w:val="Tickboxes"/>
      </w:pPr>
      <w:r>
        <w:fldChar w:fldCharType="begin">
          <w:ffData>
            <w:name w:val=""/>
            <w:enabled/>
            <w:calcOnExit w:val="0"/>
            <w:checkBox>
              <w:sizeAuto/>
              <w:default w:val="1"/>
            </w:checkBox>
          </w:ffData>
        </w:fldChar>
      </w:r>
      <w:r w:rsidRPr="000B3159">
        <w:instrText xml:space="preserve"> FORMCHECKBOX </w:instrText>
      </w:r>
      <w:r w:rsidR="00B81886">
        <w:fldChar w:fldCharType="separate"/>
      </w:r>
      <w:r>
        <w:fldChar w:fldCharType="end"/>
      </w:r>
      <w:r w:rsidR="00615F42">
        <w:t xml:space="preserve"> Yes (</w:t>
      </w:r>
      <w:r w:rsidR="00615F42" w:rsidRPr="00154B00">
        <w:t>If yes, please provide supporting documentation</w:t>
      </w:r>
      <w:r w:rsidR="00615F42">
        <w:t xml:space="preserve"> as an attachment to this application form)</w:t>
      </w:r>
    </w:p>
    <w:p w14:paraId="02EC512D" w14:textId="77777777" w:rsidR="004F06CF" w:rsidRDefault="00615F42" w:rsidP="00D55776">
      <w:pPr>
        <w:shd w:val="clear" w:color="auto" w:fill="FFFFFF"/>
        <w:spacing w:before="0" w:after="0"/>
        <w:rPr>
          <w:rFonts w:ascii="Segoe UI" w:eastAsia="Times New Roman" w:hAnsi="Segoe UI" w:cs="Segoe UI"/>
          <w:color w:val="242424"/>
          <w:sz w:val="21"/>
          <w:szCs w:val="21"/>
          <w:lang w:eastAsia="en-AU"/>
        </w:rPr>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No</w:t>
      </w:r>
      <w:r w:rsidR="004F06CF" w:rsidRPr="004F06CF">
        <w:rPr>
          <w:rFonts w:ascii="Segoe UI" w:eastAsia="Times New Roman" w:hAnsi="Segoe UI" w:cs="Segoe UI"/>
          <w:color w:val="242424"/>
          <w:sz w:val="21"/>
          <w:szCs w:val="21"/>
          <w:lang w:eastAsia="en-AU"/>
        </w:rPr>
        <w:t xml:space="preserve"> </w:t>
      </w:r>
    </w:p>
    <w:p w14:paraId="40612EEF" w14:textId="4A997646" w:rsidR="00734C11" w:rsidRPr="00734C11" w:rsidRDefault="00734C11" w:rsidP="00D55776">
      <w:pPr>
        <w:jc w:val="both"/>
        <w:rPr>
          <w:b/>
          <w:bCs/>
          <w:u w:val="single"/>
        </w:rPr>
      </w:pPr>
      <w:r>
        <w:rPr>
          <w:b/>
          <w:bCs/>
          <w:u w:val="single"/>
        </w:rPr>
        <w:t>R</w:t>
      </w:r>
      <w:r w:rsidRPr="00734C11">
        <w:rPr>
          <w:b/>
          <w:bCs/>
          <w:u w:val="single"/>
        </w:rPr>
        <w:t>adiopharmaceuticals for Aβ PET</w:t>
      </w:r>
    </w:p>
    <w:p w14:paraId="4570D787" w14:textId="4236838A" w:rsidR="006C03EE" w:rsidRDefault="006C03EE" w:rsidP="00D55776">
      <w:r w:rsidRPr="00D32E3F">
        <w:rPr>
          <w:bCs/>
        </w:rPr>
        <w:t xml:space="preserve">In Australia, </w:t>
      </w:r>
      <w:r>
        <w:rPr>
          <w:bCs/>
        </w:rPr>
        <w:t>there are c</w:t>
      </w:r>
      <w:r w:rsidRPr="00D32E3F">
        <w:rPr>
          <w:bCs/>
        </w:rPr>
        <w:t>urrently, no radiopharmaceutical</w:t>
      </w:r>
      <w:r>
        <w:rPr>
          <w:bCs/>
        </w:rPr>
        <w:t>s</w:t>
      </w:r>
      <w:r w:rsidRPr="00D32E3F">
        <w:rPr>
          <w:bCs/>
        </w:rPr>
        <w:t xml:space="preserve"> for Aβ PET approved by the TGA. </w:t>
      </w:r>
      <w:r>
        <w:t>The Applicant understands that radiotracers for Aβ PET scanning do not currently require TGA approval under “extemporaneous compounding” exemption.</w:t>
      </w:r>
    </w:p>
    <w:p w14:paraId="1233795D" w14:textId="1876BC50" w:rsidR="00734C11" w:rsidRPr="00734C11" w:rsidRDefault="00734C11" w:rsidP="00D55776">
      <w:pPr>
        <w:shd w:val="clear" w:color="auto" w:fill="FFFFFF"/>
        <w:spacing w:before="0" w:after="0"/>
        <w:jc w:val="both"/>
        <w:rPr>
          <w:rFonts w:eastAsia="Times New Roman" w:cstheme="minorHAnsi"/>
          <w:b/>
          <w:color w:val="242424"/>
          <w:szCs w:val="20"/>
          <w:u w:val="single"/>
          <w:lang w:eastAsia="en-AU"/>
        </w:rPr>
      </w:pPr>
      <w:r w:rsidRPr="00734C11">
        <w:rPr>
          <w:rFonts w:eastAsia="Times New Roman" w:cstheme="minorHAnsi"/>
          <w:b/>
          <w:color w:val="242424"/>
          <w:szCs w:val="20"/>
          <w:u w:val="single"/>
          <w:lang w:eastAsia="en-AU"/>
        </w:rPr>
        <w:t>CSF AD Aβ and Tau CSF biomarker assay kits</w:t>
      </w:r>
    </w:p>
    <w:p w14:paraId="5F0F04B8" w14:textId="17B83E1C" w:rsidR="00D91239" w:rsidRPr="00D91239" w:rsidRDefault="0025703A" w:rsidP="00D55776">
      <w:pPr>
        <w:shd w:val="clear" w:color="auto" w:fill="FFFFFF"/>
        <w:spacing w:before="0" w:after="0"/>
        <w:jc w:val="both"/>
        <w:rPr>
          <w:rFonts w:eastAsia="Times New Roman" w:cstheme="minorHAnsi"/>
          <w:color w:val="242424"/>
          <w:szCs w:val="20"/>
          <w:lang w:eastAsia="en-AU"/>
        </w:rPr>
      </w:pPr>
      <w:r>
        <w:rPr>
          <w:rFonts w:eastAsia="Times New Roman" w:cstheme="minorHAnsi"/>
          <w:color w:val="242424"/>
          <w:szCs w:val="20"/>
          <w:lang w:eastAsia="en-AU"/>
        </w:rPr>
        <w:t xml:space="preserve">In addition, </w:t>
      </w:r>
      <w:r w:rsidR="00D91239">
        <w:rPr>
          <w:rFonts w:eastAsia="Times New Roman" w:cstheme="minorHAnsi"/>
          <w:color w:val="242424"/>
          <w:szCs w:val="20"/>
          <w:lang w:eastAsia="en-AU"/>
        </w:rPr>
        <w:t xml:space="preserve">although </w:t>
      </w:r>
      <w:r w:rsidR="00D91239" w:rsidRPr="00D91239">
        <w:rPr>
          <w:rFonts w:eastAsia="Times New Roman" w:cstheme="minorHAnsi"/>
          <w:color w:val="242424"/>
          <w:szCs w:val="20"/>
          <w:lang w:eastAsia="en-AU"/>
        </w:rPr>
        <w:t>the following Roche Diagnostics CSF AD biomarker testing kits were</w:t>
      </w:r>
    </w:p>
    <w:p w14:paraId="5E34F85C" w14:textId="57FDC9A8" w:rsidR="00D91239" w:rsidRPr="00D91239" w:rsidRDefault="00D91239" w:rsidP="00D55776">
      <w:pPr>
        <w:shd w:val="clear" w:color="auto" w:fill="FFFFFF"/>
        <w:spacing w:before="0" w:after="0"/>
        <w:jc w:val="both"/>
        <w:rPr>
          <w:rFonts w:eastAsia="Times New Roman" w:cstheme="minorHAnsi"/>
          <w:color w:val="242424"/>
          <w:szCs w:val="20"/>
          <w:lang w:eastAsia="en-AU"/>
        </w:rPr>
      </w:pPr>
      <w:r w:rsidRPr="00D91239">
        <w:rPr>
          <w:rFonts w:eastAsia="Times New Roman" w:cstheme="minorHAnsi"/>
          <w:color w:val="242424"/>
          <w:szCs w:val="20"/>
          <w:lang w:eastAsia="en-AU"/>
        </w:rPr>
        <w:t>approved by the TGA (April 2020):</w:t>
      </w:r>
    </w:p>
    <w:p w14:paraId="3128C261" w14:textId="77777777" w:rsidR="00D91239" w:rsidRPr="00992D2D" w:rsidRDefault="00D91239" w:rsidP="00D55776">
      <w:pPr>
        <w:pStyle w:val="ListParagraph"/>
        <w:numPr>
          <w:ilvl w:val="0"/>
          <w:numId w:val="16"/>
        </w:numPr>
        <w:shd w:val="clear" w:color="auto" w:fill="FFFFFF"/>
        <w:spacing w:before="0" w:after="0"/>
        <w:jc w:val="both"/>
        <w:rPr>
          <w:rFonts w:eastAsia="Times New Roman" w:cstheme="minorHAnsi"/>
          <w:color w:val="242424"/>
          <w:szCs w:val="20"/>
          <w:lang w:eastAsia="en-AU"/>
        </w:rPr>
      </w:pPr>
      <w:r w:rsidRPr="00992D2D">
        <w:rPr>
          <w:rFonts w:eastAsia="Times New Roman" w:cstheme="minorHAnsi"/>
          <w:color w:val="242424"/>
          <w:szCs w:val="20"/>
          <w:lang w:eastAsia="en-AU"/>
        </w:rPr>
        <w:t>Elecsys® β-Amyloid(1-42) CSF,</w:t>
      </w:r>
    </w:p>
    <w:p w14:paraId="03B5DEBB" w14:textId="77777777" w:rsidR="00D91239" w:rsidRPr="00992D2D" w:rsidRDefault="00D91239" w:rsidP="00D55776">
      <w:pPr>
        <w:pStyle w:val="ListParagraph"/>
        <w:numPr>
          <w:ilvl w:val="0"/>
          <w:numId w:val="16"/>
        </w:numPr>
        <w:shd w:val="clear" w:color="auto" w:fill="FFFFFF"/>
        <w:spacing w:before="0" w:after="0"/>
        <w:jc w:val="both"/>
        <w:rPr>
          <w:rFonts w:eastAsia="Times New Roman" w:cstheme="minorHAnsi"/>
          <w:color w:val="242424"/>
          <w:szCs w:val="20"/>
          <w:lang w:eastAsia="en-AU"/>
        </w:rPr>
      </w:pPr>
      <w:r w:rsidRPr="00992D2D">
        <w:rPr>
          <w:rFonts w:eastAsia="Times New Roman" w:cstheme="minorHAnsi"/>
          <w:color w:val="242424"/>
          <w:szCs w:val="20"/>
          <w:lang w:eastAsia="en-AU"/>
        </w:rPr>
        <w:t>Elecsys® Phospho-Tau (181P) CSF</w:t>
      </w:r>
    </w:p>
    <w:p w14:paraId="5523BF31" w14:textId="77777777" w:rsidR="00992D2D" w:rsidRDefault="00D91239" w:rsidP="00D55776">
      <w:pPr>
        <w:pStyle w:val="ListParagraph"/>
        <w:numPr>
          <w:ilvl w:val="0"/>
          <w:numId w:val="16"/>
        </w:numPr>
        <w:shd w:val="clear" w:color="auto" w:fill="FFFFFF"/>
        <w:spacing w:before="0" w:after="0"/>
        <w:jc w:val="both"/>
        <w:rPr>
          <w:rFonts w:eastAsia="Times New Roman" w:cstheme="minorHAnsi"/>
          <w:color w:val="242424"/>
          <w:szCs w:val="20"/>
          <w:lang w:eastAsia="en-AU"/>
        </w:rPr>
      </w:pPr>
      <w:r w:rsidRPr="00992D2D">
        <w:rPr>
          <w:rFonts w:eastAsia="Times New Roman" w:cstheme="minorHAnsi"/>
          <w:color w:val="242424"/>
          <w:szCs w:val="20"/>
          <w:lang w:eastAsia="en-AU"/>
        </w:rPr>
        <w:t xml:space="preserve">Elecsys® Total -Tau CSF </w:t>
      </w:r>
      <w:r w:rsidRPr="00992D2D">
        <w:rPr>
          <w:rFonts w:eastAsia="Times New Roman" w:cstheme="minorHAnsi"/>
          <w:color w:val="242424"/>
          <w:szCs w:val="20"/>
          <w:lang w:eastAsia="en-AU"/>
        </w:rPr>
        <w:cr/>
      </w:r>
    </w:p>
    <w:p w14:paraId="6E9A195C" w14:textId="5B842F6F" w:rsidR="00673622" w:rsidRDefault="00B81680" w:rsidP="00D55776">
      <w:pPr>
        <w:shd w:val="clear" w:color="auto" w:fill="FFFFFF"/>
        <w:spacing w:before="0" w:after="0"/>
        <w:jc w:val="both"/>
        <w:rPr>
          <w:rFonts w:eastAsia="Times New Roman" w:cstheme="minorHAnsi"/>
          <w:color w:val="242424"/>
          <w:szCs w:val="20"/>
          <w:lang w:eastAsia="en-AU"/>
        </w:rPr>
      </w:pPr>
      <w:r>
        <w:rPr>
          <w:rFonts w:eastAsia="Times New Roman" w:cstheme="minorHAnsi"/>
          <w:color w:val="242424"/>
          <w:szCs w:val="20"/>
          <w:lang w:eastAsia="en-AU"/>
        </w:rPr>
        <w:lastRenderedPageBreak/>
        <w:t>It is not possible</w:t>
      </w:r>
      <w:r w:rsidR="005B0204">
        <w:rPr>
          <w:rFonts w:eastAsia="Times New Roman" w:cstheme="minorHAnsi"/>
          <w:color w:val="242424"/>
          <w:szCs w:val="20"/>
          <w:lang w:eastAsia="en-AU"/>
        </w:rPr>
        <w:t xml:space="preserve"> to </w:t>
      </w:r>
      <w:r w:rsidR="004F06CF" w:rsidRPr="00992D2D">
        <w:rPr>
          <w:rFonts w:eastAsia="Times New Roman" w:cstheme="minorHAnsi"/>
          <w:color w:val="242424"/>
          <w:szCs w:val="20"/>
          <w:lang w:eastAsia="en-AU"/>
        </w:rPr>
        <w:t xml:space="preserve">determine the specific ARTG numbers </w:t>
      </w:r>
      <w:r w:rsidR="00ED36A5">
        <w:rPr>
          <w:rFonts w:eastAsia="Times New Roman" w:cstheme="minorHAnsi"/>
          <w:color w:val="242424"/>
          <w:szCs w:val="20"/>
          <w:lang w:eastAsia="en-AU"/>
        </w:rPr>
        <w:t>unless the product name is on the ARTG</w:t>
      </w:r>
      <w:r w:rsidR="00A75FB5">
        <w:rPr>
          <w:rFonts w:eastAsia="Times New Roman" w:cstheme="minorHAnsi"/>
          <w:color w:val="242424"/>
          <w:szCs w:val="20"/>
          <w:lang w:eastAsia="en-AU"/>
        </w:rPr>
        <w:t xml:space="preserve">. </w:t>
      </w:r>
      <w:r w:rsidR="004F06CF" w:rsidRPr="00992D2D">
        <w:rPr>
          <w:rFonts w:eastAsia="Times New Roman" w:cstheme="minorHAnsi"/>
          <w:color w:val="242424"/>
          <w:szCs w:val="20"/>
          <w:lang w:eastAsia="en-AU"/>
        </w:rPr>
        <w:t xml:space="preserve"> </w:t>
      </w:r>
    </w:p>
    <w:p w14:paraId="767556C6" w14:textId="179B9EDC" w:rsidR="004F06CF" w:rsidRPr="001C2960" w:rsidRDefault="004F06CF" w:rsidP="00D55776">
      <w:pPr>
        <w:pStyle w:val="ListParagraph"/>
        <w:numPr>
          <w:ilvl w:val="0"/>
          <w:numId w:val="17"/>
        </w:numPr>
        <w:shd w:val="clear" w:color="auto" w:fill="FFFFFF"/>
        <w:spacing w:before="0" w:after="0"/>
        <w:jc w:val="both"/>
        <w:rPr>
          <w:rFonts w:eastAsia="Times New Roman" w:cstheme="minorHAnsi"/>
          <w:color w:val="242424"/>
          <w:szCs w:val="20"/>
          <w:lang w:eastAsia="en-AU"/>
        </w:rPr>
      </w:pPr>
      <w:r w:rsidRPr="001C2960">
        <w:rPr>
          <w:rFonts w:eastAsia="Times New Roman" w:cstheme="minorHAnsi"/>
          <w:color w:val="242424"/>
          <w:szCs w:val="20"/>
          <w:lang w:eastAsia="en-AU"/>
        </w:rPr>
        <w:t>Class 1, 2 and 3 IVDs do not require the product trade name to be contained within the ARTG listing so the information provided does not necessarily align with an entry</w:t>
      </w:r>
      <w:r w:rsidR="00734C11" w:rsidRPr="001C2960">
        <w:rPr>
          <w:rFonts w:eastAsia="Times New Roman" w:cstheme="minorHAnsi"/>
          <w:color w:val="242424"/>
          <w:szCs w:val="20"/>
          <w:lang w:eastAsia="en-AU"/>
        </w:rPr>
        <w:t xml:space="preserve">. </w:t>
      </w:r>
    </w:p>
    <w:p w14:paraId="0E8EE903" w14:textId="77777777" w:rsidR="004F06CF" w:rsidRPr="00D91239" w:rsidRDefault="004F06CF" w:rsidP="00D55776">
      <w:pPr>
        <w:pStyle w:val="ListParagraph"/>
        <w:numPr>
          <w:ilvl w:val="0"/>
          <w:numId w:val="17"/>
        </w:numPr>
        <w:shd w:val="clear" w:color="auto" w:fill="FFFFFF"/>
        <w:spacing w:before="100" w:beforeAutospacing="1" w:after="100" w:afterAutospacing="1"/>
        <w:jc w:val="both"/>
        <w:rPr>
          <w:rFonts w:eastAsia="Times New Roman" w:cstheme="minorHAnsi"/>
          <w:color w:val="242424"/>
          <w:szCs w:val="20"/>
          <w:lang w:eastAsia="en-AU"/>
        </w:rPr>
      </w:pPr>
      <w:r w:rsidRPr="00D91239">
        <w:rPr>
          <w:rFonts w:eastAsia="Times New Roman" w:cstheme="minorHAnsi"/>
          <w:color w:val="242424"/>
          <w:szCs w:val="20"/>
          <w:lang w:eastAsia="en-AU"/>
        </w:rPr>
        <w:t>Multiple products with the same GMDN and manufacturer could be within the one ARTG listing</w:t>
      </w:r>
    </w:p>
    <w:p w14:paraId="1B8DCDF7" w14:textId="77777777" w:rsidR="004F06CF" w:rsidRPr="00D91239" w:rsidRDefault="004F06CF" w:rsidP="00D55776">
      <w:pPr>
        <w:pStyle w:val="ListParagraph"/>
        <w:numPr>
          <w:ilvl w:val="0"/>
          <w:numId w:val="17"/>
        </w:numPr>
        <w:shd w:val="clear" w:color="auto" w:fill="FFFFFF"/>
        <w:spacing w:before="100" w:beforeAutospacing="1" w:after="100" w:afterAutospacing="1"/>
        <w:jc w:val="both"/>
        <w:rPr>
          <w:rFonts w:eastAsia="Times New Roman" w:cstheme="minorHAnsi"/>
          <w:color w:val="242424"/>
          <w:szCs w:val="20"/>
          <w:lang w:eastAsia="en-AU"/>
        </w:rPr>
      </w:pPr>
      <w:r w:rsidRPr="00D91239">
        <w:rPr>
          <w:rFonts w:eastAsia="Times New Roman" w:cstheme="minorHAnsi"/>
          <w:color w:val="242424"/>
          <w:szCs w:val="20"/>
          <w:lang w:eastAsia="en-AU"/>
        </w:rPr>
        <w:t>No requirement for these class of devices for the ARTG number to be on the product packaging so cannot check via this method</w:t>
      </w:r>
    </w:p>
    <w:p w14:paraId="3A103182" w14:textId="0CA0A386" w:rsidR="00D56765" w:rsidRPr="00D56765" w:rsidRDefault="00673622" w:rsidP="00D55776">
      <w:pPr>
        <w:pStyle w:val="Tickboxes"/>
        <w:jc w:val="both"/>
      </w:pPr>
      <w:r w:rsidRPr="00992D2D">
        <w:rPr>
          <w:rFonts w:eastAsia="Times New Roman" w:cstheme="minorHAnsi"/>
          <w:color w:val="242424"/>
          <w:lang w:eastAsia="en-AU"/>
        </w:rPr>
        <w:t>The three above assay kits are class 3 IVDs and therefore no ARTG can be determined at this stage.</w:t>
      </w:r>
      <w:r>
        <w:rPr>
          <w:rFonts w:eastAsia="Times New Roman" w:cstheme="minorHAnsi"/>
          <w:color w:val="242424"/>
          <w:lang w:eastAsia="en-AU"/>
        </w:rPr>
        <w:t xml:space="preserve"> The applicant proposes to contact the sponsor and </w:t>
      </w:r>
      <w:r w:rsidR="00992D2D" w:rsidRPr="00992D2D">
        <w:rPr>
          <w:rFonts w:eastAsia="Times New Roman" w:cstheme="minorHAnsi"/>
          <w:color w:val="242424"/>
          <w:lang w:eastAsia="en-AU"/>
        </w:rPr>
        <w:t>confirm the ARTG number as part of the submission.</w:t>
      </w:r>
    </w:p>
    <w:p w14:paraId="1A4824EA" w14:textId="56EEC95B" w:rsidR="00FF23B8" w:rsidRDefault="00FF23B8" w:rsidP="00D55776">
      <w:pPr>
        <w:pStyle w:val="Heading2"/>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4F469D0B" w14:textId="58419A3A" w:rsidR="00FF23B8" w:rsidRPr="000B5286" w:rsidRDefault="000C2ABA" w:rsidP="00D55776">
      <w:pPr>
        <w:rPr>
          <w:szCs w:val="20"/>
        </w:rPr>
      </w:pPr>
      <w:r>
        <w:t xml:space="preserve">As far as the Applicant is aware, the TGA is not in the process of considering </w:t>
      </w:r>
      <w:r w:rsidR="00174DAB">
        <w:t>an application for an A</w:t>
      </w:r>
      <w:r w:rsidR="00C62945">
        <w:rPr>
          <w:rFonts w:cstheme="minorHAnsi"/>
        </w:rPr>
        <w:t>β</w:t>
      </w:r>
      <w:r w:rsidR="00C62945">
        <w:t xml:space="preserve"> PET tracer or other CSF biomarker assay kit.</w:t>
      </w:r>
    </w:p>
    <w:p w14:paraId="630384F0" w14:textId="77777777" w:rsidR="00FF23B8" w:rsidRPr="000B5286" w:rsidRDefault="00FF23B8" w:rsidP="00D55776">
      <w:pPr>
        <w:pStyle w:val="ListParagraph"/>
        <w:numPr>
          <w:ilvl w:val="0"/>
          <w:numId w:val="7"/>
        </w:numPr>
        <w:rPr>
          <w:b/>
          <w:bCs/>
        </w:rPr>
      </w:pPr>
      <w:r w:rsidRPr="000B5286">
        <w:rPr>
          <w:b/>
          <w:bCs/>
        </w:rPr>
        <w:t>If the therapeutic good is NOT in the process of being considered by TGA, is an application to TGA being prepared?</w:t>
      </w:r>
    </w:p>
    <w:p w14:paraId="190FD224" w14:textId="77777777" w:rsidR="0047581D" w:rsidRDefault="0047581D"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Yes (please provide details below)</w:t>
      </w:r>
    </w:p>
    <w:p w14:paraId="2D07CD3D" w14:textId="494B2731" w:rsidR="000A110D" w:rsidRDefault="006D7E40" w:rsidP="00D55776">
      <w:pPr>
        <w:pStyle w:val="Tickboxes"/>
      </w:pPr>
      <w:r>
        <w:fldChar w:fldCharType="begin">
          <w:ffData>
            <w:name w:val=""/>
            <w:enabled/>
            <w:calcOnExit w:val="0"/>
            <w:checkBox>
              <w:sizeAuto/>
              <w:default w:val="1"/>
            </w:checkBox>
          </w:ffData>
        </w:fldChar>
      </w:r>
      <w:r>
        <w:instrText xml:space="preserve"> FORMCHECKBOX </w:instrText>
      </w:r>
      <w:r w:rsidR="00B81886">
        <w:fldChar w:fldCharType="separate"/>
      </w:r>
      <w:r>
        <w:fldChar w:fldCharType="end"/>
      </w:r>
      <w:r w:rsidR="0047581D">
        <w:t xml:space="preserve"> No</w:t>
      </w:r>
    </w:p>
    <w:p w14:paraId="1E1BF745" w14:textId="1D49769C" w:rsidR="0067269E" w:rsidRPr="0067269E" w:rsidRDefault="0067269E" w:rsidP="00D55776">
      <w:pPr>
        <w:rPr>
          <w:szCs w:val="20"/>
        </w:rPr>
      </w:pPr>
      <w:r w:rsidRPr="0067269E">
        <w:rPr>
          <w:szCs w:val="20"/>
        </w:rPr>
        <w:t>As far as the Applicant is aware, no application to the TGA is currently being prepared for any Aβ PET tracer</w:t>
      </w:r>
      <w:r>
        <w:rPr>
          <w:szCs w:val="20"/>
        </w:rPr>
        <w:t xml:space="preserve"> </w:t>
      </w:r>
      <w:r w:rsidRPr="0067269E">
        <w:rPr>
          <w:szCs w:val="20"/>
        </w:rPr>
        <w:t>or other CSF biomarker assay kit.</w:t>
      </w:r>
    </w:p>
    <w:p w14:paraId="383FB586" w14:textId="728DDE78" w:rsidR="00DD308E" w:rsidRDefault="000B3159" w:rsidP="00D55776">
      <w:pPr>
        <w:sectPr w:rsidR="00DD308E" w:rsidSect="00D55776">
          <w:footerReference w:type="default" r:id="rId16"/>
          <w:endnotePr>
            <w:numFmt w:val="decimal"/>
          </w:endnotePr>
          <w:pgSz w:w="11906" w:h="16838"/>
          <w:pgMar w:top="1440" w:right="1416" w:bottom="1440" w:left="1276" w:header="708" w:footer="708" w:gutter="0"/>
          <w:pgNumType w:start="0"/>
          <w:cols w:space="708"/>
          <w:titlePg/>
          <w:docGrid w:linePitch="360"/>
        </w:sectPr>
      </w:pPr>
      <w:r>
        <w:rPr>
          <w:szCs w:val="20"/>
        </w:rPr>
        <w:t>As per a previous application, t</w:t>
      </w:r>
      <w:r w:rsidR="0067269E" w:rsidRPr="0067269E">
        <w:rPr>
          <w:szCs w:val="20"/>
        </w:rPr>
        <w:t>he assumption in this application is that, where required, TGA approval of Aβ PET radiolabelled tracer(s)</w:t>
      </w:r>
      <w:r w:rsidR="0067269E">
        <w:rPr>
          <w:szCs w:val="20"/>
        </w:rPr>
        <w:t xml:space="preserve"> </w:t>
      </w:r>
      <w:r w:rsidR="0067269E" w:rsidRPr="0067269E">
        <w:rPr>
          <w:szCs w:val="20"/>
        </w:rPr>
        <w:t>and CSF Aβ and tau biomarker assay kits(s) for clinical use will concur with the TGA approval of</w:t>
      </w:r>
      <w:r w:rsidR="0067269E">
        <w:rPr>
          <w:szCs w:val="20"/>
        </w:rPr>
        <w:t xml:space="preserve"> lecanemab</w:t>
      </w:r>
      <w:r w:rsidR="0067269E" w:rsidRPr="0067269E">
        <w:rPr>
          <w:szCs w:val="20"/>
        </w:rPr>
        <w:t xml:space="preserve"> and reimbursement submission for </w:t>
      </w:r>
      <w:proofErr w:type="spellStart"/>
      <w:r w:rsidR="00740B20">
        <w:rPr>
          <w:szCs w:val="20"/>
        </w:rPr>
        <w:t>lecanemab</w:t>
      </w:r>
      <w:proofErr w:type="spellEnd"/>
      <w:r w:rsidR="0067269E" w:rsidRPr="0067269E">
        <w:rPr>
          <w:szCs w:val="20"/>
        </w:rPr>
        <w:t>.</w:t>
      </w:r>
    </w:p>
    <w:p w14:paraId="7F23AC72" w14:textId="77777777" w:rsidR="00DD308E" w:rsidRPr="00C776B1" w:rsidRDefault="00B17CBE" w:rsidP="00D55776">
      <w:pPr>
        <w:pStyle w:val="Heading1"/>
      </w:pPr>
      <w:r>
        <w:lastRenderedPageBreak/>
        <w:t>PART 4</w:t>
      </w:r>
      <w:r w:rsidR="00DD308E">
        <w:t xml:space="preserve"> – SUMMARY</w:t>
      </w:r>
      <w:r w:rsidR="00DD308E" w:rsidRPr="00C776B1">
        <w:t xml:space="preserve"> OF EVIDENCE</w:t>
      </w:r>
    </w:p>
    <w:p w14:paraId="169B8F4C" w14:textId="14FEA62E" w:rsidR="00DD308E" w:rsidRPr="00643755" w:rsidRDefault="00643755" w:rsidP="00D55776">
      <w:pPr>
        <w:pStyle w:val="Heading2"/>
      </w:pPr>
      <w:r w:rsidRPr="00643755">
        <w:t xml:space="preserve">Provide one or more recent (published) high quality clinical studies that support use of the proposed health service/technology. </w:t>
      </w:r>
    </w:p>
    <w:tbl>
      <w:tblPr>
        <w:tblStyle w:val="TableGrid"/>
        <w:tblW w:w="5000" w:type="pct"/>
        <w:tblLayout w:type="fixed"/>
        <w:tblLook w:val="04A0" w:firstRow="1" w:lastRow="0" w:firstColumn="1" w:lastColumn="0" w:noHBand="0" w:noVBand="1"/>
        <w:tblCaption w:val="Summary of Evidence - Published"/>
      </w:tblPr>
      <w:tblGrid>
        <w:gridCol w:w="391"/>
        <w:gridCol w:w="3292"/>
        <w:gridCol w:w="3682"/>
        <w:gridCol w:w="3264"/>
        <w:gridCol w:w="1983"/>
        <w:gridCol w:w="1336"/>
      </w:tblGrid>
      <w:tr w:rsidR="009E0CD6" w:rsidRPr="009E0CD6" w14:paraId="3CBCF0C0" w14:textId="77777777" w:rsidTr="00FF1D23">
        <w:trPr>
          <w:cantSplit/>
          <w:tblHeader/>
        </w:trPr>
        <w:tc>
          <w:tcPr>
            <w:tcW w:w="140" w:type="pct"/>
          </w:tcPr>
          <w:p w14:paraId="68D51014" w14:textId="77777777" w:rsidR="00DD308E" w:rsidRPr="009E0CD6" w:rsidRDefault="00DD308E" w:rsidP="00D55776">
            <w:pPr>
              <w:pStyle w:val="TableHEADER"/>
              <w:ind w:right="0"/>
              <w:rPr>
                <w:rFonts w:asciiTheme="minorHAnsi" w:hAnsiTheme="minorHAnsi" w:cstheme="minorHAnsi"/>
              </w:rPr>
            </w:pPr>
          </w:p>
        </w:tc>
        <w:tc>
          <w:tcPr>
            <w:tcW w:w="1180" w:type="pct"/>
          </w:tcPr>
          <w:p w14:paraId="50D6B551" w14:textId="02B92A9C" w:rsidR="00DD308E" w:rsidRPr="009E0CD6" w:rsidRDefault="00DD308E" w:rsidP="00D55776">
            <w:pPr>
              <w:pStyle w:val="TableHEADER"/>
              <w:ind w:left="0" w:right="0"/>
              <w:rPr>
                <w:rFonts w:asciiTheme="minorHAnsi" w:hAnsiTheme="minorHAnsi" w:cstheme="minorHAnsi"/>
              </w:rPr>
            </w:pPr>
            <w:r w:rsidRPr="009E0CD6">
              <w:rPr>
                <w:rFonts w:asciiTheme="minorHAnsi" w:hAnsiTheme="minorHAnsi" w:cstheme="minorHAnsi"/>
              </w:rPr>
              <w:t>Type of study design</w:t>
            </w:r>
          </w:p>
        </w:tc>
        <w:tc>
          <w:tcPr>
            <w:tcW w:w="1320" w:type="pct"/>
          </w:tcPr>
          <w:p w14:paraId="57F6CD66" w14:textId="2E561F8B" w:rsidR="00DD308E" w:rsidRPr="009E0CD6" w:rsidRDefault="00DD308E" w:rsidP="00D55776">
            <w:pPr>
              <w:pStyle w:val="TableHEADER"/>
              <w:ind w:left="0" w:right="0"/>
              <w:rPr>
                <w:rFonts w:asciiTheme="minorHAnsi" w:hAnsiTheme="minorHAnsi" w:cstheme="minorHAnsi"/>
              </w:rPr>
            </w:pPr>
            <w:r w:rsidRPr="009E0CD6">
              <w:rPr>
                <w:rFonts w:asciiTheme="minorHAnsi" w:hAnsiTheme="minorHAnsi" w:cstheme="minorHAnsi"/>
              </w:rPr>
              <w:t xml:space="preserve">Title of journal article or research project </w:t>
            </w:r>
          </w:p>
        </w:tc>
        <w:tc>
          <w:tcPr>
            <w:tcW w:w="1170" w:type="pct"/>
          </w:tcPr>
          <w:p w14:paraId="3232AE41" w14:textId="5EC3EF33" w:rsidR="00DD308E" w:rsidRPr="009E0CD6" w:rsidRDefault="00DD308E" w:rsidP="00D55776">
            <w:pPr>
              <w:pStyle w:val="TableHEADER"/>
              <w:ind w:left="0" w:right="0"/>
              <w:rPr>
                <w:rFonts w:asciiTheme="minorHAnsi" w:hAnsiTheme="minorHAnsi" w:cstheme="minorHAnsi"/>
              </w:rPr>
            </w:pPr>
            <w:r w:rsidRPr="009E0CD6">
              <w:rPr>
                <w:rFonts w:asciiTheme="minorHAnsi" w:hAnsiTheme="minorHAnsi" w:cstheme="minorHAnsi"/>
              </w:rPr>
              <w:t>Short description of research</w:t>
            </w:r>
          </w:p>
        </w:tc>
        <w:tc>
          <w:tcPr>
            <w:tcW w:w="711" w:type="pct"/>
          </w:tcPr>
          <w:p w14:paraId="5D53B22D" w14:textId="5D78EA16" w:rsidR="00DD308E" w:rsidRPr="009E0CD6" w:rsidRDefault="00DD308E" w:rsidP="00D55776">
            <w:pPr>
              <w:pStyle w:val="TableHEADER"/>
              <w:ind w:left="0" w:right="0"/>
              <w:rPr>
                <w:rFonts w:asciiTheme="minorHAnsi" w:hAnsiTheme="minorHAnsi" w:cstheme="minorHAnsi"/>
              </w:rPr>
            </w:pPr>
            <w:r w:rsidRPr="009E0CD6">
              <w:rPr>
                <w:rFonts w:asciiTheme="minorHAnsi" w:hAnsiTheme="minorHAnsi" w:cstheme="minorHAnsi"/>
              </w:rPr>
              <w:t>Website link to journal article or research</w:t>
            </w:r>
          </w:p>
        </w:tc>
        <w:tc>
          <w:tcPr>
            <w:tcW w:w="479" w:type="pct"/>
          </w:tcPr>
          <w:p w14:paraId="6EE75BE2" w14:textId="2EACFB35" w:rsidR="00DD308E" w:rsidRPr="009E0CD6" w:rsidRDefault="00DD308E" w:rsidP="00D55776">
            <w:pPr>
              <w:pStyle w:val="TableHEADER"/>
              <w:ind w:left="0" w:right="0"/>
              <w:rPr>
                <w:rFonts w:asciiTheme="minorHAnsi" w:hAnsiTheme="minorHAnsi" w:cstheme="minorHAnsi"/>
              </w:rPr>
            </w:pPr>
            <w:r w:rsidRPr="009E0CD6">
              <w:rPr>
                <w:rFonts w:asciiTheme="minorHAnsi" w:hAnsiTheme="minorHAnsi" w:cstheme="minorHAnsi"/>
              </w:rPr>
              <w:t>Date of publication</w:t>
            </w:r>
          </w:p>
        </w:tc>
      </w:tr>
      <w:tr w:rsidR="009E0CD6" w:rsidRPr="009E0CD6" w14:paraId="3F90896C" w14:textId="77777777" w:rsidTr="00FF1D23">
        <w:trPr>
          <w:cantSplit/>
        </w:trPr>
        <w:tc>
          <w:tcPr>
            <w:tcW w:w="140" w:type="pct"/>
          </w:tcPr>
          <w:p w14:paraId="376CD522" w14:textId="77777777" w:rsidR="00DD308E" w:rsidRPr="009E0CD6" w:rsidRDefault="00DD308E" w:rsidP="00D55776">
            <w:pPr>
              <w:ind w:left="0" w:firstLine="22"/>
              <w:rPr>
                <w:rFonts w:cstheme="minorHAnsi"/>
                <w:szCs w:val="20"/>
              </w:rPr>
            </w:pPr>
            <w:r w:rsidRPr="009E0CD6">
              <w:rPr>
                <w:rFonts w:cstheme="minorHAnsi"/>
                <w:szCs w:val="20"/>
              </w:rPr>
              <w:t>1.</w:t>
            </w:r>
          </w:p>
        </w:tc>
        <w:tc>
          <w:tcPr>
            <w:tcW w:w="1180" w:type="pct"/>
          </w:tcPr>
          <w:p w14:paraId="65395BF5" w14:textId="34B2C8D9" w:rsidR="00DD308E" w:rsidRPr="009E0CD6" w:rsidRDefault="00203893" w:rsidP="00D55776">
            <w:pPr>
              <w:ind w:left="0"/>
              <w:rPr>
                <w:rFonts w:cstheme="minorHAnsi"/>
                <w:b/>
                <w:szCs w:val="20"/>
              </w:rPr>
            </w:pPr>
            <w:r w:rsidRPr="009E0CD6">
              <w:rPr>
                <w:rFonts w:cstheme="minorHAnsi"/>
                <w:szCs w:val="20"/>
              </w:rPr>
              <w:t>Phase 1 Trial</w:t>
            </w:r>
            <w:r w:rsidR="007F4B7F" w:rsidRPr="009E0CD6">
              <w:rPr>
                <w:rFonts w:cstheme="minorHAnsi"/>
                <w:szCs w:val="20"/>
              </w:rPr>
              <w:t xml:space="preserve">: </w:t>
            </w:r>
            <w:r w:rsidR="006F49A1" w:rsidRPr="009E0CD6">
              <w:rPr>
                <w:rFonts w:cstheme="minorHAnsi"/>
                <w:szCs w:val="20"/>
              </w:rPr>
              <w:t>A</w:t>
            </w:r>
            <w:r w:rsidR="007F4B7F" w:rsidRPr="009E0CD6">
              <w:rPr>
                <w:rFonts w:cstheme="minorHAnsi"/>
                <w:szCs w:val="20"/>
              </w:rPr>
              <w:t xml:space="preserve"> multicenter, randomized, double-blind, placebo-controlled, clinical study with single dose and multiple dose components </w:t>
            </w:r>
          </w:p>
        </w:tc>
        <w:tc>
          <w:tcPr>
            <w:tcW w:w="1320" w:type="pct"/>
          </w:tcPr>
          <w:p w14:paraId="77B4C4A3" w14:textId="77777777" w:rsidR="00DD308E" w:rsidRPr="00071F4F" w:rsidRDefault="00810692" w:rsidP="00D55776">
            <w:pPr>
              <w:pStyle w:val="ListParagraph"/>
              <w:numPr>
                <w:ilvl w:val="0"/>
                <w:numId w:val="21"/>
              </w:numPr>
              <w:ind w:left="321"/>
              <w:rPr>
                <w:rFonts w:cstheme="minorHAnsi"/>
                <w:szCs w:val="20"/>
              </w:rPr>
            </w:pPr>
            <w:r w:rsidRPr="00071F4F">
              <w:rPr>
                <w:rFonts w:cstheme="minorHAnsi"/>
                <w:szCs w:val="20"/>
              </w:rPr>
              <w:t>Logovinsky V, Satlin A, Lai R, et al. Safety and tolerability of BAN2401--a clinical study in Alzheimer's disease with a protofibril selective Abeta antibody. Alzheimers Res Ther. 2016;8(1):14.</w:t>
            </w:r>
          </w:p>
          <w:p w14:paraId="6489A157" w14:textId="38BBBB4D" w:rsidR="004A42CF" w:rsidRPr="00071F4F" w:rsidRDefault="006F49A1" w:rsidP="00D55776">
            <w:pPr>
              <w:pStyle w:val="ListParagraph"/>
              <w:numPr>
                <w:ilvl w:val="0"/>
                <w:numId w:val="21"/>
              </w:numPr>
              <w:ind w:left="321"/>
              <w:rPr>
                <w:rFonts w:cstheme="minorHAnsi"/>
                <w:b/>
                <w:szCs w:val="20"/>
              </w:rPr>
            </w:pPr>
            <w:r w:rsidRPr="00071F4F">
              <w:rPr>
                <w:rFonts w:cstheme="minorHAnsi"/>
                <w:szCs w:val="20"/>
              </w:rPr>
              <w:t xml:space="preserve">NCT01230853 </w:t>
            </w:r>
            <w:r w:rsidR="004A42CF" w:rsidRPr="00071F4F">
              <w:rPr>
                <w:rFonts w:eastAsia="Calibri Light" w:cstheme="minorHAnsi"/>
                <w:szCs w:val="20"/>
                <w:lang w:val="en-US"/>
              </w:rPr>
              <w:t xml:space="preserve">ClinicalTrials.gov. A Randomized, Double-blind, Placebo-controlled, Combined Single Ascending Dose and Multiple Ascending Dose Study </w:t>
            </w:r>
            <w:r w:rsidR="00627B1B" w:rsidRPr="00071F4F">
              <w:rPr>
                <w:rFonts w:cstheme="minorHAnsi"/>
                <w:szCs w:val="20"/>
              </w:rPr>
              <w:t>to evaluate the safety and tolerability of lecanemab.</w:t>
            </w:r>
          </w:p>
        </w:tc>
        <w:tc>
          <w:tcPr>
            <w:tcW w:w="1170" w:type="pct"/>
          </w:tcPr>
          <w:p w14:paraId="0EFF708F" w14:textId="3E809A54" w:rsidR="00422B1F" w:rsidRPr="009E0CD6" w:rsidRDefault="00C67E0E" w:rsidP="00D55776">
            <w:pPr>
              <w:ind w:left="0"/>
              <w:rPr>
                <w:rFonts w:cstheme="minorHAnsi"/>
                <w:b/>
                <w:szCs w:val="20"/>
              </w:rPr>
            </w:pPr>
            <w:r w:rsidRPr="009E0CD6">
              <w:rPr>
                <w:rFonts w:cstheme="minorHAnsi"/>
                <w:szCs w:val="20"/>
              </w:rPr>
              <w:t xml:space="preserve">Assessed </w:t>
            </w:r>
            <w:r w:rsidR="00422B1F" w:rsidRPr="009E0CD6">
              <w:rPr>
                <w:rFonts w:cstheme="minorHAnsi"/>
                <w:szCs w:val="20"/>
              </w:rPr>
              <w:t>safety and tolerability of single IV infusions of lecanemab at sequentially ascending doses in mild to moderate AD from baseline to Day 180 post-dose (S</w:t>
            </w:r>
            <w:r w:rsidR="001A7715" w:rsidRPr="009E0CD6">
              <w:rPr>
                <w:rFonts w:cstheme="minorHAnsi"/>
                <w:szCs w:val="20"/>
              </w:rPr>
              <w:t>ingle ascending study</w:t>
            </w:r>
            <w:r w:rsidR="00743779" w:rsidRPr="009E0CD6">
              <w:rPr>
                <w:rFonts w:cstheme="minorHAnsi"/>
                <w:szCs w:val="20"/>
              </w:rPr>
              <w:t>)</w:t>
            </w:r>
            <w:r w:rsidR="001A7715" w:rsidRPr="009E0CD6">
              <w:rPr>
                <w:rFonts w:cstheme="minorHAnsi"/>
                <w:szCs w:val="20"/>
              </w:rPr>
              <w:t xml:space="preserve"> and </w:t>
            </w:r>
            <w:r w:rsidR="00CB79B5" w:rsidRPr="009E0CD6">
              <w:rPr>
                <w:rFonts w:cstheme="minorHAnsi"/>
                <w:szCs w:val="20"/>
              </w:rPr>
              <w:t>at</w:t>
            </w:r>
            <w:r w:rsidR="00422B1F" w:rsidRPr="009E0CD6">
              <w:rPr>
                <w:rFonts w:cstheme="minorHAnsi"/>
                <w:szCs w:val="20"/>
              </w:rPr>
              <w:t xml:space="preserve"> 4 monthly IV infusions of lecanemab at sequentially ascending doses from baseline to Day 264 post-dose (</w:t>
            </w:r>
            <w:r w:rsidR="00743779" w:rsidRPr="009E0CD6">
              <w:rPr>
                <w:rFonts w:cstheme="minorHAnsi"/>
                <w:szCs w:val="20"/>
              </w:rPr>
              <w:t>Multiple ascending s</w:t>
            </w:r>
            <w:r w:rsidR="00422B1F" w:rsidRPr="009E0CD6">
              <w:rPr>
                <w:rFonts w:cstheme="minorHAnsi"/>
                <w:szCs w:val="20"/>
              </w:rPr>
              <w:t>tudy)</w:t>
            </w:r>
          </w:p>
        </w:tc>
        <w:tc>
          <w:tcPr>
            <w:tcW w:w="711" w:type="pct"/>
          </w:tcPr>
          <w:p w14:paraId="788DCB47" w14:textId="4A8B169E" w:rsidR="006F49A1" w:rsidRPr="009E0CD6" w:rsidRDefault="00B81886" w:rsidP="00D55776">
            <w:pPr>
              <w:ind w:left="0"/>
              <w:rPr>
                <w:rFonts w:cstheme="minorHAnsi"/>
                <w:szCs w:val="20"/>
              </w:rPr>
            </w:pPr>
            <w:hyperlink r:id="rId17" w:history="1">
              <w:r w:rsidR="0075536B" w:rsidRPr="009E0CD6">
                <w:rPr>
                  <w:rStyle w:val="Hyperlink"/>
                  <w:rFonts w:cstheme="minorHAnsi"/>
                  <w:szCs w:val="20"/>
                  <w:lang w:val="en-US"/>
                </w:rPr>
                <w:t>https://clinicaltrials.gov/ct2/show/NCT01230853</w:t>
              </w:r>
            </w:hyperlink>
            <w:r w:rsidR="006F49A1" w:rsidRPr="009E0CD6">
              <w:rPr>
                <w:rFonts w:cstheme="minorHAnsi"/>
                <w:szCs w:val="20"/>
                <w:lang w:val="en-US"/>
              </w:rPr>
              <w:t>.</w:t>
            </w:r>
            <w:r w:rsidR="000C63AE">
              <w:rPr>
                <w:rStyle w:val="EndnoteReference"/>
                <w:rFonts w:cstheme="minorHAnsi"/>
                <w:szCs w:val="20"/>
                <w:lang w:val="en-US"/>
              </w:rPr>
              <w:endnoteReference w:id="10"/>
            </w:r>
          </w:p>
        </w:tc>
        <w:tc>
          <w:tcPr>
            <w:tcW w:w="479" w:type="pct"/>
          </w:tcPr>
          <w:p w14:paraId="72BC5EDF" w14:textId="7BD3C1B9" w:rsidR="00DD308E" w:rsidRPr="009E0CD6" w:rsidRDefault="00535D84" w:rsidP="00D55776">
            <w:pPr>
              <w:ind w:left="0"/>
              <w:rPr>
                <w:rFonts w:cstheme="minorHAnsi"/>
                <w:b/>
                <w:szCs w:val="20"/>
              </w:rPr>
            </w:pPr>
            <w:r w:rsidRPr="009E0CD6">
              <w:rPr>
                <w:rFonts w:cstheme="minorHAnsi"/>
                <w:szCs w:val="20"/>
              </w:rPr>
              <w:t>2016</w:t>
            </w:r>
          </w:p>
        </w:tc>
      </w:tr>
      <w:tr w:rsidR="009E0CD6" w:rsidRPr="009E0CD6" w14:paraId="14D56FF1" w14:textId="77777777" w:rsidTr="00FF1D23">
        <w:trPr>
          <w:cantSplit/>
        </w:trPr>
        <w:tc>
          <w:tcPr>
            <w:tcW w:w="140" w:type="pct"/>
          </w:tcPr>
          <w:p w14:paraId="26F4CA2E" w14:textId="29314D28" w:rsidR="000B5286" w:rsidRPr="009E0CD6" w:rsidRDefault="000B5286" w:rsidP="00D55776">
            <w:pPr>
              <w:ind w:hanging="338"/>
              <w:rPr>
                <w:rFonts w:cstheme="minorHAnsi"/>
                <w:szCs w:val="20"/>
              </w:rPr>
            </w:pPr>
            <w:r w:rsidRPr="009E0CD6">
              <w:rPr>
                <w:rFonts w:cstheme="minorHAnsi"/>
                <w:szCs w:val="20"/>
              </w:rPr>
              <w:t>2.</w:t>
            </w:r>
          </w:p>
        </w:tc>
        <w:tc>
          <w:tcPr>
            <w:tcW w:w="1180" w:type="pct"/>
          </w:tcPr>
          <w:p w14:paraId="17FD074D" w14:textId="28EF696B" w:rsidR="000B5286" w:rsidRPr="009E0CD6" w:rsidRDefault="00404AFC" w:rsidP="00D55776">
            <w:pPr>
              <w:ind w:left="0"/>
              <w:rPr>
                <w:rFonts w:cstheme="minorHAnsi"/>
                <w:b/>
                <w:szCs w:val="20"/>
              </w:rPr>
            </w:pPr>
            <w:r w:rsidRPr="009E0CD6">
              <w:rPr>
                <w:rFonts w:cstheme="minorHAnsi"/>
                <w:szCs w:val="20"/>
              </w:rPr>
              <w:t>Phase 2</w:t>
            </w:r>
            <w:r w:rsidR="00A3446B" w:rsidRPr="009E0CD6">
              <w:rPr>
                <w:rFonts w:cstheme="minorHAnsi"/>
                <w:szCs w:val="20"/>
              </w:rPr>
              <w:t xml:space="preserve">b </w:t>
            </w:r>
            <w:r w:rsidRPr="009E0CD6">
              <w:rPr>
                <w:rFonts w:cstheme="minorHAnsi"/>
                <w:szCs w:val="20"/>
              </w:rPr>
              <w:t xml:space="preserve">Trial: </w:t>
            </w:r>
            <w:r w:rsidR="00294F27" w:rsidRPr="009E0CD6">
              <w:rPr>
                <w:rFonts w:cstheme="minorHAnsi"/>
                <w:szCs w:val="20"/>
              </w:rPr>
              <w:t>multinational, multicenter, double-blind, placebo-controlled, parallel-group clinical study that compared the efficacy of several dosing regimens of lecanemab to that of placebo. The study employed a Bayesian design with response adaptive randomization to assign patients via computer to different dosing regimens of lecanemab or to placebo. Patients maintained their assigned dose throughout the trial.</w:t>
            </w:r>
          </w:p>
        </w:tc>
        <w:tc>
          <w:tcPr>
            <w:tcW w:w="1320" w:type="pct"/>
          </w:tcPr>
          <w:p w14:paraId="1A4E82E2" w14:textId="77777777" w:rsidR="0075536B" w:rsidRPr="009E0CD6" w:rsidRDefault="0075536B" w:rsidP="00D55776">
            <w:pPr>
              <w:pStyle w:val="ListParagraph"/>
              <w:numPr>
                <w:ilvl w:val="0"/>
                <w:numId w:val="19"/>
              </w:numPr>
              <w:spacing w:before="60" w:after="0"/>
              <w:ind w:left="321" w:hanging="284"/>
              <w:rPr>
                <w:rFonts w:eastAsia="Calibri Light" w:cstheme="minorHAnsi"/>
                <w:noProof/>
                <w:szCs w:val="20"/>
                <w:lang w:val="en-US"/>
              </w:rPr>
            </w:pPr>
            <w:r w:rsidRPr="009E0CD6">
              <w:rPr>
                <w:rFonts w:eastAsia="Calibri Light" w:cstheme="minorHAnsi"/>
                <w:noProof/>
                <w:szCs w:val="20"/>
                <w:lang w:val="en-US"/>
              </w:rPr>
              <w:t xml:space="preserve">Swanson CJ, Zhang Y, Dhadda S, et al. A randomized, double-blind, phase 2b proof-of-concept clinical trial in early Alzheimer's disease with lecanemab, an anti-Abeta protofibril antibody. </w:t>
            </w:r>
            <w:r w:rsidRPr="009E0CD6">
              <w:rPr>
                <w:rFonts w:eastAsia="Calibri Light" w:cstheme="minorHAnsi"/>
                <w:i/>
                <w:noProof/>
                <w:szCs w:val="20"/>
                <w:lang w:val="en-US"/>
              </w:rPr>
              <w:t xml:space="preserve">Alzheimers Res Ther. </w:t>
            </w:r>
            <w:r w:rsidRPr="009E0CD6">
              <w:rPr>
                <w:rFonts w:eastAsia="Calibri Light" w:cstheme="minorHAnsi"/>
                <w:noProof/>
                <w:szCs w:val="20"/>
                <w:lang w:val="en-US"/>
              </w:rPr>
              <w:t>2021;13(1):80.</w:t>
            </w:r>
          </w:p>
          <w:p w14:paraId="25E1C06D" w14:textId="77777777" w:rsidR="00A3795C" w:rsidRPr="00A3795C" w:rsidRDefault="0075536B" w:rsidP="00D55776">
            <w:pPr>
              <w:pStyle w:val="ListParagraph"/>
              <w:numPr>
                <w:ilvl w:val="0"/>
                <w:numId w:val="19"/>
              </w:numPr>
              <w:spacing w:before="60" w:after="0"/>
              <w:ind w:left="321" w:hanging="284"/>
              <w:rPr>
                <w:rFonts w:cstheme="minorHAnsi"/>
                <w:b/>
                <w:szCs w:val="20"/>
              </w:rPr>
            </w:pPr>
            <w:bookmarkStart w:id="11" w:name="_ENREF_106"/>
            <w:r w:rsidRPr="009E0CD6">
              <w:rPr>
                <w:rFonts w:eastAsia="Calibri Light" w:cstheme="minorHAnsi"/>
                <w:noProof/>
                <w:szCs w:val="20"/>
                <w:lang w:val="en-US"/>
              </w:rPr>
              <w:t xml:space="preserve">ClinicalTrials.gov. A Study to Evaluate Safety, Tolerability, and Efficacy of Lecanemab in Subjects With EarlyAlzheimer's Disease. </w:t>
            </w:r>
            <w:bookmarkEnd w:id="11"/>
          </w:p>
          <w:p w14:paraId="610DDE7A" w14:textId="4BA7D8F6" w:rsidR="000B5286" w:rsidRPr="009E0CD6" w:rsidRDefault="001F7443" w:rsidP="00D55776">
            <w:pPr>
              <w:pStyle w:val="ListParagraph"/>
              <w:numPr>
                <w:ilvl w:val="0"/>
                <w:numId w:val="19"/>
              </w:numPr>
              <w:spacing w:before="60" w:after="0"/>
              <w:ind w:left="321" w:hanging="284"/>
              <w:rPr>
                <w:rFonts w:cstheme="minorHAnsi"/>
                <w:b/>
                <w:szCs w:val="20"/>
              </w:rPr>
            </w:pPr>
            <w:r>
              <w:rPr>
                <w:rFonts w:eastAsia="Calibri Light" w:cstheme="minorHAnsi"/>
                <w:noProof/>
                <w:szCs w:val="20"/>
                <w:lang w:val="en-US"/>
              </w:rPr>
              <w:t>W</w:t>
            </w:r>
            <w:r w:rsidR="006E356D" w:rsidRPr="001F7443">
              <w:rPr>
                <w:rFonts w:cstheme="minorHAnsi"/>
                <w:szCs w:val="20"/>
              </w:rPr>
              <w:t xml:space="preserve">ong W. Economic burden of Alzheimer disease and managed care considerations. </w:t>
            </w:r>
            <w:r w:rsidR="006E356D" w:rsidRPr="001F7443">
              <w:rPr>
                <w:rFonts w:cstheme="minorHAnsi"/>
                <w:i/>
                <w:szCs w:val="20"/>
              </w:rPr>
              <w:t xml:space="preserve">Am J Manag Care. </w:t>
            </w:r>
            <w:r w:rsidR="006E356D" w:rsidRPr="001F7443">
              <w:rPr>
                <w:rFonts w:cstheme="minorHAnsi"/>
                <w:szCs w:val="20"/>
              </w:rPr>
              <w:t>2020;26(8 Suppl):S177-s183.</w:t>
            </w:r>
          </w:p>
        </w:tc>
        <w:tc>
          <w:tcPr>
            <w:tcW w:w="1170" w:type="pct"/>
          </w:tcPr>
          <w:p w14:paraId="6C1CCF6D" w14:textId="791C93A8" w:rsidR="000B5286" w:rsidRPr="009E0CD6" w:rsidRDefault="0008015D" w:rsidP="00D55776">
            <w:pPr>
              <w:ind w:left="0"/>
              <w:rPr>
                <w:rFonts w:cstheme="minorHAnsi"/>
                <w:b/>
                <w:szCs w:val="20"/>
              </w:rPr>
            </w:pPr>
            <w:r w:rsidRPr="009E0CD6">
              <w:rPr>
                <w:rFonts w:cstheme="minorHAnsi"/>
                <w:szCs w:val="20"/>
              </w:rPr>
              <w:t>854 randomized subjects were treated (lecanemab, 609; placebo, 245), and a total of 382 participants treated with lecanemab completed treatment, while 205 participants treated with lecanemab discontinued treatment (36.0%).</w:t>
            </w:r>
          </w:p>
        </w:tc>
        <w:tc>
          <w:tcPr>
            <w:tcW w:w="711" w:type="pct"/>
          </w:tcPr>
          <w:p w14:paraId="284E7206" w14:textId="02395976" w:rsidR="000B5286" w:rsidRPr="009E0CD6" w:rsidRDefault="00B81886" w:rsidP="00D55776">
            <w:pPr>
              <w:ind w:left="0"/>
              <w:rPr>
                <w:rFonts w:cstheme="minorHAnsi"/>
                <w:b/>
                <w:szCs w:val="20"/>
              </w:rPr>
            </w:pPr>
            <w:hyperlink r:id="rId18" w:history="1">
              <w:r w:rsidR="009E0CD6" w:rsidRPr="009E0CD6">
                <w:rPr>
                  <w:rStyle w:val="Hyperlink"/>
                  <w:rFonts w:eastAsia="Calibri Light" w:cstheme="minorHAnsi"/>
                  <w:noProof/>
                  <w:szCs w:val="20"/>
                  <w:lang w:val="en-US"/>
                </w:rPr>
                <w:t>https://clinicaltrials.gov/ct2/show/record/NCT0176731</w:t>
              </w:r>
              <w:bookmarkStart w:id="12" w:name="_Hlt119058002"/>
              <w:bookmarkStart w:id="13" w:name="_Hlt119058003"/>
              <w:r w:rsidR="009E0CD6" w:rsidRPr="009E0CD6">
                <w:rPr>
                  <w:rStyle w:val="Hyperlink"/>
                  <w:rFonts w:eastAsia="Calibri Light" w:cstheme="minorHAnsi"/>
                  <w:noProof/>
                  <w:szCs w:val="20"/>
                  <w:lang w:val="en-US"/>
                </w:rPr>
                <w:t>1</w:t>
              </w:r>
              <w:bookmarkEnd w:id="12"/>
              <w:bookmarkEnd w:id="13"/>
              <w:r w:rsidR="009E0CD6" w:rsidRPr="009E0CD6">
                <w:rPr>
                  <w:rStyle w:val="Hyperlink"/>
                  <w:rFonts w:eastAsia="Calibri Light" w:cstheme="minorHAnsi"/>
                  <w:noProof/>
                  <w:szCs w:val="20"/>
                  <w:lang w:val="en-US"/>
                </w:rPr>
                <w:t>?term=lecanemab&amp;draw=2&amp;rank=3</w:t>
              </w:r>
            </w:hyperlink>
            <w:r w:rsidR="003F4C57">
              <w:rPr>
                <w:rStyle w:val="EndnoteReference"/>
                <w:rFonts w:eastAsia="Calibri Light" w:cstheme="minorHAnsi"/>
                <w:noProof/>
                <w:color w:val="0000FF" w:themeColor="hyperlink"/>
                <w:szCs w:val="20"/>
                <w:u w:val="single"/>
                <w:lang w:val="en-US"/>
              </w:rPr>
              <w:endnoteReference w:id="11"/>
            </w:r>
          </w:p>
        </w:tc>
        <w:tc>
          <w:tcPr>
            <w:tcW w:w="479" w:type="pct"/>
          </w:tcPr>
          <w:p w14:paraId="64791988" w14:textId="52BE640F" w:rsidR="000B5286" w:rsidRPr="009E0CD6" w:rsidRDefault="005676C2" w:rsidP="00D55776">
            <w:pPr>
              <w:ind w:left="0"/>
              <w:rPr>
                <w:rFonts w:cstheme="minorHAnsi"/>
                <w:b/>
                <w:szCs w:val="20"/>
              </w:rPr>
            </w:pPr>
            <w:r>
              <w:rPr>
                <w:rFonts w:eastAsia="Calibri Light" w:cstheme="minorHAnsi"/>
                <w:noProof/>
                <w:szCs w:val="20"/>
                <w:lang w:val="en-US"/>
              </w:rPr>
              <w:t>2020 and 2021. Accessed November 2022</w:t>
            </w:r>
            <w:r w:rsidR="00943AF3" w:rsidRPr="009E0CD6">
              <w:rPr>
                <w:rFonts w:cstheme="minorHAnsi"/>
                <w:b/>
                <w:szCs w:val="20"/>
              </w:rPr>
              <w:t xml:space="preserve"> </w:t>
            </w:r>
          </w:p>
        </w:tc>
      </w:tr>
      <w:tr w:rsidR="009E0CD6" w:rsidRPr="009E0CD6" w14:paraId="122F8817" w14:textId="77777777" w:rsidTr="00FF1D23">
        <w:trPr>
          <w:cantSplit/>
        </w:trPr>
        <w:tc>
          <w:tcPr>
            <w:tcW w:w="140" w:type="pct"/>
          </w:tcPr>
          <w:p w14:paraId="5B343BDA" w14:textId="6CF9A209" w:rsidR="000B5286" w:rsidRPr="009E0CD6" w:rsidRDefault="000B5286" w:rsidP="00D55776">
            <w:pPr>
              <w:ind w:hanging="338"/>
              <w:rPr>
                <w:rFonts w:cstheme="minorHAnsi"/>
                <w:szCs w:val="20"/>
              </w:rPr>
            </w:pPr>
            <w:r w:rsidRPr="009E0CD6">
              <w:rPr>
                <w:rFonts w:cstheme="minorHAnsi"/>
                <w:szCs w:val="20"/>
              </w:rPr>
              <w:lastRenderedPageBreak/>
              <w:t>3.</w:t>
            </w:r>
          </w:p>
        </w:tc>
        <w:tc>
          <w:tcPr>
            <w:tcW w:w="1180" w:type="pct"/>
          </w:tcPr>
          <w:p w14:paraId="7DE90916" w14:textId="0E4E6F1B" w:rsidR="000B5286" w:rsidRPr="009E0CD6" w:rsidRDefault="00647D90" w:rsidP="00D55776">
            <w:pPr>
              <w:ind w:left="0"/>
              <w:rPr>
                <w:rFonts w:cstheme="minorHAnsi"/>
                <w:b/>
                <w:szCs w:val="20"/>
              </w:rPr>
            </w:pPr>
            <w:r w:rsidRPr="009E0CD6">
              <w:rPr>
                <w:rFonts w:cstheme="minorHAnsi"/>
                <w:szCs w:val="20"/>
              </w:rPr>
              <w:t>Extension Phase Study Design</w:t>
            </w:r>
            <w:r w:rsidR="00300872" w:rsidRPr="009E0CD6">
              <w:rPr>
                <w:rFonts w:cstheme="minorHAnsi"/>
                <w:szCs w:val="20"/>
              </w:rPr>
              <w:t xml:space="preserve">: </w:t>
            </w:r>
            <w:r w:rsidR="00B851DC" w:rsidRPr="009E0CD6">
              <w:rPr>
                <w:rFonts w:cstheme="minorHAnsi"/>
                <w:szCs w:val="20"/>
              </w:rPr>
              <w:t>This study was an extension to the Phase 2 study described.</w:t>
            </w:r>
          </w:p>
        </w:tc>
        <w:tc>
          <w:tcPr>
            <w:tcW w:w="1320" w:type="pct"/>
          </w:tcPr>
          <w:p w14:paraId="700E8A99" w14:textId="42CD8F9E" w:rsidR="000B5286" w:rsidRPr="009E0CD6" w:rsidRDefault="00AB317B" w:rsidP="00D55776">
            <w:pPr>
              <w:ind w:left="0"/>
              <w:rPr>
                <w:rFonts w:cstheme="minorHAnsi"/>
                <w:b/>
                <w:szCs w:val="20"/>
              </w:rPr>
            </w:pPr>
            <w:r w:rsidRPr="009E0CD6">
              <w:rPr>
                <w:rFonts w:cstheme="minorHAnsi"/>
                <w:szCs w:val="20"/>
              </w:rPr>
              <w:t xml:space="preserve">ClinicalTrials.gov. A Study to Evaluate Safety, Tolerability, and Efficacy of </w:t>
            </w:r>
            <w:proofErr w:type="spellStart"/>
            <w:r w:rsidRPr="009E0CD6">
              <w:rPr>
                <w:rFonts w:cstheme="minorHAnsi"/>
                <w:szCs w:val="20"/>
              </w:rPr>
              <w:t>Lecanemab</w:t>
            </w:r>
            <w:proofErr w:type="spellEnd"/>
            <w:r w:rsidRPr="009E0CD6">
              <w:rPr>
                <w:rFonts w:cstheme="minorHAnsi"/>
                <w:szCs w:val="20"/>
              </w:rPr>
              <w:t xml:space="preserve"> in Subjects </w:t>
            </w:r>
            <w:r w:rsidR="00D55776">
              <w:rPr>
                <w:rFonts w:cstheme="minorHAnsi"/>
                <w:szCs w:val="20"/>
              </w:rPr>
              <w:t>w</w:t>
            </w:r>
            <w:r w:rsidRPr="009E0CD6">
              <w:rPr>
                <w:rFonts w:cstheme="minorHAnsi"/>
                <w:szCs w:val="20"/>
              </w:rPr>
              <w:t xml:space="preserve">ith Early Alzheimer's Disease. </w:t>
            </w:r>
          </w:p>
        </w:tc>
        <w:tc>
          <w:tcPr>
            <w:tcW w:w="1170" w:type="pct"/>
          </w:tcPr>
          <w:p w14:paraId="25AD9830" w14:textId="3F20ADB5" w:rsidR="00F961EA" w:rsidRPr="009E0CD6" w:rsidRDefault="00F961EA" w:rsidP="00D55776">
            <w:pPr>
              <w:pStyle w:val="BodyText"/>
              <w:rPr>
                <w:rFonts w:asciiTheme="minorHAnsi" w:hAnsiTheme="minorHAnsi" w:cstheme="minorHAnsi"/>
                <w:sz w:val="20"/>
                <w:szCs w:val="20"/>
              </w:rPr>
            </w:pPr>
            <w:r w:rsidRPr="009E0CD6">
              <w:rPr>
                <w:rFonts w:asciiTheme="minorHAnsi" w:hAnsiTheme="minorHAnsi" w:cstheme="minorHAnsi"/>
                <w:iCs/>
                <w:sz w:val="20"/>
                <w:szCs w:val="20"/>
              </w:rPr>
              <w:t>The primary endpoint was t</w:t>
            </w:r>
            <w:r w:rsidRPr="009E0CD6">
              <w:rPr>
                <w:rFonts w:asciiTheme="minorHAnsi" w:hAnsiTheme="minorHAnsi" w:cstheme="minorHAnsi"/>
                <w:sz w:val="20"/>
                <w:szCs w:val="20"/>
              </w:rPr>
              <w:t>o determine the long-term safety and tolerability of lecanemab in patients with early AD</w:t>
            </w:r>
            <w:r w:rsidR="00A91BC6" w:rsidRPr="009E0CD6">
              <w:rPr>
                <w:rFonts w:asciiTheme="minorHAnsi" w:hAnsiTheme="minorHAnsi" w:cstheme="minorHAnsi"/>
                <w:sz w:val="20"/>
                <w:szCs w:val="20"/>
              </w:rPr>
              <w:t xml:space="preserve">. </w:t>
            </w:r>
            <w:r w:rsidRPr="009E0CD6">
              <w:rPr>
                <w:rFonts w:asciiTheme="minorHAnsi" w:hAnsiTheme="minorHAnsi" w:cstheme="minorHAnsi"/>
                <w:iCs/>
                <w:sz w:val="20"/>
                <w:szCs w:val="20"/>
              </w:rPr>
              <w:t xml:space="preserve">The secondary endpoint </w:t>
            </w:r>
            <w:r w:rsidR="005A2A07">
              <w:rPr>
                <w:rFonts w:asciiTheme="minorHAnsi" w:hAnsiTheme="minorHAnsi" w:cstheme="minorHAnsi"/>
                <w:iCs/>
                <w:sz w:val="20"/>
                <w:szCs w:val="20"/>
              </w:rPr>
              <w:t>evaluated</w:t>
            </w:r>
            <w:r w:rsidRPr="009E0CD6">
              <w:rPr>
                <w:rFonts w:asciiTheme="minorHAnsi" w:hAnsiTheme="minorHAnsi" w:cstheme="minorHAnsi"/>
                <w:sz w:val="20"/>
                <w:szCs w:val="20"/>
              </w:rPr>
              <w:t xml:space="preserve"> treatment benefit in brain amyloid levels (measured by amyloid PET) at the end of the Core study was maintained in participants throughout the extension phase</w:t>
            </w:r>
          </w:p>
          <w:p w14:paraId="78E8084A" w14:textId="6295097A" w:rsidR="00F961EA" w:rsidRPr="009E0CD6" w:rsidRDefault="00F961EA" w:rsidP="00D55776">
            <w:pPr>
              <w:pStyle w:val="ListBullet"/>
              <w:numPr>
                <w:ilvl w:val="0"/>
                <w:numId w:val="0"/>
              </w:numPr>
              <w:rPr>
                <w:rFonts w:asciiTheme="minorHAnsi" w:hAnsiTheme="minorHAnsi" w:cstheme="minorHAnsi"/>
                <w:b/>
                <w:sz w:val="20"/>
                <w:szCs w:val="20"/>
              </w:rPr>
            </w:pPr>
            <w:r w:rsidRPr="009E0CD6">
              <w:rPr>
                <w:rFonts w:asciiTheme="minorHAnsi" w:hAnsiTheme="minorHAnsi" w:cstheme="minorHAnsi"/>
                <w:sz w:val="20"/>
                <w:szCs w:val="20"/>
              </w:rPr>
              <w:t xml:space="preserve">All AEs and SAEs were evaluated </w:t>
            </w:r>
          </w:p>
        </w:tc>
        <w:tc>
          <w:tcPr>
            <w:tcW w:w="711" w:type="pct"/>
          </w:tcPr>
          <w:p w14:paraId="7892F0B2" w14:textId="714C6098" w:rsidR="000B5286" w:rsidRPr="009E0CD6" w:rsidRDefault="00B81886" w:rsidP="00D55776">
            <w:pPr>
              <w:ind w:left="0"/>
              <w:rPr>
                <w:rFonts w:cstheme="minorHAnsi"/>
                <w:b/>
                <w:szCs w:val="20"/>
              </w:rPr>
            </w:pPr>
            <w:hyperlink r:id="rId19" w:history="1">
              <w:r w:rsidR="005458E5" w:rsidRPr="00FF3E7A">
                <w:rPr>
                  <w:rStyle w:val="Hyperlink"/>
                  <w:rFonts w:cstheme="minorHAnsi"/>
                  <w:szCs w:val="20"/>
                </w:rPr>
                <w:t>https://clinicaltrials.gov/ct2/show/record/NCT01767311?te</w:t>
              </w:r>
              <w:bookmarkStart w:id="14" w:name="_Hlt119058018"/>
              <w:bookmarkStart w:id="15" w:name="_Hlt119058019"/>
              <w:r w:rsidR="005458E5" w:rsidRPr="00FF3E7A">
                <w:rPr>
                  <w:rStyle w:val="Hyperlink"/>
                  <w:rFonts w:cstheme="minorHAnsi"/>
                  <w:szCs w:val="20"/>
                </w:rPr>
                <w:t>r</w:t>
              </w:r>
              <w:bookmarkEnd w:id="14"/>
              <w:bookmarkEnd w:id="15"/>
              <w:r w:rsidR="005458E5" w:rsidRPr="00FF3E7A">
                <w:rPr>
                  <w:rStyle w:val="Hyperlink"/>
                  <w:rFonts w:cstheme="minorHAnsi"/>
                  <w:szCs w:val="20"/>
                </w:rPr>
                <w:t>m=lecanemab&amp;draw=2&amp;rank=3</w:t>
              </w:r>
            </w:hyperlink>
            <w:r w:rsidR="00AB317B" w:rsidRPr="009E0CD6">
              <w:rPr>
                <w:rFonts w:cstheme="minorHAnsi"/>
                <w:szCs w:val="20"/>
              </w:rPr>
              <w:t xml:space="preserve">. </w:t>
            </w:r>
            <w:r w:rsidR="00E71DAE">
              <w:rPr>
                <w:rStyle w:val="EndnoteReference"/>
                <w:rFonts w:cstheme="minorHAnsi"/>
                <w:szCs w:val="20"/>
              </w:rPr>
              <w:endnoteReference w:id="12"/>
            </w:r>
          </w:p>
        </w:tc>
        <w:tc>
          <w:tcPr>
            <w:tcW w:w="479" w:type="pct"/>
          </w:tcPr>
          <w:p w14:paraId="3828D992" w14:textId="10080411" w:rsidR="000B5286" w:rsidRPr="009E0CD6" w:rsidRDefault="00AB317B" w:rsidP="00D55776">
            <w:pPr>
              <w:ind w:left="0"/>
              <w:rPr>
                <w:rFonts w:cstheme="minorHAnsi"/>
                <w:b/>
                <w:szCs w:val="20"/>
              </w:rPr>
            </w:pPr>
            <w:r w:rsidRPr="009E0CD6">
              <w:rPr>
                <w:rFonts w:cstheme="minorHAnsi"/>
                <w:szCs w:val="20"/>
              </w:rPr>
              <w:t xml:space="preserve">Published 2021. Accessed </w:t>
            </w:r>
            <w:r w:rsidR="005676C2">
              <w:rPr>
                <w:rFonts w:cstheme="minorHAnsi"/>
                <w:szCs w:val="20"/>
              </w:rPr>
              <w:t>November 2022</w:t>
            </w:r>
          </w:p>
        </w:tc>
      </w:tr>
      <w:tr w:rsidR="009E0CD6" w:rsidRPr="009E0CD6" w14:paraId="0064E99B" w14:textId="77777777" w:rsidTr="00FF1D23">
        <w:trPr>
          <w:cantSplit/>
        </w:trPr>
        <w:tc>
          <w:tcPr>
            <w:tcW w:w="140" w:type="pct"/>
          </w:tcPr>
          <w:p w14:paraId="448489DC" w14:textId="4950EFB5" w:rsidR="000B5286" w:rsidRPr="009E0CD6" w:rsidRDefault="000B5286" w:rsidP="00D55776">
            <w:pPr>
              <w:ind w:hanging="338"/>
              <w:rPr>
                <w:rFonts w:cstheme="minorHAnsi"/>
                <w:szCs w:val="20"/>
              </w:rPr>
            </w:pPr>
            <w:r w:rsidRPr="009E0CD6">
              <w:rPr>
                <w:rFonts w:cstheme="minorHAnsi"/>
                <w:szCs w:val="20"/>
              </w:rPr>
              <w:t>4.</w:t>
            </w:r>
          </w:p>
        </w:tc>
        <w:tc>
          <w:tcPr>
            <w:tcW w:w="1180" w:type="pct"/>
          </w:tcPr>
          <w:p w14:paraId="2BA99CE8" w14:textId="44CCD25F" w:rsidR="000B5286" w:rsidRPr="009E0CD6" w:rsidRDefault="001F7443" w:rsidP="00D55776">
            <w:pPr>
              <w:ind w:left="0"/>
              <w:rPr>
                <w:rFonts w:cstheme="minorHAnsi"/>
                <w:b/>
                <w:szCs w:val="20"/>
              </w:rPr>
            </w:pPr>
            <w:r w:rsidRPr="000A12AD">
              <w:rPr>
                <w:rFonts w:cstheme="minorHAnsi"/>
                <w:szCs w:val="20"/>
              </w:rPr>
              <w:t xml:space="preserve">Clarity AD was a global confirmatory </w:t>
            </w:r>
            <w:r>
              <w:rPr>
                <w:rFonts w:cstheme="minorHAnsi"/>
                <w:szCs w:val="20"/>
              </w:rPr>
              <w:t>was a</w:t>
            </w:r>
            <w:r w:rsidR="00770F0A">
              <w:rPr>
                <w:rFonts w:cstheme="minorHAnsi"/>
                <w:szCs w:val="20"/>
              </w:rPr>
              <w:t xml:space="preserve"> Phase 3</w:t>
            </w:r>
            <w:r w:rsidR="00556A42" w:rsidRPr="009E0CD6">
              <w:rPr>
                <w:rFonts w:cstheme="minorHAnsi"/>
                <w:szCs w:val="20"/>
              </w:rPr>
              <w:t xml:space="preserve"> randomized, double-blind, placebo-controlled clinical study to evaluate the long-term efficacy and safety of biweekly IV lecanemab 10 mg/kg </w:t>
            </w:r>
            <w:r w:rsidR="000A12AD" w:rsidRPr="000A12AD">
              <w:rPr>
                <w:rFonts w:cstheme="minorHAnsi"/>
                <w:szCs w:val="20"/>
              </w:rPr>
              <w:t>in 1,795 people with early AD. The treatment group was administered a dosage of 10 mg/kg bi-weekly of lecanemab, with participants allocated in a 1:1 ratio to receive either placebo or lecanemab.</w:t>
            </w:r>
          </w:p>
        </w:tc>
        <w:tc>
          <w:tcPr>
            <w:tcW w:w="1320" w:type="pct"/>
          </w:tcPr>
          <w:p w14:paraId="24F53DE9" w14:textId="5C03ADA0" w:rsidR="000B5286" w:rsidRPr="009E0CD6" w:rsidRDefault="00C96785" w:rsidP="00D55776">
            <w:pPr>
              <w:ind w:left="0"/>
              <w:rPr>
                <w:rFonts w:cstheme="minorHAnsi"/>
                <w:b/>
                <w:szCs w:val="20"/>
              </w:rPr>
            </w:pPr>
            <w:r w:rsidRPr="009E0CD6">
              <w:rPr>
                <w:rFonts w:cstheme="minorHAnsi"/>
                <w:szCs w:val="20"/>
              </w:rPr>
              <w:t>NCT03887455</w:t>
            </w:r>
            <w:r w:rsidR="0057653B">
              <w:rPr>
                <w:rFonts w:cstheme="minorHAnsi"/>
                <w:szCs w:val="20"/>
              </w:rPr>
              <w:t xml:space="preserve">: </w:t>
            </w:r>
            <w:r w:rsidR="00D20C16" w:rsidRPr="009E0CD6">
              <w:rPr>
                <w:rFonts w:cstheme="minorHAnsi"/>
                <w:szCs w:val="20"/>
              </w:rPr>
              <w:t xml:space="preserve"> A Study to Confirm Safety and Efficacy of Lecanemab in Participants </w:t>
            </w:r>
            <w:r w:rsidR="00FF1D23">
              <w:rPr>
                <w:rFonts w:cstheme="minorHAnsi"/>
                <w:szCs w:val="20"/>
              </w:rPr>
              <w:t>w</w:t>
            </w:r>
            <w:r w:rsidR="00D20C16" w:rsidRPr="009E0CD6">
              <w:rPr>
                <w:rFonts w:cstheme="minorHAnsi"/>
                <w:szCs w:val="20"/>
              </w:rPr>
              <w:t xml:space="preserve">ith Early Alzheimer's Disease (Clarity AD). </w:t>
            </w:r>
          </w:p>
        </w:tc>
        <w:tc>
          <w:tcPr>
            <w:tcW w:w="1170" w:type="pct"/>
          </w:tcPr>
          <w:p w14:paraId="40659C9E" w14:textId="2F2EC55E" w:rsidR="00E74853" w:rsidRPr="009E0CD6" w:rsidRDefault="00E74853" w:rsidP="00D55776">
            <w:pPr>
              <w:ind w:left="0"/>
              <w:rPr>
                <w:rFonts w:cstheme="minorHAnsi"/>
                <w:szCs w:val="20"/>
              </w:rPr>
            </w:pPr>
            <w:r w:rsidRPr="009E0CD6">
              <w:rPr>
                <w:rFonts w:cstheme="minorHAnsi"/>
                <w:szCs w:val="20"/>
              </w:rPr>
              <w:t>Primary outcome measures</w:t>
            </w:r>
            <w:r w:rsidR="009708C8" w:rsidRPr="009E0CD6">
              <w:rPr>
                <w:rFonts w:cstheme="minorHAnsi"/>
                <w:szCs w:val="20"/>
              </w:rPr>
              <w:t xml:space="preserve"> at month 18</w:t>
            </w:r>
            <w:r w:rsidRPr="009E0CD6">
              <w:rPr>
                <w:rFonts w:cstheme="minorHAnsi"/>
                <w:szCs w:val="20"/>
              </w:rPr>
              <w:t>:</w:t>
            </w:r>
          </w:p>
          <w:p w14:paraId="153639E9" w14:textId="4C86E35E" w:rsidR="00E74853" w:rsidRPr="00924AE9" w:rsidRDefault="00E74853" w:rsidP="00D55776">
            <w:pPr>
              <w:pStyle w:val="ListParagraph"/>
              <w:numPr>
                <w:ilvl w:val="0"/>
                <w:numId w:val="23"/>
              </w:numPr>
              <w:ind w:left="321"/>
              <w:rPr>
                <w:rFonts w:cstheme="minorHAnsi"/>
                <w:szCs w:val="20"/>
              </w:rPr>
            </w:pPr>
            <w:r w:rsidRPr="00924AE9">
              <w:rPr>
                <w:rFonts w:cstheme="minorHAnsi"/>
                <w:szCs w:val="20"/>
              </w:rPr>
              <w:t xml:space="preserve">Change from baseline in </w:t>
            </w:r>
            <w:r w:rsidR="00275640" w:rsidRPr="00924AE9">
              <w:rPr>
                <w:rFonts w:cstheme="minorHAnsi"/>
                <w:szCs w:val="20"/>
              </w:rPr>
              <w:t>CDR-SB = Clinical Dementia Rating Sum of Boxes</w:t>
            </w:r>
            <w:r w:rsidR="00FE51B1" w:rsidRPr="00924AE9">
              <w:rPr>
                <w:rFonts w:cstheme="minorHAnsi"/>
                <w:szCs w:val="20"/>
              </w:rPr>
              <w:t xml:space="preserve"> </w:t>
            </w:r>
          </w:p>
          <w:p w14:paraId="5C585152" w14:textId="08AB980A" w:rsidR="00E74853" w:rsidRPr="00924AE9" w:rsidRDefault="00E74853" w:rsidP="00D55776">
            <w:pPr>
              <w:pStyle w:val="ListParagraph"/>
              <w:ind w:left="37"/>
              <w:rPr>
                <w:rFonts w:cstheme="minorHAnsi"/>
                <w:szCs w:val="20"/>
              </w:rPr>
            </w:pPr>
            <w:r w:rsidRPr="00924AE9">
              <w:rPr>
                <w:rFonts w:cstheme="minorHAnsi"/>
                <w:szCs w:val="20"/>
              </w:rPr>
              <w:t>Key secondary outcome measures</w:t>
            </w:r>
            <w:r w:rsidR="009708C8" w:rsidRPr="00924AE9">
              <w:rPr>
                <w:rFonts w:cstheme="minorHAnsi"/>
                <w:szCs w:val="20"/>
              </w:rPr>
              <w:t xml:space="preserve"> at month 18</w:t>
            </w:r>
            <w:r w:rsidRPr="00924AE9">
              <w:rPr>
                <w:rFonts w:cstheme="minorHAnsi"/>
                <w:szCs w:val="20"/>
              </w:rPr>
              <w:t>:</w:t>
            </w:r>
          </w:p>
          <w:p w14:paraId="4334A10A" w14:textId="16603478" w:rsidR="00E74853" w:rsidRPr="00924AE9" w:rsidRDefault="00E74853" w:rsidP="00D55776">
            <w:pPr>
              <w:pStyle w:val="ListParagraph"/>
              <w:numPr>
                <w:ilvl w:val="0"/>
                <w:numId w:val="23"/>
              </w:numPr>
              <w:ind w:left="321"/>
              <w:rPr>
                <w:rFonts w:cstheme="minorHAnsi"/>
                <w:szCs w:val="20"/>
              </w:rPr>
            </w:pPr>
            <w:r w:rsidRPr="00924AE9">
              <w:rPr>
                <w:rFonts w:cstheme="minorHAnsi"/>
                <w:szCs w:val="20"/>
              </w:rPr>
              <w:t xml:space="preserve">Change from baseline in the amyloid PET SUVr </w:t>
            </w:r>
            <w:r w:rsidR="0055097C" w:rsidRPr="00924AE9">
              <w:rPr>
                <w:rFonts w:cstheme="minorHAnsi"/>
                <w:szCs w:val="20"/>
              </w:rPr>
              <w:t xml:space="preserve">(Standard uptake-value ratio) </w:t>
            </w:r>
            <w:r w:rsidRPr="00924AE9">
              <w:rPr>
                <w:rFonts w:cstheme="minorHAnsi"/>
                <w:szCs w:val="20"/>
              </w:rPr>
              <w:t xml:space="preserve">composite </w:t>
            </w:r>
          </w:p>
          <w:p w14:paraId="5512C5D6" w14:textId="63F781AC" w:rsidR="00E74853" w:rsidRPr="00924AE9" w:rsidRDefault="00E74853" w:rsidP="00D55776">
            <w:pPr>
              <w:pStyle w:val="ListParagraph"/>
              <w:numPr>
                <w:ilvl w:val="0"/>
                <w:numId w:val="23"/>
              </w:numPr>
              <w:ind w:left="321"/>
              <w:rPr>
                <w:rFonts w:cstheme="minorHAnsi"/>
                <w:szCs w:val="20"/>
              </w:rPr>
            </w:pPr>
            <w:r w:rsidRPr="00924AE9">
              <w:rPr>
                <w:rFonts w:cstheme="minorHAnsi"/>
                <w:szCs w:val="20"/>
              </w:rPr>
              <w:t xml:space="preserve">Change from baseline in </w:t>
            </w:r>
            <w:r w:rsidR="009708C8" w:rsidRPr="00924AE9">
              <w:rPr>
                <w:rFonts w:cstheme="minorHAnsi"/>
                <w:szCs w:val="20"/>
              </w:rPr>
              <w:t xml:space="preserve">ADCOMS = Alzheimer’s Disease Composite Score; </w:t>
            </w:r>
          </w:p>
          <w:p w14:paraId="6F54CE03" w14:textId="3CB5C04C" w:rsidR="000B5286" w:rsidRPr="00924AE9" w:rsidRDefault="00E74853" w:rsidP="00D55776">
            <w:pPr>
              <w:pStyle w:val="ListParagraph"/>
              <w:numPr>
                <w:ilvl w:val="0"/>
                <w:numId w:val="23"/>
              </w:numPr>
              <w:ind w:left="321"/>
              <w:rPr>
                <w:rFonts w:cstheme="minorHAnsi"/>
                <w:b/>
                <w:szCs w:val="20"/>
              </w:rPr>
            </w:pPr>
            <w:r w:rsidRPr="00924AE9">
              <w:rPr>
                <w:rFonts w:cstheme="minorHAnsi"/>
                <w:szCs w:val="20"/>
              </w:rPr>
              <w:t xml:space="preserve">Change from baseline in </w:t>
            </w:r>
            <w:r w:rsidR="006920E2" w:rsidRPr="00924AE9">
              <w:rPr>
                <w:rFonts w:cstheme="minorHAnsi"/>
                <w:szCs w:val="20"/>
              </w:rPr>
              <w:t>ADAS-cog 14 = Alzheimer’s Disease Assessment Scale–Cognitive Subscale 14</w:t>
            </w:r>
          </w:p>
        </w:tc>
        <w:tc>
          <w:tcPr>
            <w:tcW w:w="711" w:type="pct"/>
          </w:tcPr>
          <w:p w14:paraId="2370360A" w14:textId="3B58D031" w:rsidR="000B5286" w:rsidRPr="009E0CD6" w:rsidRDefault="00B81886" w:rsidP="00D55776">
            <w:pPr>
              <w:ind w:left="0"/>
              <w:rPr>
                <w:rFonts w:cstheme="minorHAnsi"/>
                <w:b/>
                <w:szCs w:val="20"/>
              </w:rPr>
            </w:pPr>
            <w:hyperlink r:id="rId20" w:history="1">
              <w:r w:rsidR="007510A8" w:rsidRPr="00FF3E7A">
                <w:rPr>
                  <w:rStyle w:val="Hyperlink"/>
                  <w:rFonts w:cstheme="minorHAnsi"/>
                  <w:szCs w:val="20"/>
                </w:rPr>
                <w:t>https://clinicaltrials.gov/ct2/show/N</w:t>
              </w:r>
              <w:bookmarkStart w:id="16" w:name="_Hlt119058043"/>
              <w:bookmarkStart w:id="17" w:name="_Hlt119058044"/>
              <w:r w:rsidR="007510A8" w:rsidRPr="00FF3E7A">
                <w:rPr>
                  <w:rStyle w:val="Hyperlink"/>
                  <w:rFonts w:cstheme="minorHAnsi"/>
                  <w:szCs w:val="20"/>
                </w:rPr>
                <w:t>C</w:t>
              </w:r>
              <w:bookmarkEnd w:id="16"/>
              <w:bookmarkEnd w:id="17"/>
              <w:r w:rsidR="007510A8" w:rsidRPr="00FF3E7A">
                <w:rPr>
                  <w:rStyle w:val="Hyperlink"/>
                  <w:rFonts w:cstheme="minorHAnsi"/>
                  <w:szCs w:val="20"/>
                </w:rPr>
                <w:t>T03887455</w:t>
              </w:r>
            </w:hyperlink>
            <w:r w:rsidR="001D2305" w:rsidRPr="009E0CD6">
              <w:rPr>
                <w:rFonts w:cstheme="minorHAnsi"/>
                <w:szCs w:val="20"/>
              </w:rPr>
              <w:t xml:space="preserve"> </w:t>
            </w:r>
            <w:r w:rsidR="00977407">
              <w:rPr>
                <w:rStyle w:val="EndnoteReference"/>
                <w:rFonts w:cstheme="minorHAnsi"/>
                <w:szCs w:val="20"/>
              </w:rPr>
              <w:endnoteReference w:id="13"/>
            </w:r>
          </w:p>
        </w:tc>
        <w:tc>
          <w:tcPr>
            <w:tcW w:w="479" w:type="pct"/>
          </w:tcPr>
          <w:p w14:paraId="22D5D54F" w14:textId="241EFAF6" w:rsidR="000B5286" w:rsidRPr="009E0CD6" w:rsidRDefault="00576C0B" w:rsidP="00D55776">
            <w:pPr>
              <w:ind w:left="0"/>
              <w:rPr>
                <w:rFonts w:cstheme="minorHAnsi"/>
                <w:b/>
                <w:szCs w:val="20"/>
              </w:rPr>
            </w:pPr>
            <w:r>
              <w:rPr>
                <w:rFonts w:cstheme="minorHAnsi"/>
                <w:szCs w:val="20"/>
              </w:rPr>
              <w:t>Baseline data has been published in 2021. Full dataset is pending publication.</w:t>
            </w:r>
          </w:p>
        </w:tc>
      </w:tr>
    </w:tbl>
    <w:p w14:paraId="264F93E9" w14:textId="77777777" w:rsidR="00DD308E" w:rsidRDefault="00DD308E" w:rsidP="00D55776">
      <w:pPr>
        <w:sectPr w:rsidR="00DD308E" w:rsidSect="00AD1396">
          <w:endnotePr>
            <w:numFmt w:val="decimal"/>
          </w:endnotePr>
          <w:type w:val="continuous"/>
          <w:pgSz w:w="16838" w:h="11906" w:orient="landscape"/>
          <w:pgMar w:top="1440" w:right="1440" w:bottom="1440" w:left="1440" w:header="708" w:footer="708" w:gutter="0"/>
          <w:cols w:space="708"/>
          <w:docGrid w:linePitch="360"/>
        </w:sectPr>
      </w:pPr>
    </w:p>
    <w:p w14:paraId="55EA0C9D" w14:textId="013B2133" w:rsidR="004C49EF" w:rsidRDefault="00643755" w:rsidP="00D55776">
      <w:pPr>
        <w:pStyle w:val="Heading2"/>
      </w:pPr>
      <w:r w:rsidRPr="00643755">
        <w:lastRenderedPageBreak/>
        <w:t xml:space="preserve">Identify </w:t>
      </w:r>
      <w:r w:rsidRPr="00643755">
        <w:rPr>
          <w:u w:val="single"/>
        </w:rPr>
        <w:t>yet-to-be-published</w:t>
      </w:r>
      <w:r w:rsidRPr="00643755">
        <w:t xml:space="preserve"> research that may have results available in the near future (that could be relevant to your application). </w:t>
      </w:r>
    </w:p>
    <w:tbl>
      <w:tblPr>
        <w:tblStyle w:val="TableGrid"/>
        <w:tblW w:w="5000" w:type="pct"/>
        <w:tblLook w:val="04A0" w:firstRow="1" w:lastRow="0" w:firstColumn="1" w:lastColumn="0" w:noHBand="0" w:noVBand="1"/>
        <w:tblCaption w:val="Summary of Evidence - Yet to be Published"/>
      </w:tblPr>
      <w:tblGrid>
        <w:gridCol w:w="391"/>
        <w:gridCol w:w="2541"/>
        <w:gridCol w:w="2530"/>
        <w:gridCol w:w="2954"/>
        <w:gridCol w:w="4204"/>
        <w:gridCol w:w="1328"/>
      </w:tblGrid>
      <w:tr w:rsidR="000C490A" w14:paraId="7656B642" w14:textId="77777777" w:rsidTr="00FF1D23">
        <w:trPr>
          <w:cantSplit/>
          <w:tblHeader/>
        </w:trPr>
        <w:tc>
          <w:tcPr>
            <w:tcW w:w="140" w:type="pct"/>
          </w:tcPr>
          <w:p w14:paraId="0EF2BB01" w14:textId="77777777" w:rsidR="004C49EF" w:rsidRDefault="004C49EF" w:rsidP="00D55776">
            <w:pPr>
              <w:pStyle w:val="TableHEADER"/>
              <w:ind w:right="0"/>
            </w:pPr>
          </w:p>
        </w:tc>
        <w:tc>
          <w:tcPr>
            <w:tcW w:w="911" w:type="pct"/>
          </w:tcPr>
          <w:p w14:paraId="10FCD248" w14:textId="7962D94E" w:rsidR="004C49EF" w:rsidRDefault="004C49EF" w:rsidP="00D55776">
            <w:pPr>
              <w:pStyle w:val="TableHEADER"/>
              <w:ind w:right="0"/>
            </w:pPr>
            <w:r>
              <w:t>Type of study design</w:t>
            </w:r>
          </w:p>
        </w:tc>
        <w:tc>
          <w:tcPr>
            <w:tcW w:w="907" w:type="pct"/>
          </w:tcPr>
          <w:p w14:paraId="4E1BE17B" w14:textId="6F14508B" w:rsidR="004C49EF" w:rsidRDefault="004C49EF" w:rsidP="00D55776">
            <w:pPr>
              <w:pStyle w:val="TableHEADER"/>
              <w:ind w:right="0"/>
            </w:pPr>
            <w:r>
              <w:t xml:space="preserve">Title of research </w:t>
            </w:r>
          </w:p>
        </w:tc>
        <w:tc>
          <w:tcPr>
            <w:tcW w:w="1059" w:type="pct"/>
          </w:tcPr>
          <w:p w14:paraId="1EA616E9" w14:textId="78A86414" w:rsidR="004C49EF" w:rsidRDefault="00367C1B" w:rsidP="00D55776">
            <w:pPr>
              <w:pStyle w:val="TableHEADER"/>
              <w:ind w:right="0"/>
            </w:pPr>
            <w:r>
              <w:t xml:space="preserve">Short description of research </w:t>
            </w:r>
          </w:p>
        </w:tc>
        <w:tc>
          <w:tcPr>
            <w:tcW w:w="1507" w:type="pct"/>
          </w:tcPr>
          <w:p w14:paraId="64C99959" w14:textId="544A3609" w:rsidR="004C49EF" w:rsidRDefault="004C49EF" w:rsidP="00D55776">
            <w:pPr>
              <w:pStyle w:val="TableHEADER"/>
              <w:ind w:left="0" w:right="0"/>
            </w:pPr>
            <w:r w:rsidRPr="00E82F54">
              <w:t xml:space="preserve">Website link to </w:t>
            </w:r>
            <w:r>
              <w:t>research</w:t>
            </w:r>
          </w:p>
        </w:tc>
        <w:tc>
          <w:tcPr>
            <w:tcW w:w="476" w:type="pct"/>
          </w:tcPr>
          <w:p w14:paraId="250CC7B8" w14:textId="3E07E3D7" w:rsidR="004C49EF" w:rsidRDefault="004C49EF" w:rsidP="00D55776">
            <w:pPr>
              <w:pStyle w:val="TableHEADER"/>
              <w:ind w:left="0" w:right="0"/>
            </w:pPr>
            <w:r w:rsidRPr="00E82F54">
              <w:t>Date</w:t>
            </w:r>
          </w:p>
        </w:tc>
      </w:tr>
      <w:tr w:rsidR="000C490A" w14:paraId="6D19847F" w14:textId="77777777" w:rsidTr="00FF1D23">
        <w:trPr>
          <w:cantSplit/>
        </w:trPr>
        <w:tc>
          <w:tcPr>
            <w:tcW w:w="140" w:type="pct"/>
          </w:tcPr>
          <w:p w14:paraId="779AE8B3" w14:textId="77777777" w:rsidR="00FD3C53" w:rsidRPr="00965B6B" w:rsidRDefault="00FD3C53" w:rsidP="00D55776">
            <w:pPr>
              <w:ind w:left="22"/>
            </w:pPr>
            <w:r w:rsidRPr="00965B6B">
              <w:t>1</w:t>
            </w:r>
            <w:r>
              <w:t>.</w:t>
            </w:r>
          </w:p>
        </w:tc>
        <w:tc>
          <w:tcPr>
            <w:tcW w:w="911" w:type="pct"/>
          </w:tcPr>
          <w:p w14:paraId="0CDE1C6F" w14:textId="1BDA880F" w:rsidR="00FD3C53" w:rsidRDefault="00FD3C53" w:rsidP="00D55776">
            <w:pPr>
              <w:ind w:left="0"/>
              <w:rPr>
                <w:b/>
                <w:szCs w:val="20"/>
              </w:rPr>
            </w:pPr>
            <w:r w:rsidRPr="002E5EF3">
              <w:rPr>
                <w:rFonts w:cstheme="minorHAnsi"/>
                <w:szCs w:val="20"/>
              </w:rPr>
              <w:t>AHEAD 3-45 Study: A Placebo-Controlled, Double-Blind, Parallel-Treatment Arm, 216 Week Study to Evaluate Efficacy and Safety of Treatment With BAN2401 in Subjects With Preclinical Alzheimer's Disease and Elevated Amyloid (A45 Trial) and in Subjects With Early Preclinical Alzheimer's Disease and Intermediate Amyloid (A3 Trial)</w:t>
            </w:r>
          </w:p>
        </w:tc>
        <w:tc>
          <w:tcPr>
            <w:tcW w:w="907" w:type="pct"/>
          </w:tcPr>
          <w:p w14:paraId="3FF5761D" w14:textId="547B8849" w:rsidR="00FD3C53" w:rsidRDefault="00FD3C53" w:rsidP="00D55776">
            <w:pPr>
              <w:ind w:left="0"/>
              <w:rPr>
                <w:b/>
                <w:szCs w:val="20"/>
              </w:rPr>
            </w:pPr>
            <w:r>
              <w:rPr>
                <w:rFonts w:cstheme="minorHAnsi"/>
                <w:szCs w:val="20"/>
              </w:rPr>
              <w:t xml:space="preserve">NCT04468659: </w:t>
            </w:r>
            <w:r w:rsidRPr="00252E08">
              <w:rPr>
                <w:rFonts w:cstheme="minorHAnsi"/>
                <w:szCs w:val="20"/>
              </w:rPr>
              <w:t>A Study to Evaluate Efficacy and Safety of Treatment With Lecanemab in Participants With Preclinical Alzheimer's Disease and Elevated Amyloid and Also in Participants With Early Preclinical Alzheimer's Disease and Intermediate Amyloid</w:t>
            </w:r>
          </w:p>
        </w:tc>
        <w:tc>
          <w:tcPr>
            <w:tcW w:w="1059" w:type="pct"/>
          </w:tcPr>
          <w:p w14:paraId="46C0FB52" w14:textId="479C6D53" w:rsidR="00FD3C53" w:rsidRDefault="000C490A" w:rsidP="00D55776">
            <w:pPr>
              <w:ind w:left="0"/>
              <w:rPr>
                <w:b/>
                <w:szCs w:val="20"/>
              </w:rPr>
            </w:pPr>
            <w:r>
              <w:rPr>
                <w:rFonts w:cstheme="minorHAnsi"/>
                <w:szCs w:val="20"/>
              </w:rPr>
              <w:t xml:space="preserve">Is </w:t>
            </w:r>
            <w:r w:rsidR="00C274A5" w:rsidRPr="00C274A5">
              <w:rPr>
                <w:rFonts w:cstheme="minorHAnsi"/>
                <w:szCs w:val="20"/>
              </w:rPr>
              <w:t xml:space="preserve">treatment with </w:t>
            </w:r>
            <w:r w:rsidRPr="00C274A5">
              <w:rPr>
                <w:rFonts w:cstheme="minorHAnsi"/>
                <w:szCs w:val="20"/>
              </w:rPr>
              <w:t>lecanemab</w:t>
            </w:r>
            <w:r w:rsidR="00C274A5" w:rsidRPr="00C274A5">
              <w:rPr>
                <w:rFonts w:cstheme="minorHAnsi"/>
                <w:szCs w:val="20"/>
              </w:rPr>
              <w:t xml:space="preserve"> superior to placebo on change from baseline of the Preclinical Alzheimer Cognitive Composite 5 at 216 weeks of treatment (A45 Trial) and </w:t>
            </w:r>
            <w:r>
              <w:rPr>
                <w:rFonts w:cstheme="minorHAnsi"/>
                <w:szCs w:val="20"/>
              </w:rPr>
              <w:t>is</w:t>
            </w:r>
            <w:r w:rsidR="00C274A5" w:rsidRPr="00C274A5">
              <w:rPr>
                <w:rFonts w:cstheme="minorHAnsi"/>
                <w:szCs w:val="20"/>
              </w:rPr>
              <w:t xml:space="preserve"> treatment with lecanemab superior to placebo in reducing brain amyloid accumulation as measured by amyloid PET at 216 weeks of treatment (A3 Trial).</w:t>
            </w:r>
          </w:p>
        </w:tc>
        <w:tc>
          <w:tcPr>
            <w:tcW w:w="1507" w:type="pct"/>
          </w:tcPr>
          <w:p w14:paraId="747648E2" w14:textId="4C7991D3" w:rsidR="00FD3C53" w:rsidRPr="00E82F54" w:rsidRDefault="00B81886" w:rsidP="00D55776">
            <w:pPr>
              <w:ind w:left="0"/>
              <w:rPr>
                <w:b/>
                <w:szCs w:val="20"/>
              </w:rPr>
            </w:pPr>
            <w:hyperlink r:id="rId21" w:history="1">
              <w:r w:rsidR="00E263AC" w:rsidRPr="00FF3E7A">
                <w:rPr>
                  <w:rStyle w:val="Hyperlink"/>
                  <w:rFonts w:cstheme="minorHAnsi"/>
                  <w:szCs w:val="20"/>
                </w:rPr>
                <w:t>https://clinicaltrials.gov/ct2/show/NCT04468659</w:t>
              </w:r>
            </w:hyperlink>
            <w:r w:rsidR="00E263AC">
              <w:rPr>
                <w:rFonts w:cstheme="minorHAnsi"/>
                <w:szCs w:val="20"/>
              </w:rPr>
              <w:t xml:space="preserve"> </w:t>
            </w:r>
          </w:p>
        </w:tc>
        <w:tc>
          <w:tcPr>
            <w:tcW w:w="476" w:type="pct"/>
          </w:tcPr>
          <w:p w14:paraId="78D70CF8" w14:textId="47951734" w:rsidR="00FD3C53" w:rsidRPr="00E82F54" w:rsidRDefault="00FD3C53" w:rsidP="00D55776">
            <w:pPr>
              <w:rPr>
                <w:b/>
                <w:szCs w:val="20"/>
              </w:rPr>
            </w:pPr>
          </w:p>
        </w:tc>
      </w:tr>
    </w:tbl>
    <w:p w14:paraId="6691C6A4" w14:textId="064C0BEA" w:rsidR="00DD308E" w:rsidRDefault="00F301F1" w:rsidP="00D55776">
      <w:pPr>
        <w:sectPr w:rsidR="00DD308E" w:rsidSect="00DD308E">
          <w:pgSz w:w="16838" w:h="11906" w:orient="landscape"/>
          <w:pgMar w:top="1440" w:right="1440" w:bottom="1440" w:left="1440" w:header="708" w:footer="708" w:gutter="0"/>
          <w:cols w:space="708"/>
          <w:docGrid w:linePitch="360"/>
        </w:sectPr>
      </w:pPr>
      <w:r>
        <w:br w:type="page"/>
      </w:r>
    </w:p>
    <w:p w14:paraId="017E798B" w14:textId="77777777" w:rsidR="00E82F54" w:rsidRPr="00C776B1" w:rsidRDefault="005C3AE7" w:rsidP="00D55776">
      <w:pPr>
        <w:pStyle w:val="Heading1"/>
      </w:pPr>
      <w:r>
        <w:lastRenderedPageBreak/>
        <w:t>PART 5</w:t>
      </w:r>
      <w:r w:rsidR="00F93784">
        <w:t xml:space="preserve"> – </w:t>
      </w:r>
      <w:r w:rsidR="00E82F54" w:rsidRPr="00C776B1">
        <w:t>CLINICAL ENDORSEMENT AND CONSUMER INFORMATION</w:t>
      </w:r>
    </w:p>
    <w:p w14:paraId="6C09758D" w14:textId="77777777" w:rsidR="00E82F54" w:rsidRDefault="00E82F54" w:rsidP="00D55776">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22008F36" w14:textId="77777777" w:rsidR="000270F2" w:rsidRDefault="003E4F79" w:rsidP="00D55776">
      <w:r w:rsidRPr="003E4F79">
        <w:t>The Australasian Association of Nuclear Medicine Specialists (AANMS)</w:t>
      </w:r>
    </w:p>
    <w:p w14:paraId="65605D1E" w14:textId="64E55F48" w:rsidR="0076714A" w:rsidRPr="000270F2" w:rsidRDefault="00C373C5" w:rsidP="00D55776">
      <w:pPr>
        <w:rPr>
          <w:b/>
          <w:noProof/>
          <w:szCs w:val="20"/>
        </w:rPr>
      </w:pPr>
      <w:r w:rsidRPr="00C373C5">
        <w:rPr>
          <w:b/>
          <w:noProof/>
          <w:szCs w:val="20"/>
        </w:rPr>
        <w:t xml:space="preserve">Australian Diagnostic Imaging Association </w:t>
      </w:r>
      <w:r>
        <w:rPr>
          <w:b/>
          <w:noProof/>
          <w:szCs w:val="20"/>
        </w:rPr>
        <w:t>(</w:t>
      </w:r>
      <w:r w:rsidR="0076714A" w:rsidRPr="0076714A">
        <w:rPr>
          <w:b/>
          <w:noProof/>
          <w:szCs w:val="20"/>
        </w:rPr>
        <w:t>ADIA</w:t>
      </w:r>
      <w:r>
        <w:rPr>
          <w:b/>
          <w:noProof/>
          <w:szCs w:val="20"/>
        </w:rPr>
        <w:t>)</w:t>
      </w:r>
    </w:p>
    <w:p w14:paraId="201799D1" w14:textId="77777777" w:rsidR="00EA173C" w:rsidRPr="00154B00" w:rsidRDefault="00EA173C" w:rsidP="00D55776">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006BB76" w14:textId="77777777" w:rsidR="009923FB" w:rsidRDefault="00FA5A0D" w:rsidP="00D55776">
      <w:r>
        <w:t>Not applicable</w:t>
      </w:r>
      <w:r w:rsidR="008A30E6">
        <w:t xml:space="preserve"> </w:t>
      </w:r>
    </w:p>
    <w:p w14:paraId="4D6A5881" w14:textId="77777777" w:rsidR="00E82F54" w:rsidRPr="00154B00" w:rsidRDefault="00E82F54" w:rsidP="00D5577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03D23338" w14:textId="6212DD05" w:rsidR="00E82F54" w:rsidRDefault="000E18B4" w:rsidP="00D55776">
      <w:pPr>
        <w:rPr>
          <w:szCs w:val="20"/>
        </w:rPr>
      </w:pPr>
      <w:r>
        <w:t>Dementia Australia</w:t>
      </w:r>
    </w:p>
    <w:p w14:paraId="3203A377" w14:textId="77777777" w:rsidR="003433D1" w:rsidRDefault="003433D1" w:rsidP="00D55776">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22B90E89" w14:textId="752F7DC7" w:rsidR="00095A80" w:rsidRDefault="00095A80" w:rsidP="00D55776">
      <w:proofErr w:type="spellStart"/>
      <w:r>
        <w:t>Cyclotek</w:t>
      </w:r>
      <w:proofErr w:type="spellEnd"/>
    </w:p>
    <w:p w14:paraId="306F670D" w14:textId="77777777" w:rsidR="00095A80" w:rsidRDefault="00095A80" w:rsidP="00D55776">
      <w:r>
        <w:t>T +61 3 9467 4966</w:t>
      </w:r>
    </w:p>
    <w:p w14:paraId="50A2E7F1" w14:textId="0DBBEBD0" w:rsidR="00EE6450" w:rsidRPr="00E2297C" w:rsidRDefault="00095A80" w:rsidP="00D55776">
      <w:r>
        <w:t>enquiries@cyclotek.com</w:t>
      </w:r>
    </w:p>
    <w:p w14:paraId="14A8EEFB" w14:textId="77777777" w:rsidR="00BA72E3" w:rsidRPr="00BA72E3" w:rsidRDefault="00BA72E3" w:rsidP="00D55776">
      <w:pPr>
        <w:pStyle w:val="Heading2"/>
      </w:pPr>
      <w:r w:rsidRPr="00BA72E3">
        <w:t>Nominate two experts that can be contacted about the proposed medical service, and current clinical management of the condition</w:t>
      </w:r>
      <w:r>
        <w:t>:</w:t>
      </w:r>
    </w:p>
    <w:p w14:paraId="4EC7E9CE" w14:textId="6ADC305C" w:rsidR="003433D1" w:rsidRPr="00FF1D23" w:rsidRDefault="00FF1D23" w:rsidP="00D55776">
      <w:pPr>
        <w:rPr>
          <w:b/>
          <w:bCs/>
        </w:rPr>
      </w:pPr>
      <w:r w:rsidRPr="00FF1D23">
        <w:rPr>
          <w:b/>
          <w:bCs/>
        </w:rPr>
        <w:t>REDACTED</w:t>
      </w:r>
      <w:r w:rsidR="003433D1" w:rsidRPr="00FF1D23">
        <w:rPr>
          <w:b/>
          <w:bCs/>
        </w:rPr>
        <w:br w:type="page"/>
      </w:r>
    </w:p>
    <w:p w14:paraId="66616384" w14:textId="77777777" w:rsidR="00E82F54" w:rsidRPr="00EA173C" w:rsidRDefault="00F93784" w:rsidP="00D55776">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4133BD6F" w14:textId="77777777" w:rsidR="0021185D" w:rsidRPr="005C3AE7" w:rsidRDefault="005C3AE7" w:rsidP="00D55776">
      <w:pPr>
        <w:pStyle w:val="Subtitle"/>
        <w:ind w:left="0"/>
      </w:pPr>
      <w:r w:rsidRPr="005C3AE7">
        <w:t xml:space="preserve">PART 6a – </w:t>
      </w:r>
      <w:r w:rsidR="0021185D" w:rsidRPr="005C3AE7">
        <w:t>INFORMATION ABOUT THE PROPOSED POPULATION</w:t>
      </w:r>
    </w:p>
    <w:p w14:paraId="78F7162D" w14:textId="3A63C10F" w:rsidR="0021185D" w:rsidRPr="00A96329" w:rsidRDefault="0021185D" w:rsidP="00D55776">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B4456D">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1829B04F" w14:textId="1A8E3459" w:rsidR="00D85F38" w:rsidRPr="008D0D18" w:rsidRDefault="00D85F38" w:rsidP="00D55776">
      <w:r w:rsidRPr="00CE58A1">
        <w:t xml:space="preserve">AD is a progressive, degenerative neurocognitive disorder, characterized by an insidious and unrelenting decline in cognition, as well as behavioural disturbances, that result in the person’s inability to perform usual activities of daily living. AD is the most common cause of dementia, accounting for 50% to 75% of all cases. Dementia is a syndrome characterized by disturbance of multiple brain functions, including memory, thinking, orientation, comprehension, calculation, learning capacity, language, and judgment, with no disturbance in consciousness. The impairments of cognitive function are commonly accompanied, and occasionally preceded, by deterioration in emotional control, social behaviour, or motivation. </w:t>
      </w:r>
      <w:r w:rsidR="008D0D18">
        <w:t xml:space="preserve"> </w:t>
      </w:r>
      <w:r w:rsidRPr="008D0D18">
        <w:t xml:space="preserve">Three stages of AD proposed by </w:t>
      </w:r>
      <w:r w:rsidRPr="0074121B">
        <w:t>the National Institute on Aging and the Alzheimer’s Association</w:t>
      </w:r>
      <w:r w:rsidR="0074121B" w:rsidRPr="0074121B">
        <w:rPr>
          <w:rStyle w:val="EndnoteReference"/>
          <w:rFonts w:eastAsia="Calibri"/>
          <w:szCs w:val="20"/>
        </w:rPr>
        <w:endnoteReference w:id="14"/>
      </w:r>
      <w:r w:rsidRPr="008D0D18">
        <w:t xml:space="preserve"> are</w:t>
      </w:r>
      <w:r w:rsidR="00B21EDB" w:rsidRPr="008D0D18">
        <w:t xml:space="preserve"> shown in</w:t>
      </w:r>
      <w:r w:rsidR="00FD3F0F" w:rsidRPr="008D0D18">
        <w:t xml:space="preserve"> </w:t>
      </w:r>
      <w:r w:rsidRPr="008D0D18">
        <w:fldChar w:fldCharType="begin"/>
      </w:r>
      <w:r w:rsidRPr="008D0D18">
        <w:instrText xml:space="preserve"> REF _Ref100564629 \h  \* MERGEFORMAT </w:instrText>
      </w:r>
      <w:r w:rsidRPr="008D0D18">
        <w:fldChar w:fldCharType="separate"/>
      </w:r>
      <w:r w:rsidR="00BE644F" w:rsidRPr="00BE644F">
        <w:t xml:space="preserve">Figure </w:t>
      </w:r>
      <w:r w:rsidR="00BE644F" w:rsidRPr="00BE644F">
        <w:rPr>
          <w:noProof/>
        </w:rPr>
        <w:t>1</w:t>
      </w:r>
      <w:r w:rsidRPr="008D0D18">
        <w:fldChar w:fldCharType="end"/>
      </w:r>
      <w:r w:rsidRPr="008D0D18">
        <w:t xml:space="preserve">: </w:t>
      </w:r>
    </w:p>
    <w:p w14:paraId="125D8531" w14:textId="173430F3" w:rsidR="00D85F38" w:rsidRPr="00CE58A1" w:rsidRDefault="00D85F38" w:rsidP="00D55776">
      <w:pPr>
        <w:pStyle w:val="ListParagraph"/>
        <w:numPr>
          <w:ilvl w:val="0"/>
          <w:numId w:val="14"/>
        </w:numPr>
        <w:spacing w:before="0" w:after="0"/>
        <w:ind w:left="284" w:firstLine="0"/>
        <w:jc w:val="both"/>
        <w:rPr>
          <w:rFonts w:eastAsia="Calibri"/>
          <w:szCs w:val="20"/>
        </w:rPr>
      </w:pPr>
      <w:r w:rsidRPr="00CE58A1">
        <w:rPr>
          <w:rFonts w:eastAsia="Calibri"/>
          <w:szCs w:val="20"/>
        </w:rPr>
        <w:t>preclinical Alzheimer’s disease</w:t>
      </w:r>
      <w:r w:rsidR="008D0D18">
        <w:rPr>
          <w:rFonts w:eastAsia="Calibri"/>
          <w:szCs w:val="20"/>
        </w:rPr>
        <w:t>;</w:t>
      </w:r>
      <w:r w:rsidRPr="00CE58A1">
        <w:rPr>
          <w:rFonts w:eastAsia="Calibri"/>
          <w:szCs w:val="20"/>
        </w:rPr>
        <w:t xml:space="preserve"> </w:t>
      </w:r>
    </w:p>
    <w:p w14:paraId="28CB6F03" w14:textId="306A9D73" w:rsidR="00D85F38" w:rsidRPr="00CE58A1" w:rsidRDefault="00D85F38" w:rsidP="00D55776">
      <w:pPr>
        <w:pStyle w:val="ListParagraph"/>
        <w:numPr>
          <w:ilvl w:val="0"/>
          <w:numId w:val="14"/>
        </w:numPr>
        <w:spacing w:before="0" w:after="0"/>
        <w:ind w:left="284" w:firstLine="0"/>
        <w:jc w:val="both"/>
        <w:rPr>
          <w:rFonts w:eastAsia="Calibri"/>
          <w:szCs w:val="20"/>
        </w:rPr>
      </w:pPr>
      <w:r w:rsidRPr="00CE58A1">
        <w:rPr>
          <w:rFonts w:eastAsia="Calibri"/>
          <w:szCs w:val="20"/>
        </w:rPr>
        <w:t>mild cognitive impairment (MCI) due to Alzheimer’s disease</w:t>
      </w:r>
      <w:r w:rsidR="008D0D18">
        <w:rPr>
          <w:rFonts w:eastAsia="Calibri"/>
          <w:szCs w:val="20"/>
        </w:rPr>
        <w:t>;</w:t>
      </w:r>
      <w:r w:rsidRPr="00CE58A1">
        <w:rPr>
          <w:rFonts w:eastAsia="Calibri"/>
          <w:szCs w:val="20"/>
        </w:rPr>
        <w:t xml:space="preserve"> </w:t>
      </w:r>
    </w:p>
    <w:p w14:paraId="1F6E8123" w14:textId="77777777" w:rsidR="00D85F38" w:rsidRDefault="00D85F38" w:rsidP="00D55776">
      <w:pPr>
        <w:pStyle w:val="ListParagraph"/>
        <w:numPr>
          <w:ilvl w:val="0"/>
          <w:numId w:val="14"/>
        </w:numPr>
        <w:spacing w:before="0" w:after="0"/>
        <w:ind w:left="284" w:firstLine="0"/>
        <w:jc w:val="both"/>
        <w:rPr>
          <w:rFonts w:eastAsia="Calibri"/>
          <w:szCs w:val="20"/>
        </w:rPr>
      </w:pPr>
      <w:r w:rsidRPr="00CE58A1">
        <w:rPr>
          <w:rFonts w:eastAsia="Calibri"/>
          <w:szCs w:val="20"/>
        </w:rPr>
        <w:t xml:space="preserve">dementia due to Alzheimer’s disease. </w:t>
      </w:r>
    </w:p>
    <w:p w14:paraId="5A79AF4B" w14:textId="77777777" w:rsidR="00DF1207" w:rsidRPr="00CE58A1" w:rsidRDefault="00DF1207" w:rsidP="00D55776">
      <w:pPr>
        <w:pStyle w:val="ListParagraph"/>
        <w:spacing w:before="0" w:after="0"/>
        <w:ind w:left="284"/>
        <w:jc w:val="both"/>
        <w:rPr>
          <w:rFonts w:eastAsia="Calibri"/>
          <w:szCs w:val="20"/>
        </w:rPr>
      </w:pPr>
    </w:p>
    <w:p w14:paraId="1D48D3AE" w14:textId="2512A7D6" w:rsidR="00D85F38" w:rsidRPr="00D85F38" w:rsidRDefault="00D85F38" w:rsidP="00D55776">
      <w:pPr>
        <w:pStyle w:val="Caption"/>
        <w:keepNext/>
        <w:ind w:left="284"/>
        <w:rPr>
          <w:rFonts w:eastAsia="Calibri"/>
          <w:sz w:val="22"/>
          <w:szCs w:val="22"/>
        </w:rPr>
      </w:pPr>
      <w:bookmarkStart w:id="18" w:name="_Ref100564629"/>
      <w:r w:rsidRPr="00D85F38">
        <w:rPr>
          <w:sz w:val="22"/>
          <w:szCs w:val="22"/>
        </w:rPr>
        <w:t xml:space="preserve">Figure </w:t>
      </w:r>
      <w:r w:rsidRPr="00D85F38">
        <w:rPr>
          <w:sz w:val="22"/>
          <w:szCs w:val="22"/>
        </w:rPr>
        <w:fldChar w:fldCharType="begin"/>
      </w:r>
      <w:r w:rsidRPr="00D85F38">
        <w:rPr>
          <w:sz w:val="22"/>
          <w:szCs w:val="22"/>
        </w:rPr>
        <w:instrText xml:space="preserve"> SEQ Figure \* ARABIC </w:instrText>
      </w:r>
      <w:r w:rsidRPr="00D85F38">
        <w:rPr>
          <w:sz w:val="22"/>
          <w:szCs w:val="22"/>
        </w:rPr>
        <w:fldChar w:fldCharType="separate"/>
      </w:r>
      <w:r w:rsidR="00BE644F">
        <w:rPr>
          <w:noProof/>
          <w:sz w:val="22"/>
          <w:szCs w:val="22"/>
        </w:rPr>
        <w:t>1</w:t>
      </w:r>
      <w:r w:rsidRPr="00D85F38">
        <w:rPr>
          <w:noProof/>
          <w:sz w:val="22"/>
          <w:szCs w:val="22"/>
        </w:rPr>
        <w:fldChar w:fldCharType="end"/>
      </w:r>
      <w:bookmarkEnd w:id="18"/>
      <w:r w:rsidRPr="00D85F38">
        <w:rPr>
          <w:sz w:val="22"/>
          <w:szCs w:val="22"/>
        </w:rPr>
        <w:t>: Stages of AD</w:t>
      </w:r>
    </w:p>
    <w:p w14:paraId="0DED8811" w14:textId="77777777" w:rsidR="00D85F38" w:rsidRPr="00D85F38" w:rsidRDefault="00D85F38" w:rsidP="00D55776">
      <w:pPr>
        <w:keepNext/>
        <w:spacing w:before="60" w:after="60" w:line="276" w:lineRule="auto"/>
        <w:ind w:left="284"/>
        <w:jc w:val="both"/>
        <w:rPr>
          <w:rFonts w:eastAsia="Calibri" w:cs="Calibri"/>
          <w:sz w:val="22"/>
        </w:rPr>
      </w:pPr>
      <w:r w:rsidRPr="00D85F38">
        <w:rPr>
          <w:noProof/>
          <w:sz w:val="22"/>
        </w:rPr>
        <w:drawing>
          <wp:inline distT="0" distB="0" distL="0" distR="0" wp14:anchorId="3C561E5A" wp14:editId="41157599">
            <wp:extent cx="5405933" cy="838200"/>
            <wp:effectExtent l="0" t="0" r="4445" b="0"/>
            <wp:docPr id="343331339" name="Picture 343331339" descr="Diagram"/>
            <wp:cNvGraphicFramePr/>
            <a:graphic xmlns:a="http://schemas.openxmlformats.org/drawingml/2006/main">
              <a:graphicData uri="http://schemas.openxmlformats.org/drawingml/2006/picture">
                <pic:pic xmlns:pic="http://schemas.openxmlformats.org/drawingml/2006/picture">
                  <pic:nvPicPr>
                    <pic:cNvPr id="343331339" name="Picture 343331339" descr="Diagram"/>
                    <pic:cNvPicPr>
                      <a:picLocks noChangeAspect="1"/>
                    </pic:cNvPicPr>
                  </pic:nvPicPr>
                  <pic:blipFill rotWithShape="1">
                    <a:blip r:embed="rId22">
                      <a:duotone>
                        <a:prstClr val="black"/>
                        <a:srgbClr val="6773B6">
                          <a:tint val="45000"/>
                          <a:satMod val="400000"/>
                        </a:srgbClr>
                      </a:duotone>
                      <a:extLst>
                        <a:ext uri="{28A0092B-C50C-407E-A947-70E740481C1C}">
                          <a14:useLocalDpi xmlns:a14="http://schemas.microsoft.com/office/drawing/2010/main" val="0"/>
                        </a:ext>
                      </a:extLst>
                    </a:blip>
                    <a:srcRect l="5128" t="14830" b="57982"/>
                    <a:stretch/>
                  </pic:blipFill>
                  <pic:spPr bwMode="auto">
                    <a:xfrm>
                      <a:off x="0" y="0"/>
                      <a:ext cx="5409241" cy="838713"/>
                    </a:xfrm>
                    <a:prstGeom prst="rect">
                      <a:avLst/>
                    </a:prstGeom>
                    <a:ln>
                      <a:noFill/>
                    </a:ln>
                    <a:extLst>
                      <a:ext uri="{53640926-AAD7-44D8-BBD7-CCE9431645EC}">
                        <a14:shadowObscured xmlns:a14="http://schemas.microsoft.com/office/drawing/2010/main"/>
                      </a:ext>
                    </a:extLst>
                  </pic:spPr>
                </pic:pic>
              </a:graphicData>
            </a:graphic>
          </wp:inline>
        </w:drawing>
      </w:r>
    </w:p>
    <w:p w14:paraId="71FA04B6" w14:textId="5B194120" w:rsidR="00487962" w:rsidRPr="00CE58A1" w:rsidRDefault="00487962" w:rsidP="00D55776">
      <w:pPr>
        <w:pStyle w:val="ProposalBody"/>
        <w:spacing w:after="0" w:afterAutospacing="0"/>
        <w:ind w:left="284"/>
        <w:jc w:val="both"/>
        <w:rPr>
          <w:rFonts w:eastAsia="Calibri"/>
          <w:b/>
          <w:sz w:val="20"/>
          <w:szCs w:val="20"/>
          <w:u w:val="single"/>
          <w:lang w:val="en-AU"/>
        </w:rPr>
      </w:pPr>
      <w:r w:rsidRPr="00CE58A1">
        <w:rPr>
          <w:rFonts w:eastAsia="Calibri"/>
          <w:b/>
          <w:sz w:val="20"/>
          <w:szCs w:val="20"/>
          <w:u w:val="single"/>
          <w:lang w:val="en-AU"/>
        </w:rPr>
        <w:t>AD pathophysiology</w:t>
      </w:r>
    </w:p>
    <w:p w14:paraId="4A80277C" w14:textId="1FEBB1D6" w:rsidR="00D85F38" w:rsidRPr="00CE58A1" w:rsidRDefault="00D85F38" w:rsidP="00D55776">
      <w:pPr>
        <w:ind w:left="284"/>
      </w:pPr>
      <w:r w:rsidRPr="00CE58A1">
        <w:t>The pathophysiology of AD is related to the injury and death of neurons, initiating in the hippocampus brain region that is involved with memory and learning, followed by gradual atrophy of the brain</w:t>
      </w:r>
      <w:r w:rsidR="00170232">
        <w:t>, excluding the cerebellum</w:t>
      </w:r>
      <w:r w:rsidRPr="00CE58A1">
        <w:t>. The main neuropathological hallmarks of AD are extracellular senile (neuritic) plaques containing aggregated amyloid beta peptides and intraneuronal neurofibrillary tangles (NFTs) composed of abnormal hyperphosphorylated Tau protein. Although the pathogenesis of these plaques and tangles and how they contribute to the clinical syndrome is not yet fully elucidated, the leading hypothesis is the “amyloid cascade.” This hypothesis proposes that the accumulation of amyloid beta, which results from an imbalance between amyloid beta production and amyloid beta clearance in the brain, is the driving force behind the AD process. Senile plaques and neurofibrillary tangles prompt the injury and death of neurons, and consequently, memory loss and behavioural symptomatic changes. Inflammation within the brain, including increased reactivity of the resident microglia towards amyloid deposits, has been implicated in the pathogenesis and progression of AD.</w:t>
      </w:r>
    </w:p>
    <w:p w14:paraId="3177AD38" w14:textId="77B4C81C" w:rsidR="00D85F38" w:rsidRPr="00CE58A1" w:rsidRDefault="00D85F38" w:rsidP="00D55776">
      <w:pPr>
        <w:ind w:left="284"/>
      </w:pPr>
      <w:r w:rsidRPr="00CE58A1">
        <w:t xml:space="preserve">The ultimate </w:t>
      </w:r>
      <w:r w:rsidR="00850271">
        <w:t xml:space="preserve">debilitating </w:t>
      </w:r>
      <w:r w:rsidRPr="00CE58A1">
        <w:t xml:space="preserve">outcome of Alzheimer’s disease is a </w:t>
      </w:r>
      <w:r w:rsidR="00850271">
        <w:t xml:space="preserve">progressive </w:t>
      </w:r>
      <w:r w:rsidRPr="00CE58A1">
        <w:t>loss of cognition and memory. Early symptoms include difficulty with recent memories (such as conversations, names, or events), apathy, and depression. Later symptoms include impaired communication, disorientation, confusion, poor judgment, behavioural changes, and difficulty speaking, swallowing, and walking. In the final stages of the disease, individuals are bedridden and need full-time care.</w:t>
      </w:r>
    </w:p>
    <w:p w14:paraId="3166DF23" w14:textId="77777777" w:rsidR="00FF1D23" w:rsidRDefault="00FF1D23" w:rsidP="00D55776">
      <w:pPr>
        <w:spacing w:before="0" w:after="200" w:line="276" w:lineRule="auto"/>
        <w:ind w:left="0"/>
        <w:rPr>
          <w:rFonts w:ascii="Calibri" w:eastAsia="Calibri" w:hAnsi="Calibri" w:cs="Calibri"/>
          <w:b/>
          <w:szCs w:val="20"/>
          <w:u w:val="single"/>
          <w:lang w:eastAsia="en-AU"/>
        </w:rPr>
      </w:pPr>
      <w:r>
        <w:rPr>
          <w:rFonts w:eastAsia="Calibri"/>
          <w:b/>
          <w:szCs w:val="20"/>
          <w:u w:val="single"/>
        </w:rPr>
        <w:br w:type="page"/>
      </w:r>
    </w:p>
    <w:p w14:paraId="67C5AAAA" w14:textId="1C382818" w:rsidR="008C7ED3" w:rsidRPr="001579D1" w:rsidRDefault="008C7ED3" w:rsidP="00D55776">
      <w:pPr>
        <w:pStyle w:val="ProposalBody"/>
        <w:ind w:left="284"/>
        <w:jc w:val="both"/>
        <w:rPr>
          <w:rFonts w:eastAsia="Calibri"/>
          <w:b/>
          <w:sz w:val="20"/>
          <w:szCs w:val="20"/>
          <w:u w:val="single"/>
          <w:lang w:val="en-AU"/>
        </w:rPr>
      </w:pPr>
      <w:r w:rsidRPr="001579D1">
        <w:rPr>
          <w:rFonts w:eastAsia="Calibri"/>
          <w:b/>
          <w:sz w:val="20"/>
          <w:szCs w:val="20"/>
          <w:u w:val="single"/>
          <w:lang w:val="en-AU"/>
        </w:rPr>
        <w:lastRenderedPageBreak/>
        <w:t>Mortality and morbidity</w:t>
      </w:r>
    </w:p>
    <w:p w14:paraId="5E243277" w14:textId="47051730" w:rsidR="008C7ED3" w:rsidRPr="00BD17D1" w:rsidRDefault="008C7ED3" w:rsidP="00D55776">
      <w:pPr>
        <w:ind w:left="284"/>
      </w:pPr>
      <w:r w:rsidRPr="00BD17D1">
        <w:t>The risk of dementia increases with stages of AD progression</w:t>
      </w:r>
      <w:r w:rsidR="00F43D07">
        <w:t xml:space="preserve"> </w:t>
      </w:r>
      <w:r w:rsidR="00F43D07">
        <w:rPr>
          <w:rStyle w:val="EndnoteReference"/>
          <w:rFonts w:eastAsia="Calibri"/>
          <w:szCs w:val="20"/>
        </w:rPr>
        <w:endnoteReference w:id="15"/>
      </w:r>
      <w:r w:rsidRPr="00BD17D1">
        <w:t xml:space="preserve"> The lifetime risk of AD dementia for a 60-year</w:t>
      </w:r>
      <w:r w:rsidR="00E2297C">
        <w:t>-</w:t>
      </w:r>
      <w:r w:rsidRPr="00BD17D1">
        <w:t>old person in the normal state has been estimated to be 20.1% among females and 13.9% among males</w:t>
      </w:r>
      <w:r w:rsidR="00F43D07">
        <w:t>.</w:t>
      </w:r>
      <w:r w:rsidRPr="00BD17D1">
        <w:t xml:space="preserve"> However, that risk increases for patients with Aβ deposition and neurodegeneration, to 41.9% among females and 33.6% among males, and, for patients with MCI and Aβ pathology, lifetime risk is ≥90%.32 A Japanese study found that the rate of progression to MCI among amyloid-positive subjects with preclinical AD was 10.4% per year,</w:t>
      </w:r>
      <w:r w:rsidR="0045055B">
        <w:rPr>
          <w:rStyle w:val="EndnoteReference"/>
          <w:rFonts w:eastAsia="Calibri"/>
          <w:szCs w:val="20"/>
        </w:rPr>
        <w:endnoteReference w:id="16"/>
      </w:r>
      <w:r w:rsidRPr="00BD17D1">
        <w:t xml:space="preserve"> and that the annual rate of progression to dementia among amyloid-positive patients with MCI due to AD was 20.7%.</w:t>
      </w:r>
      <w:r w:rsidR="006B0959">
        <w:rPr>
          <w:rStyle w:val="EndnoteReference"/>
          <w:rFonts w:eastAsia="Calibri"/>
          <w:szCs w:val="20"/>
        </w:rPr>
        <w:endnoteReference w:id="17"/>
      </w:r>
      <w:r w:rsidRPr="00BD17D1">
        <w:t xml:space="preserve"> </w:t>
      </w:r>
    </w:p>
    <w:p w14:paraId="17BE6197" w14:textId="15FF7D25" w:rsidR="001579D1" w:rsidRDefault="008C7ED3" w:rsidP="00D55776">
      <w:pPr>
        <w:ind w:left="284"/>
      </w:pPr>
      <w:r w:rsidRPr="00BD17D1">
        <w:t>Globally, dementia (all-cause) is the fifth leading cause of death, with 4.4% of all deaths attributable to dementia in 2016.</w:t>
      </w:r>
      <w:r w:rsidR="003E3E7D">
        <w:rPr>
          <w:rStyle w:val="EndnoteReference"/>
          <w:rFonts w:eastAsia="Calibri"/>
          <w:szCs w:val="20"/>
        </w:rPr>
        <w:endnoteReference w:id="18"/>
      </w:r>
      <w:r w:rsidRPr="00BD17D1">
        <w:t xml:space="preserve"> Deaths due to dementia have steadily increased over time, partly due to population growth and population aging, more than doubling from 1990 to 2016. AD-related deaths have also risen. An analysis of AD mortality in Europe found that deaths from AD among patients aged ≥50 years more than doubled from 1994 (41,255 deaths) to 2013 (86,822).36 The age-standardized mortality rate for deaths cause by AD in Europe was 45.2 per 100,000 in 2013.36 In the US in 2017, AD accounted for 46% of all deaths attributed to dementia (121,404 deaths due to AD of 261,914 deaths due to dementia).</w:t>
      </w:r>
      <w:r w:rsidR="00CA5C90">
        <w:rPr>
          <w:rStyle w:val="EndnoteReference"/>
          <w:rFonts w:eastAsia="Calibri"/>
          <w:szCs w:val="20"/>
        </w:rPr>
        <w:endnoteReference w:id="19"/>
      </w:r>
      <w:r w:rsidRPr="00BD17D1">
        <w:t>Median survival among persons with AD dementia has been estimated to be approximately 7 years from presentation with cognitive decline (non-memory related cognitive decline typically presents in the mild to moderate stage);</w:t>
      </w:r>
      <w:r w:rsidR="002A2456">
        <w:rPr>
          <w:rStyle w:val="EndnoteReference"/>
          <w:rFonts w:eastAsia="Calibri"/>
          <w:szCs w:val="20"/>
        </w:rPr>
        <w:endnoteReference w:id="20"/>
      </w:r>
      <w:r w:rsidRPr="00BD17D1">
        <w:t xml:space="preserve"> this estimate was based on an analysis of data from one geographic area in England).</w:t>
      </w:r>
      <w:r w:rsidR="00664A5F">
        <w:rPr>
          <w:rStyle w:val="EndnoteReference"/>
          <w:rFonts w:eastAsia="Calibri"/>
          <w:szCs w:val="20"/>
        </w:rPr>
        <w:endnoteReference w:id="21"/>
      </w:r>
      <w:r>
        <w:t xml:space="preserve"> </w:t>
      </w:r>
      <w:r w:rsidRPr="000E5104">
        <w:t>AD is the leading cause of cognitive impairment and dementia in older individuals (aged ≥65 years) throughout the world.</w:t>
      </w:r>
      <w:r w:rsidR="001B1ECA">
        <w:t xml:space="preserve"> </w:t>
      </w:r>
      <w:r w:rsidR="001B1ECA">
        <w:rPr>
          <w:rStyle w:val="EndnoteReference"/>
          <w:rFonts w:eastAsia="Calibri"/>
          <w:szCs w:val="20"/>
        </w:rPr>
        <w:endnoteReference w:id="22"/>
      </w:r>
      <w:r w:rsidRPr="000E5104">
        <w:t>AD follows a prolonged, progressive disease course that begins with pathophysiological changes in the brains of affected individuals, including the accumulation of toxic species of amyloid-β (Aβ) and the development of neurofibrillary tangles of hyperphosphorylated tau protein, years before any clinical manifestations are observed.</w:t>
      </w:r>
      <w:r w:rsidR="000D0CD3">
        <w:rPr>
          <w:rStyle w:val="EndnoteReference"/>
          <w:rFonts w:eastAsia="Calibri"/>
          <w:szCs w:val="20"/>
        </w:rPr>
        <w:endnoteReference w:id="23"/>
      </w:r>
    </w:p>
    <w:p w14:paraId="2DB0EE93" w14:textId="7567DACD" w:rsidR="008C7ED3" w:rsidRDefault="00550229" w:rsidP="00D55776">
      <w:pPr>
        <w:ind w:left="284"/>
      </w:pPr>
      <w:r w:rsidRPr="00550229">
        <w:t>It is estimated that there are currently between 397,923 (AIHW 2022) and 487,500</w:t>
      </w:r>
      <w:r w:rsidR="008C7ED3" w:rsidRPr="000E5104">
        <w:t xml:space="preserve"> </w:t>
      </w:r>
      <w:r w:rsidR="008C7ED3" w:rsidRPr="00CE58A1">
        <w:t xml:space="preserve">Australians </w:t>
      </w:r>
      <w:r>
        <w:t xml:space="preserve">living </w:t>
      </w:r>
      <w:r w:rsidR="008C7ED3" w:rsidRPr="00CE58A1">
        <w:t>with dementia</w:t>
      </w:r>
      <w:r w:rsidR="00374903">
        <w:t xml:space="preserve">, and </w:t>
      </w:r>
      <w:r w:rsidRPr="00550229">
        <w:t>on the current trajectory this number could increase to almost 1.1 million by 2058</w:t>
      </w:r>
      <w:r w:rsidR="008C7ED3" w:rsidRPr="00CE58A1">
        <w:t xml:space="preserve"> (</w:t>
      </w:r>
      <w:r w:rsidR="008C7ED3" w:rsidRPr="000D0CD3">
        <w:t>Dementia Australia 2020</w:t>
      </w:r>
      <w:r w:rsidR="008C7ED3" w:rsidRPr="00CE58A1">
        <w:t xml:space="preserve">). </w:t>
      </w:r>
      <w:r w:rsidR="00C64C4E" w:rsidRPr="00C64C4E">
        <w:t xml:space="preserve">Dementia is the second-leading cause of death in Australia, resulting in 14,500 deaths (9.6% of all deaths) in 2020 (AIHW 2022). It is also estimated that almost 1.6 million people in Australia are involved in the care of someone living with dementia (Dementia Australia 2022). </w:t>
      </w:r>
      <w:r w:rsidR="008C7ED3" w:rsidRPr="00CE58A1">
        <w:t>These estimates vary because there is no single authoritative data source for deriving dementia prevalence in Australia, and different approaches are used to generate estimates.</w:t>
      </w:r>
    </w:p>
    <w:p w14:paraId="73D455FE" w14:textId="2C41E07C" w:rsidR="0034129F" w:rsidRDefault="0034129F" w:rsidP="00D55776">
      <w:pPr>
        <w:ind w:left="284"/>
      </w:pPr>
      <w:r w:rsidRPr="0034129F">
        <w:t>Alzheimer’s Disease (AD) may contribute to 60-70% of dementia cases worldwide (WHO 2022). Based on the dementia prevalence estimates (AIHW 2022, Dementia Australia 2022) and on the anticipated contribution of AD to these figures (WHO 2022), there could be between 238,754 and 341,250 Australians currently living with AD.</w:t>
      </w:r>
    </w:p>
    <w:p w14:paraId="77BD5417" w14:textId="0102FB86" w:rsidR="008C7ED3" w:rsidRPr="00D60C1F" w:rsidRDefault="008C7ED3" w:rsidP="00D55776">
      <w:pPr>
        <w:ind w:left="284"/>
      </w:pPr>
      <w:r w:rsidRPr="00D60C1F">
        <w:t>Data from five multicenter studies from multiple countries have demonstrated a high prevalence of AD with clinically diagnosed MCI using the International Working Group-1 (IWG-1), IWG-2 and NIA-AA criteria. Based on the IWG criteria, 53% (IWG-1) and 40% (IWG-2) of subjects with MCI were identified as having AD; three-year progression rates were 50% (IWG-1 criteria) in persons with prodromal</w:t>
      </w:r>
      <w:r w:rsidR="00937F63">
        <w:t xml:space="preserve"> (early signs or symptoms of an illness or health problem that appear before the major signs or symptoms start) </w:t>
      </w:r>
      <w:r w:rsidRPr="00D60C1F">
        <w:t xml:space="preserve"> AD versus 21% without prodromal AD, and 61% (IWG-2) with prodromal AD versus 22% without prodromal AD. Based on NIA-AA criteria, 46% of subjects with MCI were classified as being in the “high likelihood AD” group.</w:t>
      </w:r>
      <w:r w:rsidR="00795F16">
        <w:rPr>
          <w:rStyle w:val="EndnoteReference"/>
          <w:rFonts w:eastAsia="Calibri"/>
          <w:szCs w:val="20"/>
        </w:rPr>
        <w:endnoteReference w:id="24"/>
      </w:r>
      <w:r w:rsidRPr="00D60C1F">
        <w:t xml:space="preserve">; and the three-year progression rate was 59% (compared to subjects with amyloid pathophysiology, suspected non-AD pathophysiology, and a low-likelihood AD group [22%, 24%, and 5%, respectively]). Other research has examined etiologic diagnoses of AD in MCI, finding that 75% of MCI subjects had an </w:t>
      </w:r>
      <w:r w:rsidR="000C490A" w:rsidRPr="00D60C1F">
        <w:t>aetiology</w:t>
      </w:r>
      <w:r w:rsidRPr="00D60C1F">
        <w:t xml:space="preserve"> of AD (using 2011 NIA-AA criteria), while the remainder were classified with </w:t>
      </w:r>
      <w:r w:rsidR="000C490A" w:rsidRPr="00D60C1F">
        <w:t>aetiologies</w:t>
      </w:r>
      <w:r w:rsidRPr="00D60C1F">
        <w:t xml:space="preserve"> such as cerebrovascular dementia and Lewy-body dementia.</w:t>
      </w:r>
      <w:r w:rsidR="00DA7FC6">
        <w:rPr>
          <w:rStyle w:val="EndnoteReference"/>
          <w:rFonts w:eastAsia="Calibri"/>
          <w:szCs w:val="20"/>
        </w:rPr>
        <w:endnoteReference w:id="25"/>
      </w:r>
    </w:p>
    <w:p w14:paraId="354FFCA1" w14:textId="2C2B73C4" w:rsidR="008C7ED3" w:rsidRPr="00CE58A1" w:rsidRDefault="008C7ED3" w:rsidP="00D55776">
      <w:pPr>
        <w:ind w:left="284"/>
      </w:pPr>
      <w:r w:rsidRPr="00D60C1F">
        <w:t>The incidence of MCI has been examined in a comprehensive systematic review of studies in Europe, the Americas, and Australia (important to note: the studies used a variety of diagnostic criteria). A meta-analysis found that incidence rates rose from 22.5 to 60.1 per 1000 person-years with increasing age, but with substantial heterogeneity in incidence estimates due to methodological and population sample characteristics in the included studies. Analyses resulted in MCI incidence of 22.5 (95% CI: 5.1, 51.4) per 1000 person-years for ages 75-79, 40.9 (95% CI: 7.7, 97.5) for ages 80-84, and 60.1 (95% CI: 6.7, 159.0) for ages 85 and older.</w:t>
      </w:r>
      <w:r w:rsidR="007B0AFA">
        <w:rPr>
          <w:rStyle w:val="EndnoteReference"/>
          <w:rFonts w:eastAsia="Calibri"/>
          <w:szCs w:val="20"/>
        </w:rPr>
        <w:endnoteReference w:id="26"/>
      </w:r>
    </w:p>
    <w:p w14:paraId="2501C506" w14:textId="23FCD914" w:rsidR="00126CEE" w:rsidRPr="00126CEE" w:rsidRDefault="00126CEE" w:rsidP="00D55776">
      <w:pPr>
        <w:pStyle w:val="ProposalBody"/>
        <w:spacing w:after="0" w:afterAutospacing="0"/>
        <w:ind w:left="284"/>
        <w:jc w:val="both"/>
        <w:rPr>
          <w:rFonts w:eastAsia="Calibri"/>
          <w:b/>
          <w:sz w:val="20"/>
          <w:szCs w:val="20"/>
          <w:u w:val="single"/>
          <w:lang w:val="en-AU"/>
        </w:rPr>
      </w:pPr>
      <w:r w:rsidRPr="00126CEE">
        <w:rPr>
          <w:rFonts w:eastAsia="Calibri"/>
          <w:b/>
          <w:sz w:val="20"/>
          <w:szCs w:val="20"/>
          <w:u w:val="single"/>
          <w:lang w:val="en-AU"/>
        </w:rPr>
        <w:lastRenderedPageBreak/>
        <w:t>Burden of disease</w:t>
      </w:r>
    </w:p>
    <w:p w14:paraId="16491E6C" w14:textId="0E9627E6" w:rsidR="00126CEE" w:rsidRPr="008C223A" w:rsidRDefault="00126CEE" w:rsidP="00D55776">
      <w:pPr>
        <w:ind w:left="284"/>
      </w:pPr>
      <w:r w:rsidRPr="008C223A">
        <w:t xml:space="preserve">There are currently no disease modifying treatments (DMTs) available for treating AD. Current treatments are for symptomatic relief only, as shown </w:t>
      </w:r>
      <w:bookmarkStart w:id="19" w:name="_Hlk119057269"/>
      <w:r w:rsidRPr="008C223A">
        <w:t xml:space="preserve">in </w:t>
      </w:r>
      <w:r w:rsidRPr="008C223A">
        <w:fldChar w:fldCharType="begin"/>
      </w:r>
      <w:r w:rsidRPr="008C223A">
        <w:instrText xml:space="preserve"> REF _Ref100563661 \h </w:instrText>
      </w:r>
      <w:r>
        <w:instrText xml:space="preserve"> \* MERGEFORMAT </w:instrText>
      </w:r>
      <w:r w:rsidRPr="008C223A">
        <w:fldChar w:fldCharType="separate"/>
      </w:r>
      <w:r w:rsidR="00BE644F" w:rsidRPr="00BE644F">
        <w:t xml:space="preserve">Table </w:t>
      </w:r>
      <w:r w:rsidR="00BE644F" w:rsidRPr="00BE644F">
        <w:rPr>
          <w:noProof/>
        </w:rPr>
        <w:t>3</w:t>
      </w:r>
      <w:r w:rsidRPr="008C223A">
        <w:fldChar w:fldCharType="end"/>
      </w:r>
      <w:bookmarkEnd w:id="19"/>
      <w:r w:rsidRPr="008C223A">
        <w:t>.</w:t>
      </w:r>
    </w:p>
    <w:p w14:paraId="0E20D873" w14:textId="40330931" w:rsidR="00126CEE" w:rsidRDefault="00126CEE" w:rsidP="00D55776">
      <w:pPr>
        <w:pStyle w:val="Caption"/>
        <w:keepNext/>
        <w:ind w:left="284"/>
        <w:rPr>
          <w:rFonts w:eastAsia="Calibri"/>
          <w:sz w:val="20"/>
          <w:szCs w:val="20"/>
        </w:rPr>
      </w:pPr>
      <w:bookmarkStart w:id="20" w:name="_Ref100563661"/>
      <w:r w:rsidRPr="008C223A">
        <w:rPr>
          <w:sz w:val="20"/>
          <w:szCs w:val="20"/>
        </w:rPr>
        <w:t xml:space="preserve">Table </w:t>
      </w:r>
      <w:r w:rsidRPr="008C223A">
        <w:rPr>
          <w:sz w:val="20"/>
          <w:szCs w:val="20"/>
        </w:rPr>
        <w:fldChar w:fldCharType="begin"/>
      </w:r>
      <w:r w:rsidRPr="008C223A">
        <w:rPr>
          <w:sz w:val="20"/>
          <w:szCs w:val="20"/>
        </w:rPr>
        <w:instrText xml:space="preserve"> SEQ Table \* ARABIC </w:instrText>
      </w:r>
      <w:r w:rsidRPr="008C223A">
        <w:rPr>
          <w:sz w:val="20"/>
          <w:szCs w:val="20"/>
        </w:rPr>
        <w:fldChar w:fldCharType="separate"/>
      </w:r>
      <w:r w:rsidR="00BE644F">
        <w:rPr>
          <w:noProof/>
          <w:sz w:val="20"/>
          <w:szCs w:val="20"/>
        </w:rPr>
        <w:t>3</w:t>
      </w:r>
      <w:r w:rsidRPr="008C223A">
        <w:rPr>
          <w:noProof/>
          <w:sz w:val="20"/>
          <w:szCs w:val="20"/>
        </w:rPr>
        <w:fldChar w:fldCharType="end"/>
      </w:r>
      <w:bookmarkEnd w:id="20"/>
      <w:r w:rsidRPr="008C223A">
        <w:rPr>
          <w:sz w:val="20"/>
          <w:szCs w:val="20"/>
        </w:rPr>
        <w:t>: Current AD treatments (symptomatic relief)</w:t>
      </w:r>
    </w:p>
    <w:tbl>
      <w:tblPr>
        <w:tblStyle w:val="TableGrid1"/>
        <w:tblW w:w="0" w:type="auto"/>
        <w:tblInd w:w="279" w:type="dxa"/>
        <w:tblLook w:val="04A0" w:firstRow="1" w:lastRow="0" w:firstColumn="1" w:lastColumn="0" w:noHBand="0" w:noVBand="1"/>
      </w:tblPr>
      <w:tblGrid>
        <w:gridCol w:w="1454"/>
        <w:gridCol w:w="2525"/>
        <w:gridCol w:w="2273"/>
        <w:gridCol w:w="2206"/>
      </w:tblGrid>
      <w:tr w:rsidR="00126CEE" w:rsidRPr="008C223A" w14:paraId="0AB24FDA" w14:textId="77777777" w:rsidTr="0013001A">
        <w:tc>
          <w:tcPr>
            <w:tcW w:w="1454" w:type="dxa"/>
          </w:tcPr>
          <w:p w14:paraId="1D1C64A2" w14:textId="77777777" w:rsidR="00126CEE" w:rsidRPr="0013001A" w:rsidRDefault="00126CEE" w:rsidP="00D55776">
            <w:pPr>
              <w:keepNext/>
              <w:tabs>
                <w:tab w:val="left" w:pos="-109"/>
              </w:tabs>
              <w:spacing w:before="0" w:after="0"/>
              <w:ind w:left="0"/>
              <w:jc w:val="center"/>
              <w:rPr>
                <w:rFonts w:asciiTheme="minorHAnsi" w:eastAsia="Calibri" w:hAnsiTheme="minorHAnsi" w:cstheme="minorHAnsi"/>
                <w:b/>
                <w:szCs w:val="20"/>
              </w:rPr>
            </w:pPr>
          </w:p>
        </w:tc>
        <w:tc>
          <w:tcPr>
            <w:tcW w:w="2525" w:type="dxa"/>
            <w:hideMark/>
          </w:tcPr>
          <w:p w14:paraId="654D5ECF" w14:textId="1E9FE40C" w:rsidR="00126CEE" w:rsidRPr="0013001A" w:rsidRDefault="00126CEE" w:rsidP="00D55776">
            <w:pPr>
              <w:keepNext/>
              <w:tabs>
                <w:tab w:val="left" w:pos="-109"/>
              </w:tabs>
              <w:spacing w:before="0" w:after="0"/>
              <w:ind w:left="0"/>
              <w:jc w:val="center"/>
              <w:rPr>
                <w:rFonts w:asciiTheme="minorHAnsi" w:eastAsia="Calibri" w:hAnsiTheme="minorHAnsi" w:cstheme="minorHAnsi"/>
                <w:b/>
                <w:szCs w:val="20"/>
              </w:rPr>
            </w:pPr>
            <w:r w:rsidRPr="0013001A">
              <w:rPr>
                <w:rFonts w:asciiTheme="minorHAnsi" w:eastAsia="Calibri" w:hAnsiTheme="minorHAnsi" w:cstheme="minorHAnsi"/>
                <w:b/>
                <w:szCs w:val="20"/>
              </w:rPr>
              <w:t>Acetylcholinesterase Inhibitors (</w:t>
            </w:r>
            <w:r w:rsidR="0002700A" w:rsidRPr="0013001A">
              <w:rPr>
                <w:rFonts w:asciiTheme="minorHAnsi" w:eastAsia="Calibri" w:hAnsiTheme="minorHAnsi" w:cstheme="minorHAnsi"/>
                <w:b/>
                <w:szCs w:val="20"/>
              </w:rPr>
              <w:t>AChEI</w:t>
            </w:r>
            <w:r w:rsidRPr="0013001A">
              <w:rPr>
                <w:rFonts w:asciiTheme="minorHAnsi" w:eastAsia="Calibri" w:hAnsiTheme="minorHAnsi" w:cstheme="minorHAnsi"/>
                <w:b/>
                <w:szCs w:val="20"/>
              </w:rPr>
              <w:t>)</w:t>
            </w:r>
          </w:p>
        </w:tc>
        <w:tc>
          <w:tcPr>
            <w:tcW w:w="2273" w:type="dxa"/>
            <w:hideMark/>
          </w:tcPr>
          <w:p w14:paraId="643B21BC" w14:textId="77777777" w:rsidR="00126CEE" w:rsidRPr="0013001A" w:rsidRDefault="00126CEE" w:rsidP="00D55776">
            <w:pPr>
              <w:keepNext/>
              <w:tabs>
                <w:tab w:val="left" w:pos="-109"/>
              </w:tabs>
              <w:spacing w:before="0" w:after="0"/>
              <w:ind w:left="0"/>
              <w:jc w:val="center"/>
              <w:rPr>
                <w:rFonts w:asciiTheme="minorHAnsi" w:eastAsia="Calibri" w:hAnsiTheme="minorHAnsi" w:cstheme="minorHAnsi"/>
                <w:b/>
                <w:szCs w:val="20"/>
              </w:rPr>
            </w:pPr>
            <w:r w:rsidRPr="0013001A">
              <w:rPr>
                <w:rFonts w:asciiTheme="minorHAnsi" w:eastAsia="Calibri" w:hAnsiTheme="minorHAnsi" w:cstheme="minorHAnsi"/>
                <w:b/>
                <w:szCs w:val="20"/>
              </w:rPr>
              <w:t>NMDA Antagonists</w:t>
            </w:r>
          </w:p>
        </w:tc>
        <w:tc>
          <w:tcPr>
            <w:tcW w:w="2206" w:type="dxa"/>
            <w:hideMark/>
          </w:tcPr>
          <w:p w14:paraId="4B8A10C6" w14:textId="77777777" w:rsidR="00126CEE" w:rsidRPr="0013001A" w:rsidRDefault="00126CEE" w:rsidP="00D55776">
            <w:pPr>
              <w:keepNext/>
              <w:tabs>
                <w:tab w:val="left" w:pos="-109"/>
              </w:tabs>
              <w:spacing w:before="0" w:after="0"/>
              <w:ind w:left="0"/>
              <w:jc w:val="center"/>
              <w:rPr>
                <w:rFonts w:asciiTheme="minorHAnsi" w:eastAsia="Calibri" w:hAnsiTheme="minorHAnsi" w:cstheme="minorHAnsi"/>
                <w:b/>
                <w:szCs w:val="20"/>
              </w:rPr>
            </w:pPr>
            <w:r w:rsidRPr="0013001A">
              <w:rPr>
                <w:rFonts w:asciiTheme="minorHAnsi" w:eastAsia="Calibri" w:hAnsiTheme="minorHAnsi" w:cstheme="minorHAnsi"/>
                <w:b/>
                <w:szCs w:val="20"/>
              </w:rPr>
              <w:t>Behavioural Therapies</w:t>
            </w:r>
          </w:p>
        </w:tc>
      </w:tr>
      <w:tr w:rsidR="00126CEE" w:rsidRPr="008C223A" w14:paraId="1156368F" w14:textId="77777777" w:rsidTr="0013001A">
        <w:tc>
          <w:tcPr>
            <w:tcW w:w="1454" w:type="dxa"/>
            <w:hideMark/>
          </w:tcPr>
          <w:p w14:paraId="75AE2274" w14:textId="77777777" w:rsidR="00126CEE" w:rsidRPr="008C223A" w:rsidRDefault="00126CEE" w:rsidP="00D55776">
            <w:pPr>
              <w:pStyle w:val="NoSpacing"/>
              <w:keepNext/>
              <w:tabs>
                <w:tab w:val="left" w:pos="-109"/>
              </w:tabs>
              <w:jc w:val="center"/>
              <w:rPr>
                <w:sz w:val="20"/>
                <w:szCs w:val="20"/>
              </w:rPr>
            </w:pPr>
            <w:r w:rsidRPr="008C223A">
              <w:rPr>
                <w:sz w:val="20"/>
                <w:szCs w:val="20"/>
              </w:rPr>
              <w:t>Therapeutic mechanism</w:t>
            </w:r>
          </w:p>
        </w:tc>
        <w:tc>
          <w:tcPr>
            <w:tcW w:w="2525" w:type="dxa"/>
            <w:hideMark/>
          </w:tcPr>
          <w:p w14:paraId="346CA830" w14:textId="77777777" w:rsidR="00126CEE" w:rsidRPr="008C223A" w:rsidRDefault="00126CEE" w:rsidP="00D55776">
            <w:pPr>
              <w:pStyle w:val="NoSpacing"/>
              <w:keepNext/>
              <w:tabs>
                <w:tab w:val="left" w:pos="-109"/>
              </w:tabs>
              <w:jc w:val="center"/>
              <w:rPr>
                <w:sz w:val="20"/>
                <w:szCs w:val="20"/>
              </w:rPr>
            </w:pPr>
            <w:r w:rsidRPr="008C223A">
              <w:rPr>
                <w:sz w:val="20"/>
                <w:szCs w:val="20"/>
              </w:rPr>
              <w:t>Slows degradation of acetylcholine, thus increasing the effective concentration to provide symptomatic relief</w:t>
            </w:r>
          </w:p>
        </w:tc>
        <w:tc>
          <w:tcPr>
            <w:tcW w:w="2273" w:type="dxa"/>
            <w:hideMark/>
          </w:tcPr>
          <w:p w14:paraId="477D1094" w14:textId="77777777" w:rsidR="00126CEE" w:rsidRPr="008C223A" w:rsidRDefault="00126CEE" w:rsidP="00D55776">
            <w:pPr>
              <w:pStyle w:val="NoSpacing"/>
              <w:keepNext/>
              <w:tabs>
                <w:tab w:val="left" w:pos="-109"/>
              </w:tabs>
              <w:jc w:val="center"/>
              <w:rPr>
                <w:sz w:val="20"/>
                <w:szCs w:val="20"/>
              </w:rPr>
            </w:pPr>
            <w:r w:rsidRPr="008C223A">
              <w:rPr>
                <w:sz w:val="20"/>
                <w:szCs w:val="20"/>
              </w:rPr>
              <w:t>Blocks sustained, low-level activation of NMDA receptor without inhibiting normal function of the receptor</w:t>
            </w:r>
          </w:p>
        </w:tc>
        <w:tc>
          <w:tcPr>
            <w:tcW w:w="2206" w:type="dxa"/>
            <w:hideMark/>
          </w:tcPr>
          <w:p w14:paraId="23F1E11F" w14:textId="77777777" w:rsidR="00126CEE" w:rsidRPr="008C223A" w:rsidRDefault="00126CEE" w:rsidP="00D55776">
            <w:pPr>
              <w:pStyle w:val="NoSpacing"/>
              <w:keepNext/>
              <w:tabs>
                <w:tab w:val="left" w:pos="-109"/>
              </w:tabs>
              <w:jc w:val="center"/>
              <w:rPr>
                <w:sz w:val="20"/>
                <w:szCs w:val="20"/>
              </w:rPr>
            </w:pPr>
            <w:r w:rsidRPr="008C223A">
              <w:rPr>
                <w:sz w:val="20"/>
                <w:szCs w:val="20"/>
              </w:rPr>
              <w:t>Treats neuropsychiatric symptoms and behavioural disturbances (e.g. anxiety, depression, agitation)</w:t>
            </w:r>
          </w:p>
        </w:tc>
      </w:tr>
      <w:tr w:rsidR="00126CEE" w:rsidRPr="008C223A" w14:paraId="44715A00" w14:textId="77777777" w:rsidTr="0013001A">
        <w:tc>
          <w:tcPr>
            <w:tcW w:w="1454" w:type="dxa"/>
            <w:hideMark/>
          </w:tcPr>
          <w:p w14:paraId="3377CCB0" w14:textId="77777777" w:rsidR="00126CEE" w:rsidRPr="008C223A" w:rsidRDefault="00126CEE" w:rsidP="00D55776">
            <w:pPr>
              <w:pStyle w:val="NoSpacing"/>
              <w:keepNext/>
              <w:tabs>
                <w:tab w:val="left" w:pos="-109"/>
              </w:tabs>
              <w:jc w:val="center"/>
              <w:rPr>
                <w:sz w:val="20"/>
                <w:szCs w:val="20"/>
              </w:rPr>
            </w:pPr>
            <w:r w:rsidRPr="008C223A">
              <w:rPr>
                <w:sz w:val="20"/>
                <w:szCs w:val="20"/>
              </w:rPr>
              <w:t>Molecule</w:t>
            </w:r>
          </w:p>
        </w:tc>
        <w:tc>
          <w:tcPr>
            <w:tcW w:w="2525" w:type="dxa"/>
            <w:hideMark/>
          </w:tcPr>
          <w:p w14:paraId="15F45362" w14:textId="77777777" w:rsidR="00126CEE" w:rsidRPr="008C223A" w:rsidRDefault="00126CEE" w:rsidP="00D55776">
            <w:pPr>
              <w:pStyle w:val="NoSpacing"/>
              <w:keepNext/>
              <w:tabs>
                <w:tab w:val="left" w:pos="-109"/>
              </w:tabs>
              <w:jc w:val="center"/>
              <w:rPr>
                <w:sz w:val="20"/>
                <w:szCs w:val="20"/>
              </w:rPr>
            </w:pPr>
            <w:r w:rsidRPr="008C223A">
              <w:rPr>
                <w:sz w:val="20"/>
                <w:szCs w:val="20"/>
              </w:rPr>
              <w:t>Donepezil, rivastigmine, galantamine</w:t>
            </w:r>
          </w:p>
        </w:tc>
        <w:tc>
          <w:tcPr>
            <w:tcW w:w="2273" w:type="dxa"/>
            <w:hideMark/>
          </w:tcPr>
          <w:p w14:paraId="592F891A" w14:textId="77777777" w:rsidR="00126CEE" w:rsidRPr="008C223A" w:rsidRDefault="00126CEE" w:rsidP="00D55776">
            <w:pPr>
              <w:pStyle w:val="NoSpacing"/>
              <w:keepNext/>
              <w:tabs>
                <w:tab w:val="left" w:pos="-109"/>
              </w:tabs>
              <w:jc w:val="center"/>
              <w:rPr>
                <w:sz w:val="20"/>
                <w:szCs w:val="20"/>
              </w:rPr>
            </w:pPr>
            <w:r w:rsidRPr="008C223A">
              <w:rPr>
                <w:sz w:val="20"/>
                <w:szCs w:val="20"/>
              </w:rPr>
              <w:t>memantine</w:t>
            </w:r>
          </w:p>
        </w:tc>
        <w:tc>
          <w:tcPr>
            <w:tcW w:w="2206" w:type="dxa"/>
            <w:hideMark/>
          </w:tcPr>
          <w:p w14:paraId="0FAB949F" w14:textId="77777777" w:rsidR="00126CEE" w:rsidRPr="008C223A" w:rsidRDefault="00126CEE" w:rsidP="00D55776">
            <w:pPr>
              <w:pStyle w:val="NoSpacing"/>
              <w:keepNext/>
              <w:tabs>
                <w:tab w:val="left" w:pos="-109"/>
              </w:tabs>
              <w:jc w:val="center"/>
              <w:rPr>
                <w:sz w:val="20"/>
                <w:szCs w:val="20"/>
              </w:rPr>
            </w:pPr>
            <w:r w:rsidRPr="008C223A">
              <w:rPr>
                <w:sz w:val="20"/>
                <w:szCs w:val="20"/>
              </w:rPr>
              <w:t>Quetiapine, olanzapine, escitalopram, risperidone</w:t>
            </w:r>
          </w:p>
        </w:tc>
      </w:tr>
      <w:tr w:rsidR="00126CEE" w:rsidRPr="008C223A" w14:paraId="44A6E50C" w14:textId="77777777" w:rsidTr="0013001A">
        <w:tc>
          <w:tcPr>
            <w:tcW w:w="1454" w:type="dxa"/>
            <w:hideMark/>
          </w:tcPr>
          <w:p w14:paraId="4B967B5B" w14:textId="77777777" w:rsidR="00126CEE" w:rsidRPr="008C223A" w:rsidRDefault="00126CEE" w:rsidP="00D55776">
            <w:pPr>
              <w:pStyle w:val="NoSpacing"/>
              <w:keepNext/>
              <w:tabs>
                <w:tab w:val="left" w:pos="-109"/>
              </w:tabs>
              <w:jc w:val="center"/>
              <w:rPr>
                <w:sz w:val="20"/>
                <w:szCs w:val="20"/>
              </w:rPr>
            </w:pPr>
            <w:r w:rsidRPr="008C223A">
              <w:rPr>
                <w:sz w:val="20"/>
                <w:szCs w:val="20"/>
              </w:rPr>
              <w:t>AD indication</w:t>
            </w:r>
          </w:p>
        </w:tc>
        <w:tc>
          <w:tcPr>
            <w:tcW w:w="2525" w:type="dxa"/>
            <w:hideMark/>
          </w:tcPr>
          <w:p w14:paraId="6707253A" w14:textId="77777777" w:rsidR="00126CEE" w:rsidRPr="008C223A" w:rsidRDefault="00126CEE" w:rsidP="00D55776">
            <w:pPr>
              <w:pStyle w:val="NoSpacing"/>
              <w:keepNext/>
              <w:tabs>
                <w:tab w:val="left" w:pos="-109"/>
              </w:tabs>
              <w:jc w:val="center"/>
              <w:rPr>
                <w:sz w:val="20"/>
                <w:szCs w:val="20"/>
              </w:rPr>
            </w:pPr>
            <w:r w:rsidRPr="008C223A">
              <w:rPr>
                <w:sz w:val="20"/>
                <w:szCs w:val="20"/>
              </w:rPr>
              <w:t>Mild to moderately severe AD</w:t>
            </w:r>
          </w:p>
        </w:tc>
        <w:tc>
          <w:tcPr>
            <w:tcW w:w="2273" w:type="dxa"/>
            <w:hideMark/>
          </w:tcPr>
          <w:p w14:paraId="182C13BD" w14:textId="77777777" w:rsidR="00126CEE" w:rsidRPr="008C223A" w:rsidRDefault="00126CEE" w:rsidP="00D55776">
            <w:pPr>
              <w:pStyle w:val="NoSpacing"/>
              <w:keepNext/>
              <w:tabs>
                <w:tab w:val="left" w:pos="-109"/>
              </w:tabs>
              <w:jc w:val="center"/>
              <w:rPr>
                <w:sz w:val="20"/>
                <w:szCs w:val="20"/>
              </w:rPr>
            </w:pPr>
            <w:r w:rsidRPr="008C223A">
              <w:rPr>
                <w:sz w:val="20"/>
                <w:szCs w:val="20"/>
              </w:rPr>
              <w:t>Moderately severe AD</w:t>
            </w:r>
          </w:p>
        </w:tc>
        <w:tc>
          <w:tcPr>
            <w:tcW w:w="2206" w:type="dxa"/>
            <w:hideMark/>
          </w:tcPr>
          <w:p w14:paraId="6DFE0230" w14:textId="77777777" w:rsidR="00126CEE" w:rsidRPr="008C223A" w:rsidRDefault="00126CEE" w:rsidP="00D55776">
            <w:pPr>
              <w:pStyle w:val="NoSpacing"/>
              <w:keepNext/>
              <w:tabs>
                <w:tab w:val="left" w:pos="-109"/>
              </w:tabs>
              <w:jc w:val="center"/>
              <w:rPr>
                <w:sz w:val="20"/>
                <w:szCs w:val="20"/>
              </w:rPr>
            </w:pPr>
            <w:r w:rsidRPr="008C223A">
              <w:rPr>
                <w:sz w:val="20"/>
                <w:szCs w:val="20"/>
              </w:rPr>
              <w:t>Not indicated for AD</w:t>
            </w:r>
          </w:p>
        </w:tc>
      </w:tr>
      <w:tr w:rsidR="00126CEE" w:rsidRPr="008C223A" w14:paraId="71E2636F" w14:textId="77777777" w:rsidTr="0013001A">
        <w:tc>
          <w:tcPr>
            <w:tcW w:w="1454" w:type="dxa"/>
            <w:hideMark/>
          </w:tcPr>
          <w:p w14:paraId="51ADCFB4" w14:textId="77777777" w:rsidR="00126CEE" w:rsidRPr="008C223A" w:rsidRDefault="00126CEE" w:rsidP="00D55776">
            <w:pPr>
              <w:pStyle w:val="NoSpacing"/>
              <w:keepNext/>
              <w:tabs>
                <w:tab w:val="left" w:pos="-109"/>
              </w:tabs>
              <w:jc w:val="center"/>
              <w:rPr>
                <w:sz w:val="20"/>
                <w:szCs w:val="20"/>
              </w:rPr>
            </w:pPr>
            <w:r w:rsidRPr="008C223A">
              <w:rPr>
                <w:sz w:val="20"/>
                <w:szCs w:val="20"/>
              </w:rPr>
              <w:t>PBS listed for AD</w:t>
            </w:r>
          </w:p>
        </w:tc>
        <w:tc>
          <w:tcPr>
            <w:tcW w:w="2525" w:type="dxa"/>
            <w:hideMark/>
          </w:tcPr>
          <w:p w14:paraId="14061E23" w14:textId="77777777" w:rsidR="00126CEE" w:rsidRPr="008C223A" w:rsidRDefault="00126CEE" w:rsidP="00D55776">
            <w:pPr>
              <w:pStyle w:val="NoSpacing"/>
              <w:keepNext/>
              <w:tabs>
                <w:tab w:val="left" w:pos="-109"/>
              </w:tabs>
              <w:jc w:val="center"/>
              <w:rPr>
                <w:sz w:val="20"/>
                <w:szCs w:val="20"/>
              </w:rPr>
            </w:pPr>
            <w:r w:rsidRPr="008C223A">
              <w:rPr>
                <w:sz w:val="20"/>
                <w:szCs w:val="20"/>
              </w:rPr>
              <w:t>Yes</w:t>
            </w:r>
          </w:p>
        </w:tc>
        <w:tc>
          <w:tcPr>
            <w:tcW w:w="2273" w:type="dxa"/>
            <w:hideMark/>
          </w:tcPr>
          <w:p w14:paraId="49BECDDA" w14:textId="77777777" w:rsidR="00126CEE" w:rsidRPr="008C223A" w:rsidRDefault="00126CEE" w:rsidP="00D55776">
            <w:pPr>
              <w:pStyle w:val="NoSpacing"/>
              <w:keepNext/>
              <w:tabs>
                <w:tab w:val="left" w:pos="-109"/>
              </w:tabs>
              <w:jc w:val="center"/>
              <w:rPr>
                <w:sz w:val="20"/>
                <w:szCs w:val="20"/>
              </w:rPr>
            </w:pPr>
            <w:r w:rsidRPr="008C223A">
              <w:rPr>
                <w:sz w:val="20"/>
                <w:szCs w:val="20"/>
              </w:rPr>
              <w:t>Yes</w:t>
            </w:r>
          </w:p>
        </w:tc>
        <w:tc>
          <w:tcPr>
            <w:tcW w:w="2206" w:type="dxa"/>
            <w:hideMark/>
          </w:tcPr>
          <w:p w14:paraId="37EBF352" w14:textId="77777777" w:rsidR="00126CEE" w:rsidRPr="008C223A" w:rsidRDefault="00126CEE" w:rsidP="00D55776">
            <w:pPr>
              <w:pStyle w:val="NoSpacing"/>
              <w:keepNext/>
              <w:tabs>
                <w:tab w:val="left" w:pos="-109"/>
              </w:tabs>
              <w:jc w:val="center"/>
              <w:rPr>
                <w:sz w:val="20"/>
                <w:szCs w:val="20"/>
              </w:rPr>
            </w:pPr>
            <w:r w:rsidRPr="008C223A">
              <w:rPr>
                <w:sz w:val="20"/>
                <w:szCs w:val="20"/>
              </w:rPr>
              <w:t>No</w:t>
            </w:r>
          </w:p>
        </w:tc>
      </w:tr>
    </w:tbl>
    <w:p w14:paraId="150D8094" w14:textId="77777777" w:rsidR="00126CEE" w:rsidRPr="008C223A" w:rsidRDefault="00126CEE" w:rsidP="00D55776">
      <w:pPr>
        <w:keepNext/>
        <w:ind w:left="284"/>
        <w:rPr>
          <w:szCs w:val="20"/>
        </w:rPr>
      </w:pPr>
    </w:p>
    <w:p w14:paraId="2BA402DF" w14:textId="77777777" w:rsidR="00AA5FDA" w:rsidRPr="00154B00" w:rsidRDefault="00E95FE2" w:rsidP="00D55776">
      <w:pPr>
        <w:pStyle w:val="Heading2"/>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managed and referred within the Australian health care system</w:t>
      </w:r>
      <w:r>
        <w:t>,</w:t>
      </w:r>
      <w:r w:rsidRPr="00154B00">
        <w:t xml:space="preserve"> in the lead up to being eligible for the service</w:t>
      </w:r>
      <w:r>
        <w:t>):</w:t>
      </w:r>
    </w:p>
    <w:p w14:paraId="3AB7E291" w14:textId="178D1C30" w:rsidR="005F7EC2" w:rsidRDefault="00E134B1" w:rsidP="00D55776">
      <w:pPr>
        <w:ind w:left="426"/>
      </w:pPr>
      <w:r w:rsidRPr="00E2297C">
        <w:t xml:space="preserve">The application proposes two services for inclusion on the Medicare Benefits Schedule (MBS), either of which could be used to determine whether a patient with a clinical diagnosis of </w:t>
      </w:r>
      <w:r w:rsidR="00E2297C" w:rsidRPr="00E2297C">
        <w:t>early-stage</w:t>
      </w:r>
      <w:r w:rsidRPr="00E2297C">
        <w:t xml:space="preserve"> Alzheimer disease (AD) would be eligible for the co-dependent drug, </w:t>
      </w:r>
      <w:proofErr w:type="spellStart"/>
      <w:r w:rsidRPr="00E2297C">
        <w:t>lecanemab</w:t>
      </w:r>
      <w:proofErr w:type="spellEnd"/>
      <w:r w:rsidRPr="00E2297C">
        <w:t xml:space="preserve"> on the PBS, by confirming the presence of amyloid deposition in the brain, and as such, Alzheimer disease pathology as the underlying cause of the condition</w:t>
      </w:r>
      <w:r w:rsidRPr="00E134B1">
        <w:t>.</w:t>
      </w:r>
    </w:p>
    <w:p w14:paraId="221BB53D" w14:textId="3313C253" w:rsidR="004B6930" w:rsidRPr="0028790A" w:rsidRDefault="00BB6FD5" w:rsidP="00D55776">
      <w:pPr>
        <w:pStyle w:val="ProposalBody"/>
        <w:spacing w:after="0" w:afterAutospacing="0"/>
        <w:ind w:left="426"/>
        <w:jc w:val="both"/>
        <w:rPr>
          <w:rFonts w:eastAsia="Calibri"/>
          <w:b/>
          <w:sz w:val="20"/>
          <w:szCs w:val="20"/>
          <w:u w:val="single"/>
          <w:lang w:val="en-AU"/>
        </w:rPr>
      </w:pPr>
      <w:r>
        <w:rPr>
          <w:rFonts w:eastAsia="Calibri"/>
          <w:b/>
          <w:sz w:val="20"/>
          <w:szCs w:val="20"/>
          <w:u w:val="single"/>
          <w:lang w:val="en-AU"/>
        </w:rPr>
        <w:t>How the patient is managed and referred</w:t>
      </w:r>
    </w:p>
    <w:p w14:paraId="7B674799" w14:textId="78E322B2" w:rsidR="00942FA0" w:rsidRDefault="00942FA0" w:rsidP="00D55776">
      <w:pPr>
        <w:spacing w:before="0"/>
        <w:ind w:left="426"/>
        <w:rPr>
          <w:rFonts w:cstheme="minorHAnsi"/>
          <w:szCs w:val="20"/>
        </w:rPr>
      </w:pPr>
      <w:r w:rsidRPr="005F0580">
        <w:rPr>
          <w:rFonts w:cstheme="minorHAnsi"/>
          <w:szCs w:val="20"/>
        </w:rPr>
        <w:t>In Australia, diagnosis of AD is predominantly based on clinical findings and a brain scan with computerised tomography (CT) or magnetic resonance imaging (MRI). This clinical diagnosis approach, without PET or CSF evidence of brain amyloid, is only 70% accurate in the mild dementia phase compared to the “gold standard” neuropathology examination</w:t>
      </w:r>
      <w:r w:rsidR="001B2EF3">
        <w:rPr>
          <w:rStyle w:val="EndnoteReference"/>
          <w:rFonts w:cstheme="minorHAnsi"/>
          <w:szCs w:val="20"/>
        </w:rPr>
        <w:endnoteReference w:id="27"/>
      </w:r>
      <w:r w:rsidRPr="005F0580">
        <w:rPr>
          <w:rFonts w:cstheme="minorHAnsi"/>
          <w:szCs w:val="20"/>
        </w:rPr>
        <w:t xml:space="preserve"> </w:t>
      </w:r>
      <w:r w:rsidR="00D54C61">
        <w:rPr>
          <w:rFonts w:cstheme="minorHAnsi"/>
          <w:szCs w:val="20"/>
        </w:rPr>
        <w:t>.</w:t>
      </w:r>
      <w:r w:rsidRPr="005F0580">
        <w:rPr>
          <w:rFonts w:cstheme="minorHAnsi"/>
          <w:szCs w:val="20"/>
        </w:rPr>
        <w:t>It is not reliable in the MCI phase as only 50-60% of individuals with MCI develop AD on follow-up or have AD findings on neuropathology. Consequently, clinical diagnosis is</w:t>
      </w:r>
      <w:r w:rsidR="00107E6A">
        <w:rPr>
          <w:rFonts w:cstheme="minorHAnsi"/>
          <w:szCs w:val="20"/>
        </w:rPr>
        <w:t xml:space="preserve"> </w:t>
      </w:r>
      <w:r w:rsidR="005303BD">
        <w:rPr>
          <w:rFonts w:cstheme="minorHAnsi"/>
          <w:szCs w:val="20"/>
        </w:rPr>
        <w:t>usually made</w:t>
      </w:r>
      <w:r w:rsidRPr="005F0580">
        <w:rPr>
          <w:rFonts w:cstheme="minorHAnsi"/>
          <w:szCs w:val="20"/>
        </w:rPr>
        <w:t xml:space="preserve"> when an individual has progressed to dementia. Therefore, clinical diagnosis alone is not sufficiently accurate to identify persons with brain amyloid, especially in the MCI phase of </w:t>
      </w:r>
      <w:r w:rsidR="00E2297C">
        <w:rPr>
          <w:rFonts w:cstheme="minorHAnsi"/>
          <w:szCs w:val="20"/>
        </w:rPr>
        <w:t>early-stage</w:t>
      </w:r>
      <w:r w:rsidRPr="005F0580">
        <w:rPr>
          <w:rFonts w:cstheme="minorHAnsi"/>
          <w:szCs w:val="20"/>
        </w:rPr>
        <w:t xml:space="preserve"> AD when a disease modifying therapy is most beneficial. </w:t>
      </w:r>
      <w:r w:rsidR="00BF33E2">
        <w:rPr>
          <w:rFonts w:cstheme="minorHAnsi"/>
          <w:szCs w:val="20"/>
        </w:rPr>
        <w:t>There are, however, reports from memory clinics across Australia that patients are increasingly being diagnosed at the prodromal stage, although the vast majority of the diagnosis are in the dementia stage.</w:t>
      </w:r>
    </w:p>
    <w:p w14:paraId="50918527" w14:textId="76AD90C9" w:rsidR="004B6930" w:rsidRPr="00CE58A1" w:rsidRDefault="004B6930" w:rsidP="00D55776">
      <w:pPr>
        <w:pStyle w:val="ProposalBody"/>
        <w:ind w:left="426"/>
        <w:rPr>
          <w:rFonts w:eastAsia="Calibri"/>
          <w:szCs w:val="20"/>
        </w:rPr>
      </w:pPr>
      <w:r w:rsidRPr="00CE58A1">
        <w:rPr>
          <w:rFonts w:eastAsia="Calibri"/>
          <w:sz w:val="20"/>
          <w:szCs w:val="20"/>
          <w:lang w:val="en-AU"/>
        </w:rPr>
        <w:t>There is currently no single test to identify AD. The diagnosis is made only after careful clinical consultation.</w:t>
      </w:r>
      <w:r w:rsidR="003677BA">
        <w:rPr>
          <w:rFonts w:eastAsia="Calibri"/>
          <w:sz w:val="20"/>
          <w:szCs w:val="20"/>
          <w:lang w:val="en-AU"/>
        </w:rPr>
        <w:t xml:space="preserve"> </w:t>
      </w:r>
      <w:r w:rsidRPr="00CE58A1">
        <w:rPr>
          <w:rFonts w:eastAsia="Calibri"/>
          <w:sz w:val="20"/>
          <w:szCs w:val="20"/>
          <w:lang w:val="en-AU"/>
        </w:rPr>
        <w:t xml:space="preserve">According to the RACGP’s </w:t>
      </w:r>
      <w:r w:rsidRPr="00CE58A1">
        <w:rPr>
          <w:rFonts w:eastAsia="Calibri"/>
          <w:i/>
          <w:iCs/>
          <w:sz w:val="20"/>
          <w:szCs w:val="20"/>
          <w:lang w:val="en-AU"/>
        </w:rPr>
        <w:t>Clinical practice guidelines and principles of care for people with dementia in Australia</w:t>
      </w:r>
      <w:r w:rsidRPr="00CE58A1">
        <w:rPr>
          <w:rFonts w:eastAsia="Calibri"/>
          <w:sz w:val="20"/>
          <w:szCs w:val="20"/>
          <w:lang w:val="en-AU"/>
        </w:rPr>
        <w:t>, GPs are recommended to undertake an initial assessment for a person suspected of having dementia</w:t>
      </w:r>
      <w:r w:rsidRPr="00BB6FD5">
        <w:rPr>
          <w:rFonts w:eastAsia="Calibri"/>
          <w:sz w:val="20"/>
          <w:szCs w:val="20"/>
          <w:lang w:val="en-AU"/>
        </w:rPr>
        <w:t xml:space="preserve">. </w:t>
      </w:r>
      <w:r w:rsidRPr="00BB6FD5">
        <w:rPr>
          <w:rFonts w:eastAsia="Calibri"/>
          <w:sz w:val="20"/>
          <w:szCs w:val="20"/>
        </w:rPr>
        <w:t>This includes:</w:t>
      </w:r>
    </w:p>
    <w:p w14:paraId="79AE0780" w14:textId="77777777" w:rsidR="004B6930" w:rsidRPr="00BB6FD5" w:rsidRDefault="004B6930" w:rsidP="00D55776">
      <w:pPr>
        <w:pStyle w:val="ListParagraph"/>
        <w:numPr>
          <w:ilvl w:val="0"/>
          <w:numId w:val="24"/>
        </w:numPr>
        <w:spacing w:before="0" w:after="0"/>
        <w:ind w:left="851"/>
        <w:rPr>
          <w:rFonts w:eastAsia="Calibri"/>
          <w:szCs w:val="20"/>
        </w:rPr>
      </w:pPr>
      <w:r w:rsidRPr="00BB6FD5">
        <w:rPr>
          <w:rFonts w:eastAsia="Calibri"/>
          <w:szCs w:val="20"/>
        </w:rPr>
        <w:t>history taking from the person and if possible, from a person who knows the person well (such as family members or carers)</w:t>
      </w:r>
    </w:p>
    <w:p w14:paraId="2462ADA4" w14:textId="77777777" w:rsidR="004B6930" w:rsidRPr="00BB6FD5" w:rsidRDefault="004B6930" w:rsidP="00D55776">
      <w:pPr>
        <w:pStyle w:val="ListParagraph"/>
        <w:numPr>
          <w:ilvl w:val="0"/>
          <w:numId w:val="24"/>
        </w:numPr>
        <w:spacing w:before="0" w:after="0"/>
        <w:ind w:left="851"/>
        <w:rPr>
          <w:rFonts w:eastAsia="Calibri"/>
          <w:szCs w:val="20"/>
        </w:rPr>
      </w:pPr>
      <w:r w:rsidRPr="00BB6FD5">
        <w:rPr>
          <w:rFonts w:eastAsia="Calibri"/>
          <w:szCs w:val="20"/>
        </w:rPr>
        <w:t xml:space="preserve">cognitive and mental examination with a validated instrument (such as the Mini-Mental State Examination (MMSE), GP assessment of cognition (GPCOG), Rowland Universal Dementia Assessment Scale (RUDAS) for people from culturally and linguistically diverse backgrounds or the </w:t>
      </w:r>
      <w:r w:rsidRPr="00BB6FD5">
        <w:rPr>
          <w:rFonts w:eastAsia="Calibri"/>
          <w:szCs w:val="20"/>
        </w:rPr>
        <w:lastRenderedPageBreak/>
        <w:t>Kimberley Indigenous Cognitive Assessment (KICA-Cog) for Aboriginal or Torres Strait Islander people living in rural or remote areas)</w:t>
      </w:r>
    </w:p>
    <w:p w14:paraId="78AC3508" w14:textId="77777777" w:rsidR="004B6930" w:rsidRPr="00BB6FD5" w:rsidRDefault="004B6930" w:rsidP="00D55776">
      <w:pPr>
        <w:pStyle w:val="ListParagraph"/>
        <w:numPr>
          <w:ilvl w:val="0"/>
          <w:numId w:val="24"/>
        </w:numPr>
        <w:spacing w:before="0" w:after="0"/>
        <w:ind w:left="851"/>
        <w:rPr>
          <w:rFonts w:eastAsia="Calibri"/>
          <w:szCs w:val="20"/>
        </w:rPr>
      </w:pPr>
      <w:r w:rsidRPr="00BB6FD5">
        <w:rPr>
          <w:rFonts w:eastAsia="Calibri"/>
          <w:szCs w:val="20"/>
        </w:rPr>
        <w:t>physical examination and blood tests</w:t>
      </w:r>
    </w:p>
    <w:p w14:paraId="017B668D" w14:textId="77777777" w:rsidR="004B6930" w:rsidRPr="00BB6FD5" w:rsidRDefault="004B6930" w:rsidP="00D55776">
      <w:pPr>
        <w:pStyle w:val="ListParagraph"/>
        <w:numPr>
          <w:ilvl w:val="0"/>
          <w:numId w:val="24"/>
        </w:numPr>
        <w:spacing w:before="0" w:after="0"/>
        <w:ind w:left="851"/>
        <w:rPr>
          <w:rFonts w:eastAsia="Calibri"/>
          <w:szCs w:val="20"/>
        </w:rPr>
      </w:pPr>
      <w:r w:rsidRPr="00BB6FD5">
        <w:rPr>
          <w:rFonts w:eastAsia="Calibri"/>
          <w:szCs w:val="20"/>
        </w:rPr>
        <w:t>brain imaging; CT or MRI (where necessary)</w:t>
      </w:r>
    </w:p>
    <w:p w14:paraId="7619DF66" w14:textId="77777777" w:rsidR="004B6930" w:rsidRPr="00BB6FD5" w:rsidRDefault="004B6930" w:rsidP="00D55776">
      <w:pPr>
        <w:pStyle w:val="ListParagraph"/>
        <w:numPr>
          <w:ilvl w:val="0"/>
          <w:numId w:val="24"/>
        </w:numPr>
        <w:spacing w:before="0" w:after="0"/>
        <w:ind w:left="851"/>
        <w:rPr>
          <w:rFonts w:eastAsia="Calibri"/>
          <w:szCs w:val="20"/>
        </w:rPr>
      </w:pPr>
      <w:r w:rsidRPr="00BB6FD5">
        <w:rPr>
          <w:rFonts w:eastAsia="Calibri"/>
          <w:szCs w:val="20"/>
        </w:rPr>
        <w:t>review of current medication use</w:t>
      </w:r>
    </w:p>
    <w:p w14:paraId="599C4464" w14:textId="77777777" w:rsidR="004B6930" w:rsidRPr="00BB6FD5" w:rsidRDefault="004B6930" w:rsidP="00D55776">
      <w:pPr>
        <w:pStyle w:val="ListParagraph"/>
        <w:numPr>
          <w:ilvl w:val="0"/>
          <w:numId w:val="24"/>
        </w:numPr>
        <w:spacing w:before="0" w:after="0"/>
        <w:ind w:left="851"/>
        <w:rPr>
          <w:rFonts w:eastAsia="Calibri"/>
          <w:szCs w:val="20"/>
        </w:rPr>
      </w:pPr>
      <w:r w:rsidRPr="00BB6FD5">
        <w:rPr>
          <w:rFonts w:eastAsia="Calibri"/>
          <w:szCs w:val="20"/>
        </w:rPr>
        <w:t>consideration of other causes, such as depression, delirium, thyroid disease or vitamin deficiency (Guideline Adaptation Committee 2016).</w:t>
      </w:r>
    </w:p>
    <w:p w14:paraId="2B0F1B83" w14:textId="56385F8B" w:rsidR="007267C1" w:rsidRPr="007267C1" w:rsidRDefault="004B6930" w:rsidP="00D55776">
      <w:r w:rsidRPr="00CE58A1">
        <w:t xml:space="preserve">If dementia is a suspected diagnosis, the clinical guidelines state that best </w:t>
      </w:r>
      <w:r w:rsidR="0000528A" w:rsidRPr="00CE58A1">
        <w:t>pr</w:t>
      </w:r>
      <w:r w:rsidR="0000528A">
        <w:t>a</w:t>
      </w:r>
      <w:r w:rsidR="0000528A" w:rsidRPr="00CE58A1">
        <w:t>ctice</w:t>
      </w:r>
      <w:r w:rsidRPr="00CE58A1">
        <w:t xml:space="preserve"> is for GPs to make a referral to memory assessment specialists (such as geriatricians or psycho-geriatricians) or services (such as memory clinics) for a comprehensive assessment</w:t>
      </w:r>
      <w:r w:rsidR="00693101">
        <w:t xml:space="preserve">. The </w:t>
      </w:r>
      <w:r w:rsidR="00330FA3">
        <w:t>Australian</w:t>
      </w:r>
      <w:r w:rsidR="00693101">
        <w:t xml:space="preserve"> Dementia Network (</w:t>
      </w:r>
      <w:r w:rsidR="007267C1" w:rsidRPr="007267C1">
        <w:t>ADN</w:t>
      </w:r>
      <w:r w:rsidR="001468E4">
        <w:t>e</w:t>
      </w:r>
      <w:r w:rsidR="007267C1" w:rsidRPr="007267C1">
        <w:t>T</w:t>
      </w:r>
      <w:r w:rsidR="00693101">
        <w:t>)</w:t>
      </w:r>
      <w:r w:rsidR="007267C1" w:rsidRPr="007267C1">
        <w:t xml:space="preserve"> has a list of </w:t>
      </w:r>
      <w:r w:rsidR="00B4456D" w:rsidRPr="00B4456D">
        <w:rPr>
          <w:b/>
          <w:bCs/>
        </w:rPr>
        <w:t>REDACTED</w:t>
      </w:r>
      <w:r w:rsidR="007267C1" w:rsidRPr="007267C1">
        <w:t xml:space="preserve"> memory clinics in </w:t>
      </w:r>
      <w:r w:rsidR="00A25DA8">
        <w:t>Austr</w:t>
      </w:r>
      <w:r w:rsidR="00E173A9">
        <w:t>alia</w:t>
      </w:r>
      <w:r w:rsidR="007267C1" w:rsidRPr="007267C1">
        <w:t xml:space="preserve"> (</w:t>
      </w:r>
      <w:hyperlink r:id="rId23" w:history="1">
        <w:r w:rsidR="007267C1" w:rsidRPr="007267C1">
          <w:rPr>
            <w:rStyle w:val="Hyperlink"/>
            <w:rFonts w:eastAsia="Calibri"/>
            <w:szCs w:val="20"/>
            <w:lang w:eastAsia="en-AU"/>
          </w:rPr>
          <w:t>Find a Memory Clinic or Cognitive Decline Assessment Service - Australian Dementia Network</w:t>
        </w:r>
      </w:hyperlink>
      <w:r w:rsidR="007267C1" w:rsidRPr="007267C1">
        <w:t xml:space="preserve"> )</w:t>
      </w:r>
      <w:r w:rsidR="007D0457">
        <w:t xml:space="preserve">. </w:t>
      </w:r>
      <w:r w:rsidR="0000528A">
        <w:t>Most of the clinics</w:t>
      </w:r>
      <w:r w:rsidR="002F409A">
        <w:t xml:space="preserve"> use the</w:t>
      </w:r>
      <w:r w:rsidR="007267C1" w:rsidRPr="007267C1">
        <w:t xml:space="preserve"> new memory clinic guidelines </w:t>
      </w:r>
      <w:hyperlink r:id="rId24" w:history="1">
        <w:proofErr w:type="spellStart"/>
        <w:r w:rsidR="007267C1" w:rsidRPr="007267C1">
          <w:rPr>
            <w:rStyle w:val="Hyperlink"/>
            <w:rFonts w:eastAsia="Calibri"/>
            <w:szCs w:val="20"/>
            <w:lang w:eastAsia="en-AU"/>
          </w:rPr>
          <w:t>ADNeT</w:t>
        </w:r>
        <w:proofErr w:type="spellEnd"/>
        <w:r w:rsidR="007267C1" w:rsidRPr="007267C1">
          <w:rPr>
            <w:rStyle w:val="Hyperlink"/>
            <w:rFonts w:eastAsia="Calibri"/>
            <w:szCs w:val="20"/>
            <w:lang w:eastAsia="en-AU"/>
          </w:rPr>
          <w:t xml:space="preserve"> Memory and Cognition Clinic Guidelines - Australian Dementia Network</w:t>
        </w:r>
      </w:hyperlink>
      <w:r w:rsidR="007267C1" w:rsidRPr="007267C1">
        <w:t xml:space="preserve"> </w:t>
      </w:r>
      <w:r w:rsidR="00DE7875">
        <w:t xml:space="preserve"> and </w:t>
      </w:r>
      <w:r w:rsidR="0000528A">
        <w:t xml:space="preserve">are </w:t>
      </w:r>
      <w:r w:rsidR="007267C1" w:rsidRPr="007267C1">
        <w:t xml:space="preserve">now part of a clinical quality registry (As of December 2021, the </w:t>
      </w:r>
      <w:proofErr w:type="spellStart"/>
      <w:r w:rsidR="007267C1" w:rsidRPr="007267C1">
        <w:t>ADNeT</w:t>
      </w:r>
      <w:proofErr w:type="spellEnd"/>
      <w:r w:rsidR="007267C1" w:rsidRPr="007267C1">
        <w:t xml:space="preserve"> Registry had </w:t>
      </w:r>
      <w:r w:rsidR="00B4456D" w:rsidRPr="00B4456D">
        <w:rPr>
          <w:b/>
          <w:bCs/>
        </w:rPr>
        <w:t>REDACTED</w:t>
      </w:r>
      <w:r w:rsidR="007267C1" w:rsidRPr="007267C1">
        <w:t xml:space="preserve"> participating sites)</w:t>
      </w:r>
      <w:r w:rsidR="00DE7875">
        <w:t>.</w:t>
      </w:r>
    </w:p>
    <w:p w14:paraId="5AF88AC4" w14:textId="56366BAD" w:rsidR="004B6930" w:rsidRDefault="004B6930" w:rsidP="00D55776">
      <w:pPr>
        <w:pStyle w:val="ProposalBody"/>
        <w:ind w:left="360"/>
        <w:rPr>
          <w:rFonts w:eastAsia="Calibri"/>
          <w:sz w:val="20"/>
          <w:szCs w:val="20"/>
          <w:lang w:val="en-AU"/>
        </w:rPr>
      </w:pPr>
      <w:r w:rsidRPr="00CE58A1">
        <w:rPr>
          <w:rFonts w:eastAsia="Calibri"/>
          <w:sz w:val="20"/>
          <w:szCs w:val="20"/>
          <w:lang w:val="en-AU"/>
        </w:rPr>
        <w:t>The aim of the comprehensive assessment is to gather information about changes in behaviour, functional capacity, psychosocial issues and relevant medical conditions to allow for a diagnosis to be made.</w:t>
      </w:r>
    </w:p>
    <w:p w14:paraId="05D6D536" w14:textId="77777777" w:rsidR="004871F0" w:rsidRDefault="004A5708" w:rsidP="00D55776">
      <w:pPr>
        <w:pStyle w:val="ProposalBody"/>
        <w:keepNext/>
        <w:ind w:left="426"/>
        <w:jc w:val="center"/>
      </w:pPr>
      <w:r>
        <w:rPr>
          <w:noProof/>
        </w:rPr>
        <w:drawing>
          <wp:inline distT="0" distB="0" distL="0" distR="0" wp14:anchorId="00257121" wp14:editId="7D092649">
            <wp:extent cx="1834587" cy="1626250"/>
            <wp:effectExtent l="0" t="0" r="0" b="0"/>
            <wp:docPr id="2" name="Picture 2"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0577" cy="1631560"/>
                    </a:xfrm>
                    <a:prstGeom prst="rect">
                      <a:avLst/>
                    </a:prstGeom>
                    <a:noFill/>
                    <a:ln>
                      <a:noFill/>
                    </a:ln>
                  </pic:spPr>
                </pic:pic>
              </a:graphicData>
            </a:graphic>
          </wp:inline>
        </w:drawing>
      </w:r>
    </w:p>
    <w:p w14:paraId="4314AC08" w14:textId="597B9D05" w:rsidR="004A5708" w:rsidRDefault="004871F0" w:rsidP="00D55776">
      <w:pPr>
        <w:pStyle w:val="Caption"/>
        <w:jc w:val="center"/>
        <w:rPr>
          <w:rFonts w:eastAsia="Calibri"/>
          <w:sz w:val="20"/>
          <w:szCs w:val="20"/>
        </w:rPr>
      </w:pPr>
      <w:bookmarkStart w:id="21" w:name="_Ref119495013"/>
      <w:r>
        <w:t xml:space="preserve">Figure </w:t>
      </w:r>
      <w:fldSimple w:instr=" SEQ Figure \* ARABIC ">
        <w:r w:rsidR="00BE644F">
          <w:rPr>
            <w:noProof/>
          </w:rPr>
          <w:t>2</w:t>
        </w:r>
      </w:fldSimple>
      <w:bookmarkEnd w:id="21"/>
      <w:r>
        <w:t>: amyloid aggregation pathway</w:t>
      </w:r>
      <w:r w:rsidR="000B3A5C">
        <w:rPr>
          <w:rStyle w:val="EndnoteReference"/>
        </w:rPr>
        <w:endnoteReference w:id="28"/>
      </w:r>
    </w:p>
    <w:p w14:paraId="06D3CDDD" w14:textId="77777777" w:rsidR="00C10320" w:rsidRPr="00A57DC3" w:rsidRDefault="00C10320" w:rsidP="00D55776">
      <w:pPr>
        <w:ind w:left="426"/>
        <w:rPr>
          <w:b/>
          <w:u w:val="single"/>
        </w:rPr>
      </w:pPr>
      <w:r w:rsidRPr="00A57DC3">
        <w:rPr>
          <w:b/>
          <w:u w:val="single"/>
        </w:rPr>
        <w:t>Who to test:</w:t>
      </w:r>
    </w:p>
    <w:p w14:paraId="068D40E0" w14:textId="75225900" w:rsidR="00C10320" w:rsidRDefault="00C10320" w:rsidP="00D55776">
      <w:pPr>
        <w:pStyle w:val="ProposalBody"/>
        <w:spacing w:before="0" w:beforeAutospacing="0"/>
        <w:ind w:left="426"/>
        <w:rPr>
          <w:rFonts w:eastAsia="Calibri"/>
          <w:sz w:val="20"/>
          <w:szCs w:val="20"/>
          <w:lang w:val="en-AU"/>
        </w:rPr>
      </w:pPr>
      <w:bookmarkStart w:id="22" w:name="_Hlk116374298"/>
      <w:r w:rsidRPr="00FC3FCD">
        <w:rPr>
          <w:rFonts w:eastAsia="Calibri"/>
          <w:sz w:val="20"/>
          <w:szCs w:val="20"/>
          <w:lang w:val="en-AU"/>
        </w:rPr>
        <w:t xml:space="preserve">Lecanemab, a humanized IgG1 monoclonal antibody that binds to soluble Aβ </w:t>
      </w:r>
      <w:r w:rsidR="003F32FE">
        <w:rPr>
          <w:rFonts w:eastAsia="Calibri"/>
          <w:sz w:val="20"/>
          <w:szCs w:val="20"/>
          <w:lang w:val="en-AU"/>
        </w:rPr>
        <w:t xml:space="preserve">protofibril </w:t>
      </w:r>
      <w:r w:rsidRPr="00FC3FCD">
        <w:rPr>
          <w:rFonts w:eastAsia="Calibri"/>
          <w:sz w:val="20"/>
          <w:szCs w:val="20"/>
          <w:lang w:val="en-AU"/>
        </w:rPr>
        <w:t>aggregates</w:t>
      </w:r>
      <w:r w:rsidR="001B1DAA">
        <w:rPr>
          <w:rFonts w:eastAsia="Calibri"/>
          <w:sz w:val="20"/>
          <w:szCs w:val="20"/>
          <w:lang w:val="en-AU"/>
        </w:rPr>
        <w:t xml:space="preserve"> (as seen in </w:t>
      </w:r>
      <w:r w:rsidR="001B1DAA">
        <w:rPr>
          <w:rFonts w:eastAsia="Calibri"/>
          <w:sz w:val="20"/>
          <w:szCs w:val="20"/>
          <w:lang w:val="en-AU"/>
        </w:rPr>
        <w:fldChar w:fldCharType="begin"/>
      </w:r>
      <w:r w:rsidR="001B1DAA">
        <w:rPr>
          <w:rFonts w:eastAsia="Calibri"/>
          <w:sz w:val="20"/>
          <w:szCs w:val="20"/>
          <w:lang w:val="en-AU"/>
        </w:rPr>
        <w:instrText xml:space="preserve"> REF _Ref119495013 \h  \* MERGEFORMAT </w:instrText>
      </w:r>
      <w:r w:rsidR="001B1DAA">
        <w:rPr>
          <w:rFonts w:eastAsia="Calibri"/>
          <w:sz w:val="20"/>
          <w:szCs w:val="20"/>
          <w:lang w:val="en-AU"/>
        </w:rPr>
      </w:r>
      <w:r w:rsidR="001B1DAA">
        <w:rPr>
          <w:rFonts w:eastAsia="Calibri"/>
          <w:sz w:val="20"/>
          <w:szCs w:val="20"/>
          <w:lang w:val="en-AU"/>
        </w:rPr>
        <w:fldChar w:fldCharType="separate"/>
      </w:r>
      <w:r w:rsidR="00BE644F" w:rsidRPr="00BE644F">
        <w:rPr>
          <w:rFonts w:eastAsia="Calibri"/>
          <w:sz w:val="20"/>
          <w:szCs w:val="20"/>
          <w:lang w:val="en-AU"/>
        </w:rPr>
        <w:t>Figure 2</w:t>
      </w:r>
      <w:r w:rsidR="001B1DAA">
        <w:rPr>
          <w:rFonts w:eastAsia="Calibri"/>
          <w:sz w:val="20"/>
          <w:szCs w:val="20"/>
          <w:lang w:val="en-AU"/>
        </w:rPr>
        <w:fldChar w:fldCharType="end"/>
      </w:r>
      <w:r w:rsidR="001B1DAA">
        <w:rPr>
          <w:rFonts w:eastAsia="Calibri"/>
          <w:sz w:val="20"/>
          <w:szCs w:val="20"/>
          <w:lang w:val="en-AU"/>
        </w:rPr>
        <w:t>)</w:t>
      </w:r>
      <w:r w:rsidRPr="00FC3FCD">
        <w:rPr>
          <w:rFonts w:eastAsia="Calibri"/>
          <w:sz w:val="20"/>
          <w:szCs w:val="20"/>
          <w:lang w:val="en-AU"/>
        </w:rPr>
        <w:t xml:space="preserve">, is </w:t>
      </w:r>
      <w:r w:rsidR="000B3A5C">
        <w:rPr>
          <w:rFonts w:eastAsia="Calibri"/>
          <w:sz w:val="20"/>
          <w:szCs w:val="20"/>
          <w:lang w:val="en-AU"/>
        </w:rPr>
        <w:t>expected to be used</w:t>
      </w:r>
      <w:r w:rsidRPr="00FC3FCD">
        <w:rPr>
          <w:rFonts w:eastAsia="Calibri"/>
          <w:sz w:val="20"/>
          <w:szCs w:val="20"/>
          <w:lang w:val="en-AU"/>
        </w:rPr>
        <w:t xml:space="preserve"> for the treatment of early </w:t>
      </w:r>
      <w:r w:rsidRPr="004B3788">
        <w:rPr>
          <w:rFonts w:eastAsia="Calibri"/>
          <w:sz w:val="20"/>
          <w:szCs w:val="20"/>
          <w:lang w:val="en-AU"/>
        </w:rPr>
        <w:t>A</w:t>
      </w:r>
      <w:r>
        <w:rPr>
          <w:rFonts w:eastAsia="Calibri"/>
          <w:sz w:val="20"/>
          <w:szCs w:val="20"/>
          <w:lang w:val="en-AU"/>
        </w:rPr>
        <w:t>D</w:t>
      </w:r>
      <w:r w:rsidRPr="00D160C8">
        <w:rPr>
          <w:rFonts w:eastAsia="Calibri"/>
          <w:sz w:val="20"/>
          <w:szCs w:val="20"/>
          <w:lang w:val="en-AU"/>
        </w:rPr>
        <w:t xml:space="preserve"> </w:t>
      </w:r>
      <w:r w:rsidRPr="0094226D">
        <w:rPr>
          <w:rFonts w:eastAsia="Calibri"/>
          <w:sz w:val="20"/>
          <w:szCs w:val="20"/>
          <w:lang w:val="en-AU"/>
        </w:rPr>
        <w:t>(</w:t>
      </w:r>
      <w:r w:rsidRPr="006666C9">
        <w:rPr>
          <w:rFonts w:eastAsia="Calibri"/>
          <w:sz w:val="20"/>
          <w:szCs w:val="20"/>
          <w:lang w:val="en-AU"/>
        </w:rPr>
        <w:t xml:space="preserve">Mild cognitive impairment </w:t>
      </w:r>
      <w:r>
        <w:rPr>
          <w:rFonts w:eastAsia="Calibri"/>
          <w:sz w:val="20"/>
          <w:szCs w:val="20"/>
          <w:lang w:val="en-AU"/>
        </w:rPr>
        <w:t>(</w:t>
      </w:r>
      <w:r w:rsidRPr="0094226D">
        <w:rPr>
          <w:rFonts w:eastAsia="Calibri"/>
          <w:sz w:val="20"/>
          <w:szCs w:val="20"/>
          <w:lang w:val="en-AU"/>
        </w:rPr>
        <w:t>MCI</w:t>
      </w:r>
      <w:r>
        <w:rPr>
          <w:rFonts w:eastAsia="Calibri"/>
          <w:sz w:val="20"/>
          <w:szCs w:val="20"/>
          <w:lang w:val="en-AU"/>
        </w:rPr>
        <w:t>)</w:t>
      </w:r>
      <w:r w:rsidRPr="0094226D">
        <w:rPr>
          <w:rFonts w:eastAsia="Calibri"/>
          <w:sz w:val="20"/>
          <w:szCs w:val="20"/>
          <w:lang w:val="en-AU"/>
        </w:rPr>
        <w:t xml:space="preserve"> due to AD and mild AD dementia</w:t>
      </w:r>
      <w:r w:rsidRPr="00FC3FCD">
        <w:rPr>
          <w:rFonts w:eastAsia="Calibri"/>
          <w:sz w:val="20"/>
          <w:szCs w:val="20"/>
          <w:lang w:val="en-AU"/>
        </w:rPr>
        <w:t xml:space="preserve"> stage of disease</w:t>
      </w:r>
      <w:r>
        <w:rPr>
          <w:rFonts w:eastAsia="Calibri"/>
          <w:sz w:val="20"/>
          <w:szCs w:val="20"/>
          <w:lang w:val="en-AU"/>
        </w:rPr>
        <w:t>)</w:t>
      </w:r>
      <w:r w:rsidRPr="00FC3FCD">
        <w:rPr>
          <w:rFonts w:eastAsia="Calibri"/>
          <w:sz w:val="20"/>
          <w:szCs w:val="20"/>
          <w:lang w:val="en-AU"/>
        </w:rPr>
        <w:t xml:space="preserve"> with confirmed amyloid burden. Treatment with lecanemab should be initiated </w:t>
      </w:r>
      <w:r w:rsidRPr="0094226D">
        <w:rPr>
          <w:rFonts w:eastAsia="Calibri"/>
          <w:sz w:val="20"/>
          <w:szCs w:val="20"/>
          <w:lang w:val="en-AU"/>
        </w:rPr>
        <w:t>for the treatment</w:t>
      </w:r>
      <w:r>
        <w:rPr>
          <w:rFonts w:eastAsia="Calibri"/>
          <w:sz w:val="20"/>
          <w:szCs w:val="20"/>
          <w:lang w:val="en-AU"/>
        </w:rPr>
        <w:t xml:space="preserve"> of</w:t>
      </w:r>
      <w:r w:rsidRPr="00FC3FCD">
        <w:rPr>
          <w:rFonts w:eastAsia="Calibri"/>
          <w:sz w:val="20"/>
          <w:szCs w:val="20"/>
          <w:lang w:val="en-AU"/>
        </w:rPr>
        <w:t xml:space="preserve"> patients with </w:t>
      </w:r>
      <w:r w:rsidRPr="0094226D">
        <w:rPr>
          <w:rFonts w:eastAsia="Calibri"/>
          <w:sz w:val="20"/>
          <w:szCs w:val="20"/>
          <w:lang w:val="en-AU"/>
        </w:rPr>
        <w:t>early AD</w:t>
      </w:r>
      <w:r w:rsidRPr="00F81B02">
        <w:rPr>
          <w:rFonts w:eastAsia="Calibri"/>
          <w:sz w:val="20"/>
          <w:szCs w:val="20"/>
          <w:lang w:val="en-AU"/>
        </w:rPr>
        <w:t>.</w:t>
      </w:r>
      <w:r w:rsidR="0000528A">
        <w:rPr>
          <w:rStyle w:val="EndnoteReference"/>
          <w:rFonts w:eastAsia="Calibri"/>
          <w:sz w:val="20"/>
          <w:szCs w:val="20"/>
          <w:lang w:val="en-AU"/>
        </w:rPr>
        <w:endnoteReference w:id="29"/>
      </w:r>
    </w:p>
    <w:bookmarkEnd w:id="22"/>
    <w:p w14:paraId="684ABE74" w14:textId="27D15494" w:rsidR="002452AC" w:rsidRPr="00CE58A1" w:rsidRDefault="001F3A8D" w:rsidP="00D55776">
      <w:pPr>
        <w:pStyle w:val="ProposalBody"/>
        <w:ind w:left="426"/>
        <w:rPr>
          <w:rFonts w:eastAsia="Calibri"/>
          <w:sz w:val="20"/>
          <w:szCs w:val="20"/>
          <w:lang w:val="en-AU"/>
        </w:rPr>
      </w:pPr>
      <w:r w:rsidRPr="001F3A8D">
        <w:rPr>
          <w:rFonts w:eastAsia="Calibri"/>
          <w:sz w:val="20"/>
          <w:szCs w:val="20"/>
          <w:lang w:val="en-AU"/>
        </w:rPr>
        <w:t xml:space="preserve">In current Australian practice, there is no single test to identify AD. The diagnosis is made only after careful clinical consultation. Testing to detect amyloid pathology is not funded by the Commonwealth for patients with AD. Patients with a clinical diagnosis of MCI </w:t>
      </w:r>
      <w:r w:rsidR="000E735C">
        <w:rPr>
          <w:rFonts w:eastAsia="Calibri"/>
          <w:sz w:val="20"/>
          <w:szCs w:val="20"/>
          <w:lang w:val="en-AU"/>
        </w:rPr>
        <w:t>suspected to be</w:t>
      </w:r>
      <w:r w:rsidR="000E735C" w:rsidRPr="001F3A8D">
        <w:rPr>
          <w:rFonts w:eastAsia="Calibri"/>
          <w:sz w:val="20"/>
          <w:szCs w:val="20"/>
          <w:lang w:val="en-AU"/>
        </w:rPr>
        <w:t xml:space="preserve"> </w:t>
      </w:r>
      <w:r w:rsidRPr="001F3A8D">
        <w:rPr>
          <w:rFonts w:eastAsia="Calibri"/>
          <w:sz w:val="20"/>
          <w:szCs w:val="20"/>
          <w:lang w:val="en-AU"/>
        </w:rPr>
        <w:t>due to AD are currently observed initially</w:t>
      </w:r>
      <w:r w:rsidR="00631F66">
        <w:rPr>
          <w:rFonts w:eastAsia="Calibri"/>
          <w:sz w:val="20"/>
          <w:szCs w:val="20"/>
          <w:lang w:val="en-AU"/>
        </w:rPr>
        <w:t xml:space="preserve"> followed by symptom </w:t>
      </w:r>
      <w:r w:rsidR="006F50D9">
        <w:rPr>
          <w:rFonts w:eastAsia="Calibri"/>
          <w:sz w:val="20"/>
          <w:szCs w:val="20"/>
          <w:lang w:val="en-AU"/>
        </w:rPr>
        <w:t>relieving</w:t>
      </w:r>
      <w:r w:rsidR="00631F66">
        <w:rPr>
          <w:rFonts w:eastAsia="Calibri"/>
          <w:sz w:val="20"/>
          <w:szCs w:val="20"/>
          <w:lang w:val="en-AU"/>
        </w:rPr>
        <w:t xml:space="preserve"> drugs</w:t>
      </w:r>
      <w:r w:rsidR="00064B71">
        <w:rPr>
          <w:rFonts w:eastAsia="Calibri"/>
          <w:sz w:val="20"/>
          <w:szCs w:val="20"/>
          <w:lang w:val="en-AU"/>
        </w:rPr>
        <w:t xml:space="preserve"> (which are </w:t>
      </w:r>
      <w:r w:rsidR="009373AE">
        <w:rPr>
          <w:rFonts w:eastAsia="Calibri"/>
          <w:sz w:val="20"/>
          <w:szCs w:val="20"/>
          <w:lang w:val="en-AU"/>
        </w:rPr>
        <w:t>currently only indicated for mild and/or moderate dementia stages, not MCI)</w:t>
      </w:r>
      <w:r w:rsidRPr="001F3A8D">
        <w:rPr>
          <w:rFonts w:eastAsia="Calibri"/>
          <w:sz w:val="20"/>
          <w:szCs w:val="20"/>
          <w:lang w:val="en-AU"/>
        </w:rPr>
        <w:t>. There are currently no disease modifying treatments (DMTs) available for treating AD.</w:t>
      </w:r>
    </w:p>
    <w:p w14:paraId="73FE7D94" w14:textId="55559B65" w:rsidR="00C10320" w:rsidRDefault="00C10320" w:rsidP="00D55776">
      <w:pPr>
        <w:ind w:left="426"/>
      </w:pPr>
      <w:r>
        <w:t xml:space="preserve">Target patients for lecanemab treatment are those with </w:t>
      </w:r>
      <w:r w:rsidR="00E2297C">
        <w:t>early-stage</w:t>
      </w:r>
      <w:r>
        <w:t xml:space="preserve"> AD</w:t>
      </w:r>
      <w:r w:rsidR="00B71D39">
        <w:t>, composed of MCI due to AD/prodromal AD and mild AD dementia</w:t>
      </w:r>
      <w:r>
        <w:t>.</w:t>
      </w:r>
      <w:r w:rsidRPr="00A57DC3">
        <w:rPr>
          <w:rFonts w:cstheme="minorHAnsi"/>
          <w:szCs w:val="20"/>
        </w:rPr>
        <w:t xml:space="preserve"> </w:t>
      </w:r>
      <w:r w:rsidRPr="00D14195">
        <w:t>The proposed services are therefore intended to identify patients with amyloid brain pathology consistent with the patient population in whom the drug has been shown to be effective</w:t>
      </w:r>
      <w:r w:rsidR="00B71D39">
        <w:t>,</w:t>
      </w:r>
      <w:r w:rsidRPr="00D14195">
        <w:t xml:space="preserve"> by confirming the presence of what is considered to be the target for the drug’s mode of action. </w:t>
      </w:r>
      <w:r w:rsidR="00BF5806" w:rsidRPr="00BF5806">
        <w:t>It is proposed that the testing to detect AD/amyloid pathology be conducted sequentially upon receiving a clinical diagnosis and before any treatment</w:t>
      </w:r>
      <w:r w:rsidR="00BF5806">
        <w:t xml:space="preserve"> has begun</w:t>
      </w:r>
      <w:r w:rsidR="00014A56">
        <w:t xml:space="preserve">. </w:t>
      </w:r>
    </w:p>
    <w:p w14:paraId="45566EB4" w14:textId="77A96BED" w:rsidR="005236A9" w:rsidRDefault="005236A9" w:rsidP="00D55776">
      <w:pPr>
        <w:ind w:left="426"/>
      </w:pPr>
      <w:r w:rsidRPr="002F7B46">
        <w:t xml:space="preserve">In the clinical trials of </w:t>
      </w:r>
      <w:r w:rsidR="00C10320" w:rsidRPr="002F7B46">
        <w:t>lecanemab</w:t>
      </w:r>
      <w:r w:rsidRPr="002F7B46">
        <w:t>, the patients were specifically defined as having mild cognitive impairment (MCI) due</w:t>
      </w:r>
      <w:r w:rsidR="002839B8">
        <w:t xml:space="preserve"> AD or</w:t>
      </w:r>
      <w:r w:rsidRPr="002F7B46">
        <w:t xml:space="preserve"> mild AD dementia. These diagnoses require evidence of AD related pathology, specifically amyloid </w:t>
      </w:r>
      <w:r w:rsidR="002839B8">
        <w:t xml:space="preserve">PET </w:t>
      </w:r>
      <w:r w:rsidRPr="002F7B46">
        <w:t xml:space="preserve">or cerebrospinal fluid (CSF) evidence of brain beta-amyloid. As </w:t>
      </w:r>
      <w:r w:rsidR="00C10320" w:rsidRPr="002F7B46">
        <w:t xml:space="preserve">per a </w:t>
      </w:r>
      <w:r w:rsidR="00C10320" w:rsidRPr="002F7B46">
        <w:lastRenderedPageBreak/>
        <w:t>previous application</w:t>
      </w:r>
      <w:r w:rsidR="000D0F34">
        <w:t xml:space="preserve"> 1643</w:t>
      </w:r>
      <w:r w:rsidRPr="002F7B46">
        <w:t>, the Applicant proposes that that the target patient population be referred to as “</w:t>
      </w:r>
      <w:r w:rsidR="00E2297C">
        <w:t>early-stage</w:t>
      </w:r>
      <w:r w:rsidRPr="002F7B46">
        <w:t xml:space="preserve"> AD” for the purposes of the PICO application form. </w:t>
      </w:r>
    </w:p>
    <w:p w14:paraId="763FDFED" w14:textId="084C6114" w:rsidR="004A0C08" w:rsidRDefault="00E17041" w:rsidP="00D55776">
      <w:pPr>
        <w:ind w:left="426"/>
      </w:pPr>
      <w:r>
        <w:t>T</w:t>
      </w:r>
      <w:r w:rsidR="004A0C08">
        <w:t xml:space="preserve">he clinical features of the </w:t>
      </w:r>
      <w:r w:rsidR="00E2297C">
        <w:t>early-stage</w:t>
      </w:r>
      <w:r w:rsidR="004A0C08">
        <w:t xml:space="preserve"> AD would require confirmation by a specialist. This can be </w:t>
      </w:r>
      <w:r w:rsidR="00700CD7">
        <w:t>completed</w:t>
      </w:r>
      <w:r w:rsidR="00A90DAC">
        <w:t xml:space="preserve"> once a </w:t>
      </w:r>
      <w:r w:rsidR="004A0C08">
        <w:t>GP</w:t>
      </w:r>
      <w:r w:rsidR="00A90DAC">
        <w:t xml:space="preserve"> has referred</w:t>
      </w:r>
      <w:r w:rsidR="004A0C08">
        <w:t xml:space="preserve"> a patient to specialist service (e.g., memory clinics) or a specialist clinician (geriatrician, neurologist, psycho-geriatrician or psychiatrist, experienced in the diagnosis and management of patients with cognitive impairment disorders or dementia, including Alzheimer</w:t>
      </w:r>
      <w:r w:rsidR="00E80537">
        <w:t>’s</w:t>
      </w:r>
      <w:r w:rsidR="004A0C08">
        <w:t xml:space="preserve"> disease), forwarding record of brief clinical history, investigation results, past history of drug lists and MMSE and/or other supporting assessments.</w:t>
      </w:r>
    </w:p>
    <w:p w14:paraId="1FE1C5EF" w14:textId="2E4A5E77" w:rsidR="005236A9" w:rsidRDefault="005236A9" w:rsidP="00D55776">
      <w:pPr>
        <w:ind w:left="426"/>
      </w:pPr>
      <w:r w:rsidRPr="002F7B46">
        <w:t xml:space="preserve">High dose </w:t>
      </w:r>
      <w:r w:rsidR="002F7B46" w:rsidRPr="002F7B46">
        <w:t>lecanemab</w:t>
      </w:r>
      <w:r w:rsidRPr="002F7B46">
        <w:t xml:space="preserve"> has been shown to reduce beta-amyloid (Aβ) plaque burden on amyloid positron emission tomography (PET) and, concomitantly, slows</w:t>
      </w:r>
      <w:r w:rsidR="00DC01DD">
        <w:t xml:space="preserve"> clinical</w:t>
      </w:r>
      <w:r w:rsidRPr="002F7B46">
        <w:t xml:space="preserve"> AD disease progression</w:t>
      </w:r>
      <w:r w:rsidR="000E51B9">
        <w:t xml:space="preserve">, </w:t>
      </w:r>
      <w:r w:rsidR="00DC01DD">
        <w:t xml:space="preserve">as measured by a </w:t>
      </w:r>
      <w:r w:rsidR="000E51B9">
        <w:t>range</w:t>
      </w:r>
      <w:r w:rsidR="00DC01DD">
        <w:t xml:space="preserve"> of </w:t>
      </w:r>
      <w:r w:rsidR="000E51B9">
        <w:t>cognitive and functional</w:t>
      </w:r>
      <w:r w:rsidR="00DC01DD">
        <w:t xml:space="preserve"> endpoints</w:t>
      </w:r>
      <w:r w:rsidR="000E51B9">
        <w:t>,</w:t>
      </w:r>
      <w:r w:rsidRPr="002F7B46">
        <w:t xml:space="preserve"> in patients diagnosed </w:t>
      </w:r>
      <w:r w:rsidR="000E51B9">
        <w:t>with</w:t>
      </w:r>
      <w:r w:rsidR="00B34115">
        <w:t xml:space="preserve"> </w:t>
      </w:r>
      <w:r w:rsidRPr="002F7B46">
        <w:t>MCI due to AD or mild AD</w:t>
      </w:r>
      <w:r w:rsidR="000E51B9">
        <w:t xml:space="preserve"> dementia</w:t>
      </w:r>
      <w:r w:rsidRPr="002F7B46">
        <w:t>, with confirmed amyloid brain pathology.</w:t>
      </w:r>
      <w:r w:rsidR="006D56DD">
        <w:rPr>
          <w:rStyle w:val="EndnoteReference"/>
        </w:rPr>
        <w:endnoteReference w:id="30"/>
      </w:r>
    </w:p>
    <w:p w14:paraId="68D16D2E" w14:textId="77777777" w:rsidR="005236A9" w:rsidRPr="00E95FE2" w:rsidRDefault="005236A9" w:rsidP="00D55776">
      <w:pPr>
        <w:ind w:left="284"/>
        <w:rPr>
          <w:szCs w:val="20"/>
        </w:rPr>
      </w:pPr>
    </w:p>
    <w:p w14:paraId="2B321DF8" w14:textId="77777777" w:rsidR="002A50FD" w:rsidRPr="00881F93" w:rsidRDefault="005C3AE7" w:rsidP="00D55776">
      <w:pPr>
        <w:pStyle w:val="Subtitle"/>
        <w:ind w:left="0"/>
      </w:pPr>
      <w:r>
        <w:t xml:space="preserve">PART 6b – </w:t>
      </w:r>
      <w:r w:rsidR="002A50FD" w:rsidRPr="00881F93">
        <w:t>INFORMATION ABOUT THE INTERVENTION</w:t>
      </w:r>
    </w:p>
    <w:p w14:paraId="3CB49001" w14:textId="77777777" w:rsidR="002A50FD" w:rsidRPr="00154B00" w:rsidRDefault="002A6753" w:rsidP="00D55776">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1435CF8D" w14:textId="60130AE2" w:rsidR="00600FE5" w:rsidRPr="008D0999" w:rsidRDefault="00F3674A" w:rsidP="00D55776">
      <w:pPr>
        <w:jc w:val="both"/>
      </w:pPr>
      <w:r w:rsidRPr="0000528A">
        <w:t>P</w:t>
      </w:r>
      <w:r w:rsidR="00600FE5" w:rsidRPr="0000528A">
        <w:t>lease not</w:t>
      </w:r>
      <w:r w:rsidRPr="0000528A">
        <w:t>e</w:t>
      </w:r>
      <w:r w:rsidR="00600FE5" w:rsidRPr="0000528A">
        <w:t xml:space="preserve"> that the following steps have been taken from </w:t>
      </w:r>
      <w:r w:rsidR="0025144B" w:rsidRPr="0000528A">
        <w:t xml:space="preserve">the previous application 1643 as </w:t>
      </w:r>
      <w:r w:rsidRPr="0000528A">
        <w:t>they are</w:t>
      </w:r>
      <w:r w:rsidR="0025144B" w:rsidRPr="0000528A">
        <w:t xml:space="preserve"> </w:t>
      </w:r>
      <w:r w:rsidRPr="0000528A">
        <w:t>completely applicable:</w:t>
      </w:r>
    </w:p>
    <w:p w14:paraId="6A6E7CE3" w14:textId="77777777" w:rsidR="00363FA1" w:rsidRPr="00BA0C22" w:rsidRDefault="00EA4370" w:rsidP="00D55776">
      <w:pPr>
        <w:rPr>
          <w:b/>
          <w:u w:val="single"/>
        </w:rPr>
      </w:pPr>
      <w:r w:rsidRPr="00BA0C22">
        <w:rPr>
          <w:b/>
          <w:u w:val="single"/>
        </w:rPr>
        <w:t xml:space="preserve">Aβ PET </w:t>
      </w:r>
    </w:p>
    <w:p w14:paraId="2A2682BB" w14:textId="77777777" w:rsidR="00BA0C22" w:rsidRDefault="00EA4370" w:rsidP="00D55776">
      <w:r>
        <w:t xml:space="preserve">Delivery of Aβ PET scanning can be broken down into 4 key “phases”. These are: </w:t>
      </w:r>
    </w:p>
    <w:p w14:paraId="0B5CB4BF" w14:textId="6F005D3F" w:rsidR="00BA0C22" w:rsidRDefault="00EA4370" w:rsidP="00D55776">
      <w:pPr>
        <w:pStyle w:val="ListParagraph"/>
        <w:numPr>
          <w:ilvl w:val="1"/>
          <w:numId w:val="6"/>
        </w:numPr>
      </w:pPr>
      <w:r>
        <w:t xml:space="preserve">18F-tracer preparation and administration; </w:t>
      </w:r>
    </w:p>
    <w:p w14:paraId="4609B6F0" w14:textId="581A00F1" w:rsidR="00BA0C22" w:rsidRDefault="00EA4370" w:rsidP="00D55776">
      <w:pPr>
        <w:pStyle w:val="ListParagraph"/>
        <w:numPr>
          <w:ilvl w:val="1"/>
          <w:numId w:val="6"/>
        </w:numPr>
      </w:pPr>
      <w:r>
        <w:t xml:space="preserve">image acquisition; </w:t>
      </w:r>
    </w:p>
    <w:p w14:paraId="2D0A3A03" w14:textId="6EB5D6A6" w:rsidR="00BA0C22" w:rsidRDefault="00EA4370" w:rsidP="00D55776">
      <w:pPr>
        <w:pStyle w:val="ListParagraph"/>
        <w:numPr>
          <w:ilvl w:val="1"/>
          <w:numId w:val="6"/>
        </w:numPr>
      </w:pPr>
      <w:r>
        <w:t xml:space="preserve">image reconstruction and interpretation; and </w:t>
      </w:r>
    </w:p>
    <w:p w14:paraId="141BD0B1" w14:textId="08F1F168" w:rsidR="00BA0C22" w:rsidRDefault="00EA4370" w:rsidP="00D55776">
      <w:pPr>
        <w:pStyle w:val="ListParagraph"/>
        <w:numPr>
          <w:ilvl w:val="1"/>
          <w:numId w:val="6"/>
        </w:numPr>
      </w:pPr>
      <w:r>
        <w:t xml:space="preserve">documentation and reporting. </w:t>
      </w:r>
    </w:p>
    <w:p w14:paraId="5117FCFE" w14:textId="77777777" w:rsidR="00BA0C22" w:rsidRPr="00BA0C22" w:rsidRDefault="00EA4370" w:rsidP="00D55776">
      <w:pPr>
        <w:rPr>
          <w:b/>
          <w:u w:val="single"/>
        </w:rPr>
      </w:pPr>
      <w:r w:rsidRPr="00BA0C22">
        <w:rPr>
          <w:b/>
          <w:u w:val="single"/>
        </w:rPr>
        <w:t>Radiotracer preparation and administration</w:t>
      </w:r>
    </w:p>
    <w:p w14:paraId="40BF779B" w14:textId="5337948B" w:rsidR="001A115C" w:rsidRDefault="00EA4370" w:rsidP="00D55776">
      <w:r>
        <w:t>18F radiotracers</w:t>
      </w:r>
      <w:r w:rsidR="000356C4">
        <w:t xml:space="preserve"> are likely to </w:t>
      </w:r>
      <w:r w:rsidR="00343F1D">
        <w:t>be</w:t>
      </w:r>
      <w:r w:rsidR="00DA075E">
        <w:t xml:space="preserve"> </w:t>
      </w:r>
      <w:r>
        <w:t xml:space="preserve">either sourced from a commercial supplier or prepared inhouse in facilities with a cyclotron and radio-pharmacy capability. The 18F radiotracer for Aβ PET is administered intravenously prior to scanning. Aseptic technique and radiation shielding are required to withdraw and administer the tracer. Although the 18F radiotracers used for Aβ PET share a common imaging target and similar imaging characteristics, amyloid tracers can differ in their tracer kinetics, specific binding ratios, and optimal imaging parameters and hence will have different recommended injected doses, times to initiate imaging after injection, and scan durations. </w:t>
      </w:r>
    </w:p>
    <w:p w14:paraId="417D033F" w14:textId="77777777" w:rsidR="00C22A6B" w:rsidRPr="00C22A6B" w:rsidRDefault="00FC1235" w:rsidP="00D55776">
      <w:pPr>
        <w:rPr>
          <w:b/>
          <w:u w:val="single"/>
        </w:rPr>
      </w:pPr>
      <w:r w:rsidRPr="00C22A6B">
        <w:rPr>
          <w:b/>
          <w:u w:val="single"/>
        </w:rPr>
        <w:t>Image acquisition</w:t>
      </w:r>
    </w:p>
    <w:p w14:paraId="136C8107" w14:textId="77777777" w:rsidR="00C11024" w:rsidRDefault="00FC1235" w:rsidP="00D55776">
      <w:r>
        <w:t>Before scanning, a patient should empty their bladder for maximum comfort during the study. The patient should be positioned in a supine position, with the patient’s brain in a single field of view. Reducing head movement with tape or other flexible head restraints may be employed. The radiotracer should be injected as a single intravenous slow bolus in a total volume of 10 mL or less. The catheter should be flushed with at least 5–15 mL of 0.9% sterile sodium chloride to ensure full delivery of the dose.</w:t>
      </w:r>
    </w:p>
    <w:p w14:paraId="5A14903A" w14:textId="77777777" w:rsidR="00C85B5E" w:rsidRDefault="00FC1235" w:rsidP="00D55776">
      <w:r>
        <w:t xml:space="preserve">Images should be acquired in 3-dimensional mode with appropriate data corrections and reconstructed using attenuation correction with typical trans-axial pixel sizes of 2– 3 mm and a slice thickness of 2–4 mm. The patient should be advised to hydrate and void after the scanning session to diminish radiation exposure. </w:t>
      </w:r>
    </w:p>
    <w:p w14:paraId="7F2A34D6" w14:textId="77777777" w:rsidR="00C85B5E" w:rsidRPr="00C85B5E" w:rsidRDefault="00FC1235" w:rsidP="00D55776">
      <w:pPr>
        <w:rPr>
          <w:b/>
          <w:u w:val="single"/>
        </w:rPr>
      </w:pPr>
      <w:r w:rsidRPr="00C85B5E">
        <w:rPr>
          <w:b/>
          <w:u w:val="single"/>
        </w:rPr>
        <w:t xml:space="preserve">PET scanning radiation dose: </w:t>
      </w:r>
    </w:p>
    <w:p w14:paraId="4726D997" w14:textId="35A28DC2" w:rsidR="003A2BB4" w:rsidRDefault="00FC1235" w:rsidP="00D55776">
      <w:r>
        <w:t xml:space="preserve">According to the Society of Nuclear Medicine and Molecular Imaging (SNMMI) and European Association of Nuclear Medicine (EANM) and clinical practice guidelines, 18F-florbetapir, 18F-flutemetamol and 18Fflorbetaben tracers offer a reasonable compromise between radiation exposure following “as low as reasonably achievable (ALARA)” principles and image quality. </w:t>
      </w:r>
    </w:p>
    <w:p w14:paraId="59C05B1A" w14:textId="77777777" w:rsidR="00E2297C" w:rsidRDefault="00E2297C" w:rsidP="00D55776">
      <w:pPr>
        <w:spacing w:before="0" w:after="200" w:line="276" w:lineRule="auto"/>
        <w:ind w:left="0"/>
        <w:rPr>
          <w:b/>
          <w:u w:val="single"/>
        </w:rPr>
      </w:pPr>
      <w:r>
        <w:rPr>
          <w:b/>
          <w:u w:val="single"/>
        </w:rPr>
        <w:br w:type="page"/>
      </w:r>
    </w:p>
    <w:p w14:paraId="01EEDCC1" w14:textId="584B3F18" w:rsidR="00606972" w:rsidRPr="00606972" w:rsidRDefault="00981964" w:rsidP="00D55776">
      <w:pPr>
        <w:rPr>
          <w:b/>
          <w:u w:val="single"/>
        </w:rPr>
      </w:pPr>
      <w:r w:rsidRPr="00606972">
        <w:rPr>
          <w:b/>
          <w:u w:val="single"/>
        </w:rPr>
        <w:lastRenderedPageBreak/>
        <w:t xml:space="preserve">PET image reconstruction and interpretation: </w:t>
      </w:r>
    </w:p>
    <w:p w14:paraId="7F835B49" w14:textId="49227368" w:rsidR="00606972" w:rsidRDefault="00981964" w:rsidP="00D55776">
      <w:r>
        <w:t>It is important to note that the objective of the image interpretation is to estimate β-amyloid plaque density in brain grey matter, not to make a clinical diagnosis. Image interpretation is performed independently of a patient’s clinical features and relies upon the recognition of unique image features.</w:t>
      </w:r>
    </w:p>
    <w:p w14:paraId="3C1119FF" w14:textId="6D51ED70" w:rsidR="00606972" w:rsidRDefault="00981964" w:rsidP="00D55776">
      <w:r>
        <w:t xml:space="preserve">The specific criteria for Aβ PET image interpretation may differ among available radiotracers. It is therefore vital that images should be interpreted only by readers who have successfully completed the appropriate training provided by the manufacturer of the radiotracer being used. However, the following general principles are applied. </w:t>
      </w:r>
    </w:p>
    <w:p w14:paraId="56244E0B" w14:textId="671AA4FC" w:rsidR="00606972" w:rsidRDefault="00981964" w:rsidP="00D55776">
      <w:r>
        <w:t xml:space="preserve">Images are designated as either “amyloid-positive” or “amyloid-negative” based on the </w:t>
      </w:r>
      <w:r w:rsidR="006B5512">
        <w:t xml:space="preserve">visual </w:t>
      </w:r>
      <w:r>
        <w:t xml:space="preserve">assessment of tracer uptake in the grey matter. </w:t>
      </w:r>
      <w:r w:rsidR="001D4F0A" w:rsidRPr="0000528A">
        <w:t>The Centiloid Project was initiated to derive a standardised quantitative amyloid imaging measurement scale, based upon normalisation of data from the 18F-tracers to that of PiB. In this linear scale, young controls (≤ 45 years) have a mean of zero Centiloid units (CL) and typical mild to moderate AD patients score on average 100 CL [</w:t>
      </w:r>
      <w:hyperlink r:id="rId26" w:anchor="CR10" w:history="1">
        <w:r w:rsidR="001D4F0A" w:rsidRPr="0000528A">
          <w:t>10</w:t>
        </w:r>
      </w:hyperlink>
      <w:r w:rsidR="001D4F0A" w:rsidRPr="0000528A">
        <w:t>]. The data set used to determine PiB Centiloids is freely available on the Global Alzheimer Association Interactive Network website (GAAIN; </w:t>
      </w:r>
      <w:hyperlink r:id="rId27" w:tgtFrame="_blank" w:history="1">
        <w:r w:rsidR="001D4F0A" w:rsidRPr="0000528A">
          <w:t>http://www.gaain.org</w:t>
        </w:r>
      </w:hyperlink>
      <w:r w:rsidR="001D4F0A" w:rsidRPr="0000528A">
        <w:t>), together with standardised cortical and whole cerebellum volume of interest (VOI) templates.</w:t>
      </w:r>
      <w:r w:rsidR="001D4F0A">
        <w:t xml:space="preserve"> (Battle et al, EJNMMI Res, 2018; 8:107)</w:t>
      </w:r>
    </w:p>
    <w:p w14:paraId="578060EE" w14:textId="7313723C" w:rsidR="006019BB" w:rsidRPr="006019BB" w:rsidRDefault="00981964" w:rsidP="00D55776">
      <w:pPr>
        <w:jc w:val="both"/>
        <w:rPr>
          <w:b/>
          <w:u w:val="single"/>
        </w:rPr>
      </w:pPr>
      <w:r w:rsidRPr="006019BB">
        <w:rPr>
          <w:b/>
          <w:u w:val="single"/>
        </w:rPr>
        <w:t xml:space="preserve">Documentation and reporting </w:t>
      </w:r>
    </w:p>
    <w:p w14:paraId="3B6141FA" w14:textId="4BBAC766" w:rsidR="00216532" w:rsidRDefault="00981964" w:rsidP="00D55776">
      <w:r>
        <w:t xml:space="preserve">Aβ PET results should be interpreted independently of clinical information, but the final report may integrate scan findings and clinical information and suggest a final or differential diagnosis and patient management plan. Commenting on any correlation with other available imaging data may be helpful to the referring physician. </w:t>
      </w:r>
    </w:p>
    <w:p w14:paraId="68DC7FE4" w14:textId="057D84EE" w:rsidR="00216532" w:rsidRDefault="00981964" w:rsidP="00D55776">
      <w:r>
        <w:t xml:space="preserve">General recommendations on nuclear medicine reports are provided in the Society of Nuclear Medicine and Molecular Imaging (SNMMI) Procedure Standard on General Nuclear Imaging and the American College of Radiology (ACR) Practice Guideline for Communication: Diagnostic Radiology. </w:t>
      </w:r>
    </w:p>
    <w:p w14:paraId="58D1D8F8" w14:textId="77777777" w:rsidR="00216532" w:rsidRPr="00216532" w:rsidRDefault="00981964" w:rsidP="00D55776">
      <w:pPr>
        <w:jc w:val="both"/>
        <w:rPr>
          <w:b/>
          <w:u w:val="single"/>
        </w:rPr>
      </w:pPr>
      <w:r w:rsidRPr="00216532">
        <w:rPr>
          <w:b/>
          <w:u w:val="single"/>
        </w:rPr>
        <w:t xml:space="preserve">CSF AD biomarker testing </w:t>
      </w:r>
    </w:p>
    <w:p w14:paraId="14A7F8A9" w14:textId="6E233C6B" w:rsidR="00FC1235" w:rsidRDefault="00981964" w:rsidP="00D55776">
      <w:r>
        <w:t>There are a number of immunoassay kits for the assessment of CSF AD biomarker proteins such as amyloid β42 peptide, total tau and phosphorylated tau that are approved and commercially available outside of Australia. Examples have been provided earlier in Table 2.</w:t>
      </w:r>
    </w:p>
    <w:p w14:paraId="0C371512" w14:textId="48CD8D92" w:rsidR="00216532" w:rsidRPr="00216532" w:rsidRDefault="00216532" w:rsidP="00D55776">
      <w:pPr>
        <w:jc w:val="both"/>
        <w:rPr>
          <w:b/>
          <w:u w:val="single"/>
        </w:rPr>
      </w:pPr>
      <w:r w:rsidRPr="00216532">
        <w:rPr>
          <w:b/>
          <w:u w:val="single"/>
        </w:rPr>
        <w:t>Specimen collection and pre-analytical handling</w:t>
      </w:r>
    </w:p>
    <w:p w14:paraId="218062F6" w14:textId="77777777" w:rsidR="00B65409" w:rsidRDefault="00363FA1" w:rsidP="00D55776">
      <w:r>
        <w:t xml:space="preserve">A CSF sample is obtained from the patient by lumbar puncture (LP) procedure. This is covered by MBS items 39000/21945/23010. For CSF AD biomarker testing, it is important that the CSF specimen collection and pre-analytical handling follow a highly standardised procedure as specified by the analysing laboratory or as recommended by the manufacturer of the assay kit being used. </w:t>
      </w:r>
    </w:p>
    <w:p w14:paraId="24144024" w14:textId="2FDC3BD6" w:rsidR="005E397F" w:rsidRDefault="00363FA1" w:rsidP="00D55776">
      <w:r>
        <w:t>For example, for standardising results, there may be specific requirements regarding best time of day for specimen collection, the level at which the lumbar puncture should be performed, the type of collection tube that should be used, specimen handling (e.g., centrifugation, mixing procedure; tube filling volume used, rejection of specimen due to haemolysis), conditions for shipment to the testing laboratory, conditions for storage and thawing</w:t>
      </w:r>
      <w:r w:rsidR="001F7CC6">
        <w:t>.</w:t>
      </w:r>
      <w:r>
        <w:t xml:space="preserve"> All the different commercial assay kit systems are based on in vitro immunoassay principles. The assay procedures should be followed according to the kit manufactures</w:t>
      </w:r>
      <w:r w:rsidR="00B4456D">
        <w:t xml:space="preserve"> </w:t>
      </w:r>
      <w:r>
        <w:t xml:space="preserve">specifications, following appropriate calibration and quality control procedures. </w:t>
      </w:r>
    </w:p>
    <w:p w14:paraId="0E47B487" w14:textId="7FE918FE" w:rsidR="00B65409" w:rsidRDefault="00363FA1" w:rsidP="00D55776">
      <w:r>
        <w:t xml:space="preserve">All the commercial kits have been validated against Aβ PET by the manufacturers, with the Roche Elecsys assays validated by the </w:t>
      </w:r>
      <w:r w:rsidR="001844F3">
        <w:t>National Dementia Diagnosis Laboratory (</w:t>
      </w:r>
      <w:r>
        <w:t>NDDL</w:t>
      </w:r>
      <w:r w:rsidR="00552D4E">
        <w:t>)</w:t>
      </w:r>
      <w:r>
        <w:t xml:space="preserve"> to generate pre-defined cut-offs for amyloid positivity and negativity.</w:t>
      </w:r>
      <w:r w:rsidR="005A2613">
        <w:t xml:space="preserve"> </w:t>
      </w:r>
      <w:r w:rsidR="00C606E8">
        <w:t xml:space="preserve">The Elecsys test kits provide pre-defined cut-offs for amyloid positivity and negativity. The </w:t>
      </w:r>
      <w:r w:rsidR="00590B9D">
        <w:t>NDDL are</w:t>
      </w:r>
      <w:r w:rsidR="00C606E8">
        <w:t xml:space="preserve"> </w:t>
      </w:r>
      <w:r w:rsidR="00590B9D">
        <w:t xml:space="preserve">using </w:t>
      </w:r>
      <w:r w:rsidR="0000528A">
        <w:t>cut-offs</w:t>
      </w:r>
      <w:r w:rsidR="00590B9D">
        <w:t xml:space="preserve"> set by Roche diagnostics and have a QC process </w:t>
      </w:r>
      <w:r w:rsidR="00D36F13">
        <w:t>in place</w:t>
      </w:r>
      <w:r w:rsidR="00590B9D">
        <w:t xml:space="preserve">. </w:t>
      </w:r>
    </w:p>
    <w:p w14:paraId="39B0762B" w14:textId="77777777" w:rsidR="00FF1D23" w:rsidRDefault="00FF1D23" w:rsidP="00D55776">
      <w:pPr>
        <w:spacing w:before="0" w:after="200" w:line="276" w:lineRule="auto"/>
        <w:ind w:left="0"/>
        <w:rPr>
          <w:b/>
          <w:u w:val="single"/>
        </w:rPr>
      </w:pPr>
      <w:r>
        <w:rPr>
          <w:b/>
          <w:u w:val="single"/>
        </w:rPr>
        <w:br w:type="page"/>
      </w:r>
    </w:p>
    <w:p w14:paraId="7CCE2AD9" w14:textId="528B00F4" w:rsidR="0047700D" w:rsidRPr="003A0E5B" w:rsidRDefault="00321A3C" w:rsidP="00D55776">
      <w:pPr>
        <w:rPr>
          <w:b/>
          <w:u w:val="single"/>
        </w:rPr>
      </w:pPr>
      <w:r>
        <w:rPr>
          <w:b/>
          <w:u w:val="single"/>
        </w:rPr>
        <w:lastRenderedPageBreak/>
        <w:t xml:space="preserve">Treatment and </w:t>
      </w:r>
      <w:r w:rsidR="00D00C9D">
        <w:rPr>
          <w:b/>
          <w:u w:val="single"/>
        </w:rPr>
        <w:t>m</w:t>
      </w:r>
      <w:r w:rsidR="00363FA1" w:rsidRPr="003A0E5B">
        <w:rPr>
          <w:b/>
          <w:u w:val="single"/>
        </w:rPr>
        <w:t xml:space="preserve">echanism of action of </w:t>
      </w:r>
      <w:r w:rsidR="00F07158">
        <w:rPr>
          <w:b/>
          <w:u w:val="single"/>
        </w:rPr>
        <w:t>codependent drug intervention l</w:t>
      </w:r>
      <w:r w:rsidR="0047700D" w:rsidRPr="003A0E5B">
        <w:rPr>
          <w:b/>
          <w:u w:val="single"/>
        </w:rPr>
        <w:t>ecanemab</w:t>
      </w:r>
      <w:r w:rsidR="00363FA1" w:rsidRPr="00F435FD">
        <w:t xml:space="preserve"> </w:t>
      </w:r>
      <w:r w:rsidR="00637FC3" w:rsidRPr="00F435FD">
        <w:rPr>
          <w:rStyle w:val="EndnoteReference"/>
        </w:rPr>
        <w:endnoteReference w:id="31"/>
      </w:r>
    </w:p>
    <w:p w14:paraId="4FD0CD66" w14:textId="77777777" w:rsidR="00397161" w:rsidRDefault="00397161" w:rsidP="00D55776">
      <w:r w:rsidRPr="008D0999">
        <w:t>Lecanemab is an investigational anti-amyloid beta (Aβ) protofibril antibody for the treatment of mild cognitive impairment (MCI) due to Alzheimer’s disease (AD) and mild AD (collectively known as early AD) with confirmed presence of amyloid pathology in the brain (confirmed via Aß positron emission tomography (PET) and cerebrospinal fluid (CSF)).</w:t>
      </w:r>
    </w:p>
    <w:p w14:paraId="46F1221A" w14:textId="2B2D4225" w:rsidR="0047700D" w:rsidRDefault="0047700D" w:rsidP="00D55776">
      <w:pPr>
        <w:rPr>
          <w:rFonts w:eastAsia="Calibri Light" w:cstheme="minorHAnsi"/>
          <w:szCs w:val="20"/>
          <w:lang w:val="en-US"/>
        </w:rPr>
      </w:pPr>
      <w:r w:rsidRPr="00F07158">
        <w:rPr>
          <w:rFonts w:eastAsia="Calibri Light" w:cstheme="minorHAnsi"/>
          <w:szCs w:val="20"/>
          <w:lang w:val="en-US"/>
        </w:rPr>
        <w:t xml:space="preserve">Lecanemab preferentially binds with highest affinity to large soluble Aβ protein aggregates, known as protofibrils, while maintaining high affinity for fibrillar Aβ that are a major component of Aβ plaques. The accumulation of Aβ plaques in the brain is a defining pathophysiological feature of AD. Lecanemab reduces Aβ plaques, as evaluated in its Phase 2 </w:t>
      </w:r>
      <w:r w:rsidR="00390B4C">
        <w:rPr>
          <w:rFonts w:eastAsia="Calibri Light" w:cstheme="minorHAnsi"/>
          <w:szCs w:val="20"/>
          <w:lang w:val="en-US"/>
        </w:rPr>
        <w:t xml:space="preserve">and Phase 3 </w:t>
      </w:r>
      <w:r w:rsidRPr="00F07158">
        <w:rPr>
          <w:rFonts w:eastAsia="Calibri Light" w:cstheme="minorHAnsi"/>
          <w:szCs w:val="20"/>
          <w:lang w:val="en-US"/>
        </w:rPr>
        <w:t>trial</w:t>
      </w:r>
      <w:r w:rsidR="00390B4C">
        <w:rPr>
          <w:rFonts w:eastAsia="Calibri Light" w:cstheme="minorHAnsi"/>
          <w:szCs w:val="20"/>
          <w:lang w:val="en-US"/>
        </w:rPr>
        <w:t>s</w:t>
      </w:r>
      <w:r w:rsidRPr="00F07158">
        <w:rPr>
          <w:rFonts w:eastAsia="Calibri Light" w:cstheme="minorHAnsi"/>
          <w:szCs w:val="20"/>
          <w:lang w:val="en-US"/>
        </w:rPr>
        <w:t>.</w:t>
      </w:r>
    </w:p>
    <w:p w14:paraId="111AD512" w14:textId="695F3C4A" w:rsidR="006E0E50" w:rsidRPr="006E0E50" w:rsidRDefault="00103E38" w:rsidP="00D55776">
      <w:pPr>
        <w:rPr>
          <w:rFonts w:eastAsia="Calibri Light" w:cstheme="minorHAnsi"/>
          <w:szCs w:val="20"/>
          <w:lang w:val="en-US"/>
        </w:rPr>
      </w:pPr>
      <w:r w:rsidRPr="00103E38">
        <w:rPr>
          <w:rFonts w:eastAsia="Calibri Light" w:cstheme="minorHAnsi"/>
          <w:szCs w:val="20"/>
          <w:lang w:val="en-US"/>
        </w:rPr>
        <w:t>Clarity AD was a global confirmatory Phase 3 placebo-controlled, double-blind, parallel-group, randomized study in 1,795 people with early AD.</w:t>
      </w:r>
      <w:r w:rsidR="00B520FA" w:rsidRPr="00B520FA">
        <w:t xml:space="preserve"> </w:t>
      </w:r>
      <w:r w:rsidR="00B520FA" w:rsidRPr="00B520FA">
        <w:rPr>
          <w:rFonts w:eastAsia="Calibri Light" w:cstheme="minorHAnsi"/>
          <w:szCs w:val="20"/>
          <w:lang w:val="en-US"/>
        </w:rPr>
        <w:t>Lecanemab met the primary endpoint (CDR-SB: Clinical Dementia Rating-Sum of Boxes</w:t>
      </w:r>
      <w:r w:rsidR="00383133">
        <w:rPr>
          <w:rFonts w:eastAsia="Calibri Light" w:cstheme="minorHAnsi"/>
          <w:szCs w:val="20"/>
          <w:lang w:val="en-US"/>
        </w:rPr>
        <w:t xml:space="preserve"> - </w:t>
      </w:r>
      <w:r w:rsidR="001A2372" w:rsidRPr="001A2372">
        <w:rPr>
          <w:rFonts w:eastAsia="Calibri Light" w:cstheme="minorHAnsi"/>
          <w:szCs w:val="20"/>
          <w:lang w:val="en-US"/>
        </w:rPr>
        <w:t>a numeric scale used to quantify the various severity of symptoms of dementia</w:t>
      </w:r>
      <w:r w:rsidR="00B520FA" w:rsidRPr="00B520FA">
        <w:rPr>
          <w:rFonts w:eastAsia="Calibri Light" w:cstheme="minorHAnsi"/>
          <w:szCs w:val="20"/>
          <w:lang w:val="en-US"/>
        </w:rPr>
        <w:t>) and all key secondary endpoints with highly statistically significant results.</w:t>
      </w:r>
      <w:r w:rsidR="006E0E50" w:rsidRPr="006E0E50">
        <w:t xml:space="preserve"> </w:t>
      </w:r>
      <w:r w:rsidR="006E0E50" w:rsidRPr="006E0E50">
        <w:rPr>
          <w:rFonts w:eastAsia="Calibri Light" w:cstheme="minorHAnsi"/>
          <w:szCs w:val="20"/>
          <w:lang w:val="en-US"/>
        </w:rPr>
        <w:t>Lecanemab treatment met the primary endpoint and reduced clinical decline on the global cognitive and functional scale, CDR-SB, compared with placebo at 18 months by 27%, which represents a treatment difference in the score change of -0.45 (p=0.00005) in the analysis of Intent-to-treat (ITT) population. Starting as early as six months, across all time points, the treatment showed highly statistically significant changes in CDR-SB from baseline compared to placebo (all p-values are less than 0.01). All key secondary endpoints were also met with highly statistically significant results compared with placebo (p&lt;0.01). Key secondary endpoints were the change from baseline at 18 months compared with placebo of treatment in amyloid levels in the brain measured by amyloid positron emission tomography (PET), the AD Assessment Scale-cognitive subscale14 (ADAS-cog14), AD Composite Score (ADCOMS) and the AD Cooperative Study-Activities of Daily Living Scale for Mild Cognitive Impairment (ADCS MCI-ADL).</w:t>
      </w:r>
    </w:p>
    <w:p w14:paraId="1D92C3B1" w14:textId="3E9D7B87" w:rsidR="00103E38" w:rsidRPr="00F07158" w:rsidRDefault="006E0E50" w:rsidP="00D55776">
      <w:pPr>
        <w:rPr>
          <w:rFonts w:eastAsia="Calibri Light" w:cstheme="minorHAnsi"/>
          <w:szCs w:val="20"/>
          <w:lang w:val="en-US"/>
        </w:rPr>
      </w:pPr>
      <w:r w:rsidRPr="006E0E50">
        <w:rPr>
          <w:rFonts w:eastAsia="Calibri Light" w:cstheme="minorHAnsi"/>
          <w:szCs w:val="20"/>
          <w:lang w:val="en-US"/>
        </w:rPr>
        <w:t xml:space="preserve">The incidence of amyloid-related imaging abnormalities-edema/effusion (ARIA-E), an adverse event associated with anti-amyloid antibodies, was 12.5% in the lecanemab group and 1.7% in the placebo group. The incidence of symptomatic ARIA-E was 2.8% in the lecanemab group and 0.0% in the placebo group. The ARIA-H (ARIA cerebral microhemorrhages, cerebral </w:t>
      </w:r>
      <w:r w:rsidR="0000528A" w:rsidRPr="006E0E50">
        <w:rPr>
          <w:rFonts w:eastAsia="Calibri Light" w:cstheme="minorHAnsi"/>
          <w:szCs w:val="20"/>
          <w:lang w:val="en-US"/>
        </w:rPr>
        <w:t>macrohaemorrhages</w:t>
      </w:r>
      <w:r w:rsidRPr="006E0E50">
        <w:rPr>
          <w:rFonts w:eastAsia="Calibri Light" w:cstheme="minorHAnsi"/>
          <w:szCs w:val="20"/>
          <w:lang w:val="en-US"/>
        </w:rPr>
        <w:t>, and superficial siderosis) rate was 17.0% in the lecanemab group and 8.7% in the placebo group. The incidence of symptomatic ARIA-H was 0.7% in the lecanemab group and 0.2% in the placebo group. There was no imbalance in isolated ARIA-H (i.e., ARIA-H in patients who did not also experience ARIA-E) between lecanemab (8.8%) and placebo (7.6%). The total incidence of ARIA (ARIA-E and/or ARIA-H) was 21.3% in the lecanemab group and 9.3% in the placebo group. Overall, lecanemab's ARIA incidence profile was within expectations.</w:t>
      </w:r>
    </w:p>
    <w:p w14:paraId="795EAD37" w14:textId="366AA1DB" w:rsidR="003A0E5B" w:rsidRPr="003A0E5B" w:rsidRDefault="003A0E5B" w:rsidP="00D55776">
      <w:pPr>
        <w:spacing w:before="180" w:after="60" w:line="264" w:lineRule="auto"/>
        <w:rPr>
          <w:rFonts w:eastAsia="Calibri Light" w:cstheme="minorHAnsi"/>
          <w:szCs w:val="20"/>
          <w:lang w:val="en-US"/>
        </w:rPr>
      </w:pPr>
      <w:r w:rsidRPr="00F07158">
        <w:rPr>
          <w:rFonts w:eastAsia="Calibri Light" w:cstheme="minorHAnsi"/>
          <w:szCs w:val="20"/>
          <w:lang w:val="en-US"/>
        </w:rPr>
        <w:t>Lecanemab is supplied for intravenous (IV) administration as a preservative-free, sterile, clear to opalescent, and colorless to pale yellow solution in a glass vial with an elastomeric closure. Lecanemab is supplied in single dose vials containing 500 mg/5mL or 200 mg/2 mL. Each mL of solution contains 100 mg of lecanemab and histidine (0.18 mg), histidine hydrochloride monohydrate (4.99 mg), arginine hydrochloride (42.13 mg), polysorbate 80 (0.50 mg), and water for Injection at an approximate pH of 5.0.</w:t>
      </w:r>
      <w:r w:rsidR="00637FC3" w:rsidRPr="00F07158">
        <w:rPr>
          <w:rFonts w:eastAsia="Calibri Light" w:cstheme="minorHAnsi"/>
          <w:szCs w:val="20"/>
          <w:lang w:val="en-US"/>
        </w:rPr>
        <w:t xml:space="preserve"> </w:t>
      </w:r>
    </w:p>
    <w:p w14:paraId="463B9D0B" w14:textId="77777777" w:rsidR="002A6753" w:rsidRPr="00154B00" w:rsidRDefault="002A6753" w:rsidP="00D55776">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8048CBA" w14:textId="1F9D51DD" w:rsidR="002A6753" w:rsidRDefault="002D69AF" w:rsidP="00D55776">
      <w:r w:rsidRPr="002D69AF">
        <w:t>The use of a non-branded terms Aβ PET or CSF AD biomarker testing are not trademarked.</w:t>
      </w:r>
    </w:p>
    <w:p w14:paraId="042E26A2" w14:textId="1CCD1165" w:rsidR="002D69AF" w:rsidRPr="00154B00" w:rsidRDefault="00754DB3" w:rsidP="00D55776">
      <w:pPr>
        <w:rPr>
          <w:szCs w:val="20"/>
        </w:rPr>
      </w:pPr>
      <w:r>
        <w:t>Lecanemab</w:t>
      </w:r>
      <w:r w:rsidR="002D69AF">
        <w:t xml:space="preserve"> </w:t>
      </w:r>
      <w:r>
        <w:t xml:space="preserve">does not currently have a trade name and is undergoing TGA approval in Australia. </w:t>
      </w:r>
    </w:p>
    <w:p w14:paraId="6197C4B0" w14:textId="77777777" w:rsidR="00C22AD8" w:rsidRPr="00154B00" w:rsidRDefault="00C22AD8" w:rsidP="00D55776">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6617D5D" w14:textId="2AD1F29F" w:rsidR="00DF0C51" w:rsidRDefault="0037454B" w:rsidP="00D55776">
      <w:pPr>
        <w:rPr>
          <w:b/>
          <w:szCs w:val="20"/>
        </w:rPr>
      </w:pPr>
      <w:r>
        <w:t>Not applicable</w:t>
      </w:r>
    </w:p>
    <w:p w14:paraId="4E0DE90F" w14:textId="77777777" w:rsidR="00E2297C" w:rsidRDefault="00E2297C" w:rsidP="00D55776">
      <w:pPr>
        <w:spacing w:before="0" w:after="200" w:line="276" w:lineRule="auto"/>
        <w:ind w:left="0"/>
        <w:rPr>
          <w:b/>
          <w:szCs w:val="20"/>
        </w:rPr>
      </w:pPr>
      <w:r>
        <w:br w:type="page"/>
      </w:r>
    </w:p>
    <w:p w14:paraId="35132211" w14:textId="06B2CE67" w:rsidR="006B1B49" w:rsidRPr="00E357B9" w:rsidRDefault="006B1B49" w:rsidP="00D55776">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e.</w:t>
      </w:r>
      <w:r w:rsidR="00E2297C">
        <w:t>,</w:t>
      </w:r>
      <w:r w:rsidR="00DF0C51">
        <w:t xml:space="preserve"> </w:t>
      </w:r>
      <w:r w:rsidR="00707D4D">
        <w:t xml:space="preserve">accessibility, </w:t>
      </w:r>
      <w:r w:rsidR="00DF0C51" w:rsidRPr="0073597B">
        <w:t>dosage</w:t>
      </w:r>
      <w:r w:rsidR="00DF0C51">
        <w:t>, quantity, duration or frequency</w:t>
      </w:r>
      <w:r w:rsidR="00D30BDC">
        <w:t>)</w:t>
      </w:r>
      <w:r w:rsidR="00093F22">
        <w:t>?</w:t>
      </w:r>
    </w:p>
    <w:p w14:paraId="7133F80B" w14:textId="77777777" w:rsidR="00704173" w:rsidRPr="006B5E26" w:rsidRDefault="00704173" w:rsidP="00D55776">
      <w:pPr>
        <w:rPr>
          <w:b/>
          <w:szCs w:val="20"/>
          <w:u w:val="single"/>
        </w:rPr>
      </w:pPr>
      <w:r w:rsidRPr="006B5E26">
        <w:rPr>
          <w:b/>
          <w:szCs w:val="20"/>
          <w:u w:val="single"/>
        </w:rPr>
        <w:t>Test frequency</w:t>
      </w:r>
    </w:p>
    <w:p w14:paraId="54EB7DB2" w14:textId="2EF04AD9" w:rsidR="00704173" w:rsidRDefault="00704173" w:rsidP="00D55776">
      <w:pPr>
        <w:rPr>
          <w:szCs w:val="20"/>
        </w:rPr>
      </w:pPr>
      <w:r w:rsidRPr="00704173">
        <w:rPr>
          <w:szCs w:val="20"/>
        </w:rPr>
        <w:t>The intention is that a positive Aβ PET or CSF AD biomarker profile would be used for the confirmation of</w:t>
      </w:r>
      <w:r w:rsidR="00C23C66">
        <w:rPr>
          <w:szCs w:val="20"/>
        </w:rPr>
        <w:t xml:space="preserve"> </w:t>
      </w:r>
      <w:r w:rsidRPr="00704173">
        <w:rPr>
          <w:szCs w:val="20"/>
        </w:rPr>
        <w:t xml:space="preserve">patient eligibility for initiation of treatment with </w:t>
      </w:r>
      <w:r w:rsidR="00E263AC">
        <w:rPr>
          <w:szCs w:val="20"/>
        </w:rPr>
        <w:t>lecanemab</w:t>
      </w:r>
      <w:r w:rsidRPr="00704173">
        <w:rPr>
          <w:szCs w:val="20"/>
        </w:rPr>
        <w:t xml:space="preserve"> on the PBS.</w:t>
      </w:r>
      <w:r w:rsidR="002C0EBB" w:rsidRPr="002C0EBB">
        <w:t xml:space="preserve"> </w:t>
      </w:r>
      <w:r w:rsidR="002C0EBB" w:rsidRPr="002C0EBB">
        <w:rPr>
          <w:szCs w:val="20"/>
        </w:rPr>
        <w:t>In a situation where the specialist assessments are inconclusive, a FDG PET will be performed. This assessment may indicate severe AD, or cognitive impairment due to causes other than AD. If the test is inconclusive testing will be repeated every 18 months.</w:t>
      </w:r>
    </w:p>
    <w:p w14:paraId="200B104B" w14:textId="77777777" w:rsidR="006B5E26" w:rsidRPr="006B5E26" w:rsidRDefault="006B5E26" w:rsidP="00D55776">
      <w:pPr>
        <w:rPr>
          <w:b/>
          <w:szCs w:val="20"/>
          <w:u w:val="single"/>
        </w:rPr>
      </w:pPr>
      <w:r w:rsidRPr="006B5E26">
        <w:rPr>
          <w:b/>
          <w:szCs w:val="20"/>
          <w:u w:val="single"/>
        </w:rPr>
        <w:t>Accessibility</w:t>
      </w:r>
    </w:p>
    <w:p w14:paraId="4660BD83" w14:textId="70164105" w:rsidR="006B5E26" w:rsidRPr="00154B00" w:rsidRDefault="006B5E26" w:rsidP="00D55776">
      <w:pPr>
        <w:rPr>
          <w:szCs w:val="20"/>
        </w:rPr>
      </w:pPr>
      <w:r w:rsidRPr="006B5E26">
        <w:rPr>
          <w:szCs w:val="20"/>
        </w:rPr>
        <w:t>CSF AD</w:t>
      </w:r>
      <w:r w:rsidR="00C23C66">
        <w:rPr>
          <w:szCs w:val="20"/>
        </w:rPr>
        <w:t xml:space="preserve"> </w:t>
      </w:r>
      <w:r w:rsidRPr="006B5E26">
        <w:rPr>
          <w:szCs w:val="20"/>
        </w:rPr>
        <w:t xml:space="preserve">biomarker assay </w:t>
      </w:r>
      <w:r w:rsidR="003A46E4">
        <w:rPr>
          <w:szCs w:val="20"/>
        </w:rPr>
        <w:t>has been proposed as a</w:t>
      </w:r>
      <w:r w:rsidRPr="006B5E26">
        <w:rPr>
          <w:szCs w:val="20"/>
        </w:rPr>
        <w:t xml:space="preserve"> secondary diagnostic for </w:t>
      </w:r>
      <w:r w:rsidR="003A46E4">
        <w:rPr>
          <w:szCs w:val="20"/>
        </w:rPr>
        <w:t>lecanemab</w:t>
      </w:r>
      <w:r w:rsidRPr="006B5E26">
        <w:rPr>
          <w:szCs w:val="20"/>
        </w:rPr>
        <w:t xml:space="preserve"> eligibility,</w:t>
      </w:r>
      <w:r w:rsidR="003A46E4">
        <w:rPr>
          <w:szCs w:val="20"/>
        </w:rPr>
        <w:t xml:space="preserve"> should</w:t>
      </w:r>
      <w:r w:rsidRPr="006B5E26">
        <w:rPr>
          <w:szCs w:val="20"/>
        </w:rPr>
        <w:t xml:space="preserve"> any access issue to Aβ PET </w:t>
      </w:r>
      <w:r w:rsidR="003A46E4">
        <w:rPr>
          <w:szCs w:val="20"/>
        </w:rPr>
        <w:t>be identified</w:t>
      </w:r>
      <w:r w:rsidR="00C23C66">
        <w:rPr>
          <w:szCs w:val="20"/>
        </w:rPr>
        <w:t xml:space="preserve">, </w:t>
      </w:r>
      <w:r w:rsidRPr="006B5E26">
        <w:rPr>
          <w:szCs w:val="20"/>
        </w:rPr>
        <w:t xml:space="preserve">as the lumbar puncture procedure can be performed to collect CSF specimens for in vitro testing. </w:t>
      </w:r>
    </w:p>
    <w:p w14:paraId="60DE02A9" w14:textId="77777777" w:rsidR="00791C8D" w:rsidRPr="00154B00" w:rsidRDefault="00791C8D" w:rsidP="00D55776">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8B3FB28" w14:textId="77777777" w:rsidR="00EB1935" w:rsidRDefault="00EB1935" w:rsidP="00D55776">
      <w:r>
        <w:t xml:space="preserve">Medical services that may be required concurrently with Aβ PET </w:t>
      </w:r>
    </w:p>
    <w:p w14:paraId="66272A41" w14:textId="27624E85" w:rsidR="00EB1935" w:rsidRDefault="00EB1935" w:rsidP="00D55776">
      <w:pPr>
        <w:pStyle w:val="ListParagraph"/>
        <w:numPr>
          <w:ilvl w:val="0"/>
          <w:numId w:val="24"/>
        </w:numPr>
      </w:pPr>
      <w:r>
        <w:t>Administration of the amyloid radiotracer is assumed to be part of the Aβ PET service.</w:t>
      </w:r>
    </w:p>
    <w:p w14:paraId="52A7ACB5" w14:textId="77777777" w:rsidR="00EB1935" w:rsidRDefault="00EB1935" w:rsidP="00D55776">
      <w:r>
        <w:t>Medical services that may be required concurrently with CSF Biomarker testing</w:t>
      </w:r>
    </w:p>
    <w:p w14:paraId="6E717529" w14:textId="485BA157" w:rsidR="00EB1935" w:rsidRDefault="00EB1935" w:rsidP="00D55776">
      <w:pPr>
        <w:pStyle w:val="ListParagraph"/>
        <w:numPr>
          <w:ilvl w:val="0"/>
          <w:numId w:val="27"/>
        </w:numPr>
      </w:pPr>
      <w:r>
        <w:t>CSF sample collection would require a lumbar puncture (MBS item 39000) with or without anaesthesia, as required (MBS item 21945).</w:t>
      </w:r>
    </w:p>
    <w:p w14:paraId="198516C7" w14:textId="77777777" w:rsidR="00B17E26" w:rsidRPr="00154B00" w:rsidRDefault="00B17E26" w:rsidP="00D55776">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F74ED64" w14:textId="77777777" w:rsidR="004705CA" w:rsidRDefault="007B1806" w:rsidP="00D55776">
      <w:pPr>
        <w:rPr>
          <w:szCs w:val="20"/>
        </w:rPr>
      </w:pPr>
      <w:r w:rsidRPr="007B1806">
        <w:rPr>
          <w:szCs w:val="20"/>
        </w:rPr>
        <w:t xml:space="preserve">Aβ PET examinations should only be performed by, or under the supervision of, a registered nuclear medicine specialist. Specialists who interpret Aβ PET results should also complete appropriate training programs provided by the manufacturers of radiotracers. </w:t>
      </w:r>
    </w:p>
    <w:p w14:paraId="69DE17B2" w14:textId="77777777" w:rsidR="004705CA" w:rsidRDefault="007B1806" w:rsidP="00D55776">
      <w:pPr>
        <w:rPr>
          <w:szCs w:val="20"/>
        </w:rPr>
      </w:pPr>
      <w:r w:rsidRPr="007B1806">
        <w:rPr>
          <w:szCs w:val="20"/>
        </w:rPr>
        <w:t xml:space="preserve">A certified pathologist is usually primarily responsible for overseeing the CSF AD biomarker testing and reporting of results. It is proposed that CSF AD biomarker service could be undertaken at any NATA accredited pathology laboratory provided the laboratory’s validation of the assay method had also been NATA accredited. </w:t>
      </w:r>
    </w:p>
    <w:p w14:paraId="0AFC413C" w14:textId="083FF97C" w:rsidR="00EB1935" w:rsidRPr="00154B00" w:rsidRDefault="007B1806" w:rsidP="00D55776">
      <w:pPr>
        <w:rPr>
          <w:szCs w:val="20"/>
        </w:rPr>
      </w:pPr>
      <w:r w:rsidRPr="007B1806">
        <w:rPr>
          <w:szCs w:val="20"/>
        </w:rPr>
        <w:t>It is proposed that referral for Aβ PET and ordering of CSF AD biomarker tests be restricted to specialist clinicians (geriatricians, psycho-geriatricians, neurologists, and psychiatrists) involved in the diagnosis and care of patients with MCI or dementia.</w:t>
      </w:r>
    </w:p>
    <w:p w14:paraId="000B17BD" w14:textId="77777777" w:rsidR="00B17E26" w:rsidRPr="00154B00" w:rsidRDefault="00B17E26" w:rsidP="00D55776">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6BDC6348" w14:textId="77777777" w:rsidR="001575B7" w:rsidRDefault="00521224" w:rsidP="00D55776">
      <w:r>
        <w:t>PET services are not delegated or referred. PET services involve nuclear medicine specialists who consult with the patient, determine the relevant dosage and nature of the scan, review the available relevant clinical data and preparation of the report of the scan. The equipment is operated by trained technologists under the direction of the nuclear medicine specialist. Quality is assured by the nuclear medicine specialists. Other staff involved in the delivery of the service may include nurses and administration staff.</w:t>
      </w:r>
    </w:p>
    <w:p w14:paraId="7C7C6C9A" w14:textId="3039E33A" w:rsidR="00521224" w:rsidRPr="00154B00" w:rsidRDefault="00521224" w:rsidP="00D55776">
      <w:pPr>
        <w:rPr>
          <w:szCs w:val="20"/>
        </w:rPr>
      </w:pPr>
      <w:r>
        <w:t>It is anticipated that a NATA accredited laboratory, overseen by a certified pathologist, would deliver a CSF AD biomarker testing service. Only appropriately qualified laboratory staff actually run the test procedures on behalf of the certified pathologist.</w:t>
      </w:r>
    </w:p>
    <w:p w14:paraId="734239BA" w14:textId="77777777" w:rsidR="00EA0E25" w:rsidRPr="00154B00" w:rsidRDefault="00EA0E25" w:rsidP="00D55776">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304E2BD" w14:textId="18CC18FA" w:rsidR="00845245" w:rsidRPr="00154B00" w:rsidRDefault="00845245" w:rsidP="00D55776">
      <w:pPr>
        <w:rPr>
          <w:szCs w:val="20"/>
        </w:rPr>
      </w:pPr>
      <w:r>
        <w:t>It is proposed that referral for Aβ PET and ordering of CSF biomarker tests be restricted to specialist clinicians (geriatricians, psycho-geriatricians, neurologists, and psychiatrists) involved in the diagnosis and care of patients with MCI or dementia.</w:t>
      </w:r>
    </w:p>
    <w:p w14:paraId="2BD3CFD3" w14:textId="77777777" w:rsidR="00B4456D" w:rsidRDefault="00B4456D">
      <w:pPr>
        <w:spacing w:before="0" w:after="200" w:line="276" w:lineRule="auto"/>
        <w:ind w:left="0"/>
        <w:rPr>
          <w:b/>
          <w:szCs w:val="20"/>
        </w:rPr>
      </w:pPr>
      <w:r>
        <w:br w:type="page"/>
      </w:r>
    </w:p>
    <w:p w14:paraId="744840A4" w14:textId="537432F5" w:rsidR="00EA0E25" w:rsidRDefault="00EA0E25" w:rsidP="00D55776">
      <w:pPr>
        <w:pStyle w:val="Heading2"/>
      </w:pPr>
      <w:r w:rsidRPr="00154B00">
        <w:lastRenderedPageBreak/>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7397428" w14:textId="3735819B" w:rsidR="00775E84" w:rsidRPr="00775E84" w:rsidRDefault="006C1DFC" w:rsidP="00D55776">
      <w:r>
        <w:t>N</w:t>
      </w:r>
      <w:r w:rsidR="00775E84" w:rsidRPr="00775E84">
        <w:t xml:space="preserve">uclear medicine specialists in </w:t>
      </w:r>
      <w:r w:rsidR="00165099">
        <w:t>Australia r</w:t>
      </w:r>
      <w:r w:rsidR="00775E84" w:rsidRPr="00775E84">
        <w:t>eading amyloid PET scans</w:t>
      </w:r>
      <w:r>
        <w:t xml:space="preserve"> </w:t>
      </w:r>
      <w:r w:rsidR="00F77CDC">
        <w:t>undergo</w:t>
      </w:r>
      <w:r>
        <w:t xml:space="preserve"> accreditation.</w:t>
      </w:r>
      <w:r w:rsidR="009F489B">
        <w:t xml:space="preserve"> It is debated by experts as to whether this should be mandatory.</w:t>
      </w:r>
    </w:p>
    <w:p w14:paraId="6A30342C" w14:textId="084BDB51" w:rsidR="001C1598" w:rsidRDefault="00775E84" w:rsidP="00D55776">
      <w:r w:rsidRPr="00775E84">
        <w:rPr>
          <w:rFonts w:eastAsia="Times New Roman"/>
        </w:rPr>
        <w:t>Training modules for all 3 tracers available online.</w:t>
      </w:r>
      <w:r w:rsidR="00DB5302">
        <w:rPr>
          <w:rFonts w:eastAsia="Times New Roman"/>
        </w:rPr>
        <w:t xml:space="preserve"> </w:t>
      </w:r>
      <w:r w:rsidR="00204200">
        <w:t xml:space="preserve">Aβ PET services for patients with </w:t>
      </w:r>
      <w:r w:rsidR="00E2297C">
        <w:t>early-stage</w:t>
      </w:r>
      <w:r w:rsidR="00204200">
        <w:t xml:space="preserve"> AD must be performed by: </w:t>
      </w:r>
    </w:p>
    <w:p w14:paraId="0E980229" w14:textId="789794B1" w:rsidR="001C1598" w:rsidRDefault="00204200" w:rsidP="00D55776">
      <w:r>
        <w:t xml:space="preserve">a) a nuclear medicine specialist or consultant physician credentialed under the Joint Nuclear Medicine Specialist Credentialing Program for the Recognition of the Credentials of Nuclear Medicine Specialists for Positron Emission Tomography overseen by the Joint Nuclear Medicine Credentialing and Accreditation Committee of the Royal Australasian College of Physicians (RACP) and Royal Australian and New Zealand College of Radiologists (RANZCR); </w:t>
      </w:r>
    </w:p>
    <w:p w14:paraId="66C8FE3D" w14:textId="231C4537" w:rsidR="001C1598" w:rsidRDefault="00204200" w:rsidP="00D55776">
      <w:r>
        <w:t>or b) a practitioner who is a Fellow of either RACP or RANZCR, and who, prior to 1 November 2011, reported 400 or more studies forming part of PET services for which a Medicare benefit was payable, and who holds a current licence from the relevant State radiation licensing body to prescribe and administer the intended PET radiopharmaceuticals to humans. Furthermore, the product information for the radioactive tracers used in Aβ PET state that the images should be interpreted only by readers who have successfully completed training provided by the manufacturer of the tracer being used. 18F-flutafuranol (NAV4694) reader training can be provided by Austin Health, the Australian Dementia Network and the ANZ Society of Nuclear Medicine.</w:t>
      </w:r>
    </w:p>
    <w:p w14:paraId="5246C0D0" w14:textId="4F549FA8" w:rsidR="001C1598" w:rsidRPr="004C01C2" w:rsidRDefault="00204200" w:rsidP="00D55776">
      <w:pPr>
        <w:rPr>
          <w:b/>
          <w:u w:val="single"/>
        </w:rPr>
      </w:pPr>
      <w:r w:rsidRPr="004C01C2">
        <w:rPr>
          <w:b/>
          <w:u w:val="single"/>
        </w:rPr>
        <w:t>CSF AD biomarker testing</w:t>
      </w:r>
    </w:p>
    <w:p w14:paraId="1E2596F0" w14:textId="77777777" w:rsidR="001C1598" w:rsidRDefault="00204200" w:rsidP="00D55776">
      <w:r>
        <w:t>It would be expected, that consistent with other in vitro diagnostic assay kits for targeted therapies, that pathologist training and a quality assurance program would be developed.</w:t>
      </w:r>
    </w:p>
    <w:p w14:paraId="71B90EE8" w14:textId="1A49D964" w:rsidR="00845245" w:rsidRPr="00154B00" w:rsidRDefault="00204200" w:rsidP="00D55776">
      <w:pPr>
        <w:rPr>
          <w:szCs w:val="20"/>
        </w:rPr>
      </w:pPr>
      <w:r>
        <w:t xml:space="preserve"> It is also expected that each laboratory performing the test would need to establish its own reference ranges and validated cut-off values and NATA accreditation would be required.</w:t>
      </w:r>
    </w:p>
    <w:p w14:paraId="6BA6BF21" w14:textId="77777777" w:rsidR="005F3F07" w:rsidRDefault="005C3AE7" w:rsidP="00D55776">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6FF393D" w14:textId="202653BB" w:rsidR="000A478F" w:rsidRDefault="00E93E67" w:rsidP="00D55776">
      <w:pPr>
        <w:pStyle w:val="Tickboxes"/>
      </w:pPr>
      <w:r>
        <w:fldChar w:fldCharType="begin">
          <w:ffData>
            <w:name w:val=""/>
            <w:enabled/>
            <w:calcOnExit w:val="0"/>
            <w:checkBox>
              <w:sizeAuto/>
              <w:default w:val="1"/>
            </w:checkBox>
          </w:ffData>
        </w:fldChar>
      </w:r>
      <w:r w:rsidRPr="00E93E67">
        <w:instrText xml:space="preserve"> FORMCHECKBOX </w:instrText>
      </w:r>
      <w:r w:rsidR="00B81886">
        <w:fldChar w:fldCharType="separate"/>
      </w:r>
      <w:r>
        <w:fldChar w:fldCharType="end"/>
      </w:r>
      <w:r w:rsidR="000A478F">
        <w:t xml:space="preserve"> Inpatient private hospital</w:t>
      </w:r>
      <w:r w:rsidR="0079354C">
        <w:t xml:space="preserve"> (admitted patient)</w:t>
      </w:r>
    </w:p>
    <w:p w14:paraId="3843DADD" w14:textId="0111F67A" w:rsidR="000A478F" w:rsidRDefault="00E93E67" w:rsidP="00D55776">
      <w:pPr>
        <w:pStyle w:val="Tickboxes"/>
      </w:pPr>
      <w:r>
        <w:fldChar w:fldCharType="begin">
          <w:ffData>
            <w:name w:val=""/>
            <w:enabled/>
            <w:calcOnExit w:val="0"/>
            <w:checkBox>
              <w:sizeAuto/>
              <w:default w:val="1"/>
            </w:checkBox>
          </w:ffData>
        </w:fldChar>
      </w:r>
      <w:r w:rsidRPr="00E93E67">
        <w:instrText xml:space="preserve"> FORMCHECKBOX </w:instrText>
      </w:r>
      <w:r w:rsidR="00B81886">
        <w:fldChar w:fldCharType="separate"/>
      </w:r>
      <w:r>
        <w:fldChar w:fldCharType="end"/>
      </w:r>
      <w:r w:rsidR="000A478F">
        <w:t xml:space="preserve"> Inpatient public hospital</w:t>
      </w:r>
      <w:r w:rsidR="0079354C">
        <w:t xml:space="preserve"> (admitted patient)</w:t>
      </w:r>
    </w:p>
    <w:p w14:paraId="1E3013F3" w14:textId="0A13A3D9" w:rsidR="000A478F" w:rsidRDefault="00E93E67" w:rsidP="00D55776">
      <w:pPr>
        <w:pStyle w:val="Tickboxes"/>
      </w:pPr>
      <w:r>
        <w:fldChar w:fldCharType="begin">
          <w:ffData>
            <w:name w:val=""/>
            <w:enabled/>
            <w:calcOnExit w:val="0"/>
            <w:checkBox>
              <w:sizeAuto/>
              <w:default w:val="1"/>
            </w:checkBox>
          </w:ffData>
        </w:fldChar>
      </w:r>
      <w:r w:rsidRPr="00E93E67">
        <w:instrText xml:space="preserve"> FORMCHECKBOX </w:instrText>
      </w:r>
      <w:r w:rsidR="00B81886">
        <w:fldChar w:fldCharType="separate"/>
      </w:r>
      <w:r>
        <w:fldChar w:fldCharType="end"/>
      </w:r>
      <w:r w:rsidR="000A478F">
        <w:t xml:space="preserve"> </w:t>
      </w:r>
      <w:r w:rsidR="003904AC">
        <w:t>Private o</w:t>
      </w:r>
      <w:r w:rsidR="000A478F">
        <w:t>utpatient clinic</w:t>
      </w:r>
    </w:p>
    <w:p w14:paraId="357A0594" w14:textId="02FE335C" w:rsidR="0079354C" w:rsidRDefault="00E93E67" w:rsidP="00D55776">
      <w:pPr>
        <w:pStyle w:val="Tickboxes"/>
      </w:pPr>
      <w:r>
        <w:fldChar w:fldCharType="begin">
          <w:ffData>
            <w:name w:val=""/>
            <w:enabled/>
            <w:calcOnExit w:val="0"/>
            <w:checkBox>
              <w:sizeAuto/>
              <w:default w:val="1"/>
            </w:checkBox>
          </w:ffData>
        </w:fldChar>
      </w:r>
      <w:r w:rsidRPr="00E93E67">
        <w:instrText xml:space="preserve"> FORMCHECKBOX </w:instrText>
      </w:r>
      <w:r w:rsidR="00B81886">
        <w:fldChar w:fldCharType="separate"/>
      </w:r>
      <w:r>
        <w:fldChar w:fldCharType="end"/>
      </w:r>
      <w:r w:rsidR="0079354C">
        <w:t xml:space="preserve"> Public outpatient clinic</w:t>
      </w:r>
    </w:p>
    <w:p w14:paraId="2534D05D" w14:textId="77777777" w:rsidR="000A478F" w:rsidRDefault="000A478F"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Emergency Department</w:t>
      </w:r>
    </w:p>
    <w:p w14:paraId="762A5234" w14:textId="77777777" w:rsidR="000A478F" w:rsidRDefault="000A478F"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w:t>
      </w:r>
      <w:r w:rsidR="003904AC">
        <w:t xml:space="preserve">Private </w:t>
      </w:r>
      <w:r w:rsidR="0079354C">
        <w:t>c</w:t>
      </w:r>
      <w:r>
        <w:t>onsulting rooms</w:t>
      </w:r>
      <w:r w:rsidR="0079354C">
        <w:t xml:space="preserve"> - GP</w:t>
      </w:r>
    </w:p>
    <w:p w14:paraId="50A08D99" w14:textId="0A8DC680" w:rsidR="0079354C" w:rsidRDefault="004C01C2" w:rsidP="00D55776">
      <w:pPr>
        <w:pStyle w:val="Tickboxes"/>
      </w:pPr>
      <w:r>
        <w:fldChar w:fldCharType="begin">
          <w:ffData>
            <w:name w:val=""/>
            <w:enabled/>
            <w:calcOnExit w:val="0"/>
            <w:checkBox>
              <w:sizeAuto/>
              <w:default w:val="1"/>
            </w:checkBox>
          </w:ffData>
        </w:fldChar>
      </w:r>
      <w:r w:rsidRPr="004C01C2">
        <w:instrText xml:space="preserve"> FORMCHECKBOX </w:instrText>
      </w:r>
      <w:r w:rsidR="00B81886">
        <w:fldChar w:fldCharType="separate"/>
      </w:r>
      <w:r>
        <w:fldChar w:fldCharType="end"/>
      </w:r>
      <w:r w:rsidR="0079354C">
        <w:t xml:space="preserve"> Private consulting rooms – specialist</w:t>
      </w:r>
    </w:p>
    <w:p w14:paraId="3A651866" w14:textId="77777777" w:rsidR="0079354C" w:rsidRDefault="0079354C"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Private consulting rooms – other health practitioner (nurse or allied health)</w:t>
      </w:r>
    </w:p>
    <w:p w14:paraId="5365D785" w14:textId="6F5A7487" w:rsidR="000A478F" w:rsidRDefault="004C01C2" w:rsidP="00D55776">
      <w:pPr>
        <w:pStyle w:val="Tickboxes"/>
      </w:pPr>
      <w:r>
        <w:fldChar w:fldCharType="begin">
          <w:ffData>
            <w:name w:val=""/>
            <w:enabled/>
            <w:calcOnExit w:val="0"/>
            <w:checkBox>
              <w:sizeAuto/>
              <w:default w:val="1"/>
            </w:checkBox>
          </w:ffData>
        </w:fldChar>
      </w:r>
      <w:r w:rsidRPr="004C01C2">
        <w:instrText xml:space="preserve"> FORMCHECKBOX </w:instrText>
      </w:r>
      <w:r w:rsidR="00B81886">
        <w:fldChar w:fldCharType="separate"/>
      </w:r>
      <w:r>
        <w:fldChar w:fldCharType="end"/>
      </w:r>
      <w:r w:rsidR="000A478F">
        <w:t xml:space="preserve"> </w:t>
      </w:r>
      <w:r w:rsidR="0079354C">
        <w:t>Private d</w:t>
      </w:r>
      <w:r w:rsidR="000A478F">
        <w:t>ay surgery c</w:t>
      </w:r>
      <w:r w:rsidR="0079354C">
        <w:t>linic (admitted patient)</w:t>
      </w:r>
    </w:p>
    <w:p w14:paraId="0509FAB0" w14:textId="3AF2046B" w:rsidR="0079354C" w:rsidRDefault="004C01C2" w:rsidP="00D55776">
      <w:pPr>
        <w:pStyle w:val="Tickboxes"/>
      </w:pPr>
      <w:r>
        <w:fldChar w:fldCharType="begin">
          <w:ffData>
            <w:name w:val=""/>
            <w:enabled/>
            <w:calcOnExit w:val="0"/>
            <w:checkBox>
              <w:sizeAuto/>
              <w:default w:val="1"/>
            </w:checkBox>
          </w:ffData>
        </w:fldChar>
      </w:r>
      <w:r w:rsidRPr="004C01C2">
        <w:instrText xml:space="preserve"> FORMCHECKBOX </w:instrText>
      </w:r>
      <w:r w:rsidR="00B81886">
        <w:fldChar w:fldCharType="separate"/>
      </w:r>
      <w:r>
        <w:fldChar w:fldCharType="end"/>
      </w:r>
      <w:r w:rsidR="0079354C">
        <w:t xml:space="preserve"> Private day surgery clinic (non-admitted patient)</w:t>
      </w:r>
    </w:p>
    <w:p w14:paraId="6AE2DE98" w14:textId="39CEAE51" w:rsidR="0079354C" w:rsidRDefault="004C01C2" w:rsidP="00D55776">
      <w:pPr>
        <w:pStyle w:val="Tickboxes"/>
      </w:pPr>
      <w:r>
        <w:fldChar w:fldCharType="begin">
          <w:ffData>
            <w:name w:val=""/>
            <w:enabled/>
            <w:calcOnExit w:val="0"/>
            <w:checkBox>
              <w:sizeAuto/>
              <w:default w:val="1"/>
            </w:checkBox>
          </w:ffData>
        </w:fldChar>
      </w:r>
      <w:r w:rsidRPr="004C01C2">
        <w:instrText xml:space="preserve"> FORMCHECKBOX </w:instrText>
      </w:r>
      <w:r w:rsidR="00B81886">
        <w:fldChar w:fldCharType="separate"/>
      </w:r>
      <w:r>
        <w:fldChar w:fldCharType="end"/>
      </w:r>
      <w:r w:rsidR="0079354C">
        <w:t xml:space="preserve"> Public day surgery clinic (admitted patient)</w:t>
      </w:r>
    </w:p>
    <w:p w14:paraId="1C8250F3" w14:textId="1FFB001B" w:rsidR="0079354C" w:rsidRDefault="004C01C2" w:rsidP="00D55776">
      <w:pPr>
        <w:pStyle w:val="Tickboxes"/>
      </w:pPr>
      <w:r>
        <w:fldChar w:fldCharType="begin">
          <w:ffData>
            <w:name w:val=""/>
            <w:enabled/>
            <w:calcOnExit w:val="0"/>
            <w:checkBox>
              <w:sizeAuto/>
              <w:default w:val="1"/>
            </w:checkBox>
          </w:ffData>
        </w:fldChar>
      </w:r>
      <w:r w:rsidRPr="004C01C2">
        <w:instrText xml:space="preserve"> FORMCHECKBOX </w:instrText>
      </w:r>
      <w:r w:rsidR="00B81886">
        <w:fldChar w:fldCharType="separate"/>
      </w:r>
      <w:r>
        <w:fldChar w:fldCharType="end"/>
      </w:r>
      <w:r w:rsidR="0079354C">
        <w:t xml:space="preserve"> Public day surgery clinic (non-admitted patient)</w:t>
      </w:r>
    </w:p>
    <w:p w14:paraId="4E684B20" w14:textId="77777777" w:rsidR="000A478F" w:rsidRDefault="000A478F"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Residential aged care facility</w:t>
      </w:r>
    </w:p>
    <w:p w14:paraId="1216E418" w14:textId="77777777" w:rsidR="000A478F" w:rsidRDefault="000A478F"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Patient’s home</w:t>
      </w:r>
    </w:p>
    <w:p w14:paraId="13391B8D" w14:textId="38EA7434" w:rsidR="000A478F" w:rsidRDefault="00E93E67" w:rsidP="00D55776">
      <w:pPr>
        <w:pStyle w:val="Tickboxes"/>
      </w:pPr>
      <w:r>
        <w:fldChar w:fldCharType="begin">
          <w:ffData>
            <w:name w:val=""/>
            <w:enabled/>
            <w:calcOnExit w:val="0"/>
            <w:checkBox>
              <w:sizeAuto/>
              <w:default w:val="1"/>
            </w:checkBox>
          </w:ffData>
        </w:fldChar>
      </w:r>
      <w:r w:rsidRPr="00E93E67">
        <w:instrText xml:space="preserve"> FORMCHECKBOX </w:instrText>
      </w:r>
      <w:r w:rsidR="00B81886">
        <w:fldChar w:fldCharType="separate"/>
      </w:r>
      <w:r>
        <w:fldChar w:fldCharType="end"/>
      </w:r>
      <w:r w:rsidR="000A478F">
        <w:t xml:space="preserve"> Laboratory</w:t>
      </w:r>
    </w:p>
    <w:p w14:paraId="10E2B7DB" w14:textId="77777777" w:rsidR="000A478F" w:rsidRPr="000A478F" w:rsidRDefault="000A478F" w:rsidP="00D55776">
      <w:pPr>
        <w:pStyle w:val="Tickboxes"/>
      </w:pPr>
      <w:r w:rsidRPr="000A5B32">
        <w:fldChar w:fldCharType="begin">
          <w:ffData>
            <w:name w:val="Check1"/>
            <w:enabled/>
            <w:calcOnExit w:val="0"/>
            <w:checkBox>
              <w:sizeAuto/>
              <w:default w:val="0"/>
            </w:checkBox>
          </w:ffData>
        </w:fldChar>
      </w:r>
      <w:r w:rsidRPr="000A5B32">
        <w:instrText xml:space="preserve"> FORMCHECKBOX </w:instrText>
      </w:r>
      <w:r w:rsidR="00B81886">
        <w:fldChar w:fldCharType="separate"/>
      </w:r>
      <w:r w:rsidRPr="000A5B32">
        <w:fldChar w:fldCharType="end"/>
      </w:r>
      <w:r>
        <w:t xml:space="preserve"> Other – please specify below</w:t>
      </w:r>
    </w:p>
    <w:p w14:paraId="6C2C8001" w14:textId="77777777" w:rsidR="003433D1" w:rsidRPr="005C3AE7" w:rsidRDefault="00E048ED" w:rsidP="00D55776">
      <w:pPr>
        <w:pStyle w:val="ListParagraph"/>
        <w:numPr>
          <w:ilvl w:val="0"/>
          <w:numId w:val="8"/>
        </w:numPr>
      </w:pPr>
      <w:r w:rsidRPr="005C3AE7">
        <w:t>Where the proposed medical service is provided in more than one setting, please describ</w:t>
      </w:r>
      <w:r w:rsidR="00AE1188" w:rsidRPr="005C3AE7">
        <w:t>e the rationale related to each:</w:t>
      </w:r>
    </w:p>
    <w:p w14:paraId="686D12B4" w14:textId="5C2FC9AF" w:rsidR="009246EE" w:rsidRDefault="009246EE" w:rsidP="00D55776">
      <w:pPr>
        <w:rPr>
          <w:b/>
          <w:szCs w:val="20"/>
        </w:rPr>
      </w:pPr>
      <w:r>
        <w:t>Aβ PET services may be provided in both an inpatient and outpatient setting. CSF AD biomarker testing would be undertaken in a laboratory setting, but specimen collection and some pre-analytical handling of the specimen could take place in multiple admitted and non-admitted patient settings</w:t>
      </w:r>
    </w:p>
    <w:p w14:paraId="281B472C" w14:textId="77777777" w:rsidR="003E30FB" w:rsidRDefault="003E30FB" w:rsidP="00D55776">
      <w:pPr>
        <w:pStyle w:val="Heading2"/>
      </w:pPr>
      <w:r>
        <w:t xml:space="preserve">Is the </w:t>
      </w:r>
      <w:r w:rsidRPr="001B29A1">
        <w:t>proposed</w:t>
      </w:r>
      <w:r>
        <w:t xml:space="preserve"> medical service intended to be entirely rendered in Australia?</w:t>
      </w:r>
    </w:p>
    <w:p w14:paraId="3986236D" w14:textId="240179D4" w:rsidR="000A478F" w:rsidRDefault="009246EE" w:rsidP="00D55776">
      <w:pPr>
        <w:pStyle w:val="Tickboxes"/>
      </w:pPr>
      <w:r>
        <w:fldChar w:fldCharType="begin">
          <w:ffData>
            <w:name w:val=""/>
            <w:enabled/>
            <w:calcOnExit w:val="0"/>
            <w:checkBox>
              <w:sizeAuto/>
              <w:default w:val="1"/>
            </w:checkBox>
          </w:ffData>
        </w:fldChar>
      </w:r>
      <w:r w:rsidRPr="009246EE">
        <w:instrText xml:space="preserve"> FORMCHECKBOX </w:instrText>
      </w:r>
      <w:r w:rsidR="00B81886">
        <w:fldChar w:fldCharType="separate"/>
      </w:r>
      <w:r>
        <w:fldChar w:fldCharType="end"/>
      </w:r>
      <w:r w:rsidR="000A478F">
        <w:t xml:space="preserve"> Yes</w:t>
      </w:r>
    </w:p>
    <w:p w14:paraId="6A09DF2B" w14:textId="5315F7AE" w:rsidR="000A478F" w:rsidRPr="00753C44" w:rsidRDefault="000A478F" w:rsidP="00D55776">
      <w:pPr>
        <w:pStyle w:val="Tickboxes"/>
      </w:pPr>
      <w:r w:rsidRPr="00753C44">
        <w:fldChar w:fldCharType="begin">
          <w:ffData>
            <w:name w:val="Check2"/>
            <w:enabled/>
            <w:calcOnExit w:val="0"/>
            <w:checkBox>
              <w:sizeAuto/>
              <w:default w:val="0"/>
            </w:checkBox>
          </w:ffData>
        </w:fldChar>
      </w:r>
      <w:r w:rsidRPr="00753C44">
        <w:instrText xml:space="preserve"> FORMCHECKBOX </w:instrText>
      </w:r>
      <w:r w:rsidR="00B81886">
        <w:fldChar w:fldCharType="separate"/>
      </w:r>
      <w:r w:rsidRPr="00753C44">
        <w:fldChar w:fldCharType="end"/>
      </w:r>
      <w:r>
        <w:t xml:space="preserve"> No</w:t>
      </w:r>
    </w:p>
    <w:p w14:paraId="12CBD81F" w14:textId="77777777" w:rsidR="00E60529" w:rsidRPr="00881F93" w:rsidRDefault="005C3AE7" w:rsidP="00D55776">
      <w:pPr>
        <w:pStyle w:val="Subtitle"/>
        <w:ind w:left="0"/>
      </w:pPr>
      <w:r>
        <w:lastRenderedPageBreak/>
        <w:t xml:space="preserve">PART 6c – </w:t>
      </w:r>
      <w:r w:rsidR="00E60529" w:rsidRPr="00881F93">
        <w:t>INFORMATION ABOUT THE COMPARATOR</w:t>
      </w:r>
      <w:r w:rsidR="00A83EC6" w:rsidRPr="00881F93">
        <w:t>(S)</w:t>
      </w:r>
    </w:p>
    <w:p w14:paraId="312EE558" w14:textId="77777777" w:rsidR="00E60529" w:rsidRPr="00154B00" w:rsidRDefault="00A83EC6" w:rsidP="00D55776">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0DDEDFD" w14:textId="77777777" w:rsidR="006560BC" w:rsidRDefault="00EB3D04" w:rsidP="00D55776">
      <w:pPr>
        <w:jc w:val="both"/>
      </w:pPr>
      <w:bookmarkStart w:id="23" w:name="_Hlk119058148"/>
      <w:r w:rsidRPr="00EB3D04">
        <w:t>There is currently no single test to identify AD. The diagnosis is made only after careful clinical consultation.</w:t>
      </w:r>
      <w:r>
        <w:t xml:space="preserve"> </w:t>
      </w:r>
      <w:r w:rsidR="00091445">
        <w:t>Testing to detec</w:t>
      </w:r>
      <w:r w:rsidR="00935F5B">
        <w:t xml:space="preserve">t amyloid </w:t>
      </w:r>
      <w:r w:rsidR="00ED579B">
        <w:t>pathology</w:t>
      </w:r>
      <w:r w:rsidR="00204DF0">
        <w:t xml:space="preserve"> is not</w:t>
      </w:r>
      <w:r w:rsidR="00836EB1">
        <w:t xml:space="preserve"> funded by the Commonwealth</w:t>
      </w:r>
      <w:r w:rsidR="000D7A6B">
        <w:t xml:space="preserve"> for patients with AD</w:t>
      </w:r>
      <w:r w:rsidR="006560BC">
        <w:t>.</w:t>
      </w:r>
    </w:p>
    <w:bookmarkEnd w:id="23"/>
    <w:p w14:paraId="1C19FCFE" w14:textId="5FFB6148" w:rsidR="00D93AD8" w:rsidRDefault="006560BC" w:rsidP="00D55776">
      <w:pPr>
        <w:jc w:val="both"/>
      </w:pPr>
      <w:r>
        <w:t>Therefore</w:t>
      </w:r>
      <w:r w:rsidR="0091206F">
        <w:t>, t</w:t>
      </w:r>
      <w:r w:rsidR="00D93AD8">
        <w:t xml:space="preserve">he nominated comparator is “No testing for amyloid and therefore standard of care (SoC)”. </w:t>
      </w:r>
    </w:p>
    <w:p w14:paraId="2BF9B3DC" w14:textId="3FD65B0F" w:rsidR="00951025" w:rsidRDefault="000C36C7" w:rsidP="00D55776">
      <w:pPr>
        <w:jc w:val="both"/>
      </w:pPr>
      <w:bookmarkStart w:id="24" w:name="_Hlk119058210"/>
      <w:r w:rsidRPr="000C36C7">
        <w:t>There are currently no disease modifying treatments (DMTs) available for treating AD. Current treatments are for symptomatic relief o</w:t>
      </w:r>
      <w:bookmarkEnd w:id="24"/>
      <w:r w:rsidRPr="000C36C7">
        <w:t xml:space="preserve">nly, as shown in </w:t>
      </w:r>
      <w:r w:rsidR="008B0A6F" w:rsidRPr="008C223A">
        <w:rPr>
          <w:rFonts w:eastAsia="Calibri"/>
          <w:szCs w:val="20"/>
        </w:rPr>
        <w:fldChar w:fldCharType="begin"/>
      </w:r>
      <w:r w:rsidR="008B0A6F" w:rsidRPr="008C223A">
        <w:rPr>
          <w:rFonts w:eastAsia="Calibri"/>
          <w:szCs w:val="20"/>
        </w:rPr>
        <w:instrText xml:space="preserve"> REF _Ref100563661 \h </w:instrText>
      </w:r>
      <w:r w:rsidR="008B0A6F">
        <w:rPr>
          <w:rFonts w:eastAsia="Calibri"/>
          <w:szCs w:val="20"/>
        </w:rPr>
        <w:instrText xml:space="preserve"> \* MERGEFORMAT </w:instrText>
      </w:r>
      <w:r w:rsidR="008B0A6F" w:rsidRPr="008C223A">
        <w:rPr>
          <w:rFonts w:eastAsia="Calibri"/>
          <w:szCs w:val="20"/>
        </w:rPr>
      </w:r>
      <w:r w:rsidR="008B0A6F" w:rsidRPr="008C223A">
        <w:rPr>
          <w:rFonts w:eastAsia="Calibri"/>
          <w:szCs w:val="20"/>
        </w:rPr>
        <w:fldChar w:fldCharType="separate"/>
      </w:r>
      <w:r w:rsidR="00BE644F" w:rsidRPr="008C223A">
        <w:rPr>
          <w:szCs w:val="20"/>
        </w:rPr>
        <w:t xml:space="preserve">Table </w:t>
      </w:r>
      <w:r w:rsidR="00BE644F">
        <w:rPr>
          <w:noProof/>
          <w:szCs w:val="20"/>
        </w:rPr>
        <w:t>3</w:t>
      </w:r>
      <w:r w:rsidR="008B0A6F" w:rsidRPr="008C223A">
        <w:rPr>
          <w:rFonts w:eastAsia="Calibri"/>
          <w:szCs w:val="20"/>
        </w:rPr>
        <w:fldChar w:fldCharType="end"/>
      </w:r>
      <w:r w:rsidR="008B0A6F">
        <w:rPr>
          <w:rFonts w:eastAsia="Calibri"/>
          <w:szCs w:val="20"/>
        </w:rPr>
        <w:t>.</w:t>
      </w:r>
      <w:r w:rsidR="006C7DBD">
        <w:rPr>
          <w:rFonts w:eastAsia="Calibri"/>
          <w:szCs w:val="20"/>
        </w:rPr>
        <w:t xml:space="preserve"> </w:t>
      </w:r>
      <w:r w:rsidR="00951025">
        <w:rPr>
          <w:rFonts w:eastAsia="Calibri"/>
          <w:szCs w:val="20"/>
        </w:rPr>
        <w:t xml:space="preserve">The </w:t>
      </w:r>
      <w:r w:rsidR="00D93AD8">
        <w:t>SoC for patients with a clinical diagnosis of mild AD would be treatment with acetylcholinesterase inhibitor (AChEI) therapy as first line AD medication.</w:t>
      </w:r>
    </w:p>
    <w:p w14:paraId="19717624" w14:textId="577CD478" w:rsidR="00D93AD8" w:rsidRDefault="00374F3A" w:rsidP="00D55776">
      <w:pPr>
        <w:jc w:val="both"/>
      </w:pPr>
      <w:r>
        <w:t>As per application 1643</w:t>
      </w:r>
      <w:r w:rsidR="000F0163">
        <w:t>,</w:t>
      </w:r>
      <w:r w:rsidR="00D93AD8">
        <w:t xml:space="preserve"> the comparison is: “Testing for amyloid and where the test is positive, use of </w:t>
      </w:r>
      <w:r w:rsidR="003B0589">
        <w:t>lecanemab</w:t>
      </w:r>
      <w:r w:rsidR="00D93AD8">
        <w:t xml:space="preserve"> + SoC “ vs “No testing for amyloid and therefore SoC”. </w:t>
      </w:r>
    </w:p>
    <w:p w14:paraId="6758BA33" w14:textId="77777777" w:rsidR="00757232" w:rsidRDefault="00AF5D1E" w:rsidP="00D55776">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1EC1F0D" w14:textId="77777777" w:rsidR="006A1038" w:rsidRDefault="006A1038" w:rsidP="00D55776">
      <w:pPr>
        <w:pStyle w:val="Tickboxes"/>
      </w:pPr>
      <w:r w:rsidRPr="00753C44">
        <w:fldChar w:fldCharType="begin">
          <w:ffData>
            <w:name w:val="Check1"/>
            <w:enabled/>
            <w:calcOnExit w:val="0"/>
            <w:checkBox>
              <w:sizeAuto/>
              <w:default w:val="0"/>
            </w:checkBox>
          </w:ffData>
        </w:fldChar>
      </w:r>
      <w:r w:rsidRPr="00753C44">
        <w:instrText xml:space="preserve"> FORMCHECKBOX </w:instrText>
      </w:r>
      <w:r w:rsidR="00B81886">
        <w:fldChar w:fldCharType="separate"/>
      </w:r>
      <w:r w:rsidRPr="00753C44">
        <w:fldChar w:fldCharType="end"/>
      </w:r>
      <w:r>
        <w:t xml:space="preserve"> Yes (please </w:t>
      </w:r>
      <w:r w:rsidR="003904AC">
        <w:t xml:space="preserve">list </w:t>
      </w:r>
      <w:r>
        <w:t>all relevant MBS item numbers below)</w:t>
      </w:r>
    </w:p>
    <w:p w14:paraId="6A701E78" w14:textId="6EDF91DC" w:rsidR="000159B9" w:rsidRDefault="00772339" w:rsidP="00D55776">
      <w:pPr>
        <w:pStyle w:val="Tickboxes"/>
      </w:pPr>
      <w:r>
        <w:fldChar w:fldCharType="begin">
          <w:ffData>
            <w:name w:val=""/>
            <w:enabled/>
            <w:calcOnExit w:val="0"/>
            <w:checkBox>
              <w:sizeAuto/>
              <w:default w:val="1"/>
            </w:checkBox>
          </w:ffData>
        </w:fldChar>
      </w:r>
      <w:r w:rsidRPr="00772339">
        <w:instrText xml:space="preserve"> FORMCHECKBOX </w:instrText>
      </w:r>
      <w:r w:rsidR="00B81886">
        <w:fldChar w:fldCharType="separate"/>
      </w:r>
      <w:r>
        <w:fldChar w:fldCharType="end"/>
      </w:r>
      <w:r w:rsidR="006A1038">
        <w:t xml:space="preserve"> No  </w:t>
      </w:r>
    </w:p>
    <w:p w14:paraId="6A4DDF3F" w14:textId="17FAC50D" w:rsidR="000159B9" w:rsidRPr="00154B00" w:rsidRDefault="00D93AD8" w:rsidP="00D55776">
      <w:pPr>
        <w:rPr>
          <w:szCs w:val="20"/>
        </w:rPr>
      </w:pPr>
      <w:r>
        <w:t>Not applicable</w:t>
      </w:r>
    </w:p>
    <w:p w14:paraId="487A652E" w14:textId="77777777" w:rsidR="00A83EC6" w:rsidRPr="00154B00" w:rsidRDefault="0008323F" w:rsidP="00D55776">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1A8861C4" w14:textId="56C85AAB" w:rsidR="001B29A1" w:rsidRDefault="00747F88" w:rsidP="00D55776">
      <w:pPr>
        <w:pStyle w:val="Tickboxes"/>
      </w:pPr>
      <w:r>
        <w:fldChar w:fldCharType="begin">
          <w:ffData>
            <w:name w:val=""/>
            <w:enabled/>
            <w:calcOnExit w:val="0"/>
            <w:checkBox>
              <w:sizeAuto/>
              <w:default w:val="1"/>
            </w:checkBox>
          </w:ffData>
        </w:fldChar>
      </w:r>
      <w:r w:rsidRPr="00747F88">
        <w:instrText xml:space="preserve"> FORMCHECKBOX </w:instrText>
      </w:r>
      <w:r w:rsidR="00B81886">
        <w:fldChar w:fldCharType="separate"/>
      </w:r>
      <w:r>
        <w:fldChar w:fldCharType="end"/>
      </w:r>
      <w:r w:rsidR="001B29A1">
        <w:t xml:space="preserve"> </w:t>
      </w:r>
      <w:r w:rsidR="00282BE8">
        <w:t>In addition to (i.e.</w:t>
      </w:r>
      <w:r w:rsidR="00B4456D">
        <w:t>,</w:t>
      </w:r>
      <w:r w:rsidR="00282BE8">
        <w:t xml:space="preserve"> it is an add-on service)</w:t>
      </w:r>
      <w:r w:rsidR="001B29A1">
        <w:t xml:space="preserve"> </w:t>
      </w:r>
    </w:p>
    <w:p w14:paraId="7D1B5DB0" w14:textId="4C2F89DA" w:rsidR="001B29A1" w:rsidRDefault="00747F88" w:rsidP="00D55776">
      <w:pPr>
        <w:pStyle w:val="Tickboxes"/>
      </w:pPr>
      <w:r>
        <w:fldChar w:fldCharType="begin">
          <w:ffData>
            <w:name w:val=""/>
            <w:enabled/>
            <w:calcOnExit w:val="0"/>
            <w:checkBox>
              <w:sizeAuto/>
              <w:default w:val="0"/>
            </w:checkBox>
          </w:ffData>
        </w:fldChar>
      </w:r>
      <w:r w:rsidRPr="00747F88">
        <w:instrText xml:space="preserve"> FORMCHECKBOX </w:instrText>
      </w:r>
      <w:r w:rsidR="00B81886">
        <w:fldChar w:fldCharType="separate"/>
      </w:r>
      <w:r>
        <w:fldChar w:fldCharType="end"/>
      </w:r>
      <w:r w:rsidR="001B29A1">
        <w:t xml:space="preserve"> </w:t>
      </w:r>
      <w:r w:rsidR="00282BE8">
        <w:t>Instead of (i.e.</w:t>
      </w:r>
      <w:r w:rsidR="00B4456D">
        <w:t>,</w:t>
      </w:r>
      <w:r w:rsidR="00282BE8">
        <w:t xml:space="preserve"> it is a replacement or alternative)</w:t>
      </w:r>
    </w:p>
    <w:p w14:paraId="1DE61FB4" w14:textId="77777777" w:rsidR="00E70D86" w:rsidRPr="00154B00" w:rsidRDefault="00095B45" w:rsidP="00D55776">
      <w:pPr>
        <w:pStyle w:val="Heading2"/>
        <w:numPr>
          <w:ilvl w:val="0"/>
          <w:numId w:val="9"/>
        </w:numPr>
      </w:pPr>
      <w:r w:rsidRPr="00095B45">
        <w:t>If yes, please outline the extent to which the current service/comparator is expected to be substituted</w:t>
      </w:r>
    </w:p>
    <w:p w14:paraId="7A6BB0CB" w14:textId="5F3D84D3" w:rsidR="00DF0D47" w:rsidRPr="00881F93" w:rsidRDefault="00095B45" w:rsidP="00D55776">
      <w:pPr>
        <w:pStyle w:val="Subtitle"/>
        <w:ind w:left="0"/>
      </w:pPr>
      <w:r w:rsidRPr="00095B45">
        <w:t>PART 6c CONTINUED – INFORMATION ABOUT ALGORITHMS (CLINICAL MANAGEMENT PATHWAYS)</w:t>
      </w:r>
    </w:p>
    <w:p w14:paraId="7ED91158" w14:textId="628626AA" w:rsidR="00555EA0" w:rsidRDefault="00095B45" w:rsidP="00D55776">
      <w:pPr>
        <w:pStyle w:val="Heading2"/>
      </w:pPr>
      <w:r w:rsidRPr="00154B00">
        <w:t>Define</w:t>
      </w:r>
      <w:r w:rsidRPr="00095B45">
        <w:t xml:space="preserve"> and summarise the CURRENT clinical management pathway (algorithm) that patients follow when they receive the COMPARATOR service (i.e.</w:t>
      </w:r>
      <w:r w:rsidR="00B4456D">
        <w:t>,</w:t>
      </w:r>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(e.g.</w:t>
      </w:r>
      <w:r w:rsidR="00B4456D">
        <w:t>,</w:t>
      </w:r>
      <w:r w:rsidRPr="00095B45">
        <w:t xml:space="preserve"> pharmaceuticals, diagnostics and investigative services, </w:t>
      </w:r>
      <w:r w:rsidR="005272F8" w:rsidRPr="00095B45">
        <w:t>etc.</w:t>
      </w:r>
      <w:r w:rsidRPr="00095B45">
        <w:t xml:space="preserve">). </w:t>
      </w:r>
    </w:p>
    <w:p w14:paraId="43150F5B" w14:textId="44900615" w:rsidR="00A26B50" w:rsidRDefault="00A26B50" w:rsidP="00D55776">
      <w:r w:rsidRPr="00A26B50">
        <w:t>In the current clinical pathway, a patient generally presents to their GP</w:t>
      </w:r>
      <w:r w:rsidR="003C6A9F">
        <w:t>/</w:t>
      </w:r>
      <w:r w:rsidR="00286351">
        <w:t xml:space="preserve">physician </w:t>
      </w:r>
      <w:r w:rsidRPr="00A26B50">
        <w:t xml:space="preserve">with concerns regarding memory and/or cognition. The GP will conduct an investigation will include, patient history, cognitive assessments, medication review, blood tests, structural imaging. The GP will then refer the patient to a specialist, commonly a geriatrician, neurologist, psycho-geriatrician, or a psychiatrist. </w:t>
      </w:r>
    </w:p>
    <w:p w14:paraId="48C600A3" w14:textId="3ABF6C5E" w:rsidR="00A26B50" w:rsidRDefault="00A26B50" w:rsidP="00D55776">
      <w:r w:rsidRPr="00A26B50">
        <w:t>The specialist will perform a number of specialist assessments which may inform a clinical diagnosis of AD, or be inconclusive. If the diagnosis is MCI possibly due to AD/prodromal AD, the patient will be monitored. If the assessment confirms mild AD, patients will then be treated with AChEI. If the diagnosis is moderately severe AD, the patient will be treated with AChE</w:t>
      </w:r>
      <w:r w:rsidR="00335F81">
        <w:t>I</w:t>
      </w:r>
      <w:r w:rsidRPr="00A26B50">
        <w:t xml:space="preserve"> or NMDA RA dependent on the severity of disease. If the diagnosis is severe, best supportive care will be provided. </w:t>
      </w:r>
    </w:p>
    <w:p w14:paraId="6345AD42" w14:textId="24666BEA" w:rsidR="001B59BE" w:rsidRDefault="00A26B50" w:rsidP="00D55776">
      <w:r w:rsidRPr="00A26B50">
        <w:t xml:space="preserve">In a situation where the specialist assessments are inconclusive, a </w:t>
      </w:r>
      <w:r w:rsidR="00CB16E3">
        <w:t>FDG PET</w:t>
      </w:r>
      <w:r w:rsidRPr="00A26B50">
        <w:t xml:space="preserve"> will be performed. This assessment may indicate severe AD, or cognitive impairment due to causes other than AD. If the test is inconclusive testing will be repeated every 18 months.</w:t>
      </w:r>
    </w:p>
    <w:p w14:paraId="17018579" w14:textId="77777777" w:rsidR="00E2297C" w:rsidRDefault="00E2297C" w:rsidP="00D55776">
      <w:pPr>
        <w:spacing w:before="0" w:after="200" w:line="276" w:lineRule="auto"/>
        <w:ind w:left="0"/>
        <w:rPr>
          <w:rFonts w:ascii="Calibri" w:eastAsia="Times New Roman" w:hAnsi="Calibri" w:cs="Times New Roman"/>
          <w:b/>
          <w:bCs/>
          <w:color w:val="6773B6"/>
          <w:sz w:val="18"/>
          <w:szCs w:val="18"/>
        </w:rPr>
      </w:pPr>
      <w:r>
        <w:br w:type="page"/>
      </w:r>
    </w:p>
    <w:p w14:paraId="0D77A724" w14:textId="7DEFBA68" w:rsidR="001F4574" w:rsidRDefault="001B59BE" w:rsidP="00D55776">
      <w:pPr>
        <w:pStyle w:val="Caption"/>
        <w:ind w:left="426"/>
      </w:pPr>
      <w:r>
        <w:lastRenderedPageBreak/>
        <w:t xml:space="preserve">Figure </w:t>
      </w:r>
      <w:fldSimple w:instr=" SEQ Figure \* ARABIC ">
        <w:r w:rsidR="00BE644F">
          <w:rPr>
            <w:noProof/>
          </w:rPr>
          <w:t>3</w:t>
        </w:r>
      </w:fldSimple>
      <w:r>
        <w:t>: Current clinical management algorithm</w:t>
      </w:r>
    </w:p>
    <w:p w14:paraId="74CA91BA" w14:textId="0182CAFC" w:rsidR="00E41780" w:rsidRPr="00E41780" w:rsidRDefault="000F24AF" w:rsidP="00D55776">
      <w:r w:rsidRPr="005B7EA1">
        <w:rPr>
          <w:noProof/>
          <w:highlight w:val="black"/>
        </w:rPr>
        <w:drawing>
          <wp:inline distT="0" distB="0" distL="0" distR="0" wp14:anchorId="7E277DF7" wp14:editId="78D953ED">
            <wp:extent cx="5731510" cy="3956050"/>
            <wp:effectExtent l="0" t="0" r="2540" b="6350"/>
            <wp:docPr id="3" name="Picture 3" descr="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3956050"/>
                    </a:xfrm>
                    <a:prstGeom prst="rect">
                      <a:avLst/>
                    </a:prstGeom>
                    <a:noFill/>
                    <a:ln>
                      <a:noFill/>
                    </a:ln>
                  </pic:spPr>
                </pic:pic>
              </a:graphicData>
            </a:graphic>
          </wp:inline>
        </w:drawing>
      </w:r>
    </w:p>
    <w:p w14:paraId="09932662" w14:textId="55EAF7C1" w:rsidR="00B92368" w:rsidRDefault="00B92368" w:rsidP="00D55776"/>
    <w:p w14:paraId="08F45D5B" w14:textId="687B64F6" w:rsidR="0047363C" w:rsidRPr="0047363C" w:rsidRDefault="00095B45" w:rsidP="00D55776">
      <w:pPr>
        <w:pStyle w:val="Heading2"/>
      </w:pPr>
      <w:r w:rsidRPr="00095B45">
        <w:t xml:space="preserve">Define and summarise the PROPOSED clinical management pathway (algorithm) that patients would follow </w:t>
      </w:r>
      <w:r w:rsidRPr="008D1A4B">
        <w:rPr>
          <w:u w:val="single"/>
        </w:rPr>
        <w:t>after</w:t>
      </w:r>
      <w:r w:rsidRPr="00095B45">
        <w:t xml:space="preserve"> the proposed service/technology is introduced, including variation in health care resources.</w:t>
      </w:r>
    </w:p>
    <w:p w14:paraId="540C8B63" w14:textId="1398E5E6" w:rsidR="00A03ACB" w:rsidRDefault="00643D09" w:rsidP="00D55776">
      <w:r>
        <w:t>In current Australian practice, t</w:t>
      </w:r>
      <w:r w:rsidRPr="00643D09">
        <w:t>here is currently no single test to identify AD. The diagnosis is made only after careful clinical consultation. Testing to detect amyloid pathology is not funded by the Commonwealth for patients with AD.</w:t>
      </w:r>
      <w:r>
        <w:t xml:space="preserve"> Patients with a clinical diagnosis of MCI possibly due to AD are currently observed initially. </w:t>
      </w:r>
      <w:r w:rsidR="00C85EEC">
        <w:t>T</w:t>
      </w:r>
      <w:r w:rsidRPr="00643D09">
        <w:t>here are currently no disease modifying treatments (DMTs) available for treating AD. Current treatments are for symptomatic relief</w:t>
      </w:r>
      <w:r>
        <w:t xml:space="preserve"> only</w:t>
      </w:r>
      <w:r>
        <w:rPr>
          <w:noProof/>
        </w:rPr>
        <w:t>.</w:t>
      </w:r>
      <w:r w:rsidR="00DD5A4D" w:rsidRPr="00DD5A4D">
        <w:t xml:space="preserve"> </w:t>
      </w:r>
      <w:r w:rsidR="00C420DD">
        <w:t>Patients with a clinical diagnosis of mild AD generally receive an AChEI therapy as a first line AD medication. AChEI therapy is PBS subsided for patients with mild to moderately severe AD.</w:t>
      </w:r>
      <w:r w:rsidR="002A7829">
        <w:t xml:space="preserve"> </w:t>
      </w:r>
      <w:r w:rsidR="00DD5A4D" w:rsidRPr="00DD5A4D">
        <w:rPr>
          <w:noProof/>
        </w:rPr>
        <w:t xml:space="preserve">It is proposed that the </w:t>
      </w:r>
      <w:r w:rsidR="00DD5A4D">
        <w:rPr>
          <w:noProof/>
        </w:rPr>
        <w:t xml:space="preserve">testing </w:t>
      </w:r>
      <w:r w:rsidR="00DD5A4D" w:rsidRPr="00DD5A4D">
        <w:rPr>
          <w:noProof/>
        </w:rPr>
        <w:t xml:space="preserve">to detect </w:t>
      </w:r>
      <w:r w:rsidR="00DD5A4D">
        <w:rPr>
          <w:noProof/>
        </w:rPr>
        <w:t>AD</w:t>
      </w:r>
      <w:r w:rsidR="003A29DA">
        <w:rPr>
          <w:noProof/>
        </w:rPr>
        <w:t>/</w:t>
      </w:r>
      <w:r w:rsidR="003A29DA">
        <w:t>a</w:t>
      </w:r>
      <w:r w:rsidR="003A29DA" w:rsidRPr="003A29DA">
        <w:rPr>
          <w:noProof/>
        </w:rPr>
        <w:t>myloid pathology</w:t>
      </w:r>
      <w:r w:rsidR="00DD5A4D" w:rsidRPr="00DD5A4D">
        <w:rPr>
          <w:noProof/>
        </w:rPr>
        <w:t xml:space="preserve"> be conducted sequentially upon receiving a</w:t>
      </w:r>
      <w:r w:rsidR="003A29DA">
        <w:rPr>
          <w:noProof/>
        </w:rPr>
        <w:t xml:space="preserve"> clinical diagnosis</w:t>
      </w:r>
      <w:r w:rsidR="006E0B76" w:rsidRPr="006E0B76">
        <w:t xml:space="preserve"> </w:t>
      </w:r>
      <w:r w:rsidR="006E0B76">
        <w:rPr>
          <w:noProof/>
        </w:rPr>
        <w:t>and before any treatment with</w:t>
      </w:r>
      <w:r w:rsidR="006E0B76" w:rsidRPr="006E0B76">
        <w:rPr>
          <w:noProof/>
        </w:rPr>
        <w:t xml:space="preserve"> AChEI therapy</w:t>
      </w:r>
      <w:r w:rsidR="00BF35AB">
        <w:rPr>
          <w:noProof/>
        </w:rPr>
        <w:t>.</w:t>
      </w:r>
      <w:r w:rsidR="00DD5A4D" w:rsidRPr="00DD5A4D">
        <w:rPr>
          <w:noProof/>
        </w:rPr>
        <w:t xml:space="preserve"> This ensures the </w:t>
      </w:r>
      <w:r w:rsidR="00D45551">
        <w:rPr>
          <w:noProof/>
        </w:rPr>
        <w:t xml:space="preserve">optimal </w:t>
      </w:r>
      <w:r w:rsidR="00DD5A4D" w:rsidRPr="00DD5A4D">
        <w:rPr>
          <w:noProof/>
        </w:rPr>
        <w:t>number of patients tested at the lowest cost to the Medicare system</w:t>
      </w:r>
      <w:r w:rsidR="00640872">
        <w:rPr>
          <w:noProof/>
        </w:rPr>
        <w:t xml:space="preserve"> as the correct</w:t>
      </w:r>
      <w:r w:rsidR="00007F36">
        <w:rPr>
          <w:noProof/>
        </w:rPr>
        <w:t xml:space="preserve"> medication may help slow the pr</w:t>
      </w:r>
      <w:r w:rsidR="0097107F">
        <w:rPr>
          <w:noProof/>
        </w:rPr>
        <w:t>o</w:t>
      </w:r>
      <w:r w:rsidR="00007F36">
        <w:rPr>
          <w:noProof/>
        </w:rPr>
        <w:t>gression of the disease</w:t>
      </w:r>
      <w:r w:rsidR="00DD5A4D" w:rsidRPr="00DD5A4D">
        <w:rPr>
          <w:noProof/>
        </w:rPr>
        <w:t>.</w:t>
      </w:r>
      <w:r w:rsidR="00A03ACB" w:rsidRPr="00A03ACB">
        <w:t xml:space="preserve"> </w:t>
      </w:r>
    </w:p>
    <w:p w14:paraId="6C8C6D12" w14:textId="1CE80446" w:rsidR="007A55F6" w:rsidRDefault="00041C9A" w:rsidP="00D55776">
      <w:pPr>
        <w:rPr>
          <w:noProof/>
        </w:rPr>
      </w:pPr>
      <w:r w:rsidRPr="00041C9A">
        <w:rPr>
          <w:noProof/>
        </w:rPr>
        <w:t>In the proposed clinical pathway, all key events remain the same as the current clinical pathway up until the clinical diagnosis of AD. At this point, patients with MCI possibly due to AD/prodromal AD, and patients with a clinical diagnosis of mild AD will undergo a Amyloid PET. If the results of the Amyloid PET are positive, both cohorts of patients will be treated with lecanemab and SOC. If the results of the Amyloid PET are negative, both cohorts of patients will undergo a FDG PET, and then further investigation</w:t>
      </w:r>
      <w:r w:rsidR="00FC0D57">
        <w:rPr>
          <w:noProof/>
        </w:rPr>
        <w:t xml:space="preserve"> to identify an alternative likely cause of cognitive impairment</w:t>
      </w:r>
      <w:r w:rsidRPr="00041C9A">
        <w:rPr>
          <w:noProof/>
        </w:rPr>
        <w:t>. Treatment for moderately severe, and severe AD remains unchanged</w:t>
      </w:r>
      <w:r w:rsidR="00FC0D57">
        <w:rPr>
          <w:noProof/>
        </w:rPr>
        <w:t xml:space="preserve"> as clinical trials for lecanemab did not include this patient population</w:t>
      </w:r>
      <w:r w:rsidRPr="00041C9A">
        <w:rPr>
          <w:noProof/>
        </w:rPr>
        <w:t>.</w:t>
      </w:r>
      <w:r w:rsidR="00094A84" w:rsidRPr="00094A84">
        <w:t xml:space="preserve"> </w:t>
      </w:r>
      <w:r w:rsidR="00094A84">
        <w:t>Patients found to be brain amyloid negative would still be eligible to AChEI therapy</w:t>
      </w:r>
      <w:r w:rsidR="00983F33">
        <w:t xml:space="preserve"> (standard of car</w:t>
      </w:r>
      <w:r w:rsidR="00A520B6">
        <w:t>e</w:t>
      </w:r>
      <w:r w:rsidR="003335BE">
        <w:t>, regardless</w:t>
      </w:r>
      <w:r w:rsidR="0034702E">
        <w:t xml:space="preserve"> of test result)</w:t>
      </w:r>
      <w:r w:rsidR="00094A84">
        <w:t>, according to the PBS restriction.</w:t>
      </w:r>
      <w:r w:rsidR="002A7829" w:rsidRPr="002A7829">
        <w:t xml:space="preserve"> </w:t>
      </w:r>
      <w:r w:rsidR="002A7829">
        <w:t>Patients who subsequently progress to moderately severe AD may go on to receive a-methyl-D-aspartate receptor antagonist (NDMA RA) therapy.</w:t>
      </w:r>
    </w:p>
    <w:p w14:paraId="44F4F4E6" w14:textId="77777777" w:rsidR="00FF1D23" w:rsidRDefault="00FF1D23" w:rsidP="00D55776">
      <w:pPr>
        <w:spacing w:before="0" w:after="200" w:line="276" w:lineRule="auto"/>
        <w:ind w:left="0"/>
        <w:rPr>
          <w:rFonts w:ascii="Calibri" w:eastAsia="Times New Roman" w:hAnsi="Calibri" w:cs="Times New Roman"/>
          <w:b/>
          <w:bCs/>
          <w:color w:val="6773B6"/>
          <w:sz w:val="18"/>
          <w:szCs w:val="18"/>
        </w:rPr>
      </w:pPr>
      <w:r>
        <w:br w:type="page"/>
      </w:r>
    </w:p>
    <w:p w14:paraId="4B54D252" w14:textId="6B782D17" w:rsidR="003C71FF" w:rsidRDefault="003C71FF" w:rsidP="00D55776">
      <w:pPr>
        <w:pStyle w:val="Caption"/>
        <w:ind w:left="426"/>
      </w:pPr>
      <w:r>
        <w:lastRenderedPageBreak/>
        <w:t xml:space="preserve">Figure </w:t>
      </w:r>
      <w:fldSimple w:instr=" SEQ Figure \* ARABIC ">
        <w:r w:rsidR="00BE644F">
          <w:rPr>
            <w:noProof/>
          </w:rPr>
          <w:t>4</w:t>
        </w:r>
      </w:fldSimple>
      <w:r>
        <w:t>:</w:t>
      </w:r>
      <w:r w:rsidR="00DA73FF">
        <w:t xml:space="preserve"> </w:t>
      </w:r>
      <w:r w:rsidR="003E6CCF" w:rsidRPr="003E6CCF">
        <w:t xml:space="preserve">Proposed clinical management algorithm </w:t>
      </w:r>
    </w:p>
    <w:p w14:paraId="796EBE88" w14:textId="03EE8A3F" w:rsidR="007A55F6" w:rsidRDefault="0049155C" w:rsidP="00D55776">
      <w:pPr>
        <w:ind w:hanging="502"/>
      </w:pPr>
      <w:r>
        <w:rPr>
          <w:noProof/>
        </w:rPr>
        <w:drawing>
          <wp:inline distT="0" distB="0" distL="0" distR="0" wp14:anchorId="767311E3" wp14:editId="2FEC9060">
            <wp:extent cx="6115050" cy="4274876"/>
            <wp:effectExtent l="0" t="0" r="0" b="0"/>
            <wp:docPr id="4" name="Picture 4"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053" t="2711" r="2742" b="2845"/>
                    <a:stretch/>
                  </pic:blipFill>
                  <pic:spPr bwMode="auto">
                    <a:xfrm>
                      <a:off x="0" y="0"/>
                      <a:ext cx="6132764" cy="4287259"/>
                    </a:xfrm>
                    <a:prstGeom prst="rect">
                      <a:avLst/>
                    </a:prstGeom>
                    <a:noFill/>
                    <a:ln>
                      <a:noFill/>
                    </a:ln>
                    <a:extLst>
                      <a:ext uri="{53640926-AAD7-44D8-BBD7-CCE9431645EC}">
                        <a14:shadowObscured xmlns:a14="http://schemas.microsoft.com/office/drawing/2010/main"/>
                      </a:ext>
                    </a:extLst>
                  </pic:spPr>
                </pic:pic>
              </a:graphicData>
            </a:graphic>
          </wp:inline>
        </w:drawing>
      </w:r>
    </w:p>
    <w:p w14:paraId="21AE2BAD" w14:textId="77777777" w:rsidR="00095B45" w:rsidRPr="00095B45" w:rsidRDefault="00095B45" w:rsidP="00D55776">
      <w:pPr>
        <w:pStyle w:val="Subtitle"/>
        <w:ind w:left="0"/>
      </w:pPr>
      <w:r w:rsidRPr="00095B45">
        <w:t>PART 6d – INFORMATION ABOUT CLINICAL OUTCOMES</w:t>
      </w:r>
    </w:p>
    <w:p w14:paraId="31CE477E" w14:textId="77777777" w:rsidR="004E3CC7" w:rsidRPr="001B29A1" w:rsidRDefault="0070256F" w:rsidP="00D55776">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CF5A391" w14:textId="09DB7BC0" w:rsidR="007A1F22" w:rsidRDefault="00843E2D" w:rsidP="00D55776">
      <w:pPr>
        <w:ind w:left="426"/>
      </w:pPr>
      <w:bookmarkStart w:id="25" w:name="_Hlk56158891"/>
      <w:r>
        <w:t>T</w:t>
      </w:r>
      <w:r w:rsidR="008069B2" w:rsidRPr="008069B2">
        <w:t xml:space="preserve">he proposed codependent technologies </w:t>
      </w:r>
      <w:r w:rsidR="001106BC">
        <w:t xml:space="preserve">of the </w:t>
      </w:r>
      <w:r w:rsidR="00FF18BE" w:rsidRPr="00FF18BE">
        <w:t>protein biomarker tests Aß positron emission tomography (PET) and cerebrospinal fluid (CSF)</w:t>
      </w:r>
      <w:r w:rsidR="001106BC">
        <w:t xml:space="preserve"> will </w:t>
      </w:r>
      <w:r w:rsidR="00005B62">
        <w:t xml:space="preserve">provide access to a new </w:t>
      </w:r>
      <w:r w:rsidR="008069B2" w:rsidRPr="008069B2">
        <w:t xml:space="preserve">Pharmaceutical Benefits Schedule subsidised lecanemab in patients with </w:t>
      </w:r>
      <w:r w:rsidR="00E2297C">
        <w:t>early-stage</w:t>
      </w:r>
      <w:r w:rsidR="008069B2" w:rsidRPr="008069B2">
        <w:t xml:space="preserve"> Alzheimer Disease</w:t>
      </w:r>
      <w:r w:rsidR="001A2DFC">
        <w:t>.</w:t>
      </w:r>
      <w:r w:rsidR="008069B2" w:rsidRPr="008069B2">
        <w:t xml:space="preserve"> </w:t>
      </w:r>
      <w:r w:rsidR="00021048">
        <w:rPr>
          <w:rStyle w:val="EndnoteReference"/>
        </w:rPr>
        <w:endnoteReference w:id="32"/>
      </w:r>
    </w:p>
    <w:p w14:paraId="22927F3E" w14:textId="34A8AAAF" w:rsidR="00E565DD" w:rsidRDefault="00E565DD" w:rsidP="00D55776">
      <w:pPr>
        <w:ind w:left="426"/>
      </w:pPr>
      <w:r w:rsidRPr="00E565DD">
        <w:t xml:space="preserve">Historically, management of AD has aligned with guideline recommendations for clinical diagnosis based on symptoms, and treatment of cognitive, </w:t>
      </w:r>
      <w:r w:rsidR="0019074C" w:rsidRPr="00E565DD">
        <w:t>behavioural</w:t>
      </w:r>
      <w:r w:rsidRPr="00E565DD">
        <w:t xml:space="preserve">, and functional symptoms of AD only. The current treatment algorithm as outlined by guidelines is based on </w:t>
      </w:r>
      <w:r w:rsidR="0002700A">
        <w:t>A</w:t>
      </w:r>
      <w:r w:rsidR="0002700A" w:rsidRPr="00E565DD">
        <w:t>ChEI</w:t>
      </w:r>
      <w:r w:rsidRPr="00E565DD">
        <w:t xml:space="preserve"> and memantine for mild, moderate, and severe AD dementia. These drugs provide only symptomatic relief, </w:t>
      </w:r>
      <w:r w:rsidR="00E33B2B">
        <w:t xml:space="preserve">temporarily </w:t>
      </w:r>
      <w:r w:rsidRPr="00E565DD">
        <w:t>alleviating cognitive impairment, but do not treat the underlying cause of AD nor cure or halt the progression of the disease.</w:t>
      </w:r>
      <w:r w:rsidR="00501DCA">
        <w:rPr>
          <w:rStyle w:val="EndnoteReference"/>
        </w:rPr>
        <w:endnoteReference w:id="33"/>
      </w:r>
      <w:r w:rsidR="000C3A2C">
        <w:rPr>
          <w:rStyle w:val="EndnoteReference"/>
        </w:rPr>
        <w:endnoteReference w:id="34"/>
      </w:r>
      <w:r w:rsidR="00932698">
        <w:t xml:space="preserve"> </w:t>
      </w:r>
      <w:r w:rsidRPr="00E565DD">
        <w:t>No symptomatic therapies are indicated for the treatment of MCI. Due to the high epidemiologic, humanistic, and economic burden of AD, there is an unmet need for disease modifying therapies (DMTs) that have been approved on the basis of efficacy in delaying the clinical progression of this disease.</w:t>
      </w:r>
    </w:p>
    <w:p w14:paraId="4965E371" w14:textId="676A2FE8" w:rsidR="008C77FE" w:rsidRDefault="00EF4E03" w:rsidP="00D55776">
      <w:pPr>
        <w:ind w:left="426"/>
      </w:pPr>
      <w:r w:rsidRPr="00EF4E03">
        <w:t>Lecanemab binds with highest affinity to large soluble Aβ aggregates while maintaining high affinity for fibrillar Aβ that are a major component of Aβ plaques. The accumulation of Aβ plaques in the brain is a defining pathophysiological feature of Alzheimer’s disease. Lecanemab reduces Aβ plaques</w:t>
      </w:r>
      <w:r w:rsidR="00032AC2">
        <w:t xml:space="preserve"> and reduces</w:t>
      </w:r>
      <w:r w:rsidR="00C75CAA">
        <w:t xml:space="preserve"> downstream </w:t>
      </w:r>
      <w:r w:rsidR="009F2BEE">
        <w:t>tau</w:t>
      </w:r>
      <w:r w:rsidRPr="00EF4E03">
        <w:t xml:space="preserve">, as evaluated in its </w:t>
      </w:r>
      <w:r>
        <w:t>clinical trials</w:t>
      </w:r>
      <w:r w:rsidRPr="00EF4E03">
        <w:t>.</w:t>
      </w:r>
      <w:r w:rsidR="00AA2DDB">
        <w:rPr>
          <w:rStyle w:val="EndnoteReference"/>
        </w:rPr>
        <w:endnoteReference w:id="35"/>
      </w:r>
      <w:r w:rsidR="008C77FE" w:rsidRPr="00857F8D">
        <w:t>A therapy that could delay or prevent the onset or progression of AD could improve patient HRQoL and reduce the considerable societal and direct cost burden associated with advanced stages of this disease.</w:t>
      </w:r>
      <w:r w:rsidR="00912A6C">
        <w:rPr>
          <w:rStyle w:val="EndnoteReference"/>
        </w:rPr>
        <w:endnoteReference w:id="36"/>
      </w:r>
      <w:r w:rsidR="00912A6C">
        <w:t xml:space="preserve"> </w:t>
      </w:r>
    </w:p>
    <w:bookmarkEnd w:id="25"/>
    <w:p w14:paraId="62CDC410" w14:textId="0C020CF4" w:rsidR="008069B2" w:rsidRDefault="00B30FF5" w:rsidP="00D55776">
      <w:pPr>
        <w:ind w:left="426"/>
      </w:pPr>
      <w:r w:rsidRPr="00857F8D">
        <w:t>Lecanemab is indicated for the treatment of early AD (MCI</w:t>
      </w:r>
      <w:r w:rsidR="00047421">
        <w:t xml:space="preserve"> due</w:t>
      </w:r>
      <w:r w:rsidRPr="00857F8D">
        <w:t xml:space="preserve"> to AD and mild AD dementia, with confirmed amyloid pathology), the population in which treatment was initiated in clinical trials. There are no safety or effectiveness data on initiating treatment at earlier or later stages of the disease.</w:t>
      </w:r>
    </w:p>
    <w:p w14:paraId="37AC4609" w14:textId="4A8395B9" w:rsidR="00CB168D" w:rsidRDefault="00CB168D" w:rsidP="00D55776">
      <w:r>
        <w:lastRenderedPageBreak/>
        <w:t>The clinical trial program for lecanemab for the treatment of adults with early AD includes two phase 1 trials, one 18-month phase 2 trial with extension, and one 18-month phase 3 trial with extension.</w:t>
      </w:r>
      <w:r w:rsidR="00171672">
        <w:rPr>
          <w:rStyle w:val="EndnoteReference"/>
        </w:rPr>
        <w:endnoteReference w:id="37"/>
      </w:r>
      <w:r>
        <w:t xml:space="preserve"> The primary endpoints in the phase 2 and phase 3 trials included change in ADCOMS and Clinical Dementia Rating – Sum of Boxes (CDR-SB) scores from baseline, respectively.</w:t>
      </w:r>
      <w:r w:rsidR="00575003">
        <w:rPr>
          <w:rStyle w:val="EndnoteReference"/>
        </w:rPr>
        <w:endnoteReference w:id="38"/>
      </w:r>
      <w:r w:rsidR="00821317">
        <w:rPr>
          <w:rStyle w:val="EndnoteReference"/>
        </w:rPr>
        <w:endnoteReference w:id="39"/>
      </w:r>
    </w:p>
    <w:p w14:paraId="29A88D43" w14:textId="74CFFBF4" w:rsidR="00CB168D" w:rsidRDefault="00CB168D" w:rsidP="00D55776">
      <w:r>
        <w:t xml:space="preserve">During the phase 2 trial, treatment with lecanemab was associated with a dose- and time-dependent reduction in amyloid as assessed by positron emission tomography (PET) standard uptake-value ratio (SUVr). </w:t>
      </w:r>
      <w:r w:rsidR="006C6D87" w:rsidRPr="006C6D87">
        <w:t xml:space="preserve">Amyloid positron emission tomography (PET) imaging allows in vivo assessment of cerebral amyloid load and can be used in the evaluation of progression of AD. However, cortical amyloid deposition can occur in healthy cases, as well as in patients with AD and quantification of cortical amyloid burden can improve the PET imaging evaluations. The quantification is mostly performed by cortical-to-cerebellum standardized uptake value ratio (SUVr). </w:t>
      </w:r>
      <w:r>
        <w:t>Each of the 5 lecanemab dose groups demonstrated significant reductions in amyloid (as measured by PET-SUVr) versus placebo (P&lt;0.001 for all doses), with higher doses of lecanemab associated with greater reductions than lower doses.</w:t>
      </w:r>
    </w:p>
    <w:p w14:paraId="2CA72DAF" w14:textId="6414F837" w:rsidR="00CB168D" w:rsidRDefault="008E7B8F" w:rsidP="00D55776">
      <w:r w:rsidRPr="008E7B8F">
        <w:rPr>
          <w:rFonts w:ascii="Segoe UI" w:hAnsi="Segoe UI" w:cs="Segoe UI"/>
          <w:color w:val="373737"/>
          <w:sz w:val="18"/>
          <w:szCs w:val="18"/>
          <w:shd w:val="clear" w:color="auto" w:fill="FFFFFF"/>
        </w:rPr>
        <w:t>Lecanemab treatment met the primary endpoint and reduced clinical decline on the global cognitive and functional scale, CDR-SB, compared with placebo at 18 months by 27%, which represents a treatment difference in the score change of -0.45 (p=0.00005) in the analysis of Intent-to-treat (ITT) population. Starting as early as six months, across all time points, the treatment showed highly statistically significant changes in CDR-SB from baseline compared to placebo (all p-values are less than 0.01). All key secondary endpoints were also met with highly statistically significant results compared with placebo (p&lt;0.01). Key secondary endpoints were the change from baseline at 18 months compared with placebo of treatment in amyloid levels in the brain measured by amyloid positron emission tomography (PET), the AD Assessment Scale-cognitive subscale14 (ADAS-cog14), AD Composite Score (ADCOMS) and the AD Cooperative Study-Activities of Daily Living Scale for Mild Cognitive Impairment (ADCS MCI-ADL).</w:t>
      </w:r>
      <w:r w:rsidRPr="008E7B8F">
        <w:rPr>
          <w:rFonts w:ascii="Segoe UI" w:hAnsi="Segoe UI" w:cs="Segoe UI"/>
          <w:sz w:val="18"/>
          <w:szCs w:val="18"/>
        </w:rPr>
        <w:t xml:space="preserve"> </w:t>
      </w:r>
      <w:r w:rsidR="00CB168D">
        <w:t xml:space="preserve">Lecanemab was generally well-tolerated in the phase 2 trial, with comparable rates of treatment emergent adverse events (AEs) and serious adverse events (SAEs) across different dose and placebo groups. AEs leading to discontinuation, infusion related reactions, and ARIA-E (all ARIA-E events led to discontinuation per the protocol) were more frequent among patients who received lecanemab. Infusion reactions were mostly mild to moderate, and the incidence for the 10 mg/kg biweekly dosage group was 19.9%. The incidence of ARIA-E was &lt;10% in the highest doses for the overall population, 9.9% in the 10 mg/kg biweekly dosage group, and 14.3% for participants that were ApoE4 positive. </w:t>
      </w:r>
      <w:r w:rsidR="00A36F18" w:rsidRPr="00A36F18">
        <w:t xml:space="preserve"> </w:t>
      </w:r>
      <w:r w:rsidR="00A36F18" w:rsidRPr="00BF29BF">
        <w:t>The incidence of amyloid-related imaging abnormalities-</w:t>
      </w:r>
      <w:r w:rsidR="0072562A" w:rsidRPr="00BF29BF">
        <w:t>oedema</w:t>
      </w:r>
      <w:r w:rsidR="00A36F18" w:rsidRPr="00BF29BF">
        <w:t xml:space="preserve">/effusion (ARIA-E), an adverse event associated with anti-amyloid antibodies, was 12.5% in the lecanemab group and 1.7% in the placebo group. The incidence of symptomatic ARIA-E was 2.8% in the lecanemab group and 0.0% in the placebo group. The ARIA-H (ARIA cerebral microhemorrhages, cerebral </w:t>
      </w:r>
      <w:r w:rsidR="0011074D" w:rsidRPr="00BF29BF">
        <w:t>macrohaemorrhages</w:t>
      </w:r>
      <w:r w:rsidR="00A36F18" w:rsidRPr="00BF29BF">
        <w:t>, and superficial siderosis) rate was 17.0% in the lecanemab group and 8.7% in the placebo group. The incidence of symptomatic ARIA-H was 0.7% in the lecanemab group and 0.2% in the placebo group. There was no imbalance in isolated ARIA-H (i.e., ARIA-H in patients who did not also experience ARIA-E) between lecanemab (8.8%) and placebo (7.6%). The total incidence of ARIA (ARIA-E and/or ARIA-H) was 21.3% in the lecanemab group and 9.3% in the placebo group. Overall,</w:t>
      </w:r>
      <w:r w:rsidR="0000528A">
        <w:t xml:space="preserve"> the</w:t>
      </w:r>
      <w:r w:rsidR="00A36F18" w:rsidRPr="00BF29BF">
        <w:t xml:space="preserve"> lecanemab ARIA incidence profile was within expectations. </w:t>
      </w:r>
      <w:r w:rsidR="00CB168D">
        <w:t xml:space="preserve">The majority (60%) of cases of ARIA-E were mild to moderate, occurring in the first 3 months, and every case of ARIA-E resolved (mostly within 4 to 12 weeks of onset); 5 (10.4%) of the total 48 cases were symptomatic. Of the participants in the lecanemab (all treatment arms) group, 65 (10.7%) experienced amyloid related imaging abnormalities – </w:t>
      </w:r>
      <w:r w:rsidR="0011074D">
        <w:t>haemorrhage</w:t>
      </w:r>
      <w:r w:rsidR="00CB168D">
        <w:t xml:space="preserve"> (ARIA-H; new cerebral microhemorrhages, cerebral macroh</w:t>
      </w:r>
      <w:r w:rsidR="0048054C">
        <w:t>a</w:t>
      </w:r>
      <w:r w:rsidR="00CB168D">
        <w:t>emorrhages, and superficial siderosis) versus in 13 (5.3%) of participants in the placebo group.</w:t>
      </w:r>
      <w:r w:rsidR="009F7089">
        <w:rPr>
          <w:rStyle w:val="EndnoteReference"/>
        </w:rPr>
        <w:endnoteReference w:id="40"/>
      </w:r>
    </w:p>
    <w:p w14:paraId="6591A027" w14:textId="4F8642CA" w:rsidR="00B30FF5" w:rsidRDefault="00CB168D" w:rsidP="00D55776">
      <w:r>
        <w:t>After an average 24 month gap period upon completion and analysis of the core trial, participants were enrolled in an extension trial, and began treatment with 10 mg/kg of lecanemab biweekly for up to 60 months, or until the drug became commercially available.</w:t>
      </w:r>
      <w:r w:rsidR="0033294A">
        <w:rPr>
          <w:rStyle w:val="EndnoteReference"/>
        </w:rPr>
        <w:endnoteReference w:id="41"/>
      </w:r>
      <w:r>
        <w:t xml:space="preserve"> Results of the extension trial demonstrated early reduction in brain amyloid, as 43% of patients demonstrated a conversion to negative brain amyloid as early as 3 months, and over 80% of participants were converted by 12 months versus placebo.</w:t>
      </w:r>
      <w:r w:rsidR="00CC4659">
        <w:rPr>
          <w:rStyle w:val="EndnoteReference"/>
        </w:rPr>
        <w:endnoteReference w:id="42"/>
      </w:r>
      <w:r>
        <w:t xml:space="preserve"> </w:t>
      </w:r>
      <w:r w:rsidR="00A8799A">
        <w:t>P</w:t>
      </w:r>
      <w:r w:rsidR="00A8799A" w:rsidRPr="00A8799A">
        <w:t xml:space="preserve">lasma Aβ42/40 ratio and pTau181 </w:t>
      </w:r>
      <w:r w:rsidR="00A8799A">
        <w:t xml:space="preserve">are </w:t>
      </w:r>
      <w:r w:rsidR="00A8799A" w:rsidRPr="00A8799A">
        <w:t>putative blood biomarkers that are used to screen for tau pathology associated with AD</w:t>
      </w:r>
      <w:r w:rsidR="00A8799A">
        <w:t>.</w:t>
      </w:r>
      <w:r w:rsidR="00A8799A" w:rsidRPr="00A8799A">
        <w:t xml:space="preserve"> </w:t>
      </w:r>
      <w:r w:rsidR="00D419C8" w:rsidRPr="00D419C8">
        <w:t>The concentration ratio of Aβ42 to Aβ40 (Aβ42/40 Ratio)</w:t>
      </w:r>
      <w:r w:rsidR="00D419C8">
        <w:t xml:space="preserve"> can be considered</w:t>
      </w:r>
      <w:r w:rsidR="00D419C8" w:rsidRPr="00D419C8">
        <w:t xml:space="preserve"> to be superior to the concentration of Aβ42 alone when identifying patients with AD. </w:t>
      </w:r>
      <w:r>
        <w:t>The plasma Aβ42/40 ratio and pTau181 decreased in participants after the gap while on treatment with lecanemab during the extension trial.  During the extension trial, the incidence of ARIA-E was &lt;10%, and all cases were in ApoE4 positive participants.</w:t>
      </w:r>
      <w:r w:rsidR="00B43A7A">
        <w:rPr>
          <w:rStyle w:val="EndnoteReference"/>
        </w:rPr>
        <w:endnoteReference w:id="43"/>
      </w:r>
      <w:r>
        <w:t xml:space="preserve">Combined analysis of the core and OLE trials demonstrated that the incidence of </w:t>
      </w:r>
      <w:r>
        <w:lastRenderedPageBreak/>
        <w:t>symptomatic ARIA-E was approximately 2%.</w:t>
      </w:r>
      <w:r w:rsidR="00F667EE">
        <w:rPr>
          <w:rStyle w:val="EndnoteReference"/>
        </w:rPr>
        <w:endnoteReference w:id="44"/>
      </w:r>
      <w:r w:rsidR="00304413">
        <w:t xml:space="preserve"> This has been confirmed in the Ph3 CLARITY AD study, with a symptomatic ARIA rate of 2.8% out of 1795 enrolled patients.</w:t>
      </w:r>
    </w:p>
    <w:p w14:paraId="0F7CB7FC" w14:textId="0A7609B5" w:rsidR="00097DE8" w:rsidRDefault="00097DE8" w:rsidP="00D55776">
      <w:r>
        <w:t>As mentioned earlier, the nominated comparator in is “No testing for amyloid and therefore SoC”. The SoC for patients with a clinical diagnosis of MCI possibly due to AD is observation, with instigation of brain health optimisation (generally encouragement of physical activity, social engagement, maintenance of cognitive stimulation and good nutrition). The SoC for patients with a clinical diagnosis of mild AD would be a treatment with AChEI therapy as first line AD medication.</w:t>
      </w:r>
    </w:p>
    <w:p w14:paraId="2233A279" w14:textId="08CB0DB0" w:rsidR="007F73DD" w:rsidRDefault="00667C3B" w:rsidP="00D55776">
      <w:r>
        <w:t xml:space="preserve">It is proposed that amyloid testing followed by </w:t>
      </w:r>
      <w:r w:rsidR="006172D1">
        <w:t>lecanemab</w:t>
      </w:r>
      <w:r>
        <w:t xml:space="preserve"> treatment </w:t>
      </w:r>
      <w:r w:rsidR="00A30FF0">
        <w:t xml:space="preserve">(with or without SOC) </w:t>
      </w:r>
      <w:r>
        <w:t xml:space="preserve">is superior to no amyloid testing and current SoC for patients with </w:t>
      </w:r>
      <w:r w:rsidR="00E2297C">
        <w:t>early-stage</w:t>
      </w:r>
      <w:r>
        <w:t xml:space="preserve"> AD. </w:t>
      </w:r>
    </w:p>
    <w:p w14:paraId="5FFC0807" w14:textId="77777777" w:rsidR="007F73DD" w:rsidRDefault="00667C3B" w:rsidP="00D55776">
      <w:r>
        <w:t xml:space="preserve">The clinical claim is justified by: </w:t>
      </w:r>
    </w:p>
    <w:p w14:paraId="7D56FCB2" w14:textId="0D292889" w:rsidR="00E30183" w:rsidRDefault="00667C3B" w:rsidP="00D55776">
      <w:pPr>
        <w:pStyle w:val="ListParagraph"/>
        <w:numPr>
          <w:ilvl w:val="0"/>
          <w:numId w:val="25"/>
        </w:numPr>
      </w:pPr>
      <w:r>
        <w:t xml:space="preserve">Acceptable safety and analytical performance of AD biomarker testing (assessed by MSAC);  </w:t>
      </w:r>
    </w:p>
    <w:p w14:paraId="52CD81E5" w14:textId="77777777" w:rsidR="00E30183" w:rsidRPr="00E30183" w:rsidRDefault="00667C3B" w:rsidP="00D55776">
      <w:pPr>
        <w:pStyle w:val="ListParagraph"/>
        <w:numPr>
          <w:ilvl w:val="0"/>
          <w:numId w:val="25"/>
        </w:numPr>
        <w:rPr>
          <w:szCs w:val="20"/>
        </w:rPr>
      </w:pPr>
      <w:r>
        <w:t xml:space="preserve">Superior efficacy with acceptable safety of </w:t>
      </w:r>
      <w:r w:rsidR="00E30183">
        <w:t>lecanemab</w:t>
      </w:r>
      <w:r>
        <w:t xml:space="preserve"> based treatment in brain amyloid positive patients relative to standard of care (without amyloid testing) (assessed by PBAC);</w:t>
      </w:r>
    </w:p>
    <w:p w14:paraId="3939CF83" w14:textId="5489C8E6" w:rsidR="00667C3B" w:rsidRPr="00E30183" w:rsidRDefault="00667C3B" w:rsidP="00D55776">
      <w:pPr>
        <w:pStyle w:val="ListParagraph"/>
        <w:numPr>
          <w:ilvl w:val="0"/>
          <w:numId w:val="25"/>
        </w:numPr>
        <w:rPr>
          <w:szCs w:val="20"/>
        </w:rPr>
      </w:pPr>
      <w:r>
        <w:t xml:space="preserve"> Clinical utility of the test plus drug combination (assessed be MSAC/PBAC).</w:t>
      </w:r>
    </w:p>
    <w:p w14:paraId="076CA221" w14:textId="77777777" w:rsidR="004E3CC7" w:rsidRDefault="0047363C" w:rsidP="00D55776">
      <w:pPr>
        <w:pStyle w:val="Heading2"/>
      </w:pPr>
      <w:r w:rsidRPr="0047363C">
        <w:t>Please state what the overall clinical claim is</w:t>
      </w:r>
      <w:r>
        <w:t>:</w:t>
      </w:r>
    </w:p>
    <w:p w14:paraId="395D6854" w14:textId="3DA40D82" w:rsidR="001C449B" w:rsidRDefault="001C449B" w:rsidP="00D55776">
      <w:pPr>
        <w:rPr>
          <w:noProof/>
        </w:rPr>
      </w:pPr>
      <w:r>
        <w:rPr>
          <w:noProof/>
        </w:rPr>
        <w:t xml:space="preserve">The overall clinical claim is that the proposed codependent technologies (the protein biomarker tests Aß positron emission tomography (PET) and cerebrospinal fluid (CSF)) for determining eligibility for access to Pharmaceutical Benefits Schedule subsidised lecanemab in patients with </w:t>
      </w:r>
      <w:r w:rsidR="00E2297C">
        <w:rPr>
          <w:noProof/>
        </w:rPr>
        <w:t>early-stage</w:t>
      </w:r>
      <w:r>
        <w:rPr>
          <w:noProof/>
        </w:rPr>
        <w:t xml:space="preserve"> Alzheimer Disease are superior in terms of comparative effectiveness versus the main comparator (no testing and current standard of care) in patients with early AD.</w:t>
      </w:r>
    </w:p>
    <w:p w14:paraId="3EB00BDF" w14:textId="7F04CC98" w:rsidR="00667C3B" w:rsidRPr="0047363C" w:rsidRDefault="001C449B" w:rsidP="00D55776">
      <w:pPr>
        <w:rPr>
          <w:noProof/>
        </w:rPr>
      </w:pPr>
      <w:r>
        <w:rPr>
          <w:noProof/>
        </w:rPr>
        <w:t>This will be explored in more detail in the submission.</w:t>
      </w:r>
    </w:p>
    <w:p w14:paraId="738C19AD" w14:textId="09E06854" w:rsidR="00B25D20" w:rsidRDefault="00E6222F" w:rsidP="00D55776">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60C205A5" w14:textId="7BC2B749" w:rsidR="00943A5E" w:rsidRDefault="00A311B3" w:rsidP="00D55776">
      <w:r>
        <w:t>T</w:t>
      </w:r>
      <w:r w:rsidRPr="00A311B3">
        <w:t>o be assessed by clinical trial data</w:t>
      </w:r>
      <w:r w:rsidR="00A64703">
        <w:t>, test protocol</w:t>
      </w:r>
      <w:r w:rsidR="004C39CB">
        <w:t>s, evidentiary standards</w:t>
      </w:r>
      <w:r w:rsidRPr="00A311B3">
        <w:t xml:space="preserve"> and literature reviews</w:t>
      </w:r>
    </w:p>
    <w:tbl>
      <w:tblPr>
        <w:tblStyle w:val="TableGrid"/>
        <w:tblW w:w="0" w:type="auto"/>
        <w:tblInd w:w="360" w:type="dxa"/>
        <w:tblLook w:val="04A0" w:firstRow="1" w:lastRow="0" w:firstColumn="1" w:lastColumn="0" w:noHBand="0" w:noVBand="1"/>
      </w:tblPr>
      <w:tblGrid>
        <w:gridCol w:w="1336"/>
        <w:gridCol w:w="7320"/>
      </w:tblGrid>
      <w:tr w:rsidR="008E473C" w14:paraId="7318D8F8" w14:textId="77777777" w:rsidTr="006423B0">
        <w:tc>
          <w:tcPr>
            <w:tcW w:w="1336" w:type="dxa"/>
            <w:vMerge w:val="restart"/>
          </w:tcPr>
          <w:p w14:paraId="2DA3011F" w14:textId="73DEFCC6" w:rsidR="008E473C" w:rsidRPr="00B4456D" w:rsidRDefault="008E473C" w:rsidP="00D55776">
            <w:pPr>
              <w:ind w:left="0"/>
              <w:rPr>
                <w:b/>
                <w:bCs/>
              </w:rPr>
            </w:pPr>
            <w:r w:rsidRPr="00B4456D">
              <w:rPr>
                <w:b/>
                <w:bCs/>
              </w:rPr>
              <w:t>Safety Outcomes:</w:t>
            </w:r>
          </w:p>
        </w:tc>
        <w:tc>
          <w:tcPr>
            <w:tcW w:w="7320" w:type="dxa"/>
          </w:tcPr>
          <w:p w14:paraId="616ECF70" w14:textId="650254F0" w:rsidR="008E473C" w:rsidRDefault="008E473C" w:rsidP="00D55776">
            <w:pPr>
              <w:ind w:left="0"/>
            </w:pPr>
            <w:r>
              <w:t>Adverse events related to Aβ PET and CSF AD biomarker testing</w:t>
            </w:r>
          </w:p>
        </w:tc>
      </w:tr>
      <w:tr w:rsidR="008E473C" w14:paraId="66764890" w14:textId="77777777" w:rsidTr="006423B0">
        <w:tc>
          <w:tcPr>
            <w:tcW w:w="1336" w:type="dxa"/>
            <w:vMerge/>
          </w:tcPr>
          <w:p w14:paraId="1B48A7C5" w14:textId="77777777" w:rsidR="008E473C" w:rsidRDefault="008E473C" w:rsidP="00D55776">
            <w:pPr>
              <w:ind w:left="0"/>
            </w:pPr>
          </w:p>
        </w:tc>
        <w:tc>
          <w:tcPr>
            <w:tcW w:w="7320" w:type="dxa"/>
          </w:tcPr>
          <w:p w14:paraId="4D58E5D7" w14:textId="032607B5" w:rsidR="008E473C" w:rsidRDefault="008E473C" w:rsidP="00D55776">
            <w:pPr>
              <w:ind w:left="0"/>
            </w:pPr>
            <w:r>
              <w:t xml:space="preserve">Safety and tolerability of lecanemab treatment assessed by AEs, physical examinations, laboratory findings, and vital signs. </w:t>
            </w:r>
          </w:p>
        </w:tc>
      </w:tr>
      <w:tr w:rsidR="008E473C" w14:paraId="379B1989" w14:textId="77777777" w:rsidTr="006423B0">
        <w:tc>
          <w:tcPr>
            <w:tcW w:w="1336" w:type="dxa"/>
          </w:tcPr>
          <w:p w14:paraId="62CAA5E2" w14:textId="050BF993" w:rsidR="008E473C" w:rsidRPr="00B4456D" w:rsidRDefault="008E473C" w:rsidP="00D55776">
            <w:pPr>
              <w:ind w:left="0"/>
              <w:rPr>
                <w:b/>
                <w:bCs/>
              </w:rPr>
            </w:pPr>
            <w:r w:rsidRPr="00B4456D">
              <w:rPr>
                <w:b/>
                <w:bCs/>
              </w:rPr>
              <w:t>Clinical Effectiveness Outcomes</w:t>
            </w:r>
          </w:p>
        </w:tc>
        <w:tc>
          <w:tcPr>
            <w:tcW w:w="7320" w:type="dxa"/>
          </w:tcPr>
          <w:p w14:paraId="7917C5DE" w14:textId="5152C869" w:rsidR="004C39CB" w:rsidRDefault="004C39CB" w:rsidP="00D55776">
            <w:pPr>
              <w:ind w:left="0"/>
            </w:pPr>
            <w:r>
              <w:t xml:space="preserve">Treatment effect modification of lecanemab in patients in patients with early AD.  </w:t>
            </w:r>
          </w:p>
          <w:p w14:paraId="543CDBB3" w14:textId="7AA7340D" w:rsidR="00E17041" w:rsidRDefault="00E17041" w:rsidP="00D55776">
            <w:pPr>
              <w:ind w:left="0"/>
            </w:pPr>
            <w:r w:rsidRPr="00E17041">
              <w:t>In the clinical trials of lecanemab, the patients were specifically defined as having mild cognitive impairment (MCI) due to mild AD dementia.</w:t>
            </w:r>
          </w:p>
          <w:p w14:paraId="134ACCAF" w14:textId="7B3F3AF5" w:rsidR="004C39CB" w:rsidRDefault="00F40189" w:rsidP="00D55776">
            <w:pPr>
              <w:ind w:left="0"/>
            </w:pPr>
            <w:r w:rsidRPr="00F40189">
              <w:t xml:space="preserve">Lecanemab preferentially binds with highest affinity to large soluble Aβ protein aggregates, known as protofibrils, while maintaining high affinity for fibrillar Aβ that are a major component of Aβ plaques. The accumulation of Aβ plaques in the brain is a defining pathophysiological feature of AD. </w:t>
            </w:r>
            <w:r w:rsidR="00E17041" w:rsidRPr="00E17041">
              <w:t xml:space="preserve">High dose lecanemab has been shown to reduce Aβ plaque burden on amyloid positron emission tomography (PET) and, concomitantly, slows AD </w:t>
            </w:r>
            <w:r w:rsidR="00110822">
              <w:t xml:space="preserve">clinical </w:t>
            </w:r>
            <w:r w:rsidR="00E17041" w:rsidRPr="00E17041">
              <w:t>disease progression in patients diagnosed as having MCI due to AD or mild AD, with confirmed amyloid brain pathology.</w:t>
            </w:r>
            <w:r w:rsidR="00E17041" w:rsidRPr="00E17041">
              <w:rPr>
                <w:vertAlign w:val="superscript"/>
              </w:rPr>
              <w:endnoteReference w:id="45"/>
            </w:r>
          </w:p>
        </w:tc>
      </w:tr>
      <w:tr w:rsidR="008E473C" w14:paraId="66EA7C70" w14:textId="77777777" w:rsidTr="006423B0">
        <w:tc>
          <w:tcPr>
            <w:tcW w:w="1336" w:type="dxa"/>
          </w:tcPr>
          <w:p w14:paraId="78E4027D" w14:textId="45F85116" w:rsidR="008E473C" w:rsidRPr="00B4456D" w:rsidRDefault="00413023" w:rsidP="00D55776">
            <w:pPr>
              <w:ind w:left="0"/>
              <w:rPr>
                <w:b/>
                <w:bCs/>
              </w:rPr>
            </w:pPr>
            <w:r w:rsidRPr="00B4456D">
              <w:rPr>
                <w:b/>
                <w:bCs/>
              </w:rPr>
              <w:t>QOL</w:t>
            </w:r>
            <w:r w:rsidR="00CE5958" w:rsidRPr="00B4456D">
              <w:rPr>
                <w:b/>
                <w:bCs/>
              </w:rPr>
              <w:t xml:space="preserve"> outcomes</w:t>
            </w:r>
          </w:p>
        </w:tc>
        <w:tc>
          <w:tcPr>
            <w:tcW w:w="7320" w:type="dxa"/>
          </w:tcPr>
          <w:p w14:paraId="1811AC15" w14:textId="77777777" w:rsidR="00CE5958" w:rsidRDefault="00CE5958" w:rsidP="00D55776">
            <w:pPr>
              <w:ind w:left="0"/>
            </w:pPr>
            <w:r>
              <w:t>Change in patient management due to amyloid testing</w:t>
            </w:r>
          </w:p>
          <w:p w14:paraId="79036A9B" w14:textId="77777777" w:rsidR="00CE5958" w:rsidRDefault="00CE5958" w:rsidP="00D55776">
            <w:pPr>
              <w:ind w:left="0"/>
            </w:pPr>
            <w:r>
              <w:t>Quality of life and QALYs of patients and carers</w:t>
            </w:r>
          </w:p>
          <w:p w14:paraId="5E406188" w14:textId="64DA7CF7" w:rsidR="008E473C" w:rsidRDefault="00CE5958" w:rsidP="00D55776">
            <w:pPr>
              <w:ind w:left="0"/>
            </w:pPr>
            <w:r>
              <w:t>Lost productivity of patients and carers</w:t>
            </w:r>
          </w:p>
        </w:tc>
      </w:tr>
    </w:tbl>
    <w:p w14:paraId="259A1675" w14:textId="77777777" w:rsidR="008E473C" w:rsidRDefault="008E473C" w:rsidP="00D55776"/>
    <w:p w14:paraId="510B32D5" w14:textId="00CDF3DC" w:rsidR="00F82A50" w:rsidRDefault="00F82A50" w:rsidP="00D55776">
      <w:pPr>
        <w:spacing w:before="0" w:after="200" w:line="276" w:lineRule="auto"/>
        <w:ind w:left="0"/>
      </w:pPr>
      <w:r>
        <w:br w:type="page"/>
      </w:r>
    </w:p>
    <w:p w14:paraId="0E5F7844" w14:textId="52902575" w:rsidR="00C776B1" w:rsidRPr="00C776B1" w:rsidRDefault="005C3AE7" w:rsidP="00D55776">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F957CB3" w14:textId="77777777" w:rsidR="006C74B1" w:rsidRPr="00092580" w:rsidRDefault="00BE0FDE" w:rsidP="00D55776">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12007F57" w14:textId="2AAD6BCE" w:rsidR="009A53D1" w:rsidRDefault="009A53D1" w:rsidP="00D55776">
      <w:r>
        <w:t xml:space="preserve">Early-stage AD, which is the target condition of this application includes two patient population subgroups: patients with mild AD and patients with MCI caused by AD. Upon clinical diagnosis of early-stage AD through </w:t>
      </w:r>
      <w:r w:rsidR="009B6003">
        <w:t xml:space="preserve">cognitive and/or neuropsychological testing, and </w:t>
      </w:r>
      <w:r>
        <w:t xml:space="preserve">CT </w:t>
      </w:r>
      <w:r w:rsidR="009B6003">
        <w:t xml:space="preserve">or </w:t>
      </w:r>
      <w:r>
        <w:t>MRI scans, amyloid-beta biomarker testing (A</w:t>
      </w:r>
      <w:r w:rsidR="000B18BC">
        <w:rPr>
          <w:rFonts w:cstheme="minorHAnsi"/>
        </w:rPr>
        <w:t>β</w:t>
      </w:r>
      <w:r>
        <w:t xml:space="preserve"> PET scans or CSF) will be utilised to confirm the early-stage AD diagnosis, making the patients eligible for treatment with lecanemab. </w:t>
      </w:r>
      <w:r w:rsidR="007B467D">
        <w:t xml:space="preserve">Both subgroups are </w:t>
      </w:r>
      <w:r w:rsidR="000609EB">
        <w:t>includ</w:t>
      </w:r>
      <w:r w:rsidR="000B18BC">
        <w:t>ed</w:t>
      </w:r>
      <w:r w:rsidR="000609EB">
        <w:t xml:space="preserve"> in the </w:t>
      </w:r>
      <w:r w:rsidR="000B18BC">
        <w:t xml:space="preserve">proposed </w:t>
      </w:r>
      <w:r w:rsidR="000609EB">
        <w:t>indication population for lecanemab</w:t>
      </w:r>
      <w:r w:rsidR="00BD2E3F">
        <w:t>: ‘</w:t>
      </w:r>
      <w:r w:rsidR="00BD2E3F" w:rsidRPr="00BD2E3F">
        <w:t>Lecanemab is indicated for the treatment of early AD (MCI due to AD and mild AD dementia, with confirmed amyloid pathology)</w:t>
      </w:r>
      <w:r w:rsidR="00BD2E3F">
        <w:t>’</w:t>
      </w:r>
      <w:r w:rsidR="00BD2E3F" w:rsidRPr="00BD2E3F">
        <w:t>.</w:t>
      </w:r>
    </w:p>
    <w:p w14:paraId="3821E4E1" w14:textId="2967DD53" w:rsidR="009A53D1" w:rsidRDefault="009A53D1" w:rsidP="00D55776">
      <w:r>
        <w:t>These two population subgroups are considered to be relatively distinct phases within the currently accepted classification of the dementia and AD continuum. There is a large degree of similarity between these two populations with the differentiation of mild AD from MCI being the significant interference in the ability to function at work or in usual daily activities (which is AD).</w:t>
      </w:r>
      <w:r w:rsidR="008D0D32">
        <w:rPr>
          <w:rStyle w:val="EndnoteReference"/>
        </w:rPr>
        <w:endnoteReference w:id="46"/>
      </w:r>
      <w:r>
        <w:t xml:space="preserve"> As a result, epidemiological data is reported separately for the mild AD and MCI patient populations. </w:t>
      </w:r>
    </w:p>
    <w:p w14:paraId="78BCB7C2" w14:textId="1B526CD0" w:rsidR="002C5D23" w:rsidRDefault="009A53D1" w:rsidP="00D55776">
      <w:r>
        <w:t xml:space="preserve">The application adheres to the literature-based approach and presents epidemiological estimates that separates the mild AD and MCI patient populations. However, it should be noted that the application considers there to be potential for overlap between the two patient population subgroups and as such it would not be appropriate to combine population estimates as this would not give accurate estimates of overall population numbers. Accordingly, the extent of overlap between the MCI and mild AD patient populations will be further investigated in </w:t>
      </w:r>
      <w:r w:rsidR="00A77F59">
        <w:t>the co-dependent submission.</w:t>
      </w:r>
    </w:p>
    <w:p w14:paraId="14BB8D5B" w14:textId="0EF6351E" w:rsidR="00C768BE" w:rsidRDefault="009A53D1" w:rsidP="00D55776">
      <w:r>
        <w:t>The application presents a top</w:t>
      </w:r>
      <w:r w:rsidR="002C5D23">
        <w:t>-</w:t>
      </w:r>
      <w:r>
        <w:t xml:space="preserve">down approach for estimating the prevalence of mild AD and MCI patients in Australia </w:t>
      </w:r>
      <w:r w:rsidR="00A239E3">
        <w:t>(</w:t>
      </w:r>
      <w:r w:rsidR="00A239E3">
        <w:fldChar w:fldCharType="begin"/>
      </w:r>
      <w:r w:rsidR="00A239E3">
        <w:instrText xml:space="preserve"> REF _Ref118962924 \h </w:instrText>
      </w:r>
      <w:r w:rsidR="00933374">
        <w:instrText xml:space="preserve"> \* MERGEFORMAT </w:instrText>
      </w:r>
      <w:r w:rsidR="00A239E3">
        <w:fldChar w:fldCharType="separate"/>
      </w:r>
      <w:r w:rsidR="00BE644F">
        <w:t xml:space="preserve">Table </w:t>
      </w:r>
      <w:r w:rsidR="00BE644F">
        <w:rPr>
          <w:noProof/>
        </w:rPr>
        <w:t>4</w:t>
      </w:r>
      <w:r w:rsidR="00A239E3">
        <w:fldChar w:fldCharType="end"/>
      </w:r>
      <w:r w:rsidR="00A239E3">
        <w:t>).</w:t>
      </w:r>
    </w:p>
    <w:p w14:paraId="69D0D6EB" w14:textId="3BE2A482" w:rsidR="002C5D23" w:rsidRDefault="002C5D23" w:rsidP="00D55776">
      <w:r>
        <w:t xml:space="preserve">The prevalence of </w:t>
      </w:r>
      <w:r w:rsidR="007C2F5A">
        <w:t xml:space="preserve">mild AD </w:t>
      </w:r>
      <w:r w:rsidR="00402B4F">
        <w:t>is based on the prevalence of dementia in Australia.</w:t>
      </w:r>
      <w:r w:rsidR="00FA2D94">
        <w:t xml:space="preserve"> </w:t>
      </w:r>
      <w:r w:rsidR="00FA2D94" w:rsidRPr="00FA2D94">
        <w:t>Australia’s dementia statistics are derived from a variety of sources including administrative data, survey data and epidemiological studies. As each data source has incomplete coverage of people with dementia, it is difficult to accurately report how many Australians are living with dementia.</w:t>
      </w:r>
      <w:r w:rsidR="00104933">
        <w:t xml:space="preserve"> For the purposes of </w:t>
      </w:r>
      <w:r w:rsidR="00C5313F">
        <w:t xml:space="preserve">this application, the prevalence of dementia is obtained from the </w:t>
      </w:r>
      <w:r w:rsidR="008E3F2C">
        <w:t>estimates</w:t>
      </w:r>
      <w:r w:rsidR="00652A62">
        <w:t xml:space="preserve"> made by Dementia Australia </w:t>
      </w:r>
      <w:r w:rsidR="008E3F2C">
        <w:t>for 2022</w:t>
      </w:r>
      <w:r w:rsidR="00F82A50">
        <w:t>.</w:t>
      </w:r>
      <w:r w:rsidR="00D70EED">
        <w:rPr>
          <w:rStyle w:val="EndnoteReference"/>
        </w:rPr>
        <w:endnoteReference w:id="47"/>
      </w:r>
      <w:r w:rsidR="008E3F2C">
        <w:t xml:space="preserve"> </w:t>
      </w:r>
      <w:r w:rsidR="00C768BE" w:rsidRPr="00C768BE">
        <w:t>The 2022 Dementia Australia Prevalence Data for dementia was modelled by the National Centre for Social and Economic Modelling (NATSEM) from the University of Canberra. The team have used a standard demographic modelling approach, in which age-sex dementia prevalence rates are applied to age-sex population projection estimates.</w:t>
      </w:r>
      <w:r w:rsidR="00F27AFA">
        <w:t xml:space="preserve"> The proportion of patients with mild dementia (defined as having a Clinical Dementia Rating (CDR) of 1.0) was reported in the AIHW 2012 report based on the study by Barendregt (1998)</w:t>
      </w:r>
      <w:r w:rsidR="006A1E81">
        <w:rPr>
          <w:rStyle w:val="EndnoteReference"/>
        </w:rPr>
        <w:endnoteReference w:id="48"/>
      </w:r>
      <w:r w:rsidR="00F27AFA">
        <w:t>.</w:t>
      </w:r>
    </w:p>
    <w:p w14:paraId="045179A8" w14:textId="536BEA38" w:rsidR="009A2F88" w:rsidRDefault="00EC76DD" w:rsidP="00D55776">
      <w:r>
        <w:t>Data regarding prevalence and incidence of MCI vary considerably and are influenced by the age of the study population, the population setting and methods used to operationalise criteria.</w:t>
      </w:r>
      <w:r w:rsidR="00867727">
        <w:t xml:space="preserve"> </w:t>
      </w:r>
      <w:r w:rsidR="000670D0">
        <w:t xml:space="preserve">A </w:t>
      </w:r>
      <w:r w:rsidR="0026021C">
        <w:t>Dementia Collaborative Research Centre (DCRC) funder University of Melbourne project</w:t>
      </w:r>
      <w:r w:rsidR="009102AC">
        <w:rPr>
          <w:rStyle w:val="EndnoteReference"/>
        </w:rPr>
        <w:endnoteReference w:id="49"/>
      </w:r>
      <w:r w:rsidR="0026021C">
        <w:t xml:space="preserve"> reported a prevalence of </w:t>
      </w:r>
      <w:r>
        <w:t xml:space="preserve"> </w:t>
      </w:r>
      <w:r w:rsidR="00E50D43">
        <w:t>approximately</w:t>
      </w:r>
      <w:r w:rsidR="0029529E">
        <w:t xml:space="preserve"> 9% in the Australian population </w:t>
      </w:r>
      <w:r w:rsidR="00DB3BF9">
        <w:t>in it</w:t>
      </w:r>
      <w:r w:rsidR="00430CA9">
        <w:t xml:space="preserve">s </w:t>
      </w:r>
      <w:r w:rsidR="00DB3BF9">
        <w:t>sixtie</w:t>
      </w:r>
      <w:r w:rsidR="00D67876">
        <w:t>s, based on a study conducted by</w:t>
      </w:r>
      <w:r w:rsidR="00867727">
        <w:t xml:space="preserve"> Ans</w:t>
      </w:r>
      <w:r w:rsidR="009C243E">
        <w:t>tey</w:t>
      </w:r>
      <w:r w:rsidR="00430CA9">
        <w:t xml:space="preserve"> (</w:t>
      </w:r>
      <w:r w:rsidR="00867727">
        <w:t>2013).</w:t>
      </w:r>
      <w:r w:rsidR="00D67876">
        <w:t xml:space="preserve"> </w:t>
      </w:r>
      <w:r w:rsidR="00430CA9">
        <w:t>However</w:t>
      </w:r>
      <w:r w:rsidR="00172E9A">
        <w:t>,</w:t>
      </w:r>
      <w:r w:rsidR="00430CA9">
        <w:t xml:space="preserve"> it also reported that </w:t>
      </w:r>
      <w:r w:rsidR="00686031">
        <w:t>prevalence rates</w:t>
      </w:r>
      <w:r w:rsidR="00DC50C4">
        <w:t xml:space="preserve"> of MCI</w:t>
      </w:r>
      <w:r w:rsidR="00686031">
        <w:t xml:space="preserve"> </w:t>
      </w:r>
      <w:r w:rsidR="008674AC">
        <w:t>varied from 6% - 12%</w:t>
      </w:r>
      <w:r w:rsidR="00DC50C4">
        <w:t xml:space="preserve"> </w:t>
      </w:r>
      <w:r w:rsidR="00961779">
        <w:t xml:space="preserve">in another recent study </w:t>
      </w:r>
      <w:r w:rsidR="009A2F88">
        <w:t xml:space="preserve">applying uniform criteria to harmonised data from geographically diverse cohorts for people over 60 years of age. </w:t>
      </w:r>
      <w:r w:rsidR="003B1EBD">
        <w:t xml:space="preserve">While </w:t>
      </w:r>
      <w:r w:rsidR="00C07485">
        <w:t xml:space="preserve">these studies only report </w:t>
      </w:r>
      <w:r w:rsidR="00785299">
        <w:t xml:space="preserve">the prevalence of </w:t>
      </w:r>
      <w:r w:rsidR="00566E18">
        <w:t xml:space="preserve">MCI in the older population (60+ years of age), they may be considered </w:t>
      </w:r>
      <w:r w:rsidR="004237EC">
        <w:t xml:space="preserve">as </w:t>
      </w:r>
      <w:r w:rsidR="002A2995">
        <w:t>approximate</w:t>
      </w:r>
      <w:r w:rsidR="004237EC">
        <w:t xml:space="preserve"> </w:t>
      </w:r>
      <w:r w:rsidR="00D340A8">
        <w:t xml:space="preserve">estimations of prevalence throughout the </w:t>
      </w:r>
      <w:r w:rsidR="002A2995">
        <w:t>Australian</w:t>
      </w:r>
      <w:r w:rsidR="00D340A8">
        <w:t xml:space="preserve"> population because MCI </w:t>
      </w:r>
      <w:r w:rsidR="00165A06">
        <w:t xml:space="preserve">mainly affects the older population, with the incidence </w:t>
      </w:r>
      <w:r w:rsidR="00963596">
        <w:t xml:space="preserve">rates rising </w:t>
      </w:r>
      <w:r w:rsidR="002A2995">
        <w:t>as the age increases.</w:t>
      </w:r>
      <w:r w:rsidR="00A07164">
        <w:t xml:space="preserve"> The</w:t>
      </w:r>
      <w:r w:rsidR="00776BEF">
        <w:t xml:space="preserve"> number of MCI patients likely to develop </w:t>
      </w:r>
      <w:r w:rsidR="00ED4463">
        <w:t>dem</w:t>
      </w:r>
      <w:r w:rsidR="0067014D">
        <w:t xml:space="preserve">entia is taken from </w:t>
      </w:r>
      <w:r w:rsidR="00FD3FEC">
        <w:t xml:space="preserve">a population based </w:t>
      </w:r>
      <w:r w:rsidR="00A02634">
        <w:t>longitud</w:t>
      </w:r>
      <w:r w:rsidR="00AC194A">
        <w:t>inal study (Lipnicki et al. 2017)</w:t>
      </w:r>
      <w:r w:rsidR="006A79A7">
        <w:rPr>
          <w:rStyle w:val="EndnoteReference"/>
        </w:rPr>
        <w:endnoteReference w:id="50"/>
      </w:r>
      <w:r w:rsidR="00F62C8A">
        <w:t xml:space="preserve">. </w:t>
      </w:r>
      <w:r w:rsidR="002A2995">
        <w:t xml:space="preserve"> </w:t>
      </w:r>
    </w:p>
    <w:p w14:paraId="6BE566BA" w14:textId="4E7B552D" w:rsidR="009F4CA7" w:rsidRDefault="00D9390C" w:rsidP="00D55776">
      <w:r>
        <w:t>An alternative</w:t>
      </w:r>
      <w:r w:rsidR="007D4828">
        <w:t xml:space="preserve"> method to determine the </w:t>
      </w:r>
      <w:r w:rsidR="0010011E">
        <w:t>prevalence of MCI patients was based on the prevalence of amnesic MCI patients reported in Sachdev (2014)</w:t>
      </w:r>
      <w:r w:rsidR="00E7170B">
        <w:rPr>
          <w:rStyle w:val="EndnoteReference"/>
        </w:rPr>
        <w:endnoteReference w:id="51"/>
      </w:r>
      <w:r w:rsidR="0010011E">
        <w:t xml:space="preserve"> defined as patients with a cognitive impairment in the memory domain. Amnesic MCI is used as a surrogate for MCI suspected to be due to AD.</w:t>
      </w:r>
      <w:r w:rsidR="00C01FDE">
        <w:t xml:space="preserve"> In the </w:t>
      </w:r>
      <w:r w:rsidR="006637A7">
        <w:t xml:space="preserve">Sachdev (2014) study, the patient population </w:t>
      </w:r>
      <w:r w:rsidR="00D47E35">
        <w:t>w</w:t>
      </w:r>
      <w:r w:rsidR="00A30166">
        <w:t>ere not identified as having deme</w:t>
      </w:r>
      <w:r>
        <w:t>n</w:t>
      </w:r>
      <w:r w:rsidR="00A30166">
        <w:t>tia</w:t>
      </w:r>
      <w:r w:rsidR="00441D09">
        <w:t>, i.e. t</w:t>
      </w:r>
      <w:r w:rsidR="00546607">
        <w:t xml:space="preserve">hey did not have a </w:t>
      </w:r>
      <w:r w:rsidR="00EB35D9">
        <w:lastRenderedPageBreak/>
        <w:t>clinical dementia rating (</w:t>
      </w:r>
      <w:r w:rsidR="00546607">
        <w:t>CDR</w:t>
      </w:r>
      <w:r w:rsidR="00EB35D9">
        <w:t>) Global Score</w:t>
      </w:r>
      <w:r w:rsidR="00546607">
        <w:t xml:space="preserve"> &gt;= 1</w:t>
      </w:r>
      <w:r w:rsidR="00265F6F">
        <w:t>.</w:t>
      </w:r>
      <w:r w:rsidR="007D4828">
        <w:t xml:space="preserve"> The </w:t>
      </w:r>
      <w:r w:rsidR="00A17F62">
        <w:t xml:space="preserve">choice of the appropriate method to determine prevalence of MCI will be further investigated </w:t>
      </w:r>
      <w:r w:rsidR="00333D74">
        <w:t>using</w:t>
      </w:r>
      <w:r w:rsidR="00A17F62">
        <w:t xml:space="preserve"> a</w:t>
      </w:r>
      <w:r w:rsidR="001F5AE2">
        <w:t>n</w:t>
      </w:r>
      <w:r w:rsidR="00333D74">
        <w:t xml:space="preserve"> advisory-board and discussed in the </w:t>
      </w:r>
      <w:r w:rsidR="00DF7F39">
        <w:t>submission.</w:t>
      </w:r>
    </w:p>
    <w:p w14:paraId="54474CB9" w14:textId="3FE68880" w:rsidR="00175384" w:rsidRDefault="00043F8B" w:rsidP="00D55776">
      <w:r>
        <w:t>Finally, the proportion of mild dementia and MCI patients with AD dementia subtype was assumed to be 76% and 75% respectively, based on Knopman (2016)</w:t>
      </w:r>
      <w:r w:rsidR="007F1FBD">
        <w:rPr>
          <w:rStyle w:val="EndnoteReference"/>
        </w:rPr>
        <w:endnoteReference w:id="52"/>
      </w:r>
      <w:r>
        <w:t xml:space="preserve">, although it should be noted that this estimate is not widely reported in the literature and will be clarified in the </w:t>
      </w:r>
      <w:r w:rsidR="00DF7F39">
        <w:t>submission</w:t>
      </w:r>
      <w:r>
        <w:t>.</w:t>
      </w:r>
    </w:p>
    <w:p w14:paraId="5B4EE718" w14:textId="64B6E166" w:rsidR="007E7635" w:rsidRDefault="00175384" w:rsidP="00D55776">
      <w:r>
        <w:t>The incidenc</w:t>
      </w:r>
      <w:r w:rsidR="00A62219">
        <w:t>e of dement</w:t>
      </w:r>
      <w:r w:rsidR="007818C2">
        <w:t>ia</w:t>
      </w:r>
      <w:r w:rsidR="004C6E9A">
        <w:t xml:space="preserve"> was obtained from AIHW reported data </w:t>
      </w:r>
      <w:r w:rsidR="009F290C">
        <w:t>based on a study by Welberry et al. 2020</w:t>
      </w:r>
      <w:r w:rsidR="00A63081">
        <w:rPr>
          <w:rStyle w:val="EndnoteReference"/>
        </w:rPr>
        <w:endnoteReference w:id="53"/>
      </w:r>
      <w:r w:rsidR="00A5533B">
        <w:t>.</w:t>
      </w:r>
      <w:r w:rsidR="000C0694">
        <w:t xml:space="preserve"> The incidence data is used to</w:t>
      </w:r>
      <w:r w:rsidR="0039098B">
        <w:t xml:space="preserve"> determine the prevalence of </w:t>
      </w:r>
      <w:r w:rsidR="00D14D85">
        <w:t xml:space="preserve">dementia in Australia over the next three years. </w:t>
      </w:r>
      <w:r w:rsidR="004C44F1">
        <w:t xml:space="preserve">(see </w:t>
      </w:r>
      <w:r w:rsidR="00E22A64">
        <w:fldChar w:fldCharType="begin"/>
      </w:r>
      <w:r w:rsidR="00E22A64">
        <w:instrText xml:space="preserve"> REF _Ref118965405 \h </w:instrText>
      </w:r>
      <w:r w:rsidR="00933374">
        <w:instrText xml:space="preserve"> \* MERGEFORMAT </w:instrText>
      </w:r>
      <w:r w:rsidR="00E22A64">
        <w:fldChar w:fldCharType="separate"/>
      </w:r>
      <w:r w:rsidR="00BE644F">
        <w:t xml:space="preserve">Table </w:t>
      </w:r>
      <w:r w:rsidR="00BE644F">
        <w:rPr>
          <w:noProof/>
        </w:rPr>
        <w:t>5</w:t>
      </w:r>
      <w:r w:rsidR="00E22A64">
        <w:fldChar w:fldCharType="end"/>
      </w:r>
      <w:r w:rsidR="00E22A64">
        <w:t>)</w:t>
      </w:r>
    </w:p>
    <w:p w14:paraId="1522775E" w14:textId="23436759" w:rsidR="009A53D1" w:rsidRDefault="007E7635" w:rsidP="00D55776">
      <w:r>
        <w:t>W</w:t>
      </w:r>
      <w:r w:rsidR="009A53D1">
        <w:t>hen a clinical diagnosis of early</w:t>
      </w:r>
      <w:r w:rsidR="00677BA3">
        <w:t>-</w:t>
      </w:r>
      <w:r w:rsidR="009A53D1">
        <w:t xml:space="preserve">stage AD is made, and other causes of the MCI or mild dementia can be ruled out, this is the stage when patients would be considered eligible for proposed co-dependent test services. </w:t>
      </w:r>
    </w:p>
    <w:p w14:paraId="2339D524" w14:textId="2E42D22C" w:rsidR="00677BA3" w:rsidRDefault="00677BA3" w:rsidP="00D55776">
      <w:r>
        <w:t xml:space="preserve">The test services, </w:t>
      </w:r>
      <w:r w:rsidR="00E11A43">
        <w:t xml:space="preserve">namely </w:t>
      </w:r>
      <w:r w:rsidR="00E11A43" w:rsidRPr="008D0999">
        <w:t>Aß positron emission tomography (PET) and cerebrospinal fluid (CSF</w:t>
      </w:r>
      <w:r w:rsidR="00E11A43">
        <w:t>) are further discussed in Q48 and Q49.</w:t>
      </w:r>
    </w:p>
    <w:p w14:paraId="50F21E18" w14:textId="786BF880" w:rsidR="00CA6A06" w:rsidRDefault="000B1860" w:rsidP="00D55776">
      <w:r>
        <w:t xml:space="preserve">It is </w:t>
      </w:r>
      <w:r w:rsidR="007E6E6B">
        <w:t xml:space="preserve">important to note that </w:t>
      </w:r>
      <w:r w:rsidR="00A8690C">
        <w:t xml:space="preserve">the uptake of the </w:t>
      </w:r>
      <w:r w:rsidR="004E1D21">
        <w:t>proposed</w:t>
      </w:r>
      <w:r w:rsidR="00FE1A69">
        <w:t xml:space="preserve"> </w:t>
      </w:r>
      <w:r w:rsidR="004E1D21">
        <w:t xml:space="preserve">codependent test </w:t>
      </w:r>
      <w:r w:rsidR="008301F4">
        <w:t xml:space="preserve">services is likely </w:t>
      </w:r>
      <w:r w:rsidR="00CA78C4">
        <w:t xml:space="preserve">impact the uptake of </w:t>
      </w:r>
      <w:r w:rsidR="004F0FFE">
        <w:t>Lecanemab</w:t>
      </w:r>
      <w:r w:rsidR="00170807">
        <w:t>.</w:t>
      </w:r>
      <w:r w:rsidR="00B47435">
        <w:t xml:space="preserve"> The current uptak</w:t>
      </w:r>
      <w:r w:rsidR="004433E1">
        <w:t xml:space="preserve">e rate </w:t>
      </w:r>
      <w:r w:rsidR="00377E7C">
        <w:t xml:space="preserve">of </w:t>
      </w:r>
      <w:r w:rsidR="008B437F">
        <w:t>Alzheimer’s</w:t>
      </w:r>
      <w:r w:rsidR="00377E7C">
        <w:t xml:space="preserve"> treatments was obtained from a report published by the DUSC in 2016</w:t>
      </w:r>
      <w:r w:rsidR="00FC6935">
        <w:rPr>
          <w:rStyle w:val="EndnoteReference"/>
        </w:rPr>
        <w:endnoteReference w:id="54"/>
      </w:r>
      <w:r w:rsidR="00377E7C">
        <w:t xml:space="preserve">. </w:t>
      </w:r>
      <w:r w:rsidR="00B05EEE">
        <w:t>While the prevalent population of</w:t>
      </w:r>
      <w:r w:rsidR="004313DE">
        <w:t xml:space="preserve"> early</w:t>
      </w:r>
      <w:r w:rsidR="00E3148B">
        <w:t>-</w:t>
      </w:r>
      <w:r w:rsidR="004313DE">
        <w:t xml:space="preserve">stage AD indicates the population eligible </w:t>
      </w:r>
      <w:r w:rsidR="004303E3">
        <w:t xml:space="preserve">for treatment with </w:t>
      </w:r>
      <w:r w:rsidR="008B437F">
        <w:t>Lecanemab</w:t>
      </w:r>
      <w:r w:rsidR="004303E3">
        <w:t xml:space="preserve">, the </w:t>
      </w:r>
      <w:r w:rsidR="00E0571C">
        <w:t>actual number of</w:t>
      </w:r>
      <w:r w:rsidR="004B79BF">
        <w:t xml:space="preserve"> </w:t>
      </w:r>
      <w:r w:rsidR="00E2297C">
        <w:t>early-stage</w:t>
      </w:r>
      <w:r w:rsidR="004B79BF">
        <w:t xml:space="preserve"> AD</w:t>
      </w:r>
      <w:r w:rsidR="00617C79">
        <w:t xml:space="preserve"> patients being treated </w:t>
      </w:r>
      <w:r w:rsidR="00335F96">
        <w:t xml:space="preserve">with </w:t>
      </w:r>
      <w:r w:rsidR="000B1471">
        <w:t xml:space="preserve">Lecanemab is likely to be a subset of the </w:t>
      </w:r>
      <w:r w:rsidR="00C830BF">
        <w:t xml:space="preserve">population already receiving </w:t>
      </w:r>
      <w:r w:rsidR="007A6208">
        <w:t>treatment for mild- moderate AD</w:t>
      </w:r>
      <w:r w:rsidR="00957BB0">
        <w:t xml:space="preserve">. This is because </w:t>
      </w:r>
      <w:r w:rsidR="00E850D6">
        <w:t xml:space="preserve">unlike existing PBS listed treatments for </w:t>
      </w:r>
      <w:r w:rsidR="00824C77">
        <w:t xml:space="preserve">mild-moderate AD, </w:t>
      </w:r>
      <w:r w:rsidR="00B7203E">
        <w:t xml:space="preserve">Lecanemab </w:t>
      </w:r>
      <w:r w:rsidR="00A6163F">
        <w:t xml:space="preserve">requires </w:t>
      </w:r>
      <w:r w:rsidR="00906412">
        <w:t xml:space="preserve">an additional </w:t>
      </w:r>
      <w:r w:rsidR="007324DD">
        <w:t>test (</w:t>
      </w:r>
      <w:r w:rsidR="00C80638">
        <w:t>either</w:t>
      </w:r>
      <w:r w:rsidR="007324DD">
        <w:t xml:space="preserve"> AB PET</w:t>
      </w:r>
      <w:r w:rsidR="00C80638">
        <w:t xml:space="preserve"> or CSF) to confirm amyloid-beta pathology</w:t>
      </w:r>
      <w:r w:rsidR="008415F1">
        <w:t xml:space="preserve">, which </w:t>
      </w:r>
      <w:r w:rsidR="00FE1A69">
        <w:t>will</w:t>
      </w:r>
      <w:r w:rsidR="008415F1">
        <w:t xml:space="preserve"> </w:t>
      </w:r>
      <w:r w:rsidR="00235268">
        <w:t xml:space="preserve">reduce the patient pool due to </w:t>
      </w:r>
      <w:r w:rsidR="00194169">
        <w:t>poten</w:t>
      </w:r>
      <w:r w:rsidR="007200D4">
        <w:t>tial</w:t>
      </w:r>
      <w:r w:rsidR="00235268">
        <w:t xml:space="preserve"> limited availability of AB PET machines and</w:t>
      </w:r>
      <w:r w:rsidR="00B1492F">
        <w:t xml:space="preserve"> </w:t>
      </w:r>
      <w:r w:rsidR="00DE099C">
        <w:t>lack of</w:t>
      </w:r>
      <w:r w:rsidR="00FE1A69">
        <w:t xml:space="preserve"> </w:t>
      </w:r>
      <w:r w:rsidR="00DE099C">
        <w:t xml:space="preserve">patient uptake of </w:t>
      </w:r>
      <w:r w:rsidR="00B1492F">
        <w:t>CSF</w:t>
      </w:r>
      <w:r w:rsidR="00C80638">
        <w:t>.</w:t>
      </w:r>
      <w:r w:rsidR="000025AC">
        <w:t xml:space="preserve"> The DUSC (2016) report was also used to estimate patient adherence to treatment</w:t>
      </w:r>
      <w:r w:rsidR="00FF48C9">
        <w:t>.</w:t>
      </w:r>
    </w:p>
    <w:p w14:paraId="5389E742" w14:textId="639196AC" w:rsidR="00A239E3" w:rsidRDefault="00A239E3" w:rsidP="00D55776">
      <w:pPr>
        <w:pStyle w:val="Caption"/>
        <w:keepNext/>
        <w:ind w:left="426"/>
      </w:pPr>
      <w:bookmarkStart w:id="26" w:name="_Ref118962924"/>
      <w:r>
        <w:t xml:space="preserve">Table </w:t>
      </w:r>
      <w:fldSimple w:instr=" SEQ Table \* ARABIC ">
        <w:r w:rsidR="00BE644F">
          <w:rPr>
            <w:noProof/>
          </w:rPr>
          <w:t>4</w:t>
        </w:r>
      </w:fldSimple>
      <w:bookmarkEnd w:id="26"/>
      <w:r>
        <w:t>: Epidemiology data for mild AD and MCI associated with AD</w:t>
      </w:r>
    </w:p>
    <w:tbl>
      <w:tblPr>
        <w:tblStyle w:val="TableGrid"/>
        <w:tblW w:w="0" w:type="auto"/>
        <w:tblInd w:w="360" w:type="dxa"/>
        <w:tblLook w:val="04A0" w:firstRow="1" w:lastRow="0" w:firstColumn="1" w:lastColumn="0" w:noHBand="0" w:noVBand="1"/>
      </w:tblPr>
      <w:tblGrid>
        <w:gridCol w:w="2612"/>
        <w:gridCol w:w="1941"/>
        <w:gridCol w:w="44"/>
        <w:gridCol w:w="3969"/>
      </w:tblGrid>
      <w:tr w:rsidR="00596811" w14:paraId="30BE8716" w14:textId="77777777" w:rsidTr="00DE099C">
        <w:tc>
          <w:tcPr>
            <w:tcW w:w="2612" w:type="dxa"/>
          </w:tcPr>
          <w:p w14:paraId="3D0C90EF" w14:textId="38149F97" w:rsidR="00596811" w:rsidRPr="001E52CD" w:rsidRDefault="00596811" w:rsidP="00D55776">
            <w:pPr>
              <w:spacing w:before="0" w:after="0"/>
              <w:ind w:left="0"/>
              <w:rPr>
                <w:b/>
                <w:bCs/>
              </w:rPr>
            </w:pPr>
            <w:r w:rsidRPr="001E52CD">
              <w:rPr>
                <w:b/>
                <w:bCs/>
              </w:rPr>
              <w:t>Parameter</w:t>
            </w:r>
          </w:p>
        </w:tc>
        <w:tc>
          <w:tcPr>
            <w:tcW w:w="1941" w:type="dxa"/>
          </w:tcPr>
          <w:p w14:paraId="2620F8CB" w14:textId="58959FD9" w:rsidR="00596811" w:rsidRPr="001E52CD" w:rsidRDefault="00596811" w:rsidP="00D55776">
            <w:pPr>
              <w:spacing w:before="0" w:after="0"/>
              <w:ind w:left="0"/>
              <w:rPr>
                <w:b/>
                <w:bCs/>
              </w:rPr>
            </w:pPr>
            <w:r w:rsidRPr="001E52CD">
              <w:rPr>
                <w:b/>
                <w:bCs/>
              </w:rPr>
              <w:t>Value</w:t>
            </w:r>
          </w:p>
        </w:tc>
        <w:tc>
          <w:tcPr>
            <w:tcW w:w="4013" w:type="dxa"/>
            <w:gridSpan w:val="2"/>
          </w:tcPr>
          <w:p w14:paraId="59F540A9" w14:textId="56B3FE94" w:rsidR="00596811" w:rsidRPr="001E52CD" w:rsidRDefault="00596811" w:rsidP="00D55776">
            <w:pPr>
              <w:spacing w:before="0" w:after="0"/>
              <w:ind w:left="0"/>
              <w:rPr>
                <w:b/>
                <w:bCs/>
              </w:rPr>
            </w:pPr>
            <w:r w:rsidRPr="001E52CD">
              <w:rPr>
                <w:b/>
                <w:bCs/>
              </w:rPr>
              <w:t>Source</w:t>
            </w:r>
          </w:p>
        </w:tc>
      </w:tr>
      <w:tr w:rsidR="00E526D8" w14:paraId="5E00DF0F" w14:textId="77777777">
        <w:tc>
          <w:tcPr>
            <w:tcW w:w="8566" w:type="dxa"/>
            <w:gridSpan w:val="4"/>
            <w:shd w:val="clear" w:color="auto" w:fill="BFBFBF" w:themeFill="background1" w:themeFillShade="BF"/>
          </w:tcPr>
          <w:p w14:paraId="598853BA" w14:textId="7B8E85E9" w:rsidR="00E526D8" w:rsidRDefault="00E526D8" w:rsidP="00D55776">
            <w:pPr>
              <w:spacing w:before="0" w:after="0"/>
              <w:ind w:left="0"/>
              <w:jc w:val="center"/>
            </w:pPr>
            <w:r>
              <w:t>Mild AD population</w:t>
            </w:r>
          </w:p>
        </w:tc>
      </w:tr>
      <w:tr w:rsidR="006434AC" w14:paraId="298A405D" w14:textId="77777777" w:rsidTr="00DE099C">
        <w:tc>
          <w:tcPr>
            <w:tcW w:w="2612" w:type="dxa"/>
          </w:tcPr>
          <w:p w14:paraId="1F214205" w14:textId="7FACAAF7" w:rsidR="006434AC" w:rsidRDefault="006434AC" w:rsidP="00D55776">
            <w:pPr>
              <w:spacing w:before="0" w:after="0"/>
              <w:ind w:left="0"/>
            </w:pPr>
            <w:r>
              <w:t>Estimated incidence of dementia in Australia</w:t>
            </w:r>
          </w:p>
        </w:tc>
        <w:tc>
          <w:tcPr>
            <w:tcW w:w="1941" w:type="dxa"/>
          </w:tcPr>
          <w:p w14:paraId="59EE7D53" w14:textId="43C34779" w:rsidR="006434AC" w:rsidRDefault="00C17750" w:rsidP="00D55776">
            <w:pPr>
              <w:spacing w:before="0" w:after="0"/>
              <w:ind w:left="0"/>
            </w:pPr>
            <w:r>
              <w:t>16.8 cases per 100</w:t>
            </w:r>
            <w:r w:rsidR="006959B1">
              <w:t>0</w:t>
            </w:r>
            <w:r>
              <w:t xml:space="preserve"> </w:t>
            </w:r>
            <w:r w:rsidR="00121235">
              <w:t xml:space="preserve">person </w:t>
            </w:r>
            <w:r>
              <w:t>years for people aged 65 and over</w:t>
            </w:r>
          </w:p>
        </w:tc>
        <w:tc>
          <w:tcPr>
            <w:tcW w:w="4013" w:type="dxa"/>
            <w:gridSpan w:val="2"/>
          </w:tcPr>
          <w:p w14:paraId="2D4ACC3E" w14:textId="220F3696" w:rsidR="006434AC" w:rsidRDefault="00C17750" w:rsidP="00D55776">
            <w:pPr>
              <w:spacing w:before="0" w:after="0"/>
              <w:ind w:left="0"/>
            </w:pPr>
            <w:r>
              <w:t>Reported by AIHW based on Walberry et al. 2022</w:t>
            </w:r>
          </w:p>
        </w:tc>
      </w:tr>
      <w:tr w:rsidR="00596811" w14:paraId="5BA69EC7" w14:textId="77777777" w:rsidTr="00DE099C">
        <w:tc>
          <w:tcPr>
            <w:tcW w:w="2612" w:type="dxa"/>
          </w:tcPr>
          <w:p w14:paraId="627A3024" w14:textId="23EA747E" w:rsidR="00596811" w:rsidRDefault="00596811" w:rsidP="00D55776">
            <w:pPr>
              <w:spacing w:before="0" w:after="0"/>
              <w:ind w:left="0"/>
            </w:pPr>
            <w:r>
              <w:t>Estimated prevalence of dementia in Australia in 2022</w:t>
            </w:r>
          </w:p>
        </w:tc>
        <w:tc>
          <w:tcPr>
            <w:tcW w:w="1941" w:type="dxa"/>
          </w:tcPr>
          <w:p w14:paraId="0495D24A" w14:textId="54ED8951" w:rsidR="00596811" w:rsidRDefault="00596811" w:rsidP="00D55776">
            <w:pPr>
              <w:spacing w:before="0" w:after="0"/>
              <w:ind w:left="0"/>
            </w:pPr>
            <w:r>
              <w:t>487,500</w:t>
            </w:r>
          </w:p>
        </w:tc>
        <w:tc>
          <w:tcPr>
            <w:tcW w:w="4013" w:type="dxa"/>
            <w:gridSpan w:val="2"/>
          </w:tcPr>
          <w:p w14:paraId="02B10201" w14:textId="40D3FC43" w:rsidR="00596811" w:rsidRDefault="00596811" w:rsidP="00D55776">
            <w:pPr>
              <w:spacing w:before="0" w:after="0"/>
              <w:ind w:left="0"/>
            </w:pPr>
            <w:r>
              <w:t xml:space="preserve">Dementia Australia 2022 estimates </w:t>
            </w:r>
          </w:p>
        </w:tc>
      </w:tr>
      <w:tr w:rsidR="00596811" w14:paraId="0D5A5289" w14:textId="77777777" w:rsidTr="00DE099C">
        <w:tc>
          <w:tcPr>
            <w:tcW w:w="2612" w:type="dxa"/>
          </w:tcPr>
          <w:p w14:paraId="22261DE6" w14:textId="7FA58C90" w:rsidR="00596811" w:rsidRDefault="00596811" w:rsidP="00D55776">
            <w:pPr>
              <w:spacing w:before="0" w:after="0"/>
              <w:ind w:left="0"/>
            </w:pPr>
            <w:r>
              <w:t>Proportion of dementia population with mild dementia</w:t>
            </w:r>
          </w:p>
        </w:tc>
        <w:tc>
          <w:tcPr>
            <w:tcW w:w="1941" w:type="dxa"/>
          </w:tcPr>
          <w:p w14:paraId="2B55D6B9" w14:textId="701E775A" w:rsidR="00596811" w:rsidRDefault="00596811" w:rsidP="00D55776">
            <w:pPr>
              <w:spacing w:before="0" w:after="0"/>
              <w:ind w:left="0"/>
            </w:pPr>
            <w:r>
              <w:t>55%</w:t>
            </w:r>
          </w:p>
        </w:tc>
        <w:tc>
          <w:tcPr>
            <w:tcW w:w="4013" w:type="dxa"/>
            <w:gridSpan w:val="2"/>
          </w:tcPr>
          <w:p w14:paraId="171B4CB4" w14:textId="72171A2F" w:rsidR="00596811" w:rsidRDefault="00596811" w:rsidP="00D55776">
            <w:pPr>
              <w:spacing w:before="0" w:after="0"/>
              <w:ind w:left="0"/>
            </w:pPr>
            <w:r>
              <w:t>Figure cited in AIHW 2012 dementia in Australia report, based on Barendregt &amp; Bonneux (1998)</w:t>
            </w:r>
          </w:p>
        </w:tc>
      </w:tr>
      <w:tr w:rsidR="00596811" w14:paraId="0C27A48B" w14:textId="77777777" w:rsidTr="00DE099C">
        <w:tc>
          <w:tcPr>
            <w:tcW w:w="2612" w:type="dxa"/>
          </w:tcPr>
          <w:p w14:paraId="5D1D0DA3" w14:textId="0415FC39" w:rsidR="00596811" w:rsidRDefault="00596811" w:rsidP="00D55776">
            <w:pPr>
              <w:spacing w:before="0" w:after="0"/>
              <w:ind w:left="0"/>
            </w:pPr>
            <w:r>
              <w:t>Proportion of mild dementia patients with suspected AD</w:t>
            </w:r>
          </w:p>
        </w:tc>
        <w:tc>
          <w:tcPr>
            <w:tcW w:w="1941" w:type="dxa"/>
          </w:tcPr>
          <w:p w14:paraId="3EA10513" w14:textId="2157BC21" w:rsidR="00596811" w:rsidRDefault="00596811" w:rsidP="00D55776">
            <w:pPr>
              <w:spacing w:before="0" w:after="0"/>
              <w:ind w:left="0"/>
            </w:pPr>
            <w:r>
              <w:t>76%</w:t>
            </w:r>
          </w:p>
        </w:tc>
        <w:tc>
          <w:tcPr>
            <w:tcW w:w="4013" w:type="dxa"/>
            <w:gridSpan w:val="2"/>
          </w:tcPr>
          <w:p w14:paraId="424C8218" w14:textId="724D814F" w:rsidR="00596811" w:rsidRDefault="00596811" w:rsidP="00D55776">
            <w:pPr>
              <w:spacing w:before="0" w:after="0"/>
              <w:ind w:left="0"/>
            </w:pPr>
            <w:r>
              <w:t>Knopman 2016</w:t>
            </w:r>
          </w:p>
        </w:tc>
      </w:tr>
      <w:tr w:rsidR="00E526D8" w14:paraId="7F4BB3F5" w14:textId="77777777">
        <w:tc>
          <w:tcPr>
            <w:tcW w:w="8566" w:type="dxa"/>
            <w:gridSpan w:val="4"/>
            <w:shd w:val="clear" w:color="auto" w:fill="BFBFBF" w:themeFill="background1" w:themeFillShade="BF"/>
          </w:tcPr>
          <w:p w14:paraId="1EBACCB3" w14:textId="0CB1C7E1" w:rsidR="00E526D8" w:rsidRDefault="00E526D8" w:rsidP="00D55776">
            <w:pPr>
              <w:spacing w:before="0" w:after="0"/>
              <w:ind w:left="0"/>
              <w:jc w:val="center"/>
            </w:pPr>
            <w:r>
              <w:t>MCI population</w:t>
            </w:r>
          </w:p>
        </w:tc>
      </w:tr>
      <w:tr w:rsidR="00945B26" w14:paraId="6CC88F9E" w14:textId="77777777" w:rsidTr="00740688">
        <w:tc>
          <w:tcPr>
            <w:tcW w:w="8566" w:type="dxa"/>
            <w:gridSpan w:val="4"/>
          </w:tcPr>
          <w:p w14:paraId="5B9135C4" w14:textId="249CBAA9" w:rsidR="00945B26" w:rsidRPr="00E526D8" w:rsidRDefault="00945B26" w:rsidP="00D55776">
            <w:pPr>
              <w:spacing w:before="0" w:after="0"/>
              <w:ind w:left="0"/>
              <w:jc w:val="center"/>
              <w:rPr>
                <w:b/>
                <w:bCs/>
                <w:i/>
                <w:iCs/>
              </w:rPr>
            </w:pPr>
            <w:r w:rsidRPr="00E526D8">
              <w:rPr>
                <w:b/>
                <w:bCs/>
                <w:i/>
                <w:iCs/>
              </w:rPr>
              <w:t>Method 1</w:t>
            </w:r>
          </w:p>
        </w:tc>
      </w:tr>
      <w:tr w:rsidR="00740688" w14:paraId="6D0AA2C4" w14:textId="77777777" w:rsidTr="00FC7631">
        <w:tc>
          <w:tcPr>
            <w:tcW w:w="2612" w:type="dxa"/>
          </w:tcPr>
          <w:p w14:paraId="495F6EDE" w14:textId="44EFD96B" w:rsidR="00740688" w:rsidRDefault="00322E26" w:rsidP="00D55776">
            <w:pPr>
              <w:spacing w:before="0" w:after="0"/>
              <w:ind w:left="0"/>
            </w:pPr>
            <w:r>
              <w:t>Estimated prevalence of patients with MCI</w:t>
            </w:r>
            <w:r w:rsidR="00494D61">
              <w:t xml:space="preserve"> in Australia</w:t>
            </w:r>
            <w:r w:rsidR="003D36AF">
              <w:t xml:space="preserve"> (in patients over 60 years of age)</w:t>
            </w:r>
          </w:p>
        </w:tc>
        <w:tc>
          <w:tcPr>
            <w:tcW w:w="1985" w:type="dxa"/>
            <w:gridSpan w:val="2"/>
          </w:tcPr>
          <w:p w14:paraId="6D2D1981" w14:textId="57D40908" w:rsidR="00740688" w:rsidRDefault="00596811" w:rsidP="00D55776">
            <w:pPr>
              <w:spacing w:before="0" w:after="0"/>
              <w:ind w:left="0"/>
            </w:pPr>
            <w:r>
              <w:t>9% of the Australian population</w:t>
            </w:r>
            <w:r w:rsidR="00553CC4">
              <w:t xml:space="preserve"> over the age of 60</w:t>
            </w:r>
          </w:p>
        </w:tc>
        <w:tc>
          <w:tcPr>
            <w:tcW w:w="3969" w:type="dxa"/>
          </w:tcPr>
          <w:p w14:paraId="7638686A" w14:textId="4769DA33" w:rsidR="00740688" w:rsidRDefault="00AB3E36" w:rsidP="00D55776">
            <w:pPr>
              <w:spacing w:before="0" w:after="0"/>
              <w:ind w:left="0"/>
            </w:pPr>
            <w:r>
              <w:t xml:space="preserve">Reported in the </w:t>
            </w:r>
            <w:r w:rsidR="00841A94">
              <w:t xml:space="preserve">Physical Activity Guidelines </w:t>
            </w:r>
            <w:r w:rsidR="001D7622">
              <w:t>f</w:t>
            </w:r>
            <w:r w:rsidR="00841A94">
              <w:t>or Older Australians with Mild Cognitive Impairment or Subjective Cognitive Decline</w:t>
            </w:r>
            <w:r w:rsidR="002E6181">
              <w:t xml:space="preserve"> – published by the University of Melbourne</w:t>
            </w:r>
          </w:p>
        </w:tc>
      </w:tr>
      <w:tr w:rsidR="00740688" w14:paraId="3E73236C" w14:textId="77777777" w:rsidTr="00FC7631">
        <w:tc>
          <w:tcPr>
            <w:tcW w:w="2612" w:type="dxa"/>
          </w:tcPr>
          <w:p w14:paraId="66F6604C" w14:textId="15B37596" w:rsidR="00740688" w:rsidRDefault="00C54B7C" w:rsidP="00D55776">
            <w:pPr>
              <w:spacing w:before="0" w:after="0"/>
              <w:ind w:left="0"/>
            </w:pPr>
            <w:r>
              <w:t xml:space="preserve">Proportion of MCI patients likely </w:t>
            </w:r>
            <w:r w:rsidR="003529AA">
              <w:t xml:space="preserve">to develop </w:t>
            </w:r>
            <w:r w:rsidR="00606167">
              <w:t xml:space="preserve">dementia </w:t>
            </w:r>
          </w:p>
        </w:tc>
        <w:tc>
          <w:tcPr>
            <w:tcW w:w="1985" w:type="dxa"/>
            <w:gridSpan w:val="2"/>
          </w:tcPr>
          <w:p w14:paraId="14D9283E" w14:textId="2A9E2CF6" w:rsidR="00740688" w:rsidRDefault="00C47FEF" w:rsidP="00D55776">
            <w:pPr>
              <w:spacing w:before="0" w:after="0"/>
              <w:ind w:left="0"/>
            </w:pPr>
            <w:r>
              <w:t>4.7%</w:t>
            </w:r>
            <w:r w:rsidR="00441B1F">
              <w:t xml:space="preserve"> </w:t>
            </w:r>
          </w:p>
        </w:tc>
        <w:tc>
          <w:tcPr>
            <w:tcW w:w="3969" w:type="dxa"/>
          </w:tcPr>
          <w:p w14:paraId="69E983D3" w14:textId="58CDBBD5" w:rsidR="00740688" w:rsidRDefault="00483727" w:rsidP="00D55776">
            <w:pPr>
              <w:spacing w:before="0" w:after="0"/>
              <w:ind w:left="0"/>
            </w:pPr>
            <w:r>
              <w:t xml:space="preserve">Reported by the AIHW based on the </w:t>
            </w:r>
            <w:r w:rsidR="00321177">
              <w:t>study published by Lipnicki et al</w:t>
            </w:r>
            <w:r w:rsidR="00583782">
              <w:t>. in 2017.</w:t>
            </w:r>
          </w:p>
        </w:tc>
      </w:tr>
      <w:tr w:rsidR="00740688" w14:paraId="0B8868F6" w14:textId="77777777" w:rsidTr="00FC7631">
        <w:tc>
          <w:tcPr>
            <w:tcW w:w="2612" w:type="dxa"/>
          </w:tcPr>
          <w:p w14:paraId="2BD13D8C" w14:textId="5CBDC9C9" w:rsidR="00740688" w:rsidRDefault="00907EDB" w:rsidP="00D55776">
            <w:pPr>
              <w:spacing w:before="0" w:after="0"/>
              <w:ind w:left="0"/>
            </w:pPr>
            <w:r>
              <w:t>Proportion of MCI patients with suspected AD</w:t>
            </w:r>
          </w:p>
        </w:tc>
        <w:tc>
          <w:tcPr>
            <w:tcW w:w="1985" w:type="dxa"/>
            <w:gridSpan w:val="2"/>
          </w:tcPr>
          <w:p w14:paraId="1532EEF1" w14:textId="0A92D1C2" w:rsidR="00740688" w:rsidRDefault="00907EDB" w:rsidP="00D55776">
            <w:pPr>
              <w:spacing w:before="0" w:after="0"/>
              <w:ind w:left="0"/>
            </w:pPr>
            <w:r>
              <w:t>75%</w:t>
            </w:r>
          </w:p>
        </w:tc>
        <w:tc>
          <w:tcPr>
            <w:tcW w:w="3969" w:type="dxa"/>
          </w:tcPr>
          <w:p w14:paraId="5E05472D" w14:textId="5C0FCCD2" w:rsidR="00740688" w:rsidRDefault="00DE1E00" w:rsidP="00D55776">
            <w:pPr>
              <w:spacing w:before="0" w:after="0"/>
              <w:ind w:left="0"/>
            </w:pPr>
            <w:r>
              <w:t>Knopman 2016</w:t>
            </w:r>
          </w:p>
        </w:tc>
      </w:tr>
      <w:tr w:rsidR="00E526D8" w14:paraId="4A014CA2" w14:textId="77777777">
        <w:tc>
          <w:tcPr>
            <w:tcW w:w="8566" w:type="dxa"/>
            <w:gridSpan w:val="4"/>
          </w:tcPr>
          <w:p w14:paraId="3C029455" w14:textId="64280E42" w:rsidR="00E526D8" w:rsidRPr="00E526D8" w:rsidRDefault="00E526D8" w:rsidP="00D55776">
            <w:pPr>
              <w:spacing w:before="0" w:after="0"/>
              <w:ind w:left="0"/>
              <w:jc w:val="center"/>
              <w:rPr>
                <w:b/>
                <w:bCs/>
                <w:i/>
                <w:iCs/>
              </w:rPr>
            </w:pPr>
            <w:r w:rsidRPr="00E526D8">
              <w:rPr>
                <w:b/>
                <w:bCs/>
                <w:i/>
                <w:iCs/>
              </w:rPr>
              <w:t>Method 2</w:t>
            </w:r>
          </w:p>
        </w:tc>
      </w:tr>
      <w:tr w:rsidR="00D6170C" w14:paraId="032221BF" w14:textId="77777777" w:rsidTr="00FC7631">
        <w:tc>
          <w:tcPr>
            <w:tcW w:w="2612" w:type="dxa"/>
          </w:tcPr>
          <w:p w14:paraId="7B7DB300" w14:textId="4763591B" w:rsidR="00D6170C" w:rsidRDefault="00D6170C" w:rsidP="00D55776">
            <w:pPr>
              <w:spacing w:before="0" w:after="0"/>
              <w:ind w:left="0"/>
            </w:pPr>
            <w:r>
              <w:t>Estimated incidence of dementia in Australia</w:t>
            </w:r>
          </w:p>
        </w:tc>
        <w:tc>
          <w:tcPr>
            <w:tcW w:w="1985" w:type="dxa"/>
            <w:gridSpan w:val="2"/>
          </w:tcPr>
          <w:p w14:paraId="20490A6D" w14:textId="0D5F1A72" w:rsidR="00D6170C" w:rsidRDefault="00D6170C" w:rsidP="00D55776">
            <w:pPr>
              <w:spacing w:before="0" w:after="0"/>
              <w:ind w:left="0"/>
            </w:pPr>
            <w:r>
              <w:t>16.8 cases per 100</w:t>
            </w:r>
            <w:r w:rsidR="003533F5">
              <w:t>0</w:t>
            </w:r>
            <w:r>
              <w:t xml:space="preserve"> </w:t>
            </w:r>
            <w:r w:rsidR="003533F5">
              <w:t xml:space="preserve">person </w:t>
            </w:r>
            <w:r>
              <w:t>years for people aged 65 and over</w:t>
            </w:r>
          </w:p>
        </w:tc>
        <w:tc>
          <w:tcPr>
            <w:tcW w:w="3969" w:type="dxa"/>
          </w:tcPr>
          <w:p w14:paraId="2D21C227" w14:textId="41D12363" w:rsidR="00D6170C" w:rsidRDefault="00D6170C" w:rsidP="00D55776">
            <w:pPr>
              <w:spacing w:before="0" w:after="0"/>
              <w:ind w:left="0"/>
            </w:pPr>
            <w:r>
              <w:t>Reported by AIHW based on Walberry et al. 2022</w:t>
            </w:r>
          </w:p>
        </w:tc>
      </w:tr>
      <w:tr w:rsidR="00D6170C" w14:paraId="1AC04FE2" w14:textId="77777777" w:rsidTr="00FC7631">
        <w:tc>
          <w:tcPr>
            <w:tcW w:w="2612" w:type="dxa"/>
          </w:tcPr>
          <w:p w14:paraId="1643C268" w14:textId="0CAA8D84" w:rsidR="00D6170C" w:rsidRDefault="00D6170C" w:rsidP="00D55776">
            <w:pPr>
              <w:spacing w:before="0" w:after="0"/>
              <w:ind w:left="0"/>
            </w:pPr>
            <w:r>
              <w:lastRenderedPageBreak/>
              <w:t xml:space="preserve">Australian population over the age of </w:t>
            </w:r>
            <w:r w:rsidR="00345DAD">
              <w:t>65</w:t>
            </w:r>
            <w:r>
              <w:t xml:space="preserve"> without dementia</w:t>
            </w:r>
          </w:p>
        </w:tc>
        <w:tc>
          <w:tcPr>
            <w:tcW w:w="1985" w:type="dxa"/>
            <w:gridSpan w:val="2"/>
          </w:tcPr>
          <w:p w14:paraId="4085C1C2" w14:textId="52F48201" w:rsidR="00D6170C" w:rsidRDefault="00D6170C" w:rsidP="00D55776">
            <w:pPr>
              <w:spacing w:before="0" w:after="0"/>
              <w:ind w:left="0"/>
            </w:pPr>
            <w:r>
              <w:t xml:space="preserve">Approximately </w:t>
            </w:r>
            <w:r w:rsidR="00625DC2">
              <w:t>4,000,000</w:t>
            </w:r>
          </w:p>
        </w:tc>
        <w:tc>
          <w:tcPr>
            <w:tcW w:w="3969" w:type="dxa"/>
          </w:tcPr>
          <w:p w14:paraId="66670F3C" w14:textId="73C06D7A" w:rsidR="00D6170C" w:rsidRDefault="00D6170C" w:rsidP="00D55776">
            <w:pPr>
              <w:spacing w:before="0" w:after="0"/>
              <w:ind w:left="0"/>
            </w:pPr>
            <w:r>
              <w:t>ABS data and dementia prevalence estimates reported by Dementia Australia for 2022</w:t>
            </w:r>
          </w:p>
        </w:tc>
      </w:tr>
      <w:tr w:rsidR="00D6170C" w14:paraId="1333B69B" w14:textId="77777777" w:rsidTr="00FC7631">
        <w:tc>
          <w:tcPr>
            <w:tcW w:w="2612" w:type="dxa"/>
          </w:tcPr>
          <w:p w14:paraId="5EC557D5" w14:textId="3305646A" w:rsidR="00D6170C" w:rsidRDefault="00D6170C" w:rsidP="00D55776">
            <w:pPr>
              <w:spacing w:before="0" w:after="0"/>
              <w:ind w:left="0"/>
            </w:pPr>
            <w:r>
              <w:t>Proportion of the population with MCI</w:t>
            </w:r>
          </w:p>
        </w:tc>
        <w:tc>
          <w:tcPr>
            <w:tcW w:w="1985" w:type="dxa"/>
            <w:gridSpan w:val="2"/>
          </w:tcPr>
          <w:p w14:paraId="53C77233" w14:textId="6AC66B7F" w:rsidR="00D6170C" w:rsidRDefault="00D6170C" w:rsidP="00D55776">
            <w:pPr>
              <w:spacing w:before="0" w:after="0"/>
              <w:ind w:left="0"/>
            </w:pPr>
            <w:r>
              <w:t>2%</w:t>
            </w:r>
          </w:p>
        </w:tc>
        <w:tc>
          <w:tcPr>
            <w:tcW w:w="3969" w:type="dxa"/>
          </w:tcPr>
          <w:p w14:paraId="2574F6FB" w14:textId="7DB0E9D5" w:rsidR="00D6170C" w:rsidRDefault="00D6170C" w:rsidP="00D55776">
            <w:pPr>
              <w:spacing w:before="0" w:after="0"/>
              <w:ind w:left="0"/>
            </w:pPr>
            <w:r>
              <w:t>Sachdev (2014), Table 3, based on aMCI dementia population as this is the criteria most consistent with a diagnosis of AD rather than other form of dementia</w:t>
            </w:r>
          </w:p>
        </w:tc>
      </w:tr>
      <w:tr w:rsidR="00D6170C" w14:paraId="0695AEEB" w14:textId="77777777" w:rsidTr="00FC7631">
        <w:tc>
          <w:tcPr>
            <w:tcW w:w="2612" w:type="dxa"/>
          </w:tcPr>
          <w:p w14:paraId="5A6FDE9B" w14:textId="14A76F32" w:rsidR="00D6170C" w:rsidRDefault="00D6170C" w:rsidP="00D55776">
            <w:pPr>
              <w:spacing w:before="0" w:after="0"/>
              <w:ind w:left="0"/>
            </w:pPr>
            <w:r>
              <w:t>Proportion of MCI patients with suspected AD</w:t>
            </w:r>
          </w:p>
        </w:tc>
        <w:tc>
          <w:tcPr>
            <w:tcW w:w="1985" w:type="dxa"/>
            <w:gridSpan w:val="2"/>
          </w:tcPr>
          <w:p w14:paraId="10BBBE1F" w14:textId="0FF72A31" w:rsidR="00D6170C" w:rsidRDefault="00D6170C" w:rsidP="00D55776">
            <w:pPr>
              <w:spacing w:before="0" w:after="0"/>
              <w:ind w:left="0"/>
            </w:pPr>
            <w:r>
              <w:t>75%</w:t>
            </w:r>
          </w:p>
        </w:tc>
        <w:tc>
          <w:tcPr>
            <w:tcW w:w="3969" w:type="dxa"/>
          </w:tcPr>
          <w:p w14:paraId="0D796EA0" w14:textId="39732748" w:rsidR="00D6170C" w:rsidRDefault="00D6170C" w:rsidP="00D55776">
            <w:pPr>
              <w:spacing w:before="0" w:after="0"/>
              <w:ind w:left="0"/>
            </w:pPr>
            <w:r>
              <w:t>Knopman 2016</w:t>
            </w:r>
          </w:p>
        </w:tc>
      </w:tr>
      <w:tr w:rsidR="00D6170C" w14:paraId="0CC955E2" w14:textId="77777777" w:rsidTr="00BF3921">
        <w:tc>
          <w:tcPr>
            <w:tcW w:w="8566" w:type="dxa"/>
            <w:gridSpan w:val="4"/>
            <w:shd w:val="clear" w:color="auto" w:fill="BFBFBF" w:themeFill="background1" w:themeFillShade="BF"/>
          </w:tcPr>
          <w:p w14:paraId="5E5F6598" w14:textId="60B8D37B" w:rsidR="00D6170C" w:rsidRDefault="00BF3921" w:rsidP="00D55776">
            <w:pPr>
              <w:spacing w:before="0" w:after="0"/>
              <w:ind w:left="0"/>
              <w:jc w:val="center"/>
            </w:pPr>
            <w:r>
              <w:t>Uptake rate</w:t>
            </w:r>
          </w:p>
        </w:tc>
      </w:tr>
      <w:tr w:rsidR="00D6170C" w14:paraId="6CB24CEA" w14:textId="77777777" w:rsidTr="00FC7631">
        <w:tc>
          <w:tcPr>
            <w:tcW w:w="2612" w:type="dxa"/>
          </w:tcPr>
          <w:p w14:paraId="141F3DD7" w14:textId="11BAA0B2" w:rsidR="00D6170C" w:rsidRDefault="001039F0" w:rsidP="00D55776">
            <w:pPr>
              <w:spacing w:before="0" w:after="0"/>
              <w:ind w:left="0"/>
            </w:pPr>
            <w:r>
              <w:t>Uptake rate of PBS listed Alzheimer’s treatments</w:t>
            </w:r>
          </w:p>
        </w:tc>
        <w:tc>
          <w:tcPr>
            <w:tcW w:w="1985" w:type="dxa"/>
            <w:gridSpan w:val="2"/>
          </w:tcPr>
          <w:p w14:paraId="09771171" w14:textId="77777777" w:rsidR="00D6170C" w:rsidRDefault="0064531F" w:rsidP="00D55776">
            <w:pPr>
              <w:spacing w:before="0" w:after="0"/>
              <w:ind w:left="0"/>
            </w:pPr>
            <w:r>
              <w:t>44%</w:t>
            </w:r>
          </w:p>
          <w:p w14:paraId="0D9424FE" w14:textId="36E48896" w:rsidR="00E64EB1" w:rsidRDefault="00E64EB1" w:rsidP="00D55776">
            <w:pPr>
              <w:spacing w:before="0" w:after="0"/>
              <w:ind w:left="0"/>
            </w:pPr>
          </w:p>
        </w:tc>
        <w:tc>
          <w:tcPr>
            <w:tcW w:w="3969" w:type="dxa"/>
          </w:tcPr>
          <w:p w14:paraId="461A1762" w14:textId="77777777" w:rsidR="001E52CD" w:rsidRDefault="001E52CD" w:rsidP="00D55776">
            <w:pPr>
              <w:spacing w:before="0" w:after="0"/>
              <w:ind w:left="0"/>
            </w:pPr>
            <w:r>
              <w:t>Calculated based on the following:</w:t>
            </w:r>
          </w:p>
          <w:p w14:paraId="5BD017E4" w14:textId="1B8D249A" w:rsidR="00DB514F" w:rsidRDefault="008D5CDA" w:rsidP="00D55776">
            <w:pPr>
              <w:spacing w:before="0" w:after="0"/>
              <w:ind w:left="0"/>
            </w:pPr>
            <w:r>
              <w:t xml:space="preserve">Estimated </w:t>
            </w:r>
            <w:r w:rsidR="007216BF">
              <w:t xml:space="preserve">AD </w:t>
            </w:r>
            <w:r>
              <w:t>patients treated</w:t>
            </w:r>
            <w:r w:rsidR="007216BF">
              <w:t xml:space="preserve"> </w:t>
            </w:r>
            <w:r w:rsidR="00F57339">
              <w:t xml:space="preserve">with PBS listed </w:t>
            </w:r>
            <w:r w:rsidR="007216BF">
              <w:t xml:space="preserve">treatments = </w:t>
            </w:r>
            <w:r w:rsidR="00EB03D4">
              <w:t>65,757</w:t>
            </w:r>
            <w:r w:rsidR="007216BF">
              <w:t xml:space="preserve"> (</w:t>
            </w:r>
            <w:r w:rsidR="00DB514F" w:rsidRPr="0069135C">
              <w:rPr>
                <w:i/>
                <w:iCs/>
              </w:rPr>
              <w:t>Source: DUSC 2016)</w:t>
            </w:r>
          </w:p>
          <w:p w14:paraId="1511B7C3" w14:textId="77777777" w:rsidR="008D5CDA" w:rsidRDefault="00B375C2" w:rsidP="00D55776">
            <w:pPr>
              <w:spacing w:before="0" w:after="0"/>
              <w:ind w:left="0"/>
              <w:rPr>
                <w:i/>
                <w:iCs/>
              </w:rPr>
            </w:pPr>
            <w:r>
              <w:t xml:space="preserve">Proportion of AD treatments indicated for mild-moderate AD = 90% </w:t>
            </w:r>
            <w:r w:rsidRPr="0069135C">
              <w:rPr>
                <w:i/>
                <w:iCs/>
              </w:rPr>
              <w:t xml:space="preserve">(Source: </w:t>
            </w:r>
            <w:r w:rsidR="00F85778" w:rsidRPr="0069135C">
              <w:rPr>
                <w:i/>
                <w:iCs/>
              </w:rPr>
              <w:t>DUSC 2016)</w:t>
            </w:r>
            <w:r w:rsidR="00FC2668" w:rsidRPr="0069135C">
              <w:rPr>
                <w:i/>
                <w:iCs/>
              </w:rPr>
              <w:t>.</w:t>
            </w:r>
          </w:p>
          <w:p w14:paraId="35AA400B" w14:textId="6A1D9CA9" w:rsidR="00470CA0" w:rsidRPr="008D5CDA" w:rsidRDefault="008D5CDA" w:rsidP="00D55776">
            <w:pPr>
              <w:spacing w:before="0" w:after="0"/>
              <w:ind w:left="0"/>
              <w:rPr>
                <w:i/>
                <w:iCs/>
              </w:rPr>
            </w:pPr>
            <w:r w:rsidRPr="007216BF">
              <w:t>Estimated patients treated with PBS listed treatments for mild to moderate</w:t>
            </w:r>
            <w:r w:rsidRPr="008D5CDA">
              <w:rPr>
                <w:i/>
                <w:iCs/>
              </w:rPr>
              <w:t xml:space="preserve"> </w:t>
            </w:r>
            <w:r w:rsidRPr="007216BF">
              <w:t>AD</w:t>
            </w:r>
            <w:r w:rsidRPr="008D5CDA">
              <w:rPr>
                <w:i/>
                <w:iCs/>
              </w:rPr>
              <w:t xml:space="preserve"> = 59,181 </w:t>
            </w:r>
            <w:r w:rsidR="00FC2668" w:rsidRPr="008D5CDA">
              <w:rPr>
                <w:i/>
                <w:iCs/>
              </w:rPr>
              <w:t xml:space="preserve"> </w:t>
            </w:r>
          </w:p>
          <w:p w14:paraId="075BED7B" w14:textId="7FC1C629" w:rsidR="00D6170C" w:rsidRDefault="00470CA0" w:rsidP="00D55776">
            <w:pPr>
              <w:spacing w:before="0" w:after="0"/>
              <w:ind w:left="0"/>
            </w:pPr>
            <w:r w:rsidRPr="0069135C">
              <w:t>Estimated</w:t>
            </w:r>
            <w:r w:rsidR="001E52CD" w:rsidRPr="0069135C">
              <w:t xml:space="preserve"> number of mild dementia patients suspected to have AD in Australia</w:t>
            </w:r>
            <w:r w:rsidRPr="0069135C">
              <w:t xml:space="preserve"> = </w:t>
            </w:r>
            <w:r w:rsidR="001E52CD" w:rsidRPr="0069135C">
              <w:t>135,854</w:t>
            </w:r>
            <w:r>
              <w:t xml:space="preserve"> </w:t>
            </w:r>
            <w:r w:rsidRPr="0069135C">
              <w:rPr>
                <w:i/>
                <w:iCs/>
              </w:rPr>
              <w:t xml:space="preserve">(Source: calculated using the prevalence of dementia in </w:t>
            </w:r>
            <w:r w:rsidR="0088706A" w:rsidRPr="0069135C">
              <w:rPr>
                <w:i/>
                <w:iCs/>
              </w:rPr>
              <w:t xml:space="preserve">Australia in 2015 and then applying the proportions of </w:t>
            </w:r>
            <w:r w:rsidR="000A4225" w:rsidRPr="0069135C">
              <w:rPr>
                <w:i/>
                <w:iCs/>
              </w:rPr>
              <w:t xml:space="preserve">patients with mild dementia (55%) and </w:t>
            </w:r>
            <w:r w:rsidR="0069135C" w:rsidRPr="0069135C">
              <w:rPr>
                <w:i/>
                <w:iCs/>
              </w:rPr>
              <w:t>patients with suspected AD (76%)</w:t>
            </w:r>
            <w:r w:rsidR="00C862FE">
              <w:rPr>
                <w:i/>
                <w:iCs/>
              </w:rPr>
              <w:t>.</w:t>
            </w:r>
          </w:p>
        </w:tc>
      </w:tr>
      <w:tr w:rsidR="00D6170C" w14:paraId="1E835237" w14:textId="77777777" w:rsidTr="00FC7631">
        <w:tc>
          <w:tcPr>
            <w:tcW w:w="2612" w:type="dxa"/>
          </w:tcPr>
          <w:p w14:paraId="7671E683" w14:textId="0A3D2B95" w:rsidR="00D6170C" w:rsidRDefault="0069135C" w:rsidP="00D55776">
            <w:pPr>
              <w:spacing w:before="0" w:after="0"/>
              <w:ind w:left="0"/>
            </w:pPr>
            <w:r>
              <w:t xml:space="preserve">Uptake rate of </w:t>
            </w:r>
            <w:r w:rsidRPr="008D0999">
              <w:t>Aß positron emission tomography (PET) and cerebrospinal fluid (CSF</w:t>
            </w:r>
            <w:r>
              <w:t>)</w:t>
            </w:r>
          </w:p>
        </w:tc>
        <w:tc>
          <w:tcPr>
            <w:tcW w:w="1985" w:type="dxa"/>
            <w:gridSpan w:val="2"/>
          </w:tcPr>
          <w:p w14:paraId="0AA51712" w14:textId="659978FD" w:rsidR="00D6170C" w:rsidRDefault="0069135C" w:rsidP="00D55776">
            <w:pPr>
              <w:spacing w:before="0" w:after="0"/>
              <w:ind w:left="0"/>
            </w:pPr>
            <w:r>
              <w:t>TBC</w:t>
            </w:r>
          </w:p>
        </w:tc>
        <w:tc>
          <w:tcPr>
            <w:tcW w:w="3969" w:type="dxa"/>
          </w:tcPr>
          <w:p w14:paraId="7A72BB2B" w14:textId="72C4C020" w:rsidR="00D6170C" w:rsidRPr="00E2297C" w:rsidRDefault="00E2297C" w:rsidP="00D55776">
            <w:pPr>
              <w:spacing w:before="0" w:after="0"/>
              <w:ind w:left="0"/>
              <w:rPr>
                <w:b/>
                <w:bCs/>
              </w:rPr>
            </w:pPr>
            <w:r w:rsidRPr="00E2297C">
              <w:rPr>
                <w:b/>
                <w:bCs/>
              </w:rPr>
              <w:t>REDACTED</w:t>
            </w:r>
          </w:p>
        </w:tc>
      </w:tr>
    </w:tbl>
    <w:p w14:paraId="5DC3640C" w14:textId="77777777" w:rsidR="000E498B" w:rsidRPr="001F4574" w:rsidRDefault="000E498B" w:rsidP="00B4456D">
      <w:pPr>
        <w:ind w:left="0"/>
      </w:pPr>
    </w:p>
    <w:p w14:paraId="6F1FE84C" w14:textId="77777777" w:rsidR="00382407" w:rsidRPr="00154B00" w:rsidRDefault="00382407" w:rsidP="00D55776">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361FA9CA" w14:textId="058A8AE0" w:rsidR="00382407" w:rsidRPr="00704A9C" w:rsidRDefault="008F4519" w:rsidP="00D55776">
      <w:pPr>
        <w:rPr>
          <w:szCs w:val="20"/>
        </w:rPr>
      </w:pPr>
      <w:r w:rsidRPr="00704A9C">
        <w:rPr>
          <w:szCs w:val="20"/>
        </w:rPr>
        <w:t xml:space="preserve">It is anticipated that most patients would require one or other of the proposed medical services, </w:t>
      </w:r>
      <w:r w:rsidR="00DB3603" w:rsidRPr="00704A9C">
        <w:rPr>
          <w:szCs w:val="20"/>
        </w:rPr>
        <w:t>i.e. the biomarker tests,</w:t>
      </w:r>
      <w:r w:rsidR="006E23BA" w:rsidRPr="00704A9C">
        <w:rPr>
          <w:szCs w:val="20"/>
        </w:rPr>
        <w:t xml:space="preserve"> </w:t>
      </w:r>
      <w:r w:rsidRPr="00704A9C">
        <w:rPr>
          <w:szCs w:val="20"/>
        </w:rPr>
        <w:t>only once to determine eligibility for initial treatment with Lecanemab.</w:t>
      </w:r>
    </w:p>
    <w:p w14:paraId="343B54E4" w14:textId="74654742" w:rsidR="00670A18" w:rsidRPr="00704A9C" w:rsidRDefault="002908EF" w:rsidP="00D55776">
      <w:pPr>
        <w:rPr>
          <w:szCs w:val="20"/>
        </w:rPr>
      </w:pPr>
      <w:r w:rsidRPr="00704A9C">
        <w:rPr>
          <w:szCs w:val="20"/>
        </w:rPr>
        <w:t>Administration of Lecanem</w:t>
      </w:r>
      <w:r w:rsidR="00556428" w:rsidRPr="00704A9C">
        <w:rPr>
          <w:szCs w:val="20"/>
        </w:rPr>
        <w:t>a</w:t>
      </w:r>
      <w:r w:rsidRPr="00704A9C">
        <w:rPr>
          <w:szCs w:val="20"/>
        </w:rPr>
        <w:t xml:space="preserve">b via intravenous infusion is according to a dosing regimen of once </w:t>
      </w:r>
      <w:r w:rsidR="002C0FEC" w:rsidRPr="00704A9C">
        <w:rPr>
          <w:szCs w:val="20"/>
        </w:rPr>
        <w:t>in two weeks</w:t>
      </w:r>
      <w:r w:rsidR="007C381C">
        <w:rPr>
          <w:szCs w:val="20"/>
        </w:rPr>
        <w:t>.</w:t>
      </w:r>
      <w:r w:rsidR="00556428" w:rsidRPr="00704A9C">
        <w:rPr>
          <w:rStyle w:val="EndnoteReference"/>
          <w:szCs w:val="20"/>
        </w:rPr>
        <w:endnoteReference w:id="55"/>
      </w:r>
    </w:p>
    <w:p w14:paraId="2886D6DB" w14:textId="77777777" w:rsidR="0074067D" w:rsidRPr="00704A9C" w:rsidRDefault="0074067D" w:rsidP="00D55776">
      <w:pPr>
        <w:rPr>
          <w:szCs w:val="20"/>
        </w:rPr>
      </w:pPr>
      <w:r w:rsidRPr="00704A9C">
        <w:rPr>
          <w:szCs w:val="20"/>
        </w:rPr>
        <w:t>The protocols of the clinical trials for lecanemab prespecified that MRI should be performed to monitor the incidence of amyloid-related imaging abnormalities (ARIA) early on in treatment for safety purposes.</w:t>
      </w:r>
    </w:p>
    <w:p w14:paraId="57ED58B0" w14:textId="77777777" w:rsidR="0074067D" w:rsidRPr="00704A9C" w:rsidRDefault="0074067D" w:rsidP="00D55776">
      <w:pPr>
        <w:rPr>
          <w:szCs w:val="20"/>
        </w:rPr>
      </w:pPr>
      <w:r w:rsidRPr="00704A9C">
        <w:rPr>
          <w:szCs w:val="20"/>
        </w:rPr>
        <w:t>Whether or not MRI monitoring will be necessary with the use of lecanemab in clinical practice will not be known until the TGA label for lecanemab is finalised.</w:t>
      </w:r>
    </w:p>
    <w:p w14:paraId="722F50FF" w14:textId="06768A08" w:rsidR="00670A18" w:rsidRPr="00154B00" w:rsidRDefault="0074067D" w:rsidP="00D55776">
      <w:pPr>
        <w:rPr>
          <w:szCs w:val="20"/>
        </w:rPr>
      </w:pPr>
      <w:r w:rsidRPr="00704A9C">
        <w:rPr>
          <w:szCs w:val="20"/>
        </w:rPr>
        <w:t xml:space="preserve">Should MRI monitoring be indicated, the Applicant assumes such MRI scans will be performed using existing MBS item numbers. The budget impact of any MRI monitoring, should it be required, will be incorporated within the </w:t>
      </w:r>
      <w:r w:rsidR="00E11937">
        <w:rPr>
          <w:szCs w:val="20"/>
        </w:rPr>
        <w:t>submission</w:t>
      </w:r>
      <w:r w:rsidRPr="00704A9C">
        <w:rPr>
          <w:szCs w:val="20"/>
        </w:rPr>
        <w:t>.</w:t>
      </w:r>
    </w:p>
    <w:p w14:paraId="77C17FB9" w14:textId="2EBAB74D" w:rsidR="00382407" w:rsidRPr="00154B00" w:rsidRDefault="00382407" w:rsidP="00D55776">
      <w:pPr>
        <w:pStyle w:val="Heading2"/>
      </w:pPr>
      <w:r w:rsidRPr="00154B00">
        <w:t>How many years would the proposed medical service</w:t>
      </w:r>
      <w:r w:rsidR="00FC1607">
        <w:t>/technology</w:t>
      </w:r>
      <w:r w:rsidRPr="00154B00">
        <w:t xml:space="preserve"> be required for the patient?</w:t>
      </w:r>
    </w:p>
    <w:p w14:paraId="554DD823" w14:textId="3495D5FD" w:rsidR="00382407" w:rsidRDefault="003E2EBE" w:rsidP="00D55776">
      <w:pPr>
        <w:rPr>
          <w:szCs w:val="20"/>
        </w:rPr>
      </w:pPr>
      <w:r w:rsidRPr="001C2DC9">
        <w:rPr>
          <w:szCs w:val="20"/>
        </w:rPr>
        <w:t>Once to</w:t>
      </w:r>
      <w:r w:rsidR="001C2DC9" w:rsidRPr="001C2DC9">
        <w:rPr>
          <w:szCs w:val="20"/>
        </w:rPr>
        <w:t xml:space="preserve"> </w:t>
      </w:r>
      <w:r w:rsidR="001C2DC9">
        <w:rPr>
          <w:szCs w:val="20"/>
        </w:rPr>
        <w:t xml:space="preserve">assess </w:t>
      </w:r>
      <w:r w:rsidR="006074BD">
        <w:rPr>
          <w:szCs w:val="20"/>
        </w:rPr>
        <w:t>eligibility for lecanemab</w:t>
      </w:r>
      <w:r w:rsidR="00FB5114">
        <w:rPr>
          <w:szCs w:val="20"/>
        </w:rPr>
        <w:t>.</w:t>
      </w:r>
    </w:p>
    <w:p w14:paraId="0AE85E0D" w14:textId="58DB6D60" w:rsidR="007F261A" w:rsidRPr="001C2DC9" w:rsidRDefault="007F261A" w:rsidP="00D55776">
      <w:pPr>
        <w:rPr>
          <w:szCs w:val="20"/>
        </w:rPr>
      </w:pPr>
      <w:r w:rsidRPr="007F261A">
        <w:rPr>
          <w:szCs w:val="20"/>
        </w:rPr>
        <w:t xml:space="preserve">Administration of </w:t>
      </w:r>
      <w:r>
        <w:rPr>
          <w:szCs w:val="20"/>
        </w:rPr>
        <w:t>lecanemab</w:t>
      </w:r>
      <w:r w:rsidRPr="007F261A">
        <w:rPr>
          <w:szCs w:val="20"/>
        </w:rPr>
        <w:t xml:space="preserve"> via intravenous infusion is according to a dosing regimen of </w:t>
      </w:r>
      <w:r>
        <w:rPr>
          <w:szCs w:val="20"/>
        </w:rPr>
        <w:t>bi-weekly</w:t>
      </w:r>
      <w:r w:rsidRPr="007F261A">
        <w:rPr>
          <w:szCs w:val="20"/>
        </w:rPr>
        <w:t>.</w:t>
      </w:r>
    </w:p>
    <w:p w14:paraId="2669A157" w14:textId="77777777" w:rsidR="002A6753" w:rsidRPr="00154B00" w:rsidRDefault="000E47E7" w:rsidP="00D55776">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D5F4C4A" w14:textId="1F84DF1E" w:rsidR="00AE1188" w:rsidRPr="00154B00" w:rsidRDefault="00E22A64" w:rsidP="00D55776">
      <w:pPr>
        <w:rPr>
          <w:szCs w:val="20"/>
        </w:rPr>
      </w:pPr>
      <w:r>
        <w:fldChar w:fldCharType="begin"/>
      </w:r>
      <w:r>
        <w:instrText xml:space="preserve"> REF _Ref118965405 \h </w:instrText>
      </w:r>
      <w:r w:rsidR="006423B0">
        <w:instrText xml:space="preserve"> \* MERGEFORMAT </w:instrText>
      </w:r>
      <w:r>
        <w:fldChar w:fldCharType="separate"/>
      </w:r>
      <w:r w:rsidR="00BE644F">
        <w:t xml:space="preserve">Table </w:t>
      </w:r>
      <w:r w:rsidR="00BE644F">
        <w:rPr>
          <w:noProof/>
        </w:rPr>
        <w:t>5</w:t>
      </w:r>
      <w:r>
        <w:fldChar w:fldCharType="end"/>
      </w:r>
      <w:r w:rsidR="00BE0970">
        <w:t xml:space="preserve"> presents estimates for the first full year of listing, 202</w:t>
      </w:r>
      <w:r w:rsidR="00C94A87">
        <w:t>3</w:t>
      </w:r>
      <w:r w:rsidR="00BE0970">
        <w:t xml:space="preserve">. Uptake of </w:t>
      </w:r>
      <w:r w:rsidR="00E06CEA">
        <w:t>Lecanemab</w:t>
      </w:r>
      <w:r w:rsidR="00BE0970">
        <w:t xml:space="preserve"> has not been estimated for the application but will be presented in the co-dependent </w:t>
      </w:r>
      <w:r w:rsidR="00AD4F88">
        <w:t>submission</w:t>
      </w:r>
      <w:r w:rsidR="00BE0970">
        <w:t>.</w:t>
      </w:r>
    </w:p>
    <w:p w14:paraId="0BFE89E1" w14:textId="77777777" w:rsidR="00974D50" w:rsidRPr="00154B00" w:rsidRDefault="005A58BA" w:rsidP="00D55776">
      <w:pPr>
        <w:pStyle w:val="Heading2"/>
      </w:pPr>
      <w:r>
        <w:lastRenderedPageBreak/>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2EF85F91" w14:textId="7436E457" w:rsidR="00816131" w:rsidRDefault="00E22A64" w:rsidP="00D55776">
      <w:r>
        <w:fldChar w:fldCharType="begin"/>
      </w:r>
      <w:r>
        <w:instrText xml:space="preserve"> REF _Ref118965405 \h </w:instrText>
      </w:r>
      <w:r w:rsidR="00B646E4">
        <w:instrText xml:space="preserve"> \* MERGEFORMAT </w:instrText>
      </w:r>
      <w:r>
        <w:fldChar w:fldCharType="separate"/>
      </w:r>
      <w:r w:rsidR="00BE644F">
        <w:t xml:space="preserve">Table </w:t>
      </w:r>
      <w:r w:rsidR="00BE644F">
        <w:rPr>
          <w:noProof/>
        </w:rPr>
        <w:t>5</w:t>
      </w:r>
      <w:r>
        <w:fldChar w:fldCharType="end"/>
      </w:r>
      <w:r w:rsidR="007926D0">
        <w:t xml:space="preserve"> presents estimates for the first three years of listing, namely 202</w:t>
      </w:r>
      <w:r w:rsidR="00BB0C58">
        <w:t>3 to 2025</w:t>
      </w:r>
      <w:r w:rsidR="007926D0">
        <w:t xml:space="preserve">. Uptake of </w:t>
      </w:r>
      <w:r w:rsidR="00BB0C58">
        <w:t xml:space="preserve">Lecanemab </w:t>
      </w:r>
      <w:r w:rsidR="007926D0">
        <w:t xml:space="preserve">has not been estimated for the application but will be presented in the </w:t>
      </w:r>
      <w:r w:rsidR="00DF7F39">
        <w:t>submission</w:t>
      </w:r>
      <w:r w:rsidR="007926D0">
        <w:t xml:space="preserve">. Capacity constraints limiting access to dementia specialists for the administration of diagnostic testing has been taken into account. There are additional capacity constraints with regards to AD biomarker tests, particularly for Aβ PET, whereby availability of radio tracers, spare capacity of PET machines and capacity of nuclear medicine physicians to meet demand could limit the availability of testing. That being said, the application considers that the provision of two means of screening for amyloid positivity (Aβ PET and CSF) will be adequate to meet demand for testing. </w:t>
      </w:r>
    </w:p>
    <w:p w14:paraId="4B714D70" w14:textId="24E7F28C" w:rsidR="000E77E6" w:rsidRDefault="007926D0" w:rsidP="00D55776">
      <w:r>
        <w:t xml:space="preserve">However, lumbar puncture specimens for in vitro testing (remotely if necessary) can be performed widely and CSF specimens can be couriered to the NDDL testing facility for assay from any location within Australia. Issues concerning leakage of services attributable to AD biomarker testing or </w:t>
      </w:r>
      <w:r w:rsidR="00E263AC">
        <w:t>lecanemab</w:t>
      </w:r>
      <w:r>
        <w:t xml:space="preserve"> are not anticipated to be an issue for these services. It should be noted, these numbers are considered indicative only because they do not necessarily capture the flow/progression/natural history of MCI/mild-AD which may mean some patients have been double counted in this cross-sectional prevalence-based approach.</w:t>
      </w:r>
    </w:p>
    <w:p w14:paraId="6E59ABD8" w14:textId="23195DEB" w:rsidR="00C07BDC" w:rsidRDefault="00C07BDC" w:rsidP="00D55776">
      <w:pPr>
        <w:pStyle w:val="Caption"/>
        <w:keepNext/>
        <w:ind w:left="284"/>
      </w:pPr>
      <w:bookmarkStart w:id="27" w:name="_Ref118965405"/>
      <w:r>
        <w:t xml:space="preserve">Table </w:t>
      </w:r>
      <w:fldSimple w:instr=" SEQ Table \* ARABIC ">
        <w:r w:rsidR="00BE644F">
          <w:rPr>
            <w:noProof/>
          </w:rPr>
          <w:t>5</w:t>
        </w:r>
      </w:fldSimple>
      <w:bookmarkEnd w:id="27"/>
      <w:r>
        <w:t>: Estimated number of mild AD and MCI patients from 2023 - 2025</w:t>
      </w:r>
    </w:p>
    <w:tbl>
      <w:tblPr>
        <w:tblStyle w:val="TableGrid"/>
        <w:tblW w:w="8788" w:type="dxa"/>
        <w:tblInd w:w="279" w:type="dxa"/>
        <w:tblLayout w:type="fixed"/>
        <w:tblLook w:val="04A0" w:firstRow="1" w:lastRow="0" w:firstColumn="1" w:lastColumn="0" w:noHBand="0" w:noVBand="1"/>
      </w:tblPr>
      <w:tblGrid>
        <w:gridCol w:w="586"/>
        <w:gridCol w:w="1709"/>
        <w:gridCol w:w="1102"/>
        <w:gridCol w:w="1380"/>
        <w:gridCol w:w="1392"/>
        <w:gridCol w:w="1415"/>
        <w:gridCol w:w="1204"/>
      </w:tblGrid>
      <w:tr w:rsidR="009B02BA" w:rsidRPr="009B02BA" w14:paraId="5F832D68" w14:textId="0D3C8012" w:rsidTr="00B646E4">
        <w:tc>
          <w:tcPr>
            <w:tcW w:w="586" w:type="dxa"/>
            <w:shd w:val="clear" w:color="auto" w:fill="BFBFBF" w:themeFill="background1" w:themeFillShade="BF"/>
            <w:vAlign w:val="center"/>
          </w:tcPr>
          <w:p w14:paraId="6C6BCB76" w14:textId="0B38AE80" w:rsidR="00166F9B" w:rsidRPr="009B02BA" w:rsidRDefault="00166F9B" w:rsidP="00D55776">
            <w:pPr>
              <w:spacing w:before="0" w:after="0"/>
              <w:ind w:left="0"/>
              <w:jc w:val="center"/>
              <w:rPr>
                <w:rFonts w:cstheme="minorHAnsi"/>
                <w:b/>
                <w:bCs/>
                <w:szCs w:val="20"/>
              </w:rPr>
            </w:pPr>
            <w:r w:rsidRPr="009B02BA">
              <w:rPr>
                <w:rFonts w:cstheme="minorHAnsi"/>
                <w:b/>
                <w:bCs/>
                <w:szCs w:val="20"/>
              </w:rPr>
              <w:t>Row</w:t>
            </w:r>
          </w:p>
        </w:tc>
        <w:tc>
          <w:tcPr>
            <w:tcW w:w="1709" w:type="dxa"/>
            <w:shd w:val="clear" w:color="auto" w:fill="BFBFBF" w:themeFill="background1" w:themeFillShade="BF"/>
            <w:vAlign w:val="center"/>
          </w:tcPr>
          <w:p w14:paraId="7E695C9C" w14:textId="1384E6C3" w:rsidR="00166F9B" w:rsidRPr="009B02BA" w:rsidRDefault="00166F9B" w:rsidP="00D55776">
            <w:pPr>
              <w:spacing w:before="0" w:after="0"/>
              <w:ind w:left="0"/>
              <w:jc w:val="center"/>
              <w:rPr>
                <w:rFonts w:cstheme="minorHAnsi"/>
                <w:b/>
                <w:bCs/>
                <w:szCs w:val="20"/>
              </w:rPr>
            </w:pPr>
            <w:r w:rsidRPr="009B02BA">
              <w:rPr>
                <w:rFonts w:cstheme="minorHAnsi"/>
                <w:b/>
                <w:bCs/>
                <w:szCs w:val="20"/>
              </w:rPr>
              <w:t>Parameter</w:t>
            </w:r>
          </w:p>
        </w:tc>
        <w:tc>
          <w:tcPr>
            <w:tcW w:w="1102" w:type="dxa"/>
            <w:shd w:val="clear" w:color="auto" w:fill="BFBFBF" w:themeFill="background1" w:themeFillShade="BF"/>
            <w:vAlign w:val="center"/>
          </w:tcPr>
          <w:p w14:paraId="2B12B87F" w14:textId="4CC9FFD6" w:rsidR="00166F9B" w:rsidRPr="009B02BA" w:rsidRDefault="00166F9B" w:rsidP="00D55776">
            <w:pPr>
              <w:spacing w:before="0" w:after="0"/>
              <w:ind w:left="0"/>
              <w:jc w:val="center"/>
              <w:rPr>
                <w:rFonts w:cstheme="minorHAnsi"/>
                <w:b/>
                <w:bCs/>
                <w:szCs w:val="20"/>
              </w:rPr>
            </w:pPr>
            <w:r w:rsidRPr="009B02BA">
              <w:rPr>
                <w:rFonts w:cstheme="minorHAnsi"/>
                <w:b/>
                <w:bCs/>
                <w:szCs w:val="20"/>
              </w:rPr>
              <w:t>Value</w:t>
            </w:r>
          </w:p>
        </w:tc>
        <w:tc>
          <w:tcPr>
            <w:tcW w:w="1380" w:type="dxa"/>
            <w:shd w:val="clear" w:color="auto" w:fill="BFBFBF" w:themeFill="background1" w:themeFillShade="BF"/>
            <w:vAlign w:val="center"/>
          </w:tcPr>
          <w:p w14:paraId="083CA24D" w14:textId="5E588D23" w:rsidR="00166F9B" w:rsidRPr="009B02BA" w:rsidRDefault="00166F9B" w:rsidP="00D55776">
            <w:pPr>
              <w:spacing w:before="0" w:after="0"/>
              <w:ind w:left="0"/>
              <w:jc w:val="center"/>
              <w:rPr>
                <w:rFonts w:cstheme="minorHAnsi"/>
                <w:b/>
                <w:bCs/>
                <w:szCs w:val="20"/>
              </w:rPr>
            </w:pPr>
            <w:r w:rsidRPr="009B02BA">
              <w:rPr>
                <w:rFonts w:cstheme="minorHAnsi"/>
                <w:b/>
                <w:bCs/>
                <w:szCs w:val="20"/>
              </w:rPr>
              <w:t>2023</w:t>
            </w:r>
          </w:p>
        </w:tc>
        <w:tc>
          <w:tcPr>
            <w:tcW w:w="1392" w:type="dxa"/>
            <w:shd w:val="clear" w:color="auto" w:fill="BFBFBF" w:themeFill="background1" w:themeFillShade="BF"/>
            <w:vAlign w:val="center"/>
          </w:tcPr>
          <w:p w14:paraId="192B265D" w14:textId="2BD01A24" w:rsidR="00166F9B" w:rsidRPr="009B02BA" w:rsidRDefault="00166F9B" w:rsidP="00D55776">
            <w:pPr>
              <w:spacing w:before="0" w:after="0"/>
              <w:ind w:left="0"/>
              <w:jc w:val="center"/>
              <w:rPr>
                <w:rFonts w:cstheme="minorHAnsi"/>
                <w:b/>
                <w:bCs/>
                <w:szCs w:val="20"/>
              </w:rPr>
            </w:pPr>
            <w:r w:rsidRPr="009B02BA">
              <w:rPr>
                <w:rFonts w:cstheme="minorHAnsi"/>
                <w:b/>
                <w:bCs/>
                <w:szCs w:val="20"/>
              </w:rPr>
              <w:t>2024</w:t>
            </w:r>
          </w:p>
        </w:tc>
        <w:tc>
          <w:tcPr>
            <w:tcW w:w="1415" w:type="dxa"/>
            <w:shd w:val="clear" w:color="auto" w:fill="BFBFBF" w:themeFill="background1" w:themeFillShade="BF"/>
            <w:vAlign w:val="center"/>
          </w:tcPr>
          <w:p w14:paraId="276B6EB7" w14:textId="13076E38" w:rsidR="00166F9B" w:rsidRPr="009B02BA" w:rsidRDefault="00166F9B" w:rsidP="00D55776">
            <w:pPr>
              <w:spacing w:before="0" w:after="0"/>
              <w:ind w:left="0"/>
              <w:jc w:val="center"/>
              <w:rPr>
                <w:rFonts w:cstheme="minorHAnsi"/>
                <w:b/>
                <w:bCs/>
                <w:szCs w:val="20"/>
              </w:rPr>
            </w:pPr>
            <w:r w:rsidRPr="009B02BA">
              <w:rPr>
                <w:rFonts w:cstheme="minorHAnsi"/>
                <w:b/>
                <w:bCs/>
                <w:szCs w:val="20"/>
              </w:rPr>
              <w:t>2025</w:t>
            </w:r>
          </w:p>
        </w:tc>
        <w:tc>
          <w:tcPr>
            <w:tcW w:w="1204" w:type="dxa"/>
            <w:shd w:val="clear" w:color="auto" w:fill="BFBFBF" w:themeFill="background1" w:themeFillShade="BF"/>
            <w:vAlign w:val="center"/>
          </w:tcPr>
          <w:p w14:paraId="6509E903" w14:textId="36A21C5E" w:rsidR="00166F9B" w:rsidRPr="009B02BA" w:rsidRDefault="00166F9B" w:rsidP="00D55776">
            <w:pPr>
              <w:spacing w:before="0" w:after="0"/>
              <w:ind w:left="0"/>
              <w:jc w:val="center"/>
              <w:rPr>
                <w:rFonts w:cstheme="minorHAnsi"/>
                <w:b/>
                <w:bCs/>
                <w:szCs w:val="20"/>
              </w:rPr>
            </w:pPr>
            <w:r w:rsidRPr="009B02BA">
              <w:rPr>
                <w:rFonts w:cstheme="minorHAnsi"/>
                <w:b/>
                <w:bCs/>
                <w:szCs w:val="20"/>
              </w:rPr>
              <w:t>Source/calculation</w:t>
            </w:r>
          </w:p>
        </w:tc>
      </w:tr>
      <w:tr w:rsidR="009B02BA" w:rsidRPr="009B02BA" w14:paraId="21220270" w14:textId="544A61CA" w:rsidTr="00B646E4">
        <w:tc>
          <w:tcPr>
            <w:tcW w:w="586" w:type="dxa"/>
            <w:vAlign w:val="center"/>
          </w:tcPr>
          <w:p w14:paraId="4671E132" w14:textId="6065386A" w:rsidR="004D57A2" w:rsidRPr="009B02BA" w:rsidRDefault="004D57A2" w:rsidP="00D55776">
            <w:pPr>
              <w:spacing w:before="0" w:after="0"/>
              <w:ind w:left="0"/>
              <w:jc w:val="center"/>
              <w:rPr>
                <w:rFonts w:cstheme="minorHAnsi"/>
                <w:szCs w:val="20"/>
              </w:rPr>
            </w:pPr>
            <w:r w:rsidRPr="009B02BA">
              <w:rPr>
                <w:rFonts w:cstheme="minorHAnsi"/>
                <w:szCs w:val="20"/>
              </w:rPr>
              <w:t>A</w:t>
            </w:r>
          </w:p>
        </w:tc>
        <w:tc>
          <w:tcPr>
            <w:tcW w:w="1709" w:type="dxa"/>
            <w:vAlign w:val="center"/>
          </w:tcPr>
          <w:p w14:paraId="19D92304" w14:textId="64785959" w:rsidR="004D57A2" w:rsidRPr="009B02BA" w:rsidRDefault="004D57A2" w:rsidP="00D55776">
            <w:pPr>
              <w:spacing w:before="0" w:after="0"/>
              <w:ind w:left="0"/>
              <w:jc w:val="center"/>
              <w:rPr>
                <w:rFonts w:cstheme="minorHAnsi"/>
                <w:szCs w:val="20"/>
              </w:rPr>
            </w:pPr>
            <w:r w:rsidRPr="009B02BA">
              <w:rPr>
                <w:rFonts w:cstheme="minorHAnsi"/>
                <w:szCs w:val="20"/>
              </w:rPr>
              <w:t>Projected Australian population</w:t>
            </w:r>
          </w:p>
        </w:tc>
        <w:tc>
          <w:tcPr>
            <w:tcW w:w="1102" w:type="dxa"/>
            <w:vAlign w:val="center"/>
          </w:tcPr>
          <w:p w14:paraId="3A2120DA" w14:textId="77777777" w:rsidR="004D57A2" w:rsidRPr="009B02BA" w:rsidRDefault="004D57A2" w:rsidP="00D55776">
            <w:pPr>
              <w:spacing w:before="0" w:after="0"/>
              <w:ind w:left="0"/>
              <w:jc w:val="center"/>
              <w:rPr>
                <w:rFonts w:cstheme="minorHAnsi"/>
                <w:szCs w:val="20"/>
              </w:rPr>
            </w:pPr>
          </w:p>
        </w:tc>
        <w:tc>
          <w:tcPr>
            <w:tcW w:w="1380" w:type="dxa"/>
            <w:vAlign w:val="center"/>
          </w:tcPr>
          <w:p w14:paraId="23F62137" w14:textId="016DF239" w:rsidR="004D57A2" w:rsidRPr="009B02BA" w:rsidRDefault="004D57A2" w:rsidP="00D55776">
            <w:pPr>
              <w:spacing w:before="0" w:after="0"/>
              <w:ind w:left="0"/>
              <w:jc w:val="center"/>
              <w:rPr>
                <w:rFonts w:cstheme="minorHAnsi"/>
                <w:szCs w:val="20"/>
              </w:rPr>
            </w:pPr>
            <w:r w:rsidRPr="009B02BA">
              <w:rPr>
                <w:rFonts w:cstheme="minorHAnsi"/>
                <w:color w:val="000000"/>
                <w:szCs w:val="20"/>
              </w:rPr>
              <w:t>26,418,221.56</w:t>
            </w:r>
          </w:p>
        </w:tc>
        <w:tc>
          <w:tcPr>
            <w:tcW w:w="1392" w:type="dxa"/>
            <w:vAlign w:val="center"/>
          </w:tcPr>
          <w:p w14:paraId="3465028A" w14:textId="7230226B" w:rsidR="004D57A2" w:rsidRPr="009B02BA" w:rsidRDefault="004D57A2" w:rsidP="00D55776">
            <w:pPr>
              <w:spacing w:before="0" w:after="0"/>
              <w:ind w:left="0"/>
              <w:jc w:val="center"/>
              <w:rPr>
                <w:rFonts w:cstheme="minorHAnsi"/>
                <w:szCs w:val="20"/>
              </w:rPr>
            </w:pPr>
            <w:r w:rsidRPr="009B02BA">
              <w:rPr>
                <w:rFonts w:cstheme="minorHAnsi"/>
                <w:color w:val="000000"/>
                <w:szCs w:val="20"/>
              </w:rPr>
              <w:t>26,769,583.91</w:t>
            </w:r>
          </w:p>
        </w:tc>
        <w:tc>
          <w:tcPr>
            <w:tcW w:w="1415" w:type="dxa"/>
            <w:vAlign w:val="center"/>
          </w:tcPr>
          <w:p w14:paraId="221F2D85" w14:textId="4F220C53" w:rsidR="004D57A2" w:rsidRPr="009B02BA" w:rsidRDefault="004D57A2" w:rsidP="00D55776">
            <w:pPr>
              <w:spacing w:before="0" w:after="0"/>
              <w:ind w:left="0"/>
              <w:jc w:val="center"/>
              <w:rPr>
                <w:rFonts w:cstheme="minorHAnsi"/>
                <w:szCs w:val="20"/>
              </w:rPr>
            </w:pPr>
            <w:r w:rsidRPr="009B02BA">
              <w:rPr>
                <w:rFonts w:cstheme="minorHAnsi"/>
                <w:color w:val="000000"/>
                <w:szCs w:val="20"/>
              </w:rPr>
              <w:t>27,125,619.38</w:t>
            </w:r>
          </w:p>
        </w:tc>
        <w:tc>
          <w:tcPr>
            <w:tcW w:w="1204" w:type="dxa"/>
            <w:vAlign w:val="center"/>
          </w:tcPr>
          <w:p w14:paraId="44965AB9" w14:textId="2AFCBF7F" w:rsidR="004D57A2" w:rsidRPr="009B02BA" w:rsidRDefault="00A30BCC" w:rsidP="00D55776">
            <w:pPr>
              <w:spacing w:before="0" w:after="0"/>
              <w:ind w:left="0"/>
              <w:jc w:val="center"/>
              <w:rPr>
                <w:rFonts w:cstheme="minorHAnsi"/>
                <w:szCs w:val="20"/>
              </w:rPr>
            </w:pPr>
            <w:r w:rsidRPr="009B02BA">
              <w:rPr>
                <w:rFonts w:cstheme="minorHAnsi"/>
                <w:szCs w:val="20"/>
              </w:rPr>
              <w:t>ABS data</w:t>
            </w:r>
          </w:p>
        </w:tc>
      </w:tr>
      <w:tr w:rsidR="009B02BA" w:rsidRPr="009B02BA" w14:paraId="6575EB9E" w14:textId="122E4CA9" w:rsidTr="00B646E4">
        <w:tc>
          <w:tcPr>
            <w:tcW w:w="586" w:type="dxa"/>
            <w:vAlign w:val="center"/>
          </w:tcPr>
          <w:p w14:paraId="30C4423A" w14:textId="3D4B2881" w:rsidR="00712115" w:rsidRPr="009B02BA" w:rsidRDefault="00712115" w:rsidP="00D55776">
            <w:pPr>
              <w:spacing w:before="0" w:after="0"/>
              <w:ind w:left="0"/>
              <w:jc w:val="center"/>
              <w:rPr>
                <w:rFonts w:cstheme="minorHAnsi"/>
                <w:szCs w:val="20"/>
              </w:rPr>
            </w:pPr>
            <w:r w:rsidRPr="009B02BA">
              <w:rPr>
                <w:rFonts w:cstheme="minorHAnsi"/>
                <w:szCs w:val="20"/>
              </w:rPr>
              <w:t>B</w:t>
            </w:r>
          </w:p>
        </w:tc>
        <w:tc>
          <w:tcPr>
            <w:tcW w:w="1709" w:type="dxa"/>
            <w:vAlign w:val="center"/>
          </w:tcPr>
          <w:p w14:paraId="742D861B" w14:textId="208D7F1F" w:rsidR="00712115" w:rsidRPr="009B02BA" w:rsidRDefault="00712115" w:rsidP="00D55776">
            <w:pPr>
              <w:spacing w:before="0" w:after="0"/>
              <w:ind w:left="0"/>
              <w:jc w:val="center"/>
              <w:rPr>
                <w:rFonts w:cstheme="minorHAnsi"/>
                <w:szCs w:val="20"/>
              </w:rPr>
            </w:pPr>
            <w:r w:rsidRPr="009B02BA">
              <w:rPr>
                <w:rFonts w:cstheme="minorHAnsi"/>
                <w:szCs w:val="20"/>
              </w:rPr>
              <w:t>Projected Australian population over the age of 65</w:t>
            </w:r>
          </w:p>
        </w:tc>
        <w:tc>
          <w:tcPr>
            <w:tcW w:w="1102" w:type="dxa"/>
            <w:vAlign w:val="center"/>
          </w:tcPr>
          <w:p w14:paraId="117EAE40" w14:textId="1A8E012D" w:rsidR="00712115" w:rsidRPr="009B02BA" w:rsidRDefault="00712115" w:rsidP="00D55776">
            <w:pPr>
              <w:spacing w:before="0" w:after="0"/>
              <w:ind w:left="0"/>
              <w:jc w:val="center"/>
              <w:rPr>
                <w:rFonts w:cstheme="minorHAnsi"/>
                <w:szCs w:val="20"/>
              </w:rPr>
            </w:pPr>
            <w:r w:rsidRPr="009B02BA">
              <w:rPr>
                <w:rFonts w:cstheme="minorHAnsi"/>
                <w:szCs w:val="20"/>
              </w:rPr>
              <w:t>16.6% of the Australian population</w:t>
            </w:r>
          </w:p>
        </w:tc>
        <w:tc>
          <w:tcPr>
            <w:tcW w:w="1380" w:type="dxa"/>
            <w:vAlign w:val="center"/>
          </w:tcPr>
          <w:p w14:paraId="43EF8B37" w14:textId="705F09F2" w:rsidR="00712115" w:rsidRPr="009B02BA" w:rsidRDefault="00712115" w:rsidP="00D55776">
            <w:pPr>
              <w:spacing w:before="0" w:after="0"/>
              <w:ind w:left="0"/>
              <w:jc w:val="center"/>
              <w:rPr>
                <w:rFonts w:cstheme="minorHAnsi"/>
                <w:szCs w:val="20"/>
              </w:rPr>
            </w:pPr>
            <w:r w:rsidRPr="009B02BA">
              <w:rPr>
                <w:rFonts w:cstheme="minorHAnsi"/>
                <w:color w:val="000000"/>
                <w:szCs w:val="20"/>
              </w:rPr>
              <w:t>4,385,424.78</w:t>
            </w:r>
          </w:p>
        </w:tc>
        <w:tc>
          <w:tcPr>
            <w:tcW w:w="1392" w:type="dxa"/>
            <w:vAlign w:val="center"/>
          </w:tcPr>
          <w:p w14:paraId="57BC9F23" w14:textId="66F339FC" w:rsidR="00712115" w:rsidRPr="009B02BA" w:rsidRDefault="00712115" w:rsidP="00D55776">
            <w:pPr>
              <w:spacing w:before="0" w:after="0"/>
              <w:ind w:left="0"/>
              <w:jc w:val="center"/>
              <w:rPr>
                <w:rFonts w:cstheme="minorHAnsi"/>
                <w:szCs w:val="20"/>
              </w:rPr>
            </w:pPr>
            <w:r w:rsidRPr="009B02BA">
              <w:rPr>
                <w:rFonts w:cstheme="minorHAnsi"/>
                <w:color w:val="000000"/>
                <w:szCs w:val="20"/>
              </w:rPr>
              <w:t>4,497,290.10</w:t>
            </w:r>
          </w:p>
        </w:tc>
        <w:tc>
          <w:tcPr>
            <w:tcW w:w="1415" w:type="dxa"/>
            <w:vAlign w:val="center"/>
          </w:tcPr>
          <w:p w14:paraId="7A31D99A" w14:textId="7200D646" w:rsidR="00712115" w:rsidRPr="009B02BA" w:rsidRDefault="00712115" w:rsidP="00D55776">
            <w:pPr>
              <w:spacing w:before="0" w:after="0"/>
              <w:ind w:left="0"/>
              <w:jc w:val="center"/>
              <w:rPr>
                <w:rFonts w:cstheme="minorHAnsi"/>
                <w:szCs w:val="20"/>
              </w:rPr>
            </w:pPr>
            <w:r w:rsidRPr="009B02BA">
              <w:rPr>
                <w:rFonts w:cstheme="minorHAnsi"/>
                <w:color w:val="000000"/>
                <w:szCs w:val="20"/>
              </w:rPr>
              <w:t>4,611,355.29</w:t>
            </w:r>
          </w:p>
        </w:tc>
        <w:tc>
          <w:tcPr>
            <w:tcW w:w="1204" w:type="dxa"/>
            <w:vAlign w:val="center"/>
          </w:tcPr>
          <w:p w14:paraId="153FB4DB" w14:textId="711FBD0B" w:rsidR="00712115" w:rsidRPr="009B02BA" w:rsidRDefault="00072B9F" w:rsidP="00D55776">
            <w:pPr>
              <w:spacing w:before="0" w:after="0"/>
              <w:ind w:left="0"/>
              <w:jc w:val="center"/>
              <w:rPr>
                <w:rFonts w:cstheme="minorHAnsi"/>
                <w:szCs w:val="20"/>
              </w:rPr>
            </w:pPr>
            <w:r w:rsidRPr="009B02BA">
              <w:rPr>
                <w:rFonts w:cstheme="minorHAnsi"/>
                <w:szCs w:val="20"/>
              </w:rPr>
              <w:t>16.6% *A</w:t>
            </w:r>
          </w:p>
        </w:tc>
      </w:tr>
      <w:tr w:rsidR="007E056E" w:rsidRPr="009B02BA" w14:paraId="762250EC" w14:textId="4101D29F" w:rsidTr="00B646E4">
        <w:tc>
          <w:tcPr>
            <w:tcW w:w="8788" w:type="dxa"/>
            <w:gridSpan w:val="7"/>
            <w:shd w:val="clear" w:color="auto" w:fill="BFBFBF" w:themeFill="background1" w:themeFillShade="BF"/>
            <w:vAlign w:val="center"/>
          </w:tcPr>
          <w:p w14:paraId="7DF9E850" w14:textId="301356D9" w:rsidR="007E056E" w:rsidRPr="009B02BA" w:rsidRDefault="007E056E" w:rsidP="00D55776">
            <w:pPr>
              <w:spacing w:before="0" w:after="0"/>
              <w:ind w:left="0"/>
              <w:jc w:val="center"/>
              <w:rPr>
                <w:rFonts w:cstheme="minorHAnsi"/>
                <w:szCs w:val="20"/>
              </w:rPr>
            </w:pPr>
            <w:r w:rsidRPr="009B02BA">
              <w:rPr>
                <w:rFonts w:cstheme="minorHAnsi"/>
                <w:szCs w:val="20"/>
              </w:rPr>
              <w:t>Epidemiology of mild AD</w:t>
            </w:r>
          </w:p>
        </w:tc>
      </w:tr>
      <w:tr w:rsidR="005C790F" w:rsidRPr="009B02BA" w14:paraId="4445B007" w14:textId="40A3380F" w:rsidTr="00B646E4">
        <w:tc>
          <w:tcPr>
            <w:tcW w:w="586" w:type="dxa"/>
            <w:vAlign w:val="center"/>
          </w:tcPr>
          <w:p w14:paraId="1D8771D6" w14:textId="70F7810F" w:rsidR="005C790F" w:rsidRPr="009B02BA" w:rsidRDefault="005C790F" w:rsidP="00D55776">
            <w:pPr>
              <w:spacing w:before="0" w:after="0"/>
              <w:ind w:left="0"/>
              <w:jc w:val="center"/>
              <w:rPr>
                <w:rFonts w:cstheme="minorHAnsi"/>
                <w:szCs w:val="20"/>
              </w:rPr>
            </w:pPr>
            <w:r w:rsidRPr="009B02BA">
              <w:rPr>
                <w:rFonts w:cstheme="minorHAnsi"/>
                <w:szCs w:val="20"/>
              </w:rPr>
              <w:t>C</w:t>
            </w:r>
          </w:p>
        </w:tc>
        <w:tc>
          <w:tcPr>
            <w:tcW w:w="1709" w:type="dxa"/>
            <w:vAlign w:val="center"/>
          </w:tcPr>
          <w:p w14:paraId="7026DB35" w14:textId="3F982D7E" w:rsidR="005C790F" w:rsidRPr="009B02BA" w:rsidRDefault="005C790F" w:rsidP="00D55776">
            <w:pPr>
              <w:spacing w:before="0" w:after="0"/>
              <w:ind w:left="0"/>
              <w:jc w:val="center"/>
              <w:rPr>
                <w:rFonts w:cstheme="minorHAnsi"/>
                <w:szCs w:val="20"/>
              </w:rPr>
            </w:pPr>
            <w:r w:rsidRPr="009B02BA">
              <w:rPr>
                <w:rFonts w:cstheme="minorHAnsi"/>
                <w:szCs w:val="20"/>
              </w:rPr>
              <w:t>Mortality rate of dementia</w:t>
            </w:r>
          </w:p>
        </w:tc>
        <w:tc>
          <w:tcPr>
            <w:tcW w:w="6493" w:type="dxa"/>
            <w:gridSpan w:val="5"/>
            <w:vAlign w:val="center"/>
          </w:tcPr>
          <w:p w14:paraId="50AA7DCD" w14:textId="55B3A7F2" w:rsidR="005C790F" w:rsidRPr="009B02BA" w:rsidRDefault="005C790F" w:rsidP="00D55776">
            <w:pPr>
              <w:spacing w:before="0" w:after="0"/>
              <w:ind w:left="0"/>
              <w:jc w:val="center"/>
              <w:rPr>
                <w:rFonts w:cstheme="minorHAnsi"/>
                <w:szCs w:val="20"/>
              </w:rPr>
            </w:pPr>
            <w:r w:rsidRPr="009B02BA">
              <w:rPr>
                <w:rFonts w:cstheme="minorHAnsi"/>
                <w:szCs w:val="20"/>
              </w:rPr>
              <w:t>38 deaths per 100,000</w:t>
            </w:r>
          </w:p>
        </w:tc>
      </w:tr>
      <w:tr w:rsidR="009B02BA" w:rsidRPr="009B02BA" w14:paraId="61798CB1" w14:textId="10C993E9" w:rsidTr="00B646E4">
        <w:tc>
          <w:tcPr>
            <w:tcW w:w="586" w:type="dxa"/>
            <w:vAlign w:val="center"/>
          </w:tcPr>
          <w:p w14:paraId="407ED0FD" w14:textId="3FDAD924" w:rsidR="00072B9F" w:rsidRPr="009B02BA" w:rsidRDefault="00072B9F" w:rsidP="00D55776">
            <w:pPr>
              <w:spacing w:before="0" w:after="0"/>
              <w:ind w:left="0"/>
              <w:jc w:val="center"/>
              <w:rPr>
                <w:rFonts w:cstheme="minorHAnsi"/>
                <w:szCs w:val="20"/>
              </w:rPr>
            </w:pPr>
            <w:r w:rsidRPr="009B02BA">
              <w:rPr>
                <w:rFonts w:cstheme="minorHAnsi"/>
                <w:szCs w:val="20"/>
              </w:rPr>
              <w:t>D</w:t>
            </w:r>
          </w:p>
        </w:tc>
        <w:tc>
          <w:tcPr>
            <w:tcW w:w="1709" w:type="dxa"/>
            <w:vAlign w:val="center"/>
          </w:tcPr>
          <w:p w14:paraId="5C244895" w14:textId="21C1A981" w:rsidR="00072B9F" w:rsidRPr="009B02BA" w:rsidRDefault="00072B9F" w:rsidP="00D55776">
            <w:pPr>
              <w:spacing w:before="0" w:after="0"/>
              <w:ind w:left="0"/>
              <w:jc w:val="center"/>
              <w:rPr>
                <w:rFonts w:cstheme="minorHAnsi"/>
                <w:szCs w:val="20"/>
              </w:rPr>
            </w:pPr>
            <w:r w:rsidRPr="009B02BA">
              <w:rPr>
                <w:rFonts w:cstheme="minorHAnsi"/>
                <w:szCs w:val="20"/>
              </w:rPr>
              <w:t>Incidence of dementia in Australia</w:t>
            </w:r>
            <w:r w:rsidR="00532477" w:rsidRPr="009B02BA">
              <w:rPr>
                <w:rFonts w:cstheme="minorHAnsi"/>
                <w:szCs w:val="20"/>
              </w:rPr>
              <w:t xml:space="preserve"> (65+ age group)</w:t>
            </w:r>
          </w:p>
        </w:tc>
        <w:tc>
          <w:tcPr>
            <w:tcW w:w="1102" w:type="dxa"/>
            <w:vAlign w:val="center"/>
          </w:tcPr>
          <w:p w14:paraId="770171B0" w14:textId="287C8610" w:rsidR="00072B9F" w:rsidRPr="009B02BA" w:rsidRDefault="00072B9F" w:rsidP="00D55776">
            <w:pPr>
              <w:spacing w:before="0" w:after="0"/>
              <w:ind w:left="0"/>
              <w:jc w:val="center"/>
              <w:rPr>
                <w:rFonts w:cstheme="minorHAnsi"/>
                <w:szCs w:val="20"/>
              </w:rPr>
            </w:pPr>
            <w:r w:rsidRPr="009B02BA">
              <w:rPr>
                <w:rFonts w:cstheme="minorHAnsi"/>
                <w:szCs w:val="20"/>
              </w:rPr>
              <w:t>16.8 per 1000</w:t>
            </w:r>
          </w:p>
        </w:tc>
        <w:tc>
          <w:tcPr>
            <w:tcW w:w="1380" w:type="dxa"/>
            <w:vAlign w:val="center"/>
          </w:tcPr>
          <w:p w14:paraId="0D736CEB" w14:textId="380CFC9B" w:rsidR="00072B9F" w:rsidRPr="009B02BA" w:rsidRDefault="00072B9F" w:rsidP="00D55776">
            <w:pPr>
              <w:spacing w:before="0" w:after="0"/>
              <w:ind w:left="0"/>
              <w:jc w:val="center"/>
              <w:rPr>
                <w:rFonts w:cstheme="minorHAnsi"/>
                <w:szCs w:val="20"/>
              </w:rPr>
            </w:pPr>
            <w:r w:rsidRPr="009B02BA">
              <w:rPr>
                <w:rFonts w:cstheme="minorHAnsi"/>
                <w:color w:val="000000"/>
                <w:szCs w:val="20"/>
              </w:rPr>
              <w:t>73,675.14</w:t>
            </w:r>
          </w:p>
        </w:tc>
        <w:tc>
          <w:tcPr>
            <w:tcW w:w="1392" w:type="dxa"/>
            <w:vAlign w:val="center"/>
          </w:tcPr>
          <w:p w14:paraId="20263024" w14:textId="6B80E4B6" w:rsidR="00072B9F" w:rsidRPr="009B02BA" w:rsidRDefault="00072B9F" w:rsidP="00D55776">
            <w:pPr>
              <w:spacing w:before="0" w:after="0"/>
              <w:ind w:left="0"/>
              <w:jc w:val="center"/>
              <w:rPr>
                <w:rFonts w:cstheme="minorHAnsi"/>
                <w:szCs w:val="20"/>
              </w:rPr>
            </w:pPr>
            <w:r w:rsidRPr="009B02BA">
              <w:rPr>
                <w:rFonts w:cstheme="minorHAnsi"/>
                <w:color w:val="000000"/>
                <w:szCs w:val="20"/>
              </w:rPr>
              <w:t>75,554.47</w:t>
            </w:r>
          </w:p>
        </w:tc>
        <w:tc>
          <w:tcPr>
            <w:tcW w:w="1415" w:type="dxa"/>
            <w:vAlign w:val="center"/>
          </w:tcPr>
          <w:p w14:paraId="74119477" w14:textId="1D52883C" w:rsidR="00072B9F" w:rsidRPr="009B02BA" w:rsidRDefault="00072B9F" w:rsidP="00D55776">
            <w:pPr>
              <w:spacing w:before="0" w:after="0"/>
              <w:ind w:left="0"/>
              <w:jc w:val="center"/>
              <w:rPr>
                <w:rFonts w:cstheme="minorHAnsi"/>
                <w:szCs w:val="20"/>
              </w:rPr>
            </w:pPr>
            <w:r w:rsidRPr="009B02BA">
              <w:rPr>
                <w:rFonts w:cstheme="minorHAnsi"/>
                <w:color w:val="000000"/>
                <w:szCs w:val="20"/>
              </w:rPr>
              <w:t>77,470.77</w:t>
            </w:r>
          </w:p>
        </w:tc>
        <w:tc>
          <w:tcPr>
            <w:tcW w:w="1204" w:type="dxa"/>
            <w:vAlign w:val="center"/>
          </w:tcPr>
          <w:p w14:paraId="203C10BD" w14:textId="730585B8" w:rsidR="00072B9F" w:rsidRPr="009B02BA" w:rsidRDefault="00EB2400" w:rsidP="00D55776">
            <w:pPr>
              <w:spacing w:before="0" w:after="0"/>
              <w:ind w:left="0"/>
              <w:jc w:val="center"/>
              <w:rPr>
                <w:rFonts w:cstheme="minorHAnsi"/>
                <w:szCs w:val="20"/>
              </w:rPr>
            </w:pPr>
            <w:r w:rsidRPr="009B02BA">
              <w:rPr>
                <w:rFonts w:cstheme="minorHAnsi"/>
                <w:szCs w:val="20"/>
              </w:rPr>
              <w:t>16.8%*B</w:t>
            </w:r>
          </w:p>
        </w:tc>
      </w:tr>
      <w:tr w:rsidR="009B02BA" w:rsidRPr="009B02BA" w14:paraId="006EEFBE" w14:textId="071B1CA3" w:rsidTr="00B646E4">
        <w:tc>
          <w:tcPr>
            <w:tcW w:w="586" w:type="dxa"/>
            <w:vAlign w:val="center"/>
          </w:tcPr>
          <w:p w14:paraId="0F175F0F" w14:textId="6DFA4070" w:rsidR="009E114F" w:rsidRPr="009B02BA" w:rsidRDefault="009E114F" w:rsidP="00D55776">
            <w:pPr>
              <w:spacing w:before="0" w:after="0"/>
              <w:ind w:left="0"/>
              <w:jc w:val="center"/>
              <w:rPr>
                <w:rFonts w:cstheme="minorHAnsi"/>
                <w:szCs w:val="20"/>
              </w:rPr>
            </w:pPr>
            <w:r w:rsidRPr="009B02BA">
              <w:rPr>
                <w:rFonts w:cstheme="minorHAnsi"/>
                <w:szCs w:val="20"/>
              </w:rPr>
              <w:t>E</w:t>
            </w:r>
          </w:p>
        </w:tc>
        <w:tc>
          <w:tcPr>
            <w:tcW w:w="1709" w:type="dxa"/>
            <w:vAlign w:val="center"/>
          </w:tcPr>
          <w:p w14:paraId="0EA6867D" w14:textId="28A58364" w:rsidR="009E114F" w:rsidRPr="009B02BA" w:rsidRDefault="009E114F" w:rsidP="00D55776">
            <w:pPr>
              <w:spacing w:before="0" w:after="0"/>
              <w:ind w:left="0"/>
              <w:jc w:val="center"/>
              <w:rPr>
                <w:rFonts w:cstheme="minorHAnsi"/>
                <w:szCs w:val="20"/>
              </w:rPr>
            </w:pPr>
            <w:r w:rsidRPr="009B02BA">
              <w:rPr>
                <w:rFonts w:cstheme="minorHAnsi"/>
                <w:color w:val="000000"/>
                <w:szCs w:val="20"/>
              </w:rPr>
              <w:t>Estimated prevalence of dementia in Australia</w:t>
            </w:r>
          </w:p>
        </w:tc>
        <w:tc>
          <w:tcPr>
            <w:tcW w:w="1102" w:type="dxa"/>
            <w:vAlign w:val="center"/>
          </w:tcPr>
          <w:p w14:paraId="25821A31" w14:textId="17BDF53B" w:rsidR="009E114F" w:rsidRPr="009B02BA" w:rsidRDefault="009E114F" w:rsidP="00D55776">
            <w:pPr>
              <w:spacing w:before="0" w:after="0"/>
              <w:ind w:left="0"/>
              <w:jc w:val="center"/>
              <w:rPr>
                <w:rFonts w:cstheme="minorHAnsi"/>
                <w:szCs w:val="20"/>
              </w:rPr>
            </w:pPr>
            <w:r w:rsidRPr="009B02BA">
              <w:rPr>
                <w:rFonts w:cstheme="minorHAnsi"/>
                <w:color w:val="000000"/>
                <w:szCs w:val="20"/>
              </w:rPr>
              <w:t>487,500</w:t>
            </w:r>
          </w:p>
        </w:tc>
        <w:tc>
          <w:tcPr>
            <w:tcW w:w="1380" w:type="dxa"/>
            <w:vAlign w:val="center"/>
          </w:tcPr>
          <w:p w14:paraId="0B3386CC" w14:textId="552B884A" w:rsidR="009E114F" w:rsidRPr="009B02BA" w:rsidRDefault="009E114F" w:rsidP="00D55776">
            <w:pPr>
              <w:spacing w:before="0" w:after="0"/>
              <w:ind w:left="0"/>
              <w:jc w:val="center"/>
              <w:rPr>
                <w:rFonts w:cstheme="minorHAnsi"/>
                <w:szCs w:val="20"/>
              </w:rPr>
            </w:pPr>
            <w:r w:rsidRPr="009B02BA">
              <w:rPr>
                <w:rFonts w:cstheme="minorHAnsi"/>
                <w:color w:val="000000"/>
                <w:szCs w:val="20"/>
              </w:rPr>
              <w:t>502,273.99</w:t>
            </w:r>
          </w:p>
        </w:tc>
        <w:tc>
          <w:tcPr>
            <w:tcW w:w="1392" w:type="dxa"/>
            <w:vAlign w:val="center"/>
          </w:tcPr>
          <w:p w14:paraId="52C6EE0A" w14:textId="7A2A8D39" w:rsidR="009E114F" w:rsidRPr="009B02BA" w:rsidRDefault="009E114F" w:rsidP="00D55776">
            <w:pPr>
              <w:spacing w:before="0" w:after="0"/>
              <w:ind w:left="0"/>
              <w:jc w:val="center"/>
              <w:rPr>
                <w:rFonts w:cstheme="minorHAnsi"/>
                <w:szCs w:val="20"/>
              </w:rPr>
            </w:pPr>
            <w:r w:rsidRPr="009B02BA">
              <w:rPr>
                <w:rFonts w:cstheme="minorHAnsi"/>
                <w:color w:val="000000"/>
                <w:szCs w:val="20"/>
              </w:rPr>
              <w:t>517,495.71</w:t>
            </w:r>
          </w:p>
        </w:tc>
        <w:tc>
          <w:tcPr>
            <w:tcW w:w="1415" w:type="dxa"/>
            <w:vAlign w:val="center"/>
          </w:tcPr>
          <w:p w14:paraId="34A6DCBC" w14:textId="2A9985FF" w:rsidR="009E114F" w:rsidRPr="009B02BA" w:rsidRDefault="009E114F" w:rsidP="00D55776">
            <w:pPr>
              <w:spacing w:before="0" w:after="0"/>
              <w:ind w:left="0"/>
              <w:jc w:val="center"/>
              <w:rPr>
                <w:rFonts w:cstheme="minorHAnsi"/>
                <w:szCs w:val="20"/>
              </w:rPr>
            </w:pPr>
            <w:r w:rsidRPr="009B02BA">
              <w:rPr>
                <w:rFonts w:cstheme="minorHAnsi"/>
                <w:color w:val="000000"/>
                <w:szCs w:val="20"/>
              </w:rPr>
              <w:t>533,178.74</w:t>
            </w:r>
          </w:p>
        </w:tc>
        <w:tc>
          <w:tcPr>
            <w:tcW w:w="1204" w:type="dxa"/>
            <w:vAlign w:val="center"/>
          </w:tcPr>
          <w:p w14:paraId="36265C34" w14:textId="1D44B056" w:rsidR="009E114F" w:rsidRPr="009B02BA" w:rsidRDefault="00112C5C" w:rsidP="00D55776">
            <w:pPr>
              <w:spacing w:before="0" w:after="0"/>
              <w:ind w:left="0"/>
              <w:jc w:val="center"/>
              <w:rPr>
                <w:rFonts w:cstheme="minorHAnsi"/>
                <w:szCs w:val="20"/>
              </w:rPr>
            </w:pPr>
            <w:r w:rsidRPr="009B02BA">
              <w:rPr>
                <w:rFonts w:cstheme="minorHAnsi"/>
                <w:szCs w:val="20"/>
              </w:rPr>
              <w:t>Dementia Australia 2022</w:t>
            </w:r>
          </w:p>
        </w:tc>
      </w:tr>
      <w:tr w:rsidR="009B02BA" w:rsidRPr="009B02BA" w14:paraId="606DF131" w14:textId="7D6EDD07" w:rsidTr="00B646E4">
        <w:tc>
          <w:tcPr>
            <w:tcW w:w="586" w:type="dxa"/>
            <w:vAlign w:val="center"/>
          </w:tcPr>
          <w:p w14:paraId="3AEFFE87" w14:textId="0F8ADB92" w:rsidR="009E114F" w:rsidRPr="009B02BA" w:rsidRDefault="009E114F" w:rsidP="00D55776">
            <w:pPr>
              <w:spacing w:before="0" w:after="0"/>
              <w:ind w:left="0"/>
              <w:jc w:val="center"/>
              <w:rPr>
                <w:rFonts w:cstheme="minorHAnsi"/>
                <w:szCs w:val="20"/>
              </w:rPr>
            </w:pPr>
            <w:r w:rsidRPr="009B02BA">
              <w:rPr>
                <w:rFonts w:cstheme="minorHAnsi"/>
                <w:szCs w:val="20"/>
              </w:rPr>
              <w:t>F</w:t>
            </w:r>
          </w:p>
        </w:tc>
        <w:tc>
          <w:tcPr>
            <w:tcW w:w="1709" w:type="dxa"/>
            <w:vAlign w:val="center"/>
          </w:tcPr>
          <w:p w14:paraId="240444DB" w14:textId="0D17AF5C" w:rsidR="009E114F" w:rsidRPr="009B02BA" w:rsidRDefault="009E114F" w:rsidP="00D55776">
            <w:pPr>
              <w:spacing w:before="0" w:after="0"/>
              <w:ind w:left="0"/>
              <w:jc w:val="center"/>
              <w:rPr>
                <w:rFonts w:cstheme="minorHAnsi"/>
                <w:szCs w:val="20"/>
              </w:rPr>
            </w:pPr>
            <w:r w:rsidRPr="009B02BA">
              <w:rPr>
                <w:rFonts w:cstheme="minorHAnsi"/>
                <w:color w:val="000000"/>
                <w:szCs w:val="20"/>
              </w:rPr>
              <w:t>Proportion of dementia population with mild dementia</w:t>
            </w:r>
          </w:p>
        </w:tc>
        <w:tc>
          <w:tcPr>
            <w:tcW w:w="1102" w:type="dxa"/>
            <w:vAlign w:val="center"/>
          </w:tcPr>
          <w:p w14:paraId="52D25342" w14:textId="60AF106C" w:rsidR="009E114F" w:rsidRPr="009B02BA" w:rsidRDefault="009E114F" w:rsidP="00D55776">
            <w:pPr>
              <w:spacing w:before="0" w:after="0"/>
              <w:ind w:left="0"/>
              <w:jc w:val="center"/>
              <w:rPr>
                <w:rFonts w:cstheme="minorHAnsi"/>
                <w:szCs w:val="20"/>
              </w:rPr>
            </w:pPr>
            <w:r w:rsidRPr="009B02BA">
              <w:rPr>
                <w:rFonts w:cstheme="minorHAnsi"/>
                <w:color w:val="000000"/>
                <w:szCs w:val="20"/>
              </w:rPr>
              <w:t>55%</w:t>
            </w:r>
          </w:p>
        </w:tc>
        <w:tc>
          <w:tcPr>
            <w:tcW w:w="1380" w:type="dxa"/>
            <w:vAlign w:val="center"/>
          </w:tcPr>
          <w:p w14:paraId="69D0F2AD" w14:textId="14480832" w:rsidR="009E114F" w:rsidRPr="009B02BA" w:rsidRDefault="009E114F" w:rsidP="00D55776">
            <w:pPr>
              <w:spacing w:before="0" w:after="0"/>
              <w:ind w:left="0"/>
              <w:jc w:val="center"/>
              <w:rPr>
                <w:rFonts w:cstheme="minorHAnsi"/>
                <w:szCs w:val="20"/>
              </w:rPr>
            </w:pPr>
            <w:r w:rsidRPr="009B02BA">
              <w:rPr>
                <w:rFonts w:cstheme="minorHAnsi"/>
                <w:color w:val="000000"/>
                <w:szCs w:val="20"/>
              </w:rPr>
              <w:t>276,250.69</w:t>
            </w:r>
          </w:p>
        </w:tc>
        <w:tc>
          <w:tcPr>
            <w:tcW w:w="1392" w:type="dxa"/>
            <w:vAlign w:val="center"/>
          </w:tcPr>
          <w:p w14:paraId="0FFABFAD" w14:textId="04CCC805" w:rsidR="009E114F" w:rsidRPr="009B02BA" w:rsidRDefault="009E114F" w:rsidP="00D55776">
            <w:pPr>
              <w:spacing w:before="0" w:after="0"/>
              <w:ind w:left="0"/>
              <w:jc w:val="center"/>
              <w:rPr>
                <w:rFonts w:cstheme="minorHAnsi"/>
                <w:szCs w:val="20"/>
              </w:rPr>
            </w:pPr>
            <w:r w:rsidRPr="009B02BA">
              <w:rPr>
                <w:rFonts w:cstheme="minorHAnsi"/>
                <w:color w:val="000000"/>
                <w:szCs w:val="20"/>
              </w:rPr>
              <w:t>284,622.64</w:t>
            </w:r>
          </w:p>
        </w:tc>
        <w:tc>
          <w:tcPr>
            <w:tcW w:w="1415" w:type="dxa"/>
            <w:vAlign w:val="center"/>
          </w:tcPr>
          <w:p w14:paraId="219807BF" w14:textId="19950865" w:rsidR="009E114F" w:rsidRPr="009B02BA" w:rsidRDefault="009E114F" w:rsidP="00D55776">
            <w:pPr>
              <w:spacing w:before="0" w:after="0"/>
              <w:ind w:left="0"/>
              <w:jc w:val="center"/>
              <w:rPr>
                <w:rFonts w:cstheme="minorHAnsi"/>
                <w:szCs w:val="20"/>
              </w:rPr>
            </w:pPr>
            <w:r w:rsidRPr="009B02BA">
              <w:rPr>
                <w:rFonts w:cstheme="minorHAnsi"/>
                <w:color w:val="000000"/>
                <w:szCs w:val="20"/>
              </w:rPr>
              <w:t>293,248.31</w:t>
            </w:r>
          </w:p>
        </w:tc>
        <w:tc>
          <w:tcPr>
            <w:tcW w:w="1204" w:type="dxa"/>
            <w:vAlign w:val="center"/>
          </w:tcPr>
          <w:p w14:paraId="212247A9" w14:textId="03AA042C" w:rsidR="009E114F" w:rsidRPr="009B02BA" w:rsidRDefault="00275F59" w:rsidP="00D55776">
            <w:pPr>
              <w:spacing w:before="0" w:after="0"/>
              <w:ind w:left="0"/>
              <w:jc w:val="center"/>
              <w:rPr>
                <w:rFonts w:cstheme="minorHAnsi"/>
                <w:szCs w:val="20"/>
              </w:rPr>
            </w:pPr>
            <w:r w:rsidRPr="009B02BA">
              <w:rPr>
                <w:rFonts w:cstheme="minorHAnsi"/>
                <w:szCs w:val="20"/>
              </w:rPr>
              <w:t>55%*E</w:t>
            </w:r>
          </w:p>
        </w:tc>
      </w:tr>
      <w:tr w:rsidR="009B02BA" w:rsidRPr="009B02BA" w14:paraId="74CC3884" w14:textId="77777777" w:rsidTr="00B646E4">
        <w:tc>
          <w:tcPr>
            <w:tcW w:w="586" w:type="dxa"/>
            <w:vAlign w:val="center"/>
          </w:tcPr>
          <w:p w14:paraId="3B0C3ACB" w14:textId="5D1618E0" w:rsidR="009E114F" w:rsidRPr="009B02BA" w:rsidRDefault="009E114F" w:rsidP="00D55776">
            <w:pPr>
              <w:spacing w:before="0" w:after="0"/>
              <w:ind w:left="0"/>
              <w:jc w:val="center"/>
              <w:rPr>
                <w:rFonts w:cstheme="minorHAnsi"/>
                <w:szCs w:val="20"/>
              </w:rPr>
            </w:pPr>
            <w:r w:rsidRPr="009B02BA">
              <w:rPr>
                <w:rFonts w:cstheme="minorHAnsi"/>
                <w:szCs w:val="20"/>
              </w:rPr>
              <w:t>G</w:t>
            </w:r>
          </w:p>
        </w:tc>
        <w:tc>
          <w:tcPr>
            <w:tcW w:w="1709" w:type="dxa"/>
            <w:vAlign w:val="center"/>
          </w:tcPr>
          <w:p w14:paraId="5F3858DB" w14:textId="2CCBB70E" w:rsidR="009E114F" w:rsidRPr="009B02BA" w:rsidRDefault="009E114F" w:rsidP="00D55776">
            <w:pPr>
              <w:spacing w:before="0" w:after="0"/>
              <w:ind w:left="0"/>
              <w:jc w:val="center"/>
              <w:rPr>
                <w:rFonts w:cstheme="minorHAnsi"/>
                <w:szCs w:val="20"/>
              </w:rPr>
            </w:pPr>
            <w:r w:rsidRPr="009B02BA">
              <w:rPr>
                <w:rFonts w:cstheme="minorHAnsi"/>
                <w:color w:val="000000"/>
                <w:szCs w:val="20"/>
              </w:rPr>
              <w:t>Proportion of mild dementia patients with suspected AD</w:t>
            </w:r>
          </w:p>
        </w:tc>
        <w:tc>
          <w:tcPr>
            <w:tcW w:w="1102" w:type="dxa"/>
            <w:vAlign w:val="center"/>
          </w:tcPr>
          <w:p w14:paraId="0FB5C4F8" w14:textId="1E3A696F" w:rsidR="009E114F" w:rsidRPr="009B02BA" w:rsidRDefault="009E114F" w:rsidP="00D55776">
            <w:pPr>
              <w:spacing w:before="0" w:after="0"/>
              <w:ind w:left="0"/>
              <w:jc w:val="center"/>
              <w:rPr>
                <w:rFonts w:cstheme="minorHAnsi"/>
                <w:szCs w:val="20"/>
              </w:rPr>
            </w:pPr>
            <w:r w:rsidRPr="009B02BA">
              <w:rPr>
                <w:rFonts w:cstheme="minorHAnsi"/>
                <w:color w:val="000000"/>
                <w:szCs w:val="20"/>
              </w:rPr>
              <w:t>76%</w:t>
            </w:r>
          </w:p>
        </w:tc>
        <w:tc>
          <w:tcPr>
            <w:tcW w:w="1380" w:type="dxa"/>
            <w:vAlign w:val="center"/>
          </w:tcPr>
          <w:p w14:paraId="4B5217CA" w14:textId="2ED5FBA4" w:rsidR="009E114F" w:rsidRPr="009B02BA" w:rsidRDefault="009E114F" w:rsidP="00D55776">
            <w:pPr>
              <w:spacing w:before="0" w:after="0"/>
              <w:ind w:left="0"/>
              <w:jc w:val="center"/>
              <w:rPr>
                <w:rFonts w:cstheme="minorHAnsi"/>
                <w:szCs w:val="20"/>
              </w:rPr>
            </w:pPr>
            <w:r w:rsidRPr="009B02BA">
              <w:rPr>
                <w:rFonts w:cstheme="minorHAnsi"/>
                <w:color w:val="000000"/>
                <w:szCs w:val="20"/>
              </w:rPr>
              <w:t>209,950.53</w:t>
            </w:r>
          </w:p>
        </w:tc>
        <w:tc>
          <w:tcPr>
            <w:tcW w:w="1392" w:type="dxa"/>
            <w:vAlign w:val="center"/>
          </w:tcPr>
          <w:p w14:paraId="276774FB" w14:textId="0B992205" w:rsidR="009E114F" w:rsidRPr="009B02BA" w:rsidRDefault="009E114F" w:rsidP="00D55776">
            <w:pPr>
              <w:spacing w:before="0" w:after="0"/>
              <w:ind w:left="0"/>
              <w:jc w:val="center"/>
              <w:rPr>
                <w:rFonts w:cstheme="minorHAnsi"/>
                <w:szCs w:val="20"/>
              </w:rPr>
            </w:pPr>
            <w:r w:rsidRPr="009B02BA">
              <w:rPr>
                <w:rFonts w:cstheme="minorHAnsi"/>
                <w:color w:val="000000"/>
                <w:szCs w:val="20"/>
              </w:rPr>
              <w:t>216,313.21</w:t>
            </w:r>
          </w:p>
        </w:tc>
        <w:tc>
          <w:tcPr>
            <w:tcW w:w="1415" w:type="dxa"/>
            <w:vAlign w:val="center"/>
          </w:tcPr>
          <w:p w14:paraId="46FF776E" w14:textId="76B2D8C9" w:rsidR="009E114F" w:rsidRPr="009B02BA" w:rsidRDefault="009E114F" w:rsidP="00D55776">
            <w:pPr>
              <w:spacing w:before="0" w:after="0"/>
              <w:ind w:left="0"/>
              <w:jc w:val="center"/>
              <w:rPr>
                <w:rFonts w:cstheme="minorHAnsi"/>
                <w:szCs w:val="20"/>
              </w:rPr>
            </w:pPr>
            <w:r w:rsidRPr="009B02BA">
              <w:rPr>
                <w:rFonts w:cstheme="minorHAnsi"/>
                <w:color w:val="000000"/>
                <w:szCs w:val="20"/>
              </w:rPr>
              <w:t>222,868.71</w:t>
            </w:r>
          </w:p>
        </w:tc>
        <w:tc>
          <w:tcPr>
            <w:tcW w:w="1204" w:type="dxa"/>
            <w:vAlign w:val="center"/>
          </w:tcPr>
          <w:p w14:paraId="5195A448" w14:textId="40E8CEC0" w:rsidR="009E114F" w:rsidRPr="009B02BA" w:rsidRDefault="00275F59" w:rsidP="00D55776">
            <w:pPr>
              <w:spacing w:before="0" w:after="0"/>
              <w:ind w:left="0"/>
              <w:jc w:val="center"/>
              <w:rPr>
                <w:rFonts w:cstheme="minorHAnsi"/>
                <w:szCs w:val="20"/>
              </w:rPr>
            </w:pPr>
            <w:r w:rsidRPr="009B02BA">
              <w:rPr>
                <w:rFonts w:cstheme="minorHAnsi"/>
                <w:szCs w:val="20"/>
              </w:rPr>
              <w:t>76%*F</w:t>
            </w:r>
          </w:p>
        </w:tc>
      </w:tr>
      <w:tr w:rsidR="00275F59" w:rsidRPr="009B02BA" w14:paraId="2FFF2C89" w14:textId="77777777" w:rsidTr="00B646E4">
        <w:tc>
          <w:tcPr>
            <w:tcW w:w="8788" w:type="dxa"/>
            <w:gridSpan w:val="7"/>
            <w:shd w:val="clear" w:color="auto" w:fill="BFBFBF" w:themeFill="background1" w:themeFillShade="BF"/>
            <w:vAlign w:val="center"/>
          </w:tcPr>
          <w:p w14:paraId="204C73B2" w14:textId="65B5F20B" w:rsidR="00275F59" w:rsidRPr="009B02BA" w:rsidRDefault="00275F59" w:rsidP="00D55776">
            <w:pPr>
              <w:spacing w:before="0" w:after="0"/>
              <w:ind w:left="0"/>
              <w:jc w:val="center"/>
              <w:rPr>
                <w:rFonts w:cstheme="minorHAnsi"/>
                <w:szCs w:val="20"/>
              </w:rPr>
            </w:pPr>
            <w:r w:rsidRPr="009B02BA">
              <w:rPr>
                <w:rFonts w:cstheme="minorHAnsi"/>
                <w:szCs w:val="20"/>
              </w:rPr>
              <w:t>Epidemiology of MCI (with suspected AD)</w:t>
            </w:r>
            <w:r w:rsidR="00520FB9" w:rsidRPr="009B02BA">
              <w:rPr>
                <w:rFonts w:cstheme="minorHAnsi"/>
                <w:szCs w:val="20"/>
              </w:rPr>
              <w:t xml:space="preserve"> </w:t>
            </w:r>
            <w:r w:rsidR="00520FB9" w:rsidRPr="009B02BA">
              <w:rPr>
                <w:rFonts w:cstheme="minorHAnsi"/>
                <w:b/>
                <w:bCs/>
                <w:i/>
                <w:iCs/>
                <w:szCs w:val="20"/>
              </w:rPr>
              <w:t>Method 1</w:t>
            </w:r>
          </w:p>
        </w:tc>
      </w:tr>
      <w:tr w:rsidR="009B02BA" w:rsidRPr="009B02BA" w14:paraId="216B258C" w14:textId="77777777" w:rsidTr="00B646E4">
        <w:tc>
          <w:tcPr>
            <w:tcW w:w="586" w:type="dxa"/>
            <w:vAlign w:val="center"/>
          </w:tcPr>
          <w:p w14:paraId="0093A66B" w14:textId="71D44A59" w:rsidR="00520FB9" w:rsidRPr="009B02BA" w:rsidRDefault="00520FB9" w:rsidP="00D55776">
            <w:pPr>
              <w:spacing w:before="0" w:after="0"/>
              <w:ind w:left="0"/>
              <w:jc w:val="center"/>
              <w:rPr>
                <w:rFonts w:cstheme="minorHAnsi"/>
                <w:szCs w:val="20"/>
              </w:rPr>
            </w:pPr>
            <w:r w:rsidRPr="009B02BA">
              <w:rPr>
                <w:rFonts w:cstheme="minorHAnsi"/>
                <w:szCs w:val="20"/>
              </w:rPr>
              <w:t>H</w:t>
            </w:r>
          </w:p>
        </w:tc>
        <w:tc>
          <w:tcPr>
            <w:tcW w:w="1709" w:type="dxa"/>
            <w:vAlign w:val="center"/>
          </w:tcPr>
          <w:p w14:paraId="3B6413A3" w14:textId="2BF0E8A2" w:rsidR="00520FB9" w:rsidRPr="009B02BA" w:rsidRDefault="00520FB9" w:rsidP="00D55776">
            <w:pPr>
              <w:spacing w:before="0" w:after="0"/>
              <w:ind w:left="0"/>
              <w:jc w:val="center"/>
              <w:rPr>
                <w:rFonts w:cstheme="minorHAnsi"/>
                <w:szCs w:val="20"/>
              </w:rPr>
            </w:pPr>
            <w:r w:rsidRPr="009B02BA">
              <w:rPr>
                <w:rFonts w:cstheme="minorHAnsi"/>
                <w:color w:val="000000"/>
                <w:szCs w:val="20"/>
              </w:rPr>
              <w:t>Estimated prevalence of MCI in Patients over 60 years of age</w:t>
            </w:r>
          </w:p>
        </w:tc>
        <w:tc>
          <w:tcPr>
            <w:tcW w:w="1102" w:type="dxa"/>
            <w:vAlign w:val="center"/>
          </w:tcPr>
          <w:p w14:paraId="095239F9" w14:textId="5419658B" w:rsidR="00520FB9" w:rsidRPr="009B02BA" w:rsidRDefault="00520FB9" w:rsidP="00D55776">
            <w:pPr>
              <w:spacing w:before="0" w:after="0"/>
              <w:ind w:left="0"/>
              <w:jc w:val="center"/>
              <w:rPr>
                <w:rFonts w:cstheme="minorHAnsi"/>
                <w:szCs w:val="20"/>
              </w:rPr>
            </w:pPr>
            <w:r w:rsidRPr="009B02BA">
              <w:rPr>
                <w:rFonts w:cstheme="minorHAnsi"/>
                <w:color w:val="000000"/>
                <w:szCs w:val="20"/>
              </w:rPr>
              <w:t>9%</w:t>
            </w:r>
          </w:p>
        </w:tc>
        <w:tc>
          <w:tcPr>
            <w:tcW w:w="1380" w:type="dxa"/>
            <w:vAlign w:val="center"/>
          </w:tcPr>
          <w:p w14:paraId="3286B7A9" w14:textId="40E77DF0" w:rsidR="00520FB9" w:rsidRPr="009B02BA" w:rsidRDefault="00520FB9" w:rsidP="00D55776">
            <w:pPr>
              <w:spacing w:before="0" w:after="0"/>
              <w:ind w:left="0"/>
              <w:jc w:val="center"/>
              <w:rPr>
                <w:rFonts w:cstheme="minorHAnsi"/>
                <w:szCs w:val="20"/>
              </w:rPr>
            </w:pPr>
            <w:r w:rsidRPr="009B02BA">
              <w:rPr>
                <w:rFonts w:cstheme="minorHAnsi"/>
                <w:color w:val="000000"/>
                <w:szCs w:val="20"/>
              </w:rPr>
              <w:t>394,688.23</w:t>
            </w:r>
          </w:p>
        </w:tc>
        <w:tc>
          <w:tcPr>
            <w:tcW w:w="1392" w:type="dxa"/>
            <w:vAlign w:val="center"/>
          </w:tcPr>
          <w:p w14:paraId="75409CB1" w14:textId="5C527F46" w:rsidR="00520FB9" w:rsidRPr="009B02BA" w:rsidRDefault="00520FB9" w:rsidP="00D55776">
            <w:pPr>
              <w:spacing w:before="0" w:after="0"/>
              <w:ind w:left="0"/>
              <w:jc w:val="center"/>
              <w:rPr>
                <w:rFonts w:cstheme="minorHAnsi"/>
                <w:szCs w:val="20"/>
              </w:rPr>
            </w:pPr>
            <w:r w:rsidRPr="009B02BA">
              <w:rPr>
                <w:rFonts w:cstheme="minorHAnsi"/>
                <w:color w:val="000000"/>
                <w:szCs w:val="20"/>
              </w:rPr>
              <w:t>404,756.11</w:t>
            </w:r>
          </w:p>
        </w:tc>
        <w:tc>
          <w:tcPr>
            <w:tcW w:w="1415" w:type="dxa"/>
            <w:vAlign w:val="center"/>
          </w:tcPr>
          <w:p w14:paraId="4AC82B62" w14:textId="0E88E04D" w:rsidR="00520FB9" w:rsidRPr="009B02BA" w:rsidRDefault="00520FB9" w:rsidP="00D55776">
            <w:pPr>
              <w:spacing w:before="0" w:after="0"/>
              <w:ind w:left="0"/>
              <w:jc w:val="center"/>
              <w:rPr>
                <w:rFonts w:cstheme="minorHAnsi"/>
                <w:szCs w:val="20"/>
              </w:rPr>
            </w:pPr>
            <w:r w:rsidRPr="009B02BA">
              <w:rPr>
                <w:rFonts w:cstheme="minorHAnsi"/>
                <w:color w:val="000000"/>
                <w:szCs w:val="20"/>
              </w:rPr>
              <w:t>415,021.98</w:t>
            </w:r>
          </w:p>
        </w:tc>
        <w:tc>
          <w:tcPr>
            <w:tcW w:w="1204" w:type="dxa"/>
            <w:vAlign w:val="center"/>
          </w:tcPr>
          <w:p w14:paraId="7C353CD1" w14:textId="7BFBAE7D" w:rsidR="00520FB9" w:rsidRPr="009B02BA" w:rsidRDefault="00E41C1B" w:rsidP="00D55776">
            <w:pPr>
              <w:spacing w:before="0" w:after="0"/>
              <w:ind w:left="0"/>
              <w:jc w:val="center"/>
              <w:rPr>
                <w:rFonts w:cstheme="minorHAnsi"/>
                <w:szCs w:val="20"/>
              </w:rPr>
            </w:pPr>
            <w:r w:rsidRPr="009B02BA">
              <w:rPr>
                <w:rFonts w:cstheme="minorHAnsi"/>
                <w:szCs w:val="20"/>
              </w:rPr>
              <w:t>9%*B</w:t>
            </w:r>
          </w:p>
        </w:tc>
      </w:tr>
      <w:tr w:rsidR="009B02BA" w:rsidRPr="009B02BA" w14:paraId="54FA9E61" w14:textId="77777777" w:rsidTr="00B646E4">
        <w:tc>
          <w:tcPr>
            <w:tcW w:w="586" w:type="dxa"/>
            <w:vAlign w:val="center"/>
          </w:tcPr>
          <w:p w14:paraId="268C3D02" w14:textId="78353C6D" w:rsidR="00520FB9" w:rsidRPr="009B02BA" w:rsidRDefault="00520FB9" w:rsidP="00D55776">
            <w:pPr>
              <w:spacing w:before="0" w:after="0"/>
              <w:ind w:left="0"/>
              <w:jc w:val="center"/>
              <w:rPr>
                <w:rFonts w:cstheme="minorHAnsi"/>
                <w:szCs w:val="20"/>
              </w:rPr>
            </w:pPr>
            <w:r w:rsidRPr="009B02BA">
              <w:rPr>
                <w:rFonts w:cstheme="minorHAnsi"/>
                <w:szCs w:val="20"/>
              </w:rPr>
              <w:lastRenderedPageBreak/>
              <w:t>I</w:t>
            </w:r>
          </w:p>
        </w:tc>
        <w:tc>
          <w:tcPr>
            <w:tcW w:w="1709" w:type="dxa"/>
            <w:vAlign w:val="center"/>
          </w:tcPr>
          <w:p w14:paraId="6D0D44B3" w14:textId="6216F294" w:rsidR="00520FB9" w:rsidRPr="009B02BA" w:rsidRDefault="00520FB9" w:rsidP="00D55776">
            <w:pPr>
              <w:spacing w:before="0" w:after="0"/>
              <w:ind w:left="0"/>
              <w:jc w:val="center"/>
              <w:rPr>
                <w:rFonts w:cstheme="minorHAnsi"/>
                <w:szCs w:val="20"/>
              </w:rPr>
            </w:pPr>
            <w:r w:rsidRPr="009B02BA">
              <w:rPr>
                <w:rFonts w:cstheme="minorHAnsi"/>
                <w:color w:val="000000"/>
                <w:szCs w:val="20"/>
              </w:rPr>
              <w:t>Proportion of MCI patients likely to develop dementia</w:t>
            </w:r>
          </w:p>
        </w:tc>
        <w:tc>
          <w:tcPr>
            <w:tcW w:w="1102" w:type="dxa"/>
            <w:vAlign w:val="center"/>
          </w:tcPr>
          <w:p w14:paraId="3111721A" w14:textId="08914CB1" w:rsidR="00520FB9" w:rsidRPr="009B02BA" w:rsidRDefault="00520FB9" w:rsidP="00D55776">
            <w:pPr>
              <w:spacing w:before="0" w:after="0"/>
              <w:ind w:left="0"/>
              <w:jc w:val="center"/>
              <w:rPr>
                <w:rFonts w:cstheme="minorHAnsi"/>
                <w:szCs w:val="20"/>
              </w:rPr>
            </w:pPr>
            <w:r w:rsidRPr="009B02BA">
              <w:rPr>
                <w:rFonts w:cstheme="minorHAnsi"/>
                <w:color w:val="000000"/>
                <w:szCs w:val="20"/>
              </w:rPr>
              <w:t>5%</w:t>
            </w:r>
          </w:p>
        </w:tc>
        <w:tc>
          <w:tcPr>
            <w:tcW w:w="1380" w:type="dxa"/>
            <w:vAlign w:val="center"/>
          </w:tcPr>
          <w:p w14:paraId="055318A7" w14:textId="26500E3B" w:rsidR="00520FB9" w:rsidRPr="009B02BA" w:rsidRDefault="00520FB9" w:rsidP="00D55776">
            <w:pPr>
              <w:spacing w:before="0" w:after="0"/>
              <w:ind w:left="0"/>
              <w:jc w:val="center"/>
              <w:rPr>
                <w:rFonts w:cstheme="minorHAnsi"/>
                <w:szCs w:val="20"/>
              </w:rPr>
            </w:pPr>
            <w:r w:rsidRPr="009B02BA">
              <w:rPr>
                <w:rFonts w:cstheme="minorHAnsi"/>
                <w:color w:val="000000"/>
                <w:szCs w:val="20"/>
              </w:rPr>
              <w:t>18,550.35</w:t>
            </w:r>
          </w:p>
        </w:tc>
        <w:tc>
          <w:tcPr>
            <w:tcW w:w="1392" w:type="dxa"/>
            <w:vAlign w:val="center"/>
          </w:tcPr>
          <w:p w14:paraId="5FE583E6" w14:textId="490595E8" w:rsidR="00520FB9" w:rsidRPr="009B02BA" w:rsidRDefault="00520FB9" w:rsidP="00D55776">
            <w:pPr>
              <w:spacing w:before="0" w:after="0"/>
              <w:ind w:left="0"/>
              <w:jc w:val="center"/>
              <w:rPr>
                <w:rFonts w:cstheme="minorHAnsi"/>
                <w:szCs w:val="20"/>
              </w:rPr>
            </w:pPr>
            <w:r w:rsidRPr="009B02BA">
              <w:rPr>
                <w:rFonts w:cstheme="minorHAnsi"/>
                <w:color w:val="000000"/>
                <w:szCs w:val="20"/>
              </w:rPr>
              <w:t>19,023.54</w:t>
            </w:r>
          </w:p>
        </w:tc>
        <w:tc>
          <w:tcPr>
            <w:tcW w:w="1415" w:type="dxa"/>
            <w:vAlign w:val="center"/>
          </w:tcPr>
          <w:p w14:paraId="03020878" w14:textId="2CB07460" w:rsidR="00520FB9" w:rsidRPr="009B02BA" w:rsidRDefault="00520FB9" w:rsidP="00D55776">
            <w:pPr>
              <w:spacing w:before="0" w:after="0"/>
              <w:ind w:left="0"/>
              <w:jc w:val="center"/>
              <w:rPr>
                <w:rFonts w:cstheme="minorHAnsi"/>
                <w:szCs w:val="20"/>
              </w:rPr>
            </w:pPr>
            <w:r w:rsidRPr="009B02BA">
              <w:rPr>
                <w:rFonts w:cstheme="minorHAnsi"/>
                <w:color w:val="000000"/>
                <w:szCs w:val="20"/>
              </w:rPr>
              <w:t>19,506.03</w:t>
            </w:r>
          </w:p>
        </w:tc>
        <w:tc>
          <w:tcPr>
            <w:tcW w:w="1204" w:type="dxa"/>
            <w:vAlign w:val="center"/>
          </w:tcPr>
          <w:p w14:paraId="000B8504" w14:textId="03E06BD4" w:rsidR="00520FB9" w:rsidRPr="009B02BA" w:rsidRDefault="00E41C1B" w:rsidP="00D55776">
            <w:pPr>
              <w:spacing w:before="0" w:after="0"/>
              <w:ind w:left="0"/>
              <w:jc w:val="center"/>
              <w:rPr>
                <w:rFonts w:cstheme="minorHAnsi"/>
                <w:szCs w:val="20"/>
              </w:rPr>
            </w:pPr>
            <w:r w:rsidRPr="009B02BA">
              <w:rPr>
                <w:rFonts w:cstheme="minorHAnsi"/>
                <w:szCs w:val="20"/>
              </w:rPr>
              <w:t>5%*H</w:t>
            </w:r>
          </w:p>
        </w:tc>
      </w:tr>
      <w:tr w:rsidR="009B02BA" w:rsidRPr="009B02BA" w14:paraId="1438C7E4" w14:textId="77777777" w:rsidTr="00B646E4">
        <w:tc>
          <w:tcPr>
            <w:tcW w:w="586" w:type="dxa"/>
            <w:vAlign w:val="center"/>
          </w:tcPr>
          <w:p w14:paraId="52CEB74B" w14:textId="2D5C2ACB" w:rsidR="00520FB9" w:rsidRPr="009B02BA" w:rsidRDefault="00520FB9" w:rsidP="00D55776">
            <w:pPr>
              <w:spacing w:before="0" w:after="0"/>
              <w:ind w:left="0"/>
              <w:jc w:val="center"/>
              <w:rPr>
                <w:rFonts w:cstheme="minorHAnsi"/>
                <w:szCs w:val="20"/>
              </w:rPr>
            </w:pPr>
            <w:r w:rsidRPr="009B02BA">
              <w:rPr>
                <w:rFonts w:cstheme="minorHAnsi"/>
                <w:szCs w:val="20"/>
              </w:rPr>
              <w:t>J</w:t>
            </w:r>
          </w:p>
        </w:tc>
        <w:tc>
          <w:tcPr>
            <w:tcW w:w="1709" w:type="dxa"/>
            <w:vAlign w:val="center"/>
          </w:tcPr>
          <w:p w14:paraId="5F5A9F6C" w14:textId="5E5C0F91" w:rsidR="00520FB9" w:rsidRPr="009B02BA" w:rsidRDefault="00520FB9" w:rsidP="00D55776">
            <w:pPr>
              <w:spacing w:before="0" w:after="0"/>
              <w:ind w:left="0"/>
              <w:jc w:val="center"/>
              <w:rPr>
                <w:rFonts w:cstheme="minorHAnsi"/>
                <w:szCs w:val="20"/>
              </w:rPr>
            </w:pPr>
            <w:r w:rsidRPr="009B02BA">
              <w:rPr>
                <w:rFonts w:cstheme="minorHAnsi"/>
                <w:color w:val="000000"/>
                <w:szCs w:val="20"/>
              </w:rPr>
              <w:t>Proportion of MCI patients with suspected AD</w:t>
            </w:r>
          </w:p>
        </w:tc>
        <w:tc>
          <w:tcPr>
            <w:tcW w:w="1102" w:type="dxa"/>
            <w:vAlign w:val="center"/>
          </w:tcPr>
          <w:p w14:paraId="32A2D0A5" w14:textId="0CCE0858" w:rsidR="00520FB9" w:rsidRPr="009B02BA" w:rsidRDefault="00520FB9" w:rsidP="00D55776">
            <w:pPr>
              <w:spacing w:before="0" w:after="0"/>
              <w:ind w:left="0"/>
              <w:jc w:val="center"/>
              <w:rPr>
                <w:rFonts w:cstheme="minorHAnsi"/>
                <w:szCs w:val="20"/>
              </w:rPr>
            </w:pPr>
            <w:r w:rsidRPr="009B02BA">
              <w:rPr>
                <w:rFonts w:cstheme="minorHAnsi"/>
                <w:color w:val="000000"/>
                <w:szCs w:val="20"/>
              </w:rPr>
              <w:t>75%</w:t>
            </w:r>
          </w:p>
        </w:tc>
        <w:tc>
          <w:tcPr>
            <w:tcW w:w="1380" w:type="dxa"/>
            <w:vAlign w:val="center"/>
          </w:tcPr>
          <w:p w14:paraId="2B2B1EB0" w14:textId="638687CB" w:rsidR="00520FB9" w:rsidRPr="009B02BA" w:rsidRDefault="00520FB9" w:rsidP="00D55776">
            <w:pPr>
              <w:spacing w:before="0" w:after="0"/>
              <w:ind w:left="0"/>
              <w:jc w:val="center"/>
              <w:rPr>
                <w:rFonts w:cstheme="minorHAnsi"/>
                <w:szCs w:val="20"/>
              </w:rPr>
            </w:pPr>
            <w:r w:rsidRPr="009B02BA">
              <w:rPr>
                <w:rFonts w:cstheme="minorHAnsi"/>
                <w:color w:val="000000"/>
                <w:szCs w:val="20"/>
              </w:rPr>
              <w:t>13,912.76</w:t>
            </w:r>
          </w:p>
        </w:tc>
        <w:tc>
          <w:tcPr>
            <w:tcW w:w="1392" w:type="dxa"/>
            <w:vAlign w:val="center"/>
          </w:tcPr>
          <w:p w14:paraId="30450A20" w14:textId="18B735E3" w:rsidR="00520FB9" w:rsidRPr="009B02BA" w:rsidRDefault="00520FB9" w:rsidP="00D55776">
            <w:pPr>
              <w:spacing w:before="0" w:after="0"/>
              <w:ind w:left="0"/>
              <w:jc w:val="center"/>
              <w:rPr>
                <w:rFonts w:cstheme="minorHAnsi"/>
                <w:szCs w:val="20"/>
              </w:rPr>
            </w:pPr>
            <w:r w:rsidRPr="009B02BA">
              <w:rPr>
                <w:rFonts w:cstheme="minorHAnsi"/>
                <w:color w:val="000000"/>
                <w:szCs w:val="20"/>
              </w:rPr>
              <w:t>14,267.65</w:t>
            </w:r>
          </w:p>
        </w:tc>
        <w:tc>
          <w:tcPr>
            <w:tcW w:w="1415" w:type="dxa"/>
            <w:vAlign w:val="center"/>
          </w:tcPr>
          <w:p w14:paraId="63A22C57" w14:textId="2066BA8D" w:rsidR="00520FB9" w:rsidRPr="009B02BA" w:rsidRDefault="00520FB9" w:rsidP="00D55776">
            <w:pPr>
              <w:spacing w:before="0" w:after="0"/>
              <w:ind w:left="0"/>
              <w:jc w:val="center"/>
              <w:rPr>
                <w:rFonts w:cstheme="minorHAnsi"/>
                <w:szCs w:val="20"/>
              </w:rPr>
            </w:pPr>
            <w:r w:rsidRPr="009B02BA">
              <w:rPr>
                <w:rFonts w:cstheme="minorHAnsi"/>
                <w:color w:val="000000"/>
                <w:szCs w:val="20"/>
              </w:rPr>
              <w:t>14,629.52</w:t>
            </w:r>
          </w:p>
        </w:tc>
        <w:tc>
          <w:tcPr>
            <w:tcW w:w="1204" w:type="dxa"/>
            <w:vAlign w:val="center"/>
          </w:tcPr>
          <w:p w14:paraId="5F8BE0B7" w14:textId="414DBB97" w:rsidR="00520FB9" w:rsidRPr="009B02BA" w:rsidRDefault="00E41C1B" w:rsidP="00D55776">
            <w:pPr>
              <w:spacing w:before="0" w:after="0"/>
              <w:ind w:left="0"/>
              <w:jc w:val="center"/>
              <w:rPr>
                <w:rFonts w:cstheme="minorHAnsi"/>
                <w:szCs w:val="20"/>
              </w:rPr>
            </w:pPr>
            <w:r w:rsidRPr="009B02BA">
              <w:rPr>
                <w:rFonts w:cstheme="minorHAnsi"/>
                <w:szCs w:val="20"/>
              </w:rPr>
              <w:t>75%*I</w:t>
            </w:r>
          </w:p>
        </w:tc>
      </w:tr>
      <w:tr w:rsidR="00E41C1B" w:rsidRPr="009B02BA" w14:paraId="5514B36C" w14:textId="77777777" w:rsidTr="00B646E4">
        <w:tc>
          <w:tcPr>
            <w:tcW w:w="8788" w:type="dxa"/>
            <w:gridSpan w:val="7"/>
            <w:shd w:val="clear" w:color="auto" w:fill="BFBFBF" w:themeFill="background1" w:themeFillShade="BF"/>
            <w:vAlign w:val="center"/>
          </w:tcPr>
          <w:p w14:paraId="2457BDAF" w14:textId="1A4C4363" w:rsidR="00E41C1B" w:rsidRPr="009B02BA" w:rsidRDefault="006F74C9" w:rsidP="00D55776">
            <w:pPr>
              <w:spacing w:before="0" w:after="0"/>
              <w:ind w:left="0"/>
              <w:jc w:val="center"/>
              <w:rPr>
                <w:rFonts w:cstheme="minorHAnsi"/>
                <w:szCs w:val="20"/>
              </w:rPr>
            </w:pPr>
            <w:r w:rsidRPr="009B02BA">
              <w:rPr>
                <w:rFonts w:cstheme="minorHAnsi"/>
                <w:szCs w:val="20"/>
              </w:rPr>
              <w:t xml:space="preserve">Epidemiology of MCI (with suspected AD) </w:t>
            </w:r>
            <w:r w:rsidRPr="009B02BA">
              <w:rPr>
                <w:rFonts w:cstheme="minorHAnsi"/>
                <w:b/>
                <w:bCs/>
                <w:i/>
                <w:iCs/>
                <w:szCs w:val="20"/>
              </w:rPr>
              <w:t>Method 2</w:t>
            </w:r>
          </w:p>
        </w:tc>
      </w:tr>
      <w:tr w:rsidR="009B02BA" w:rsidRPr="009B02BA" w14:paraId="28AD6CB8" w14:textId="77777777" w:rsidTr="00B646E4">
        <w:tc>
          <w:tcPr>
            <w:tcW w:w="586" w:type="dxa"/>
            <w:vAlign w:val="center"/>
          </w:tcPr>
          <w:p w14:paraId="5A5CFB59" w14:textId="59C59F83" w:rsidR="00DA7BA7" w:rsidRPr="009B02BA" w:rsidRDefault="00DA7BA7" w:rsidP="00D55776">
            <w:pPr>
              <w:spacing w:before="0" w:after="0"/>
              <w:ind w:left="0"/>
              <w:jc w:val="center"/>
              <w:rPr>
                <w:rFonts w:cstheme="minorHAnsi"/>
                <w:szCs w:val="20"/>
              </w:rPr>
            </w:pPr>
            <w:r w:rsidRPr="009B02BA">
              <w:rPr>
                <w:rFonts w:cstheme="minorHAnsi"/>
                <w:szCs w:val="20"/>
              </w:rPr>
              <w:t>K</w:t>
            </w:r>
          </w:p>
        </w:tc>
        <w:tc>
          <w:tcPr>
            <w:tcW w:w="1709" w:type="dxa"/>
            <w:vAlign w:val="center"/>
          </w:tcPr>
          <w:p w14:paraId="3C236B63" w14:textId="30B2E345" w:rsidR="00DA7BA7" w:rsidRPr="009B02BA" w:rsidRDefault="00DA7BA7" w:rsidP="00D55776">
            <w:pPr>
              <w:spacing w:before="0" w:after="0"/>
              <w:ind w:left="0"/>
              <w:jc w:val="center"/>
              <w:rPr>
                <w:rFonts w:cstheme="minorHAnsi"/>
                <w:szCs w:val="20"/>
              </w:rPr>
            </w:pPr>
            <w:r w:rsidRPr="009B02BA">
              <w:rPr>
                <w:rFonts w:cstheme="minorHAnsi"/>
                <w:color w:val="000000"/>
                <w:szCs w:val="20"/>
              </w:rPr>
              <w:t>Australian population over the age of 65 without dementia</w:t>
            </w:r>
          </w:p>
        </w:tc>
        <w:tc>
          <w:tcPr>
            <w:tcW w:w="1102" w:type="dxa"/>
            <w:vAlign w:val="center"/>
          </w:tcPr>
          <w:p w14:paraId="35DB7794" w14:textId="77777777" w:rsidR="00DA7BA7" w:rsidRPr="009B02BA" w:rsidRDefault="00DA7BA7" w:rsidP="00D55776">
            <w:pPr>
              <w:spacing w:before="0" w:after="0"/>
              <w:ind w:left="0"/>
              <w:jc w:val="center"/>
              <w:rPr>
                <w:rFonts w:cstheme="minorHAnsi"/>
                <w:szCs w:val="20"/>
              </w:rPr>
            </w:pPr>
          </w:p>
        </w:tc>
        <w:tc>
          <w:tcPr>
            <w:tcW w:w="1380" w:type="dxa"/>
            <w:vAlign w:val="center"/>
          </w:tcPr>
          <w:p w14:paraId="3F872E99" w14:textId="0C8A142F" w:rsidR="00DA7BA7" w:rsidRPr="009B02BA" w:rsidRDefault="00DA7BA7" w:rsidP="00D55776">
            <w:pPr>
              <w:spacing w:before="0" w:after="0"/>
              <w:ind w:left="0"/>
              <w:jc w:val="center"/>
              <w:rPr>
                <w:rFonts w:cstheme="minorHAnsi"/>
                <w:szCs w:val="20"/>
              </w:rPr>
            </w:pPr>
            <w:r w:rsidRPr="009B02BA">
              <w:rPr>
                <w:rFonts w:cstheme="minorHAnsi"/>
                <w:color w:val="000000"/>
                <w:szCs w:val="20"/>
              </w:rPr>
              <w:t>3,883,150.79</w:t>
            </w:r>
          </w:p>
        </w:tc>
        <w:tc>
          <w:tcPr>
            <w:tcW w:w="1392" w:type="dxa"/>
            <w:vAlign w:val="center"/>
          </w:tcPr>
          <w:p w14:paraId="40138883" w14:textId="129904F4" w:rsidR="00DA7BA7" w:rsidRPr="009B02BA" w:rsidRDefault="00DA7BA7" w:rsidP="00D55776">
            <w:pPr>
              <w:spacing w:before="0" w:after="0"/>
              <w:ind w:left="0"/>
              <w:jc w:val="center"/>
              <w:rPr>
                <w:rFonts w:cstheme="minorHAnsi"/>
                <w:szCs w:val="20"/>
              </w:rPr>
            </w:pPr>
            <w:r w:rsidRPr="009B02BA">
              <w:rPr>
                <w:rFonts w:cstheme="minorHAnsi"/>
                <w:color w:val="000000"/>
                <w:szCs w:val="20"/>
              </w:rPr>
              <w:t>3,979,794.39</w:t>
            </w:r>
          </w:p>
        </w:tc>
        <w:tc>
          <w:tcPr>
            <w:tcW w:w="1415" w:type="dxa"/>
            <w:vAlign w:val="center"/>
          </w:tcPr>
          <w:p w14:paraId="4868D6C4" w14:textId="59F92AA3" w:rsidR="00DA7BA7" w:rsidRPr="009B02BA" w:rsidRDefault="00DA7BA7" w:rsidP="00D55776">
            <w:pPr>
              <w:spacing w:before="0" w:after="0"/>
              <w:ind w:left="0"/>
              <w:jc w:val="center"/>
              <w:rPr>
                <w:rFonts w:cstheme="minorHAnsi"/>
                <w:szCs w:val="20"/>
              </w:rPr>
            </w:pPr>
            <w:r w:rsidRPr="009B02BA">
              <w:rPr>
                <w:rFonts w:cstheme="minorHAnsi"/>
                <w:color w:val="000000"/>
                <w:szCs w:val="20"/>
              </w:rPr>
              <w:t>4,078,176.56</w:t>
            </w:r>
          </w:p>
        </w:tc>
        <w:tc>
          <w:tcPr>
            <w:tcW w:w="1204" w:type="dxa"/>
            <w:vAlign w:val="center"/>
          </w:tcPr>
          <w:p w14:paraId="7903FA7C" w14:textId="550BAC6C" w:rsidR="00DA7BA7" w:rsidRPr="009B02BA" w:rsidRDefault="00DA7BA7" w:rsidP="00D55776">
            <w:pPr>
              <w:spacing w:before="0" w:after="0"/>
              <w:ind w:left="0"/>
              <w:jc w:val="center"/>
              <w:rPr>
                <w:rFonts w:cstheme="minorHAnsi"/>
                <w:szCs w:val="20"/>
              </w:rPr>
            </w:pPr>
            <w:r w:rsidRPr="009B02BA">
              <w:rPr>
                <w:rFonts w:cstheme="minorHAnsi"/>
                <w:szCs w:val="20"/>
              </w:rPr>
              <w:t>B-E</w:t>
            </w:r>
          </w:p>
        </w:tc>
      </w:tr>
      <w:tr w:rsidR="009B02BA" w:rsidRPr="009B02BA" w14:paraId="69F9FAA8" w14:textId="77777777" w:rsidTr="00B646E4">
        <w:tc>
          <w:tcPr>
            <w:tcW w:w="586" w:type="dxa"/>
            <w:vAlign w:val="center"/>
          </w:tcPr>
          <w:p w14:paraId="2030AA7C" w14:textId="568C3FB6" w:rsidR="00DA7BA7" w:rsidRPr="009B02BA" w:rsidRDefault="00020591" w:rsidP="00D55776">
            <w:pPr>
              <w:spacing w:before="0" w:after="0"/>
              <w:ind w:left="0"/>
              <w:jc w:val="center"/>
              <w:rPr>
                <w:rFonts w:cstheme="minorHAnsi"/>
                <w:szCs w:val="20"/>
              </w:rPr>
            </w:pPr>
            <w:r w:rsidRPr="009B02BA">
              <w:rPr>
                <w:rFonts w:cstheme="minorHAnsi"/>
                <w:szCs w:val="20"/>
              </w:rPr>
              <w:t>L</w:t>
            </w:r>
          </w:p>
        </w:tc>
        <w:tc>
          <w:tcPr>
            <w:tcW w:w="1709" w:type="dxa"/>
            <w:vAlign w:val="center"/>
          </w:tcPr>
          <w:p w14:paraId="06091025" w14:textId="3EA4285F" w:rsidR="00DA7BA7" w:rsidRPr="009B02BA" w:rsidRDefault="00DA7BA7" w:rsidP="00D55776">
            <w:pPr>
              <w:spacing w:before="0" w:after="0"/>
              <w:ind w:left="0"/>
              <w:jc w:val="center"/>
              <w:rPr>
                <w:rFonts w:cstheme="minorHAnsi"/>
                <w:szCs w:val="20"/>
              </w:rPr>
            </w:pPr>
            <w:r w:rsidRPr="009B02BA">
              <w:rPr>
                <w:rFonts w:cstheme="minorHAnsi"/>
                <w:color w:val="000000"/>
                <w:szCs w:val="20"/>
              </w:rPr>
              <w:t>Proportion of population with MCI</w:t>
            </w:r>
          </w:p>
        </w:tc>
        <w:tc>
          <w:tcPr>
            <w:tcW w:w="1102" w:type="dxa"/>
            <w:vAlign w:val="center"/>
          </w:tcPr>
          <w:p w14:paraId="24BD1EA7" w14:textId="3AAD96C9" w:rsidR="00DA7BA7" w:rsidRPr="009B02BA" w:rsidRDefault="00DA7BA7" w:rsidP="00D55776">
            <w:pPr>
              <w:spacing w:before="0" w:after="0"/>
              <w:ind w:left="0"/>
              <w:jc w:val="center"/>
              <w:rPr>
                <w:rFonts w:cstheme="minorHAnsi"/>
                <w:szCs w:val="20"/>
              </w:rPr>
            </w:pPr>
            <w:r w:rsidRPr="009B02BA">
              <w:rPr>
                <w:rFonts w:cstheme="minorHAnsi"/>
                <w:color w:val="000000"/>
                <w:szCs w:val="20"/>
              </w:rPr>
              <w:t>2%</w:t>
            </w:r>
          </w:p>
        </w:tc>
        <w:tc>
          <w:tcPr>
            <w:tcW w:w="1380" w:type="dxa"/>
            <w:vAlign w:val="center"/>
          </w:tcPr>
          <w:p w14:paraId="064DC3E3" w14:textId="72D840F0" w:rsidR="00DA7BA7" w:rsidRPr="009B02BA" w:rsidRDefault="00DA7BA7" w:rsidP="00D55776">
            <w:pPr>
              <w:spacing w:before="0" w:after="0"/>
              <w:ind w:left="0"/>
              <w:jc w:val="center"/>
              <w:rPr>
                <w:rFonts w:cstheme="minorHAnsi"/>
                <w:szCs w:val="20"/>
              </w:rPr>
            </w:pPr>
            <w:r w:rsidRPr="009B02BA">
              <w:rPr>
                <w:rFonts w:cstheme="minorHAnsi"/>
                <w:color w:val="000000"/>
                <w:szCs w:val="20"/>
              </w:rPr>
              <w:t>77,663.02</w:t>
            </w:r>
          </w:p>
        </w:tc>
        <w:tc>
          <w:tcPr>
            <w:tcW w:w="1392" w:type="dxa"/>
            <w:vAlign w:val="center"/>
          </w:tcPr>
          <w:p w14:paraId="70609F6C" w14:textId="542F4259" w:rsidR="00DA7BA7" w:rsidRPr="009B02BA" w:rsidRDefault="00DA7BA7" w:rsidP="00D55776">
            <w:pPr>
              <w:spacing w:before="0" w:after="0"/>
              <w:ind w:left="0"/>
              <w:jc w:val="center"/>
              <w:rPr>
                <w:rFonts w:cstheme="minorHAnsi"/>
                <w:szCs w:val="20"/>
              </w:rPr>
            </w:pPr>
            <w:r w:rsidRPr="009B02BA">
              <w:rPr>
                <w:rFonts w:cstheme="minorHAnsi"/>
                <w:color w:val="000000"/>
                <w:szCs w:val="20"/>
              </w:rPr>
              <w:t>79,595.89</w:t>
            </w:r>
          </w:p>
        </w:tc>
        <w:tc>
          <w:tcPr>
            <w:tcW w:w="1415" w:type="dxa"/>
            <w:vAlign w:val="center"/>
          </w:tcPr>
          <w:p w14:paraId="45D0E8C5" w14:textId="14EA04DD" w:rsidR="00DA7BA7" w:rsidRPr="009B02BA" w:rsidRDefault="00DA7BA7" w:rsidP="00D55776">
            <w:pPr>
              <w:spacing w:before="0" w:after="0"/>
              <w:ind w:left="0"/>
              <w:jc w:val="center"/>
              <w:rPr>
                <w:rFonts w:cstheme="minorHAnsi"/>
                <w:szCs w:val="20"/>
              </w:rPr>
            </w:pPr>
            <w:r w:rsidRPr="009B02BA">
              <w:rPr>
                <w:rFonts w:cstheme="minorHAnsi"/>
                <w:color w:val="000000"/>
                <w:szCs w:val="20"/>
              </w:rPr>
              <w:t>81,563.53</w:t>
            </w:r>
          </w:p>
        </w:tc>
        <w:tc>
          <w:tcPr>
            <w:tcW w:w="1204" w:type="dxa"/>
            <w:vAlign w:val="center"/>
          </w:tcPr>
          <w:p w14:paraId="7A7EB530" w14:textId="4BA00FD5" w:rsidR="00DA7BA7" w:rsidRPr="009B02BA" w:rsidRDefault="00020591" w:rsidP="00D55776">
            <w:pPr>
              <w:spacing w:before="0" w:after="0"/>
              <w:ind w:left="0"/>
              <w:jc w:val="center"/>
              <w:rPr>
                <w:rFonts w:cstheme="minorHAnsi"/>
                <w:szCs w:val="20"/>
              </w:rPr>
            </w:pPr>
            <w:r w:rsidRPr="009B02BA">
              <w:rPr>
                <w:rFonts w:cstheme="minorHAnsi"/>
                <w:szCs w:val="20"/>
              </w:rPr>
              <w:t>2%*K</w:t>
            </w:r>
          </w:p>
        </w:tc>
      </w:tr>
      <w:tr w:rsidR="009B02BA" w:rsidRPr="009B02BA" w14:paraId="27AA61D0" w14:textId="77777777" w:rsidTr="00B646E4">
        <w:tc>
          <w:tcPr>
            <w:tcW w:w="586" w:type="dxa"/>
            <w:vAlign w:val="center"/>
          </w:tcPr>
          <w:p w14:paraId="74EE23C7" w14:textId="5D750115" w:rsidR="00DA7BA7" w:rsidRPr="009B02BA" w:rsidRDefault="00020591" w:rsidP="00D55776">
            <w:pPr>
              <w:spacing w:before="0" w:after="0"/>
              <w:ind w:left="0"/>
              <w:jc w:val="center"/>
              <w:rPr>
                <w:rFonts w:cstheme="minorHAnsi"/>
                <w:szCs w:val="20"/>
              </w:rPr>
            </w:pPr>
            <w:r w:rsidRPr="009B02BA">
              <w:rPr>
                <w:rFonts w:cstheme="minorHAnsi"/>
                <w:szCs w:val="20"/>
              </w:rPr>
              <w:t>M</w:t>
            </w:r>
          </w:p>
        </w:tc>
        <w:tc>
          <w:tcPr>
            <w:tcW w:w="1709" w:type="dxa"/>
            <w:vAlign w:val="center"/>
          </w:tcPr>
          <w:p w14:paraId="6EDF7137" w14:textId="2D93D3FB" w:rsidR="00DA7BA7" w:rsidRPr="009B02BA" w:rsidRDefault="00DA7BA7" w:rsidP="00D55776">
            <w:pPr>
              <w:spacing w:before="0" w:after="0"/>
              <w:ind w:left="0"/>
              <w:jc w:val="center"/>
              <w:rPr>
                <w:rFonts w:cstheme="minorHAnsi"/>
                <w:szCs w:val="20"/>
              </w:rPr>
            </w:pPr>
            <w:r w:rsidRPr="009B02BA">
              <w:rPr>
                <w:rFonts w:cstheme="minorHAnsi"/>
                <w:color w:val="000000"/>
                <w:szCs w:val="20"/>
              </w:rPr>
              <w:t>Proportion of MCI patients with suspected AD</w:t>
            </w:r>
          </w:p>
        </w:tc>
        <w:tc>
          <w:tcPr>
            <w:tcW w:w="1102" w:type="dxa"/>
            <w:vAlign w:val="center"/>
          </w:tcPr>
          <w:p w14:paraId="0D0748CA" w14:textId="1B3820A6" w:rsidR="00DA7BA7" w:rsidRPr="009B02BA" w:rsidRDefault="00DA7BA7" w:rsidP="00D55776">
            <w:pPr>
              <w:spacing w:before="0" w:after="0"/>
              <w:ind w:left="0"/>
              <w:jc w:val="center"/>
              <w:rPr>
                <w:rFonts w:cstheme="minorHAnsi"/>
                <w:szCs w:val="20"/>
              </w:rPr>
            </w:pPr>
            <w:r w:rsidRPr="009B02BA">
              <w:rPr>
                <w:rFonts w:cstheme="minorHAnsi"/>
                <w:color w:val="000000"/>
                <w:szCs w:val="20"/>
              </w:rPr>
              <w:t>75%</w:t>
            </w:r>
          </w:p>
        </w:tc>
        <w:tc>
          <w:tcPr>
            <w:tcW w:w="1380" w:type="dxa"/>
            <w:vAlign w:val="center"/>
          </w:tcPr>
          <w:p w14:paraId="6B801FF5" w14:textId="73276B49" w:rsidR="00DA7BA7" w:rsidRPr="009B02BA" w:rsidRDefault="00DA7BA7" w:rsidP="00D55776">
            <w:pPr>
              <w:spacing w:before="0" w:after="0"/>
              <w:ind w:left="0"/>
              <w:jc w:val="center"/>
              <w:rPr>
                <w:rFonts w:cstheme="minorHAnsi"/>
                <w:szCs w:val="20"/>
              </w:rPr>
            </w:pPr>
            <w:r w:rsidRPr="009B02BA">
              <w:rPr>
                <w:rFonts w:cstheme="minorHAnsi"/>
                <w:color w:val="000000"/>
                <w:szCs w:val="20"/>
              </w:rPr>
              <w:t>58,247.26</w:t>
            </w:r>
          </w:p>
        </w:tc>
        <w:tc>
          <w:tcPr>
            <w:tcW w:w="1392" w:type="dxa"/>
            <w:vAlign w:val="center"/>
          </w:tcPr>
          <w:p w14:paraId="2D56EB26" w14:textId="59F6B7BF" w:rsidR="00DA7BA7" w:rsidRPr="009B02BA" w:rsidRDefault="00DA7BA7" w:rsidP="00D55776">
            <w:pPr>
              <w:spacing w:before="0" w:after="0"/>
              <w:ind w:left="0"/>
              <w:jc w:val="center"/>
              <w:rPr>
                <w:rFonts w:cstheme="minorHAnsi"/>
                <w:szCs w:val="20"/>
              </w:rPr>
            </w:pPr>
            <w:r w:rsidRPr="009B02BA">
              <w:rPr>
                <w:rFonts w:cstheme="minorHAnsi"/>
                <w:color w:val="000000"/>
                <w:szCs w:val="20"/>
              </w:rPr>
              <w:t>59,696.92</w:t>
            </w:r>
          </w:p>
        </w:tc>
        <w:tc>
          <w:tcPr>
            <w:tcW w:w="1415" w:type="dxa"/>
            <w:vAlign w:val="center"/>
          </w:tcPr>
          <w:p w14:paraId="7A87CF11" w14:textId="720145D6" w:rsidR="00DA7BA7" w:rsidRPr="009B02BA" w:rsidRDefault="00DA7BA7" w:rsidP="00D55776">
            <w:pPr>
              <w:spacing w:before="0" w:after="0"/>
              <w:ind w:left="0"/>
              <w:jc w:val="center"/>
              <w:rPr>
                <w:rFonts w:cstheme="minorHAnsi"/>
                <w:szCs w:val="20"/>
              </w:rPr>
            </w:pPr>
            <w:r w:rsidRPr="009B02BA">
              <w:rPr>
                <w:rFonts w:cstheme="minorHAnsi"/>
                <w:color w:val="000000"/>
                <w:szCs w:val="20"/>
              </w:rPr>
              <w:t>61,172.65</w:t>
            </w:r>
          </w:p>
        </w:tc>
        <w:tc>
          <w:tcPr>
            <w:tcW w:w="1204" w:type="dxa"/>
            <w:vAlign w:val="center"/>
          </w:tcPr>
          <w:p w14:paraId="471FBD34" w14:textId="76651528" w:rsidR="00DA7BA7" w:rsidRPr="009B02BA" w:rsidRDefault="00020591" w:rsidP="00D55776">
            <w:pPr>
              <w:spacing w:before="0" w:after="0"/>
              <w:ind w:left="0"/>
              <w:jc w:val="center"/>
              <w:rPr>
                <w:rFonts w:cstheme="minorHAnsi"/>
                <w:szCs w:val="20"/>
              </w:rPr>
            </w:pPr>
            <w:r w:rsidRPr="009B02BA">
              <w:rPr>
                <w:rFonts w:cstheme="minorHAnsi"/>
                <w:szCs w:val="20"/>
              </w:rPr>
              <w:t>75%*L</w:t>
            </w:r>
          </w:p>
        </w:tc>
      </w:tr>
      <w:tr w:rsidR="00020591" w:rsidRPr="009B02BA" w14:paraId="414B510D" w14:textId="77777777" w:rsidTr="00B646E4">
        <w:tc>
          <w:tcPr>
            <w:tcW w:w="8788" w:type="dxa"/>
            <w:gridSpan w:val="7"/>
            <w:shd w:val="clear" w:color="auto" w:fill="BFBFBF" w:themeFill="background1" w:themeFillShade="BF"/>
            <w:vAlign w:val="center"/>
          </w:tcPr>
          <w:p w14:paraId="7C14B406" w14:textId="150EA340" w:rsidR="00020591" w:rsidRPr="009B02BA" w:rsidRDefault="00020591" w:rsidP="00D55776">
            <w:pPr>
              <w:spacing w:before="0" w:after="0"/>
              <w:ind w:left="0"/>
              <w:jc w:val="center"/>
              <w:rPr>
                <w:rFonts w:cstheme="minorHAnsi"/>
                <w:szCs w:val="20"/>
              </w:rPr>
            </w:pPr>
            <w:r w:rsidRPr="009B02BA">
              <w:rPr>
                <w:rFonts w:cstheme="minorHAnsi"/>
                <w:szCs w:val="20"/>
              </w:rPr>
              <w:t>Uptake of Lecanemab</w:t>
            </w:r>
          </w:p>
        </w:tc>
      </w:tr>
      <w:tr w:rsidR="00C749E6" w:rsidRPr="009B02BA" w14:paraId="7C34FFEB" w14:textId="77777777" w:rsidTr="00E2297C">
        <w:tc>
          <w:tcPr>
            <w:tcW w:w="586" w:type="dxa"/>
            <w:vAlign w:val="center"/>
          </w:tcPr>
          <w:p w14:paraId="3E33D676" w14:textId="6D9979B5" w:rsidR="00C749E6" w:rsidRPr="009B02BA" w:rsidRDefault="00C749E6" w:rsidP="00D55776">
            <w:pPr>
              <w:spacing w:before="0" w:after="0"/>
              <w:ind w:left="0"/>
              <w:jc w:val="center"/>
              <w:rPr>
                <w:rFonts w:cstheme="minorHAnsi"/>
                <w:szCs w:val="20"/>
              </w:rPr>
            </w:pPr>
            <w:r w:rsidRPr="009B02BA">
              <w:rPr>
                <w:rFonts w:cstheme="minorHAnsi"/>
                <w:szCs w:val="20"/>
              </w:rPr>
              <w:t>N</w:t>
            </w:r>
          </w:p>
        </w:tc>
        <w:tc>
          <w:tcPr>
            <w:tcW w:w="1709" w:type="dxa"/>
            <w:vAlign w:val="center"/>
          </w:tcPr>
          <w:p w14:paraId="65B746B4" w14:textId="1DF74EDB" w:rsidR="00C749E6" w:rsidRPr="009B02BA" w:rsidRDefault="00C749E6" w:rsidP="00D55776">
            <w:pPr>
              <w:spacing w:before="0" w:after="0"/>
              <w:ind w:left="0"/>
              <w:jc w:val="center"/>
              <w:rPr>
                <w:rFonts w:cstheme="minorHAnsi"/>
                <w:szCs w:val="20"/>
              </w:rPr>
            </w:pPr>
            <w:r w:rsidRPr="009B02BA">
              <w:rPr>
                <w:rFonts w:cstheme="minorHAnsi"/>
                <w:szCs w:val="20"/>
              </w:rPr>
              <w:t>Uptake rate of PBS listed AD treatments</w:t>
            </w:r>
          </w:p>
        </w:tc>
        <w:tc>
          <w:tcPr>
            <w:tcW w:w="6493" w:type="dxa"/>
            <w:gridSpan w:val="5"/>
            <w:shd w:val="clear" w:color="auto" w:fill="auto"/>
            <w:vAlign w:val="center"/>
          </w:tcPr>
          <w:p w14:paraId="23FB5693" w14:textId="75DBF372" w:rsidR="00C749E6" w:rsidRPr="00E2297C" w:rsidRDefault="00E2297C" w:rsidP="00D55776">
            <w:pPr>
              <w:spacing w:before="0" w:after="0"/>
              <w:ind w:left="0"/>
              <w:jc w:val="center"/>
              <w:rPr>
                <w:rFonts w:cstheme="minorHAnsi"/>
                <w:b/>
                <w:bCs/>
                <w:szCs w:val="20"/>
                <w:highlight w:val="yellow"/>
              </w:rPr>
            </w:pPr>
            <w:r w:rsidRPr="00E2297C">
              <w:rPr>
                <w:rFonts w:cstheme="minorHAnsi"/>
                <w:b/>
                <w:bCs/>
                <w:szCs w:val="20"/>
              </w:rPr>
              <w:t>REDACTED</w:t>
            </w:r>
          </w:p>
        </w:tc>
      </w:tr>
      <w:tr w:rsidR="009B02BA" w:rsidRPr="009B02BA" w14:paraId="74AE82EC" w14:textId="77777777" w:rsidTr="00B646E4">
        <w:tc>
          <w:tcPr>
            <w:tcW w:w="586" w:type="dxa"/>
            <w:vAlign w:val="center"/>
          </w:tcPr>
          <w:p w14:paraId="184AD542" w14:textId="33DEFC15" w:rsidR="00C749E6" w:rsidRPr="009B02BA" w:rsidRDefault="00C749E6" w:rsidP="00D55776">
            <w:pPr>
              <w:spacing w:before="0" w:after="0"/>
              <w:ind w:left="0"/>
              <w:jc w:val="center"/>
              <w:rPr>
                <w:rFonts w:cstheme="minorHAnsi"/>
                <w:szCs w:val="20"/>
              </w:rPr>
            </w:pPr>
            <w:r w:rsidRPr="009B02BA">
              <w:rPr>
                <w:rFonts w:cstheme="minorHAnsi"/>
                <w:szCs w:val="20"/>
              </w:rPr>
              <w:t>O</w:t>
            </w:r>
          </w:p>
        </w:tc>
        <w:tc>
          <w:tcPr>
            <w:tcW w:w="1709" w:type="dxa"/>
            <w:vAlign w:val="center"/>
          </w:tcPr>
          <w:p w14:paraId="09E3F443" w14:textId="7677392A" w:rsidR="00C749E6" w:rsidRPr="009B02BA" w:rsidRDefault="00C749E6" w:rsidP="00D55776">
            <w:pPr>
              <w:spacing w:before="0" w:after="0"/>
              <w:ind w:left="0"/>
              <w:jc w:val="center"/>
              <w:rPr>
                <w:rFonts w:cstheme="minorHAnsi"/>
                <w:szCs w:val="20"/>
              </w:rPr>
            </w:pPr>
            <w:r w:rsidRPr="009B02BA">
              <w:rPr>
                <w:rFonts w:cstheme="minorHAnsi"/>
                <w:color w:val="000000"/>
                <w:szCs w:val="20"/>
              </w:rPr>
              <w:t>Mild AD population likely to take AD treatments</w:t>
            </w:r>
          </w:p>
        </w:tc>
        <w:tc>
          <w:tcPr>
            <w:tcW w:w="1102" w:type="dxa"/>
            <w:vAlign w:val="center"/>
          </w:tcPr>
          <w:p w14:paraId="091E530F" w14:textId="77777777" w:rsidR="00C749E6" w:rsidRPr="009B02BA" w:rsidRDefault="00C749E6" w:rsidP="00D55776">
            <w:pPr>
              <w:spacing w:before="0" w:after="0"/>
              <w:ind w:left="0"/>
              <w:jc w:val="center"/>
              <w:rPr>
                <w:rFonts w:cstheme="minorHAnsi"/>
                <w:szCs w:val="20"/>
              </w:rPr>
            </w:pPr>
          </w:p>
        </w:tc>
        <w:tc>
          <w:tcPr>
            <w:tcW w:w="1380" w:type="dxa"/>
            <w:vAlign w:val="center"/>
          </w:tcPr>
          <w:p w14:paraId="6B651A13" w14:textId="6E1AEB4C" w:rsidR="00C749E6"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392" w:type="dxa"/>
            <w:vAlign w:val="center"/>
          </w:tcPr>
          <w:p w14:paraId="20A62A83" w14:textId="57F3FFDF" w:rsidR="00C749E6"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415" w:type="dxa"/>
            <w:vAlign w:val="center"/>
          </w:tcPr>
          <w:p w14:paraId="21B9B4BD" w14:textId="767DC594" w:rsidR="00C749E6"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204" w:type="dxa"/>
            <w:vAlign w:val="center"/>
          </w:tcPr>
          <w:p w14:paraId="6C5785A2" w14:textId="2FC93295" w:rsidR="00C749E6"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r>
      <w:tr w:rsidR="009B02BA" w:rsidRPr="009B02BA" w14:paraId="6F9AE03B" w14:textId="77777777" w:rsidTr="00B646E4">
        <w:tc>
          <w:tcPr>
            <w:tcW w:w="586" w:type="dxa"/>
            <w:vAlign w:val="center"/>
          </w:tcPr>
          <w:p w14:paraId="1ED17F52" w14:textId="0C7977B1" w:rsidR="005B57DF" w:rsidRPr="009B02BA" w:rsidRDefault="005B57DF" w:rsidP="00D55776">
            <w:pPr>
              <w:spacing w:before="0" w:after="0"/>
              <w:ind w:left="0"/>
              <w:jc w:val="center"/>
              <w:rPr>
                <w:rFonts w:cstheme="minorHAnsi"/>
                <w:szCs w:val="20"/>
              </w:rPr>
            </w:pPr>
            <w:r w:rsidRPr="009B02BA">
              <w:rPr>
                <w:rFonts w:cstheme="minorHAnsi"/>
                <w:szCs w:val="20"/>
              </w:rPr>
              <w:t>P</w:t>
            </w:r>
          </w:p>
        </w:tc>
        <w:tc>
          <w:tcPr>
            <w:tcW w:w="1709" w:type="dxa"/>
            <w:vAlign w:val="center"/>
          </w:tcPr>
          <w:p w14:paraId="660E382A" w14:textId="37A1E7AC" w:rsidR="005B57DF" w:rsidRPr="009B02BA" w:rsidRDefault="005B57DF" w:rsidP="00D55776">
            <w:pPr>
              <w:spacing w:before="0" w:after="0"/>
              <w:ind w:left="0"/>
              <w:jc w:val="center"/>
              <w:rPr>
                <w:rFonts w:cstheme="minorHAnsi"/>
                <w:szCs w:val="20"/>
              </w:rPr>
            </w:pPr>
            <w:r w:rsidRPr="009B02BA">
              <w:rPr>
                <w:rFonts w:cstheme="minorHAnsi"/>
                <w:color w:val="000000"/>
                <w:szCs w:val="20"/>
              </w:rPr>
              <w:t>MCI population likely to take AD treatments (method 1)</w:t>
            </w:r>
          </w:p>
        </w:tc>
        <w:tc>
          <w:tcPr>
            <w:tcW w:w="1102" w:type="dxa"/>
            <w:vAlign w:val="center"/>
          </w:tcPr>
          <w:p w14:paraId="4A8D991F" w14:textId="594180E8" w:rsidR="005B57DF" w:rsidRPr="009B02BA" w:rsidRDefault="005B57DF" w:rsidP="00D55776">
            <w:pPr>
              <w:spacing w:before="0" w:after="0"/>
              <w:ind w:left="0"/>
              <w:jc w:val="center"/>
              <w:rPr>
                <w:rFonts w:cstheme="minorHAnsi"/>
                <w:szCs w:val="20"/>
              </w:rPr>
            </w:pPr>
          </w:p>
        </w:tc>
        <w:tc>
          <w:tcPr>
            <w:tcW w:w="1380" w:type="dxa"/>
            <w:vAlign w:val="center"/>
          </w:tcPr>
          <w:p w14:paraId="35380963" w14:textId="2064D9C8"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392" w:type="dxa"/>
            <w:vAlign w:val="center"/>
          </w:tcPr>
          <w:p w14:paraId="41CCED9C" w14:textId="1BCF77E8"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415" w:type="dxa"/>
            <w:vAlign w:val="center"/>
          </w:tcPr>
          <w:p w14:paraId="6DC460EC" w14:textId="39FDC1DC"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204" w:type="dxa"/>
            <w:vAlign w:val="center"/>
          </w:tcPr>
          <w:p w14:paraId="21C7231D" w14:textId="37C4B835"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r>
      <w:tr w:rsidR="009B02BA" w:rsidRPr="009B02BA" w14:paraId="797DE655" w14:textId="77777777" w:rsidTr="00B646E4">
        <w:tc>
          <w:tcPr>
            <w:tcW w:w="586" w:type="dxa"/>
            <w:vAlign w:val="center"/>
          </w:tcPr>
          <w:p w14:paraId="23992954" w14:textId="5B171459" w:rsidR="005B57DF" w:rsidRPr="009B02BA" w:rsidRDefault="005B57DF" w:rsidP="00D55776">
            <w:pPr>
              <w:spacing w:before="0" w:after="0"/>
              <w:ind w:left="0"/>
              <w:jc w:val="center"/>
              <w:rPr>
                <w:rFonts w:cstheme="minorHAnsi"/>
                <w:szCs w:val="20"/>
              </w:rPr>
            </w:pPr>
            <w:r w:rsidRPr="009B02BA">
              <w:rPr>
                <w:rFonts w:cstheme="minorHAnsi"/>
                <w:szCs w:val="20"/>
              </w:rPr>
              <w:t>Q</w:t>
            </w:r>
          </w:p>
        </w:tc>
        <w:tc>
          <w:tcPr>
            <w:tcW w:w="1709" w:type="dxa"/>
            <w:vAlign w:val="center"/>
          </w:tcPr>
          <w:p w14:paraId="45D33297" w14:textId="26DC7D19" w:rsidR="005B57DF" w:rsidRPr="009B02BA" w:rsidRDefault="005B57DF" w:rsidP="00D55776">
            <w:pPr>
              <w:spacing w:before="0" w:after="0"/>
              <w:ind w:left="0"/>
              <w:jc w:val="center"/>
              <w:rPr>
                <w:rFonts w:cstheme="minorHAnsi"/>
                <w:szCs w:val="20"/>
              </w:rPr>
            </w:pPr>
            <w:r w:rsidRPr="009B02BA">
              <w:rPr>
                <w:rFonts w:cstheme="minorHAnsi"/>
                <w:color w:val="000000"/>
                <w:szCs w:val="20"/>
              </w:rPr>
              <w:t>MCI population likely to take AD treatments (method 2)</w:t>
            </w:r>
          </w:p>
        </w:tc>
        <w:tc>
          <w:tcPr>
            <w:tcW w:w="1102" w:type="dxa"/>
            <w:vAlign w:val="center"/>
          </w:tcPr>
          <w:p w14:paraId="524891BD" w14:textId="587E005E" w:rsidR="005B57DF" w:rsidRPr="009B02BA" w:rsidRDefault="005B57DF" w:rsidP="00D55776">
            <w:pPr>
              <w:spacing w:before="0" w:after="0"/>
              <w:ind w:left="0"/>
              <w:jc w:val="center"/>
              <w:rPr>
                <w:rFonts w:cstheme="minorHAnsi"/>
                <w:szCs w:val="20"/>
              </w:rPr>
            </w:pPr>
          </w:p>
        </w:tc>
        <w:tc>
          <w:tcPr>
            <w:tcW w:w="1380" w:type="dxa"/>
            <w:vAlign w:val="center"/>
          </w:tcPr>
          <w:p w14:paraId="450BD30E" w14:textId="60F5BA6F"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392" w:type="dxa"/>
            <w:vAlign w:val="center"/>
          </w:tcPr>
          <w:p w14:paraId="71ACA04B" w14:textId="7840AFEE"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415" w:type="dxa"/>
            <w:vAlign w:val="center"/>
          </w:tcPr>
          <w:p w14:paraId="068E3FC8" w14:textId="34E98CEC"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c>
          <w:tcPr>
            <w:tcW w:w="1204" w:type="dxa"/>
            <w:vAlign w:val="center"/>
          </w:tcPr>
          <w:p w14:paraId="1A3189BD" w14:textId="5DE5CC64" w:rsidR="005B57DF" w:rsidRPr="005C4B51" w:rsidRDefault="00E2297C" w:rsidP="00D55776">
            <w:pPr>
              <w:spacing w:before="0" w:after="0"/>
              <w:ind w:left="0"/>
              <w:jc w:val="center"/>
              <w:rPr>
                <w:rFonts w:cstheme="minorHAnsi"/>
                <w:szCs w:val="20"/>
                <w:highlight w:val="yellow"/>
              </w:rPr>
            </w:pPr>
            <w:r w:rsidRPr="00E2297C">
              <w:rPr>
                <w:rFonts w:cstheme="minorHAnsi"/>
                <w:b/>
                <w:bCs/>
                <w:szCs w:val="20"/>
              </w:rPr>
              <w:t>REDACTED</w:t>
            </w:r>
          </w:p>
        </w:tc>
      </w:tr>
      <w:tr w:rsidR="00054FA9" w:rsidRPr="009B02BA" w14:paraId="34EA4F23" w14:textId="77777777" w:rsidTr="00B646E4">
        <w:tc>
          <w:tcPr>
            <w:tcW w:w="586" w:type="dxa"/>
            <w:vAlign w:val="center"/>
          </w:tcPr>
          <w:p w14:paraId="15E0453F" w14:textId="3F43C7F9" w:rsidR="00054FA9" w:rsidRPr="009B02BA" w:rsidRDefault="00054FA9" w:rsidP="00D55776">
            <w:pPr>
              <w:spacing w:before="0" w:after="0"/>
              <w:ind w:left="0"/>
              <w:jc w:val="center"/>
              <w:rPr>
                <w:rFonts w:cstheme="minorHAnsi"/>
                <w:szCs w:val="20"/>
              </w:rPr>
            </w:pPr>
            <w:r w:rsidRPr="009B02BA">
              <w:rPr>
                <w:rFonts w:cstheme="minorHAnsi"/>
                <w:szCs w:val="20"/>
              </w:rPr>
              <w:t>R</w:t>
            </w:r>
          </w:p>
        </w:tc>
        <w:tc>
          <w:tcPr>
            <w:tcW w:w="1709" w:type="dxa"/>
            <w:vAlign w:val="center"/>
          </w:tcPr>
          <w:p w14:paraId="57CD2E05" w14:textId="60856F7A" w:rsidR="00054FA9" w:rsidRPr="009B02BA" w:rsidRDefault="00054FA9" w:rsidP="00D55776">
            <w:pPr>
              <w:spacing w:before="0" w:after="0"/>
              <w:ind w:left="0"/>
              <w:jc w:val="center"/>
              <w:rPr>
                <w:rFonts w:cstheme="minorHAnsi"/>
                <w:color w:val="000000"/>
                <w:szCs w:val="20"/>
              </w:rPr>
            </w:pPr>
            <w:r w:rsidRPr="009B02BA">
              <w:rPr>
                <w:rFonts w:cstheme="minorHAnsi"/>
                <w:color w:val="000000"/>
                <w:szCs w:val="20"/>
              </w:rPr>
              <w:t>Uptake of Lecanemab</w:t>
            </w:r>
          </w:p>
        </w:tc>
        <w:tc>
          <w:tcPr>
            <w:tcW w:w="6493" w:type="dxa"/>
            <w:gridSpan w:val="5"/>
            <w:vAlign w:val="center"/>
          </w:tcPr>
          <w:p w14:paraId="72DD754F" w14:textId="03DD0E37" w:rsidR="00054FA9" w:rsidRPr="009B02BA" w:rsidRDefault="00054FA9" w:rsidP="00D55776">
            <w:pPr>
              <w:spacing w:before="0" w:after="0"/>
              <w:ind w:left="0"/>
              <w:jc w:val="center"/>
              <w:rPr>
                <w:rFonts w:cstheme="minorHAnsi"/>
                <w:szCs w:val="20"/>
              </w:rPr>
            </w:pPr>
            <w:r w:rsidRPr="009B02BA">
              <w:rPr>
                <w:rFonts w:cstheme="minorHAnsi"/>
                <w:color w:val="000000"/>
                <w:szCs w:val="20"/>
              </w:rPr>
              <w:t>TBC</w:t>
            </w:r>
          </w:p>
        </w:tc>
      </w:tr>
    </w:tbl>
    <w:p w14:paraId="6B28E748" w14:textId="43D4006E" w:rsidR="003433D1" w:rsidRDefault="007926D0" w:rsidP="00D55776">
      <w:r>
        <w:t xml:space="preserve"> </w:t>
      </w:r>
    </w:p>
    <w:p w14:paraId="2EF32091" w14:textId="77777777" w:rsidR="00B4456D" w:rsidRDefault="00B4456D">
      <w:pPr>
        <w:spacing w:before="0" w:after="200" w:line="276" w:lineRule="auto"/>
        <w:ind w:left="0"/>
        <w:rPr>
          <w:bCs/>
          <w:color w:val="4F81BD" w:themeColor="accent1"/>
          <w:sz w:val="40"/>
          <w:szCs w:val="32"/>
        </w:rPr>
      </w:pPr>
      <w:r>
        <w:br w:type="page"/>
      </w:r>
    </w:p>
    <w:p w14:paraId="1B3D9B83" w14:textId="6CBD22F6" w:rsidR="00951933" w:rsidRPr="00C776B1" w:rsidRDefault="001B5169" w:rsidP="00D55776">
      <w:pPr>
        <w:pStyle w:val="Heading1"/>
      </w:pPr>
      <w:r>
        <w:lastRenderedPageBreak/>
        <w:t>PART 8</w:t>
      </w:r>
      <w:r w:rsidR="00F93784">
        <w:t xml:space="preserve"> – </w:t>
      </w:r>
      <w:r w:rsidR="005A58BA">
        <w:t>COST</w:t>
      </w:r>
      <w:r w:rsidR="00951933" w:rsidRPr="00C776B1">
        <w:t xml:space="preserve"> INFORMATION</w:t>
      </w:r>
    </w:p>
    <w:p w14:paraId="2583A8DD" w14:textId="77777777" w:rsidR="006A649A" w:rsidRPr="00AE1188" w:rsidRDefault="006A649A" w:rsidP="00D55776">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2F0B843" w14:textId="6B81293D" w:rsidR="00051615" w:rsidRDefault="00E62B0C" w:rsidP="00D55776">
      <w:r>
        <w:t xml:space="preserve">The cost of Aβ PET is guided by MBS item 61559 (FDG PET study of the brain, performed for the evaluation of refractory epilepsy which is being evaluated for surgery). This </w:t>
      </w:r>
      <w:r w:rsidR="007D3D4E">
        <w:t>MBS fee was</w:t>
      </w:r>
      <w:r>
        <w:t xml:space="preserve"> proposed in MSAC Application 1195 “F-18 Fluorodeoxyglucose Positron Emission Tomography (FDG PET) for the diagnosis of Alzheimer Disease”. The current application proposes that the cost of the FDG radiotracer be supplemented for the cost of the Aβ PET radiotracer.</w:t>
      </w:r>
    </w:p>
    <w:p w14:paraId="524C87C7" w14:textId="6E8A2979" w:rsidR="00F861AF" w:rsidRDefault="00EE0E2F" w:rsidP="00D55776">
      <w:r>
        <w:t>The majority of the costs</w:t>
      </w:r>
      <w:r w:rsidR="00E62B0C">
        <w:t xml:space="preserve"> associated with the AD biomarker test includ</w:t>
      </w:r>
      <w:r>
        <w:t>e</w:t>
      </w:r>
      <w:r w:rsidR="00E62B0C">
        <w:t xml:space="preserve"> the Aβ PET ligand, PET scan and Aβ PET interpretation</w:t>
      </w:r>
      <w:r w:rsidR="00E62B0C" w:rsidRPr="002E299A">
        <w:t xml:space="preserve">. </w:t>
      </w:r>
    </w:p>
    <w:p w14:paraId="372CAD3E" w14:textId="7FBB0D67" w:rsidR="00D85408" w:rsidRDefault="00E62B0C" w:rsidP="00D55776">
      <w:r>
        <w:t>Costs associated with CSF biomarker testing include lumbar puncture, already reimbursed on the MBS (item numbers 21945, 39000, 23010), day private hospital admission for the performance of lumbar puncture (includes costs of occasional use of CT guided procedure) and the CSF test assay.</w:t>
      </w:r>
    </w:p>
    <w:p w14:paraId="46F1E992" w14:textId="3B396957" w:rsidR="00951933" w:rsidRDefault="00D85408" w:rsidP="00D55776">
      <w:r w:rsidRPr="00D85408">
        <w:t xml:space="preserve">Patients receiving lecanemab </w:t>
      </w:r>
      <w:r w:rsidR="00646E2D">
        <w:t xml:space="preserve">will </w:t>
      </w:r>
      <w:r w:rsidRPr="00D85408">
        <w:t xml:space="preserve">accrue monitoring costs which </w:t>
      </w:r>
      <w:r w:rsidR="00646E2D">
        <w:t>are</w:t>
      </w:r>
      <w:r w:rsidRPr="00D85408">
        <w:t xml:space="preserve"> assumed to be the cost of five magnetic resonance imaging scans in the first year</w:t>
      </w:r>
      <w:r w:rsidR="00646E2D">
        <w:t>. This is based on the</w:t>
      </w:r>
      <w:r w:rsidR="00E62B0C">
        <w:t xml:space="preserve"> </w:t>
      </w:r>
      <w:r w:rsidR="00F47C00">
        <w:t xml:space="preserve">sponsor’s assumption used in its </w:t>
      </w:r>
      <w:r w:rsidR="00642A91">
        <w:t>economic</w:t>
      </w:r>
      <w:r w:rsidR="00DF5F54">
        <w:t xml:space="preserve"> model</w:t>
      </w:r>
      <w:r w:rsidR="00642A91">
        <w:rPr>
          <w:rStyle w:val="EndnoteReference"/>
        </w:rPr>
        <w:endnoteReference w:id="56"/>
      </w:r>
      <w:r w:rsidR="00DF5F54">
        <w:t xml:space="preserve">. </w:t>
      </w:r>
      <w:r w:rsidR="00575DE7">
        <w:t xml:space="preserve">The cost of an MRI scan is </w:t>
      </w:r>
      <w:r w:rsidR="005B7102">
        <w:t xml:space="preserve">the same as the MBS fee </w:t>
      </w:r>
      <w:r w:rsidR="00624477">
        <w:t>for the item code</w:t>
      </w:r>
      <w:r w:rsidR="00716270">
        <w:t>s associated with MRI scans of the head (</w:t>
      </w:r>
      <w:r w:rsidR="006921EC">
        <w:t>e.g.</w:t>
      </w:r>
      <w:r w:rsidR="00BB3C91">
        <w:t xml:space="preserve"> MBS Item code 63551).</w:t>
      </w:r>
      <w:r w:rsidR="00624477">
        <w:t xml:space="preserve"> </w:t>
      </w:r>
      <w:r w:rsidR="00E62B0C">
        <w:t xml:space="preserve">Costs associated with biomarker testing and administration of </w:t>
      </w:r>
      <w:r w:rsidR="00E263AC">
        <w:t>lecanemab</w:t>
      </w:r>
      <w:r w:rsidR="00E62B0C">
        <w:t xml:space="preserve"> are summarised in </w:t>
      </w:r>
      <w:r w:rsidR="00794A5A">
        <w:fldChar w:fldCharType="begin"/>
      </w:r>
      <w:r w:rsidR="00794A5A">
        <w:instrText xml:space="preserve"> REF _Ref119055017 \h </w:instrText>
      </w:r>
      <w:r w:rsidR="006423B0">
        <w:instrText xml:space="preserve"> \* MERGEFORMAT </w:instrText>
      </w:r>
      <w:r w:rsidR="00794A5A">
        <w:fldChar w:fldCharType="separate"/>
      </w:r>
      <w:r w:rsidR="00BE644F">
        <w:t xml:space="preserve">Table </w:t>
      </w:r>
      <w:r w:rsidR="00BE644F">
        <w:rPr>
          <w:noProof/>
        </w:rPr>
        <w:t>6</w:t>
      </w:r>
      <w:r w:rsidR="00794A5A">
        <w:fldChar w:fldCharType="end"/>
      </w:r>
      <w:r w:rsidR="00794A5A">
        <w:t>.</w:t>
      </w:r>
    </w:p>
    <w:p w14:paraId="0FF583B1" w14:textId="6ED6C50D" w:rsidR="00A6257A" w:rsidRDefault="00A6257A" w:rsidP="00D55776">
      <w:pPr>
        <w:pStyle w:val="Caption"/>
        <w:keepNext/>
        <w:ind w:left="426"/>
      </w:pPr>
      <w:bookmarkStart w:id="28" w:name="_Ref119055017"/>
      <w:r>
        <w:t xml:space="preserve">Table </w:t>
      </w:r>
      <w:fldSimple w:instr=" SEQ Table \* ARABIC ">
        <w:r w:rsidR="00BE644F">
          <w:rPr>
            <w:noProof/>
          </w:rPr>
          <w:t>6</w:t>
        </w:r>
      </w:fldSimple>
      <w:bookmarkEnd w:id="28"/>
      <w:r>
        <w:t>: Costs associated with biomarker testing and lecanemab administration</w:t>
      </w:r>
    </w:p>
    <w:tbl>
      <w:tblPr>
        <w:tblStyle w:val="TableGrid"/>
        <w:tblW w:w="0" w:type="auto"/>
        <w:tblInd w:w="360" w:type="dxa"/>
        <w:tblLook w:val="04A0" w:firstRow="1" w:lastRow="0" w:firstColumn="1" w:lastColumn="0" w:noHBand="0" w:noVBand="1"/>
      </w:tblPr>
      <w:tblGrid>
        <w:gridCol w:w="2209"/>
        <w:gridCol w:w="1254"/>
        <w:gridCol w:w="1275"/>
        <w:gridCol w:w="3918"/>
      </w:tblGrid>
      <w:tr w:rsidR="009F3643" w:rsidRPr="006921EC" w14:paraId="24F8C799" w14:textId="77777777" w:rsidTr="009B02BA">
        <w:tc>
          <w:tcPr>
            <w:tcW w:w="2209" w:type="dxa"/>
            <w:shd w:val="clear" w:color="auto" w:fill="BFBFBF" w:themeFill="background1" w:themeFillShade="BF"/>
          </w:tcPr>
          <w:p w14:paraId="050BA843" w14:textId="6E2C552B" w:rsidR="009F3643" w:rsidRPr="006921EC" w:rsidRDefault="009F3643" w:rsidP="00D55776">
            <w:pPr>
              <w:spacing w:before="0" w:after="0"/>
              <w:ind w:left="0"/>
              <w:rPr>
                <w:rFonts w:cstheme="minorHAnsi"/>
                <w:szCs w:val="20"/>
              </w:rPr>
            </w:pPr>
            <w:r w:rsidRPr="006921EC">
              <w:rPr>
                <w:rFonts w:cstheme="minorHAnsi"/>
                <w:szCs w:val="20"/>
              </w:rPr>
              <w:t>Resource</w:t>
            </w:r>
          </w:p>
        </w:tc>
        <w:tc>
          <w:tcPr>
            <w:tcW w:w="1254" w:type="dxa"/>
            <w:shd w:val="clear" w:color="auto" w:fill="BFBFBF" w:themeFill="background1" w:themeFillShade="BF"/>
          </w:tcPr>
          <w:p w14:paraId="2B42CE49" w14:textId="47A96298" w:rsidR="009F3643" w:rsidRPr="006921EC" w:rsidRDefault="009F3643" w:rsidP="00D55776">
            <w:pPr>
              <w:spacing w:before="0" w:after="0"/>
              <w:ind w:left="0"/>
              <w:rPr>
                <w:rFonts w:cstheme="minorHAnsi"/>
                <w:szCs w:val="20"/>
              </w:rPr>
            </w:pPr>
            <w:r w:rsidRPr="006921EC">
              <w:rPr>
                <w:rFonts w:cstheme="minorHAnsi"/>
                <w:szCs w:val="20"/>
              </w:rPr>
              <w:t>Utilisation per patient</w:t>
            </w:r>
          </w:p>
        </w:tc>
        <w:tc>
          <w:tcPr>
            <w:tcW w:w="1275" w:type="dxa"/>
            <w:shd w:val="clear" w:color="auto" w:fill="BFBFBF" w:themeFill="background1" w:themeFillShade="BF"/>
          </w:tcPr>
          <w:p w14:paraId="3CF085FC" w14:textId="0018CB4A" w:rsidR="009F3643" w:rsidRPr="006921EC" w:rsidRDefault="009F3643" w:rsidP="00D55776">
            <w:pPr>
              <w:spacing w:before="0" w:after="0"/>
              <w:ind w:left="0"/>
              <w:rPr>
                <w:rFonts w:cstheme="minorHAnsi"/>
                <w:szCs w:val="20"/>
              </w:rPr>
            </w:pPr>
            <w:r w:rsidRPr="006921EC">
              <w:rPr>
                <w:rFonts w:cstheme="minorHAnsi"/>
                <w:szCs w:val="20"/>
              </w:rPr>
              <w:t>Unit cost</w:t>
            </w:r>
          </w:p>
        </w:tc>
        <w:tc>
          <w:tcPr>
            <w:tcW w:w="3918" w:type="dxa"/>
            <w:shd w:val="clear" w:color="auto" w:fill="BFBFBF" w:themeFill="background1" w:themeFillShade="BF"/>
          </w:tcPr>
          <w:p w14:paraId="7250E89D" w14:textId="62F847D5" w:rsidR="009F3643" w:rsidRPr="006921EC" w:rsidRDefault="009F3643" w:rsidP="00D55776">
            <w:pPr>
              <w:spacing w:before="0" w:after="0"/>
              <w:ind w:left="0"/>
              <w:rPr>
                <w:rFonts w:cstheme="minorHAnsi"/>
                <w:szCs w:val="20"/>
              </w:rPr>
            </w:pPr>
            <w:r w:rsidRPr="006921EC">
              <w:rPr>
                <w:rFonts w:cstheme="minorHAnsi"/>
                <w:szCs w:val="20"/>
              </w:rPr>
              <w:t>Reference</w:t>
            </w:r>
          </w:p>
        </w:tc>
      </w:tr>
      <w:tr w:rsidR="00AD1B85" w:rsidRPr="006921EC" w14:paraId="563FAB42" w14:textId="77777777">
        <w:tc>
          <w:tcPr>
            <w:tcW w:w="8656" w:type="dxa"/>
            <w:gridSpan w:val="4"/>
            <w:shd w:val="clear" w:color="auto" w:fill="BFBFBF" w:themeFill="background1" w:themeFillShade="BF"/>
          </w:tcPr>
          <w:p w14:paraId="082D8B24" w14:textId="372DA80A" w:rsidR="00AD1B85" w:rsidRPr="006921EC" w:rsidRDefault="00AD1B85" w:rsidP="00D55776">
            <w:pPr>
              <w:spacing w:before="0" w:after="0"/>
              <w:ind w:left="0"/>
              <w:rPr>
                <w:rFonts w:cstheme="minorHAnsi"/>
                <w:b/>
                <w:bCs/>
                <w:szCs w:val="20"/>
              </w:rPr>
            </w:pPr>
            <w:r w:rsidRPr="006921EC">
              <w:rPr>
                <w:rFonts w:cstheme="minorHAnsi"/>
                <w:b/>
                <w:bCs/>
                <w:szCs w:val="20"/>
              </w:rPr>
              <w:t>Biomarker tests</w:t>
            </w:r>
          </w:p>
        </w:tc>
      </w:tr>
      <w:tr w:rsidR="00AD1B85" w:rsidRPr="006921EC" w14:paraId="5B1A47DC" w14:textId="77777777">
        <w:tc>
          <w:tcPr>
            <w:tcW w:w="8656" w:type="dxa"/>
            <w:gridSpan w:val="4"/>
            <w:shd w:val="clear" w:color="auto" w:fill="BFBFBF" w:themeFill="background1" w:themeFillShade="BF"/>
          </w:tcPr>
          <w:p w14:paraId="78366DAC" w14:textId="3FEB751F" w:rsidR="00AD1B85" w:rsidRPr="006921EC" w:rsidRDefault="00AD1B85" w:rsidP="00D55776">
            <w:pPr>
              <w:spacing w:before="0" w:after="0"/>
              <w:ind w:left="0"/>
              <w:rPr>
                <w:rFonts w:cstheme="minorHAnsi"/>
                <w:i/>
                <w:iCs/>
                <w:szCs w:val="20"/>
              </w:rPr>
            </w:pPr>
            <w:r w:rsidRPr="006921EC">
              <w:rPr>
                <w:rFonts w:cstheme="minorHAnsi"/>
                <w:i/>
                <w:iCs/>
                <w:szCs w:val="20"/>
              </w:rPr>
              <w:t>Amyloid PET</w:t>
            </w:r>
          </w:p>
        </w:tc>
      </w:tr>
      <w:tr w:rsidR="009F3643" w:rsidRPr="006921EC" w14:paraId="64458610" w14:textId="77777777" w:rsidTr="00E2297C">
        <w:tc>
          <w:tcPr>
            <w:tcW w:w="2209" w:type="dxa"/>
            <w:vAlign w:val="center"/>
          </w:tcPr>
          <w:p w14:paraId="1A439DD0" w14:textId="503D2440" w:rsidR="009F3643" w:rsidRPr="006921EC" w:rsidRDefault="00A62F4E" w:rsidP="00D55776">
            <w:pPr>
              <w:spacing w:before="0" w:after="0"/>
              <w:ind w:left="0"/>
              <w:rPr>
                <w:rFonts w:cstheme="minorHAnsi"/>
                <w:szCs w:val="20"/>
              </w:rPr>
            </w:pPr>
            <w:r w:rsidRPr="006921EC">
              <w:rPr>
                <w:rFonts w:cstheme="minorHAnsi"/>
                <w:szCs w:val="20"/>
              </w:rPr>
              <w:t>Proposed MBS fee for</w:t>
            </w:r>
            <w:r w:rsidR="00E564A5" w:rsidRPr="006921EC">
              <w:rPr>
                <w:rFonts w:cstheme="minorHAnsi"/>
                <w:szCs w:val="20"/>
              </w:rPr>
              <w:t xml:space="preserve"> Aβ PET</w:t>
            </w:r>
            <w:r w:rsidRPr="006921EC">
              <w:rPr>
                <w:rFonts w:cstheme="minorHAnsi"/>
                <w:szCs w:val="20"/>
              </w:rPr>
              <w:t xml:space="preserve"> </w:t>
            </w:r>
          </w:p>
        </w:tc>
        <w:tc>
          <w:tcPr>
            <w:tcW w:w="1254" w:type="dxa"/>
            <w:vAlign w:val="center"/>
          </w:tcPr>
          <w:p w14:paraId="2F09F4B4" w14:textId="54A497D2" w:rsidR="009F3643" w:rsidRPr="006921EC" w:rsidRDefault="00E564A5" w:rsidP="00D55776">
            <w:pPr>
              <w:spacing w:before="0" w:after="0"/>
              <w:ind w:left="0"/>
              <w:rPr>
                <w:rFonts w:cstheme="minorHAnsi"/>
                <w:szCs w:val="20"/>
              </w:rPr>
            </w:pPr>
            <w:r w:rsidRPr="006921EC">
              <w:rPr>
                <w:rFonts w:cstheme="minorHAnsi"/>
                <w:szCs w:val="20"/>
              </w:rPr>
              <w:t>1</w:t>
            </w:r>
          </w:p>
        </w:tc>
        <w:tc>
          <w:tcPr>
            <w:tcW w:w="1275" w:type="dxa"/>
            <w:vAlign w:val="center"/>
          </w:tcPr>
          <w:p w14:paraId="2BFD6373" w14:textId="2BCDEFCB" w:rsidR="009F3643" w:rsidRPr="006921EC" w:rsidRDefault="003862C5" w:rsidP="00D55776">
            <w:pPr>
              <w:spacing w:before="0" w:after="0"/>
              <w:ind w:left="0"/>
              <w:rPr>
                <w:rFonts w:cstheme="minorHAnsi"/>
                <w:szCs w:val="20"/>
              </w:rPr>
            </w:pPr>
            <w:r w:rsidRPr="006921EC">
              <w:rPr>
                <w:rFonts w:cstheme="minorHAnsi"/>
                <w:szCs w:val="20"/>
              </w:rPr>
              <w:t>TBD</w:t>
            </w:r>
          </w:p>
        </w:tc>
        <w:tc>
          <w:tcPr>
            <w:tcW w:w="3918" w:type="dxa"/>
            <w:vAlign w:val="center"/>
          </w:tcPr>
          <w:p w14:paraId="32DD0640" w14:textId="6887F466" w:rsidR="009F3643" w:rsidRPr="006921EC" w:rsidRDefault="00A946CC" w:rsidP="00D55776">
            <w:pPr>
              <w:spacing w:before="0" w:after="0"/>
              <w:ind w:left="0"/>
              <w:rPr>
                <w:rFonts w:cstheme="minorHAnsi"/>
                <w:szCs w:val="20"/>
              </w:rPr>
            </w:pPr>
            <w:r w:rsidRPr="006921EC">
              <w:rPr>
                <w:rFonts w:cstheme="minorHAnsi"/>
                <w:szCs w:val="20"/>
              </w:rPr>
              <w:t>Temporary unit cost: Based on MBS item 61559 ($918.00) but supplementing the cost of the Aβ tracer.</w:t>
            </w:r>
          </w:p>
        </w:tc>
      </w:tr>
      <w:tr w:rsidR="003862C5" w:rsidRPr="006921EC" w14:paraId="316B1400" w14:textId="77777777" w:rsidTr="00E2297C">
        <w:tc>
          <w:tcPr>
            <w:tcW w:w="8656" w:type="dxa"/>
            <w:gridSpan w:val="4"/>
            <w:shd w:val="clear" w:color="auto" w:fill="BFBFBF" w:themeFill="background1" w:themeFillShade="BF"/>
            <w:vAlign w:val="center"/>
          </w:tcPr>
          <w:p w14:paraId="7810A3DC" w14:textId="60B0FF59" w:rsidR="003862C5" w:rsidRPr="006921EC" w:rsidRDefault="003862C5" w:rsidP="00D55776">
            <w:pPr>
              <w:spacing w:before="0" w:after="0"/>
              <w:ind w:left="0"/>
              <w:rPr>
                <w:rFonts w:cstheme="minorHAnsi"/>
                <w:i/>
                <w:iCs/>
                <w:szCs w:val="20"/>
              </w:rPr>
            </w:pPr>
            <w:r w:rsidRPr="006921EC">
              <w:rPr>
                <w:rFonts w:cstheme="minorHAnsi"/>
                <w:i/>
                <w:iCs/>
                <w:szCs w:val="20"/>
              </w:rPr>
              <w:t>CSF biomarker test</w:t>
            </w:r>
          </w:p>
        </w:tc>
      </w:tr>
      <w:tr w:rsidR="009F3643" w:rsidRPr="006921EC" w14:paraId="21F850DF" w14:textId="77777777" w:rsidTr="00E2297C">
        <w:trPr>
          <w:trHeight w:val="391"/>
        </w:trPr>
        <w:tc>
          <w:tcPr>
            <w:tcW w:w="2209" w:type="dxa"/>
            <w:vAlign w:val="center"/>
          </w:tcPr>
          <w:p w14:paraId="73EB1F2F" w14:textId="23E86784" w:rsidR="009F3643" w:rsidRPr="006921EC" w:rsidRDefault="00066891" w:rsidP="00D55776">
            <w:pPr>
              <w:spacing w:before="0" w:after="0"/>
              <w:ind w:left="0"/>
              <w:rPr>
                <w:rFonts w:cstheme="minorHAnsi"/>
                <w:szCs w:val="20"/>
              </w:rPr>
            </w:pPr>
            <w:r w:rsidRPr="006921EC">
              <w:rPr>
                <w:rFonts w:cstheme="minorHAnsi"/>
                <w:szCs w:val="20"/>
              </w:rPr>
              <w:t>Lumbar puncture</w:t>
            </w:r>
          </w:p>
        </w:tc>
        <w:tc>
          <w:tcPr>
            <w:tcW w:w="1254" w:type="dxa"/>
            <w:vAlign w:val="center"/>
          </w:tcPr>
          <w:p w14:paraId="1E185074" w14:textId="25D80108" w:rsidR="009F3643" w:rsidRPr="006921EC" w:rsidRDefault="00066891" w:rsidP="00D55776">
            <w:pPr>
              <w:spacing w:before="0" w:after="0"/>
              <w:ind w:left="0"/>
              <w:rPr>
                <w:rFonts w:cstheme="minorHAnsi"/>
                <w:szCs w:val="20"/>
              </w:rPr>
            </w:pPr>
            <w:r w:rsidRPr="006921EC">
              <w:rPr>
                <w:rFonts w:cstheme="minorHAnsi"/>
                <w:szCs w:val="20"/>
              </w:rPr>
              <w:t>1</w:t>
            </w:r>
          </w:p>
        </w:tc>
        <w:tc>
          <w:tcPr>
            <w:tcW w:w="1275" w:type="dxa"/>
            <w:vAlign w:val="center"/>
          </w:tcPr>
          <w:p w14:paraId="25D327B7" w14:textId="4D715A24" w:rsidR="009F3643" w:rsidRPr="006921EC" w:rsidRDefault="00066891" w:rsidP="00D55776">
            <w:pPr>
              <w:spacing w:before="0" w:after="0"/>
              <w:ind w:left="0"/>
              <w:rPr>
                <w:rFonts w:cstheme="minorHAnsi"/>
                <w:szCs w:val="20"/>
              </w:rPr>
            </w:pPr>
            <w:r w:rsidRPr="006921EC">
              <w:rPr>
                <w:rFonts w:cstheme="minorHAnsi"/>
                <w:szCs w:val="20"/>
              </w:rPr>
              <w:t>$</w:t>
            </w:r>
            <w:r w:rsidR="00CE19F2" w:rsidRPr="006921EC">
              <w:rPr>
                <w:rFonts w:cstheme="minorHAnsi"/>
                <w:szCs w:val="20"/>
              </w:rPr>
              <w:t>205.3</w:t>
            </w:r>
            <w:r w:rsidR="009428F7" w:rsidRPr="006921EC">
              <w:rPr>
                <w:rFonts w:cstheme="minorHAnsi"/>
                <w:szCs w:val="20"/>
              </w:rPr>
              <w:t>0</w:t>
            </w:r>
          </w:p>
        </w:tc>
        <w:tc>
          <w:tcPr>
            <w:tcW w:w="3918" w:type="dxa"/>
            <w:vAlign w:val="center"/>
          </w:tcPr>
          <w:p w14:paraId="30A76C73" w14:textId="648E9871" w:rsidR="009F3643" w:rsidRPr="006921EC" w:rsidRDefault="00F16AE8" w:rsidP="00D55776">
            <w:pPr>
              <w:spacing w:before="0" w:after="0"/>
              <w:ind w:left="0"/>
              <w:rPr>
                <w:rFonts w:cstheme="minorHAnsi"/>
                <w:szCs w:val="20"/>
              </w:rPr>
            </w:pPr>
            <w:r w:rsidRPr="006921EC">
              <w:rPr>
                <w:rFonts w:cstheme="minorHAnsi"/>
                <w:szCs w:val="20"/>
              </w:rPr>
              <w:t>MBS items 21945, 39000</w:t>
            </w:r>
            <w:r w:rsidR="00077B6F" w:rsidRPr="006921EC">
              <w:rPr>
                <w:rFonts w:cstheme="minorHAnsi"/>
                <w:szCs w:val="20"/>
              </w:rPr>
              <w:t xml:space="preserve"> and</w:t>
            </w:r>
            <w:r w:rsidRPr="006921EC">
              <w:rPr>
                <w:rFonts w:cstheme="minorHAnsi"/>
                <w:szCs w:val="20"/>
              </w:rPr>
              <w:t xml:space="preserve"> 23010</w:t>
            </w:r>
          </w:p>
        </w:tc>
      </w:tr>
      <w:tr w:rsidR="009F3643" w:rsidRPr="006921EC" w14:paraId="6F950634" w14:textId="77777777" w:rsidTr="00E2297C">
        <w:tc>
          <w:tcPr>
            <w:tcW w:w="2209" w:type="dxa"/>
            <w:vAlign w:val="center"/>
          </w:tcPr>
          <w:p w14:paraId="4E432D5D" w14:textId="6F2A46DC" w:rsidR="009F3643" w:rsidRPr="006921EC" w:rsidRDefault="00077B6F" w:rsidP="00D55776">
            <w:pPr>
              <w:spacing w:before="0" w:after="0"/>
              <w:ind w:left="0"/>
              <w:rPr>
                <w:rFonts w:cstheme="minorHAnsi"/>
                <w:szCs w:val="20"/>
              </w:rPr>
            </w:pPr>
            <w:r w:rsidRPr="006921EC">
              <w:rPr>
                <w:rFonts w:cstheme="minorHAnsi"/>
                <w:szCs w:val="20"/>
              </w:rPr>
              <w:t>Day Private Hospital Charge</w:t>
            </w:r>
          </w:p>
        </w:tc>
        <w:tc>
          <w:tcPr>
            <w:tcW w:w="1254" w:type="dxa"/>
            <w:vAlign w:val="center"/>
          </w:tcPr>
          <w:p w14:paraId="02302507" w14:textId="0B5C621A" w:rsidR="009F3643" w:rsidRPr="006921EC" w:rsidRDefault="007F7851" w:rsidP="00D55776">
            <w:pPr>
              <w:spacing w:before="0" w:after="0"/>
              <w:ind w:left="0"/>
              <w:rPr>
                <w:rFonts w:cstheme="minorHAnsi"/>
                <w:szCs w:val="20"/>
              </w:rPr>
            </w:pPr>
            <w:r w:rsidRPr="006921EC">
              <w:rPr>
                <w:rFonts w:cstheme="minorHAnsi"/>
                <w:szCs w:val="20"/>
              </w:rPr>
              <w:t>1</w:t>
            </w:r>
          </w:p>
        </w:tc>
        <w:tc>
          <w:tcPr>
            <w:tcW w:w="1275" w:type="dxa"/>
            <w:vAlign w:val="center"/>
          </w:tcPr>
          <w:p w14:paraId="0C0921A9" w14:textId="548E6630" w:rsidR="009F3643" w:rsidRPr="006921EC" w:rsidRDefault="007F7851" w:rsidP="00D55776">
            <w:pPr>
              <w:spacing w:before="0" w:after="0"/>
              <w:ind w:left="0"/>
              <w:rPr>
                <w:rFonts w:cstheme="minorHAnsi"/>
                <w:szCs w:val="20"/>
              </w:rPr>
            </w:pPr>
            <w:r w:rsidRPr="006921EC">
              <w:rPr>
                <w:rFonts w:cstheme="minorHAnsi"/>
                <w:szCs w:val="20"/>
              </w:rPr>
              <w:t>$5</w:t>
            </w:r>
            <w:r w:rsidR="00CA556A" w:rsidRPr="006921EC">
              <w:rPr>
                <w:rFonts w:cstheme="minorHAnsi"/>
                <w:szCs w:val="20"/>
              </w:rPr>
              <w:t>21</w:t>
            </w:r>
            <w:r w:rsidRPr="006921EC">
              <w:rPr>
                <w:rFonts w:cstheme="minorHAnsi"/>
                <w:szCs w:val="20"/>
              </w:rPr>
              <w:t>.0</w:t>
            </w:r>
            <w:r w:rsidR="009428F7" w:rsidRPr="006921EC">
              <w:rPr>
                <w:rFonts w:cstheme="minorHAnsi"/>
                <w:szCs w:val="20"/>
              </w:rPr>
              <w:t>0</w:t>
            </w:r>
          </w:p>
        </w:tc>
        <w:tc>
          <w:tcPr>
            <w:tcW w:w="3918" w:type="dxa"/>
            <w:vAlign w:val="center"/>
          </w:tcPr>
          <w:p w14:paraId="555D1900" w14:textId="692B673D" w:rsidR="009F3643" w:rsidRPr="006921EC" w:rsidRDefault="009428F7" w:rsidP="00D55776">
            <w:pPr>
              <w:spacing w:before="0" w:after="0"/>
              <w:ind w:left="0"/>
              <w:rPr>
                <w:rFonts w:cstheme="minorHAnsi"/>
                <w:szCs w:val="20"/>
              </w:rPr>
            </w:pPr>
            <w:r w:rsidRPr="006921EC">
              <w:rPr>
                <w:rFonts w:cstheme="minorHAnsi"/>
                <w:szCs w:val="20"/>
              </w:rPr>
              <w:t>Assumption based on cost of Minor Medical Procedures ($7</w:t>
            </w:r>
            <w:r w:rsidR="005E754F" w:rsidRPr="006921EC">
              <w:rPr>
                <w:rFonts w:cstheme="minorHAnsi"/>
                <w:szCs w:val="20"/>
              </w:rPr>
              <w:t>88</w:t>
            </w:r>
            <w:r w:rsidRPr="006921EC">
              <w:rPr>
                <w:rFonts w:cstheme="minorHAnsi"/>
                <w:szCs w:val="20"/>
              </w:rPr>
              <w:t xml:space="preserve">; </w:t>
            </w:r>
            <w:r w:rsidR="005A425F" w:rsidRPr="006921EC">
              <w:rPr>
                <w:rFonts w:cstheme="minorHAnsi"/>
                <w:szCs w:val="20"/>
              </w:rPr>
              <w:t xml:space="preserve">NHCDC Round 24 </w:t>
            </w:r>
            <w:r w:rsidRPr="006921EC">
              <w:rPr>
                <w:rFonts w:cstheme="minorHAnsi"/>
                <w:szCs w:val="20"/>
              </w:rPr>
              <w:t>Tier 2; 1013) excluding the pathology cost ($</w:t>
            </w:r>
            <w:r w:rsidR="00DE1C67" w:rsidRPr="006921EC">
              <w:rPr>
                <w:rFonts w:cstheme="minorHAnsi"/>
                <w:szCs w:val="20"/>
              </w:rPr>
              <w:t>267; NHCDC Round 24</w:t>
            </w:r>
            <w:r w:rsidR="008B791B" w:rsidRPr="006921EC">
              <w:rPr>
                <w:rFonts w:cstheme="minorHAnsi"/>
                <w:szCs w:val="20"/>
              </w:rPr>
              <w:t>; 3005</w:t>
            </w:r>
            <w:r w:rsidRPr="006921EC">
              <w:rPr>
                <w:rFonts w:cstheme="minorHAnsi"/>
                <w:szCs w:val="20"/>
              </w:rPr>
              <w:t>)</w:t>
            </w:r>
            <w:r w:rsidR="008B791B" w:rsidRPr="006921EC">
              <w:rPr>
                <w:rStyle w:val="EndnoteReference"/>
                <w:rFonts w:cstheme="minorHAnsi"/>
                <w:szCs w:val="20"/>
              </w:rPr>
              <w:endnoteReference w:id="57"/>
            </w:r>
          </w:p>
        </w:tc>
      </w:tr>
      <w:tr w:rsidR="00750DDC" w:rsidRPr="006921EC" w14:paraId="2D048377" w14:textId="77777777" w:rsidTr="00E2297C">
        <w:tc>
          <w:tcPr>
            <w:tcW w:w="2209" w:type="dxa"/>
            <w:vAlign w:val="center"/>
          </w:tcPr>
          <w:p w14:paraId="3A3DAFC3" w14:textId="6E838A84" w:rsidR="00750DDC" w:rsidRPr="006921EC" w:rsidRDefault="00750DDC" w:rsidP="00D55776">
            <w:pPr>
              <w:spacing w:before="0" w:after="0"/>
              <w:ind w:left="0"/>
              <w:rPr>
                <w:rFonts w:cstheme="minorHAnsi"/>
                <w:szCs w:val="20"/>
              </w:rPr>
            </w:pPr>
            <w:r w:rsidRPr="006921EC">
              <w:rPr>
                <w:rFonts w:cstheme="minorHAnsi"/>
                <w:szCs w:val="20"/>
              </w:rPr>
              <w:t>CSF test assay</w:t>
            </w:r>
          </w:p>
        </w:tc>
        <w:tc>
          <w:tcPr>
            <w:tcW w:w="1254" w:type="dxa"/>
            <w:vAlign w:val="center"/>
          </w:tcPr>
          <w:p w14:paraId="6B8C8C5A" w14:textId="4765E98E" w:rsidR="00750DDC" w:rsidRPr="006921EC" w:rsidRDefault="00750DDC" w:rsidP="00D55776">
            <w:pPr>
              <w:spacing w:before="0" w:after="0"/>
              <w:ind w:left="0"/>
              <w:rPr>
                <w:rFonts w:cstheme="minorHAnsi"/>
                <w:szCs w:val="20"/>
              </w:rPr>
            </w:pPr>
            <w:r w:rsidRPr="006921EC">
              <w:rPr>
                <w:rFonts w:cstheme="minorHAnsi"/>
                <w:szCs w:val="20"/>
              </w:rPr>
              <w:t>1</w:t>
            </w:r>
          </w:p>
        </w:tc>
        <w:tc>
          <w:tcPr>
            <w:tcW w:w="1275" w:type="dxa"/>
            <w:vAlign w:val="center"/>
          </w:tcPr>
          <w:p w14:paraId="09F14199" w14:textId="621412DF" w:rsidR="00750DDC" w:rsidRPr="006921EC" w:rsidRDefault="00750DDC" w:rsidP="00D55776">
            <w:pPr>
              <w:spacing w:before="0" w:after="0"/>
              <w:ind w:left="0"/>
              <w:rPr>
                <w:rFonts w:cstheme="minorHAnsi"/>
                <w:szCs w:val="20"/>
                <w:highlight w:val="yellow"/>
              </w:rPr>
            </w:pPr>
            <w:r w:rsidRPr="006921EC">
              <w:rPr>
                <w:rFonts w:cstheme="minorHAnsi"/>
                <w:szCs w:val="20"/>
              </w:rPr>
              <w:t>$</w:t>
            </w:r>
            <w:r w:rsidR="005962D6" w:rsidRPr="006921EC">
              <w:rPr>
                <w:rFonts w:cstheme="minorHAnsi"/>
                <w:szCs w:val="20"/>
              </w:rPr>
              <w:t>325.00</w:t>
            </w:r>
          </w:p>
        </w:tc>
        <w:tc>
          <w:tcPr>
            <w:tcW w:w="3918" w:type="dxa"/>
            <w:vAlign w:val="center"/>
          </w:tcPr>
          <w:p w14:paraId="076E4973" w14:textId="70D935A2" w:rsidR="00750DDC" w:rsidRPr="006921EC" w:rsidRDefault="007F5526" w:rsidP="00D55776">
            <w:pPr>
              <w:spacing w:before="0" w:after="0"/>
              <w:ind w:left="0"/>
              <w:rPr>
                <w:rFonts w:cstheme="minorHAnsi"/>
                <w:szCs w:val="20"/>
              </w:rPr>
            </w:pPr>
            <w:r w:rsidRPr="006921EC">
              <w:rPr>
                <w:rFonts w:cstheme="minorHAnsi"/>
                <w:szCs w:val="20"/>
              </w:rPr>
              <w:t>Price of test assay for AD screen of three proteins by the National Dementia Diagnostics Laboratory</w:t>
            </w:r>
            <w:r w:rsidR="00B14D47" w:rsidRPr="006921EC">
              <w:rPr>
                <w:rStyle w:val="EndnoteReference"/>
                <w:rFonts w:cstheme="minorHAnsi"/>
                <w:szCs w:val="20"/>
              </w:rPr>
              <w:endnoteReference w:id="58"/>
            </w:r>
          </w:p>
        </w:tc>
      </w:tr>
      <w:tr w:rsidR="001B3D53" w:rsidRPr="006921EC" w14:paraId="2E8E17E8" w14:textId="77777777" w:rsidTr="00E2297C">
        <w:tc>
          <w:tcPr>
            <w:tcW w:w="8656" w:type="dxa"/>
            <w:gridSpan w:val="4"/>
            <w:shd w:val="clear" w:color="auto" w:fill="BFBFBF" w:themeFill="background1" w:themeFillShade="BF"/>
            <w:vAlign w:val="center"/>
          </w:tcPr>
          <w:p w14:paraId="21D2C9A2" w14:textId="378C4155" w:rsidR="001B3D53" w:rsidRPr="006921EC" w:rsidRDefault="001B3D53" w:rsidP="00D55776">
            <w:pPr>
              <w:spacing w:before="0" w:after="0"/>
              <w:ind w:left="0"/>
              <w:rPr>
                <w:rFonts w:cstheme="minorHAnsi"/>
                <w:b/>
                <w:bCs/>
                <w:szCs w:val="20"/>
              </w:rPr>
            </w:pPr>
            <w:r w:rsidRPr="006921EC">
              <w:rPr>
                <w:rFonts w:cstheme="minorHAnsi"/>
                <w:b/>
                <w:bCs/>
                <w:szCs w:val="20"/>
              </w:rPr>
              <w:t>Lecanemab</w:t>
            </w:r>
          </w:p>
        </w:tc>
      </w:tr>
      <w:tr w:rsidR="00750DDC" w:rsidRPr="006921EC" w14:paraId="5647DCA0" w14:textId="77777777" w:rsidTr="00E2297C">
        <w:tc>
          <w:tcPr>
            <w:tcW w:w="2209" w:type="dxa"/>
            <w:vAlign w:val="center"/>
          </w:tcPr>
          <w:p w14:paraId="6070BF15" w14:textId="0FCCA590" w:rsidR="00750DDC" w:rsidRPr="006921EC" w:rsidRDefault="007F5526" w:rsidP="00D55776">
            <w:pPr>
              <w:spacing w:before="0" w:after="0"/>
              <w:ind w:left="0"/>
              <w:rPr>
                <w:rFonts w:cstheme="minorHAnsi"/>
                <w:szCs w:val="20"/>
              </w:rPr>
            </w:pPr>
            <w:r w:rsidRPr="006921EC">
              <w:rPr>
                <w:rFonts w:cstheme="minorHAnsi"/>
                <w:szCs w:val="20"/>
              </w:rPr>
              <w:t>Intravenous infusion of immunomodulating agent</w:t>
            </w:r>
          </w:p>
        </w:tc>
        <w:tc>
          <w:tcPr>
            <w:tcW w:w="1254" w:type="dxa"/>
            <w:vAlign w:val="center"/>
          </w:tcPr>
          <w:p w14:paraId="605F6A1C" w14:textId="53B46E9A" w:rsidR="00750DDC" w:rsidRPr="006921EC" w:rsidRDefault="007F5526" w:rsidP="00D55776">
            <w:pPr>
              <w:spacing w:before="0" w:after="0"/>
              <w:ind w:left="0"/>
              <w:rPr>
                <w:rFonts w:cstheme="minorHAnsi"/>
                <w:szCs w:val="20"/>
              </w:rPr>
            </w:pPr>
            <w:r w:rsidRPr="006921EC">
              <w:rPr>
                <w:rFonts w:cstheme="minorHAnsi"/>
                <w:szCs w:val="20"/>
              </w:rPr>
              <w:t>1</w:t>
            </w:r>
          </w:p>
        </w:tc>
        <w:tc>
          <w:tcPr>
            <w:tcW w:w="1275" w:type="dxa"/>
            <w:vAlign w:val="center"/>
          </w:tcPr>
          <w:p w14:paraId="47769A13" w14:textId="3EE97D17" w:rsidR="00750DDC" w:rsidRPr="006921EC" w:rsidRDefault="007F5526" w:rsidP="00D55776">
            <w:pPr>
              <w:spacing w:before="0" w:after="0"/>
              <w:ind w:left="0"/>
              <w:rPr>
                <w:rFonts w:cstheme="minorHAnsi"/>
                <w:szCs w:val="20"/>
                <w:highlight w:val="yellow"/>
              </w:rPr>
            </w:pPr>
            <w:r w:rsidRPr="006921EC">
              <w:rPr>
                <w:rFonts w:cstheme="minorHAnsi"/>
                <w:szCs w:val="20"/>
              </w:rPr>
              <w:t>$99.50</w:t>
            </w:r>
          </w:p>
        </w:tc>
        <w:tc>
          <w:tcPr>
            <w:tcW w:w="3918" w:type="dxa"/>
            <w:vAlign w:val="center"/>
          </w:tcPr>
          <w:p w14:paraId="2C01A5F1" w14:textId="33C18357" w:rsidR="00750DDC" w:rsidRPr="006921EC" w:rsidRDefault="007F5526" w:rsidP="00D55776">
            <w:pPr>
              <w:spacing w:before="0" w:after="0"/>
              <w:ind w:left="0"/>
              <w:rPr>
                <w:rFonts w:cstheme="minorHAnsi"/>
                <w:szCs w:val="20"/>
              </w:rPr>
            </w:pPr>
            <w:r w:rsidRPr="006921EC">
              <w:rPr>
                <w:rFonts w:cstheme="minorHAnsi"/>
                <w:szCs w:val="20"/>
              </w:rPr>
              <w:t>MBS Item 14245</w:t>
            </w:r>
          </w:p>
        </w:tc>
      </w:tr>
      <w:tr w:rsidR="00750DDC" w:rsidRPr="006921EC" w14:paraId="0EB8A6BD" w14:textId="77777777" w:rsidTr="00E2297C">
        <w:trPr>
          <w:trHeight w:val="391"/>
        </w:trPr>
        <w:tc>
          <w:tcPr>
            <w:tcW w:w="2209" w:type="dxa"/>
            <w:vAlign w:val="center"/>
          </w:tcPr>
          <w:p w14:paraId="7DD88145" w14:textId="26291F84" w:rsidR="00750DDC" w:rsidRPr="006921EC" w:rsidRDefault="00654617" w:rsidP="00D55776">
            <w:pPr>
              <w:spacing w:before="0" w:after="0"/>
              <w:ind w:left="0"/>
              <w:rPr>
                <w:rFonts w:cstheme="minorHAnsi"/>
                <w:szCs w:val="20"/>
              </w:rPr>
            </w:pPr>
            <w:r w:rsidRPr="006921EC">
              <w:rPr>
                <w:rFonts w:cstheme="minorHAnsi"/>
                <w:szCs w:val="20"/>
              </w:rPr>
              <w:t xml:space="preserve">Cost of </w:t>
            </w:r>
            <w:proofErr w:type="spellStart"/>
            <w:r w:rsidRPr="006921EC">
              <w:rPr>
                <w:rFonts w:cstheme="minorHAnsi"/>
                <w:szCs w:val="20"/>
              </w:rPr>
              <w:t>Lecanemab</w:t>
            </w:r>
            <w:proofErr w:type="spellEnd"/>
          </w:p>
        </w:tc>
        <w:tc>
          <w:tcPr>
            <w:tcW w:w="1254" w:type="dxa"/>
            <w:vAlign w:val="center"/>
          </w:tcPr>
          <w:p w14:paraId="75E421C2" w14:textId="12AAC95F" w:rsidR="00750DDC" w:rsidRPr="006921EC" w:rsidRDefault="00654617" w:rsidP="00D55776">
            <w:pPr>
              <w:spacing w:before="0" w:after="0"/>
              <w:ind w:left="0"/>
              <w:rPr>
                <w:rFonts w:cstheme="minorHAnsi"/>
                <w:szCs w:val="20"/>
              </w:rPr>
            </w:pPr>
            <w:r w:rsidRPr="006921EC">
              <w:rPr>
                <w:rFonts w:cstheme="minorHAnsi"/>
                <w:szCs w:val="20"/>
              </w:rPr>
              <w:t>1</w:t>
            </w:r>
          </w:p>
        </w:tc>
        <w:tc>
          <w:tcPr>
            <w:tcW w:w="1275" w:type="dxa"/>
            <w:vAlign w:val="center"/>
          </w:tcPr>
          <w:p w14:paraId="4BF00CAE" w14:textId="3B476371" w:rsidR="00750DDC" w:rsidRPr="005C4B51" w:rsidRDefault="00E2297C" w:rsidP="00D55776">
            <w:pPr>
              <w:spacing w:before="0" w:after="0"/>
              <w:ind w:left="0"/>
              <w:rPr>
                <w:rFonts w:cstheme="minorHAnsi"/>
                <w:szCs w:val="20"/>
                <w:highlight w:val="yellow"/>
              </w:rPr>
            </w:pPr>
            <w:r w:rsidRPr="00E2297C">
              <w:rPr>
                <w:rFonts w:cstheme="minorHAnsi"/>
                <w:b/>
                <w:bCs/>
                <w:szCs w:val="20"/>
              </w:rPr>
              <w:t>REDACTED</w:t>
            </w:r>
          </w:p>
        </w:tc>
        <w:tc>
          <w:tcPr>
            <w:tcW w:w="3918" w:type="dxa"/>
            <w:vAlign w:val="center"/>
          </w:tcPr>
          <w:p w14:paraId="53235D21" w14:textId="77777777" w:rsidR="00750DDC" w:rsidRPr="006921EC" w:rsidRDefault="00750DDC" w:rsidP="00D55776">
            <w:pPr>
              <w:spacing w:before="0" w:after="0"/>
              <w:ind w:left="0"/>
              <w:rPr>
                <w:rFonts w:cstheme="minorHAnsi"/>
                <w:szCs w:val="20"/>
              </w:rPr>
            </w:pPr>
          </w:p>
        </w:tc>
      </w:tr>
      <w:tr w:rsidR="00750DDC" w:rsidRPr="006921EC" w14:paraId="1D70F424" w14:textId="77777777" w:rsidTr="00E2297C">
        <w:tc>
          <w:tcPr>
            <w:tcW w:w="2209" w:type="dxa"/>
            <w:vAlign w:val="center"/>
          </w:tcPr>
          <w:p w14:paraId="1F19E3EA" w14:textId="742BFF02" w:rsidR="00750DDC" w:rsidRPr="006921EC" w:rsidRDefault="00EB15B3" w:rsidP="00D55776">
            <w:pPr>
              <w:spacing w:before="0" w:after="0"/>
              <w:ind w:left="0"/>
              <w:rPr>
                <w:rFonts w:cstheme="minorHAnsi"/>
                <w:szCs w:val="20"/>
              </w:rPr>
            </w:pPr>
            <w:r w:rsidRPr="006921EC">
              <w:rPr>
                <w:rFonts w:cstheme="minorHAnsi"/>
                <w:szCs w:val="20"/>
              </w:rPr>
              <w:t>Monitoring costs</w:t>
            </w:r>
            <w:r w:rsidR="00CF02D3">
              <w:rPr>
                <w:rFonts w:cstheme="minorHAnsi"/>
                <w:szCs w:val="20"/>
              </w:rPr>
              <w:t xml:space="preserve"> (for the first year)</w:t>
            </w:r>
          </w:p>
        </w:tc>
        <w:tc>
          <w:tcPr>
            <w:tcW w:w="1254" w:type="dxa"/>
            <w:vAlign w:val="center"/>
          </w:tcPr>
          <w:p w14:paraId="3F494CDE" w14:textId="77777777" w:rsidR="00750DDC" w:rsidRPr="006921EC" w:rsidRDefault="00750DDC" w:rsidP="00D55776">
            <w:pPr>
              <w:spacing w:before="0" w:after="0"/>
              <w:ind w:left="0"/>
              <w:rPr>
                <w:rFonts w:cstheme="minorHAnsi"/>
                <w:szCs w:val="20"/>
              </w:rPr>
            </w:pPr>
          </w:p>
        </w:tc>
        <w:tc>
          <w:tcPr>
            <w:tcW w:w="1275" w:type="dxa"/>
            <w:vAlign w:val="center"/>
          </w:tcPr>
          <w:p w14:paraId="7A16B7B6" w14:textId="3046C1D5" w:rsidR="00750DDC" w:rsidRPr="005C4B51" w:rsidRDefault="00E2297C" w:rsidP="00D55776">
            <w:pPr>
              <w:spacing w:before="0" w:after="0"/>
              <w:ind w:left="0"/>
              <w:rPr>
                <w:rFonts w:cstheme="minorHAnsi"/>
                <w:szCs w:val="20"/>
                <w:highlight w:val="yellow"/>
              </w:rPr>
            </w:pPr>
            <w:r w:rsidRPr="00E2297C">
              <w:rPr>
                <w:rFonts w:cstheme="minorHAnsi"/>
                <w:b/>
                <w:bCs/>
                <w:szCs w:val="20"/>
              </w:rPr>
              <w:t>REDACTED</w:t>
            </w:r>
          </w:p>
        </w:tc>
        <w:tc>
          <w:tcPr>
            <w:tcW w:w="3918" w:type="dxa"/>
            <w:vAlign w:val="center"/>
          </w:tcPr>
          <w:p w14:paraId="5492C3DE" w14:textId="2233300C" w:rsidR="00750DDC" w:rsidRPr="00B96BB4" w:rsidRDefault="00E2297C" w:rsidP="00D55776">
            <w:pPr>
              <w:spacing w:before="0" w:after="0"/>
              <w:ind w:left="0"/>
              <w:rPr>
                <w:rFonts w:cstheme="minorHAnsi"/>
                <w:szCs w:val="20"/>
                <w:highlight w:val="black"/>
              </w:rPr>
            </w:pPr>
            <w:r w:rsidRPr="00E2297C">
              <w:rPr>
                <w:rFonts w:cstheme="minorHAnsi"/>
                <w:b/>
                <w:bCs/>
                <w:szCs w:val="20"/>
              </w:rPr>
              <w:t>REDACTED</w:t>
            </w:r>
          </w:p>
        </w:tc>
      </w:tr>
    </w:tbl>
    <w:p w14:paraId="00F67E71" w14:textId="77777777" w:rsidR="002D501C" w:rsidRPr="00154B00" w:rsidRDefault="002D501C" w:rsidP="00D55776">
      <w:pPr>
        <w:rPr>
          <w:szCs w:val="20"/>
        </w:rPr>
      </w:pPr>
    </w:p>
    <w:p w14:paraId="499A6439" w14:textId="77777777" w:rsidR="00951933" w:rsidRPr="00154B00" w:rsidRDefault="00951933" w:rsidP="00D55776">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6AE725FE" w14:textId="77777777" w:rsidR="00720360" w:rsidRDefault="00456FCC" w:rsidP="00D55776">
      <w:r>
        <w:t xml:space="preserve">Aβ PET is comprised of an initial exam by a nuclear medicine specialist or radiologist followed by administered with the radiotracer which requires 45-90 mins for the tracer to equilibrate. The patient then undergoes the PET or PET/CT scans, which typically takes 20 minutes to perform depending on the </w:t>
      </w:r>
      <w:r>
        <w:lastRenderedPageBreak/>
        <w:t xml:space="preserve">tracer used. Finally, a specialist will interpret the results, which involves comparing CT and PET scans simultaneously to ascertain Aβ positivity and usually requires 15 minutes to complete. </w:t>
      </w:r>
    </w:p>
    <w:p w14:paraId="4303C4E9" w14:textId="56608BD1" w:rsidR="00951933" w:rsidRDefault="00456FCC" w:rsidP="00D55776">
      <w:pPr>
        <w:rPr>
          <w:b/>
          <w:szCs w:val="20"/>
        </w:rPr>
      </w:pPr>
      <w:r>
        <w:t xml:space="preserve">CSF biomarker testing is comprised of an initial lumbar puncture half day procedure typically performed in a day clinic. The CSF sample is transported to the laboratory where a report is compiled outlining the results found in testing, which usually takes 1 day. </w:t>
      </w:r>
      <w:r w:rsidR="00E62B0C">
        <w:t>Lecanemab</w:t>
      </w:r>
      <w:r>
        <w:t xml:space="preserve"> is administered to patients by intravenous infusion on a </w:t>
      </w:r>
      <w:r w:rsidR="005B51AC">
        <w:t>bi-weekly</w:t>
      </w:r>
      <w:r>
        <w:t xml:space="preserve"> basis. The expected infusion time is approximately 1 hour.</w:t>
      </w:r>
    </w:p>
    <w:p w14:paraId="02A5EF32" w14:textId="77777777" w:rsidR="00D269F6" w:rsidRPr="00D269F6" w:rsidRDefault="00D269F6" w:rsidP="00D5577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5DBE252F" w14:textId="7BB44291" w:rsidR="00CD25E4" w:rsidRPr="00CD25E4" w:rsidRDefault="00CD25E4" w:rsidP="00D55776">
      <w:pPr>
        <w:pBdr>
          <w:top w:val="single" w:sz="4" w:space="1" w:color="auto"/>
          <w:left w:val="single" w:sz="4" w:space="4" w:color="auto"/>
          <w:bottom w:val="single" w:sz="4" w:space="1" w:color="auto"/>
          <w:right w:val="single" w:sz="4" w:space="4" w:color="auto"/>
        </w:pBdr>
        <w:rPr>
          <w:b/>
          <w:szCs w:val="20"/>
          <w:u w:val="single"/>
        </w:rPr>
      </w:pPr>
      <w:bookmarkStart w:id="29" w:name="_Hlk118711833"/>
      <w:r w:rsidRPr="00CD25E4">
        <w:rPr>
          <w:b/>
          <w:szCs w:val="20"/>
          <w:u w:val="single"/>
        </w:rPr>
        <w:t>TEST 1</w:t>
      </w:r>
    </w:p>
    <w:p w14:paraId="5900E7CB" w14:textId="46203C82" w:rsidR="00AE1188" w:rsidRPr="0000380D" w:rsidRDefault="00AE1188" w:rsidP="00D55776">
      <w:pPr>
        <w:pBdr>
          <w:top w:val="single" w:sz="4" w:space="1" w:color="auto"/>
          <w:left w:val="single" w:sz="4" w:space="4" w:color="auto"/>
          <w:bottom w:val="single" w:sz="4" w:space="1" w:color="auto"/>
          <w:right w:val="single" w:sz="4" w:space="4" w:color="auto"/>
        </w:pBdr>
        <w:rPr>
          <w:szCs w:val="20"/>
        </w:rPr>
      </w:pPr>
      <w:r>
        <w:rPr>
          <w:szCs w:val="20"/>
        </w:rPr>
        <w:t xml:space="preserve">Category </w:t>
      </w:r>
      <w:r w:rsidR="002B1C5D">
        <w:t>5</w:t>
      </w:r>
      <w:r w:rsidRPr="00AE1188">
        <w:rPr>
          <w:szCs w:val="20"/>
        </w:rPr>
        <w:t xml:space="preserve"> – </w:t>
      </w:r>
      <w:r w:rsidR="002B1C5D">
        <w:t>Diagnostic Imagin</w:t>
      </w:r>
      <w:r w:rsidR="00A26EFC">
        <w:t>g</w:t>
      </w:r>
      <w:r w:rsidR="002B1C5D">
        <w:t xml:space="preserve"> Services</w:t>
      </w:r>
      <w:r w:rsidRPr="00AE1188">
        <w:rPr>
          <w:szCs w:val="20"/>
        </w:rPr>
        <w:t xml:space="preserve"> </w:t>
      </w:r>
    </w:p>
    <w:p w14:paraId="00C47401" w14:textId="45F8CB4A" w:rsidR="00B34937" w:rsidRPr="00B34937" w:rsidRDefault="00AE1188" w:rsidP="00D55776">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B34937" w:rsidRPr="00B34937">
        <w:t xml:space="preserve">Beta-amyloid positron emission tomography (PET) study of the brain, with or without quantitative assessment, for the evaluation of a patient with a clinical diagnosis of </w:t>
      </w:r>
      <w:r w:rsidR="00E2297C">
        <w:t>early-stage</w:t>
      </w:r>
      <w:r w:rsidR="00B34937" w:rsidRPr="00B34937">
        <w:t xml:space="preserve"> Alzheimer’s disease, requested by the specialist or consultant physician, to determine if the requirements relating to the amyloid status for access to lecanemab under the Pharmaceutical Benefits Scheme (PBS) are fulfilled.</w:t>
      </w:r>
    </w:p>
    <w:p w14:paraId="12C933E3" w14:textId="0BA3039D" w:rsidR="00AE1188" w:rsidRPr="00AE1188" w:rsidRDefault="00B34937" w:rsidP="00D55776">
      <w:pPr>
        <w:pBdr>
          <w:top w:val="single" w:sz="4" w:space="1" w:color="auto"/>
          <w:left w:val="single" w:sz="4" w:space="4" w:color="auto"/>
          <w:bottom w:val="single" w:sz="4" w:space="1" w:color="auto"/>
          <w:right w:val="single" w:sz="4" w:space="4" w:color="auto"/>
        </w:pBdr>
        <w:rPr>
          <w:szCs w:val="20"/>
        </w:rPr>
      </w:pPr>
      <w:r w:rsidRPr="00B34937">
        <w:t>The patient considered for this service must also meet specific PBS eligibility criteria for treatment with lecanemab other than the criterion relating to amyloid status.</w:t>
      </w:r>
    </w:p>
    <w:p w14:paraId="4BD83679" w14:textId="0319793B" w:rsidR="00AE1188" w:rsidRDefault="00490687" w:rsidP="00D55776">
      <w:pPr>
        <w:pBdr>
          <w:top w:val="single" w:sz="4" w:space="1" w:color="auto"/>
          <w:left w:val="single" w:sz="4" w:space="4" w:color="auto"/>
          <w:bottom w:val="single" w:sz="4" w:space="1" w:color="auto"/>
          <w:right w:val="single" w:sz="4" w:space="4" w:color="auto"/>
        </w:pBdr>
      </w:pPr>
      <w:r w:rsidRPr="00E2297C">
        <w:rPr>
          <w:b/>
          <w:bCs/>
          <w:szCs w:val="20"/>
        </w:rPr>
        <w:t>MBS Fee:</w:t>
      </w:r>
      <w:r w:rsidRPr="001277BE">
        <w:rPr>
          <w:szCs w:val="20"/>
        </w:rPr>
        <w:t xml:space="preserve">  $</w:t>
      </w:r>
      <w:r w:rsidR="00F435FD">
        <w:rPr>
          <w:szCs w:val="20"/>
        </w:rPr>
        <w:t>TBC</w:t>
      </w:r>
      <w:r w:rsidRPr="001277BE">
        <w:rPr>
          <w:szCs w:val="20"/>
        </w:rPr>
        <w:tab/>
        <w:t>Benefit: 75% = $####</w:t>
      </w:r>
      <w:r w:rsidRPr="001277BE">
        <w:rPr>
          <w:szCs w:val="20"/>
        </w:rPr>
        <w:tab/>
        <w:t>85% = $###</w:t>
      </w:r>
    </w:p>
    <w:p w14:paraId="35D25146" w14:textId="77777777" w:rsidR="005C5E2A" w:rsidRDefault="005C5E2A" w:rsidP="00D55776">
      <w:pPr>
        <w:pBdr>
          <w:top w:val="single" w:sz="4" w:space="1" w:color="auto"/>
          <w:left w:val="single" w:sz="4" w:space="4" w:color="auto"/>
          <w:bottom w:val="single" w:sz="4" w:space="1" w:color="auto"/>
          <w:right w:val="single" w:sz="4" w:space="4" w:color="auto"/>
        </w:pBdr>
        <w:rPr>
          <w:szCs w:val="20"/>
        </w:rPr>
      </w:pPr>
    </w:p>
    <w:p w14:paraId="119E6E01" w14:textId="69D87F53" w:rsidR="00CD25E4" w:rsidRPr="00CD25E4" w:rsidRDefault="00CD25E4" w:rsidP="00D55776">
      <w:pPr>
        <w:pBdr>
          <w:top w:val="single" w:sz="4" w:space="1" w:color="auto"/>
          <w:left w:val="single" w:sz="4" w:space="4" w:color="auto"/>
          <w:bottom w:val="single" w:sz="4" w:space="1" w:color="auto"/>
          <w:right w:val="single" w:sz="4" w:space="4" w:color="auto"/>
        </w:pBdr>
        <w:rPr>
          <w:b/>
          <w:szCs w:val="20"/>
          <w:u w:val="single"/>
        </w:rPr>
      </w:pPr>
      <w:r w:rsidRPr="00CD25E4">
        <w:rPr>
          <w:b/>
          <w:szCs w:val="20"/>
          <w:u w:val="single"/>
        </w:rPr>
        <w:t>TEST 2</w:t>
      </w:r>
    </w:p>
    <w:p w14:paraId="1281C335" w14:textId="261798CB" w:rsidR="00A26EFC" w:rsidRPr="0000380D" w:rsidRDefault="00A26EFC" w:rsidP="00D55776">
      <w:pPr>
        <w:pBdr>
          <w:top w:val="single" w:sz="4" w:space="1" w:color="auto"/>
          <w:left w:val="single" w:sz="4" w:space="4" w:color="auto"/>
          <w:bottom w:val="single" w:sz="4" w:space="1" w:color="auto"/>
          <w:right w:val="single" w:sz="4" w:space="4" w:color="auto"/>
        </w:pBdr>
        <w:rPr>
          <w:szCs w:val="20"/>
        </w:rPr>
      </w:pPr>
      <w:r>
        <w:rPr>
          <w:szCs w:val="20"/>
        </w:rPr>
        <w:t xml:space="preserve">Category </w:t>
      </w:r>
      <w:r w:rsidR="00D80201">
        <w:rPr>
          <w:szCs w:val="20"/>
        </w:rPr>
        <w:t>6</w:t>
      </w:r>
      <w:r w:rsidRPr="00AE1188">
        <w:rPr>
          <w:szCs w:val="20"/>
        </w:rPr>
        <w:t xml:space="preserve"> – </w:t>
      </w:r>
      <w:r w:rsidR="00D80201">
        <w:t>Pathology</w:t>
      </w:r>
      <w:r>
        <w:t xml:space="preserve"> Services</w:t>
      </w:r>
      <w:r w:rsidRPr="00AE1188">
        <w:rPr>
          <w:szCs w:val="20"/>
        </w:rPr>
        <w:t xml:space="preserve"> </w:t>
      </w:r>
    </w:p>
    <w:p w14:paraId="5FB695D7" w14:textId="14B991FC" w:rsidR="005C5E2A" w:rsidRPr="005C5E2A" w:rsidRDefault="005C5E2A" w:rsidP="00D55776">
      <w:pPr>
        <w:pBdr>
          <w:top w:val="single" w:sz="4" w:space="1" w:color="auto"/>
          <w:left w:val="single" w:sz="4" w:space="4" w:color="auto"/>
          <w:bottom w:val="single" w:sz="4" w:space="1" w:color="auto"/>
          <w:right w:val="single" w:sz="4" w:space="4" w:color="auto"/>
        </w:pBdr>
        <w:rPr>
          <w:szCs w:val="20"/>
        </w:rPr>
      </w:pPr>
      <w:r w:rsidRPr="005C5E2A">
        <w:rPr>
          <w:szCs w:val="20"/>
        </w:rPr>
        <w:t xml:space="preserve">Quantification, by immunoassay methodology of amyloid and tau proteins in cerebrospinal fluid from a patient with a clinical diagnosis of </w:t>
      </w:r>
      <w:r w:rsidR="00E2297C">
        <w:rPr>
          <w:szCs w:val="20"/>
        </w:rPr>
        <w:t>early-stage</w:t>
      </w:r>
      <w:r w:rsidRPr="005C5E2A">
        <w:rPr>
          <w:szCs w:val="20"/>
        </w:rPr>
        <w:t xml:space="preserve"> Alzheimer’s disease, requested by the specialist or consultant physician, to determine if the requirements relating to the amyloid status for access to lecanemab under the Pharmaceutical Benefits Scheme (PBS) are fulfilled.</w:t>
      </w:r>
    </w:p>
    <w:p w14:paraId="5574941C" w14:textId="0D3F1A6C" w:rsidR="00A26EFC" w:rsidRPr="00AE1188" w:rsidRDefault="00A26EFC" w:rsidP="00D55776">
      <w:pPr>
        <w:pBdr>
          <w:top w:val="single" w:sz="4" w:space="1" w:color="auto"/>
          <w:left w:val="single" w:sz="4" w:space="4" w:color="auto"/>
          <w:bottom w:val="single" w:sz="4" w:space="1" w:color="auto"/>
          <w:right w:val="single" w:sz="4" w:space="4" w:color="auto"/>
        </w:pBdr>
        <w:rPr>
          <w:szCs w:val="20"/>
        </w:rPr>
      </w:pPr>
      <w:r w:rsidRPr="005C5E2A">
        <w:rPr>
          <w:szCs w:val="20"/>
        </w:rPr>
        <w:t>The patient considered for this service must also meet specific PBS eligibility criteria for treatment with lecanemab other than the criterion relating to amyloid status.</w:t>
      </w:r>
    </w:p>
    <w:p w14:paraId="065A06C1" w14:textId="7C643829" w:rsidR="004C0C16" w:rsidRPr="00AE1188" w:rsidRDefault="004C0C16" w:rsidP="00D55776">
      <w:pPr>
        <w:pBdr>
          <w:top w:val="single" w:sz="4" w:space="1" w:color="auto"/>
          <w:left w:val="single" w:sz="4" w:space="4" w:color="auto"/>
          <w:bottom w:val="single" w:sz="4" w:space="1" w:color="auto"/>
          <w:right w:val="single" w:sz="4" w:space="4" w:color="auto"/>
        </w:pBdr>
        <w:rPr>
          <w:szCs w:val="20"/>
        </w:rPr>
      </w:pPr>
      <w:r w:rsidRPr="001277BE">
        <w:rPr>
          <w:szCs w:val="20"/>
        </w:rPr>
        <w:t>MBS Fee:  $</w:t>
      </w:r>
      <w:r w:rsidR="00F435FD">
        <w:rPr>
          <w:szCs w:val="20"/>
        </w:rPr>
        <w:t>TBC</w:t>
      </w:r>
      <w:r w:rsidRPr="001277BE">
        <w:rPr>
          <w:szCs w:val="20"/>
        </w:rPr>
        <w:tab/>
        <w:t>Benefit: 75% = $####</w:t>
      </w:r>
      <w:r w:rsidRPr="001277BE">
        <w:rPr>
          <w:szCs w:val="20"/>
        </w:rPr>
        <w:tab/>
        <w:t>85% = $###</w:t>
      </w:r>
    </w:p>
    <w:p w14:paraId="67ED741D" w14:textId="77777777" w:rsidR="00CE758A" w:rsidRDefault="00CE758A" w:rsidP="00D55776">
      <w:pPr>
        <w:pBdr>
          <w:top w:val="single" w:sz="4" w:space="1" w:color="auto"/>
          <w:left w:val="single" w:sz="4" w:space="4" w:color="auto"/>
          <w:bottom w:val="single" w:sz="4" w:space="1" w:color="auto"/>
          <w:right w:val="single" w:sz="4" w:space="4" w:color="auto"/>
        </w:pBdr>
      </w:pPr>
    </w:p>
    <w:p w14:paraId="08AC696C" w14:textId="77777777" w:rsidR="00CE758A" w:rsidRPr="002E27EB" w:rsidRDefault="00CE758A" w:rsidP="00D55776">
      <w:pPr>
        <w:pBdr>
          <w:top w:val="single" w:sz="4" w:space="1" w:color="auto"/>
          <w:left w:val="single" w:sz="4" w:space="4" w:color="auto"/>
          <w:bottom w:val="single" w:sz="4" w:space="1" w:color="auto"/>
          <w:right w:val="single" w:sz="4" w:space="4" w:color="auto"/>
        </w:pBdr>
        <w:rPr>
          <w:b/>
          <w:u w:val="single"/>
        </w:rPr>
      </w:pPr>
      <w:r w:rsidRPr="002E27EB">
        <w:rPr>
          <w:b/>
          <w:u w:val="single"/>
        </w:rPr>
        <w:t xml:space="preserve">Additional consideration for a specific MBS item for infusion of the co-dependent drug treatment </w:t>
      </w:r>
    </w:p>
    <w:p w14:paraId="73F6DA3B" w14:textId="3309D7E8" w:rsidR="00CE758A" w:rsidRDefault="00CE758A" w:rsidP="00D55776">
      <w:pPr>
        <w:pBdr>
          <w:top w:val="single" w:sz="4" w:space="1" w:color="auto"/>
          <w:left w:val="single" w:sz="4" w:space="4" w:color="auto"/>
          <w:bottom w:val="single" w:sz="4" w:space="1" w:color="auto"/>
          <w:right w:val="single" w:sz="4" w:space="4" w:color="auto"/>
        </w:pBdr>
      </w:pPr>
      <w:r>
        <w:t xml:space="preserve">The Applicant also seeks advice on the requirement or otherwise for a separate MBS item number for the administration of lecanemab. Lecanemab is administered to patients by intravenous infusion on </w:t>
      </w:r>
      <w:r w:rsidRPr="00F46E04">
        <w:t xml:space="preserve">a </w:t>
      </w:r>
      <w:r w:rsidR="006E5068" w:rsidRPr="00F46E04">
        <w:t>bi-weekly</w:t>
      </w:r>
      <w:r w:rsidRPr="00F46E04">
        <w:t xml:space="preserve"> basis.</w:t>
      </w:r>
    </w:p>
    <w:p w14:paraId="4529B6DF" w14:textId="77777777" w:rsidR="00CE758A" w:rsidRDefault="00CE758A" w:rsidP="00D55776">
      <w:pPr>
        <w:pBdr>
          <w:top w:val="single" w:sz="4" w:space="1" w:color="auto"/>
          <w:left w:val="single" w:sz="4" w:space="4" w:color="auto"/>
          <w:bottom w:val="single" w:sz="4" w:space="1" w:color="auto"/>
          <w:right w:val="single" w:sz="4" w:space="4" w:color="auto"/>
        </w:pBdr>
      </w:pPr>
      <w:r>
        <w:t>The Applicant notes that there are already MBS items number for intravenous drug administration, although neither is entirely appropriate for the administration of lecanemab:</w:t>
      </w:r>
    </w:p>
    <w:p w14:paraId="6C597415" w14:textId="77777777" w:rsidR="00CE758A" w:rsidRDefault="00CE758A" w:rsidP="00D55776">
      <w:pPr>
        <w:pBdr>
          <w:top w:val="single" w:sz="4" w:space="1" w:color="auto"/>
          <w:left w:val="single" w:sz="4" w:space="4" w:color="auto"/>
          <w:bottom w:val="single" w:sz="4" w:space="1" w:color="auto"/>
          <w:right w:val="single" w:sz="4" w:space="4" w:color="auto"/>
        </w:pBdr>
      </w:pPr>
      <w:r>
        <w:t>“IMMUNOMODULATING AGENT, administration of, by intravenous infusion for at least 2 hours duration,</w:t>
      </w:r>
    </w:p>
    <w:p w14:paraId="3EC7391F" w14:textId="77777777" w:rsidR="00CE758A" w:rsidRDefault="00CE758A" w:rsidP="00D55776">
      <w:pPr>
        <w:pBdr>
          <w:top w:val="single" w:sz="4" w:space="1" w:color="auto"/>
          <w:left w:val="single" w:sz="4" w:space="4" w:color="auto"/>
          <w:bottom w:val="single" w:sz="4" w:space="1" w:color="auto"/>
          <w:right w:val="single" w:sz="4" w:space="4" w:color="auto"/>
        </w:pBdr>
      </w:pPr>
      <w:r>
        <w:t>payable once only on the same day and where the agent is provided under section 100 of the Pharmaceutical Benefits Scheme” (Item 14245).</w:t>
      </w:r>
    </w:p>
    <w:p w14:paraId="0EAB02D1" w14:textId="2BCB7801" w:rsidR="00CE758A" w:rsidRDefault="00CE758A" w:rsidP="00D55776">
      <w:pPr>
        <w:pBdr>
          <w:top w:val="single" w:sz="4" w:space="1" w:color="auto"/>
          <w:left w:val="single" w:sz="4" w:space="4" w:color="auto"/>
          <w:bottom w:val="single" w:sz="4" w:space="1" w:color="auto"/>
          <w:right w:val="single" w:sz="4" w:space="4" w:color="auto"/>
        </w:pBdr>
      </w:pPr>
      <w:r>
        <w:t>“CYTOTOXIC CHEMOTHERAPY, administration of, either by intravenous push technique (directly into a vein, or a butterfly needle, or the side-arm of an infusion) or by intravenous infusion of not more than 1 hours duration - payable once only on the same day, not being a service associated with photodynamic therapy with verteporfin or for the administration of drugs used immediately prior to, or with microwave (UHF radio wave) cancer therapy alone” (Item 13915).</w:t>
      </w:r>
    </w:p>
    <w:p w14:paraId="72BF8463" w14:textId="77777777" w:rsidR="002E27EB" w:rsidRPr="002E27EB" w:rsidRDefault="002E27EB" w:rsidP="00D55776">
      <w:pPr>
        <w:pBdr>
          <w:top w:val="single" w:sz="4" w:space="1" w:color="auto"/>
          <w:left w:val="single" w:sz="4" w:space="4" w:color="auto"/>
          <w:bottom w:val="single" w:sz="4" w:space="1" w:color="auto"/>
          <w:right w:val="single" w:sz="4" w:space="4" w:color="auto"/>
        </w:pBdr>
        <w:rPr>
          <w:b/>
          <w:u w:val="single"/>
        </w:rPr>
      </w:pPr>
      <w:r w:rsidRPr="002E27EB">
        <w:rPr>
          <w:b/>
          <w:u w:val="single"/>
        </w:rPr>
        <w:t>Additional consideration for a specific MBS item for magnetic resonance (MRI) monitoring of patients on the co-dependent drug treatment</w:t>
      </w:r>
    </w:p>
    <w:p w14:paraId="3846BC3B" w14:textId="6502E7F9" w:rsidR="002E27EB" w:rsidRDefault="002E27EB" w:rsidP="00D55776">
      <w:pPr>
        <w:pBdr>
          <w:top w:val="single" w:sz="4" w:space="1" w:color="auto"/>
          <w:left w:val="single" w:sz="4" w:space="4" w:color="auto"/>
          <w:bottom w:val="single" w:sz="4" w:space="1" w:color="auto"/>
          <w:right w:val="single" w:sz="4" w:space="4" w:color="auto"/>
        </w:pBdr>
      </w:pPr>
      <w:r>
        <w:lastRenderedPageBreak/>
        <w:t xml:space="preserve">The protocols of the clinical trials for </w:t>
      </w:r>
      <w:r w:rsidR="00C26303">
        <w:t>lecanemab</w:t>
      </w:r>
      <w:r>
        <w:t xml:space="preserve"> prespecified that MRI should be performed to monitor the incidence of amyloid-related imaging abnormalities (ARIA) early on in treatment for safety purposes.</w:t>
      </w:r>
    </w:p>
    <w:p w14:paraId="0CAFFD6D" w14:textId="2CA07E4F" w:rsidR="002E27EB" w:rsidRDefault="002E27EB" w:rsidP="00D55776">
      <w:pPr>
        <w:pBdr>
          <w:top w:val="single" w:sz="4" w:space="1" w:color="auto"/>
          <w:left w:val="single" w:sz="4" w:space="4" w:color="auto"/>
          <w:bottom w:val="single" w:sz="4" w:space="1" w:color="auto"/>
          <w:right w:val="single" w:sz="4" w:space="4" w:color="auto"/>
        </w:pBdr>
      </w:pPr>
      <w:r>
        <w:t xml:space="preserve">Whether or not MRI monitoring will be necessary with the use of </w:t>
      </w:r>
      <w:r w:rsidR="00C26303">
        <w:t>lecan</w:t>
      </w:r>
      <w:r w:rsidR="00294AA6">
        <w:t>e</w:t>
      </w:r>
      <w:r>
        <w:t xml:space="preserve">mab in clinical practice will not be known until the TGA label for </w:t>
      </w:r>
      <w:r w:rsidR="00294AA6">
        <w:t xml:space="preserve">lecanemab </w:t>
      </w:r>
      <w:r>
        <w:t>is finalised.</w:t>
      </w:r>
    </w:p>
    <w:p w14:paraId="374F566B" w14:textId="37C782A0" w:rsidR="00CE758A" w:rsidRPr="00AE1188" w:rsidRDefault="002E27EB" w:rsidP="00D55776">
      <w:pPr>
        <w:pBdr>
          <w:top w:val="single" w:sz="4" w:space="1" w:color="auto"/>
          <w:left w:val="single" w:sz="4" w:space="4" w:color="auto"/>
          <w:bottom w:val="single" w:sz="4" w:space="1" w:color="auto"/>
          <w:right w:val="single" w:sz="4" w:space="4" w:color="auto"/>
        </w:pBdr>
        <w:rPr>
          <w:szCs w:val="20"/>
        </w:rPr>
      </w:pPr>
      <w:r>
        <w:t>Should MRI monitoring be indicated, the Applicant assumes such MRI scans will be performed using existing MBS item numbers. The budget impact of any MRI monitoring, should it be required, will be incorporated within the Applicant Developed Assessment Report (ADAR).</w:t>
      </w:r>
    </w:p>
    <w:p w14:paraId="6358D257" w14:textId="77777777" w:rsidR="00D80201" w:rsidRDefault="00D80201" w:rsidP="00D55776"/>
    <w:p w14:paraId="116D8B40" w14:textId="77777777" w:rsidR="00A26EFC" w:rsidRDefault="00A26EFC" w:rsidP="00D55776"/>
    <w:bookmarkEnd w:id="29"/>
    <w:p w14:paraId="40AEA3D6" w14:textId="373AC65A" w:rsidR="00D269F6" w:rsidRDefault="00D269F6" w:rsidP="00D5577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4BDCC048" w14:textId="0396D16E" w:rsidR="00E8765D" w:rsidRPr="00E8765D" w:rsidRDefault="00E8765D" w:rsidP="00D55776">
      <w:r>
        <w:t>Not applicable.</w:t>
      </w:r>
    </w:p>
    <w:p w14:paraId="7AB3B6E9" w14:textId="716E3079" w:rsidR="00AB25F4" w:rsidRDefault="00AB25F4" w:rsidP="00D55776">
      <w:pPr>
        <w:spacing w:before="0" w:after="200" w:line="276" w:lineRule="auto"/>
        <w:ind w:left="0"/>
      </w:pPr>
      <w:r>
        <w:br w:type="page"/>
      </w:r>
    </w:p>
    <w:p w14:paraId="2B468739" w14:textId="67867BFE" w:rsidR="00282B37" w:rsidRDefault="00AB25F4" w:rsidP="00D55776">
      <w:pPr>
        <w:pStyle w:val="Heading1"/>
      </w:pPr>
      <w:r>
        <w:lastRenderedPageBreak/>
        <w:t>References</w:t>
      </w:r>
    </w:p>
    <w:sectPr w:rsidR="00282B37" w:rsidSect="00DD308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9341" w14:textId="77777777" w:rsidR="009B0C13" w:rsidRDefault="009B0C13" w:rsidP="0000380D">
      <w:r>
        <w:separator/>
      </w:r>
    </w:p>
  </w:endnote>
  <w:endnote w:type="continuationSeparator" w:id="0">
    <w:p w14:paraId="687DDE65" w14:textId="77777777" w:rsidR="009B0C13" w:rsidRDefault="009B0C13" w:rsidP="0000380D">
      <w:r>
        <w:continuationSeparator/>
      </w:r>
    </w:p>
  </w:endnote>
  <w:endnote w:type="continuationNotice" w:id="1">
    <w:p w14:paraId="36A93EDA" w14:textId="77777777" w:rsidR="009B0C13" w:rsidRDefault="009B0C13">
      <w:pPr>
        <w:spacing w:before="0" w:after="0"/>
      </w:pPr>
    </w:p>
  </w:endnote>
  <w:endnote w:id="2">
    <w:p w14:paraId="7369EF10" w14:textId="20F0FA87" w:rsidR="000C120C" w:rsidRPr="00E2297C" w:rsidRDefault="000C120C"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0257D3" w:rsidRPr="00E2297C">
        <w:rPr>
          <w:sz w:val="22"/>
          <w:szCs w:val="22"/>
          <w:lang w:val="en-US"/>
        </w:rPr>
        <w:t xml:space="preserve">WHO (2022) Dementia. Available at: </w:t>
      </w:r>
      <w:hyperlink r:id="rId1" w:history="1">
        <w:r w:rsidR="000257D3" w:rsidRPr="00E2297C">
          <w:rPr>
            <w:rStyle w:val="Hyperlink"/>
            <w:sz w:val="22"/>
            <w:szCs w:val="22"/>
            <w:lang w:val="en-US"/>
          </w:rPr>
          <w:t>https://www.who.int/news-room/fact-sheets/detail/dementia</w:t>
        </w:r>
      </w:hyperlink>
      <w:r w:rsidR="000257D3" w:rsidRPr="00E2297C">
        <w:rPr>
          <w:sz w:val="22"/>
          <w:szCs w:val="22"/>
          <w:lang w:val="en-US"/>
        </w:rPr>
        <w:t xml:space="preserve"> (Accessed: November </w:t>
      </w:r>
      <w:r w:rsidR="00061D59" w:rsidRPr="00E2297C">
        <w:rPr>
          <w:sz w:val="22"/>
          <w:szCs w:val="22"/>
          <w:lang w:val="en-US"/>
        </w:rPr>
        <w:t>16, 2022)</w:t>
      </w:r>
    </w:p>
  </w:endnote>
  <w:endnote w:id="3">
    <w:p w14:paraId="7C532B19" w14:textId="1FE5B703" w:rsidR="008D0D81" w:rsidRPr="00E2297C" w:rsidRDefault="008D0D81"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6B1008" w:rsidRPr="00E2297C">
        <w:rPr>
          <w:sz w:val="22"/>
          <w:szCs w:val="22"/>
        </w:rPr>
        <w:t>Australian Government Department of Health and Aged Care (2022) PET units in Australia, Australian Government Department of Health and Aged Care. Australian Government Department of Health and Aged Care. Available at:</w:t>
      </w:r>
      <w:r w:rsidRPr="00E2297C">
        <w:rPr>
          <w:sz w:val="22"/>
          <w:szCs w:val="22"/>
        </w:rPr>
        <w:t xml:space="preserve"> https://www.health.gov.au/health-topics/diagnostic-imaging/mri-and-pet-locations/pet-australia</w:t>
      </w:r>
      <w:r w:rsidR="006B1008" w:rsidRPr="00E2297C">
        <w:rPr>
          <w:sz w:val="22"/>
          <w:szCs w:val="22"/>
        </w:rPr>
        <w:t xml:space="preserve"> (Accessed: November 11, 2022).</w:t>
      </w:r>
    </w:p>
  </w:endnote>
  <w:endnote w:id="4">
    <w:p w14:paraId="1DA94E1A" w14:textId="515A61C0" w:rsidR="008D0D81" w:rsidRPr="00E2297C" w:rsidRDefault="008D0D81"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C572DC" w:rsidRPr="00E2297C">
        <w:rPr>
          <w:sz w:val="22"/>
          <w:szCs w:val="22"/>
        </w:rPr>
        <w:t>Compounded products (2022) Cyclotek. Available at:</w:t>
      </w:r>
      <w:r w:rsidRPr="00E2297C">
        <w:rPr>
          <w:sz w:val="22"/>
          <w:szCs w:val="22"/>
        </w:rPr>
        <w:t xml:space="preserve"> https://www.cyclotek.com/compounded-products/</w:t>
      </w:r>
      <w:r w:rsidR="00C572DC" w:rsidRPr="00E2297C">
        <w:rPr>
          <w:sz w:val="22"/>
          <w:szCs w:val="22"/>
        </w:rPr>
        <w:t xml:space="preserve"> (Accessed: November 11, 2022).</w:t>
      </w:r>
    </w:p>
  </w:endnote>
  <w:endnote w:id="5">
    <w:p w14:paraId="1E78279E" w14:textId="246FAF3B" w:rsidR="007E7256" w:rsidRPr="00E2297C" w:rsidRDefault="007E7256"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3E784E" w:rsidRPr="00E2297C">
        <w:rPr>
          <w:sz w:val="22"/>
          <w:szCs w:val="22"/>
        </w:rPr>
        <w:t>Scientific Services and facilities - florey (2022). Available at: https://florey.edu.au/science-research/scientific-services-facilities (Accessed: November 11, 2022).</w:t>
      </w:r>
    </w:p>
  </w:endnote>
  <w:endnote w:id="6">
    <w:p w14:paraId="734E416C" w14:textId="635BB430" w:rsidR="00BA7036" w:rsidRPr="00E2297C" w:rsidRDefault="00BA7036"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6779BD" w:rsidRPr="00E2297C">
        <w:rPr>
          <w:sz w:val="22"/>
          <w:szCs w:val="22"/>
        </w:rPr>
        <w:t>Diagnosing alzheimer’s disease - EUROIMMUN AG (no date). Available at: https://www.euroimmun.com/documents/Indications/Antigen-detection/Alzheimers-disease/EQ_6500_I_UK_A.pdf (Accessed: November 11, 2022).</w:t>
      </w:r>
    </w:p>
  </w:endnote>
  <w:endnote w:id="7">
    <w:p w14:paraId="6687232F" w14:textId="71993CB6" w:rsidR="004A7128" w:rsidRPr="00E2297C" w:rsidRDefault="004A7128"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473720" w:rsidRPr="00E2297C">
        <w:rPr>
          <w:sz w:val="22"/>
          <w:szCs w:val="22"/>
        </w:rPr>
        <w:t>INNOGENETICS (2008) “INNO-BIA AlzBio3 .” INNOGENETICS.</w:t>
      </w:r>
      <w:r w:rsidR="00462CC3" w:rsidRPr="00E2297C">
        <w:rPr>
          <w:sz w:val="22"/>
          <w:szCs w:val="22"/>
        </w:rPr>
        <w:t xml:space="preserve"> https://search.cosmobio.co.jp/cosmo_search_p/search_gate2/docs/IGT_/80584.20090219.pdf</w:t>
      </w:r>
    </w:p>
  </w:endnote>
  <w:endnote w:id="8">
    <w:p w14:paraId="18CB8676" w14:textId="2B9D68A3" w:rsidR="00FA4A08" w:rsidRPr="00E2297C" w:rsidRDefault="00FA4A08"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AD4DBE" w:rsidRPr="00E2297C">
        <w:rPr>
          <w:sz w:val="22"/>
          <w:szCs w:val="22"/>
        </w:rPr>
        <w:t>Neurology (2022) Diagnostics. Available at: https://diagnostics.roche.com/global/en/products/product-category/neurology.html (Accessed: November 11, 2022).</w:t>
      </w:r>
    </w:p>
  </w:endnote>
  <w:endnote w:id="9">
    <w:p w14:paraId="170906BE" w14:textId="227D0AD0" w:rsidR="00932796" w:rsidRPr="00E2297C" w:rsidRDefault="00932796"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83119F" w:rsidRPr="00E2297C">
        <w:rPr>
          <w:sz w:val="22"/>
          <w:szCs w:val="22"/>
        </w:rPr>
        <w:t>Neurodegeneration (2022) Fujirebio. Available at: https://www.fujirebio.com/en/products-solutions/neurodegeneration (Accessed: November 11, 2022).</w:t>
      </w:r>
    </w:p>
  </w:endnote>
  <w:endnote w:id="10">
    <w:p w14:paraId="3E6BF119" w14:textId="3236F92A" w:rsidR="000C63AE" w:rsidRPr="00E2297C" w:rsidRDefault="000C63AE"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BF6CBC" w:rsidRPr="00E2297C">
        <w:rPr>
          <w:sz w:val="22"/>
          <w:szCs w:val="22"/>
        </w:rPr>
        <w:t>Eisai Inc (2020) A randomized, double-blind, placebo-controlled, combined single ascending dose and multiple ascending dose study - full text view, Full Text View - ClinicalTrials.gov. Available at: https://clinicaltrials.gov/ct2/show/NCT01230853 (Accessed: November 11, 2022).</w:t>
      </w:r>
    </w:p>
  </w:endnote>
  <w:endnote w:id="11">
    <w:p w14:paraId="56DD5973" w14:textId="2492445E" w:rsidR="003F4C57" w:rsidRPr="00E2297C" w:rsidRDefault="003F4C57"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7127F5" w:rsidRPr="00E2297C">
        <w:rPr>
          <w:sz w:val="22"/>
          <w:szCs w:val="22"/>
        </w:rPr>
        <w:t>Eisai Inc and Biogen (2022) A study to evaluate safety, tolerability, and efficacy of Lecanemab in subjects with early alzheimer's disease - tabular view, Tabular View - ClinicalTrials.gov. Available at: https://clinicaltrials.gov/ct2/show/record/NCT01767311?term=lecanemab&amp;amp;draw=2 (Accessed: November 11, 2022).</w:t>
      </w:r>
    </w:p>
  </w:endnote>
  <w:endnote w:id="12">
    <w:p w14:paraId="5D1D9763" w14:textId="63D2A44A" w:rsidR="00E71DAE" w:rsidRPr="00E2297C" w:rsidRDefault="00E71DAE"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253A29" w:rsidRPr="00E2297C">
        <w:rPr>
          <w:sz w:val="22"/>
          <w:szCs w:val="22"/>
        </w:rPr>
        <w:t>Eisai Inc and Biogen (2022) A study to evaluate safety, tolerability, and efficacy of Lecanemab in subjects with early alzheimer's disease - tabular view, Tabular View - ClinicalTrials.gov. Available at: https://clinicaltrials.gov/ct2/show/record/NCT01767311?term=lecanemab&amp;amp;draw=2 (Accessed: November 11, 2022).</w:t>
      </w:r>
    </w:p>
  </w:endnote>
  <w:endnote w:id="13">
    <w:p w14:paraId="6FF07906" w14:textId="6189DE2B" w:rsidR="00977407" w:rsidRPr="00E2297C" w:rsidRDefault="00977407"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A50DCE" w:rsidRPr="00E2297C">
        <w:rPr>
          <w:sz w:val="22"/>
          <w:szCs w:val="22"/>
        </w:rPr>
        <w:t>Eisai and Biogen (2022) A study to confirm safety and efficacy of Lecanemab in participants with early alzheimer's disease - full text view, A Study to Confirm Safety and Efficacy of Lecanemab in Participants With Early Alzheimer's Disease - Full Text View - ClinicalTrials.gov. Available at: https://clinicaltrials.gov/ct2/show/NCT03887455 (Accessed: November 11, 2022).</w:t>
      </w:r>
    </w:p>
  </w:endnote>
  <w:endnote w:id="14">
    <w:p w14:paraId="31F6C4DA" w14:textId="13C268B7" w:rsidR="0074121B" w:rsidRPr="00E2297C" w:rsidRDefault="0074121B"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4E41CC" w:rsidRPr="00E2297C">
        <w:rPr>
          <w:sz w:val="22"/>
          <w:szCs w:val="22"/>
        </w:rPr>
        <w:t>NationalInstituteofAgeing (2021) Alzheimer's disease fact sheet, National Institute on Aging. U.S. Department of Health and Human Services. Available at: https://www.nia.nih.gov/health/alzheimers-disease-fact-sheet (Accessed: November 11, 2022).</w:t>
      </w:r>
    </w:p>
  </w:endnote>
  <w:endnote w:id="15">
    <w:p w14:paraId="68587CBF" w14:textId="40DF9831" w:rsidR="00F43D07" w:rsidRPr="00E2297C" w:rsidRDefault="00F43D07"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Brookmeyer R, Abdalla N. Estimation of lifetime risks of Alzheimer's disease dementia using biomarkers for preclinical disease. </w:t>
      </w:r>
      <w:r w:rsidRPr="00E2297C">
        <w:rPr>
          <w:i/>
          <w:sz w:val="22"/>
          <w:szCs w:val="22"/>
        </w:rPr>
        <w:t xml:space="preserve">Alzheimers Dement. </w:t>
      </w:r>
      <w:r w:rsidRPr="00E2297C">
        <w:rPr>
          <w:sz w:val="22"/>
          <w:szCs w:val="22"/>
        </w:rPr>
        <w:t>2018;14(8):981-988.</w:t>
      </w:r>
    </w:p>
  </w:endnote>
  <w:endnote w:id="16">
    <w:p w14:paraId="54E6E509" w14:textId="172BCD6B" w:rsidR="0045055B" w:rsidRPr="00E2297C" w:rsidRDefault="0045055B"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Hatashita S, Wakebe D. Amyloid β deposition and glucose metabolism on the long-term progression of preclinical Alzheimer's disease. </w:t>
      </w:r>
      <w:r w:rsidRPr="00E2297C">
        <w:rPr>
          <w:i/>
          <w:sz w:val="22"/>
          <w:szCs w:val="22"/>
        </w:rPr>
        <w:t xml:space="preserve">Future science OA. </w:t>
      </w:r>
      <w:r w:rsidRPr="00E2297C">
        <w:rPr>
          <w:sz w:val="22"/>
          <w:szCs w:val="22"/>
        </w:rPr>
        <w:t>2019;5(3):Fso356.</w:t>
      </w:r>
    </w:p>
  </w:endnote>
  <w:endnote w:id="17">
    <w:p w14:paraId="38E10270" w14:textId="19D27FEA" w:rsidR="006B0959" w:rsidRPr="00E2297C" w:rsidRDefault="006B0959"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Hatashita S, Wakebe D. Amyloid-β Deposition and Long-Term Progression in Mild Cognitive Impairment due to Alzheimer's Disease Defined with Amyloid PET Imaging. </w:t>
      </w:r>
      <w:r w:rsidRPr="00E2297C">
        <w:rPr>
          <w:i/>
          <w:sz w:val="22"/>
          <w:szCs w:val="22"/>
        </w:rPr>
        <w:t xml:space="preserve">J Alzheimers Dis. </w:t>
      </w:r>
      <w:r w:rsidRPr="00E2297C">
        <w:rPr>
          <w:sz w:val="22"/>
          <w:szCs w:val="22"/>
        </w:rPr>
        <w:t>2017;57(3):765-773.</w:t>
      </w:r>
    </w:p>
  </w:endnote>
  <w:endnote w:id="18">
    <w:p w14:paraId="65B71143" w14:textId="420D65DD" w:rsidR="003E3E7D" w:rsidRPr="00E2297C" w:rsidRDefault="003E3E7D"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Collaborators GBDD. Global, regional, and national burden of Alzheimer's disease and other dementias, 1990-2016: a systematic analysis for the Global Burden of Disease Study 2016. Lancet Neurol. 2019;18(1):88-106.</w:t>
      </w:r>
    </w:p>
  </w:endnote>
  <w:endnote w:id="19">
    <w:p w14:paraId="7E642475" w14:textId="253D5D43" w:rsidR="00CA5C90" w:rsidRPr="00E2297C" w:rsidRDefault="00CA5C90"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Kramarow EA, Tejada-Vera B. Dementia Mortality in the United States, 2000-2017. </w:t>
      </w:r>
      <w:r w:rsidRPr="00E2297C">
        <w:rPr>
          <w:i/>
          <w:sz w:val="22"/>
          <w:szCs w:val="22"/>
        </w:rPr>
        <w:t xml:space="preserve">Natl Vital Stat Rep. </w:t>
      </w:r>
      <w:r w:rsidRPr="00E2297C">
        <w:rPr>
          <w:sz w:val="22"/>
          <w:szCs w:val="22"/>
        </w:rPr>
        <w:t>2019;68(2):1-29.</w:t>
      </w:r>
    </w:p>
  </w:endnote>
  <w:endnote w:id="20">
    <w:p w14:paraId="54AAFB62" w14:textId="292DF214" w:rsidR="002A2456" w:rsidRPr="00E2297C" w:rsidRDefault="002A2456"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National Institute on Aging. Alzheimer's Disease Fact Sheet. </w:t>
      </w:r>
      <w:hyperlink r:id="rId2" w:history="1">
        <w:r w:rsidRPr="00E2297C">
          <w:rPr>
            <w:rStyle w:val="Hyperlink"/>
            <w:sz w:val="22"/>
            <w:szCs w:val="22"/>
          </w:rPr>
          <w:t>https://www.nia.nih.gov/health/alzheimers-disease-fact-sheet</w:t>
        </w:r>
      </w:hyperlink>
      <w:r w:rsidRPr="00E2297C">
        <w:rPr>
          <w:sz w:val="22"/>
          <w:szCs w:val="22"/>
        </w:rPr>
        <w:t>. Published 2021. Accessed January 10, 2022, 2021.</w:t>
      </w:r>
    </w:p>
  </w:endnote>
  <w:endnote w:id="21">
    <w:p w14:paraId="4E5CE119" w14:textId="652E5A3C" w:rsidR="00664A5F" w:rsidRPr="00E2297C" w:rsidRDefault="00664A5F"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Price A, Farooq R, Yuan JM, Menon VB, Cardinal RN, O'Brien JT. Mortality in dementia with Lewy bodies compared with Alzheimer's dementia: a retrospective naturalistic cohort study. </w:t>
      </w:r>
      <w:r w:rsidRPr="00E2297C">
        <w:rPr>
          <w:i/>
          <w:sz w:val="22"/>
          <w:szCs w:val="22"/>
        </w:rPr>
        <w:t xml:space="preserve">BMJ Open. </w:t>
      </w:r>
      <w:r w:rsidRPr="00E2297C">
        <w:rPr>
          <w:sz w:val="22"/>
          <w:szCs w:val="22"/>
        </w:rPr>
        <w:t>2017;7(11):e017504.</w:t>
      </w:r>
    </w:p>
  </w:endnote>
  <w:endnote w:id="22">
    <w:p w14:paraId="7E2C99DF" w14:textId="05AD9437" w:rsidR="001B1ECA" w:rsidRPr="00E2297C" w:rsidRDefault="001B1ECA"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Atri A. The Alzheimer's Disease Clinical Spectrum: Diagnosis and Management. </w:t>
      </w:r>
      <w:r w:rsidRPr="00E2297C">
        <w:rPr>
          <w:i/>
          <w:sz w:val="22"/>
          <w:szCs w:val="22"/>
        </w:rPr>
        <w:t xml:space="preserve">Med Clin North Am. </w:t>
      </w:r>
      <w:r w:rsidRPr="00E2297C">
        <w:rPr>
          <w:sz w:val="22"/>
          <w:szCs w:val="22"/>
        </w:rPr>
        <w:t>2019;103(2):263-293.</w:t>
      </w:r>
    </w:p>
  </w:endnote>
  <w:endnote w:id="23">
    <w:p w14:paraId="7AC3FD68" w14:textId="71C1E356" w:rsidR="000D0CD3" w:rsidRPr="00E2297C" w:rsidRDefault="000D0CD3"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Jack CR, Jr., Knopman DS, Jagust WJ, et al. Tracking pathophysiological processes in Alzheimer's disease: an updated hypothetical model of dynamic biomarkers. </w:t>
      </w:r>
      <w:r w:rsidRPr="00E2297C">
        <w:rPr>
          <w:i/>
          <w:sz w:val="22"/>
          <w:szCs w:val="22"/>
        </w:rPr>
        <w:t xml:space="preserve">Lancet Neurol. </w:t>
      </w:r>
      <w:r w:rsidRPr="00E2297C">
        <w:rPr>
          <w:sz w:val="22"/>
          <w:szCs w:val="22"/>
        </w:rPr>
        <w:t>2013;12(2):207-216.</w:t>
      </w:r>
    </w:p>
  </w:endnote>
  <w:endnote w:id="24">
    <w:p w14:paraId="0CE289D8" w14:textId="12C30408" w:rsidR="00795F16" w:rsidRPr="00E2297C" w:rsidRDefault="00795F16"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Vos SJ, Verhey F, Frölich L, et al. Prevalence and prognosis of Alzheimer's disease at the mild cognitive impairment stage. </w:t>
      </w:r>
      <w:r w:rsidRPr="00E2297C">
        <w:rPr>
          <w:i/>
          <w:sz w:val="22"/>
          <w:szCs w:val="22"/>
        </w:rPr>
        <w:t xml:space="preserve">Brain. </w:t>
      </w:r>
      <w:r w:rsidRPr="00E2297C">
        <w:rPr>
          <w:sz w:val="22"/>
          <w:szCs w:val="22"/>
        </w:rPr>
        <w:t>2015;138(Pt 5):1327-1338.</w:t>
      </w:r>
    </w:p>
  </w:endnote>
  <w:endnote w:id="25">
    <w:p w14:paraId="148E496D" w14:textId="21B96996" w:rsidR="00DA7FC6" w:rsidRPr="00E2297C" w:rsidRDefault="00DA7FC6"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Knopman DS, Gottesman RF, Sharrett AR, et al. Mild Cognitive Impairment and Dementia Prevalence: The Atherosclerosis Risk in Communities Neurocognitive Study (ARIC-NCS). </w:t>
      </w:r>
      <w:r w:rsidRPr="00E2297C">
        <w:rPr>
          <w:i/>
          <w:sz w:val="22"/>
          <w:szCs w:val="22"/>
        </w:rPr>
        <w:t xml:space="preserve">Alzheimers Dement (Amst). </w:t>
      </w:r>
      <w:r w:rsidRPr="00E2297C">
        <w:rPr>
          <w:sz w:val="22"/>
          <w:szCs w:val="22"/>
        </w:rPr>
        <w:t>2016;2:1-11.</w:t>
      </w:r>
    </w:p>
  </w:endnote>
  <w:endnote w:id="26">
    <w:p w14:paraId="1A04E286" w14:textId="36D2B48D" w:rsidR="007B0AFA" w:rsidRPr="00E2297C" w:rsidRDefault="007B0AFA"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Gillis C, Mirzaei F, Potashman M, Ikram MA, Maserejian N. The incidence of mild cognitive impairment: A systematic review and data synthesis. </w:t>
      </w:r>
      <w:r w:rsidRPr="00E2297C">
        <w:rPr>
          <w:i/>
          <w:sz w:val="22"/>
          <w:szCs w:val="22"/>
        </w:rPr>
        <w:t xml:space="preserve">Alzheimers Dement (Amst). </w:t>
      </w:r>
      <w:r w:rsidRPr="00E2297C">
        <w:rPr>
          <w:sz w:val="22"/>
          <w:szCs w:val="22"/>
        </w:rPr>
        <w:t>2019;11:248-256.</w:t>
      </w:r>
    </w:p>
  </w:endnote>
  <w:endnote w:id="27">
    <w:p w14:paraId="54E71837" w14:textId="15A17159" w:rsidR="001B2EF3" w:rsidRPr="00E2297C" w:rsidRDefault="001B2EF3"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BF25B4" w:rsidRPr="00E2297C">
        <w:rPr>
          <w:sz w:val="22"/>
          <w:szCs w:val="22"/>
        </w:rPr>
        <w:t>Rabinovici, G.D. et al. (2019) Association of amyloid positron emission tomography with subsequent change in clinical management among Medicare beneficiaries with mild cognitive impairment or dementia. JAMA, 321(13), p. 1286. Available at: https://doi.org/10.1001/jama.2019.2000.</w:t>
      </w:r>
    </w:p>
  </w:endnote>
  <w:endnote w:id="28">
    <w:p w14:paraId="73571072" w14:textId="1B0C34EA" w:rsidR="000B3A5C" w:rsidRPr="00E2297C" w:rsidRDefault="000B3A5C"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976BCB" w:rsidRPr="00E2297C">
        <w:rPr>
          <w:rStyle w:val="cf01"/>
          <w:color w:val="auto"/>
          <w:sz w:val="20"/>
          <w:szCs w:val="20"/>
        </w:rPr>
        <w:t>Hampel, H., Hardy, J., Blennow, K. </w:t>
      </w:r>
      <w:r w:rsidR="00976BCB" w:rsidRPr="00E2297C">
        <w:rPr>
          <w:rStyle w:val="cf11"/>
          <w:color w:val="auto"/>
          <w:sz w:val="20"/>
          <w:szCs w:val="20"/>
        </w:rPr>
        <w:t>et al.</w:t>
      </w:r>
      <w:r w:rsidR="00976BCB" w:rsidRPr="00E2297C">
        <w:rPr>
          <w:rStyle w:val="cf01"/>
          <w:color w:val="auto"/>
          <w:sz w:val="20"/>
          <w:szCs w:val="20"/>
        </w:rPr>
        <w:t> The Amyloid-β Pathway in Alzheimer’s Disease. </w:t>
      </w:r>
      <w:r w:rsidR="00976BCB" w:rsidRPr="00E2297C">
        <w:rPr>
          <w:rStyle w:val="cf11"/>
          <w:color w:val="auto"/>
          <w:sz w:val="20"/>
          <w:szCs w:val="20"/>
        </w:rPr>
        <w:t>Mol Psychiatry</w:t>
      </w:r>
      <w:r w:rsidR="00976BCB" w:rsidRPr="00E2297C">
        <w:rPr>
          <w:rStyle w:val="cf01"/>
          <w:color w:val="auto"/>
          <w:sz w:val="20"/>
          <w:szCs w:val="20"/>
        </w:rPr>
        <w:t> </w:t>
      </w:r>
      <w:r w:rsidR="00976BCB" w:rsidRPr="00E2297C">
        <w:rPr>
          <w:rStyle w:val="cf21"/>
          <w:color w:val="auto"/>
          <w:sz w:val="20"/>
          <w:szCs w:val="20"/>
        </w:rPr>
        <w:t>26</w:t>
      </w:r>
      <w:r w:rsidR="00976BCB" w:rsidRPr="00E2297C">
        <w:rPr>
          <w:rStyle w:val="cf01"/>
          <w:color w:val="auto"/>
          <w:sz w:val="20"/>
          <w:szCs w:val="20"/>
        </w:rPr>
        <w:t>, 5481–5503 (2021).</w:t>
      </w:r>
    </w:p>
  </w:endnote>
  <w:endnote w:id="29">
    <w:p w14:paraId="05E4A744" w14:textId="493BB6B6" w:rsidR="0000528A" w:rsidRPr="00E2297C" w:rsidRDefault="0000528A" w:rsidP="00E2297C">
      <w:pPr>
        <w:pStyle w:val="EndnoteText"/>
        <w:spacing w:before="120" w:after="120"/>
        <w:rPr>
          <w:sz w:val="22"/>
          <w:szCs w:val="22"/>
        </w:rPr>
      </w:pPr>
      <w:r w:rsidRPr="00E2297C">
        <w:rPr>
          <w:rStyle w:val="EndnoteReference"/>
          <w:sz w:val="22"/>
          <w:szCs w:val="22"/>
        </w:rPr>
        <w:endnoteRef/>
      </w:r>
      <w:r w:rsidRPr="00E2297C">
        <w:rPr>
          <w:sz w:val="22"/>
          <w:szCs w:val="22"/>
        </w:rPr>
        <w:t xml:space="preserve"> Hampel, H., Hardy, J., Blennow, K. et al. The Amyloid-β Pathway in Alzheimer’s Disease. Mol Psychiatry 26, 5481–5503 (2021). https://doi.org/10.1038/s41380-021-01249-0</w:t>
      </w:r>
    </w:p>
  </w:endnote>
  <w:endnote w:id="30">
    <w:p w14:paraId="280B64BE" w14:textId="427EDE41" w:rsidR="006D56DD" w:rsidRPr="00E2297C" w:rsidRDefault="006D56DD" w:rsidP="00E2297C">
      <w:pPr>
        <w:pStyle w:val="EndnoteText"/>
        <w:spacing w:before="120" w:after="120"/>
        <w:ind w:left="0"/>
        <w:rPr>
          <w:sz w:val="22"/>
          <w:szCs w:val="22"/>
        </w:rPr>
      </w:pPr>
    </w:p>
  </w:endnote>
  <w:endnote w:id="31">
    <w:p w14:paraId="3310DCB0" w14:textId="43A1477B" w:rsidR="00637FC3" w:rsidRPr="00E2297C" w:rsidRDefault="00637FC3"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Eisai. DRAFT PRESCRIBING INFORMATION - lecanemab. 2021.</w:t>
      </w:r>
    </w:p>
  </w:endnote>
  <w:endnote w:id="32">
    <w:p w14:paraId="11F07467" w14:textId="0F70A6EC" w:rsidR="00021048" w:rsidRPr="00E2297C" w:rsidRDefault="00021048"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Cummings J, Aisen PS, DuBois B, et al. Drug development in Alzheimer’s disease: the path to 2025. </w:t>
      </w:r>
      <w:r w:rsidRPr="00E2297C">
        <w:rPr>
          <w:i/>
          <w:sz w:val="22"/>
          <w:szCs w:val="22"/>
        </w:rPr>
        <w:t xml:space="preserve">Alzheimer's Research &amp; Therapy. </w:t>
      </w:r>
      <w:r w:rsidRPr="00E2297C">
        <w:rPr>
          <w:sz w:val="22"/>
          <w:szCs w:val="22"/>
        </w:rPr>
        <w:t>2016;8(1):39.</w:t>
      </w:r>
    </w:p>
  </w:endnote>
  <w:endnote w:id="33">
    <w:p w14:paraId="0753B9AC" w14:textId="7C1AA65D" w:rsidR="00501DCA" w:rsidRPr="00E2297C" w:rsidRDefault="00501DCA"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Grossberg GT, Tong G, Burke AD, Tariot PN. Present Algorithms and Future Treatments for Alzheimer's Disease. </w:t>
      </w:r>
      <w:r w:rsidRPr="00E2297C">
        <w:rPr>
          <w:i/>
          <w:sz w:val="22"/>
          <w:szCs w:val="22"/>
        </w:rPr>
        <w:t xml:space="preserve">Journal of Alzheimer's disease : JAD. </w:t>
      </w:r>
      <w:r w:rsidRPr="00E2297C">
        <w:rPr>
          <w:sz w:val="22"/>
          <w:szCs w:val="22"/>
        </w:rPr>
        <w:t>2019;67(4):1157-1171.</w:t>
      </w:r>
    </w:p>
  </w:endnote>
  <w:endnote w:id="34">
    <w:p w14:paraId="0C937CF1" w14:textId="1777C08B" w:rsidR="000C3A2C" w:rsidRPr="00E2297C" w:rsidRDefault="000C3A2C"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Lundbeck Ltd. Ebixa 10 mg Film-coated Tablets: Summary of Product Characteristics. 2021.</w:t>
      </w:r>
    </w:p>
  </w:endnote>
  <w:endnote w:id="35">
    <w:p w14:paraId="225CF2B0" w14:textId="147F7AB6" w:rsidR="00AA2DDB" w:rsidRPr="00E2297C" w:rsidRDefault="00AA2DDB"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6070CC" w:rsidRPr="00E2297C">
        <w:rPr>
          <w:sz w:val="22"/>
          <w:szCs w:val="22"/>
        </w:rPr>
        <w:t>Eisai. DRAFT PRESCRIBING INFORMATION - lecanemab. 2021.</w:t>
      </w:r>
    </w:p>
  </w:endnote>
  <w:endnote w:id="36">
    <w:p w14:paraId="47C9445D" w14:textId="22EF6FA2" w:rsidR="00912A6C" w:rsidRPr="00E2297C" w:rsidRDefault="00912A6C"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Chawla PAP, V. Alzheimer’s Disease: The Unwanted Companion of Elderly. </w:t>
      </w:r>
      <w:r w:rsidRPr="00E2297C">
        <w:rPr>
          <w:i/>
          <w:sz w:val="22"/>
          <w:szCs w:val="22"/>
        </w:rPr>
        <w:t xml:space="preserve">CNS &amp; Neurological Disorders - Drug Targets. </w:t>
      </w:r>
      <w:r w:rsidRPr="00E2297C">
        <w:rPr>
          <w:sz w:val="22"/>
          <w:szCs w:val="22"/>
        </w:rPr>
        <w:t>2020;19(9).</w:t>
      </w:r>
    </w:p>
  </w:endnote>
  <w:endnote w:id="37">
    <w:p w14:paraId="3513B505" w14:textId="4E42F5E7" w:rsidR="00171672" w:rsidRPr="00E2297C" w:rsidRDefault="00171672"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Logovinsky V, Satlin A, Lai R, et al. Safety and tolerability of BAN2401--a clinical study in Alzheimer's disease with a protofibril selective Abeta antibody. Alzheimers Res Ther. 2016;8(1):14.</w:t>
      </w:r>
    </w:p>
  </w:endnote>
  <w:endnote w:id="38">
    <w:p w14:paraId="5DBFF408" w14:textId="17EE1E2F" w:rsidR="00575003" w:rsidRPr="00E2297C" w:rsidRDefault="00575003"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821317" w:rsidRPr="00E2297C">
        <w:rPr>
          <w:sz w:val="22"/>
          <w:szCs w:val="22"/>
        </w:rPr>
        <w:t xml:space="preserve">ClinicalTrials.gov. A Study to Evaluate Safety, Tolerability, and Efficacy of Lecanemab in Subjects With EarlyAlzheimer's Disease. </w:t>
      </w:r>
      <w:hyperlink r:id="rId3" w:history="1">
        <w:r w:rsidR="00821317" w:rsidRPr="00E2297C">
          <w:rPr>
            <w:rStyle w:val="Hyperlink"/>
            <w:sz w:val="22"/>
            <w:szCs w:val="22"/>
          </w:rPr>
          <w:t>https://clinicaltrials.gov/ct2/show/record/NCT01767311?term=lecanemab&amp;draw=2&amp;rank=3</w:t>
        </w:r>
      </w:hyperlink>
      <w:r w:rsidR="00821317" w:rsidRPr="00E2297C">
        <w:rPr>
          <w:sz w:val="22"/>
          <w:szCs w:val="22"/>
        </w:rPr>
        <w:t>. Published 2021. Accessed August 19, 2021, 2021.</w:t>
      </w:r>
    </w:p>
  </w:endnote>
  <w:endnote w:id="39">
    <w:p w14:paraId="6063515C" w14:textId="57DFA3EB" w:rsidR="00821317" w:rsidRPr="00E2297C" w:rsidRDefault="00821317"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C87B3F" w:rsidRPr="00E2297C">
        <w:rPr>
          <w:sz w:val="22"/>
          <w:szCs w:val="22"/>
        </w:rPr>
        <w:t xml:space="preserve">ClinicalTrials.gov. A Study to Confirm Safety and Efficacy of Lecanemab in Participants With Early Alzheimer's Disease (Clarity AD). </w:t>
      </w:r>
      <w:hyperlink r:id="rId4" w:history="1">
        <w:r w:rsidR="00C87B3F" w:rsidRPr="00E2297C">
          <w:rPr>
            <w:rStyle w:val="Hyperlink"/>
            <w:sz w:val="22"/>
            <w:szCs w:val="22"/>
          </w:rPr>
          <w:t>https://clinicaltrials.gov/ct2/show/NCT03887455</w:t>
        </w:r>
      </w:hyperlink>
      <w:r w:rsidR="00C87B3F" w:rsidRPr="00E2297C">
        <w:rPr>
          <w:sz w:val="22"/>
          <w:szCs w:val="22"/>
        </w:rPr>
        <w:t>.  Published 2021. Accessed 19 August, 2021.</w:t>
      </w:r>
    </w:p>
  </w:endnote>
  <w:endnote w:id="40">
    <w:p w14:paraId="456A9567" w14:textId="225A9450" w:rsidR="009F7089" w:rsidRPr="00E2297C" w:rsidRDefault="009F7089"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Swanson CJ, Zhang Y, Dhadda S, et al. A randomized, double-blind, phase 2b proof-of-concept clinical trial in early Alzheimer's disease with lecanemab, an anti-Abeta protofibril antibody. </w:t>
      </w:r>
      <w:r w:rsidRPr="00E2297C">
        <w:rPr>
          <w:i/>
          <w:sz w:val="22"/>
          <w:szCs w:val="22"/>
        </w:rPr>
        <w:t xml:space="preserve">Alzheimers Res Ther. </w:t>
      </w:r>
      <w:r w:rsidRPr="00E2297C">
        <w:rPr>
          <w:sz w:val="22"/>
          <w:szCs w:val="22"/>
        </w:rPr>
        <w:t>2021;13(1):80.</w:t>
      </w:r>
    </w:p>
  </w:endnote>
  <w:endnote w:id="41">
    <w:p w14:paraId="2BC8AEC9" w14:textId="3E234B8A" w:rsidR="0033294A" w:rsidRPr="00E2297C" w:rsidRDefault="0033294A"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Eisai. Clinical Study Protocol (BAN2401-G000-301). Amendment 07 (data on file). 2021.</w:t>
      </w:r>
    </w:p>
  </w:endnote>
  <w:endnote w:id="42">
    <w:p w14:paraId="2A44310D" w14:textId="12DF8B72" w:rsidR="00CC4659" w:rsidRPr="00E2297C" w:rsidRDefault="00CC4659"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Irizarry MC. Data on File: Clinical, Biomarker, and Safety Outcomes in the Lecanemab Phase 2 Open Label Extension. 2021.</w:t>
      </w:r>
    </w:p>
  </w:endnote>
  <w:endnote w:id="43">
    <w:p w14:paraId="3EFA3517" w14:textId="55211581" w:rsidR="00B43A7A" w:rsidRPr="00E2297C" w:rsidRDefault="00B43A7A"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Irizarry MC. Data on File: Clinical, Biomarker, and Safety Outcomes in the Lecanemab Phase 2 Open Label Extension. 2021.</w:t>
      </w:r>
    </w:p>
  </w:endnote>
  <w:endnote w:id="44">
    <w:p w14:paraId="6E90B7E9" w14:textId="5F969EA2" w:rsidR="00F667EE" w:rsidRPr="00E2297C" w:rsidRDefault="00F667EE"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Irizarry MC. Data on File: Clinical, Biomarker, and Safety Outcomes in the Lecanemab Phase 2 Open Label Extension. 2021.</w:t>
      </w:r>
    </w:p>
  </w:endnote>
  <w:endnote w:id="45">
    <w:p w14:paraId="54962E4D" w14:textId="77777777" w:rsidR="00E17041" w:rsidRPr="00E2297C" w:rsidRDefault="00E17041" w:rsidP="00E2297C">
      <w:pPr>
        <w:pStyle w:val="EndnoteText"/>
        <w:spacing w:before="120" w:after="120"/>
        <w:ind w:left="0"/>
        <w:rPr>
          <w:sz w:val="22"/>
          <w:szCs w:val="22"/>
        </w:rPr>
      </w:pPr>
    </w:p>
  </w:endnote>
  <w:endnote w:id="46">
    <w:p w14:paraId="6C51533D" w14:textId="77777777" w:rsidR="008D0D32" w:rsidRPr="00E2297C" w:rsidRDefault="008D0D32" w:rsidP="00E2297C">
      <w:pPr>
        <w:pStyle w:val="EndnoteText"/>
        <w:spacing w:before="120" w:after="120"/>
        <w:rPr>
          <w:sz w:val="22"/>
          <w:szCs w:val="22"/>
        </w:rPr>
      </w:pPr>
      <w:r w:rsidRPr="00E2297C">
        <w:rPr>
          <w:rStyle w:val="EndnoteReference"/>
          <w:sz w:val="22"/>
          <w:szCs w:val="22"/>
        </w:rPr>
        <w:endnoteRef/>
      </w:r>
      <w:r w:rsidRPr="00E2297C">
        <w:rPr>
          <w:sz w:val="22"/>
          <w:szCs w:val="22"/>
        </w:rPr>
        <w:t xml:space="preserve"> Albert MS, DeKosky ST, Dickson D, Dubois B, Feldman HH, Fox NC, Gamst A, Holtzman DM, Jagust WJ, Petersen RC, Snyder PJ, Carrillo MC, Thies B, Phelps CH. The diagnosis of mild cognitive impairment due to Alzheimer's disease: recommendations from the National Institute on Aging-Alzheimer's Association workgroups on diagnostic guidelines for Alzheimer's disease. Alzheimers Dement. 2011 May;7(3):270-9. doi: 10.1016/j.jalz.2011.03.008. Epub 2011 Apr 21. PMID: 21514249; PMCID: PMC3312027.</w:t>
      </w:r>
    </w:p>
    <w:p w14:paraId="10A291F2" w14:textId="06F34765" w:rsidR="008D0D32" w:rsidRPr="00E2297C" w:rsidRDefault="008D0D32" w:rsidP="00E2297C">
      <w:pPr>
        <w:pStyle w:val="EndnoteText"/>
        <w:spacing w:before="120" w:after="120"/>
        <w:rPr>
          <w:sz w:val="22"/>
          <w:szCs w:val="22"/>
        </w:rPr>
      </w:pPr>
    </w:p>
  </w:endnote>
  <w:endnote w:id="47">
    <w:p w14:paraId="3B9D6FF9" w14:textId="25FD4BF2" w:rsidR="00D70EED" w:rsidRPr="00E2297C" w:rsidRDefault="00D70EED" w:rsidP="00E2297C">
      <w:pPr>
        <w:pStyle w:val="EndnoteText"/>
        <w:spacing w:before="120" w:after="120"/>
        <w:rPr>
          <w:sz w:val="22"/>
          <w:szCs w:val="22"/>
          <w:lang w:val="en-US"/>
        </w:rPr>
      </w:pPr>
      <w:r w:rsidRPr="00E2297C">
        <w:rPr>
          <w:rStyle w:val="EndnoteReference"/>
          <w:sz w:val="22"/>
          <w:szCs w:val="22"/>
        </w:rPr>
        <w:endnoteRef/>
      </w:r>
      <w:r w:rsidR="003340FB" w:rsidRPr="00E2297C">
        <w:rPr>
          <w:sz w:val="22"/>
          <w:szCs w:val="22"/>
        </w:rPr>
        <w:t>Dementia prevalence data (2022) Dementia Australia. Available at:</w:t>
      </w:r>
      <w:r w:rsidRPr="00E2297C">
        <w:rPr>
          <w:sz w:val="22"/>
          <w:szCs w:val="22"/>
        </w:rPr>
        <w:t xml:space="preserve"> https://www.dementia.org.au/information/statistics/prevalence-data</w:t>
      </w:r>
      <w:r w:rsidR="003340FB" w:rsidRPr="00E2297C">
        <w:rPr>
          <w:sz w:val="22"/>
          <w:szCs w:val="22"/>
        </w:rPr>
        <w:t xml:space="preserve"> (Accessed: November 11, 2022).</w:t>
      </w:r>
    </w:p>
  </w:endnote>
  <w:endnote w:id="48">
    <w:p w14:paraId="3376298B" w14:textId="6FA724A9" w:rsidR="006A1E81" w:rsidRPr="00E2297C" w:rsidRDefault="006A1E81"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7A560F" w:rsidRPr="00E2297C">
        <w:rPr>
          <w:sz w:val="22"/>
          <w:szCs w:val="22"/>
        </w:rPr>
        <w:t>AIHW (2012) Dementia in Australia, Australian Institute of Health and Welfare. Available at: https://www.aihw.gov.au/getmedia/199796bc-34bf-4c49-a046-7e83c24968f1/13995.pdf.aspx?inline=true (Accessed: November 11, 2022).</w:t>
      </w:r>
    </w:p>
  </w:endnote>
  <w:endnote w:id="49">
    <w:p w14:paraId="24DFFDED" w14:textId="2576AC4F" w:rsidR="009102AC" w:rsidRPr="00E2297C" w:rsidRDefault="009102AC"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1E01D1" w:rsidRPr="00E2297C">
        <w:rPr>
          <w:sz w:val="22"/>
          <w:szCs w:val="22"/>
        </w:rPr>
        <w:t>UniversityofMelbourne (2018) Physical activity guidelines for older australians with MCI. Available at:</w:t>
      </w:r>
      <w:r w:rsidRPr="00E2297C">
        <w:rPr>
          <w:sz w:val="22"/>
          <w:szCs w:val="22"/>
        </w:rPr>
        <w:t xml:space="preserve"> https://medicine.unimelb.edu.au/__data/assets/pdf_file/0008/2672846/PAG.pdf</w:t>
      </w:r>
      <w:r w:rsidR="001E01D1" w:rsidRPr="00E2297C">
        <w:rPr>
          <w:sz w:val="22"/>
          <w:szCs w:val="22"/>
        </w:rPr>
        <w:t xml:space="preserve"> (Accessed: November 11, 2022).</w:t>
      </w:r>
    </w:p>
  </w:endnote>
  <w:endnote w:id="50">
    <w:p w14:paraId="6E054AF8" w14:textId="707BF10D" w:rsidR="006A79A7" w:rsidRPr="00E2297C" w:rsidRDefault="006A79A7"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BA3A19" w:rsidRPr="00E2297C">
        <w:rPr>
          <w:sz w:val="22"/>
          <w:szCs w:val="22"/>
        </w:rPr>
        <w:t>AIHW (2022) Dementia in Australia, incidence of dementia, Australian Institute of Health and Welfare. Available at: https://www.aihw.gov.au/reports/dementia/dementia-in-aus/contents/population-health-impacts-of-dementia/incidence-of-dementia (Accessed: November 11, 2022).</w:t>
      </w:r>
    </w:p>
  </w:endnote>
  <w:endnote w:id="51">
    <w:p w14:paraId="53E84522" w14:textId="6E750BB8" w:rsidR="00E7170B" w:rsidRPr="00E2297C" w:rsidRDefault="00E7170B"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783CC3" w:rsidRPr="00E2297C">
        <w:rPr>
          <w:sz w:val="22"/>
          <w:szCs w:val="22"/>
        </w:rPr>
        <w:t>Sachdev, P.S. et al. (2014) “P2‐287: Prevalence of mild cognitive impairment (MCI) in diverse ethno‐cultural and geographical regions internationally: The Cosmic Collaboration,” Alzheimer's &amp;amp; Dementia, 10(4S_Part_14). Available at: https://doi.org/10.1016/j.jalz.2014.05.965.</w:t>
      </w:r>
    </w:p>
  </w:endnote>
  <w:endnote w:id="52">
    <w:p w14:paraId="22B0204B" w14:textId="4E22B864" w:rsidR="007F1FBD" w:rsidRPr="00E2297C" w:rsidRDefault="007F1FBD" w:rsidP="00E2297C">
      <w:pPr>
        <w:pStyle w:val="EndnoteText"/>
        <w:spacing w:before="120" w:after="120"/>
        <w:rPr>
          <w:sz w:val="22"/>
          <w:szCs w:val="22"/>
        </w:rPr>
      </w:pPr>
      <w:r w:rsidRPr="00E2297C">
        <w:rPr>
          <w:rStyle w:val="EndnoteReference"/>
          <w:sz w:val="22"/>
          <w:szCs w:val="22"/>
        </w:rPr>
        <w:endnoteRef/>
      </w:r>
      <w:r w:rsidRPr="00E2297C">
        <w:rPr>
          <w:sz w:val="22"/>
          <w:szCs w:val="22"/>
        </w:rPr>
        <w:t xml:space="preserve"> </w:t>
      </w:r>
      <w:r w:rsidR="000D767B" w:rsidRPr="00E2297C">
        <w:rPr>
          <w:sz w:val="22"/>
          <w:szCs w:val="22"/>
        </w:rPr>
        <w:t>Meyer, M.L. et al. (2016) “Abstract MP56: Association of arterial stiffness and pressure amplification with mild cognitive impairment and dementia: The atherosclerosis risk in communities study - neurocognitive study (Aric-NCS),” Circulation, 133(suppl_1). Available at: https://doi.org/10.1161/circ.133.suppl_1.mp56.</w:t>
      </w:r>
    </w:p>
  </w:endnote>
  <w:endnote w:id="53">
    <w:p w14:paraId="710EDAFA" w14:textId="7EC0469D" w:rsidR="00A63081" w:rsidRPr="00E2297C" w:rsidRDefault="00A63081" w:rsidP="00E2297C">
      <w:pPr>
        <w:pStyle w:val="EndnoteText"/>
        <w:spacing w:before="120" w:after="120"/>
        <w:ind w:left="0"/>
        <w:rPr>
          <w:sz w:val="22"/>
          <w:szCs w:val="22"/>
          <w:lang w:val="en-US"/>
        </w:rPr>
      </w:pPr>
    </w:p>
  </w:endnote>
  <w:endnote w:id="54">
    <w:p w14:paraId="5BBB6226" w14:textId="1C95ACC6" w:rsidR="00FC6935" w:rsidRPr="00E2297C" w:rsidRDefault="00FC6935"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B1057E" w:rsidRPr="00E2297C">
        <w:rPr>
          <w:sz w:val="22"/>
          <w:szCs w:val="22"/>
        </w:rPr>
        <w:t>DUSC (2016) Medicines for alzheimer disease, February 2016, Pharmaceutical Benefits Scheme (PBS) | Medicines for Alzheimer disease, February 2016. Available at:</w:t>
      </w:r>
      <w:r w:rsidRPr="00E2297C">
        <w:rPr>
          <w:sz w:val="22"/>
          <w:szCs w:val="22"/>
        </w:rPr>
        <w:t xml:space="preserve"> https://www.pbs.gov.au/info/industry/listing/participants/public-release-docs/2016-02/medicines-for-alzheimer-disease-2016-02</w:t>
      </w:r>
      <w:r w:rsidR="00B1057E" w:rsidRPr="00E2297C">
        <w:rPr>
          <w:sz w:val="22"/>
          <w:szCs w:val="22"/>
        </w:rPr>
        <w:t xml:space="preserve"> (Accessed: November 11, 2022).</w:t>
      </w:r>
    </w:p>
  </w:endnote>
  <w:endnote w:id="55">
    <w:p w14:paraId="1F39F8C4" w14:textId="6035E1F3" w:rsidR="00556428" w:rsidRPr="00E2297C" w:rsidRDefault="00556428"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Pr="00E2297C">
        <w:rPr>
          <w:sz w:val="22"/>
          <w:szCs w:val="22"/>
          <w:lang w:val="en-US"/>
        </w:rPr>
        <w:t>Eisai GVD Lecanemab</w:t>
      </w:r>
    </w:p>
  </w:endnote>
  <w:endnote w:id="56">
    <w:p w14:paraId="48306239" w14:textId="7E9CC2D4" w:rsidR="00642A91" w:rsidRPr="00E2297C" w:rsidRDefault="00642A91"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4A11A2" w:rsidRPr="00E2297C">
        <w:rPr>
          <w:sz w:val="22"/>
          <w:szCs w:val="22"/>
        </w:rPr>
        <w:t>Tahami Monfared, A.A. et al. (2022) “The potential economic value of Lecanemab in patients with early alzheimer’s disease using simulation modeling,” Neurology and Therapy, 11(3), pp. 1285–1307. Available at: https://doi.org/10.1007/s40120-022-00373-5.</w:t>
      </w:r>
    </w:p>
  </w:endnote>
  <w:endnote w:id="57">
    <w:p w14:paraId="412478A9" w14:textId="53B1D59F" w:rsidR="008B791B" w:rsidRPr="00E2297C" w:rsidRDefault="008B791B" w:rsidP="00E2297C">
      <w:pPr>
        <w:pStyle w:val="EndnoteText"/>
        <w:spacing w:before="120" w:after="120"/>
        <w:rPr>
          <w:sz w:val="22"/>
          <w:szCs w:val="22"/>
          <w:lang w:val="en-US"/>
        </w:rPr>
      </w:pPr>
      <w:r w:rsidRPr="00E2297C">
        <w:rPr>
          <w:rStyle w:val="EndnoteReference"/>
          <w:sz w:val="22"/>
          <w:szCs w:val="22"/>
        </w:rPr>
        <w:endnoteRef/>
      </w:r>
      <w:r w:rsidRPr="00E2297C">
        <w:rPr>
          <w:sz w:val="22"/>
          <w:szCs w:val="22"/>
        </w:rPr>
        <w:t xml:space="preserve"> </w:t>
      </w:r>
      <w:r w:rsidR="00B804B9" w:rsidRPr="00E2297C">
        <w:rPr>
          <w:sz w:val="22"/>
          <w:szCs w:val="22"/>
        </w:rPr>
        <w:t>IHACPA (2020) National Hospital Cost Data Collection (NHCDC) public hospitals report - round 24 (financial year 2019–20), IHACPA. Available at:</w:t>
      </w:r>
      <w:r w:rsidRPr="00E2297C">
        <w:rPr>
          <w:sz w:val="22"/>
          <w:szCs w:val="22"/>
        </w:rPr>
        <w:t xml:space="preserve"> https://www.ihacpa.gov.au/resources/national-hospital-cost-data-collection-nhcdc-public-hospitals-report-round-24-financial-year-2019-20</w:t>
      </w:r>
      <w:r w:rsidR="00B804B9" w:rsidRPr="00E2297C">
        <w:rPr>
          <w:sz w:val="22"/>
          <w:szCs w:val="22"/>
        </w:rPr>
        <w:t xml:space="preserve"> (Accessed: November 11, 2022).</w:t>
      </w:r>
    </w:p>
  </w:endnote>
  <w:endnote w:id="58">
    <w:p w14:paraId="57EB8D39" w14:textId="7A23F3CC" w:rsidR="00B14D47" w:rsidRPr="00B14D47" w:rsidRDefault="00B14D47" w:rsidP="00E2297C">
      <w:pPr>
        <w:pStyle w:val="EndnoteText"/>
        <w:spacing w:before="120" w:after="120"/>
        <w:rPr>
          <w:lang w:val="en-US"/>
        </w:rPr>
      </w:pPr>
      <w:r w:rsidRPr="00E2297C">
        <w:rPr>
          <w:rStyle w:val="EndnoteReference"/>
          <w:sz w:val="22"/>
          <w:szCs w:val="22"/>
        </w:rPr>
        <w:endnoteRef/>
      </w:r>
      <w:r w:rsidRPr="00E2297C">
        <w:rPr>
          <w:sz w:val="22"/>
          <w:szCs w:val="22"/>
        </w:rPr>
        <w:t xml:space="preserve"> </w:t>
      </w:r>
      <w:r w:rsidR="00E16ABA" w:rsidRPr="00E2297C">
        <w:rPr>
          <w:sz w:val="22"/>
          <w:szCs w:val="22"/>
        </w:rPr>
        <w:t>Florey (2022) National Dementia Diagnostics Laboratory. Available at: https://florey.edu.au/science-research/scientific-services-facilities (Accessed: November 11,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5243"/>
      <w:docPartObj>
        <w:docPartGallery w:val="Page Numbers (Bottom of Page)"/>
        <w:docPartUnique/>
      </w:docPartObj>
    </w:sdtPr>
    <w:sdtEndPr/>
    <w:sdtContent>
      <w:p w14:paraId="4AEADE65" w14:textId="7BDBCF83" w:rsidR="0000380D" w:rsidRDefault="0000380D" w:rsidP="0000380D">
        <w:pPr>
          <w:pStyle w:val="Footer"/>
          <w:rPr>
            <w:color w:val="808080" w:themeColor="background1" w:themeShade="80"/>
            <w:spacing w:val="60"/>
          </w:rPr>
        </w:pPr>
        <w:r w:rsidRPr="00CF2DFA">
          <w:fldChar w:fldCharType="begin"/>
        </w:r>
        <w:r w:rsidRPr="00CF2DFA">
          <w:instrText xml:space="preserve"> PAGE   \* MERGEFORMAT </w:instrText>
        </w:r>
        <w:r w:rsidRPr="00CF2DFA">
          <w:fldChar w:fldCharType="separate"/>
        </w:r>
        <w:r w:rsidRPr="00785937">
          <w:rPr>
            <w:b/>
            <w:bCs/>
            <w:noProof/>
          </w:rPr>
          <w:t>16</w:t>
        </w:r>
        <w:r w:rsidRPr="00CF2DFA">
          <w:rPr>
            <w:b/>
            <w:bCs/>
            <w:noProof/>
          </w:rPr>
          <w:fldChar w:fldCharType="end"/>
        </w:r>
        <w:r w:rsidRPr="00CF2DFA">
          <w:rPr>
            <w:b/>
            <w:bCs/>
          </w:rPr>
          <w:t xml:space="preserve"> |</w:t>
        </w:r>
        <w:r>
          <w:rPr>
            <w:color w:val="808080" w:themeColor="background1" w:themeShade="80"/>
            <w:spacing w:val="60"/>
          </w:rPr>
          <w:tab/>
          <w:t>Application Form</w:t>
        </w:r>
      </w:p>
      <w:p w14:paraId="2F62A9CD" w14:textId="2AD32A05" w:rsidR="0000380D" w:rsidRPr="003F7CB9" w:rsidRDefault="0000380D" w:rsidP="0000380D">
        <w:pPr>
          <w:pStyle w:val="Footer"/>
          <w:rPr>
            <w:b/>
            <w:bCs/>
          </w:rPr>
        </w:pPr>
        <w:r>
          <w:tab/>
        </w:r>
        <w:r w:rsidRPr="0000380D">
          <w:rPr>
            <w:color w:val="808080" w:themeColor="background1" w:themeShade="80"/>
            <w:spacing w:val="60"/>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6ECA" w14:textId="77777777" w:rsidR="009B0C13" w:rsidRDefault="009B0C13" w:rsidP="0000380D">
      <w:r>
        <w:separator/>
      </w:r>
    </w:p>
  </w:footnote>
  <w:footnote w:type="continuationSeparator" w:id="0">
    <w:p w14:paraId="13CA1FA3" w14:textId="77777777" w:rsidR="009B0C13" w:rsidRDefault="009B0C13" w:rsidP="0000380D">
      <w:r>
        <w:continuationSeparator/>
      </w:r>
    </w:p>
  </w:footnote>
  <w:footnote w:type="continuationNotice" w:id="1">
    <w:p w14:paraId="5F973C59" w14:textId="77777777" w:rsidR="009B0C13" w:rsidRDefault="009B0C1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FD9"/>
    <w:multiLevelType w:val="hybridMultilevel"/>
    <w:tmpl w:val="67CC84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5B40A5"/>
    <w:multiLevelType w:val="hybridMultilevel"/>
    <w:tmpl w:val="4E580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51994"/>
    <w:multiLevelType w:val="hybridMultilevel"/>
    <w:tmpl w:val="17A6A242"/>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DE373D"/>
    <w:multiLevelType w:val="hybridMultilevel"/>
    <w:tmpl w:val="CE14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E3326"/>
    <w:multiLevelType w:val="hybridMultilevel"/>
    <w:tmpl w:val="FFC4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4CF"/>
    <w:multiLevelType w:val="hybridMultilevel"/>
    <w:tmpl w:val="60D8C816"/>
    <w:lvl w:ilvl="0" w:tplc="0C090001">
      <w:start w:val="1"/>
      <w:numFmt w:val="bullet"/>
      <w:lvlText w:val=""/>
      <w:lvlJc w:val="left"/>
      <w:pPr>
        <w:ind w:left="720" w:hanging="360"/>
      </w:pPr>
      <w:rPr>
        <w:rFonts w:ascii="Symbol" w:hAnsi="Symbol" w:hint="default"/>
      </w:rPr>
    </w:lvl>
    <w:lvl w:ilvl="1" w:tplc="9E12CA7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CE78F2"/>
    <w:multiLevelType w:val="hybridMultilevel"/>
    <w:tmpl w:val="7A96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81CC9"/>
    <w:multiLevelType w:val="hybridMultilevel"/>
    <w:tmpl w:val="072C8EB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2C9F0DE5"/>
    <w:multiLevelType w:val="hybridMultilevel"/>
    <w:tmpl w:val="8F4E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F14546"/>
    <w:multiLevelType w:val="hybridMultilevel"/>
    <w:tmpl w:val="0C18440A"/>
    <w:lvl w:ilvl="0" w:tplc="3DDC6EA2">
      <w:start w:val="1"/>
      <w:numFmt w:val="bullet"/>
      <w:pStyle w:val="ListBullet"/>
      <w:lvlText w:val=""/>
      <w:lvlJc w:val="left"/>
      <w:pPr>
        <w:ind w:left="720" w:hanging="360"/>
      </w:pPr>
      <w:rPr>
        <w:rFonts w:ascii="Symbol" w:hAnsi="Symbol" w:hint="default"/>
        <w:color w:val="FFFFFF" w:themeColor="background1"/>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13AFB"/>
    <w:multiLevelType w:val="hybridMultilevel"/>
    <w:tmpl w:val="E982A2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BF11CD"/>
    <w:multiLevelType w:val="hybridMultilevel"/>
    <w:tmpl w:val="51AA39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6A1215D"/>
    <w:multiLevelType w:val="hybridMultilevel"/>
    <w:tmpl w:val="3D00BA00"/>
    <w:lvl w:ilvl="0" w:tplc="A1F24582">
      <w:start w:val="2"/>
      <w:numFmt w:val="lowerLetter"/>
      <w:lvlText w:val="(%1)"/>
      <w:lvlJc w:val="left"/>
      <w:pPr>
        <w:ind w:left="720" w:hanging="360"/>
      </w:pPr>
      <w:rPr>
        <w:rFonts w:hint="default"/>
      </w:rPr>
    </w:lvl>
    <w:lvl w:ilvl="1" w:tplc="417ED59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9B1AEE"/>
    <w:multiLevelType w:val="hybridMultilevel"/>
    <w:tmpl w:val="956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C63E74"/>
    <w:multiLevelType w:val="hybridMultilevel"/>
    <w:tmpl w:val="F9C82CB6"/>
    <w:lvl w:ilvl="0" w:tplc="0ED8BDAC">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890067F"/>
    <w:multiLevelType w:val="hybridMultilevel"/>
    <w:tmpl w:val="B38486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F652BB1"/>
    <w:multiLevelType w:val="hybridMultilevel"/>
    <w:tmpl w:val="38043A4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16cid:durableId="836191259">
    <w:abstractNumId w:val="17"/>
  </w:num>
  <w:num w:numId="2" w16cid:durableId="235215178">
    <w:abstractNumId w:val="24"/>
  </w:num>
  <w:num w:numId="3" w16cid:durableId="225842999">
    <w:abstractNumId w:val="1"/>
  </w:num>
  <w:num w:numId="4" w16cid:durableId="575364269">
    <w:abstractNumId w:val="21"/>
  </w:num>
  <w:num w:numId="5" w16cid:durableId="1408573744">
    <w:abstractNumId w:val="5"/>
  </w:num>
  <w:num w:numId="6" w16cid:durableId="977370309">
    <w:abstractNumId w:val="18"/>
  </w:num>
  <w:num w:numId="7" w16cid:durableId="743530227">
    <w:abstractNumId w:val="15"/>
  </w:num>
  <w:num w:numId="8" w16cid:durableId="220485749">
    <w:abstractNumId w:val="23"/>
  </w:num>
  <w:num w:numId="9" w16cid:durableId="763458421">
    <w:abstractNumId w:val="3"/>
  </w:num>
  <w:num w:numId="10" w16cid:durableId="282544703">
    <w:abstractNumId w:val="20"/>
  </w:num>
  <w:num w:numId="11" w16cid:durableId="82917922">
    <w:abstractNumId w:val="9"/>
  </w:num>
  <w:num w:numId="12" w16cid:durableId="1381786575">
    <w:abstractNumId w:val="19"/>
  </w:num>
  <w:num w:numId="13" w16cid:durableId="2069378491">
    <w:abstractNumId w:val="6"/>
  </w:num>
  <w:num w:numId="14" w16cid:durableId="849370269">
    <w:abstractNumId w:val="22"/>
  </w:num>
  <w:num w:numId="15" w16cid:durableId="580914169">
    <w:abstractNumId w:val="0"/>
  </w:num>
  <w:num w:numId="16" w16cid:durableId="495804990">
    <w:abstractNumId w:val="14"/>
  </w:num>
  <w:num w:numId="17" w16cid:durableId="1387142535">
    <w:abstractNumId w:val="8"/>
  </w:num>
  <w:num w:numId="18" w16cid:durableId="1711610938">
    <w:abstractNumId w:val="13"/>
  </w:num>
  <w:num w:numId="19" w16cid:durableId="219944227">
    <w:abstractNumId w:val="7"/>
  </w:num>
  <w:num w:numId="20" w16cid:durableId="885067915">
    <w:abstractNumId w:val="11"/>
  </w:num>
  <w:num w:numId="21" w16cid:durableId="1128352486">
    <w:abstractNumId w:val="4"/>
  </w:num>
  <w:num w:numId="22" w16cid:durableId="690103554">
    <w:abstractNumId w:val="26"/>
  </w:num>
  <w:num w:numId="23" w16cid:durableId="1074399865">
    <w:abstractNumId w:val="27"/>
  </w:num>
  <w:num w:numId="24" w16cid:durableId="892276570">
    <w:abstractNumId w:val="10"/>
  </w:num>
  <w:num w:numId="25" w16cid:durableId="274873788">
    <w:abstractNumId w:val="2"/>
  </w:num>
  <w:num w:numId="26" w16cid:durableId="1142697434">
    <w:abstractNumId w:val="16"/>
  </w:num>
  <w:num w:numId="27" w16cid:durableId="262225100">
    <w:abstractNumId w:val="12"/>
  </w:num>
  <w:num w:numId="28" w16cid:durableId="829254705">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243D"/>
    <w:rsid w:val="000025AC"/>
    <w:rsid w:val="00003270"/>
    <w:rsid w:val="0000380D"/>
    <w:rsid w:val="0000528A"/>
    <w:rsid w:val="000056BA"/>
    <w:rsid w:val="00005996"/>
    <w:rsid w:val="000059DC"/>
    <w:rsid w:val="00005B62"/>
    <w:rsid w:val="00007F36"/>
    <w:rsid w:val="0001019F"/>
    <w:rsid w:val="00010764"/>
    <w:rsid w:val="00010C5E"/>
    <w:rsid w:val="00010E44"/>
    <w:rsid w:val="000110DC"/>
    <w:rsid w:val="000115F3"/>
    <w:rsid w:val="00013328"/>
    <w:rsid w:val="00014A56"/>
    <w:rsid w:val="000158AA"/>
    <w:rsid w:val="000159B9"/>
    <w:rsid w:val="00015BC7"/>
    <w:rsid w:val="00016B6E"/>
    <w:rsid w:val="000171FD"/>
    <w:rsid w:val="00020591"/>
    <w:rsid w:val="00021048"/>
    <w:rsid w:val="00021511"/>
    <w:rsid w:val="00021DD1"/>
    <w:rsid w:val="00022B98"/>
    <w:rsid w:val="000230F4"/>
    <w:rsid w:val="00023E21"/>
    <w:rsid w:val="00024138"/>
    <w:rsid w:val="000247EF"/>
    <w:rsid w:val="000257D3"/>
    <w:rsid w:val="00025ABC"/>
    <w:rsid w:val="00026412"/>
    <w:rsid w:val="00026E35"/>
    <w:rsid w:val="0002700A"/>
    <w:rsid w:val="000270F2"/>
    <w:rsid w:val="00030634"/>
    <w:rsid w:val="000312A0"/>
    <w:rsid w:val="00031364"/>
    <w:rsid w:val="000314D2"/>
    <w:rsid w:val="00031F6F"/>
    <w:rsid w:val="00032422"/>
    <w:rsid w:val="000324F8"/>
    <w:rsid w:val="00032AC2"/>
    <w:rsid w:val="00034D6E"/>
    <w:rsid w:val="00035423"/>
    <w:rsid w:val="000356C4"/>
    <w:rsid w:val="00041A97"/>
    <w:rsid w:val="00041C9A"/>
    <w:rsid w:val="00042865"/>
    <w:rsid w:val="00043437"/>
    <w:rsid w:val="00043877"/>
    <w:rsid w:val="00043F8B"/>
    <w:rsid w:val="000440BD"/>
    <w:rsid w:val="00044607"/>
    <w:rsid w:val="000449B8"/>
    <w:rsid w:val="00046F7D"/>
    <w:rsid w:val="0004701F"/>
    <w:rsid w:val="00047421"/>
    <w:rsid w:val="00047440"/>
    <w:rsid w:val="00050547"/>
    <w:rsid w:val="0005089D"/>
    <w:rsid w:val="00051615"/>
    <w:rsid w:val="000525BC"/>
    <w:rsid w:val="00052610"/>
    <w:rsid w:val="00052D9B"/>
    <w:rsid w:val="000534B1"/>
    <w:rsid w:val="00054FA9"/>
    <w:rsid w:val="0005514C"/>
    <w:rsid w:val="000566DC"/>
    <w:rsid w:val="0005728D"/>
    <w:rsid w:val="000609EB"/>
    <w:rsid w:val="00061260"/>
    <w:rsid w:val="00061D59"/>
    <w:rsid w:val="00064B71"/>
    <w:rsid w:val="00065192"/>
    <w:rsid w:val="00065CD4"/>
    <w:rsid w:val="00066891"/>
    <w:rsid w:val="00066E35"/>
    <w:rsid w:val="000670D0"/>
    <w:rsid w:val="00071366"/>
    <w:rsid w:val="00071F4F"/>
    <w:rsid w:val="00072B9F"/>
    <w:rsid w:val="00072E99"/>
    <w:rsid w:val="0007308C"/>
    <w:rsid w:val="00073199"/>
    <w:rsid w:val="00073222"/>
    <w:rsid w:val="00074085"/>
    <w:rsid w:val="00075B87"/>
    <w:rsid w:val="00075CA1"/>
    <w:rsid w:val="000770BA"/>
    <w:rsid w:val="000770CE"/>
    <w:rsid w:val="0007759B"/>
    <w:rsid w:val="00077B6F"/>
    <w:rsid w:val="0008015D"/>
    <w:rsid w:val="00080B08"/>
    <w:rsid w:val="00080D7B"/>
    <w:rsid w:val="00080E51"/>
    <w:rsid w:val="0008262A"/>
    <w:rsid w:val="00082881"/>
    <w:rsid w:val="00082B62"/>
    <w:rsid w:val="0008323F"/>
    <w:rsid w:val="00083302"/>
    <w:rsid w:val="00083489"/>
    <w:rsid w:val="000850FE"/>
    <w:rsid w:val="0008701C"/>
    <w:rsid w:val="00087FCD"/>
    <w:rsid w:val="00090308"/>
    <w:rsid w:val="00091445"/>
    <w:rsid w:val="0009243F"/>
    <w:rsid w:val="00092580"/>
    <w:rsid w:val="00092ACF"/>
    <w:rsid w:val="00093F22"/>
    <w:rsid w:val="00094A84"/>
    <w:rsid w:val="00094B25"/>
    <w:rsid w:val="00094E3E"/>
    <w:rsid w:val="000955E7"/>
    <w:rsid w:val="00095994"/>
    <w:rsid w:val="00095A80"/>
    <w:rsid w:val="00095B45"/>
    <w:rsid w:val="000965D5"/>
    <w:rsid w:val="00097369"/>
    <w:rsid w:val="00097DE8"/>
    <w:rsid w:val="000A0280"/>
    <w:rsid w:val="000A0F08"/>
    <w:rsid w:val="000A110D"/>
    <w:rsid w:val="000A12AD"/>
    <w:rsid w:val="000A2E77"/>
    <w:rsid w:val="000A4225"/>
    <w:rsid w:val="000A4386"/>
    <w:rsid w:val="000A478F"/>
    <w:rsid w:val="000A480E"/>
    <w:rsid w:val="000A5ADF"/>
    <w:rsid w:val="000A5B32"/>
    <w:rsid w:val="000A5DB2"/>
    <w:rsid w:val="000A73C2"/>
    <w:rsid w:val="000B1471"/>
    <w:rsid w:val="000B1860"/>
    <w:rsid w:val="000B18BC"/>
    <w:rsid w:val="000B3096"/>
    <w:rsid w:val="000B3159"/>
    <w:rsid w:val="000B3A5C"/>
    <w:rsid w:val="000B3CD0"/>
    <w:rsid w:val="000B4F82"/>
    <w:rsid w:val="000B4FDB"/>
    <w:rsid w:val="000B5286"/>
    <w:rsid w:val="000B60DE"/>
    <w:rsid w:val="000C0694"/>
    <w:rsid w:val="000C120C"/>
    <w:rsid w:val="000C2ABA"/>
    <w:rsid w:val="000C33FE"/>
    <w:rsid w:val="000C36C7"/>
    <w:rsid w:val="000C3A2C"/>
    <w:rsid w:val="000C441F"/>
    <w:rsid w:val="000C490A"/>
    <w:rsid w:val="000C63AE"/>
    <w:rsid w:val="000C68EB"/>
    <w:rsid w:val="000C7619"/>
    <w:rsid w:val="000D066E"/>
    <w:rsid w:val="000D0831"/>
    <w:rsid w:val="000D0C9E"/>
    <w:rsid w:val="000D0CD3"/>
    <w:rsid w:val="000D0F34"/>
    <w:rsid w:val="000D1028"/>
    <w:rsid w:val="000D11ED"/>
    <w:rsid w:val="000D1DEF"/>
    <w:rsid w:val="000D24AA"/>
    <w:rsid w:val="000D2B6C"/>
    <w:rsid w:val="000D2C3C"/>
    <w:rsid w:val="000D767B"/>
    <w:rsid w:val="000D7A6B"/>
    <w:rsid w:val="000E03D5"/>
    <w:rsid w:val="000E069A"/>
    <w:rsid w:val="000E0F10"/>
    <w:rsid w:val="000E18B4"/>
    <w:rsid w:val="000E26FD"/>
    <w:rsid w:val="000E2806"/>
    <w:rsid w:val="000E2E02"/>
    <w:rsid w:val="000E44FD"/>
    <w:rsid w:val="000E47E7"/>
    <w:rsid w:val="000E498B"/>
    <w:rsid w:val="000E4EC1"/>
    <w:rsid w:val="000E5104"/>
    <w:rsid w:val="000E51B9"/>
    <w:rsid w:val="000E5439"/>
    <w:rsid w:val="000E65FF"/>
    <w:rsid w:val="000E68CE"/>
    <w:rsid w:val="000E735C"/>
    <w:rsid w:val="000E7440"/>
    <w:rsid w:val="000E77E6"/>
    <w:rsid w:val="000E7E08"/>
    <w:rsid w:val="000F0051"/>
    <w:rsid w:val="000F0163"/>
    <w:rsid w:val="000F0459"/>
    <w:rsid w:val="000F1ED9"/>
    <w:rsid w:val="000F24AF"/>
    <w:rsid w:val="000F3129"/>
    <w:rsid w:val="000F3695"/>
    <w:rsid w:val="000F41A5"/>
    <w:rsid w:val="000F4299"/>
    <w:rsid w:val="000F45CB"/>
    <w:rsid w:val="000F632D"/>
    <w:rsid w:val="000F686C"/>
    <w:rsid w:val="000F6E45"/>
    <w:rsid w:val="000F7A05"/>
    <w:rsid w:val="0010011E"/>
    <w:rsid w:val="00100383"/>
    <w:rsid w:val="0010052E"/>
    <w:rsid w:val="0010099D"/>
    <w:rsid w:val="00101B29"/>
    <w:rsid w:val="0010206F"/>
    <w:rsid w:val="001025DE"/>
    <w:rsid w:val="00102686"/>
    <w:rsid w:val="0010319B"/>
    <w:rsid w:val="0010350A"/>
    <w:rsid w:val="001039F0"/>
    <w:rsid w:val="00103AEE"/>
    <w:rsid w:val="00103E38"/>
    <w:rsid w:val="0010417D"/>
    <w:rsid w:val="00104762"/>
    <w:rsid w:val="00104933"/>
    <w:rsid w:val="00104BFE"/>
    <w:rsid w:val="00107D57"/>
    <w:rsid w:val="00107E6A"/>
    <w:rsid w:val="00107FED"/>
    <w:rsid w:val="0011036E"/>
    <w:rsid w:val="001104BD"/>
    <w:rsid w:val="001106BC"/>
    <w:rsid w:val="0011074D"/>
    <w:rsid w:val="00110822"/>
    <w:rsid w:val="00110B34"/>
    <w:rsid w:val="00112815"/>
    <w:rsid w:val="00112C5C"/>
    <w:rsid w:val="001130B0"/>
    <w:rsid w:val="0011369B"/>
    <w:rsid w:val="0011444B"/>
    <w:rsid w:val="00114CF0"/>
    <w:rsid w:val="00115F1A"/>
    <w:rsid w:val="0011616A"/>
    <w:rsid w:val="001171DE"/>
    <w:rsid w:val="0011742E"/>
    <w:rsid w:val="00117E65"/>
    <w:rsid w:val="00121235"/>
    <w:rsid w:val="0012130C"/>
    <w:rsid w:val="00121387"/>
    <w:rsid w:val="00122757"/>
    <w:rsid w:val="00123D10"/>
    <w:rsid w:val="00124809"/>
    <w:rsid w:val="001257B1"/>
    <w:rsid w:val="00125F12"/>
    <w:rsid w:val="0012601D"/>
    <w:rsid w:val="00126B33"/>
    <w:rsid w:val="00126CC2"/>
    <w:rsid w:val="00126CEE"/>
    <w:rsid w:val="00127369"/>
    <w:rsid w:val="0013001A"/>
    <w:rsid w:val="00131A8E"/>
    <w:rsid w:val="00131EBE"/>
    <w:rsid w:val="00132096"/>
    <w:rsid w:val="00132F2A"/>
    <w:rsid w:val="001335CF"/>
    <w:rsid w:val="001348EE"/>
    <w:rsid w:val="00134BFD"/>
    <w:rsid w:val="00135F31"/>
    <w:rsid w:val="00136534"/>
    <w:rsid w:val="00140633"/>
    <w:rsid w:val="001409BB"/>
    <w:rsid w:val="001417A6"/>
    <w:rsid w:val="00142927"/>
    <w:rsid w:val="00145014"/>
    <w:rsid w:val="001450B1"/>
    <w:rsid w:val="001468E4"/>
    <w:rsid w:val="001479EE"/>
    <w:rsid w:val="00147D3C"/>
    <w:rsid w:val="00150D76"/>
    <w:rsid w:val="00150ED6"/>
    <w:rsid w:val="001540B8"/>
    <w:rsid w:val="00154B00"/>
    <w:rsid w:val="001552DA"/>
    <w:rsid w:val="00156432"/>
    <w:rsid w:val="001575B7"/>
    <w:rsid w:val="001579D1"/>
    <w:rsid w:val="00157AC0"/>
    <w:rsid w:val="001602B6"/>
    <w:rsid w:val="0016155F"/>
    <w:rsid w:val="0016206E"/>
    <w:rsid w:val="001634B8"/>
    <w:rsid w:val="001644E9"/>
    <w:rsid w:val="001647BA"/>
    <w:rsid w:val="001647FE"/>
    <w:rsid w:val="00165099"/>
    <w:rsid w:val="00165A06"/>
    <w:rsid w:val="00166629"/>
    <w:rsid w:val="00166F9B"/>
    <w:rsid w:val="001678D5"/>
    <w:rsid w:val="00170232"/>
    <w:rsid w:val="00170807"/>
    <w:rsid w:val="00170999"/>
    <w:rsid w:val="001711A4"/>
    <w:rsid w:val="00171672"/>
    <w:rsid w:val="0017292B"/>
    <w:rsid w:val="00172BCA"/>
    <w:rsid w:val="00172E9A"/>
    <w:rsid w:val="001738F9"/>
    <w:rsid w:val="001747D3"/>
    <w:rsid w:val="00174DAB"/>
    <w:rsid w:val="00175384"/>
    <w:rsid w:val="001764C4"/>
    <w:rsid w:val="00177DAB"/>
    <w:rsid w:val="001802C6"/>
    <w:rsid w:val="0018109E"/>
    <w:rsid w:val="0018230F"/>
    <w:rsid w:val="00182806"/>
    <w:rsid w:val="001844F3"/>
    <w:rsid w:val="001845D9"/>
    <w:rsid w:val="0018630F"/>
    <w:rsid w:val="00187941"/>
    <w:rsid w:val="00187F7E"/>
    <w:rsid w:val="001906CD"/>
    <w:rsid w:val="0019074C"/>
    <w:rsid w:val="001916F1"/>
    <w:rsid w:val="001917BE"/>
    <w:rsid w:val="00191B99"/>
    <w:rsid w:val="0019357B"/>
    <w:rsid w:val="00194169"/>
    <w:rsid w:val="0019457A"/>
    <w:rsid w:val="00195449"/>
    <w:rsid w:val="00195640"/>
    <w:rsid w:val="00195995"/>
    <w:rsid w:val="001959C6"/>
    <w:rsid w:val="00195AD2"/>
    <w:rsid w:val="00196319"/>
    <w:rsid w:val="0019694B"/>
    <w:rsid w:val="0019706B"/>
    <w:rsid w:val="00197D29"/>
    <w:rsid w:val="001A02E3"/>
    <w:rsid w:val="001A0ADA"/>
    <w:rsid w:val="001A115C"/>
    <w:rsid w:val="001A1ADF"/>
    <w:rsid w:val="001A2372"/>
    <w:rsid w:val="001A2955"/>
    <w:rsid w:val="001A29C9"/>
    <w:rsid w:val="001A2AD2"/>
    <w:rsid w:val="001A2DFC"/>
    <w:rsid w:val="001A365C"/>
    <w:rsid w:val="001A43DA"/>
    <w:rsid w:val="001A4C59"/>
    <w:rsid w:val="001A5635"/>
    <w:rsid w:val="001A5979"/>
    <w:rsid w:val="001A696D"/>
    <w:rsid w:val="001A6FE6"/>
    <w:rsid w:val="001A72A5"/>
    <w:rsid w:val="001A7696"/>
    <w:rsid w:val="001A7715"/>
    <w:rsid w:val="001B171D"/>
    <w:rsid w:val="001B1DAA"/>
    <w:rsid w:val="001B1ECA"/>
    <w:rsid w:val="001B2963"/>
    <w:rsid w:val="001B29A1"/>
    <w:rsid w:val="001B2EF3"/>
    <w:rsid w:val="001B3D53"/>
    <w:rsid w:val="001B45D1"/>
    <w:rsid w:val="001B4E56"/>
    <w:rsid w:val="001B5169"/>
    <w:rsid w:val="001B58F3"/>
    <w:rsid w:val="001B59BE"/>
    <w:rsid w:val="001B5FBF"/>
    <w:rsid w:val="001B6164"/>
    <w:rsid w:val="001B6DF6"/>
    <w:rsid w:val="001B74D3"/>
    <w:rsid w:val="001B75B6"/>
    <w:rsid w:val="001C1296"/>
    <w:rsid w:val="001C1598"/>
    <w:rsid w:val="001C2960"/>
    <w:rsid w:val="001C2DC9"/>
    <w:rsid w:val="001C3E0B"/>
    <w:rsid w:val="001C3FFD"/>
    <w:rsid w:val="001C4141"/>
    <w:rsid w:val="001C4278"/>
    <w:rsid w:val="001C4314"/>
    <w:rsid w:val="001C449B"/>
    <w:rsid w:val="001C547C"/>
    <w:rsid w:val="001C579F"/>
    <w:rsid w:val="001C6369"/>
    <w:rsid w:val="001C6A89"/>
    <w:rsid w:val="001C777A"/>
    <w:rsid w:val="001C78B3"/>
    <w:rsid w:val="001D1AF5"/>
    <w:rsid w:val="001D2006"/>
    <w:rsid w:val="001D2305"/>
    <w:rsid w:val="001D2AB4"/>
    <w:rsid w:val="001D4BE7"/>
    <w:rsid w:val="001D4F0A"/>
    <w:rsid w:val="001D5121"/>
    <w:rsid w:val="001D7622"/>
    <w:rsid w:val="001D77DA"/>
    <w:rsid w:val="001D77ED"/>
    <w:rsid w:val="001D787C"/>
    <w:rsid w:val="001E01D1"/>
    <w:rsid w:val="001E04E7"/>
    <w:rsid w:val="001E093C"/>
    <w:rsid w:val="001E0EBF"/>
    <w:rsid w:val="001E1180"/>
    <w:rsid w:val="001E23EA"/>
    <w:rsid w:val="001E4A62"/>
    <w:rsid w:val="001E52CD"/>
    <w:rsid w:val="001E55ED"/>
    <w:rsid w:val="001E634E"/>
    <w:rsid w:val="001E65D1"/>
    <w:rsid w:val="001E6919"/>
    <w:rsid w:val="001E6958"/>
    <w:rsid w:val="001E724C"/>
    <w:rsid w:val="001E7376"/>
    <w:rsid w:val="001F1BF4"/>
    <w:rsid w:val="001F2023"/>
    <w:rsid w:val="001F2D63"/>
    <w:rsid w:val="001F36F5"/>
    <w:rsid w:val="001F3A8D"/>
    <w:rsid w:val="001F4574"/>
    <w:rsid w:val="001F5AE2"/>
    <w:rsid w:val="001F6E03"/>
    <w:rsid w:val="001F7443"/>
    <w:rsid w:val="001F7CC6"/>
    <w:rsid w:val="00201923"/>
    <w:rsid w:val="00201924"/>
    <w:rsid w:val="00202473"/>
    <w:rsid w:val="00202849"/>
    <w:rsid w:val="00202D56"/>
    <w:rsid w:val="00203893"/>
    <w:rsid w:val="00204200"/>
    <w:rsid w:val="00204628"/>
    <w:rsid w:val="002048A6"/>
    <w:rsid w:val="002048BE"/>
    <w:rsid w:val="00204DF0"/>
    <w:rsid w:val="002053F2"/>
    <w:rsid w:val="002058D8"/>
    <w:rsid w:val="00205C3E"/>
    <w:rsid w:val="00206A05"/>
    <w:rsid w:val="00206B03"/>
    <w:rsid w:val="00206D63"/>
    <w:rsid w:val="00206F3D"/>
    <w:rsid w:val="00207813"/>
    <w:rsid w:val="002116CA"/>
    <w:rsid w:val="0021185D"/>
    <w:rsid w:val="0021190B"/>
    <w:rsid w:val="002127A2"/>
    <w:rsid w:val="00212C88"/>
    <w:rsid w:val="00213255"/>
    <w:rsid w:val="00213B23"/>
    <w:rsid w:val="00215155"/>
    <w:rsid w:val="00216395"/>
    <w:rsid w:val="00216532"/>
    <w:rsid w:val="00216DBD"/>
    <w:rsid w:val="00216DDE"/>
    <w:rsid w:val="00217AF5"/>
    <w:rsid w:val="002206D3"/>
    <w:rsid w:val="00220949"/>
    <w:rsid w:val="002218AB"/>
    <w:rsid w:val="002233C2"/>
    <w:rsid w:val="00224613"/>
    <w:rsid w:val="00224E49"/>
    <w:rsid w:val="00225EC8"/>
    <w:rsid w:val="00226777"/>
    <w:rsid w:val="0022740B"/>
    <w:rsid w:val="00227490"/>
    <w:rsid w:val="0023037A"/>
    <w:rsid w:val="00232E57"/>
    <w:rsid w:val="002339DA"/>
    <w:rsid w:val="00235268"/>
    <w:rsid w:val="00235BD1"/>
    <w:rsid w:val="002373B1"/>
    <w:rsid w:val="00240411"/>
    <w:rsid w:val="00242B0E"/>
    <w:rsid w:val="00242BBD"/>
    <w:rsid w:val="002444F3"/>
    <w:rsid w:val="002452AC"/>
    <w:rsid w:val="00245B75"/>
    <w:rsid w:val="00245EF0"/>
    <w:rsid w:val="00246825"/>
    <w:rsid w:val="00247DF0"/>
    <w:rsid w:val="00250F5A"/>
    <w:rsid w:val="0025144B"/>
    <w:rsid w:val="00251CA5"/>
    <w:rsid w:val="002520BE"/>
    <w:rsid w:val="00252E08"/>
    <w:rsid w:val="00252F68"/>
    <w:rsid w:val="00253A29"/>
    <w:rsid w:val="00254813"/>
    <w:rsid w:val="00254B48"/>
    <w:rsid w:val="00254C4A"/>
    <w:rsid w:val="00255C6E"/>
    <w:rsid w:val="0025703A"/>
    <w:rsid w:val="00257FF2"/>
    <w:rsid w:val="0026021C"/>
    <w:rsid w:val="00260769"/>
    <w:rsid w:val="00260DD9"/>
    <w:rsid w:val="00260DF2"/>
    <w:rsid w:val="0026166B"/>
    <w:rsid w:val="00261E5E"/>
    <w:rsid w:val="00262863"/>
    <w:rsid w:val="00262A8E"/>
    <w:rsid w:val="002645F5"/>
    <w:rsid w:val="00265822"/>
    <w:rsid w:val="00265944"/>
    <w:rsid w:val="00265F6F"/>
    <w:rsid w:val="00266924"/>
    <w:rsid w:val="00267CF6"/>
    <w:rsid w:val="00267EF1"/>
    <w:rsid w:val="00270435"/>
    <w:rsid w:val="0027105F"/>
    <w:rsid w:val="002711FB"/>
    <w:rsid w:val="00273E69"/>
    <w:rsid w:val="00274C23"/>
    <w:rsid w:val="00274CE3"/>
    <w:rsid w:val="00275206"/>
    <w:rsid w:val="00275427"/>
    <w:rsid w:val="00275640"/>
    <w:rsid w:val="00275F59"/>
    <w:rsid w:val="00276471"/>
    <w:rsid w:val="002800E4"/>
    <w:rsid w:val="0028127D"/>
    <w:rsid w:val="002815DB"/>
    <w:rsid w:val="00282811"/>
    <w:rsid w:val="00282B37"/>
    <w:rsid w:val="00282B85"/>
    <w:rsid w:val="00282BE8"/>
    <w:rsid w:val="00283318"/>
    <w:rsid w:val="002839B8"/>
    <w:rsid w:val="00283D58"/>
    <w:rsid w:val="00285525"/>
    <w:rsid w:val="00285C90"/>
    <w:rsid w:val="00286351"/>
    <w:rsid w:val="00286B9A"/>
    <w:rsid w:val="00287292"/>
    <w:rsid w:val="0028790A"/>
    <w:rsid w:val="002908EF"/>
    <w:rsid w:val="00290F8F"/>
    <w:rsid w:val="00292165"/>
    <w:rsid w:val="00292917"/>
    <w:rsid w:val="00292BF1"/>
    <w:rsid w:val="0029395F"/>
    <w:rsid w:val="002947F6"/>
    <w:rsid w:val="00294AA6"/>
    <w:rsid w:val="00294CD8"/>
    <w:rsid w:val="00294D39"/>
    <w:rsid w:val="00294F27"/>
    <w:rsid w:val="0029529E"/>
    <w:rsid w:val="00296281"/>
    <w:rsid w:val="00296405"/>
    <w:rsid w:val="002977CD"/>
    <w:rsid w:val="002A2456"/>
    <w:rsid w:val="002A270B"/>
    <w:rsid w:val="002A2995"/>
    <w:rsid w:val="002A33EF"/>
    <w:rsid w:val="002A34A0"/>
    <w:rsid w:val="002A36E8"/>
    <w:rsid w:val="002A4621"/>
    <w:rsid w:val="002A50FD"/>
    <w:rsid w:val="002A63E8"/>
    <w:rsid w:val="002A6753"/>
    <w:rsid w:val="002A703E"/>
    <w:rsid w:val="002A7829"/>
    <w:rsid w:val="002B1C5D"/>
    <w:rsid w:val="002B266E"/>
    <w:rsid w:val="002B26EA"/>
    <w:rsid w:val="002B28D7"/>
    <w:rsid w:val="002B43B3"/>
    <w:rsid w:val="002B57D2"/>
    <w:rsid w:val="002B5BF7"/>
    <w:rsid w:val="002B6CE9"/>
    <w:rsid w:val="002B7B23"/>
    <w:rsid w:val="002B7EB6"/>
    <w:rsid w:val="002C0B61"/>
    <w:rsid w:val="002C0EBB"/>
    <w:rsid w:val="002C0FEC"/>
    <w:rsid w:val="002C15E6"/>
    <w:rsid w:val="002C247D"/>
    <w:rsid w:val="002C2501"/>
    <w:rsid w:val="002C2C07"/>
    <w:rsid w:val="002C3345"/>
    <w:rsid w:val="002C3DB2"/>
    <w:rsid w:val="002C4A93"/>
    <w:rsid w:val="002C4FC1"/>
    <w:rsid w:val="002C5D23"/>
    <w:rsid w:val="002C71FD"/>
    <w:rsid w:val="002D0B43"/>
    <w:rsid w:val="002D1385"/>
    <w:rsid w:val="002D409A"/>
    <w:rsid w:val="002D501C"/>
    <w:rsid w:val="002D65B7"/>
    <w:rsid w:val="002D69AF"/>
    <w:rsid w:val="002E0E63"/>
    <w:rsid w:val="002E1F16"/>
    <w:rsid w:val="002E276E"/>
    <w:rsid w:val="002E27EB"/>
    <w:rsid w:val="002E299A"/>
    <w:rsid w:val="002E319E"/>
    <w:rsid w:val="002E34E3"/>
    <w:rsid w:val="002E422E"/>
    <w:rsid w:val="002E5CD6"/>
    <w:rsid w:val="002E5EF3"/>
    <w:rsid w:val="002E6181"/>
    <w:rsid w:val="002E759E"/>
    <w:rsid w:val="002E78A7"/>
    <w:rsid w:val="002F0118"/>
    <w:rsid w:val="002F14AD"/>
    <w:rsid w:val="002F2A7D"/>
    <w:rsid w:val="002F2D86"/>
    <w:rsid w:val="002F2E38"/>
    <w:rsid w:val="002F3086"/>
    <w:rsid w:val="002F30E7"/>
    <w:rsid w:val="002F3CFA"/>
    <w:rsid w:val="002F409A"/>
    <w:rsid w:val="002F497A"/>
    <w:rsid w:val="002F5668"/>
    <w:rsid w:val="002F57B1"/>
    <w:rsid w:val="002F6503"/>
    <w:rsid w:val="002F7B46"/>
    <w:rsid w:val="00300872"/>
    <w:rsid w:val="00300B93"/>
    <w:rsid w:val="00300E4F"/>
    <w:rsid w:val="00300EEB"/>
    <w:rsid w:val="003013A9"/>
    <w:rsid w:val="003014D1"/>
    <w:rsid w:val="00301958"/>
    <w:rsid w:val="00302055"/>
    <w:rsid w:val="003020B5"/>
    <w:rsid w:val="0030215D"/>
    <w:rsid w:val="003027BB"/>
    <w:rsid w:val="00303C76"/>
    <w:rsid w:val="003041E7"/>
    <w:rsid w:val="00304413"/>
    <w:rsid w:val="00304E29"/>
    <w:rsid w:val="00304FA9"/>
    <w:rsid w:val="003069F2"/>
    <w:rsid w:val="00306E3B"/>
    <w:rsid w:val="0031006C"/>
    <w:rsid w:val="00310959"/>
    <w:rsid w:val="00310A10"/>
    <w:rsid w:val="003114B1"/>
    <w:rsid w:val="003122F0"/>
    <w:rsid w:val="0031525D"/>
    <w:rsid w:val="00316443"/>
    <w:rsid w:val="003164DE"/>
    <w:rsid w:val="003167F6"/>
    <w:rsid w:val="00316988"/>
    <w:rsid w:val="003175DD"/>
    <w:rsid w:val="00321177"/>
    <w:rsid w:val="00321A3C"/>
    <w:rsid w:val="00322648"/>
    <w:rsid w:val="00322E26"/>
    <w:rsid w:val="0032363C"/>
    <w:rsid w:val="00324AE0"/>
    <w:rsid w:val="00325BAA"/>
    <w:rsid w:val="00327901"/>
    <w:rsid w:val="00327D25"/>
    <w:rsid w:val="00330509"/>
    <w:rsid w:val="00330FA3"/>
    <w:rsid w:val="003310A2"/>
    <w:rsid w:val="003316F4"/>
    <w:rsid w:val="003319A7"/>
    <w:rsid w:val="00332176"/>
    <w:rsid w:val="003322D2"/>
    <w:rsid w:val="00332855"/>
    <w:rsid w:val="0033294A"/>
    <w:rsid w:val="003334F9"/>
    <w:rsid w:val="003335BE"/>
    <w:rsid w:val="00333D74"/>
    <w:rsid w:val="003340BE"/>
    <w:rsid w:val="003340FB"/>
    <w:rsid w:val="00334FE3"/>
    <w:rsid w:val="00335F81"/>
    <w:rsid w:val="00335F96"/>
    <w:rsid w:val="00336188"/>
    <w:rsid w:val="003365BB"/>
    <w:rsid w:val="0034114F"/>
    <w:rsid w:val="0034129F"/>
    <w:rsid w:val="003421AE"/>
    <w:rsid w:val="00342C4F"/>
    <w:rsid w:val="003433D1"/>
    <w:rsid w:val="00343EAB"/>
    <w:rsid w:val="00343F1D"/>
    <w:rsid w:val="003443B7"/>
    <w:rsid w:val="00344B24"/>
    <w:rsid w:val="00344E68"/>
    <w:rsid w:val="003456B9"/>
    <w:rsid w:val="00345C4F"/>
    <w:rsid w:val="00345DAD"/>
    <w:rsid w:val="003469E5"/>
    <w:rsid w:val="00346B4A"/>
    <w:rsid w:val="00346C19"/>
    <w:rsid w:val="0034702E"/>
    <w:rsid w:val="0035067D"/>
    <w:rsid w:val="00351991"/>
    <w:rsid w:val="00352267"/>
    <w:rsid w:val="003529AA"/>
    <w:rsid w:val="00352AE8"/>
    <w:rsid w:val="003533F5"/>
    <w:rsid w:val="00353646"/>
    <w:rsid w:val="00353A16"/>
    <w:rsid w:val="00353DC5"/>
    <w:rsid w:val="00357486"/>
    <w:rsid w:val="0035776D"/>
    <w:rsid w:val="00361383"/>
    <w:rsid w:val="003631F4"/>
    <w:rsid w:val="00363FA1"/>
    <w:rsid w:val="00364FD9"/>
    <w:rsid w:val="0036568E"/>
    <w:rsid w:val="00367120"/>
    <w:rsid w:val="003677BA"/>
    <w:rsid w:val="00367C1B"/>
    <w:rsid w:val="00367CAF"/>
    <w:rsid w:val="003719DA"/>
    <w:rsid w:val="003720CD"/>
    <w:rsid w:val="003727AE"/>
    <w:rsid w:val="00372F96"/>
    <w:rsid w:val="0037454B"/>
    <w:rsid w:val="003747E0"/>
    <w:rsid w:val="00374903"/>
    <w:rsid w:val="00374F3A"/>
    <w:rsid w:val="003766E7"/>
    <w:rsid w:val="00376B61"/>
    <w:rsid w:val="00376C90"/>
    <w:rsid w:val="00377E7C"/>
    <w:rsid w:val="003806CD"/>
    <w:rsid w:val="00382407"/>
    <w:rsid w:val="00382F85"/>
    <w:rsid w:val="00383133"/>
    <w:rsid w:val="003839A5"/>
    <w:rsid w:val="00384751"/>
    <w:rsid w:val="003848B9"/>
    <w:rsid w:val="00385F90"/>
    <w:rsid w:val="003862C5"/>
    <w:rsid w:val="00386A64"/>
    <w:rsid w:val="00386FA1"/>
    <w:rsid w:val="00390142"/>
    <w:rsid w:val="003904AC"/>
    <w:rsid w:val="0039098B"/>
    <w:rsid w:val="00390B4C"/>
    <w:rsid w:val="003912D9"/>
    <w:rsid w:val="00391C93"/>
    <w:rsid w:val="003922B6"/>
    <w:rsid w:val="00392BBF"/>
    <w:rsid w:val="00392F00"/>
    <w:rsid w:val="00394AB0"/>
    <w:rsid w:val="00396B1D"/>
    <w:rsid w:val="00397161"/>
    <w:rsid w:val="00397377"/>
    <w:rsid w:val="0039755A"/>
    <w:rsid w:val="00397700"/>
    <w:rsid w:val="003978C3"/>
    <w:rsid w:val="003A0C32"/>
    <w:rsid w:val="003A0E5B"/>
    <w:rsid w:val="003A22DE"/>
    <w:rsid w:val="003A2860"/>
    <w:rsid w:val="003A29DA"/>
    <w:rsid w:val="003A2BB4"/>
    <w:rsid w:val="003A31C7"/>
    <w:rsid w:val="003A3C35"/>
    <w:rsid w:val="003A3DAF"/>
    <w:rsid w:val="003A3DE1"/>
    <w:rsid w:val="003A46E4"/>
    <w:rsid w:val="003A6256"/>
    <w:rsid w:val="003A6473"/>
    <w:rsid w:val="003A7D30"/>
    <w:rsid w:val="003A7E6A"/>
    <w:rsid w:val="003A7FB3"/>
    <w:rsid w:val="003B0589"/>
    <w:rsid w:val="003B0FC2"/>
    <w:rsid w:val="003B1054"/>
    <w:rsid w:val="003B13DF"/>
    <w:rsid w:val="003B1BDF"/>
    <w:rsid w:val="003B1D3A"/>
    <w:rsid w:val="003B1D67"/>
    <w:rsid w:val="003B1D78"/>
    <w:rsid w:val="003B1EBD"/>
    <w:rsid w:val="003B205B"/>
    <w:rsid w:val="003B22B4"/>
    <w:rsid w:val="003B3C5C"/>
    <w:rsid w:val="003B55A9"/>
    <w:rsid w:val="003B5CBF"/>
    <w:rsid w:val="003B605D"/>
    <w:rsid w:val="003B68EC"/>
    <w:rsid w:val="003B69DB"/>
    <w:rsid w:val="003B7E99"/>
    <w:rsid w:val="003C0BE5"/>
    <w:rsid w:val="003C15F6"/>
    <w:rsid w:val="003C3C0A"/>
    <w:rsid w:val="003C47CA"/>
    <w:rsid w:val="003C5428"/>
    <w:rsid w:val="003C6A9F"/>
    <w:rsid w:val="003C71FF"/>
    <w:rsid w:val="003C768D"/>
    <w:rsid w:val="003D077F"/>
    <w:rsid w:val="003D0780"/>
    <w:rsid w:val="003D0B29"/>
    <w:rsid w:val="003D115F"/>
    <w:rsid w:val="003D1E42"/>
    <w:rsid w:val="003D1F19"/>
    <w:rsid w:val="003D2B4B"/>
    <w:rsid w:val="003D36AF"/>
    <w:rsid w:val="003D3B13"/>
    <w:rsid w:val="003D5455"/>
    <w:rsid w:val="003D58B3"/>
    <w:rsid w:val="003D6DE1"/>
    <w:rsid w:val="003D7566"/>
    <w:rsid w:val="003D795C"/>
    <w:rsid w:val="003D7FF4"/>
    <w:rsid w:val="003E01AD"/>
    <w:rsid w:val="003E08FD"/>
    <w:rsid w:val="003E1582"/>
    <w:rsid w:val="003E1DC6"/>
    <w:rsid w:val="003E2EBE"/>
    <w:rsid w:val="003E30FB"/>
    <w:rsid w:val="003E3E7D"/>
    <w:rsid w:val="003E4BA4"/>
    <w:rsid w:val="003E4DEB"/>
    <w:rsid w:val="003E4F79"/>
    <w:rsid w:val="003E5627"/>
    <w:rsid w:val="003E6CCF"/>
    <w:rsid w:val="003E75BD"/>
    <w:rsid w:val="003E784E"/>
    <w:rsid w:val="003E78CD"/>
    <w:rsid w:val="003E7932"/>
    <w:rsid w:val="003F0460"/>
    <w:rsid w:val="003F06A2"/>
    <w:rsid w:val="003F0A56"/>
    <w:rsid w:val="003F1E21"/>
    <w:rsid w:val="003F240C"/>
    <w:rsid w:val="003F2711"/>
    <w:rsid w:val="003F32FE"/>
    <w:rsid w:val="003F4C57"/>
    <w:rsid w:val="003F4DDB"/>
    <w:rsid w:val="003F5CCA"/>
    <w:rsid w:val="003F64AF"/>
    <w:rsid w:val="003F6AF9"/>
    <w:rsid w:val="003F6C37"/>
    <w:rsid w:val="003F6C70"/>
    <w:rsid w:val="003F6DA7"/>
    <w:rsid w:val="003F7737"/>
    <w:rsid w:val="003F7CB9"/>
    <w:rsid w:val="004002C7"/>
    <w:rsid w:val="0040073F"/>
    <w:rsid w:val="00402980"/>
    <w:rsid w:val="00402B4F"/>
    <w:rsid w:val="00403333"/>
    <w:rsid w:val="00404AD3"/>
    <w:rsid w:val="00404AFC"/>
    <w:rsid w:val="00406635"/>
    <w:rsid w:val="00411708"/>
    <w:rsid w:val="00411714"/>
    <w:rsid w:val="00411735"/>
    <w:rsid w:val="004118FC"/>
    <w:rsid w:val="00413023"/>
    <w:rsid w:val="00413B20"/>
    <w:rsid w:val="00414317"/>
    <w:rsid w:val="00415211"/>
    <w:rsid w:val="00415C74"/>
    <w:rsid w:val="004173FF"/>
    <w:rsid w:val="0042236D"/>
    <w:rsid w:val="0042239B"/>
    <w:rsid w:val="00422B1F"/>
    <w:rsid w:val="00422B50"/>
    <w:rsid w:val="00422E2C"/>
    <w:rsid w:val="004237C5"/>
    <w:rsid w:val="004237EC"/>
    <w:rsid w:val="00426EFB"/>
    <w:rsid w:val="004303E3"/>
    <w:rsid w:val="00430CA9"/>
    <w:rsid w:val="004310E7"/>
    <w:rsid w:val="004313DE"/>
    <w:rsid w:val="0043148A"/>
    <w:rsid w:val="00433CD4"/>
    <w:rsid w:val="004347A1"/>
    <w:rsid w:val="00434E22"/>
    <w:rsid w:val="0043654D"/>
    <w:rsid w:val="00437F60"/>
    <w:rsid w:val="00441B1F"/>
    <w:rsid w:val="00441D09"/>
    <w:rsid w:val="004433E1"/>
    <w:rsid w:val="00445391"/>
    <w:rsid w:val="0045055B"/>
    <w:rsid w:val="00450634"/>
    <w:rsid w:val="00450A7A"/>
    <w:rsid w:val="00450F45"/>
    <w:rsid w:val="00451840"/>
    <w:rsid w:val="00452168"/>
    <w:rsid w:val="004522BA"/>
    <w:rsid w:val="004524E2"/>
    <w:rsid w:val="00452559"/>
    <w:rsid w:val="00452DDE"/>
    <w:rsid w:val="00452FCD"/>
    <w:rsid w:val="00455961"/>
    <w:rsid w:val="00456673"/>
    <w:rsid w:val="00456FCC"/>
    <w:rsid w:val="00457294"/>
    <w:rsid w:val="00460187"/>
    <w:rsid w:val="00460522"/>
    <w:rsid w:val="00460C9A"/>
    <w:rsid w:val="004612D5"/>
    <w:rsid w:val="00461D72"/>
    <w:rsid w:val="00461EFE"/>
    <w:rsid w:val="00462B3A"/>
    <w:rsid w:val="00462CC3"/>
    <w:rsid w:val="0046321B"/>
    <w:rsid w:val="00464924"/>
    <w:rsid w:val="00464EEF"/>
    <w:rsid w:val="00466349"/>
    <w:rsid w:val="004665E7"/>
    <w:rsid w:val="00466A1E"/>
    <w:rsid w:val="00466AED"/>
    <w:rsid w:val="00467015"/>
    <w:rsid w:val="004705CA"/>
    <w:rsid w:val="00470CA0"/>
    <w:rsid w:val="00471966"/>
    <w:rsid w:val="00471D63"/>
    <w:rsid w:val="00472982"/>
    <w:rsid w:val="00472B6A"/>
    <w:rsid w:val="00473475"/>
    <w:rsid w:val="004735F4"/>
    <w:rsid w:val="0047363C"/>
    <w:rsid w:val="00473720"/>
    <w:rsid w:val="0047508F"/>
    <w:rsid w:val="0047581D"/>
    <w:rsid w:val="004759BB"/>
    <w:rsid w:val="00475E12"/>
    <w:rsid w:val="004764C7"/>
    <w:rsid w:val="0047700D"/>
    <w:rsid w:val="0048020B"/>
    <w:rsid w:val="00480289"/>
    <w:rsid w:val="0048054C"/>
    <w:rsid w:val="00480E28"/>
    <w:rsid w:val="004811B0"/>
    <w:rsid w:val="004811E2"/>
    <w:rsid w:val="00481279"/>
    <w:rsid w:val="00482060"/>
    <w:rsid w:val="004831C5"/>
    <w:rsid w:val="00483368"/>
    <w:rsid w:val="00483727"/>
    <w:rsid w:val="00483BBB"/>
    <w:rsid w:val="00484385"/>
    <w:rsid w:val="00484D1A"/>
    <w:rsid w:val="004871F0"/>
    <w:rsid w:val="004873D7"/>
    <w:rsid w:val="00487962"/>
    <w:rsid w:val="00490687"/>
    <w:rsid w:val="00491239"/>
    <w:rsid w:val="004913F2"/>
    <w:rsid w:val="0049155C"/>
    <w:rsid w:val="00491E2B"/>
    <w:rsid w:val="00491FA2"/>
    <w:rsid w:val="00494011"/>
    <w:rsid w:val="00494D61"/>
    <w:rsid w:val="0049514B"/>
    <w:rsid w:val="004976FF"/>
    <w:rsid w:val="00497F70"/>
    <w:rsid w:val="004A0BF4"/>
    <w:rsid w:val="004A0C08"/>
    <w:rsid w:val="004A11A2"/>
    <w:rsid w:val="004A263B"/>
    <w:rsid w:val="004A3C96"/>
    <w:rsid w:val="004A4069"/>
    <w:rsid w:val="004A42CF"/>
    <w:rsid w:val="004A5522"/>
    <w:rsid w:val="004A5708"/>
    <w:rsid w:val="004A7128"/>
    <w:rsid w:val="004B25B1"/>
    <w:rsid w:val="004B29F8"/>
    <w:rsid w:val="004B362D"/>
    <w:rsid w:val="004B3788"/>
    <w:rsid w:val="004B4A97"/>
    <w:rsid w:val="004B5B0F"/>
    <w:rsid w:val="004B68AE"/>
    <w:rsid w:val="004B6930"/>
    <w:rsid w:val="004B6B2D"/>
    <w:rsid w:val="004B790F"/>
    <w:rsid w:val="004B79BF"/>
    <w:rsid w:val="004C01C2"/>
    <w:rsid w:val="004C0C16"/>
    <w:rsid w:val="004C101D"/>
    <w:rsid w:val="004C2004"/>
    <w:rsid w:val="004C35B0"/>
    <w:rsid w:val="004C39CB"/>
    <w:rsid w:val="004C3C7B"/>
    <w:rsid w:val="004C3D3A"/>
    <w:rsid w:val="004C41CA"/>
    <w:rsid w:val="004C44F1"/>
    <w:rsid w:val="004C49EF"/>
    <w:rsid w:val="004C4A19"/>
    <w:rsid w:val="004C4F3B"/>
    <w:rsid w:val="004C5570"/>
    <w:rsid w:val="004C6650"/>
    <w:rsid w:val="004C6E9A"/>
    <w:rsid w:val="004D00C9"/>
    <w:rsid w:val="004D119E"/>
    <w:rsid w:val="004D2BA4"/>
    <w:rsid w:val="004D2EEB"/>
    <w:rsid w:val="004D33EB"/>
    <w:rsid w:val="004D39DD"/>
    <w:rsid w:val="004D3C80"/>
    <w:rsid w:val="004D3CE3"/>
    <w:rsid w:val="004D3CFE"/>
    <w:rsid w:val="004D51DD"/>
    <w:rsid w:val="004D57A2"/>
    <w:rsid w:val="004E0081"/>
    <w:rsid w:val="004E16F5"/>
    <w:rsid w:val="004E1982"/>
    <w:rsid w:val="004E1D21"/>
    <w:rsid w:val="004E2276"/>
    <w:rsid w:val="004E24B6"/>
    <w:rsid w:val="004E3CC7"/>
    <w:rsid w:val="004E41CC"/>
    <w:rsid w:val="004E4E8F"/>
    <w:rsid w:val="004E5B69"/>
    <w:rsid w:val="004E6EE8"/>
    <w:rsid w:val="004F054C"/>
    <w:rsid w:val="004F06CF"/>
    <w:rsid w:val="004F0FFE"/>
    <w:rsid w:val="004F10C1"/>
    <w:rsid w:val="004F12C5"/>
    <w:rsid w:val="004F2A87"/>
    <w:rsid w:val="004F37B6"/>
    <w:rsid w:val="004F5271"/>
    <w:rsid w:val="004F5F49"/>
    <w:rsid w:val="004F63DF"/>
    <w:rsid w:val="004F6957"/>
    <w:rsid w:val="004F788C"/>
    <w:rsid w:val="004F7F01"/>
    <w:rsid w:val="00500234"/>
    <w:rsid w:val="0050063D"/>
    <w:rsid w:val="00500862"/>
    <w:rsid w:val="0050126E"/>
    <w:rsid w:val="00501AC6"/>
    <w:rsid w:val="00501DCA"/>
    <w:rsid w:val="00503FB6"/>
    <w:rsid w:val="005048D8"/>
    <w:rsid w:val="005056C7"/>
    <w:rsid w:val="00505EA0"/>
    <w:rsid w:val="00506F9C"/>
    <w:rsid w:val="00507C56"/>
    <w:rsid w:val="00507EF8"/>
    <w:rsid w:val="005102A2"/>
    <w:rsid w:val="00512FD1"/>
    <w:rsid w:val="0051336F"/>
    <w:rsid w:val="00513BFA"/>
    <w:rsid w:val="0051410B"/>
    <w:rsid w:val="0051418D"/>
    <w:rsid w:val="00515E8A"/>
    <w:rsid w:val="00516A46"/>
    <w:rsid w:val="00517697"/>
    <w:rsid w:val="005204DC"/>
    <w:rsid w:val="0052074A"/>
    <w:rsid w:val="005207C8"/>
    <w:rsid w:val="00520FB9"/>
    <w:rsid w:val="00521224"/>
    <w:rsid w:val="005218AA"/>
    <w:rsid w:val="00521AF3"/>
    <w:rsid w:val="00522830"/>
    <w:rsid w:val="0052296C"/>
    <w:rsid w:val="00522D2B"/>
    <w:rsid w:val="00522FCB"/>
    <w:rsid w:val="00523164"/>
    <w:rsid w:val="0052344E"/>
    <w:rsid w:val="005236A9"/>
    <w:rsid w:val="00524F7B"/>
    <w:rsid w:val="005262C5"/>
    <w:rsid w:val="00526478"/>
    <w:rsid w:val="005272F8"/>
    <w:rsid w:val="005300E6"/>
    <w:rsid w:val="00530204"/>
    <w:rsid w:val="005303BD"/>
    <w:rsid w:val="0053164C"/>
    <w:rsid w:val="00532477"/>
    <w:rsid w:val="00533B34"/>
    <w:rsid w:val="00533C53"/>
    <w:rsid w:val="00534C5F"/>
    <w:rsid w:val="005353D5"/>
    <w:rsid w:val="005356F6"/>
    <w:rsid w:val="00535941"/>
    <w:rsid w:val="00535D84"/>
    <w:rsid w:val="00540257"/>
    <w:rsid w:val="00540435"/>
    <w:rsid w:val="0054084C"/>
    <w:rsid w:val="0054192F"/>
    <w:rsid w:val="00541948"/>
    <w:rsid w:val="00541B74"/>
    <w:rsid w:val="00542B84"/>
    <w:rsid w:val="00544EB3"/>
    <w:rsid w:val="00544FF5"/>
    <w:rsid w:val="005458E5"/>
    <w:rsid w:val="0054594B"/>
    <w:rsid w:val="00546607"/>
    <w:rsid w:val="0054671E"/>
    <w:rsid w:val="0054749B"/>
    <w:rsid w:val="0054766A"/>
    <w:rsid w:val="00550229"/>
    <w:rsid w:val="0055097C"/>
    <w:rsid w:val="00551CC6"/>
    <w:rsid w:val="00552D4E"/>
    <w:rsid w:val="00553CA3"/>
    <w:rsid w:val="00553CC4"/>
    <w:rsid w:val="005543F9"/>
    <w:rsid w:val="00554D6A"/>
    <w:rsid w:val="00554E7A"/>
    <w:rsid w:val="00555084"/>
    <w:rsid w:val="00555EA0"/>
    <w:rsid w:val="00556428"/>
    <w:rsid w:val="0055672B"/>
    <w:rsid w:val="00556A42"/>
    <w:rsid w:val="005570E3"/>
    <w:rsid w:val="0055752E"/>
    <w:rsid w:val="0056015F"/>
    <w:rsid w:val="00560541"/>
    <w:rsid w:val="00563C92"/>
    <w:rsid w:val="005641C2"/>
    <w:rsid w:val="00565D3C"/>
    <w:rsid w:val="00565D8E"/>
    <w:rsid w:val="00566E18"/>
    <w:rsid w:val="00566F3D"/>
    <w:rsid w:val="005672D0"/>
    <w:rsid w:val="005676C2"/>
    <w:rsid w:val="0057059F"/>
    <w:rsid w:val="00570951"/>
    <w:rsid w:val="00571BD0"/>
    <w:rsid w:val="0057252B"/>
    <w:rsid w:val="00572CEB"/>
    <w:rsid w:val="00575003"/>
    <w:rsid w:val="005758D3"/>
    <w:rsid w:val="00575DE7"/>
    <w:rsid w:val="0057653B"/>
    <w:rsid w:val="00576C0B"/>
    <w:rsid w:val="00577229"/>
    <w:rsid w:val="00577816"/>
    <w:rsid w:val="00580500"/>
    <w:rsid w:val="00580649"/>
    <w:rsid w:val="00582BD0"/>
    <w:rsid w:val="005834C9"/>
    <w:rsid w:val="00583782"/>
    <w:rsid w:val="00583E00"/>
    <w:rsid w:val="00584079"/>
    <w:rsid w:val="005855C8"/>
    <w:rsid w:val="005858AF"/>
    <w:rsid w:val="00587508"/>
    <w:rsid w:val="00587B40"/>
    <w:rsid w:val="00590B7C"/>
    <w:rsid w:val="00590B9D"/>
    <w:rsid w:val="005941E3"/>
    <w:rsid w:val="00595221"/>
    <w:rsid w:val="0059540A"/>
    <w:rsid w:val="005962D6"/>
    <w:rsid w:val="00596811"/>
    <w:rsid w:val="005A2147"/>
    <w:rsid w:val="005A2613"/>
    <w:rsid w:val="005A28E8"/>
    <w:rsid w:val="005A2A07"/>
    <w:rsid w:val="005A320F"/>
    <w:rsid w:val="005A3AE4"/>
    <w:rsid w:val="005A3D36"/>
    <w:rsid w:val="005A425F"/>
    <w:rsid w:val="005A538A"/>
    <w:rsid w:val="005A5727"/>
    <w:rsid w:val="005A58BA"/>
    <w:rsid w:val="005A5CC1"/>
    <w:rsid w:val="005A5D30"/>
    <w:rsid w:val="005A6AB9"/>
    <w:rsid w:val="005A7056"/>
    <w:rsid w:val="005A7B08"/>
    <w:rsid w:val="005A7CEF"/>
    <w:rsid w:val="005B0204"/>
    <w:rsid w:val="005B0BBC"/>
    <w:rsid w:val="005B16C3"/>
    <w:rsid w:val="005B1E4F"/>
    <w:rsid w:val="005B43B8"/>
    <w:rsid w:val="005B51AC"/>
    <w:rsid w:val="005B57DF"/>
    <w:rsid w:val="005B5855"/>
    <w:rsid w:val="005B6059"/>
    <w:rsid w:val="005B60DA"/>
    <w:rsid w:val="005B7102"/>
    <w:rsid w:val="005B7EA1"/>
    <w:rsid w:val="005C1C24"/>
    <w:rsid w:val="005C1C91"/>
    <w:rsid w:val="005C32FB"/>
    <w:rsid w:val="005C333E"/>
    <w:rsid w:val="005C3AE7"/>
    <w:rsid w:val="005C4B51"/>
    <w:rsid w:val="005C5E2A"/>
    <w:rsid w:val="005C787D"/>
    <w:rsid w:val="005C790F"/>
    <w:rsid w:val="005C7F95"/>
    <w:rsid w:val="005D0677"/>
    <w:rsid w:val="005D1374"/>
    <w:rsid w:val="005D17FD"/>
    <w:rsid w:val="005D2246"/>
    <w:rsid w:val="005D31FA"/>
    <w:rsid w:val="005D57DA"/>
    <w:rsid w:val="005D6A6B"/>
    <w:rsid w:val="005D75BF"/>
    <w:rsid w:val="005E0F60"/>
    <w:rsid w:val="005E1408"/>
    <w:rsid w:val="005E143B"/>
    <w:rsid w:val="005E1CE3"/>
    <w:rsid w:val="005E226E"/>
    <w:rsid w:val="005E2939"/>
    <w:rsid w:val="005E294C"/>
    <w:rsid w:val="005E2AA8"/>
    <w:rsid w:val="005E2CE3"/>
    <w:rsid w:val="005E37AF"/>
    <w:rsid w:val="005E397F"/>
    <w:rsid w:val="005E3EC6"/>
    <w:rsid w:val="005E4CF5"/>
    <w:rsid w:val="005E6047"/>
    <w:rsid w:val="005E6EE0"/>
    <w:rsid w:val="005E754F"/>
    <w:rsid w:val="005F03ED"/>
    <w:rsid w:val="005F0580"/>
    <w:rsid w:val="005F3148"/>
    <w:rsid w:val="005F3F07"/>
    <w:rsid w:val="005F54C5"/>
    <w:rsid w:val="005F5C8E"/>
    <w:rsid w:val="005F7B4B"/>
    <w:rsid w:val="005F7EC2"/>
    <w:rsid w:val="00600FE5"/>
    <w:rsid w:val="006019BB"/>
    <w:rsid w:val="00601AE0"/>
    <w:rsid w:val="00601D7B"/>
    <w:rsid w:val="00602B0E"/>
    <w:rsid w:val="00602C43"/>
    <w:rsid w:val="00603378"/>
    <w:rsid w:val="00603D04"/>
    <w:rsid w:val="00605927"/>
    <w:rsid w:val="00606167"/>
    <w:rsid w:val="00606857"/>
    <w:rsid w:val="00606972"/>
    <w:rsid w:val="00606C30"/>
    <w:rsid w:val="006070CC"/>
    <w:rsid w:val="006074BD"/>
    <w:rsid w:val="0060783B"/>
    <w:rsid w:val="006104B5"/>
    <w:rsid w:val="006108AC"/>
    <w:rsid w:val="00611F13"/>
    <w:rsid w:val="006141F4"/>
    <w:rsid w:val="006146BA"/>
    <w:rsid w:val="00615F42"/>
    <w:rsid w:val="00617291"/>
    <w:rsid w:val="006172D1"/>
    <w:rsid w:val="00617C79"/>
    <w:rsid w:val="00617F72"/>
    <w:rsid w:val="00620167"/>
    <w:rsid w:val="00620791"/>
    <w:rsid w:val="00620E2A"/>
    <w:rsid w:val="0062216E"/>
    <w:rsid w:val="006224E4"/>
    <w:rsid w:val="00624477"/>
    <w:rsid w:val="00625768"/>
    <w:rsid w:val="006258C2"/>
    <w:rsid w:val="00625DC2"/>
    <w:rsid w:val="00626365"/>
    <w:rsid w:val="00627B1B"/>
    <w:rsid w:val="00630E22"/>
    <w:rsid w:val="00631DD9"/>
    <w:rsid w:val="00631F66"/>
    <w:rsid w:val="00633287"/>
    <w:rsid w:val="00633B06"/>
    <w:rsid w:val="00633D91"/>
    <w:rsid w:val="00634367"/>
    <w:rsid w:val="0063479F"/>
    <w:rsid w:val="00634CDB"/>
    <w:rsid w:val="006350A2"/>
    <w:rsid w:val="00637809"/>
    <w:rsid w:val="00637DE8"/>
    <w:rsid w:val="00637FC3"/>
    <w:rsid w:val="00640872"/>
    <w:rsid w:val="0064168C"/>
    <w:rsid w:val="00641DA5"/>
    <w:rsid w:val="006423B0"/>
    <w:rsid w:val="006423C4"/>
    <w:rsid w:val="00642409"/>
    <w:rsid w:val="00642A91"/>
    <w:rsid w:val="006433EC"/>
    <w:rsid w:val="006434AC"/>
    <w:rsid w:val="00643755"/>
    <w:rsid w:val="00643C9B"/>
    <w:rsid w:val="00643D09"/>
    <w:rsid w:val="00644A19"/>
    <w:rsid w:val="006452CD"/>
    <w:rsid w:val="0064531F"/>
    <w:rsid w:val="00646284"/>
    <w:rsid w:val="00646E2D"/>
    <w:rsid w:val="00647D90"/>
    <w:rsid w:val="00650B92"/>
    <w:rsid w:val="00650DF4"/>
    <w:rsid w:val="006510C1"/>
    <w:rsid w:val="0065183E"/>
    <w:rsid w:val="0065206A"/>
    <w:rsid w:val="00652A62"/>
    <w:rsid w:val="00654617"/>
    <w:rsid w:val="006560BC"/>
    <w:rsid w:val="00656C83"/>
    <w:rsid w:val="00656E22"/>
    <w:rsid w:val="00657B46"/>
    <w:rsid w:val="00657D87"/>
    <w:rsid w:val="00657FE0"/>
    <w:rsid w:val="00660C7E"/>
    <w:rsid w:val="006614C1"/>
    <w:rsid w:val="006625F5"/>
    <w:rsid w:val="00662ED4"/>
    <w:rsid w:val="006637A7"/>
    <w:rsid w:val="00664A5F"/>
    <w:rsid w:val="006666C9"/>
    <w:rsid w:val="00667C3B"/>
    <w:rsid w:val="0067014D"/>
    <w:rsid w:val="00670A18"/>
    <w:rsid w:val="006714CA"/>
    <w:rsid w:val="0067180A"/>
    <w:rsid w:val="0067269E"/>
    <w:rsid w:val="00672BF8"/>
    <w:rsid w:val="00673622"/>
    <w:rsid w:val="00673C21"/>
    <w:rsid w:val="00673FB5"/>
    <w:rsid w:val="0067414D"/>
    <w:rsid w:val="00674742"/>
    <w:rsid w:val="006751F1"/>
    <w:rsid w:val="00675807"/>
    <w:rsid w:val="006764EC"/>
    <w:rsid w:val="00676B84"/>
    <w:rsid w:val="006779BD"/>
    <w:rsid w:val="00677BA3"/>
    <w:rsid w:val="00680993"/>
    <w:rsid w:val="00680EC0"/>
    <w:rsid w:val="006827B1"/>
    <w:rsid w:val="0068321B"/>
    <w:rsid w:val="006835FE"/>
    <w:rsid w:val="00684554"/>
    <w:rsid w:val="00684F81"/>
    <w:rsid w:val="00686031"/>
    <w:rsid w:val="0068616C"/>
    <w:rsid w:val="00686886"/>
    <w:rsid w:val="0069135C"/>
    <w:rsid w:val="00691D48"/>
    <w:rsid w:val="006920E2"/>
    <w:rsid w:val="006921EC"/>
    <w:rsid w:val="006923F2"/>
    <w:rsid w:val="00693101"/>
    <w:rsid w:val="0069397B"/>
    <w:rsid w:val="00693BFD"/>
    <w:rsid w:val="00693E47"/>
    <w:rsid w:val="00694A20"/>
    <w:rsid w:val="00695065"/>
    <w:rsid w:val="006952F3"/>
    <w:rsid w:val="006959B1"/>
    <w:rsid w:val="0069624E"/>
    <w:rsid w:val="006966A4"/>
    <w:rsid w:val="00697063"/>
    <w:rsid w:val="006A0041"/>
    <w:rsid w:val="006A0BE7"/>
    <w:rsid w:val="006A1038"/>
    <w:rsid w:val="006A1E81"/>
    <w:rsid w:val="006A418A"/>
    <w:rsid w:val="006A431B"/>
    <w:rsid w:val="006A47A2"/>
    <w:rsid w:val="006A49F2"/>
    <w:rsid w:val="006A5B00"/>
    <w:rsid w:val="006A649A"/>
    <w:rsid w:val="006A79A7"/>
    <w:rsid w:val="006B0959"/>
    <w:rsid w:val="006B1008"/>
    <w:rsid w:val="006B16DE"/>
    <w:rsid w:val="006B1B49"/>
    <w:rsid w:val="006B5512"/>
    <w:rsid w:val="006B5E26"/>
    <w:rsid w:val="006B6390"/>
    <w:rsid w:val="006B714C"/>
    <w:rsid w:val="006B714D"/>
    <w:rsid w:val="006B759F"/>
    <w:rsid w:val="006B78E8"/>
    <w:rsid w:val="006C0356"/>
    <w:rsid w:val="006C03EE"/>
    <w:rsid w:val="006C0843"/>
    <w:rsid w:val="006C0D10"/>
    <w:rsid w:val="006C1DFC"/>
    <w:rsid w:val="006C3377"/>
    <w:rsid w:val="006C3838"/>
    <w:rsid w:val="006C41EE"/>
    <w:rsid w:val="006C4C21"/>
    <w:rsid w:val="006C5303"/>
    <w:rsid w:val="006C607A"/>
    <w:rsid w:val="006C67AB"/>
    <w:rsid w:val="006C6D87"/>
    <w:rsid w:val="006C6DD9"/>
    <w:rsid w:val="006C70E5"/>
    <w:rsid w:val="006C72E5"/>
    <w:rsid w:val="006C74B1"/>
    <w:rsid w:val="006C7DBD"/>
    <w:rsid w:val="006D0791"/>
    <w:rsid w:val="006D36C8"/>
    <w:rsid w:val="006D56DD"/>
    <w:rsid w:val="006D66E6"/>
    <w:rsid w:val="006D67EF"/>
    <w:rsid w:val="006D7904"/>
    <w:rsid w:val="006D7E40"/>
    <w:rsid w:val="006E0921"/>
    <w:rsid w:val="006E0B76"/>
    <w:rsid w:val="006E0E50"/>
    <w:rsid w:val="006E152A"/>
    <w:rsid w:val="006E23BA"/>
    <w:rsid w:val="006E25F8"/>
    <w:rsid w:val="006E356D"/>
    <w:rsid w:val="006E3685"/>
    <w:rsid w:val="006E5068"/>
    <w:rsid w:val="006E57AA"/>
    <w:rsid w:val="006E6066"/>
    <w:rsid w:val="006F0C22"/>
    <w:rsid w:val="006F11CF"/>
    <w:rsid w:val="006F1260"/>
    <w:rsid w:val="006F149E"/>
    <w:rsid w:val="006F18D3"/>
    <w:rsid w:val="006F20CF"/>
    <w:rsid w:val="006F22B3"/>
    <w:rsid w:val="006F2ECC"/>
    <w:rsid w:val="006F3555"/>
    <w:rsid w:val="006F38ED"/>
    <w:rsid w:val="006F3DD8"/>
    <w:rsid w:val="006F4375"/>
    <w:rsid w:val="006F47D8"/>
    <w:rsid w:val="006F49A1"/>
    <w:rsid w:val="006F50D9"/>
    <w:rsid w:val="006F6812"/>
    <w:rsid w:val="006F74C9"/>
    <w:rsid w:val="006F774D"/>
    <w:rsid w:val="007002DE"/>
    <w:rsid w:val="00700CD7"/>
    <w:rsid w:val="0070256F"/>
    <w:rsid w:val="0070259C"/>
    <w:rsid w:val="0070305E"/>
    <w:rsid w:val="007034B3"/>
    <w:rsid w:val="00704082"/>
    <w:rsid w:val="0070414A"/>
    <w:rsid w:val="00704173"/>
    <w:rsid w:val="00704A9C"/>
    <w:rsid w:val="00705784"/>
    <w:rsid w:val="00707D4D"/>
    <w:rsid w:val="00710F87"/>
    <w:rsid w:val="00712115"/>
    <w:rsid w:val="007122B4"/>
    <w:rsid w:val="007127F5"/>
    <w:rsid w:val="00712D12"/>
    <w:rsid w:val="0071357B"/>
    <w:rsid w:val="00713F1C"/>
    <w:rsid w:val="00713F4E"/>
    <w:rsid w:val="00714E63"/>
    <w:rsid w:val="007150F8"/>
    <w:rsid w:val="00716270"/>
    <w:rsid w:val="0071676E"/>
    <w:rsid w:val="00716924"/>
    <w:rsid w:val="0071732C"/>
    <w:rsid w:val="007200D4"/>
    <w:rsid w:val="00720360"/>
    <w:rsid w:val="007213AD"/>
    <w:rsid w:val="007216BF"/>
    <w:rsid w:val="00722014"/>
    <w:rsid w:val="00723446"/>
    <w:rsid w:val="00723503"/>
    <w:rsid w:val="00724306"/>
    <w:rsid w:val="007253CE"/>
    <w:rsid w:val="0072562A"/>
    <w:rsid w:val="007258ED"/>
    <w:rsid w:val="007267C1"/>
    <w:rsid w:val="007275A6"/>
    <w:rsid w:val="00730BEB"/>
    <w:rsid w:val="00730C04"/>
    <w:rsid w:val="0073128C"/>
    <w:rsid w:val="00731FCD"/>
    <w:rsid w:val="007324DD"/>
    <w:rsid w:val="00732D56"/>
    <w:rsid w:val="00733169"/>
    <w:rsid w:val="007335D5"/>
    <w:rsid w:val="007346D0"/>
    <w:rsid w:val="00734A32"/>
    <w:rsid w:val="00734C11"/>
    <w:rsid w:val="007354BC"/>
    <w:rsid w:val="0073597B"/>
    <w:rsid w:val="00736942"/>
    <w:rsid w:val="007378F6"/>
    <w:rsid w:val="0074067D"/>
    <w:rsid w:val="00740688"/>
    <w:rsid w:val="007406CF"/>
    <w:rsid w:val="00740B20"/>
    <w:rsid w:val="00740E71"/>
    <w:rsid w:val="0074121B"/>
    <w:rsid w:val="00741ABF"/>
    <w:rsid w:val="00743779"/>
    <w:rsid w:val="0074545D"/>
    <w:rsid w:val="00745C75"/>
    <w:rsid w:val="00745F6E"/>
    <w:rsid w:val="00745FCA"/>
    <w:rsid w:val="00746545"/>
    <w:rsid w:val="00746A12"/>
    <w:rsid w:val="00746EC6"/>
    <w:rsid w:val="00747750"/>
    <w:rsid w:val="00747F88"/>
    <w:rsid w:val="00750859"/>
    <w:rsid w:val="0075094F"/>
    <w:rsid w:val="00750DDC"/>
    <w:rsid w:val="007510A8"/>
    <w:rsid w:val="0075122E"/>
    <w:rsid w:val="0075181C"/>
    <w:rsid w:val="00751872"/>
    <w:rsid w:val="007520FC"/>
    <w:rsid w:val="007522E3"/>
    <w:rsid w:val="007529BF"/>
    <w:rsid w:val="0075335B"/>
    <w:rsid w:val="007533BC"/>
    <w:rsid w:val="00753C44"/>
    <w:rsid w:val="00754383"/>
    <w:rsid w:val="00754DB3"/>
    <w:rsid w:val="0075536B"/>
    <w:rsid w:val="007564D1"/>
    <w:rsid w:val="00757232"/>
    <w:rsid w:val="00760679"/>
    <w:rsid w:val="00761565"/>
    <w:rsid w:val="007630CB"/>
    <w:rsid w:val="00763628"/>
    <w:rsid w:val="00763A82"/>
    <w:rsid w:val="00763D91"/>
    <w:rsid w:val="0076514A"/>
    <w:rsid w:val="0076599A"/>
    <w:rsid w:val="0076714A"/>
    <w:rsid w:val="00767E99"/>
    <w:rsid w:val="007700F0"/>
    <w:rsid w:val="00770992"/>
    <w:rsid w:val="00770F0A"/>
    <w:rsid w:val="007710B1"/>
    <w:rsid w:val="00771969"/>
    <w:rsid w:val="00772339"/>
    <w:rsid w:val="00772A25"/>
    <w:rsid w:val="00772E62"/>
    <w:rsid w:val="0077358D"/>
    <w:rsid w:val="007744C6"/>
    <w:rsid w:val="007752BD"/>
    <w:rsid w:val="00775A6A"/>
    <w:rsid w:val="00775E84"/>
    <w:rsid w:val="00775EA4"/>
    <w:rsid w:val="00776AAD"/>
    <w:rsid w:val="00776BEF"/>
    <w:rsid w:val="007770B5"/>
    <w:rsid w:val="007773C2"/>
    <w:rsid w:val="0077789B"/>
    <w:rsid w:val="00780D29"/>
    <w:rsid w:val="00780EE2"/>
    <w:rsid w:val="007812CF"/>
    <w:rsid w:val="007818C2"/>
    <w:rsid w:val="00782072"/>
    <w:rsid w:val="007826B7"/>
    <w:rsid w:val="00783471"/>
    <w:rsid w:val="00783CC3"/>
    <w:rsid w:val="00785299"/>
    <w:rsid w:val="00785937"/>
    <w:rsid w:val="007859B2"/>
    <w:rsid w:val="00786D05"/>
    <w:rsid w:val="00787F55"/>
    <w:rsid w:val="00791C8D"/>
    <w:rsid w:val="00791E4A"/>
    <w:rsid w:val="007926D0"/>
    <w:rsid w:val="0079354C"/>
    <w:rsid w:val="00794181"/>
    <w:rsid w:val="00794A5A"/>
    <w:rsid w:val="007953ED"/>
    <w:rsid w:val="00795A94"/>
    <w:rsid w:val="00795F16"/>
    <w:rsid w:val="00797BA0"/>
    <w:rsid w:val="007A06FA"/>
    <w:rsid w:val="007A0A86"/>
    <w:rsid w:val="007A1F15"/>
    <w:rsid w:val="007A1F22"/>
    <w:rsid w:val="007A215B"/>
    <w:rsid w:val="007A2780"/>
    <w:rsid w:val="007A34B9"/>
    <w:rsid w:val="007A3A5F"/>
    <w:rsid w:val="007A4179"/>
    <w:rsid w:val="007A55F6"/>
    <w:rsid w:val="007A560F"/>
    <w:rsid w:val="007A6208"/>
    <w:rsid w:val="007A7F6F"/>
    <w:rsid w:val="007B00AE"/>
    <w:rsid w:val="007B0479"/>
    <w:rsid w:val="007B0AFA"/>
    <w:rsid w:val="007B1047"/>
    <w:rsid w:val="007B1411"/>
    <w:rsid w:val="007B1806"/>
    <w:rsid w:val="007B2207"/>
    <w:rsid w:val="007B3D57"/>
    <w:rsid w:val="007B467D"/>
    <w:rsid w:val="007B4C76"/>
    <w:rsid w:val="007B5E32"/>
    <w:rsid w:val="007C0041"/>
    <w:rsid w:val="007C1BF4"/>
    <w:rsid w:val="007C2260"/>
    <w:rsid w:val="007C2D99"/>
    <w:rsid w:val="007C2F5A"/>
    <w:rsid w:val="007C381C"/>
    <w:rsid w:val="007C411D"/>
    <w:rsid w:val="007C4398"/>
    <w:rsid w:val="007C503D"/>
    <w:rsid w:val="007C57D5"/>
    <w:rsid w:val="007C5A2D"/>
    <w:rsid w:val="007C6CED"/>
    <w:rsid w:val="007C76BA"/>
    <w:rsid w:val="007D0457"/>
    <w:rsid w:val="007D0A34"/>
    <w:rsid w:val="007D1E52"/>
    <w:rsid w:val="007D2358"/>
    <w:rsid w:val="007D2C38"/>
    <w:rsid w:val="007D3D4E"/>
    <w:rsid w:val="007D4828"/>
    <w:rsid w:val="007D55E7"/>
    <w:rsid w:val="007D5612"/>
    <w:rsid w:val="007D6670"/>
    <w:rsid w:val="007D7827"/>
    <w:rsid w:val="007E056E"/>
    <w:rsid w:val="007E0B56"/>
    <w:rsid w:val="007E0F1A"/>
    <w:rsid w:val="007E1242"/>
    <w:rsid w:val="007E17E2"/>
    <w:rsid w:val="007E1E27"/>
    <w:rsid w:val="007E39E4"/>
    <w:rsid w:val="007E3E87"/>
    <w:rsid w:val="007E5724"/>
    <w:rsid w:val="007E6E6B"/>
    <w:rsid w:val="007E6FB3"/>
    <w:rsid w:val="007E7256"/>
    <w:rsid w:val="007E73EF"/>
    <w:rsid w:val="007E7635"/>
    <w:rsid w:val="007F1633"/>
    <w:rsid w:val="007F16F0"/>
    <w:rsid w:val="007F1C49"/>
    <w:rsid w:val="007F1FBD"/>
    <w:rsid w:val="007F21B4"/>
    <w:rsid w:val="007F261A"/>
    <w:rsid w:val="007F2DB1"/>
    <w:rsid w:val="007F3375"/>
    <w:rsid w:val="007F4B7F"/>
    <w:rsid w:val="007F5526"/>
    <w:rsid w:val="007F58A5"/>
    <w:rsid w:val="007F601F"/>
    <w:rsid w:val="007F73DD"/>
    <w:rsid w:val="007F7851"/>
    <w:rsid w:val="007F79B7"/>
    <w:rsid w:val="00802553"/>
    <w:rsid w:val="008039F7"/>
    <w:rsid w:val="00803EAB"/>
    <w:rsid w:val="008046B5"/>
    <w:rsid w:val="00804A0C"/>
    <w:rsid w:val="008069B2"/>
    <w:rsid w:val="00806CDC"/>
    <w:rsid w:val="00806E7E"/>
    <w:rsid w:val="0080749D"/>
    <w:rsid w:val="00810224"/>
    <w:rsid w:val="00810692"/>
    <w:rsid w:val="00810D95"/>
    <w:rsid w:val="00811AA2"/>
    <w:rsid w:val="008127C0"/>
    <w:rsid w:val="00812EDD"/>
    <w:rsid w:val="00812FD2"/>
    <w:rsid w:val="008139C5"/>
    <w:rsid w:val="00813FA9"/>
    <w:rsid w:val="00816131"/>
    <w:rsid w:val="0081650F"/>
    <w:rsid w:val="00817394"/>
    <w:rsid w:val="00820DFD"/>
    <w:rsid w:val="00821317"/>
    <w:rsid w:val="008217F5"/>
    <w:rsid w:val="00824C77"/>
    <w:rsid w:val="00824CB1"/>
    <w:rsid w:val="00824D64"/>
    <w:rsid w:val="008251DD"/>
    <w:rsid w:val="0082618A"/>
    <w:rsid w:val="00827C62"/>
    <w:rsid w:val="008301F4"/>
    <w:rsid w:val="0083119F"/>
    <w:rsid w:val="00831EB5"/>
    <w:rsid w:val="00832B31"/>
    <w:rsid w:val="008336AF"/>
    <w:rsid w:val="00834BF1"/>
    <w:rsid w:val="00834E4B"/>
    <w:rsid w:val="00835DE3"/>
    <w:rsid w:val="00836474"/>
    <w:rsid w:val="00836EB1"/>
    <w:rsid w:val="008403E0"/>
    <w:rsid w:val="00840ECA"/>
    <w:rsid w:val="00841009"/>
    <w:rsid w:val="00841385"/>
    <w:rsid w:val="008415F1"/>
    <w:rsid w:val="00841A5F"/>
    <w:rsid w:val="00841A94"/>
    <w:rsid w:val="008425C4"/>
    <w:rsid w:val="00843061"/>
    <w:rsid w:val="00843E2D"/>
    <w:rsid w:val="008451DF"/>
    <w:rsid w:val="00845245"/>
    <w:rsid w:val="008455EB"/>
    <w:rsid w:val="0084573E"/>
    <w:rsid w:val="00845E67"/>
    <w:rsid w:val="0084657B"/>
    <w:rsid w:val="008467FB"/>
    <w:rsid w:val="00850271"/>
    <w:rsid w:val="008531F6"/>
    <w:rsid w:val="00855126"/>
    <w:rsid w:val="008554C0"/>
    <w:rsid w:val="00855944"/>
    <w:rsid w:val="0085677C"/>
    <w:rsid w:val="00857F8D"/>
    <w:rsid w:val="00861298"/>
    <w:rsid w:val="00862121"/>
    <w:rsid w:val="00863491"/>
    <w:rsid w:val="00864A18"/>
    <w:rsid w:val="00864CAF"/>
    <w:rsid w:val="00865381"/>
    <w:rsid w:val="00866D63"/>
    <w:rsid w:val="008673F3"/>
    <w:rsid w:val="008674AC"/>
    <w:rsid w:val="00867727"/>
    <w:rsid w:val="008702AA"/>
    <w:rsid w:val="00870833"/>
    <w:rsid w:val="0087342B"/>
    <w:rsid w:val="00874571"/>
    <w:rsid w:val="00874CBA"/>
    <w:rsid w:val="00875014"/>
    <w:rsid w:val="00875AA8"/>
    <w:rsid w:val="00877891"/>
    <w:rsid w:val="00877BF6"/>
    <w:rsid w:val="00880747"/>
    <w:rsid w:val="00880B5B"/>
    <w:rsid w:val="00881462"/>
    <w:rsid w:val="00881F93"/>
    <w:rsid w:val="008828FE"/>
    <w:rsid w:val="00882CB5"/>
    <w:rsid w:val="00883641"/>
    <w:rsid w:val="00883F3C"/>
    <w:rsid w:val="00884E69"/>
    <w:rsid w:val="00886D7B"/>
    <w:rsid w:val="00886E62"/>
    <w:rsid w:val="0088706A"/>
    <w:rsid w:val="00887302"/>
    <w:rsid w:val="00890082"/>
    <w:rsid w:val="00890D9D"/>
    <w:rsid w:val="008921B3"/>
    <w:rsid w:val="00893727"/>
    <w:rsid w:val="00894B5F"/>
    <w:rsid w:val="00894B8F"/>
    <w:rsid w:val="00894D3A"/>
    <w:rsid w:val="00894DF7"/>
    <w:rsid w:val="00895A62"/>
    <w:rsid w:val="00896A75"/>
    <w:rsid w:val="008974A0"/>
    <w:rsid w:val="008A0185"/>
    <w:rsid w:val="008A08DE"/>
    <w:rsid w:val="008A09E0"/>
    <w:rsid w:val="008A0F63"/>
    <w:rsid w:val="008A2D48"/>
    <w:rsid w:val="008A305E"/>
    <w:rsid w:val="008A30E6"/>
    <w:rsid w:val="008A3AA9"/>
    <w:rsid w:val="008A48D2"/>
    <w:rsid w:val="008A673C"/>
    <w:rsid w:val="008A70B8"/>
    <w:rsid w:val="008A7423"/>
    <w:rsid w:val="008B0A6A"/>
    <w:rsid w:val="008B0A6F"/>
    <w:rsid w:val="008B101C"/>
    <w:rsid w:val="008B2610"/>
    <w:rsid w:val="008B276C"/>
    <w:rsid w:val="008B2BA2"/>
    <w:rsid w:val="008B34C3"/>
    <w:rsid w:val="008B3AF6"/>
    <w:rsid w:val="008B437F"/>
    <w:rsid w:val="008B471D"/>
    <w:rsid w:val="008B49E4"/>
    <w:rsid w:val="008B4D0B"/>
    <w:rsid w:val="008B58A8"/>
    <w:rsid w:val="008B69F0"/>
    <w:rsid w:val="008B729C"/>
    <w:rsid w:val="008B791B"/>
    <w:rsid w:val="008C0953"/>
    <w:rsid w:val="008C0B70"/>
    <w:rsid w:val="008C1010"/>
    <w:rsid w:val="008C223A"/>
    <w:rsid w:val="008C251B"/>
    <w:rsid w:val="008C4A93"/>
    <w:rsid w:val="008C505B"/>
    <w:rsid w:val="008C5BFC"/>
    <w:rsid w:val="008C6027"/>
    <w:rsid w:val="008C6CB8"/>
    <w:rsid w:val="008C77E2"/>
    <w:rsid w:val="008C77FE"/>
    <w:rsid w:val="008C7ED3"/>
    <w:rsid w:val="008D0999"/>
    <w:rsid w:val="008D0D18"/>
    <w:rsid w:val="008D0D32"/>
    <w:rsid w:val="008D0D81"/>
    <w:rsid w:val="008D1A4B"/>
    <w:rsid w:val="008D486A"/>
    <w:rsid w:val="008D5CDA"/>
    <w:rsid w:val="008D6BEF"/>
    <w:rsid w:val="008D77CB"/>
    <w:rsid w:val="008E0395"/>
    <w:rsid w:val="008E0C9E"/>
    <w:rsid w:val="008E0E49"/>
    <w:rsid w:val="008E1625"/>
    <w:rsid w:val="008E1FC6"/>
    <w:rsid w:val="008E35FD"/>
    <w:rsid w:val="008E3F2C"/>
    <w:rsid w:val="008E42A3"/>
    <w:rsid w:val="008E473C"/>
    <w:rsid w:val="008E506E"/>
    <w:rsid w:val="008E6227"/>
    <w:rsid w:val="008E6B97"/>
    <w:rsid w:val="008E7227"/>
    <w:rsid w:val="008E7271"/>
    <w:rsid w:val="008E748C"/>
    <w:rsid w:val="008E78B9"/>
    <w:rsid w:val="008E7B8F"/>
    <w:rsid w:val="008E7B93"/>
    <w:rsid w:val="008F0A1E"/>
    <w:rsid w:val="008F440A"/>
    <w:rsid w:val="008F4519"/>
    <w:rsid w:val="008F4716"/>
    <w:rsid w:val="008F4EEA"/>
    <w:rsid w:val="008F628D"/>
    <w:rsid w:val="008F7243"/>
    <w:rsid w:val="00900583"/>
    <w:rsid w:val="00900765"/>
    <w:rsid w:val="00900A29"/>
    <w:rsid w:val="00900EAC"/>
    <w:rsid w:val="009010CD"/>
    <w:rsid w:val="009016A9"/>
    <w:rsid w:val="00901F1C"/>
    <w:rsid w:val="00902896"/>
    <w:rsid w:val="00902BB4"/>
    <w:rsid w:val="00905227"/>
    <w:rsid w:val="0090543D"/>
    <w:rsid w:val="009056C5"/>
    <w:rsid w:val="00906412"/>
    <w:rsid w:val="009075EF"/>
    <w:rsid w:val="00907CCC"/>
    <w:rsid w:val="00907EDB"/>
    <w:rsid w:val="0091025A"/>
    <w:rsid w:val="009102AC"/>
    <w:rsid w:val="0091058F"/>
    <w:rsid w:val="00911681"/>
    <w:rsid w:val="0091206F"/>
    <w:rsid w:val="00912A6C"/>
    <w:rsid w:val="00912D7E"/>
    <w:rsid w:val="00913BE4"/>
    <w:rsid w:val="00914AA0"/>
    <w:rsid w:val="009152B2"/>
    <w:rsid w:val="009160C0"/>
    <w:rsid w:val="00917483"/>
    <w:rsid w:val="00917DEB"/>
    <w:rsid w:val="00917E25"/>
    <w:rsid w:val="009208DB"/>
    <w:rsid w:val="00921990"/>
    <w:rsid w:val="00921A63"/>
    <w:rsid w:val="00922B2B"/>
    <w:rsid w:val="00922CB0"/>
    <w:rsid w:val="009234F1"/>
    <w:rsid w:val="00923999"/>
    <w:rsid w:val="009246EE"/>
    <w:rsid w:val="00924AE9"/>
    <w:rsid w:val="009262F2"/>
    <w:rsid w:val="00926600"/>
    <w:rsid w:val="00930CFB"/>
    <w:rsid w:val="00932698"/>
    <w:rsid w:val="00932796"/>
    <w:rsid w:val="00933374"/>
    <w:rsid w:val="00934EA5"/>
    <w:rsid w:val="00935F5B"/>
    <w:rsid w:val="00936EA2"/>
    <w:rsid w:val="00937094"/>
    <w:rsid w:val="009373AE"/>
    <w:rsid w:val="00937791"/>
    <w:rsid w:val="00937F63"/>
    <w:rsid w:val="00940C41"/>
    <w:rsid w:val="0094164D"/>
    <w:rsid w:val="0094226D"/>
    <w:rsid w:val="009428F7"/>
    <w:rsid w:val="00942FA0"/>
    <w:rsid w:val="0094303B"/>
    <w:rsid w:val="0094364B"/>
    <w:rsid w:val="00943A5E"/>
    <w:rsid w:val="00943AF3"/>
    <w:rsid w:val="00943DB8"/>
    <w:rsid w:val="009440E7"/>
    <w:rsid w:val="00944B7E"/>
    <w:rsid w:val="00945562"/>
    <w:rsid w:val="009455D4"/>
    <w:rsid w:val="009459C1"/>
    <w:rsid w:val="00945B26"/>
    <w:rsid w:val="009461F9"/>
    <w:rsid w:val="00947333"/>
    <w:rsid w:val="0095031A"/>
    <w:rsid w:val="00950F45"/>
    <w:rsid w:val="00951025"/>
    <w:rsid w:val="009514E8"/>
    <w:rsid w:val="00951933"/>
    <w:rsid w:val="00951BE3"/>
    <w:rsid w:val="00954160"/>
    <w:rsid w:val="00954343"/>
    <w:rsid w:val="00954917"/>
    <w:rsid w:val="00955271"/>
    <w:rsid w:val="0095568C"/>
    <w:rsid w:val="0095602D"/>
    <w:rsid w:val="00957BB0"/>
    <w:rsid w:val="00960E29"/>
    <w:rsid w:val="00961779"/>
    <w:rsid w:val="00962796"/>
    <w:rsid w:val="00962FB8"/>
    <w:rsid w:val="0096313B"/>
    <w:rsid w:val="00963596"/>
    <w:rsid w:val="00963C9C"/>
    <w:rsid w:val="00964876"/>
    <w:rsid w:val="00964DFE"/>
    <w:rsid w:val="00965B6B"/>
    <w:rsid w:val="009662F5"/>
    <w:rsid w:val="0096723B"/>
    <w:rsid w:val="009673B4"/>
    <w:rsid w:val="00970355"/>
    <w:rsid w:val="00970582"/>
    <w:rsid w:val="009708C8"/>
    <w:rsid w:val="0097107F"/>
    <w:rsid w:val="00971EDB"/>
    <w:rsid w:val="009723E3"/>
    <w:rsid w:val="00972818"/>
    <w:rsid w:val="00972B81"/>
    <w:rsid w:val="0097422A"/>
    <w:rsid w:val="0097454B"/>
    <w:rsid w:val="00974D50"/>
    <w:rsid w:val="0097525C"/>
    <w:rsid w:val="00976BCB"/>
    <w:rsid w:val="00977407"/>
    <w:rsid w:val="009816A6"/>
    <w:rsid w:val="00981964"/>
    <w:rsid w:val="00983F33"/>
    <w:rsid w:val="00987897"/>
    <w:rsid w:val="00987ABE"/>
    <w:rsid w:val="00990BA3"/>
    <w:rsid w:val="00991EE4"/>
    <w:rsid w:val="00991F43"/>
    <w:rsid w:val="009923FB"/>
    <w:rsid w:val="009925D3"/>
    <w:rsid w:val="00992CBE"/>
    <w:rsid w:val="00992D2D"/>
    <w:rsid w:val="00993136"/>
    <w:rsid w:val="009939DC"/>
    <w:rsid w:val="00993B9C"/>
    <w:rsid w:val="0099542E"/>
    <w:rsid w:val="00997DF2"/>
    <w:rsid w:val="009A165D"/>
    <w:rsid w:val="009A1C7F"/>
    <w:rsid w:val="009A2F88"/>
    <w:rsid w:val="009A3529"/>
    <w:rsid w:val="009A45B8"/>
    <w:rsid w:val="009A45E5"/>
    <w:rsid w:val="009A4C87"/>
    <w:rsid w:val="009A53D1"/>
    <w:rsid w:val="009A572A"/>
    <w:rsid w:val="009A5961"/>
    <w:rsid w:val="009A5CA7"/>
    <w:rsid w:val="009A62AB"/>
    <w:rsid w:val="009A6589"/>
    <w:rsid w:val="009A6DAF"/>
    <w:rsid w:val="009A7911"/>
    <w:rsid w:val="009B02BA"/>
    <w:rsid w:val="009B06D2"/>
    <w:rsid w:val="009B07F5"/>
    <w:rsid w:val="009B0C13"/>
    <w:rsid w:val="009B32AC"/>
    <w:rsid w:val="009B331F"/>
    <w:rsid w:val="009B3394"/>
    <w:rsid w:val="009B4E1E"/>
    <w:rsid w:val="009B5AD1"/>
    <w:rsid w:val="009B5CD2"/>
    <w:rsid w:val="009B6003"/>
    <w:rsid w:val="009B6CB3"/>
    <w:rsid w:val="009C03FB"/>
    <w:rsid w:val="009C0B10"/>
    <w:rsid w:val="009C1960"/>
    <w:rsid w:val="009C20A0"/>
    <w:rsid w:val="009C243E"/>
    <w:rsid w:val="009C2FF0"/>
    <w:rsid w:val="009C4B4F"/>
    <w:rsid w:val="009C6EA9"/>
    <w:rsid w:val="009C71AC"/>
    <w:rsid w:val="009C72AD"/>
    <w:rsid w:val="009C7A72"/>
    <w:rsid w:val="009D01D8"/>
    <w:rsid w:val="009D0759"/>
    <w:rsid w:val="009D0A1A"/>
    <w:rsid w:val="009D0D28"/>
    <w:rsid w:val="009D21F9"/>
    <w:rsid w:val="009D2779"/>
    <w:rsid w:val="009D38AA"/>
    <w:rsid w:val="009D4465"/>
    <w:rsid w:val="009D47DA"/>
    <w:rsid w:val="009D5BB6"/>
    <w:rsid w:val="009D5C27"/>
    <w:rsid w:val="009D676B"/>
    <w:rsid w:val="009D7AA7"/>
    <w:rsid w:val="009E0CD6"/>
    <w:rsid w:val="009E114F"/>
    <w:rsid w:val="009E2A66"/>
    <w:rsid w:val="009E387B"/>
    <w:rsid w:val="009E5B0D"/>
    <w:rsid w:val="009E5DFD"/>
    <w:rsid w:val="009E5F6D"/>
    <w:rsid w:val="009E61B9"/>
    <w:rsid w:val="009E6250"/>
    <w:rsid w:val="009E7A20"/>
    <w:rsid w:val="009E7A8C"/>
    <w:rsid w:val="009F02C5"/>
    <w:rsid w:val="009F0A31"/>
    <w:rsid w:val="009F0C02"/>
    <w:rsid w:val="009F2362"/>
    <w:rsid w:val="009F241E"/>
    <w:rsid w:val="009F2806"/>
    <w:rsid w:val="009F290C"/>
    <w:rsid w:val="009F2BEE"/>
    <w:rsid w:val="009F3643"/>
    <w:rsid w:val="009F449D"/>
    <w:rsid w:val="009F489B"/>
    <w:rsid w:val="009F4CA7"/>
    <w:rsid w:val="009F5758"/>
    <w:rsid w:val="009F7089"/>
    <w:rsid w:val="00A01E70"/>
    <w:rsid w:val="00A02634"/>
    <w:rsid w:val="00A0278A"/>
    <w:rsid w:val="00A0283F"/>
    <w:rsid w:val="00A029C6"/>
    <w:rsid w:val="00A03715"/>
    <w:rsid w:val="00A03A5C"/>
    <w:rsid w:val="00A03ACB"/>
    <w:rsid w:val="00A04575"/>
    <w:rsid w:val="00A048B6"/>
    <w:rsid w:val="00A04F4A"/>
    <w:rsid w:val="00A057A1"/>
    <w:rsid w:val="00A05AF7"/>
    <w:rsid w:val="00A060C7"/>
    <w:rsid w:val="00A062B8"/>
    <w:rsid w:val="00A06614"/>
    <w:rsid w:val="00A067BD"/>
    <w:rsid w:val="00A07164"/>
    <w:rsid w:val="00A07424"/>
    <w:rsid w:val="00A11603"/>
    <w:rsid w:val="00A12A2D"/>
    <w:rsid w:val="00A13247"/>
    <w:rsid w:val="00A13FE5"/>
    <w:rsid w:val="00A140C7"/>
    <w:rsid w:val="00A14254"/>
    <w:rsid w:val="00A14256"/>
    <w:rsid w:val="00A15D45"/>
    <w:rsid w:val="00A17F62"/>
    <w:rsid w:val="00A200D3"/>
    <w:rsid w:val="00A2043A"/>
    <w:rsid w:val="00A218E6"/>
    <w:rsid w:val="00A227AD"/>
    <w:rsid w:val="00A239E3"/>
    <w:rsid w:val="00A25DA8"/>
    <w:rsid w:val="00A26343"/>
    <w:rsid w:val="00A2691B"/>
    <w:rsid w:val="00A26B50"/>
    <w:rsid w:val="00A26EB0"/>
    <w:rsid w:val="00A26EFC"/>
    <w:rsid w:val="00A30166"/>
    <w:rsid w:val="00A30223"/>
    <w:rsid w:val="00A3092A"/>
    <w:rsid w:val="00A30BCC"/>
    <w:rsid w:val="00A30FF0"/>
    <w:rsid w:val="00A311B3"/>
    <w:rsid w:val="00A31D64"/>
    <w:rsid w:val="00A3350D"/>
    <w:rsid w:val="00A33551"/>
    <w:rsid w:val="00A3446B"/>
    <w:rsid w:val="00A34D9F"/>
    <w:rsid w:val="00A36F18"/>
    <w:rsid w:val="00A36F9B"/>
    <w:rsid w:val="00A3795C"/>
    <w:rsid w:val="00A408B5"/>
    <w:rsid w:val="00A41A7A"/>
    <w:rsid w:val="00A42915"/>
    <w:rsid w:val="00A44C24"/>
    <w:rsid w:val="00A46057"/>
    <w:rsid w:val="00A46544"/>
    <w:rsid w:val="00A472E3"/>
    <w:rsid w:val="00A50DCE"/>
    <w:rsid w:val="00A512FD"/>
    <w:rsid w:val="00A520B6"/>
    <w:rsid w:val="00A529E2"/>
    <w:rsid w:val="00A539F8"/>
    <w:rsid w:val="00A53B55"/>
    <w:rsid w:val="00A54196"/>
    <w:rsid w:val="00A544FB"/>
    <w:rsid w:val="00A5533B"/>
    <w:rsid w:val="00A55502"/>
    <w:rsid w:val="00A5677A"/>
    <w:rsid w:val="00A56C7D"/>
    <w:rsid w:val="00A56DF3"/>
    <w:rsid w:val="00A57DC3"/>
    <w:rsid w:val="00A61396"/>
    <w:rsid w:val="00A6163F"/>
    <w:rsid w:val="00A61C17"/>
    <w:rsid w:val="00A61D7A"/>
    <w:rsid w:val="00A61ED4"/>
    <w:rsid w:val="00A62219"/>
    <w:rsid w:val="00A62235"/>
    <w:rsid w:val="00A6257A"/>
    <w:rsid w:val="00A6294D"/>
    <w:rsid w:val="00A62D2B"/>
    <w:rsid w:val="00A62F4E"/>
    <w:rsid w:val="00A63081"/>
    <w:rsid w:val="00A64703"/>
    <w:rsid w:val="00A6491A"/>
    <w:rsid w:val="00A6594A"/>
    <w:rsid w:val="00A6594E"/>
    <w:rsid w:val="00A67021"/>
    <w:rsid w:val="00A677CE"/>
    <w:rsid w:val="00A703AA"/>
    <w:rsid w:val="00A70BBF"/>
    <w:rsid w:val="00A727B6"/>
    <w:rsid w:val="00A75D46"/>
    <w:rsid w:val="00A75FB5"/>
    <w:rsid w:val="00A7612D"/>
    <w:rsid w:val="00A77F59"/>
    <w:rsid w:val="00A81ADD"/>
    <w:rsid w:val="00A81CC6"/>
    <w:rsid w:val="00A83EC6"/>
    <w:rsid w:val="00A8557E"/>
    <w:rsid w:val="00A85D41"/>
    <w:rsid w:val="00A8690C"/>
    <w:rsid w:val="00A86997"/>
    <w:rsid w:val="00A872E8"/>
    <w:rsid w:val="00A8732C"/>
    <w:rsid w:val="00A878FD"/>
    <w:rsid w:val="00A8799A"/>
    <w:rsid w:val="00A90151"/>
    <w:rsid w:val="00A9062D"/>
    <w:rsid w:val="00A906DD"/>
    <w:rsid w:val="00A9088E"/>
    <w:rsid w:val="00A90DAC"/>
    <w:rsid w:val="00A9143B"/>
    <w:rsid w:val="00A91B55"/>
    <w:rsid w:val="00A91BC6"/>
    <w:rsid w:val="00A9269C"/>
    <w:rsid w:val="00A93363"/>
    <w:rsid w:val="00A9391C"/>
    <w:rsid w:val="00A93F58"/>
    <w:rsid w:val="00A946CC"/>
    <w:rsid w:val="00A95D75"/>
    <w:rsid w:val="00A96329"/>
    <w:rsid w:val="00A96D77"/>
    <w:rsid w:val="00A97B39"/>
    <w:rsid w:val="00AA0EF3"/>
    <w:rsid w:val="00AA1067"/>
    <w:rsid w:val="00AA134B"/>
    <w:rsid w:val="00AA2CFE"/>
    <w:rsid w:val="00AA2DDB"/>
    <w:rsid w:val="00AA3CD6"/>
    <w:rsid w:val="00AA3FA2"/>
    <w:rsid w:val="00AA5D47"/>
    <w:rsid w:val="00AA5FDA"/>
    <w:rsid w:val="00AA6291"/>
    <w:rsid w:val="00AA65DD"/>
    <w:rsid w:val="00AA7A34"/>
    <w:rsid w:val="00AB108D"/>
    <w:rsid w:val="00AB25F4"/>
    <w:rsid w:val="00AB2B31"/>
    <w:rsid w:val="00AB317B"/>
    <w:rsid w:val="00AB3651"/>
    <w:rsid w:val="00AB3866"/>
    <w:rsid w:val="00AB3C20"/>
    <w:rsid w:val="00AB3E36"/>
    <w:rsid w:val="00AB5D8D"/>
    <w:rsid w:val="00AB755E"/>
    <w:rsid w:val="00AB7E97"/>
    <w:rsid w:val="00AC0C91"/>
    <w:rsid w:val="00AC194A"/>
    <w:rsid w:val="00AC397E"/>
    <w:rsid w:val="00AC3CD9"/>
    <w:rsid w:val="00AC3ED3"/>
    <w:rsid w:val="00AC4297"/>
    <w:rsid w:val="00AC47B7"/>
    <w:rsid w:val="00AC49BD"/>
    <w:rsid w:val="00AC4CD0"/>
    <w:rsid w:val="00AC65A1"/>
    <w:rsid w:val="00AC6767"/>
    <w:rsid w:val="00AD044E"/>
    <w:rsid w:val="00AD1396"/>
    <w:rsid w:val="00AD1B85"/>
    <w:rsid w:val="00AD2E85"/>
    <w:rsid w:val="00AD2F61"/>
    <w:rsid w:val="00AD37D4"/>
    <w:rsid w:val="00AD452F"/>
    <w:rsid w:val="00AD4DBE"/>
    <w:rsid w:val="00AD4F88"/>
    <w:rsid w:val="00AD605D"/>
    <w:rsid w:val="00AD672C"/>
    <w:rsid w:val="00AD6B7B"/>
    <w:rsid w:val="00AD74E1"/>
    <w:rsid w:val="00AD7986"/>
    <w:rsid w:val="00AE1188"/>
    <w:rsid w:val="00AE2C86"/>
    <w:rsid w:val="00AE2E13"/>
    <w:rsid w:val="00AE35AB"/>
    <w:rsid w:val="00AE462A"/>
    <w:rsid w:val="00AE5972"/>
    <w:rsid w:val="00AE5BFE"/>
    <w:rsid w:val="00AE5CC7"/>
    <w:rsid w:val="00AE5DBD"/>
    <w:rsid w:val="00AE6601"/>
    <w:rsid w:val="00AE68BC"/>
    <w:rsid w:val="00AE6BDF"/>
    <w:rsid w:val="00AE738C"/>
    <w:rsid w:val="00AE7A65"/>
    <w:rsid w:val="00AF1046"/>
    <w:rsid w:val="00AF1B0B"/>
    <w:rsid w:val="00AF1C6F"/>
    <w:rsid w:val="00AF3748"/>
    <w:rsid w:val="00AF4466"/>
    <w:rsid w:val="00AF5667"/>
    <w:rsid w:val="00AF5B6E"/>
    <w:rsid w:val="00AF5D1E"/>
    <w:rsid w:val="00AF6684"/>
    <w:rsid w:val="00AF682E"/>
    <w:rsid w:val="00B0087A"/>
    <w:rsid w:val="00B0290E"/>
    <w:rsid w:val="00B03902"/>
    <w:rsid w:val="00B03D23"/>
    <w:rsid w:val="00B040A9"/>
    <w:rsid w:val="00B040C1"/>
    <w:rsid w:val="00B04CB6"/>
    <w:rsid w:val="00B05496"/>
    <w:rsid w:val="00B058F9"/>
    <w:rsid w:val="00B05EEE"/>
    <w:rsid w:val="00B1057E"/>
    <w:rsid w:val="00B10762"/>
    <w:rsid w:val="00B10A6D"/>
    <w:rsid w:val="00B10AE1"/>
    <w:rsid w:val="00B10CAC"/>
    <w:rsid w:val="00B139B6"/>
    <w:rsid w:val="00B1492F"/>
    <w:rsid w:val="00B14D47"/>
    <w:rsid w:val="00B15BD0"/>
    <w:rsid w:val="00B163ED"/>
    <w:rsid w:val="00B16B1F"/>
    <w:rsid w:val="00B1711E"/>
    <w:rsid w:val="00B17CBE"/>
    <w:rsid w:val="00B17E26"/>
    <w:rsid w:val="00B21ED0"/>
    <w:rsid w:val="00B21EDB"/>
    <w:rsid w:val="00B22AC9"/>
    <w:rsid w:val="00B231A4"/>
    <w:rsid w:val="00B23301"/>
    <w:rsid w:val="00B24C9E"/>
    <w:rsid w:val="00B24D3D"/>
    <w:rsid w:val="00B251BE"/>
    <w:rsid w:val="00B2548A"/>
    <w:rsid w:val="00B25D20"/>
    <w:rsid w:val="00B26256"/>
    <w:rsid w:val="00B27246"/>
    <w:rsid w:val="00B279B0"/>
    <w:rsid w:val="00B30B62"/>
    <w:rsid w:val="00B30B98"/>
    <w:rsid w:val="00B30FF5"/>
    <w:rsid w:val="00B31C99"/>
    <w:rsid w:val="00B32359"/>
    <w:rsid w:val="00B32A4F"/>
    <w:rsid w:val="00B334CF"/>
    <w:rsid w:val="00B3394A"/>
    <w:rsid w:val="00B33A81"/>
    <w:rsid w:val="00B33E04"/>
    <w:rsid w:val="00B33EB7"/>
    <w:rsid w:val="00B34115"/>
    <w:rsid w:val="00B341E7"/>
    <w:rsid w:val="00B348E6"/>
    <w:rsid w:val="00B34937"/>
    <w:rsid w:val="00B35987"/>
    <w:rsid w:val="00B35BCD"/>
    <w:rsid w:val="00B36CAF"/>
    <w:rsid w:val="00B375C2"/>
    <w:rsid w:val="00B40DC0"/>
    <w:rsid w:val="00B417E4"/>
    <w:rsid w:val="00B4205F"/>
    <w:rsid w:val="00B4236B"/>
    <w:rsid w:val="00B42747"/>
    <w:rsid w:val="00B42AF5"/>
    <w:rsid w:val="00B42D67"/>
    <w:rsid w:val="00B43611"/>
    <w:rsid w:val="00B437CC"/>
    <w:rsid w:val="00B43A7A"/>
    <w:rsid w:val="00B4456D"/>
    <w:rsid w:val="00B449E5"/>
    <w:rsid w:val="00B45386"/>
    <w:rsid w:val="00B455E1"/>
    <w:rsid w:val="00B458A5"/>
    <w:rsid w:val="00B45CA5"/>
    <w:rsid w:val="00B47435"/>
    <w:rsid w:val="00B50977"/>
    <w:rsid w:val="00B510BC"/>
    <w:rsid w:val="00B511AE"/>
    <w:rsid w:val="00B515FC"/>
    <w:rsid w:val="00B520FA"/>
    <w:rsid w:val="00B53BA6"/>
    <w:rsid w:val="00B55631"/>
    <w:rsid w:val="00B5633E"/>
    <w:rsid w:val="00B56DB6"/>
    <w:rsid w:val="00B56E68"/>
    <w:rsid w:val="00B56F16"/>
    <w:rsid w:val="00B5731D"/>
    <w:rsid w:val="00B57446"/>
    <w:rsid w:val="00B62E84"/>
    <w:rsid w:val="00B6378B"/>
    <w:rsid w:val="00B63D01"/>
    <w:rsid w:val="00B63E3A"/>
    <w:rsid w:val="00B646E4"/>
    <w:rsid w:val="00B64822"/>
    <w:rsid w:val="00B65409"/>
    <w:rsid w:val="00B65C78"/>
    <w:rsid w:val="00B6660F"/>
    <w:rsid w:val="00B6674E"/>
    <w:rsid w:val="00B67151"/>
    <w:rsid w:val="00B6737E"/>
    <w:rsid w:val="00B70849"/>
    <w:rsid w:val="00B70D57"/>
    <w:rsid w:val="00B7116B"/>
    <w:rsid w:val="00B71D39"/>
    <w:rsid w:val="00B7203E"/>
    <w:rsid w:val="00B745E8"/>
    <w:rsid w:val="00B75927"/>
    <w:rsid w:val="00B75965"/>
    <w:rsid w:val="00B75E6F"/>
    <w:rsid w:val="00B76A02"/>
    <w:rsid w:val="00B771AD"/>
    <w:rsid w:val="00B77432"/>
    <w:rsid w:val="00B80335"/>
    <w:rsid w:val="00B804B9"/>
    <w:rsid w:val="00B814CB"/>
    <w:rsid w:val="00B81680"/>
    <w:rsid w:val="00B81886"/>
    <w:rsid w:val="00B851DC"/>
    <w:rsid w:val="00B85ECB"/>
    <w:rsid w:val="00B87D3E"/>
    <w:rsid w:val="00B90947"/>
    <w:rsid w:val="00B90C1B"/>
    <w:rsid w:val="00B90DC2"/>
    <w:rsid w:val="00B91CA4"/>
    <w:rsid w:val="00B92368"/>
    <w:rsid w:val="00B94076"/>
    <w:rsid w:val="00B944D0"/>
    <w:rsid w:val="00B9455A"/>
    <w:rsid w:val="00B96BB4"/>
    <w:rsid w:val="00BA0C22"/>
    <w:rsid w:val="00BA0CF8"/>
    <w:rsid w:val="00BA11B9"/>
    <w:rsid w:val="00BA1632"/>
    <w:rsid w:val="00BA17C0"/>
    <w:rsid w:val="00BA1ADF"/>
    <w:rsid w:val="00BA35FA"/>
    <w:rsid w:val="00BA3A19"/>
    <w:rsid w:val="00BA4C6D"/>
    <w:rsid w:val="00BA51FC"/>
    <w:rsid w:val="00BA53A6"/>
    <w:rsid w:val="00BA58C0"/>
    <w:rsid w:val="00BA5D9C"/>
    <w:rsid w:val="00BA7036"/>
    <w:rsid w:val="00BA72E3"/>
    <w:rsid w:val="00BA7397"/>
    <w:rsid w:val="00BB003A"/>
    <w:rsid w:val="00BB0C58"/>
    <w:rsid w:val="00BB26DB"/>
    <w:rsid w:val="00BB3358"/>
    <w:rsid w:val="00BB3382"/>
    <w:rsid w:val="00BB3643"/>
    <w:rsid w:val="00BB3C69"/>
    <w:rsid w:val="00BB3C91"/>
    <w:rsid w:val="00BB4037"/>
    <w:rsid w:val="00BB413E"/>
    <w:rsid w:val="00BB677C"/>
    <w:rsid w:val="00BB6FD5"/>
    <w:rsid w:val="00BC15F9"/>
    <w:rsid w:val="00BC169C"/>
    <w:rsid w:val="00BC25A4"/>
    <w:rsid w:val="00BC2965"/>
    <w:rsid w:val="00BC3DA0"/>
    <w:rsid w:val="00BC424B"/>
    <w:rsid w:val="00BC45AF"/>
    <w:rsid w:val="00BC5796"/>
    <w:rsid w:val="00BC61F5"/>
    <w:rsid w:val="00BC6ADF"/>
    <w:rsid w:val="00BC790F"/>
    <w:rsid w:val="00BC7964"/>
    <w:rsid w:val="00BD0198"/>
    <w:rsid w:val="00BD040E"/>
    <w:rsid w:val="00BD0843"/>
    <w:rsid w:val="00BD0D08"/>
    <w:rsid w:val="00BD17D1"/>
    <w:rsid w:val="00BD21C7"/>
    <w:rsid w:val="00BD22D6"/>
    <w:rsid w:val="00BD2E3F"/>
    <w:rsid w:val="00BD2F28"/>
    <w:rsid w:val="00BD38A2"/>
    <w:rsid w:val="00BD3AA6"/>
    <w:rsid w:val="00BD5B7E"/>
    <w:rsid w:val="00BE0970"/>
    <w:rsid w:val="00BE0C88"/>
    <w:rsid w:val="00BE0FDE"/>
    <w:rsid w:val="00BE1B1D"/>
    <w:rsid w:val="00BE1B32"/>
    <w:rsid w:val="00BE2E82"/>
    <w:rsid w:val="00BE378B"/>
    <w:rsid w:val="00BE571F"/>
    <w:rsid w:val="00BE644F"/>
    <w:rsid w:val="00BE6494"/>
    <w:rsid w:val="00BE7854"/>
    <w:rsid w:val="00BF1AA0"/>
    <w:rsid w:val="00BF1CAE"/>
    <w:rsid w:val="00BF20B8"/>
    <w:rsid w:val="00BF2364"/>
    <w:rsid w:val="00BF25B4"/>
    <w:rsid w:val="00BF33E2"/>
    <w:rsid w:val="00BF35AB"/>
    <w:rsid w:val="00BF3921"/>
    <w:rsid w:val="00BF48E9"/>
    <w:rsid w:val="00BF54E0"/>
    <w:rsid w:val="00BF5806"/>
    <w:rsid w:val="00BF6194"/>
    <w:rsid w:val="00BF630C"/>
    <w:rsid w:val="00BF6497"/>
    <w:rsid w:val="00BF6AC5"/>
    <w:rsid w:val="00BF6CBC"/>
    <w:rsid w:val="00BF713C"/>
    <w:rsid w:val="00BF7AFB"/>
    <w:rsid w:val="00BF7BB6"/>
    <w:rsid w:val="00BF7E84"/>
    <w:rsid w:val="00C000C3"/>
    <w:rsid w:val="00C00A61"/>
    <w:rsid w:val="00C01121"/>
    <w:rsid w:val="00C01FDE"/>
    <w:rsid w:val="00C030A5"/>
    <w:rsid w:val="00C03F49"/>
    <w:rsid w:val="00C04091"/>
    <w:rsid w:val="00C05A45"/>
    <w:rsid w:val="00C061ED"/>
    <w:rsid w:val="00C06FBB"/>
    <w:rsid w:val="00C071A8"/>
    <w:rsid w:val="00C073E4"/>
    <w:rsid w:val="00C07485"/>
    <w:rsid w:val="00C0796F"/>
    <w:rsid w:val="00C07BDC"/>
    <w:rsid w:val="00C07EFE"/>
    <w:rsid w:val="00C10320"/>
    <w:rsid w:val="00C10D64"/>
    <w:rsid w:val="00C11024"/>
    <w:rsid w:val="00C11B34"/>
    <w:rsid w:val="00C12C5C"/>
    <w:rsid w:val="00C12F69"/>
    <w:rsid w:val="00C130B6"/>
    <w:rsid w:val="00C14A32"/>
    <w:rsid w:val="00C16877"/>
    <w:rsid w:val="00C16F4F"/>
    <w:rsid w:val="00C171FB"/>
    <w:rsid w:val="00C17314"/>
    <w:rsid w:val="00C17750"/>
    <w:rsid w:val="00C200AE"/>
    <w:rsid w:val="00C209C2"/>
    <w:rsid w:val="00C20ACA"/>
    <w:rsid w:val="00C2267F"/>
    <w:rsid w:val="00C22953"/>
    <w:rsid w:val="00C22A6B"/>
    <w:rsid w:val="00C22AD8"/>
    <w:rsid w:val="00C23C66"/>
    <w:rsid w:val="00C255AC"/>
    <w:rsid w:val="00C25697"/>
    <w:rsid w:val="00C261BE"/>
    <w:rsid w:val="00C26303"/>
    <w:rsid w:val="00C274A5"/>
    <w:rsid w:val="00C27BF6"/>
    <w:rsid w:val="00C3031F"/>
    <w:rsid w:val="00C3090B"/>
    <w:rsid w:val="00C3557E"/>
    <w:rsid w:val="00C3594B"/>
    <w:rsid w:val="00C361B3"/>
    <w:rsid w:val="00C3681C"/>
    <w:rsid w:val="00C373C5"/>
    <w:rsid w:val="00C37A44"/>
    <w:rsid w:val="00C37C7B"/>
    <w:rsid w:val="00C41D8D"/>
    <w:rsid w:val="00C420DD"/>
    <w:rsid w:val="00C43102"/>
    <w:rsid w:val="00C4451F"/>
    <w:rsid w:val="00C456C1"/>
    <w:rsid w:val="00C4696B"/>
    <w:rsid w:val="00C479CC"/>
    <w:rsid w:val="00C47FEF"/>
    <w:rsid w:val="00C50338"/>
    <w:rsid w:val="00C50513"/>
    <w:rsid w:val="00C512FA"/>
    <w:rsid w:val="00C52238"/>
    <w:rsid w:val="00C525EF"/>
    <w:rsid w:val="00C5313F"/>
    <w:rsid w:val="00C5342E"/>
    <w:rsid w:val="00C534D8"/>
    <w:rsid w:val="00C539E8"/>
    <w:rsid w:val="00C5425D"/>
    <w:rsid w:val="00C54503"/>
    <w:rsid w:val="00C54B7C"/>
    <w:rsid w:val="00C54EBE"/>
    <w:rsid w:val="00C572DC"/>
    <w:rsid w:val="00C606E8"/>
    <w:rsid w:val="00C61854"/>
    <w:rsid w:val="00C61EAB"/>
    <w:rsid w:val="00C61EDE"/>
    <w:rsid w:val="00C62945"/>
    <w:rsid w:val="00C63055"/>
    <w:rsid w:val="00C634AB"/>
    <w:rsid w:val="00C64C4E"/>
    <w:rsid w:val="00C66D71"/>
    <w:rsid w:val="00C67832"/>
    <w:rsid w:val="00C67E0E"/>
    <w:rsid w:val="00C705B9"/>
    <w:rsid w:val="00C71351"/>
    <w:rsid w:val="00C713A8"/>
    <w:rsid w:val="00C7280D"/>
    <w:rsid w:val="00C733C0"/>
    <w:rsid w:val="00C7372C"/>
    <w:rsid w:val="00C73B62"/>
    <w:rsid w:val="00C749E6"/>
    <w:rsid w:val="00C75462"/>
    <w:rsid w:val="00C75CAA"/>
    <w:rsid w:val="00C768BE"/>
    <w:rsid w:val="00C77684"/>
    <w:rsid w:val="00C776B1"/>
    <w:rsid w:val="00C8000D"/>
    <w:rsid w:val="00C8016D"/>
    <w:rsid w:val="00C80638"/>
    <w:rsid w:val="00C80C07"/>
    <w:rsid w:val="00C80D19"/>
    <w:rsid w:val="00C815FE"/>
    <w:rsid w:val="00C81FA0"/>
    <w:rsid w:val="00C830BF"/>
    <w:rsid w:val="00C835D8"/>
    <w:rsid w:val="00C83E20"/>
    <w:rsid w:val="00C847AE"/>
    <w:rsid w:val="00C85B5E"/>
    <w:rsid w:val="00C85EEC"/>
    <w:rsid w:val="00C862FE"/>
    <w:rsid w:val="00C863EF"/>
    <w:rsid w:val="00C87B3F"/>
    <w:rsid w:val="00C90C46"/>
    <w:rsid w:val="00C90E2F"/>
    <w:rsid w:val="00C91908"/>
    <w:rsid w:val="00C936FE"/>
    <w:rsid w:val="00C93F96"/>
    <w:rsid w:val="00C94A87"/>
    <w:rsid w:val="00C94AA4"/>
    <w:rsid w:val="00C962C7"/>
    <w:rsid w:val="00C96785"/>
    <w:rsid w:val="00CA04C6"/>
    <w:rsid w:val="00CA11C1"/>
    <w:rsid w:val="00CA26DD"/>
    <w:rsid w:val="00CA556A"/>
    <w:rsid w:val="00CA5C90"/>
    <w:rsid w:val="00CA6A06"/>
    <w:rsid w:val="00CA6DE3"/>
    <w:rsid w:val="00CA7019"/>
    <w:rsid w:val="00CA78C4"/>
    <w:rsid w:val="00CA7BCF"/>
    <w:rsid w:val="00CA7F3C"/>
    <w:rsid w:val="00CB0175"/>
    <w:rsid w:val="00CB03CB"/>
    <w:rsid w:val="00CB12EC"/>
    <w:rsid w:val="00CB1317"/>
    <w:rsid w:val="00CB1651"/>
    <w:rsid w:val="00CB168D"/>
    <w:rsid w:val="00CB16E3"/>
    <w:rsid w:val="00CB1748"/>
    <w:rsid w:val="00CB2D62"/>
    <w:rsid w:val="00CB3184"/>
    <w:rsid w:val="00CB3212"/>
    <w:rsid w:val="00CB4B74"/>
    <w:rsid w:val="00CB616A"/>
    <w:rsid w:val="00CB64CF"/>
    <w:rsid w:val="00CB737C"/>
    <w:rsid w:val="00CB79B5"/>
    <w:rsid w:val="00CB7A3C"/>
    <w:rsid w:val="00CC09D7"/>
    <w:rsid w:val="00CC12B8"/>
    <w:rsid w:val="00CC1594"/>
    <w:rsid w:val="00CC23D8"/>
    <w:rsid w:val="00CC29FB"/>
    <w:rsid w:val="00CC3011"/>
    <w:rsid w:val="00CC4659"/>
    <w:rsid w:val="00CC4A8B"/>
    <w:rsid w:val="00CC5AB1"/>
    <w:rsid w:val="00CC5F79"/>
    <w:rsid w:val="00CD22E3"/>
    <w:rsid w:val="00CD25E4"/>
    <w:rsid w:val="00CD44AA"/>
    <w:rsid w:val="00CD4E44"/>
    <w:rsid w:val="00CD55DA"/>
    <w:rsid w:val="00CD56C5"/>
    <w:rsid w:val="00CD5AE4"/>
    <w:rsid w:val="00CD6533"/>
    <w:rsid w:val="00CD6981"/>
    <w:rsid w:val="00CD6CCE"/>
    <w:rsid w:val="00CD7A7D"/>
    <w:rsid w:val="00CE0F9E"/>
    <w:rsid w:val="00CE19F2"/>
    <w:rsid w:val="00CE2403"/>
    <w:rsid w:val="00CE565B"/>
    <w:rsid w:val="00CE58A1"/>
    <w:rsid w:val="00CE5958"/>
    <w:rsid w:val="00CE5B24"/>
    <w:rsid w:val="00CE6F34"/>
    <w:rsid w:val="00CE758A"/>
    <w:rsid w:val="00CE7A07"/>
    <w:rsid w:val="00CE7CF2"/>
    <w:rsid w:val="00CF02D3"/>
    <w:rsid w:val="00CF0688"/>
    <w:rsid w:val="00CF0D2F"/>
    <w:rsid w:val="00CF129B"/>
    <w:rsid w:val="00CF1625"/>
    <w:rsid w:val="00CF21D9"/>
    <w:rsid w:val="00CF2D8E"/>
    <w:rsid w:val="00CF2DFA"/>
    <w:rsid w:val="00CF349C"/>
    <w:rsid w:val="00CF3A74"/>
    <w:rsid w:val="00CF3B48"/>
    <w:rsid w:val="00CF4D1E"/>
    <w:rsid w:val="00CF5AD8"/>
    <w:rsid w:val="00CF67B1"/>
    <w:rsid w:val="00CF7B4B"/>
    <w:rsid w:val="00D00122"/>
    <w:rsid w:val="00D00C9D"/>
    <w:rsid w:val="00D01D2A"/>
    <w:rsid w:val="00D029DD"/>
    <w:rsid w:val="00D02C2B"/>
    <w:rsid w:val="00D03B5A"/>
    <w:rsid w:val="00D04CA2"/>
    <w:rsid w:val="00D04D22"/>
    <w:rsid w:val="00D05489"/>
    <w:rsid w:val="00D06466"/>
    <w:rsid w:val="00D06E36"/>
    <w:rsid w:val="00D07C77"/>
    <w:rsid w:val="00D10B47"/>
    <w:rsid w:val="00D11109"/>
    <w:rsid w:val="00D11182"/>
    <w:rsid w:val="00D11EB1"/>
    <w:rsid w:val="00D129BC"/>
    <w:rsid w:val="00D12A94"/>
    <w:rsid w:val="00D13C47"/>
    <w:rsid w:val="00D13D58"/>
    <w:rsid w:val="00D14195"/>
    <w:rsid w:val="00D141E7"/>
    <w:rsid w:val="00D14847"/>
    <w:rsid w:val="00D14C3C"/>
    <w:rsid w:val="00D14D85"/>
    <w:rsid w:val="00D14F0C"/>
    <w:rsid w:val="00D15032"/>
    <w:rsid w:val="00D15A1A"/>
    <w:rsid w:val="00D160C8"/>
    <w:rsid w:val="00D161C1"/>
    <w:rsid w:val="00D170C5"/>
    <w:rsid w:val="00D174BD"/>
    <w:rsid w:val="00D17F17"/>
    <w:rsid w:val="00D209E8"/>
    <w:rsid w:val="00D20C16"/>
    <w:rsid w:val="00D20E0A"/>
    <w:rsid w:val="00D210BE"/>
    <w:rsid w:val="00D23597"/>
    <w:rsid w:val="00D2516C"/>
    <w:rsid w:val="00D26013"/>
    <w:rsid w:val="00D269F6"/>
    <w:rsid w:val="00D27187"/>
    <w:rsid w:val="00D30BDC"/>
    <w:rsid w:val="00D30E2B"/>
    <w:rsid w:val="00D30F4A"/>
    <w:rsid w:val="00D31C3A"/>
    <w:rsid w:val="00D32A6C"/>
    <w:rsid w:val="00D32E3F"/>
    <w:rsid w:val="00D3337A"/>
    <w:rsid w:val="00D340A8"/>
    <w:rsid w:val="00D3469D"/>
    <w:rsid w:val="00D367AB"/>
    <w:rsid w:val="00D36C4F"/>
    <w:rsid w:val="00D36F13"/>
    <w:rsid w:val="00D37F05"/>
    <w:rsid w:val="00D37F1A"/>
    <w:rsid w:val="00D419C8"/>
    <w:rsid w:val="00D4357D"/>
    <w:rsid w:val="00D45551"/>
    <w:rsid w:val="00D45D6F"/>
    <w:rsid w:val="00D46DE2"/>
    <w:rsid w:val="00D47115"/>
    <w:rsid w:val="00D47E35"/>
    <w:rsid w:val="00D5004A"/>
    <w:rsid w:val="00D51AB2"/>
    <w:rsid w:val="00D51EA0"/>
    <w:rsid w:val="00D52268"/>
    <w:rsid w:val="00D529C2"/>
    <w:rsid w:val="00D5377C"/>
    <w:rsid w:val="00D544F6"/>
    <w:rsid w:val="00D54900"/>
    <w:rsid w:val="00D54C61"/>
    <w:rsid w:val="00D55776"/>
    <w:rsid w:val="00D5655A"/>
    <w:rsid w:val="00D56765"/>
    <w:rsid w:val="00D56A3C"/>
    <w:rsid w:val="00D56DEB"/>
    <w:rsid w:val="00D57912"/>
    <w:rsid w:val="00D57F88"/>
    <w:rsid w:val="00D60941"/>
    <w:rsid w:val="00D60C1F"/>
    <w:rsid w:val="00D6170C"/>
    <w:rsid w:val="00D6210A"/>
    <w:rsid w:val="00D62B09"/>
    <w:rsid w:val="00D651E6"/>
    <w:rsid w:val="00D6725A"/>
    <w:rsid w:val="00D677E3"/>
    <w:rsid w:val="00D67876"/>
    <w:rsid w:val="00D702AF"/>
    <w:rsid w:val="00D70EED"/>
    <w:rsid w:val="00D7105C"/>
    <w:rsid w:val="00D7133D"/>
    <w:rsid w:val="00D72B37"/>
    <w:rsid w:val="00D73646"/>
    <w:rsid w:val="00D737EC"/>
    <w:rsid w:val="00D743CF"/>
    <w:rsid w:val="00D74BD8"/>
    <w:rsid w:val="00D74CDF"/>
    <w:rsid w:val="00D74D79"/>
    <w:rsid w:val="00D75B8B"/>
    <w:rsid w:val="00D7740E"/>
    <w:rsid w:val="00D77656"/>
    <w:rsid w:val="00D777B4"/>
    <w:rsid w:val="00D77A90"/>
    <w:rsid w:val="00D80201"/>
    <w:rsid w:val="00D8044A"/>
    <w:rsid w:val="00D82626"/>
    <w:rsid w:val="00D82DCE"/>
    <w:rsid w:val="00D83525"/>
    <w:rsid w:val="00D8360B"/>
    <w:rsid w:val="00D84084"/>
    <w:rsid w:val="00D84F09"/>
    <w:rsid w:val="00D8512E"/>
    <w:rsid w:val="00D85408"/>
    <w:rsid w:val="00D85676"/>
    <w:rsid w:val="00D85F38"/>
    <w:rsid w:val="00D86778"/>
    <w:rsid w:val="00D87064"/>
    <w:rsid w:val="00D871B6"/>
    <w:rsid w:val="00D9097D"/>
    <w:rsid w:val="00D91239"/>
    <w:rsid w:val="00D912A5"/>
    <w:rsid w:val="00D91CD6"/>
    <w:rsid w:val="00D91DC7"/>
    <w:rsid w:val="00D92804"/>
    <w:rsid w:val="00D92D4C"/>
    <w:rsid w:val="00D9390C"/>
    <w:rsid w:val="00D93AD8"/>
    <w:rsid w:val="00D94DC0"/>
    <w:rsid w:val="00D95650"/>
    <w:rsid w:val="00D96ADA"/>
    <w:rsid w:val="00D979D4"/>
    <w:rsid w:val="00DA075E"/>
    <w:rsid w:val="00DA0C4F"/>
    <w:rsid w:val="00DA1B2A"/>
    <w:rsid w:val="00DA2886"/>
    <w:rsid w:val="00DA3108"/>
    <w:rsid w:val="00DA55C7"/>
    <w:rsid w:val="00DA5E50"/>
    <w:rsid w:val="00DA668C"/>
    <w:rsid w:val="00DA73FF"/>
    <w:rsid w:val="00DA7AB0"/>
    <w:rsid w:val="00DA7BA7"/>
    <w:rsid w:val="00DA7D0C"/>
    <w:rsid w:val="00DA7FC6"/>
    <w:rsid w:val="00DB0463"/>
    <w:rsid w:val="00DB0809"/>
    <w:rsid w:val="00DB30B3"/>
    <w:rsid w:val="00DB311C"/>
    <w:rsid w:val="00DB3603"/>
    <w:rsid w:val="00DB3AEC"/>
    <w:rsid w:val="00DB3BF9"/>
    <w:rsid w:val="00DB432D"/>
    <w:rsid w:val="00DB4D0D"/>
    <w:rsid w:val="00DB514F"/>
    <w:rsid w:val="00DB519B"/>
    <w:rsid w:val="00DB5302"/>
    <w:rsid w:val="00DB5789"/>
    <w:rsid w:val="00DB645A"/>
    <w:rsid w:val="00DB750F"/>
    <w:rsid w:val="00DC01DD"/>
    <w:rsid w:val="00DC2D19"/>
    <w:rsid w:val="00DC2DE8"/>
    <w:rsid w:val="00DC372A"/>
    <w:rsid w:val="00DC3793"/>
    <w:rsid w:val="00DC3AC4"/>
    <w:rsid w:val="00DC50C4"/>
    <w:rsid w:val="00DC59C7"/>
    <w:rsid w:val="00DC6673"/>
    <w:rsid w:val="00DC71DA"/>
    <w:rsid w:val="00DC75C0"/>
    <w:rsid w:val="00DC7694"/>
    <w:rsid w:val="00DC7FBE"/>
    <w:rsid w:val="00DD000F"/>
    <w:rsid w:val="00DD109E"/>
    <w:rsid w:val="00DD130E"/>
    <w:rsid w:val="00DD308E"/>
    <w:rsid w:val="00DD4C12"/>
    <w:rsid w:val="00DD553B"/>
    <w:rsid w:val="00DD5A4D"/>
    <w:rsid w:val="00DE0350"/>
    <w:rsid w:val="00DE099C"/>
    <w:rsid w:val="00DE1C67"/>
    <w:rsid w:val="00DE1D52"/>
    <w:rsid w:val="00DE1E00"/>
    <w:rsid w:val="00DE39D5"/>
    <w:rsid w:val="00DE3C33"/>
    <w:rsid w:val="00DE3DB7"/>
    <w:rsid w:val="00DE47EE"/>
    <w:rsid w:val="00DE4F19"/>
    <w:rsid w:val="00DE5E9E"/>
    <w:rsid w:val="00DE7607"/>
    <w:rsid w:val="00DE7875"/>
    <w:rsid w:val="00DF07EB"/>
    <w:rsid w:val="00DF0C51"/>
    <w:rsid w:val="00DF0D47"/>
    <w:rsid w:val="00DF0DCD"/>
    <w:rsid w:val="00DF0F81"/>
    <w:rsid w:val="00DF10C4"/>
    <w:rsid w:val="00DF1207"/>
    <w:rsid w:val="00DF1652"/>
    <w:rsid w:val="00DF3683"/>
    <w:rsid w:val="00DF4887"/>
    <w:rsid w:val="00DF5136"/>
    <w:rsid w:val="00DF59BD"/>
    <w:rsid w:val="00DF5F54"/>
    <w:rsid w:val="00DF6C84"/>
    <w:rsid w:val="00DF6D37"/>
    <w:rsid w:val="00DF7F39"/>
    <w:rsid w:val="00E003AA"/>
    <w:rsid w:val="00E0088A"/>
    <w:rsid w:val="00E01573"/>
    <w:rsid w:val="00E01AB6"/>
    <w:rsid w:val="00E0253A"/>
    <w:rsid w:val="00E048ED"/>
    <w:rsid w:val="00E04FB3"/>
    <w:rsid w:val="00E0571C"/>
    <w:rsid w:val="00E058F2"/>
    <w:rsid w:val="00E05D9C"/>
    <w:rsid w:val="00E060A9"/>
    <w:rsid w:val="00E06102"/>
    <w:rsid w:val="00E06CEA"/>
    <w:rsid w:val="00E06F48"/>
    <w:rsid w:val="00E07B9F"/>
    <w:rsid w:val="00E10418"/>
    <w:rsid w:val="00E10D7D"/>
    <w:rsid w:val="00E11131"/>
    <w:rsid w:val="00E117EA"/>
    <w:rsid w:val="00E11937"/>
    <w:rsid w:val="00E11A43"/>
    <w:rsid w:val="00E11F29"/>
    <w:rsid w:val="00E134B1"/>
    <w:rsid w:val="00E13979"/>
    <w:rsid w:val="00E1425D"/>
    <w:rsid w:val="00E15639"/>
    <w:rsid w:val="00E16ABA"/>
    <w:rsid w:val="00E17041"/>
    <w:rsid w:val="00E17285"/>
    <w:rsid w:val="00E173A9"/>
    <w:rsid w:val="00E17AFD"/>
    <w:rsid w:val="00E20446"/>
    <w:rsid w:val="00E20C4E"/>
    <w:rsid w:val="00E21039"/>
    <w:rsid w:val="00E224F1"/>
    <w:rsid w:val="00E2297C"/>
    <w:rsid w:val="00E22A64"/>
    <w:rsid w:val="00E23E71"/>
    <w:rsid w:val="00E24D02"/>
    <w:rsid w:val="00E263AC"/>
    <w:rsid w:val="00E26F72"/>
    <w:rsid w:val="00E27293"/>
    <w:rsid w:val="00E275FB"/>
    <w:rsid w:val="00E277C9"/>
    <w:rsid w:val="00E30183"/>
    <w:rsid w:val="00E303C0"/>
    <w:rsid w:val="00E30B19"/>
    <w:rsid w:val="00E30F19"/>
    <w:rsid w:val="00E3148B"/>
    <w:rsid w:val="00E3181D"/>
    <w:rsid w:val="00E3338F"/>
    <w:rsid w:val="00E3383D"/>
    <w:rsid w:val="00E33B2B"/>
    <w:rsid w:val="00E33C4A"/>
    <w:rsid w:val="00E34250"/>
    <w:rsid w:val="00E35114"/>
    <w:rsid w:val="00E355CE"/>
    <w:rsid w:val="00E357B9"/>
    <w:rsid w:val="00E41780"/>
    <w:rsid w:val="00E41C1B"/>
    <w:rsid w:val="00E41D3D"/>
    <w:rsid w:val="00E4321E"/>
    <w:rsid w:val="00E4480C"/>
    <w:rsid w:val="00E44B80"/>
    <w:rsid w:val="00E44BFE"/>
    <w:rsid w:val="00E44CED"/>
    <w:rsid w:val="00E46397"/>
    <w:rsid w:val="00E47516"/>
    <w:rsid w:val="00E47623"/>
    <w:rsid w:val="00E50D43"/>
    <w:rsid w:val="00E526D8"/>
    <w:rsid w:val="00E528E1"/>
    <w:rsid w:val="00E54136"/>
    <w:rsid w:val="00E564A5"/>
    <w:rsid w:val="00E56527"/>
    <w:rsid w:val="00E565DD"/>
    <w:rsid w:val="00E56B66"/>
    <w:rsid w:val="00E56CC5"/>
    <w:rsid w:val="00E56EA9"/>
    <w:rsid w:val="00E5771C"/>
    <w:rsid w:val="00E57E17"/>
    <w:rsid w:val="00E60529"/>
    <w:rsid w:val="00E60906"/>
    <w:rsid w:val="00E615EA"/>
    <w:rsid w:val="00E6222F"/>
    <w:rsid w:val="00E623BA"/>
    <w:rsid w:val="00E62B0C"/>
    <w:rsid w:val="00E641EF"/>
    <w:rsid w:val="00E6442D"/>
    <w:rsid w:val="00E64EB1"/>
    <w:rsid w:val="00E65307"/>
    <w:rsid w:val="00E67919"/>
    <w:rsid w:val="00E70966"/>
    <w:rsid w:val="00E70D86"/>
    <w:rsid w:val="00E7122B"/>
    <w:rsid w:val="00E7170B"/>
    <w:rsid w:val="00E71DAE"/>
    <w:rsid w:val="00E71FF6"/>
    <w:rsid w:val="00E7200A"/>
    <w:rsid w:val="00E730AF"/>
    <w:rsid w:val="00E74853"/>
    <w:rsid w:val="00E75627"/>
    <w:rsid w:val="00E75DBB"/>
    <w:rsid w:val="00E760F5"/>
    <w:rsid w:val="00E7628E"/>
    <w:rsid w:val="00E766C9"/>
    <w:rsid w:val="00E76EE5"/>
    <w:rsid w:val="00E7701F"/>
    <w:rsid w:val="00E77029"/>
    <w:rsid w:val="00E77375"/>
    <w:rsid w:val="00E80537"/>
    <w:rsid w:val="00E80D87"/>
    <w:rsid w:val="00E815A3"/>
    <w:rsid w:val="00E82F54"/>
    <w:rsid w:val="00E84661"/>
    <w:rsid w:val="00E850D6"/>
    <w:rsid w:val="00E85BF4"/>
    <w:rsid w:val="00E86426"/>
    <w:rsid w:val="00E8649B"/>
    <w:rsid w:val="00E871CD"/>
    <w:rsid w:val="00E8765D"/>
    <w:rsid w:val="00E908FE"/>
    <w:rsid w:val="00E90990"/>
    <w:rsid w:val="00E90BC8"/>
    <w:rsid w:val="00E90DFF"/>
    <w:rsid w:val="00E92137"/>
    <w:rsid w:val="00E93730"/>
    <w:rsid w:val="00E93926"/>
    <w:rsid w:val="00E93E36"/>
    <w:rsid w:val="00E93E67"/>
    <w:rsid w:val="00E94272"/>
    <w:rsid w:val="00E9500F"/>
    <w:rsid w:val="00E95D3D"/>
    <w:rsid w:val="00E95FE2"/>
    <w:rsid w:val="00E97076"/>
    <w:rsid w:val="00E97334"/>
    <w:rsid w:val="00E97686"/>
    <w:rsid w:val="00E9792E"/>
    <w:rsid w:val="00E97EF5"/>
    <w:rsid w:val="00EA00DB"/>
    <w:rsid w:val="00EA0214"/>
    <w:rsid w:val="00EA0E25"/>
    <w:rsid w:val="00EA173C"/>
    <w:rsid w:val="00EA1978"/>
    <w:rsid w:val="00EA1AB5"/>
    <w:rsid w:val="00EA3B21"/>
    <w:rsid w:val="00EA4370"/>
    <w:rsid w:val="00EA6E29"/>
    <w:rsid w:val="00EA7132"/>
    <w:rsid w:val="00EA7184"/>
    <w:rsid w:val="00EA763F"/>
    <w:rsid w:val="00EA7943"/>
    <w:rsid w:val="00EB03D4"/>
    <w:rsid w:val="00EB0C75"/>
    <w:rsid w:val="00EB15B3"/>
    <w:rsid w:val="00EB1800"/>
    <w:rsid w:val="00EB1935"/>
    <w:rsid w:val="00EB202F"/>
    <w:rsid w:val="00EB23AB"/>
    <w:rsid w:val="00EB2400"/>
    <w:rsid w:val="00EB2A30"/>
    <w:rsid w:val="00EB2B19"/>
    <w:rsid w:val="00EB3388"/>
    <w:rsid w:val="00EB35CA"/>
    <w:rsid w:val="00EB35D9"/>
    <w:rsid w:val="00EB3D04"/>
    <w:rsid w:val="00EB568B"/>
    <w:rsid w:val="00EB5BA9"/>
    <w:rsid w:val="00EB7467"/>
    <w:rsid w:val="00EC1266"/>
    <w:rsid w:val="00EC127A"/>
    <w:rsid w:val="00EC1572"/>
    <w:rsid w:val="00EC1E74"/>
    <w:rsid w:val="00EC1FEC"/>
    <w:rsid w:val="00EC1FF9"/>
    <w:rsid w:val="00EC20C5"/>
    <w:rsid w:val="00EC2737"/>
    <w:rsid w:val="00EC2E47"/>
    <w:rsid w:val="00EC5512"/>
    <w:rsid w:val="00EC5817"/>
    <w:rsid w:val="00EC643E"/>
    <w:rsid w:val="00EC65B0"/>
    <w:rsid w:val="00EC6CFD"/>
    <w:rsid w:val="00EC76DD"/>
    <w:rsid w:val="00EC7863"/>
    <w:rsid w:val="00ED04DA"/>
    <w:rsid w:val="00ED0D7B"/>
    <w:rsid w:val="00ED1DCB"/>
    <w:rsid w:val="00ED21DC"/>
    <w:rsid w:val="00ED36A5"/>
    <w:rsid w:val="00ED3F68"/>
    <w:rsid w:val="00ED40FC"/>
    <w:rsid w:val="00ED4463"/>
    <w:rsid w:val="00ED4A88"/>
    <w:rsid w:val="00ED4D19"/>
    <w:rsid w:val="00ED579B"/>
    <w:rsid w:val="00ED5A4E"/>
    <w:rsid w:val="00ED7D4E"/>
    <w:rsid w:val="00ED7FB8"/>
    <w:rsid w:val="00EE04C5"/>
    <w:rsid w:val="00EE0E2F"/>
    <w:rsid w:val="00EE1753"/>
    <w:rsid w:val="00EE184B"/>
    <w:rsid w:val="00EE1A97"/>
    <w:rsid w:val="00EE1F82"/>
    <w:rsid w:val="00EE2716"/>
    <w:rsid w:val="00EE4369"/>
    <w:rsid w:val="00EE44F1"/>
    <w:rsid w:val="00EE4860"/>
    <w:rsid w:val="00EE4CA2"/>
    <w:rsid w:val="00EE518A"/>
    <w:rsid w:val="00EE6450"/>
    <w:rsid w:val="00EE6C5D"/>
    <w:rsid w:val="00EF0A7F"/>
    <w:rsid w:val="00EF0A8C"/>
    <w:rsid w:val="00EF17DC"/>
    <w:rsid w:val="00EF18AB"/>
    <w:rsid w:val="00EF2714"/>
    <w:rsid w:val="00EF3B21"/>
    <w:rsid w:val="00EF3D52"/>
    <w:rsid w:val="00EF3E0F"/>
    <w:rsid w:val="00EF48FD"/>
    <w:rsid w:val="00EF494A"/>
    <w:rsid w:val="00EF4E03"/>
    <w:rsid w:val="00EF7BEE"/>
    <w:rsid w:val="00F00121"/>
    <w:rsid w:val="00F00240"/>
    <w:rsid w:val="00F006DE"/>
    <w:rsid w:val="00F01C2C"/>
    <w:rsid w:val="00F027AE"/>
    <w:rsid w:val="00F06F1F"/>
    <w:rsid w:val="00F07158"/>
    <w:rsid w:val="00F100A4"/>
    <w:rsid w:val="00F10ED8"/>
    <w:rsid w:val="00F1265F"/>
    <w:rsid w:val="00F13C6E"/>
    <w:rsid w:val="00F160B7"/>
    <w:rsid w:val="00F16AE8"/>
    <w:rsid w:val="00F21729"/>
    <w:rsid w:val="00F21F43"/>
    <w:rsid w:val="00F222BE"/>
    <w:rsid w:val="00F2235F"/>
    <w:rsid w:val="00F226D1"/>
    <w:rsid w:val="00F227AC"/>
    <w:rsid w:val="00F24082"/>
    <w:rsid w:val="00F24179"/>
    <w:rsid w:val="00F24FD6"/>
    <w:rsid w:val="00F26645"/>
    <w:rsid w:val="00F27AFA"/>
    <w:rsid w:val="00F27EE7"/>
    <w:rsid w:val="00F301F1"/>
    <w:rsid w:val="00F308E4"/>
    <w:rsid w:val="00F30BCA"/>
    <w:rsid w:val="00F30C16"/>
    <w:rsid w:val="00F30C22"/>
    <w:rsid w:val="00F326B1"/>
    <w:rsid w:val="00F336FF"/>
    <w:rsid w:val="00F338FC"/>
    <w:rsid w:val="00F33F1A"/>
    <w:rsid w:val="00F34642"/>
    <w:rsid w:val="00F34A7D"/>
    <w:rsid w:val="00F3674A"/>
    <w:rsid w:val="00F3711E"/>
    <w:rsid w:val="00F37714"/>
    <w:rsid w:val="00F40189"/>
    <w:rsid w:val="00F41443"/>
    <w:rsid w:val="00F435FD"/>
    <w:rsid w:val="00F43D07"/>
    <w:rsid w:val="00F46E04"/>
    <w:rsid w:val="00F47C00"/>
    <w:rsid w:val="00F5108F"/>
    <w:rsid w:val="00F517DF"/>
    <w:rsid w:val="00F53392"/>
    <w:rsid w:val="00F547F7"/>
    <w:rsid w:val="00F54B78"/>
    <w:rsid w:val="00F54CCF"/>
    <w:rsid w:val="00F55585"/>
    <w:rsid w:val="00F57339"/>
    <w:rsid w:val="00F5738B"/>
    <w:rsid w:val="00F57573"/>
    <w:rsid w:val="00F612DD"/>
    <w:rsid w:val="00F61D7A"/>
    <w:rsid w:val="00F620FB"/>
    <w:rsid w:val="00F62AD7"/>
    <w:rsid w:val="00F62C8A"/>
    <w:rsid w:val="00F637B3"/>
    <w:rsid w:val="00F648C3"/>
    <w:rsid w:val="00F65470"/>
    <w:rsid w:val="00F65BB6"/>
    <w:rsid w:val="00F65CD9"/>
    <w:rsid w:val="00F667EE"/>
    <w:rsid w:val="00F66A0F"/>
    <w:rsid w:val="00F66CF7"/>
    <w:rsid w:val="00F67BCB"/>
    <w:rsid w:val="00F70D3F"/>
    <w:rsid w:val="00F70DF3"/>
    <w:rsid w:val="00F71440"/>
    <w:rsid w:val="00F71DB5"/>
    <w:rsid w:val="00F727F0"/>
    <w:rsid w:val="00F72EA6"/>
    <w:rsid w:val="00F74F58"/>
    <w:rsid w:val="00F770C6"/>
    <w:rsid w:val="00F7751F"/>
    <w:rsid w:val="00F7766E"/>
    <w:rsid w:val="00F77C57"/>
    <w:rsid w:val="00F77CDC"/>
    <w:rsid w:val="00F813C7"/>
    <w:rsid w:val="00F81B02"/>
    <w:rsid w:val="00F81EEA"/>
    <w:rsid w:val="00F82A50"/>
    <w:rsid w:val="00F82FF5"/>
    <w:rsid w:val="00F83291"/>
    <w:rsid w:val="00F83499"/>
    <w:rsid w:val="00F83566"/>
    <w:rsid w:val="00F83A9D"/>
    <w:rsid w:val="00F8436E"/>
    <w:rsid w:val="00F85778"/>
    <w:rsid w:val="00F86190"/>
    <w:rsid w:val="00F861AF"/>
    <w:rsid w:val="00F87150"/>
    <w:rsid w:val="00F8779E"/>
    <w:rsid w:val="00F906B5"/>
    <w:rsid w:val="00F910DB"/>
    <w:rsid w:val="00F911B9"/>
    <w:rsid w:val="00F9187A"/>
    <w:rsid w:val="00F91C12"/>
    <w:rsid w:val="00F9206F"/>
    <w:rsid w:val="00F92CFC"/>
    <w:rsid w:val="00F93277"/>
    <w:rsid w:val="00F93784"/>
    <w:rsid w:val="00F9493C"/>
    <w:rsid w:val="00F961EA"/>
    <w:rsid w:val="00F971CC"/>
    <w:rsid w:val="00F97471"/>
    <w:rsid w:val="00FA0873"/>
    <w:rsid w:val="00FA2CAA"/>
    <w:rsid w:val="00FA2D94"/>
    <w:rsid w:val="00FA3DA1"/>
    <w:rsid w:val="00FA4A08"/>
    <w:rsid w:val="00FA5A0D"/>
    <w:rsid w:val="00FA601E"/>
    <w:rsid w:val="00FA6554"/>
    <w:rsid w:val="00FB09CE"/>
    <w:rsid w:val="00FB131B"/>
    <w:rsid w:val="00FB1594"/>
    <w:rsid w:val="00FB3AA2"/>
    <w:rsid w:val="00FB4D71"/>
    <w:rsid w:val="00FB5114"/>
    <w:rsid w:val="00FB53CE"/>
    <w:rsid w:val="00FB693C"/>
    <w:rsid w:val="00FB7A93"/>
    <w:rsid w:val="00FB7C88"/>
    <w:rsid w:val="00FC01C1"/>
    <w:rsid w:val="00FC0D57"/>
    <w:rsid w:val="00FC1235"/>
    <w:rsid w:val="00FC1607"/>
    <w:rsid w:val="00FC2668"/>
    <w:rsid w:val="00FC310C"/>
    <w:rsid w:val="00FC3513"/>
    <w:rsid w:val="00FC3A1C"/>
    <w:rsid w:val="00FC3FCD"/>
    <w:rsid w:val="00FC6935"/>
    <w:rsid w:val="00FC7631"/>
    <w:rsid w:val="00FD003C"/>
    <w:rsid w:val="00FD0713"/>
    <w:rsid w:val="00FD1F71"/>
    <w:rsid w:val="00FD2DB5"/>
    <w:rsid w:val="00FD3C53"/>
    <w:rsid w:val="00FD3F0F"/>
    <w:rsid w:val="00FD3FEC"/>
    <w:rsid w:val="00FD5DDC"/>
    <w:rsid w:val="00FD62D1"/>
    <w:rsid w:val="00FD65DF"/>
    <w:rsid w:val="00FD6714"/>
    <w:rsid w:val="00FE0439"/>
    <w:rsid w:val="00FE06C8"/>
    <w:rsid w:val="00FE07AB"/>
    <w:rsid w:val="00FE16C1"/>
    <w:rsid w:val="00FE1871"/>
    <w:rsid w:val="00FE19FF"/>
    <w:rsid w:val="00FE1A69"/>
    <w:rsid w:val="00FE33A6"/>
    <w:rsid w:val="00FE4A55"/>
    <w:rsid w:val="00FE51B1"/>
    <w:rsid w:val="00FE5452"/>
    <w:rsid w:val="00FE567E"/>
    <w:rsid w:val="00FF022C"/>
    <w:rsid w:val="00FF14C1"/>
    <w:rsid w:val="00FF18BE"/>
    <w:rsid w:val="00FF1D23"/>
    <w:rsid w:val="00FF1DCB"/>
    <w:rsid w:val="00FF23B8"/>
    <w:rsid w:val="00FF2EA6"/>
    <w:rsid w:val="00FF3766"/>
    <w:rsid w:val="00FF4094"/>
    <w:rsid w:val="00FF48C9"/>
    <w:rsid w:val="00FF48E8"/>
    <w:rsid w:val="00FF59A8"/>
    <w:rsid w:val="00FF7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1243"/>
  <w15:docId w15:val="{986FF4B3-8967-4552-A2BC-717B7E84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86"/>
    <w:pPr>
      <w:spacing w:before="120" w:after="120" w:line="240" w:lineRule="auto"/>
      <w:ind w:left="360"/>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9923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923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Bullets Points,Figure_name,List Paragraph1,Numbered Indented Text,Bullet- First level,List NUmber,Listenabsatz1,lp1,List Paragraph11,Style 2,TOC style,List Paragraph2,List Paragraph Char Char,Number_1,SGLText List Paragraph,L"/>
    <w:basedOn w:val="Normal"/>
    <w:link w:val="ListParagraphChar"/>
    <w:uiPriority w:val="1"/>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Tickboxes">
    <w:name w:val="Tick boxes"/>
    <w:basedOn w:val="Normal"/>
    <w:link w:val="TickboxesChar"/>
    <w:qFormat/>
    <w:rsid w:val="0000380D"/>
    <w:pPr>
      <w:spacing w:before="0" w:after="0"/>
    </w:pPr>
    <w:rPr>
      <w:bCs/>
      <w:szCs w:val="20"/>
    </w:rPr>
  </w:style>
  <w:style w:type="character" w:customStyle="1" w:styleId="TickboxesChar">
    <w:name w:val="Tick boxes Char"/>
    <w:basedOn w:val="DefaultParagraphFont"/>
    <w:link w:val="Tickboxes"/>
    <w:rsid w:val="0000380D"/>
    <w:rPr>
      <w:bCs/>
      <w:sz w:val="20"/>
      <w:szCs w:val="20"/>
    </w:rPr>
  </w:style>
  <w:style w:type="character" w:styleId="UnresolvedMention">
    <w:name w:val="Unresolved Mention"/>
    <w:basedOn w:val="DefaultParagraphFont"/>
    <w:uiPriority w:val="99"/>
    <w:semiHidden/>
    <w:unhideWhenUsed/>
    <w:rsid w:val="0012130C"/>
    <w:rPr>
      <w:color w:val="605E5C"/>
      <w:shd w:val="clear" w:color="auto" w:fill="E1DFDD"/>
    </w:rPr>
  </w:style>
  <w:style w:type="character" w:styleId="FollowedHyperlink">
    <w:name w:val="FollowedHyperlink"/>
    <w:basedOn w:val="DefaultParagraphFont"/>
    <w:uiPriority w:val="99"/>
    <w:semiHidden/>
    <w:unhideWhenUsed/>
    <w:rsid w:val="0012130C"/>
    <w:rPr>
      <w:color w:val="800080" w:themeColor="followedHyperlink"/>
      <w:u w:val="single"/>
    </w:rPr>
  </w:style>
  <w:style w:type="character" w:customStyle="1" w:styleId="ListParagraphChar">
    <w:name w:val="List Paragraph Char"/>
    <w:aliases w:val="BulletPoints Char,Bullets Points Char,Figure_name Char,List Paragraph1 Char,Numbered Indented Text Char,Bullet- First level Char,List NUmber Char,Listenabsatz1 Char,lp1 Char,List Paragraph11 Char,Style 2 Char,TOC style Char,L Char"/>
    <w:basedOn w:val="DefaultParagraphFont"/>
    <w:link w:val="ListParagraph"/>
    <w:uiPriority w:val="1"/>
    <w:qFormat/>
    <w:locked/>
    <w:rsid w:val="00EB202F"/>
    <w:rPr>
      <w:sz w:val="20"/>
    </w:rPr>
  </w:style>
  <w:style w:type="paragraph" w:customStyle="1" w:styleId="ProposalBody">
    <w:name w:val="Proposal Body"/>
    <w:basedOn w:val="NormalWeb"/>
    <w:qFormat/>
    <w:rsid w:val="00EB202F"/>
    <w:pPr>
      <w:spacing w:before="100" w:beforeAutospacing="1" w:after="100" w:afterAutospacing="1"/>
      <w:ind w:left="0"/>
    </w:pPr>
    <w:rPr>
      <w:rFonts w:ascii="Calibri" w:eastAsia="Times New Roman" w:hAnsi="Calibri" w:cs="Calibri"/>
      <w:szCs w:val="22"/>
      <w:lang w:val="en-US" w:eastAsia="en-AU"/>
    </w:rPr>
  </w:style>
  <w:style w:type="paragraph" w:styleId="Caption">
    <w:name w:val="caption"/>
    <w:aliases w:val="Caption Char1 Char,Caption Char Char Char"/>
    <w:basedOn w:val="Normal"/>
    <w:next w:val="Normal"/>
    <w:link w:val="CaptionChar"/>
    <w:uiPriority w:val="35"/>
    <w:unhideWhenUsed/>
    <w:qFormat/>
    <w:rsid w:val="00EB202F"/>
    <w:pPr>
      <w:spacing w:before="0" w:after="200"/>
      <w:ind w:left="0"/>
    </w:pPr>
    <w:rPr>
      <w:rFonts w:ascii="Calibri" w:eastAsia="Times New Roman" w:hAnsi="Calibri" w:cs="Times New Roman"/>
      <w:b/>
      <w:bCs/>
      <w:color w:val="6773B6"/>
      <w:sz w:val="18"/>
      <w:szCs w:val="18"/>
    </w:rPr>
  </w:style>
  <w:style w:type="character" w:customStyle="1" w:styleId="CaptionChar">
    <w:name w:val="Caption Char"/>
    <w:aliases w:val="Caption Char1 Char Char,Caption Char Char Char Char"/>
    <w:basedOn w:val="DefaultParagraphFont"/>
    <w:link w:val="Caption"/>
    <w:uiPriority w:val="35"/>
    <w:rsid w:val="00EB202F"/>
    <w:rPr>
      <w:rFonts w:ascii="Calibri" w:eastAsia="Times New Roman" w:hAnsi="Calibri" w:cs="Times New Roman"/>
      <w:b/>
      <w:bCs/>
      <w:color w:val="6773B6"/>
      <w:sz w:val="18"/>
      <w:szCs w:val="18"/>
    </w:rPr>
  </w:style>
  <w:style w:type="character" w:styleId="IntenseEmphasis">
    <w:name w:val="Intense Emphasis"/>
    <w:basedOn w:val="DefaultParagraphFont"/>
    <w:uiPriority w:val="21"/>
    <w:qFormat/>
    <w:rsid w:val="00EB202F"/>
    <w:rPr>
      <w:i/>
      <w:iCs/>
      <w:color w:val="4F81BD" w:themeColor="accent1"/>
    </w:rPr>
  </w:style>
  <w:style w:type="paragraph" w:styleId="NormalWeb">
    <w:name w:val="Normal (Web)"/>
    <w:basedOn w:val="Normal"/>
    <w:uiPriority w:val="99"/>
    <w:semiHidden/>
    <w:unhideWhenUsed/>
    <w:rsid w:val="00EB202F"/>
    <w:rPr>
      <w:rFonts w:ascii="Times New Roman" w:hAnsi="Times New Roman" w:cs="Times New Roman"/>
      <w:sz w:val="24"/>
      <w:szCs w:val="24"/>
    </w:rPr>
  </w:style>
  <w:style w:type="table" w:customStyle="1" w:styleId="GridTable412">
    <w:name w:val="Grid Table 412"/>
    <w:basedOn w:val="TableNormal"/>
    <w:next w:val="GridTable4"/>
    <w:uiPriority w:val="49"/>
    <w:rsid w:val="00EB202F"/>
    <w:pPr>
      <w:spacing w:after="0" w:line="240" w:lineRule="auto"/>
    </w:pPr>
    <w:tblPr>
      <w:tblStyleRowBandSize w:val="1"/>
      <w:tblStyleColBandSize w:val="1"/>
      <w:tblBorders>
        <w:top w:val="single" w:sz="4" w:space="0" w:color="A3AAD3"/>
        <w:left w:val="single" w:sz="4" w:space="0" w:color="A3AAD3"/>
        <w:bottom w:val="single" w:sz="4" w:space="0" w:color="A3AAD3"/>
        <w:right w:val="single" w:sz="4" w:space="0" w:color="A3AAD3"/>
        <w:insideH w:val="single" w:sz="4" w:space="0" w:color="A3AAD3"/>
        <w:insideV w:val="single" w:sz="4" w:space="0" w:color="A3AAD3"/>
      </w:tblBorders>
    </w:tblPr>
    <w:tblStylePr w:type="firstRow">
      <w:rPr>
        <w:b/>
        <w:bCs/>
        <w:color w:val="8E9300"/>
      </w:rPr>
      <w:tblPr/>
      <w:tcPr>
        <w:tcBorders>
          <w:top w:val="single" w:sz="4" w:space="0" w:color="6772B6"/>
          <w:left w:val="single" w:sz="4" w:space="0" w:color="6772B6"/>
          <w:bottom w:val="single" w:sz="4" w:space="0" w:color="6772B6"/>
          <w:right w:val="single" w:sz="4" w:space="0" w:color="6772B6"/>
          <w:insideH w:val="nil"/>
          <w:insideV w:val="nil"/>
        </w:tcBorders>
        <w:shd w:val="clear" w:color="auto" w:fill="6772B6"/>
      </w:tcPr>
    </w:tblStylePr>
    <w:tblStylePr w:type="lastRow">
      <w:rPr>
        <w:b/>
        <w:bCs/>
      </w:rPr>
      <w:tblPr/>
      <w:tcPr>
        <w:tcBorders>
          <w:top w:val="double" w:sz="4" w:space="0" w:color="6772B6"/>
        </w:tcBorders>
      </w:tcPr>
    </w:tblStylePr>
    <w:tblStylePr w:type="firstCol">
      <w:rPr>
        <w:b/>
        <w:bCs/>
      </w:rPr>
    </w:tblStylePr>
    <w:tblStylePr w:type="lastCol">
      <w:rPr>
        <w:b/>
        <w:bCs/>
      </w:rPr>
    </w:tblStylePr>
    <w:tblStylePr w:type="band1Vert">
      <w:tblPr/>
      <w:tcPr>
        <w:shd w:val="clear" w:color="auto" w:fill="E0E2F0"/>
      </w:tcPr>
    </w:tblStylePr>
    <w:tblStylePr w:type="band1Horz">
      <w:tblPr/>
      <w:tcPr>
        <w:shd w:val="clear" w:color="auto" w:fill="E0E2F0"/>
      </w:tcPr>
    </w:tblStylePr>
  </w:style>
  <w:style w:type="table" w:styleId="GridTable4">
    <w:name w:val="Grid Table 4"/>
    <w:basedOn w:val="TableNormal"/>
    <w:uiPriority w:val="49"/>
    <w:rsid w:val="00EB202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unhideWhenUsed/>
    <w:rsid w:val="007A3A5F"/>
    <w:pPr>
      <w:spacing w:before="0" w:after="0"/>
    </w:pPr>
    <w:rPr>
      <w:szCs w:val="20"/>
    </w:rPr>
  </w:style>
  <w:style w:type="character" w:customStyle="1" w:styleId="EndnoteTextChar">
    <w:name w:val="Endnote Text Char"/>
    <w:basedOn w:val="DefaultParagraphFont"/>
    <w:link w:val="EndnoteText"/>
    <w:uiPriority w:val="99"/>
    <w:rsid w:val="007A3A5F"/>
    <w:rPr>
      <w:sz w:val="20"/>
      <w:szCs w:val="20"/>
    </w:rPr>
  </w:style>
  <w:style w:type="character" w:styleId="EndnoteReference">
    <w:name w:val="endnote reference"/>
    <w:basedOn w:val="DefaultParagraphFont"/>
    <w:uiPriority w:val="99"/>
    <w:semiHidden/>
    <w:unhideWhenUsed/>
    <w:rsid w:val="007A3A5F"/>
    <w:rPr>
      <w:vertAlign w:val="superscript"/>
    </w:rPr>
  </w:style>
  <w:style w:type="paragraph" w:styleId="BodyText">
    <w:name w:val="Body Text"/>
    <w:basedOn w:val="Normal"/>
    <w:link w:val="BodyTextChar"/>
    <w:qFormat/>
    <w:rsid w:val="00F961EA"/>
    <w:pPr>
      <w:spacing w:before="180" w:after="60" w:line="264" w:lineRule="auto"/>
      <w:ind w:left="0"/>
    </w:pPr>
    <w:rPr>
      <w:rFonts w:ascii="Calibri Light" w:hAnsi="Calibri Light"/>
      <w:sz w:val="22"/>
      <w:szCs w:val="24"/>
      <w:lang w:val="en-US"/>
    </w:rPr>
  </w:style>
  <w:style w:type="character" w:customStyle="1" w:styleId="BodyTextChar">
    <w:name w:val="Body Text Char"/>
    <w:basedOn w:val="DefaultParagraphFont"/>
    <w:link w:val="BodyText"/>
    <w:rsid w:val="00F961EA"/>
    <w:rPr>
      <w:rFonts w:ascii="Calibri Light" w:hAnsi="Calibri Light"/>
      <w:szCs w:val="24"/>
      <w:lang w:val="en-US"/>
    </w:rPr>
  </w:style>
  <w:style w:type="paragraph" w:styleId="ListBullet">
    <w:name w:val="List Bullet"/>
    <w:aliases w:val="Bullet L1,Bullet"/>
    <w:basedOn w:val="Normal"/>
    <w:qFormat/>
    <w:rsid w:val="00F961EA"/>
    <w:pPr>
      <w:numPr>
        <w:numId w:val="18"/>
      </w:numPr>
      <w:spacing w:before="0"/>
      <w:contextualSpacing/>
    </w:pPr>
    <w:rPr>
      <w:rFonts w:ascii="Calibri Light" w:eastAsia="Times New Roman" w:hAnsi="Calibri Light" w:cs="Times New Roman"/>
      <w:sz w:val="22"/>
      <w:szCs w:val="24"/>
      <w:lang w:val="en-US"/>
    </w:rPr>
  </w:style>
  <w:style w:type="paragraph" w:customStyle="1" w:styleId="EndNoteBibliography">
    <w:name w:val="EndNote Bibliography"/>
    <w:basedOn w:val="Normal"/>
    <w:link w:val="EndNoteBibliographyChar"/>
    <w:rsid w:val="006E356D"/>
    <w:pPr>
      <w:spacing w:before="60" w:after="60"/>
      <w:ind w:left="0"/>
    </w:pPr>
    <w:rPr>
      <w:rFonts w:ascii="Calibri Light" w:hAnsi="Calibri Light" w:cs="Calibri Light"/>
      <w:noProof/>
      <w:szCs w:val="20"/>
      <w:lang w:val="en-US"/>
    </w:rPr>
  </w:style>
  <w:style w:type="character" w:customStyle="1" w:styleId="EndNoteBibliographyChar">
    <w:name w:val="EndNote Bibliography Char"/>
    <w:basedOn w:val="CommentTextChar"/>
    <w:link w:val="EndNoteBibliography"/>
    <w:rsid w:val="006E356D"/>
    <w:rPr>
      <w:rFonts w:ascii="Calibri Light" w:hAnsi="Calibri Light" w:cs="Calibri Light"/>
      <w:noProof/>
      <w:sz w:val="20"/>
      <w:szCs w:val="20"/>
      <w:lang w:val="en-US"/>
    </w:rPr>
  </w:style>
  <w:style w:type="paragraph" w:styleId="Revision">
    <w:name w:val="Revision"/>
    <w:hidden/>
    <w:uiPriority w:val="99"/>
    <w:semiHidden/>
    <w:rsid w:val="000D1028"/>
    <w:pPr>
      <w:spacing w:after="0" w:line="240" w:lineRule="auto"/>
    </w:pPr>
    <w:rPr>
      <w:sz w:val="20"/>
    </w:rPr>
  </w:style>
  <w:style w:type="character" w:customStyle="1" w:styleId="Heading3Char">
    <w:name w:val="Heading 3 Char"/>
    <w:basedOn w:val="DefaultParagraphFont"/>
    <w:link w:val="Heading3"/>
    <w:uiPriority w:val="9"/>
    <w:semiHidden/>
    <w:rsid w:val="009923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923FB"/>
    <w:rPr>
      <w:rFonts w:asciiTheme="majorHAnsi" w:eastAsiaTheme="majorEastAsia" w:hAnsiTheme="majorHAnsi" w:cstheme="majorBidi"/>
      <w:i/>
      <w:iCs/>
      <w:color w:val="365F91" w:themeColor="accent1" w:themeShade="BF"/>
      <w:sz w:val="20"/>
    </w:rPr>
  </w:style>
  <w:style w:type="paragraph" w:styleId="FootnoteText">
    <w:name w:val="footnote text"/>
    <w:basedOn w:val="Normal"/>
    <w:link w:val="FootnoteTextChar"/>
    <w:uiPriority w:val="99"/>
    <w:semiHidden/>
    <w:unhideWhenUsed/>
    <w:rsid w:val="000C120C"/>
    <w:pPr>
      <w:spacing w:before="0" w:after="0"/>
    </w:pPr>
    <w:rPr>
      <w:szCs w:val="20"/>
    </w:rPr>
  </w:style>
  <w:style w:type="character" w:customStyle="1" w:styleId="FootnoteTextChar">
    <w:name w:val="Footnote Text Char"/>
    <w:basedOn w:val="DefaultParagraphFont"/>
    <w:link w:val="FootnoteText"/>
    <w:uiPriority w:val="99"/>
    <w:semiHidden/>
    <w:rsid w:val="000C120C"/>
    <w:rPr>
      <w:sz w:val="20"/>
      <w:szCs w:val="20"/>
    </w:rPr>
  </w:style>
  <w:style w:type="character" w:styleId="FootnoteReference">
    <w:name w:val="footnote reference"/>
    <w:basedOn w:val="DefaultParagraphFont"/>
    <w:uiPriority w:val="99"/>
    <w:semiHidden/>
    <w:unhideWhenUsed/>
    <w:rsid w:val="000C120C"/>
    <w:rPr>
      <w:vertAlign w:val="superscript"/>
    </w:rPr>
  </w:style>
  <w:style w:type="character" w:customStyle="1" w:styleId="cf01">
    <w:name w:val="cf01"/>
    <w:basedOn w:val="DefaultParagraphFont"/>
    <w:rsid w:val="00976BCB"/>
    <w:rPr>
      <w:rFonts w:ascii="Segoe UI" w:hAnsi="Segoe UI" w:cs="Segoe UI" w:hint="default"/>
      <w:color w:val="222222"/>
      <w:sz w:val="18"/>
      <w:szCs w:val="18"/>
      <w:shd w:val="clear" w:color="auto" w:fill="FFFFFF"/>
    </w:rPr>
  </w:style>
  <w:style w:type="character" w:customStyle="1" w:styleId="cf11">
    <w:name w:val="cf11"/>
    <w:basedOn w:val="DefaultParagraphFont"/>
    <w:rsid w:val="00976BCB"/>
    <w:rPr>
      <w:rFonts w:ascii="Segoe UI" w:hAnsi="Segoe UI" w:cs="Segoe UI" w:hint="default"/>
      <w:i/>
      <w:iCs/>
      <w:color w:val="222222"/>
      <w:sz w:val="18"/>
      <w:szCs w:val="18"/>
      <w:shd w:val="clear" w:color="auto" w:fill="FFFFFF"/>
    </w:rPr>
  </w:style>
  <w:style w:type="character" w:customStyle="1" w:styleId="cf21">
    <w:name w:val="cf21"/>
    <w:basedOn w:val="DefaultParagraphFont"/>
    <w:rsid w:val="00976BCB"/>
    <w:rPr>
      <w:rFonts w:ascii="Segoe UI" w:hAnsi="Segoe UI" w:cs="Segoe UI" w:hint="default"/>
      <w:b/>
      <w:bCs/>
      <w:color w:val="222222"/>
      <w:sz w:val="18"/>
      <w:szCs w:val="18"/>
      <w:shd w:val="clear" w:color="auto" w:fill="FFFFFF"/>
    </w:rPr>
  </w:style>
  <w:style w:type="character" w:styleId="Mention">
    <w:name w:val="Mention"/>
    <w:basedOn w:val="DefaultParagraphFont"/>
    <w:uiPriority w:val="99"/>
    <w:unhideWhenUsed/>
    <w:rsid w:val="00590B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8436">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4822099">
      <w:bodyDiv w:val="1"/>
      <w:marLeft w:val="0"/>
      <w:marRight w:val="0"/>
      <w:marTop w:val="0"/>
      <w:marBottom w:val="0"/>
      <w:divBdr>
        <w:top w:val="none" w:sz="0" w:space="0" w:color="auto"/>
        <w:left w:val="none" w:sz="0" w:space="0" w:color="auto"/>
        <w:bottom w:val="none" w:sz="0" w:space="0" w:color="auto"/>
        <w:right w:val="none" w:sz="0" w:space="0" w:color="auto"/>
      </w:divBdr>
    </w:div>
    <w:div w:id="399795514">
      <w:bodyDiv w:val="1"/>
      <w:marLeft w:val="0"/>
      <w:marRight w:val="0"/>
      <w:marTop w:val="0"/>
      <w:marBottom w:val="0"/>
      <w:divBdr>
        <w:top w:val="none" w:sz="0" w:space="0" w:color="auto"/>
        <w:left w:val="none" w:sz="0" w:space="0" w:color="auto"/>
        <w:bottom w:val="none" w:sz="0" w:space="0" w:color="auto"/>
        <w:right w:val="none" w:sz="0" w:space="0" w:color="auto"/>
      </w:divBdr>
    </w:div>
    <w:div w:id="435099633">
      <w:bodyDiv w:val="1"/>
      <w:marLeft w:val="0"/>
      <w:marRight w:val="0"/>
      <w:marTop w:val="0"/>
      <w:marBottom w:val="0"/>
      <w:divBdr>
        <w:top w:val="none" w:sz="0" w:space="0" w:color="auto"/>
        <w:left w:val="none" w:sz="0" w:space="0" w:color="auto"/>
        <w:bottom w:val="none" w:sz="0" w:space="0" w:color="auto"/>
        <w:right w:val="none" w:sz="0" w:space="0" w:color="auto"/>
      </w:divBdr>
    </w:div>
    <w:div w:id="499659956">
      <w:bodyDiv w:val="1"/>
      <w:marLeft w:val="0"/>
      <w:marRight w:val="0"/>
      <w:marTop w:val="0"/>
      <w:marBottom w:val="0"/>
      <w:divBdr>
        <w:top w:val="none" w:sz="0" w:space="0" w:color="auto"/>
        <w:left w:val="none" w:sz="0" w:space="0" w:color="auto"/>
        <w:bottom w:val="none" w:sz="0" w:space="0" w:color="auto"/>
        <w:right w:val="none" w:sz="0" w:space="0" w:color="auto"/>
      </w:divBdr>
    </w:div>
    <w:div w:id="523597977">
      <w:bodyDiv w:val="1"/>
      <w:marLeft w:val="0"/>
      <w:marRight w:val="0"/>
      <w:marTop w:val="0"/>
      <w:marBottom w:val="0"/>
      <w:divBdr>
        <w:top w:val="none" w:sz="0" w:space="0" w:color="auto"/>
        <w:left w:val="none" w:sz="0" w:space="0" w:color="auto"/>
        <w:bottom w:val="none" w:sz="0" w:space="0" w:color="auto"/>
        <w:right w:val="none" w:sz="0" w:space="0" w:color="auto"/>
      </w:divBdr>
    </w:div>
    <w:div w:id="754013581">
      <w:bodyDiv w:val="1"/>
      <w:marLeft w:val="0"/>
      <w:marRight w:val="0"/>
      <w:marTop w:val="0"/>
      <w:marBottom w:val="0"/>
      <w:divBdr>
        <w:top w:val="none" w:sz="0" w:space="0" w:color="auto"/>
        <w:left w:val="none" w:sz="0" w:space="0" w:color="auto"/>
        <w:bottom w:val="none" w:sz="0" w:space="0" w:color="auto"/>
        <w:right w:val="none" w:sz="0" w:space="0" w:color="auto"/>
      </w:divBdr>
    </w:div>
    <w:div w:id="799884484">
      <w:bodyDiv w:val="1"/>
      <w:marLeft w:val="0"/>
      <w:marRight w:val="0"/>
      <w:marTop w:val="0"/>
      <w:marBottom w:val="0"/>
      <w:divBdr>
        <w:top w:val="none" w:sz="0" w:space="0" w:color="auto"/>
        <w:left w:val="none" w:sz="0" w:space="0" w:color="auto"/>
        <w:bottom w:val="none" w:sz="0" w:space="0" w:color="auto"/>
        <w:right w:val="none" w:sz="0" w:space="0" w:color="auto"/>
      </w:divBdr>
    </w:div>
    <w:div w:id="845946270">
      <w:bodyDiv w:val="1"/>
      <w:marLeft w:val="0"/>
      <w:marRight w:val="0"/>
      <w:marTop w:val="0"/>
      <w:marBottom w:val="0"/>
      <w:divBdr>
        <w:top w:val="none" w:sz="0" w:space="0" w:color="auto"/>
        <w:left w:val="none" w:sz="0" w:space="0" w:color="auto"/>
        <w:bottom w:val="none" w:sz="0" w:space="0" w:color="auto"/>
        <w:right w:val="none" w:sz="0" w:space="0" w:color="auto"/>
      </w:divBdr>
    </w:div>
    <w:div w:id="872117426">
      <w:bodyDiv w:val="1"/>
      <w:marLeft w:val="0"/>
      <w:marRight w:val="0"/>
      <w:marTop w:val="0"/>
      <w:marBottom w:val="0"/>
      <w:divBdr>
        <w:top w:val="none" w:sz="0" w:space="0" w:color="auto"/>
        <w:left w:val="none" w:sz="0" w:space="0" w:color="auto"/>
        <w:bottom w:val="none" w:sz="0" w:space="0" w:color="auto"/>
        <w:right w:val="none" w:sz="0" w:space="0" w:color="auto"/>
      </w:divBdr>
    </w:div>
    <w:div w:id="894975715">
      <w:bodyDiv w:val="1"/>
      <w:marLeft w:val="0"/>
      <w:marRight w:val="0"/>
      <w:marTop w:val="0"/>
      <w:marBottom w:val="0"/>
      <w:divBdr>
        <w:top w:val="none" w:sz="0" w:space="0" w:color="auto"/>
        <w:left w:val="none" w:sz="0" w:space="0" w:color="auto"/>
        <w:bottom w:val="none" w:sz="0" w:space="0" w:color="auto"/>
        <w:right w:val="none" w:sz="0" w:space="0" w:color="auto"/>
      </w:divBdr>
    </w:div>
    <w:div w:id="910847250">
      <w:bodyDiv w:val="1"/>
      <w:marLeft w:val="0"/>
      <w:marRight w:val="0"/>
      <w:marTop w:val="0"/>
      <w:marBottom w:val="0"/>
      <w:divBdr>
        <w:top w:val="none" w:sz="0" w:space="0" w:color="auto"/>
        <w:left w:val="none" w:sz="0" w:space="0" w:color="auto"/>
        <w:bottom w:val="none" w:sz="0" w:space="0" w:color="auto"/>
        <w:right w:val="none" w:sz="0" w:space="0" w:color="auto"/>
      </w:divBdr>
    </w:div>
    <w:div w:id="997154688">
      <w:bodyDiv w:val="1"/>
      <w:marLeft w:val="0"/>
      <w:marRight w:val="0"/>
      <w:marTop w:val="0"/>
      <w:marBottom w:val="0"/>
      <w:divBdr>
        <w:top w:val="none" w:sz="0" w:space="0" w:color="auto"/>
        <w:left w:val="none" w:sz="0" w:space="0" w:color="auto"/>
        <w:bottom w:val="none" w:sz="0" w:space="0" w:color="auto"/>
        <w:right w:val="none" w:sz="0" w:space="0" w:color="auto"/>
      </w:divBdr>
    </w:div>
    <w:div w:id="1022973035">
      <w:bodyDiv w:val="1"/>
      <w:marLeft w:val="0"/>
      <w:marRight w:val="0"/>
      <w:marTop w:val="0"/>
      <w:marBottom w:val="0"/>
      <w:divBdr>
        <w:top w:val="none" w:sz="0" w:space="0" w:color="auto"/>
        <w:left w:val="none" w:sz="0" w:space="0" w:color="auto"/>
        <w:bottom w:val="none" w:sz="0" w:space="0" w:color="auto"/>
        <w:right w:val="none" w:sz="0" w:space="0" w:color="auto"/>
      </w:divBdr>
    </w:div>
    <w:div w:id="1060401286">
      <w:bodyDiv w:val="1"/>
      <w:marLeft w:val="0"/>
      <w:marRight w:val="0"/>
      <w:marTop w:val="0"/>
      <w:marBottom w:val="0"/>
      <w:divBdr>
        <w:top w:val="none" w:sz="0" w:space="0" w:color="auto"/>
        <w:left w:val="none" w:sz="0" w:space="0" w:color="auto"/>
        <w:bottom w:val="none" w:sz="0" w:space="0" w:color="auto"/>
        <w:right w:val="none" w:sz="0" w:space="0" w:color="auto"/>
      </w:divBdr>
    </w:div>
    <w:div w:id="1103305798">
      <w:bodyDiv w:val="1"/>
      <w:marLeft w:val="0"/>
      <w:marRight w:val="0"/>
      <w:marTop w:val="0"/>
      <w:marBottom w:val="0"/>
      <w:divBdr>
        <w:top w:val="none" w:sz="0" w:space="0" w:color="auto"/>
        <w:left w:val="none" w:sz="0" w:space="0" w:color="auto"/>
        <w:bottom w:val="none" w:sz="0" w:space="0" w:color="auto"/>
        <w:right w:val="none" w:sz="0" w:space="0" w:color="auto"/>
      </w:divBdr>
    </w:div>
    <w:div w:id="1147169078">
      <w:bodyDiv w:val="1"/>
      <w:marLeft w:val="0"/>
      <w:marRight w:val="0"/>
      <w:marTop w:val="0"/>
      <w:marBottom w:val="0"/>
      <w:divBdr>
        <w:top w:val="none" w:sz="0" w:space="0" w:color="auto"/>
        <w:left w:val="none" w:sz="0" w:space="0" w:color="auto"/>
        <w:bottom w:val="none" w:sz="0" w:space="0" w:color="auto"/>
        <w:right w:val="none" w:sz="0" w:space="0" w:color="auto"/>
      </w:divBdr>
    </w:div>
    <w:div w:id="1234583078">
      <w:bodyDiv w:val="1"/>
      <w:marLeft w:val="0"/>
      <w:marRight w:val="0"/>
      <w:marTop w:val="0"/>
      <w:marBottom w:val="0"/>
      <w:divBdr>
        <w:top w:val="none" w:sz="0" w:space="0" w:color="auto"/>
        <w:left w:val="none" w:sz="0" w:space="0" w:color="auto"/>
        <w:bottom w:val="none" w:sz="0" w:space="0" w:color="auto"/>
        <w:right w:val="none" w:sz="0" w:space="0" w:color="auto"/>
      </w:divBdr>
    </w:div>
    <w:div w:id="1402632980">
      <w:bodyDiv w:val="1"/>
      <w:marLeft w:val="0"/>
      <w:marRight w:val="0"/>
      <w:marTop w:val="0"/>
      <w:marBottom w:val="0"/>
      <w:divBdr>
        <w:top w:val="none" w:sz="0" w:space="0" w:color="auto"/>
        <w:left w:val="none" w:sz="0" w:space="0" w:color="auto"/>
        <w:bottom w:val="none" w:sz="0" w:space="0" w:color="auto"/>
        <w:right w:val="none" w:sz="0" w:space="0" w:color="auto"/>
      </w:divBdr>
    </w:div>
    <w:div w:id="1630355151">
      <w:bodyDiv w:val="1"/>
      <w:marLeft w:val="0"/>
      <w:marRight w:val="0"/>
      <w:marTop w:val="0"/>
      <w:marBottom w:val="0"/>
      <w:divBdr>
        <w:top w:val="none" w:sz="0" w:space="0" w:color="auto"/>
        <w:left w:val="none" w:sz="0" w:space="0" w:color="auto"/>
        <w:bottom w:val="none" w:sz="0" w:space="0" w:color="auto"/>
        <w:right w:val="none" w:sz="0" w:space="0" w:color="auto"/>
      </w:divBdr>
    </w:div>
    <w:div w:id="1646935316">
      <w:bodyDiv w:val="1"/>
      <w:marLeft w:val="0"/>
      <w:marRight w:val="0"/>
      <w:marTop w:val="0"/>
      <w:marBottom w:val="0"/>
      <w:divBdr>
        <w:top w:val="none" w:sz="0" w:space="0" w:color="auto"/>
        <w:left w:val="none" w:sz="0" w:space="0" w:color="auto"/>
        <w:bottom w:val="none" w:sz="0" w:space="0" w:color="auto"/>
        <w:right w:val="none" w:sz="0" w:space="0" w:color="auto"/>
      </w:divBdr>
    </w:div>
    <w:div w:id="1658849654">
      <w:bodyDiv w:val="1"/>
      <w:marLeft w:val="0"/>
      <w:marRight w:val="0"/>
      <w:marTop w:val="0"/>
      <w:marBottom w:val="0"/>
      <w:divBdr>
        <w:top w:val="none" w:sz="0" w:space="0" w:color="auto"/>
        <w:left w:val="none" w:sz="0" w:space="0" w:color="auto"/>
        <w:bottom w:val="none" w:sz="0" w:space="0" w:color="auto"/>
        <w:right w:val="none" w:sz="0" w:space="0" w:color="auto"/>
      </w:divBdr>
    </w:div>
    <w:div w:id="1719933230">
      <w:bodyDiv w:val="1"/>
      <w:marLeft w:val="0"/>
      <w:marRight w:val="0"/>
      <w:marTop w:val="0"/>
      <w:marBottom w:val="0"/>
      <w:divBdr>
        <w:top w:val="none" w:sz="0" w:space="0" w:color="auto"/>
        <w:left w:val="none" w:sz="0" w:space="0" w:color="auto"/>
        <w:bottom w:val="none" w:sz="0" w:space="0" w:color="auto"/>
        <w:right w:val="none" w:sz="0" w:space="0" w:color="auto"/>
      </w:divBdr>
    </w:div>
    <w:div w:id="1754354610">
      <w:bodyDiv w:val="1"/>
      <w:marLeft w:val="0"/>
      <w:marRight w:val="0"/>
      <w:marTop w:val="0"/>
      <w:marBottom w:val="0"/>
      <w:divBdr>
        <w:top w:val="none" w:sz="0" w:space="0" w:color="auto"/>
        <w:left w:val="none" w:sz="0" w:space="0" w:color="auto"/>
        <w:bottom w:val="none" w:sz="0" w:space="0" w:color="auto"/>
        <w:right w:val="none" w:sz="0" w:space="0" w:color="auto"/>
      </w:divBdr>
    </w:div>
    <w:div w:id="1779179594">
      <w:bodyDiv w:val="1"/>
      <w:marLeft w:val="0"/>
      <w:marRight w:val="0"/>
      <w:marTop w:val="0"/>
      <w:marBottom w:val="0"/>
      <w:divBdr>
        <w:top w:val="none" w:sz="0" w:space="0" w:color="auto"/>
        <w:left w:val="none" w:sz="0" w:space="0" w:color="auto"/>
        <w:bottom w:val="none" w:sz="0" w:space="0" w:color="auto"/>
        <w:right w:val="none" w:sz="0" w:space="0" w:color="auto"/>
      </w:divBdr>
    </w:div>
    <w:div w:id="1822966357">
      <w:bodyDiv w:val="1"/>
      <w:marLeft w:val="0"/>
      <w:marRight w:val="0"/>
      <w:marTop w:val="0"/>
      <w:marBottom w:val="0"/>
      <w:divBdr>
        <w:top w:val="none" w:sz="0" w:space="0" w:color="auto"/>
        <w:left w:val="none" w:sz="0" w:space="0" w:color="auto"/>
        <w:bottom w:val="none" w:sz="0" w:space="0" w:color="auto"/>
        <w:right w:val="none" w:sz="0" w:space="0" w:color="auto"/>
      </w:divBdr>
    </w:div>
    <w:div w:id="1843543260">
      <w:bodyDiv w:val="1"/>
      <w:marLeft w:val="0"/>
      <w:marRight w:val="0"/>
      <w:marTop w:val="0"/>
      <w:marBottom w:val="0"/>
      <w:divBdr>
        <w:top w:val="none" w:sz="0" w:space="0" w:color="auto"/>
        <w:left w:val="none" w:sz="0" w:space="0" w:color="auto"/>
        <w:bottom w:val="none" w:sz="0" w:space="0" w:color="auto"/>
        <w:right w:val="none" w:sz="0" w:space="0" w:color="auto"/>
      </w:divBdr>
    </w:div>
    <w:div w:id="1876231116">
      <w:bodyDiv w:val="1"/>
      <w:marLeft w:val="0"/>
      <w:marRight w:val="0"/>
      <w:marTop w:val="0"/>
      <w:marBottom w:val="0"/>
      <w:divBdr>
        <w:top w:val="none" w:sz="0" w:space="0" w:color="auto"/>
        <w:left w:val="none" w:sz="0" w:space="0" w:color="auto"/>
        <w:bottom w:val="none" w:sz="0" w:space="0" w:color="auto"/>
        <w:right w:val="none" w:sz="0" w:space="0" w:color="auto"/>
      </w:divBdr>
      <w:divsChild>
        <w:div w:id="1438793905">
          <w:marLeft w:val="0"/>
          <w:marRight w:val="0"/>
          <w:marTop w:val="0"/>
          <w:marBottom w:val="0"/>
          <w:divBdr>
            <w:top w:val="none" w:sz="0" w:space="0" w:color="auto"/>
            <w:left w:val="none" w:sz="0" w:space="0" w:color="auto"/>
            <w:bottom w:val="none" w:sz="0" w:space="0" w:color="auto"/>
            <w:right w:val="none" w:sz="0" w:space="0" w:color="auto"/>
          </w:divBdr>
        </w:div>
        <w:div w:id="1822622181">
          <w:marLeft w:val="0"/>
          <w:marRight w:val="0"/>
          <w:marTop w:val="0"/>
          <w:marBottom w:val="0"/>
          <w:divBdr>
            <w:top w:val="none" w:sz="0" w:space="0" w:color="auto"/>
            <w:left w:val="none" w:sz="0" w:space="0" w:color="auto"/>
            <w:bottom w:val="none" w:sz="0" w:space="0" w:color="auto"/>
            <w:right w:val="none" w:sz="0" w:space="0" w:color="auto"/>
          </w:divBdr>
          <w:divsChild>
            <w:div w:id="3937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7480">
      <w:bodyDiv w:val="1"/>
      <w:marLeft w:val="0"/>
      <w:marRight w:val="0"/>
      <w:marTop w:val="0"/>
      <w:marBottom w:val="0"/>
      <w:divBdr>
        <w:top w:val="none" w:sz="0" w:space="0" w:color="auto"/>
        <w:left w:val="none" w:sz="0" w:space="0" w:color="auto"/>
        <w:bottom w:val="none" w:sz="0" w:space="0" w:color="auto"/>
        <w:right w:val="none" w:sz="0" w:space="0" w:color="auto"/>
      </w:divBdr>
    </w:div>
    <w:div w:id="1897692379">
      <w:bodyDiv w:val="1"/>
      <w:marLeft w:val="0"/>
      <w:marRight w:val="0"/>
      <w:marTop w:val="0"/>
      <w:marBottom w:val="0"/>
      <w:divBdr>
        <w:top w:val="none" w:sz="0" w:space="0" w:color="auto"/>
        <w:left w:val="none" w:sz="0" w:space="0" w:color="auto"/>
        <w:bottom w:val="none" w:sz="0" w:space="0" w:color="auto"/>
        <w:right w:val="none" w:sz="0" w:space="0" w:color="auto"/>
      </w:divBdr>
    </w:div>
    <w:div w:id="1963421777">
      <w:bodyDiv w:val="1"/>
      <w:marLeft w:val="0"/>
      <w:marRight w:val="0"/>
      <w:marTop w:val="0"/>
      <w:marBottom w:val="0"/>
      <w:divBdr>
        <w:top w:val="none" w:sz="0" w:space="0" w:color="auto"/>
        <w:left w:val="none" w:sz="0" w:space="0" w:color="auto"/>
        <w:bottom w:val="none" w:sz="0" w:space="0" w:color="auto"/>
        <w:right w:val="none" w:sz="0" w:space="0" w:color="auto"/>
      </w:divBdr>
    </w:div>
    <w:div w:id="1981224334">
      <w:bodyDiv w:val="1"/>
      <w:marLeft w:val="0"/>
      <w:marRight w:val="0"/>
      <w:marTop w:val="0"/>
      <w:marBottom w:val="0"/>
      <w:divBdr>
        <w:top w:val="none" w:sz="0" w:space="0" w:color="auto"/>
        <w:left w:val="none" w:sz="0" w:space="0" w:color="auto"/>
        <w:bottom w:val="none" w:sz="0" w:space="0" w:color="auto"/>
        <w:right w:val="none" w:sz="0" w:space="0" w:color="auto"/>
      </w:divBdr>
    </w:div>
    <w:div w:id="1984847253">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57925604">
      <w:bodyDiv w:val="1"/>
      <w:marLeft w:val="0"/>
      <w:marRight w:val="0"/>
      <w:marTop w:val="0"/>
      <w:marBottom w:val="0"/>
      <w:divBdr>
        <w:top w:val="none" w:sz="0" w:space="0" w:color="auto"/>
        <w:left w:val="none" w:sz="0" w:space="0" w:color="auto"/>
        <w:bottom w:val="none" w:sz="0" w:space="0" w:color="auto"/>
        <w:right w:val="none" w:sz="0" w:space="0" w:color="auto"/>
      </w:divBdr>
    </w:div>
    <w:div w:id="206282597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rch.cosmobio.co.jp/cosmo_search_p/search_gate2/docs/IGT_/80584.20090219.pdf" TargetMode="External"/><Relationship Id="rId18" Type="http://schemas.openxmlformats.org/officeDocument/2006/relationships/hyperlink" Target="https://clinicaltrials.gov/ct2/show/record/NCT01767311?term=lecanemab&amp;draw=2&amp;rank=3" TargetMode="External"/><Relationship Id="rId26" Type="http://schemas.openxmlformats.org/officeDocument/2006/relationships/hyperlink" Target="https://www.ncbi.nlm.nih.gov/pmc/articles/PMC6281542/" TargetMode="External"/><Relationship Id="rId3" Type="http://schemas.openxmlformats.org/officeDocument/2006/relationships/customXml" Target="../customXml/item3.xml"/><Relationship Id="rId21" Type="http://schemas.openxmlformats.org/officeDocument/2006/relationships/hyperlink" Target="https://clinicaltrials.gov/ct2/show/NCT04468659" TargetMode="External"/><Relationship Id="rId7" Type="http://schemas.openxmlformats.org/officeDocument/2006/relationships/settings" Target="settings.xml"/><Relationship Id="rId12" Type="http://schemas.openxmlformats.org/officeDocument/2006/relationships/hyperlink" Target="https://www.euroimmun.com/documents/Indications/Antigen-detection/Alzheimers-disease/EQ_6500_I_UK_A.pdf" TargetMode="External"/><Relationship Id="rId17" Type="http://schemas.openxmlformats.org/officeDocument/2006/relationships/hyperlink" Target="https://clinicaltrials.gov/ct2/show/NCT01230853"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linicaltrials.gov/ct2/show/NCT03887455"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orey.edu.au/science-research/scientific-services-facilities/nationaldementia-diagnostics-laboratory" TargetMode="External"/><Relationship Id="rId24" Type="http://schemas.openxmlformats.org/officeDocument/2006/relationships/hyperlink" Target="https://www.australiandementianetwork.org.au/initiatives/memory-clinics-network/adnet-memory-and-cognition-clinic-guidelines/" TargetMode="External"/><Relationship Id="rId5" Type="http://schemas.openxmlformats.org/officeDocument/2006/relationships/numbering" Target="numbering.xml"/><Relationship Id="rId15" Type="http://schemas.openxmlformats.org/officeDocument/2006/relationships/hyperlink" Target="https://www.fujirebio.com/en/products-solutions/neurodegeneration" TargetMode="External"/><Relationship Id="rId23" Type="http://schemas.openxmlformats.org/officeDocument/2006/relationships/hyperlink" Target="https://www.australiandementianetwork.org.au/initiatives/memory-clinics-network/find-a-clinic-or-service/"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clinicaltrials.gov/ct2/show/record/NCT01767311?term=lecanemab&amp;draw=2&amp;rank=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gnostics.roche.com/global/en/products/product-category/neurology.html" TargetMode="External"/><Relationship Id="rId22" Type="http://schemas.openxmlformats.org/officeDocument/2006/relationships/image" Target="media/image1.png"/><Relationship Id="rId27" Type="http://schemas.openxmlformats.org/officeDocument/2006/relationships/hyperlink" Target="http://www.gaain.org/"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clinicaltrials.gov/ct2/show/record/NCT01767311?term=lecanemab&amp;draw=2&amp;rank=3" TargetMode="External"/><Relationship Id="rId2" Type="http://schemas.openxmlformats.org/officeDocument/2006/relationships/hyperlink" Target="https://www.nia.nih.gov/health/alzheimers-disease-fact-sheet" TargetMode="External"/><Relationship Id="rId1" Type="http://schemas.openxmlformats.org/officeDocument/2006/relationships/hyperlink" Target="https://www.who.int/news-room/fact-sheets/detail/dementia" TargetMode="External"/><Relationship Id="rId4" Type="http://schemas.openxmlformats.org/officeDocument/2006/relationships/hyperlink" Target="https://clinicaltrials.gov/ct2/show/NCT03887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186608A09554B846F5D6C693D37BE" ma:contentTypeVersion="13" ma:contentTypeDescription="Create a new document." ma:contentTypeScope="" ma:versionID="5bc8b16b22b47ce46ed577fae1fb465e">
  <xsd:schema xmlns:xsd="http://www.w3.org/2001/XMLSchema" xmlns:xs="http://www.w3.org/2001/XMLSchema" xmlns:p="http://schemas.microsoft.com/office/2006/metadata/properties" xmlns:ns2="8adb8ccb-4822-4fb5-b2d8-8b820bf735fd" xmlns:ns3="d06f556a-3147-41ba-803b-a70a10f403ad" targetNamespace="http://schemas.microsoft.com/office/2006/metadata/properties" ma:root="true" ma:fieldsID="601d4b7f12bd35aec8e6098f8e0ae6d1" ns2:_="" ns3:_="">
    <xsd:import namespace="8adb8ccb-4822-4fb5-b2d8-8b820bf735fd"/>
    <xsd:import namespace="d06f556a-3147-41ba-803b-a70a10f40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b8ccb-4822-4fb5-b2d8-8b820bf7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330b32-0404-48c5-8fcb-e5bfeb71e6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f556a-3147-41ba-803b-a70a10f40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6dd7c9-6e0b-48b5-800f-09aab2351406}" ma:internalName="TaxCatchAll" ma:showField="CatchAllData" ma:web="d06f556a-3147-41ba-803b-a70a10f40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WHO22</b:Tag>
    <b:SourceType>InternetSite</b:SourceType>
    <b:Guid>{68AE25AB-6191-4830-9E2F-EFD68D8993F1}</b:Guid>
    <b:Title>Dementia</b:Title>
    <b:Year>2022</b:Year>
    <b:Author>
      <b:Author>
        <b:NameList>
          <b:Person>
            <b:Last>WHO</b:Last>
          </b:Person>
        </b:NameList>
      </b:Author>
    </b:Author>
    <b:URL>https://www.who.int/news-room/fact-sheets/detail/dementia</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db8ccb-4822-4fb5-b2d8-8b820bf735fd">
      <Terms xmlns="http://schemas.microsoft.com/office/infopath/2007/PartnerControls"/>
    </lcf76f155ced4ddcb4097134ff3c332f>
    <TaxCatchAll xmlns="d06f556a-3147-41ba-803b-a70a10f403ad" xsi:nil="true"/>
  </documentManagement>
</p:properties>
</file>

<file path=customXml/itemProps1.xml><?xml version="1.0" encoding="utf-8"?>
<ds:datastoreItem xmlns:ds="http://schemas.openxmlformats.org/officeDocument/2006/customXml" ds:itemID="{8F036749-04CC-4AF1-A234-43AEB89F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b8ccb-4822-4fb5-b2d8-8b820bf735fd"/>
    <ds:schemaRef ds:uri="d06f556a-3147-41ba-803b-a70a10f4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F3B57-0520-4223-8B29-9FD323C03171}">
  <ds:schemaRefs>
    <ds:schemaRef ds:uri="http://schemas.microsoft.com/sharepoint/v3/contenttype/forms"/>
  </ds:schemaRefs>
</ds:datastoreItem>
</file>

<file path=customXml/itemProps3.xml><?xml version="1.0" encoding="utf-8"?>
<ds:datastoreItem xmlns:ds="http://schemas.openxmlformats.org/officeDocument/2006/customXml" ds:itemID="{54EE4095-4B42-4AF9-A5CB-0BAF781BFE18}">
  <ds:schemaRefs>
    <ds:schemaRef ds:uri="http://schemas.openxmlformats.org/officeDocument/2006/bibliography"/>
  </ds:schemaRefs>
</ds:datastoreItem>
</file>

<file path=customXml/itemProps4.xml><?xml version="1.0" encoding="utf-8"?>
<ds:datastoreItem xmlns:ds="http://schemas.openxmlformats.org/officeDocument/2006/customXml" ds:itemID="{5E21CAB2-49F1-4AC9-A997-328541D13B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06f556a-3147-41ba-803b-a70a10f403ad"/>
    <ds:schemaRef ds:uri="8adb8ccb-4822-4fb5-b2d8-8b820bf735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39</Pages>
  <Words>14553</Words>
  <Characters>82953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97312</CharactersWithSpaces>
  <SharedDoc>false</SharedDoc>
  <HLinks>
    <vt:vector size="174" baseType="variant">
      <vt:variant>
        <vt:i4>4915204</vt:i4>
      </vt:variant>
      <vt:variant>
        <vt:i4>300</vt:i4>
      </vt:variant>
      <vt:variant>
        <vt:i4>0</vt:i4>
      </vt:variant>
      <vt:variant>
        <vt:i4>5</vt:i4>
      </vt:variant>
      <vt:variant>
        <vt:lpwstr>http://www.gaain.org/</vt:lpwstr>
      </vt:variant>
      <vt:variant>
        <vt:lpwstr/>
      </vt:variant>
      <vt:variant>
        <vt:i4>6225943</vt:i4>
      </vt:variant>
      <vt:variant>
        <vt:i4>297</vt:i4>
      </vt:variant>
      <vt:variant>
        <vt:i4>0</vt:i4>
      </vt:variant>
      <vt:variant>
        <vt:i4>5</vt:i4>
      </vt:variant>
      <vt:variant>
        <vt:lpwstr>https://www.ncbi.nlm.nih.gov/pmc/articles/PMC6281542/</vt:lpwstr>
      </vt:variant>
      <vt:variant>
        <vt:lpwstr>CR10</vt:lpwstr>
      </vt:variant>
      <vt:variant>
        <vt:i4>458760</vt:i4>
      </vt:variant>
      <vt:variant>
        <vt:i4>288</vt:i4>
      </vt:variant>
      <vt:variant>
        <vt:i4>0</vt:i4>
      </vt:variant>
      <vt:variant>
        <vt:i4>5</vt:i4>
      </vt:variant>
      <vt:variant>
        <vt:lpwstr>https://www.australiandementianetwork.org.au/initiatives/memory-clinics-network/adnet-memory-and-cognition-clinic-guidelines/</vt:lpwstr>
      </vt:variant>
      <vt:variant>
        <vt:lpwstr/>
      </vt:variant>
      <vt:variant>
        <vt:i4>4456453</vt:i4>
      </vt:variant>
      <vt:variant>
        <vt:i4>285</vt:i4>
      </vt:variant>
      <vt:variant>
        <vt:i4>0</vt:i4>
      </vt:variant>
      <vt:variant>
        <vt:i4>5</vt:i4>
      </vt:variant>
      <vt:variant>
        <vt:lpwstr>https://www.australiandementianetwork.org.au/initiatives/memory-clinics-network/find-a-clinic-or-service/</vt:lpwstr>
      </vt:variant>
      <vt:variant>
        <vt:lpwstr/>
      </vt:variant>
      <vt:variant>
        <vt:i4>7208962</vt:i4>
      </vt:variant>
      <vt:variant>
        <vt:i4>270</vt:i4>
      </vt:variant>
      <vt:variant>
        <vt:i4>0</vt:i4>
      </vt:variant>
      <vt:variant>
        <vt:i4>5</vt:i4>
      </vt:variant>
      <vt:variant>
        <vt:lpwstr>mailto:Greg.santamaria@cyclotek.com</vt:lpwstr>
      </vt:variant>
      <vt:variant>
        <vt:lpwstr/>
      </vt:variant>
      <vt:variant>
        <vt:i4>6619191</vt:i4>
      </vt:variant>
      <vt:variant>
        <vt:i4>198</vt:i4>
      </vt:variant>
      <vt:variant>
        <vt:i4>0</vt:i4>
      </vt:variant>
      <vt:variant>
        <vt:i4>5</vt:i4>
      </vt:variant>
      <vt:variant>
        <vt:lpwstr>https://clinicaltrials.gov/ct2/show/NCT04468659</vt:lpwstr>
      </vt:variant>
      <vt:variant>
        <vt:lpwstr/>
      </vt:variant>
      <vt:variant>
        <vt:i4>6684732</vt:i4>
      </vt:variant>
      <vt:variant>
        <vt:i4>195</vt:i4>
      </vt:variant>
      <vt:variant>
        <vt:i4>0</vt:i4>
      </vt:variant>
      <vt:variant>
        <vt:i4>5</vt:i4>
      </vt:variant>
      <vt:variant>
        <vt:lpwstr>https://clinicaltrials.gov/ct2/show/NCT03887455</vt:lpwstr>
      </vt:variant>
      <vt:variant>
        <vt:lpwstr/>
      </vt:variant>
      <vt:variant>
        <vt:i4>7667834</vt:i4>
      </vt:variant>
      <vt:variant>
        <vt:i4>192</vt:i4>
      </vt:variant>
      <vt:variant>
        <vt:i4>0</vt:i4>
      </vt:variant>
      <vt:variant>
        <vt:i4>5</vt:i4>
      </vt:variant>
      <vt:variant>
        <vt:lpwstr>https://clinicaltrials.gov/ct2/show/record/NCT01767311?term=lecanemab&amp;draw=2&amp;rank=3</vt:lpwstr>
      </vt:variant>
      <vt:variant>
        <vt:lpwstr/>
      </vt:variant>
      <vt:variant>
        <vt:i4>7667834</vt:i4>
      </vt:variant>
      <vt:variant>
        <vt:i4>189</vt:i4>
      </vt:variant>
      <vt:variant>
        <vt:i4>0</vt:i4>
      </vt:variant>
      <vt:variant>
        <vt:i4>5</vt:i4>
      </vt:variant>
      <vt:variant>
        <vt:lpwstr>https://clinicaltrials.gov/ct2/show/record/NCT01767311?term=lecanemab&amp;draw=2&amp;rank=3</vt:lpwstr>
      </vt:variant>
      <vt:variant>
        <vt:lpwstr/>
      </vt:variant>
      <vt:variant>
        <vt:i4>7012409</vt:i4>
      </vt:variant>
      <vt:variant>
        <vt:i4>186</vt:i4>
      </vt:variant>
      <vt:variant>
        <vt:i4>0</vt:i4>
      </vt:variant>
      <vt:variant>
        <vt:i4>5</vt:i4>
      </vt:variant>
      <vt:variant>
        <vt:lpwstr>https://clinicaltrials.gov/ct2/show/NCT01230853</vt:lpwstr>
      </vt:variant>
      <vt:variant>
        <vt:lpwstr/>
      </vt:variant>
      <vt:variant>
        <vt:i4>4849695</vt:i4>
      </vt:variant>
      <vt:variant>
        <vt:i4>162</vt:i4>
      </vt:variant>
      <vt:variant>
        <vt:i4>0</vt:i4>
      </vt:variant>
      <vt:variant>
        <vt:i4>5</vt:i4>
      </vt:variant>
      <vt:variant>
        <vt:lpwstr>https://www.fujirebio.com/en/products-solutions/neurodegeneration</vt:lpwstr>
      </vt:variant>
      <vt:variant>
        <vt:lpwstr/>
      </vt:variant>
      <vt:variant>
        <vt:i4>1507340</vt:i4>
      </vt:variant>
      <vt:variant>
        <vt:i4>159</vt:i4>
      </vt:variant>
      <vt:variant>
        <vt:i4>0</vt:i4>
      </vt:variant>
      <vt:variant>
        <vt:i4>5</vt:i4>
      </vt:variant>
      <vt:variant>
        <vt:lpwstr>https://diagnostics.roche.com/global/en/products/product-category/neurology.html</vt:lpwstr>
      </vt:variant>
      <vt:variant>
        <vt:lpwstr/>
      </vt:variant>
      <vt:variant>
        <vt:i4>3604589</vt:i4>
      </vt:variant>
      <vt:variant>
        <vt:i4>156</vt:i4>
      </vt:variant>
      <vt:variant>
        <vt:i4>0</vt:i4>
      </vt:variant>
      <vt:variant>
        <vt:i4>5</vt:i4>
      </vt:variant>
      <vt:variant>
        <vt:lpwstr>https://search.cosmobio.co.jp/cosmo_search_p/search_gate2/docs/IGT_/80584.20090219.pdf</vt:lpwstr>
      </vt:variant>
      <vt:variant>
        <vt:lpwstr/>
      </vt:variant>
      <vt:variant>
        <vt:i4>7012411</vt:i4>
      </vt:variant>
      <vt:variant>
        <vt:i4>153</vt:i4>
      </vt:variant>
      <vt:variant>
        <vt:i4>0</vt:i4>
      </vt:variant>
      <vt:variant>
        <vt:i4>5</vt:i4>
      </vt:variant>
      <vt:variant>
        <vt:lpwstr>https://www.euroimmun.com/documents/Indications/Antigen-detection/Alzheimers-disease/EQ_6500_I_UK_A.pdf</vt:lpwstr>
      </vt:variant>
      <vt:variant>
        <vt:lpwstr/>
      </vt:variant>
      <vt:variant>
        <vt:i4>4784192</vt:i4>
      </vt:variant>
      <vt:variant>
        <vt:i4>147</vt:i4>
      </vt:variant>
      <vt:variant>
        <vt:i4>0</vt:i4>
      </vt:variant>
      <vt:variant>
        <vt:i4>5</vt:i4>
      </vt:variant>
      <vt:variant>
        <vt:lpwstr>https://www.florey.edu.au/science-research/scientific-services-facilities/nationaldementia-diagnostics-laboratory</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131086</vt:i4>
      </vt:variant>
      <vt:variant>
        <vt:i4>21</vt:i4>
      </vt:variant>
      <vt:variant>
        <vt:i4>0</vt:i4>
      </vt:variant>
      <vt:variant>
        <vt:i4>5</vt:i4>
      </vt:variant>
      <vt:variant>
        <vt:lpwstr>https://pubmed.ncbi.nlm.nih.gov/35718854/</vt:lpwstr>
      </vt:variant>
      <vt:variant>
        <vt:lpwstr/>
      </vt:variant>
      <vt:variant>
        <vt:i4>1441833</vt:i4>
      </vt:variant>
      <vt:variant>
        <vt:i4>18</vt:i4>
      </vt:variant>
      <vt:variant>
        <vt:i4>0</vt:i4>
      </vt:variant>
      <vt:variant>
        <vt:i4>5</vt:i4>
      </vt:variant>
      <vt:variant>
        <vt:lpwstr>mailto:Joanne.Burnett@commercialeyes.com.au</vt:lpwstr>
      </vt:variant>
      <vt:variant>
        <vt:lpwstr/>
      </vt:variant>
      <vt:variant>
        <vt:i4>3145768</vt:i4>
      </vt:variant>
      <vt:variant>
        <vt:i4>15</vt:i4>
      </vt:variant>
      <vt:variant>
        <vt:i4>0</vt:i4>
      </vt:variant>
      <vt:variant>
        <vt:i4>5</vt:i4>
      </vt:variant>
      <vt:variant>
        <vt:lpwstr>https://www.prnewswire.com/news-releases/lecanemab-confirmatory-phase-3-clarity-ad-study-met-primary-endpoint-showing-highly-statistically-significant-reduction-of-clinical-decline-in-large-global-clinical-study-of-1-795-participants-with-early-alzheimers-disease-301634888.html</vt:lpwstr>
      </vt:variant>
      <vt:variant>
        <vt:lpwstr/>
      </vt:variant>
      <vt:variant>
        <vt:i4>1441833</vt:i4>
      </vt:variant>
      <vt:variant>
        <vt:i4>12</vt:i4>
      </vt:variant>
      <vt:variant>
        <vt:i4>0</vt:i4>
      </vt:variant>
      <vt:variant>
        <vt:i4>5</vt:i4>
      </vt:variant>
      <vt:variant>
        <vt:lpwstr>mailto:Joanne.Burnett@commercialeyes.com.au</vt:lpwstr>
      </vt:variant>
      <vt:variant>
        <vt:lpwstr/>
      </vt:variant>
      <vt:variant>
        <vt:i4>458760</vt:i4>
      </vt:variant>
      <vt:variant>
        <vt:i4>9</vt:i4>
      </vt:variant>
      <vt:variant>
        <vt:i4>0</vt:i4>
      </vt:variant>
      <vt:variant>
        <vt:i4>5</vt:i4>
      </vt:variant>
      <vt:variant>
        <vt:lpwstr>https://www.australiandementianetwork.org.au/initiatives/memory-clinics-network/adnet-memory-and-cognition-clinic-guidelines/</vt:lpwstr>
      </vt:variant>
      <vt:variant>
        <vt:lpwstr/>
      </vt:variant>
      <vt:variant>
        <vt:i4>4456453</vt:i4>
      </vt:variant>
      <vt:variant>
        <vt:i4>6</vt:i4>
      </vt:variant>
      <vt:variant>
        <vt:i4>0</vt:i4>
      </vt:variant>
      <vt:variant>
        <vt:i4>5</vt:i4>
      </vt:variant>
      <vt:variant>
        <vt:lpwstr>https://www.australiandementianetwork.org.au/initiatives/memory-clinics-network/find-a-clinic-or-service/</vt:lpwstr>
      </vt:variant>
      <vt:variant>
        <vt:lpwstr/>
      </vt:variant>
      <vt:variant>
        <vt:i4>5046293</vt:i4>
      </vt:variant>
      <vt:variant>
        <vt:i4>3</vt:i4>
      </vt:variant>
      <vt:variant>
        <vt:i4>0</vt:i4>
      </vt:variant>
      <vt:variant>
        <vt:i4>5</vt:i4>
      </vt:variant>
      <vt:variant>
        <vt:lpwstr>https://alz-journals.onlinelibrary.wiley.com/doi/abs/10.1002/alz.054331?af=R</vt:lpwstr>
      </vt:variant>
      <vt:variant>
        <vt:lpwstr/>
      </vt:variant>
      <vt:variant>
        <vt:i4>5570567</vt:i4>
      </vt:variant>
      <vt:variant>
        <vt:i4>0</vt:i4>
      </vt:variant>
      <vt:variant>
        <vt:i4>0</vt:i4>
      </vt:variant>
      <vt:variant>
        <vt:i4>5</vt:i4>
      </vt:variant>
      <vt:variant>
        <vt:lpwstr>https://www.who.int/news-room/fact-sheets/detail/dementia</vt:lpwstr>
      </vt:variant>
      <vt:variant>
        <vt:lpwstr/>
      </vt:variant>
      <vt:variant>
        <vt:i4>6684732</vt:i4>
      </vt:variant>
      <vt:variant>
        <vt:i4>9</vt:i4>
      </vt:variant>
      <vt:variant>
        <vt:i4>0</vt:i4>
      </vt:variant>
      <vt:variant>
        <vt:i4>5</vt:i4>
      </vt:variant>
      <vt:variant>
        <vt:lpwstr>https://clinicaltrials.gov/ct2/show/NCT03887455</vt:lpwstr>
      </vt:variant>
      <vt:variant>
        <vt:lpwstr/>
      </vt:variant>
      <vt:variant>
        <vt:i4>7667834</vt:i4>
      </vt:variant>
      <vt:variant>
        <vt:i4>6</vt:i4>
      </vt:variant>
      <vt:variant>
        <vt:i4>0</vt:i4>
      </vt:variant>
      <vt:variant>
        <vt:i4>5</vt:i4>
      </vt:variant>
      <vt:variant>
        <vt:lpwstr>https://clinicaltrials.gov/ct2/show/record/NCT01767311?term=lecanemab&amp;draw=2&amp;rank=3</vt:lpwstr>
      </vt:variant>
      <vt:variant>
        <vt:lpwstr/>
      </vt:variant>
      <vt:variant>
        <vt:i4>71</vt:i4>
      </vt:variant>
      <vt:variant>
        <vt:i4>3</vt:i4>
      </vt:variant>
      <vt:variant>
        <vt:i4>0</vt:i4>
      </vt:variant>
      <vt:variant>
        <vt:i4>5</vt:i4>
      </vt:variant>
      <vt:variant>
        <vt:lpwstr>https://www.nia.nih.gov/health/alzheimers-disease-fact-sheet</vt:lpwstr>
      </vt:variant>
      <vt:variant>
        <vt:lpwstr/>
      </vt:variant>
      <vt:variant>
        <vt:i4>5570567</vt:i4>
      </vt:variant>
      <vt:variant>
        <vt:i4>0</vt:i4>
      </vt:variant>
      <vt:variant>
        <vt:i4>0</vt:i4>
      </vt:variant>
      <vt:variant>
        <vt:i4>5</vt:i4>
      </vt:variant>
      <vt:variant>
        <vt:lpwstr>https://www.who.int/news-room/fact-sheets/detail/dementia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Maynard Gold</cp:lastModifiedBy>
  <cp:revision>9</cp:revision>
  <cp:lastPrinted>2024-02-15T03:51:00Z</cp:lastPrinted>
  <dcterms:created xsi:type="dcterms:W3CDTF">2024-02-13T05:27:00Z</dcterms:created>
  <dcterms:modified xsi:type="dcterms:W3CDTF">2024-02-19T23:38:00Z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0x0101009EF186608A09554B846F5D6C693D37BE</vt:lpwstr>
  </property>
  <property fmtid="{D5CDD505-2E9C-101B-9397-08002B2CF9AE}" pid="9" name="MediaServiceImageTags">
    <vt:lpwstr/>
  </property>
  <property fmtid="{D5CDD505-2E9C-101B-9397-08002B2CF9AE}" pid="10" name="_AdHocReviewCycleID">
    <vt:i4>692275847</vt:i4>
  </property>
  <property fmtid="{D5CDD505-2E9C-101B-9397-08002B2CF9AE}" pid="11" name="_NewReviewCycle">
    <vt:lpwstr/>
  </property>
  <property fmtid="{D5CDD505-2E9C-101B-9397-08002B2CF9AE}" pid="12" name="_EmailSubject">
    <vt:lpwstr>New MSAC Application - Testing for access to Lecanemab for Alzheimer's Disease [SEC=OFFICIAL]</vt:lpwstr>
  </property>
  <property fmtid="{D5CDD505-2E9C-101B-9397-08002B2CF9AE}" pid="13" name="_AuthorEmail">
    <vt:lpwstr>John_Bower@eisai.net</vt:lpwstr>
  </property>
  <property fmtid="{D5CDD505-2E9C-101B-9397-08002B2CF9AE}" pid="14" name="_AuthorEmailDisplayName">
    <vt:lpwstr>John Bower</vt:lpwstr>
  </property>
  <property fmtid="{D5CDD505-2E9C-101B-9397-08002B2CF9AE}" pid="15" name="_ReviewingToolsShownOnce">
    <vt:lpwstr/>
  </property>
</Properties>
</file>