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7311" w14:textId="012DECA7" w:rsidR="008B2610" w:rsidRDefault="008F1188" w:rsidP="00BC5F2F">
      <w:pPr>
        <w:pStyle w:val="Title"/>
        <w:spacing w:before="2600" w:after="120"/>
      </w:pPr>
      <w:r>
        <w:t xml:space="preserve">MSAC </w:t>
      </w:r>
      <w:r w:rsidR="008B2610" w:rsidRPr="001906CD">
        <w:t xml:space="preserve">Application </w:t>
      </w:r>
      <w:r>
        <w:t>1744</w:t>
      </w:r>
    </w:p>
    <w:p w14:paraId="3F4A0368" w14:textId="732B4CCA" w:rsidR="0056015F" w:rsidRPr="0056015F" w:rsidRDefault="000F4A7F" w:rsidP="008F1188">
      <w:pPr>
        <w:pStyle w:val="TitleBlue"/>
        <w:spacing w:before="840" w:after="840"/>
      </w:pPr>
      <w:r w:rsidRPr="00BC5F2F">
        <w:rPr>
          <w:sz w:val="50"/>
          <w:szCs w:val="50"/>
          <w:vertAlign w:val="superscript"/>
        </w:rPr>
        <w:t>177</w:t>
      </w:r>
      <w:proofErr w:type="gramStart"/>
      <w:r w:rsidRPr="00BC5F2F">
        <w:rPr>
          <w:sz w:val="50"/>
          <w:szCs w:val="50"/>
        </w:rPr>
        <w:t>Lu</w:t>
      </w:r>
      <w:r w:rsidR="00046CD8" w:rsidRPr="00BC5F2F">
        <w:rPr>
          <w:sz w:val="50"/>
          <w:szCs w:val="50"/>
        </w:rPr>
        <w:t>tetium</w:t>
      </w:r>
      <w:r w:rsidRPr="00BC5F2F">
        <w:rPr>
          <w:sz w:val="50"/>
          <w:szCs w:val="50"/>
          <w:vertAlign w:val="subscript"/>
        </w:rPr>
        <w:t>(</w:t>
      </w:r>
      <w:proofErr w:type="spellStart"/>
      <w:proofErr w:type="gramEnd"/>
      <w:r w:rsidRPr="00BC5F2F">
        <w:rPr>
          <w:sz w:val="50"/>
          <w:szCs w:val="50"/>
          <w:vertAlign w:val="subscript"/>
        </w:rPr>
        <w:t>n</w:t>
      </w:r>
      <w:r w:rsidR="00BC5F2F" w:rsidRPr="00BC5F2F">
        <w:rPr>
          <w:sz w:val="50"/>
          <w:szCs w:val="50"/>
          <w:vertAlign w:val="subscript"/>
        </w:rPr>
        <w:t>.</w:t>
      </w:r>
      <w:r w:rsidRPr="00BC5F2F">
        <w:rPr>
          <w:sz w:val="50"/>
          <w:szCs w:val="50"/>
          <w:vertAlign w:val="subscript"/>
        </w:rPr>
        <w:t>c</w:t>
      </w:r>
      <w:r w:rsidR="00BC5F2F" w:rsidRPr="00BC5F2F">
        <w:rPr>
          <w:sz w:val="50"/>
          <w:szCs w:val="50"/>
          <w:vertAlign w:val="subscript"/>
        </w:rPr>
        <w:t>.</w:t>
      </w:r>
      <w:r w:rsidRPr="00BC5F2F">
        <w:rPr>
          <w:sz w:val="50"/>
          <w:szCs w:val="50"/>
          <w:vertAlign w:val="subscript"/>
        </w:rPr>
        <w:t>a</w:t>
      </w:r>
      <w:proofErr w:type="spellEnd"/>
      <w:r w:rsidRPr="00BC5F2F">
        <w:rPr>
          <w:sz w:val="50"/>
          <w:szCs w:val="50"/>
          <w:vertAlign w:val="subscript"/>
        </w:rPr>
        <w:t>)</w:t>
      </w:r>
      <w:proofErr w:type="spellStart"/>
      <w:r w:rsidR="00046CD8" w:rsidRPr="00BC5F2F">
        <w:rPr>
          <w:sz w:val="50"/>
          <w:szCs w:val="50"/>
        </w:rPr>
        <w:t>O</w:t>
      </w:r>
      <w:r w:rsidRPr="00BC5F2F">
        <w:rPr>
          <w:sz w:val="50"/>
          <w:szCs w:val="50"/>
        </w:rPr>
        <w:t>ctreotate</w:t>
      </w:r>
      <w:proofErr w:type="spellEnd"/>
      <w:r w:rsidR="00E471C6" w:rsidRPr="00BC5F2F">
        <w:rPr>
          <w:sz w:val="50"/>
          <w:szCs w:val="50"/>
        </w:rPr>
        <w:t xml:space="preserve"> treatment</w:t>
      </w:r>
      <w:r w:rsidRPr="00BC5F2F">
        <w:rPr>
          <w:sz w:val="50"/>
          <w:szCs w:val="50"/>
        </w:rPr>
        <w:t xml:space="preserve"> for </w:t>
      </w:r>
      <w:r w:rsidR="00046CD8" w:rsidRPr="00BC5F2F">
        <w:rPr>
          <w:sz w:val="50"/>
          <w:szCs w:val="50"/>
        </w:rPr>
        <w:t xml:space="preserve">advanced neuroendocrine and </w:t>
      </w:r>
      <w:r w:rsidR="00A37CCA" w:rsidRPr="00BC5F2F">
        <w:rPr>
          <w:sz w:val="50"/>
          <w:szCs w:val="50"/>
        </w:rPr>
        <w:t xml:space="preserve">other </w:t>
      </w:r>
      <w:r w:rsidR="00683DB7" w:rsidRPr="00BC5F2F">
        <w:rPr>
          <w:sz w:val="50"/>
          <w:szCs w:val="50"/>
        </w:rPr>
        <w:t>high somatostatin receptor expressing tumours</w:t>
      </w:r>
    </w:p>
    <w:p w14:paraId="1BB3B10A"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79B94B6"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06A50048"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7A5AC3E8" w14:textId="77777777" w:rsidR="009F5758" w:rsidRPr="00154B00" w:rsidRDefault="009F5758" w:rsidP="003F7CB9">
      <w:pPr>
        <w:spacing w:before="0" w:after="0"/>
      </w:pPr>
      <w:r w:rsidRPr="00154B00">
        <w:t xml:space="preserve">Email:  </w:t>
      </w:r>
      <w:hyperlink r:id="rId8" w:tooltip="click here to email the Department of Health HTA Team" w:history="1">
        <w:r w:rsidRPr="00154B00">
          <w:rPr>
            <w:rStyle w:val="Hyperlink"/>
            <w:szCs w:val="20"/>
          </w:rPr>
          <w:t>hta@health.gov.au</w:t>
        </w:r>
      </w:hyperlink>
    </w:p>
    <w:p w14:paraId="071A840A" w14:textId="77777777" w:rsidR="009F5758" w:rsidRPr="00154B00" w:rsidRDefault="009F5758" w:rsidP="003F7CB9">
      <w:pPr>
        <w:spacing w:before="0" w:after="0"/>
      </w:pPr>
      <w:r w:rsidRPr="00154B00">
        <w:t xml:space="preserve">Website:  </w:t>
      </w:r>
      <w:hyperlink r:id="rId9"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F481547"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B650DA0"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5EC87BE1" w14:textId="4EBF8D3F"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952F71">
        <w:t>Applied Molecular Therapies</w:t>
      </w:r>
      <w:r w:rsidR="00256D94">
        <w:t xml:space="preserve"> </w:t>
      </w:r>
      <w:r w:rsidR="00544867">
        <w:t>Pty Ltd</w:t>
      </w:r>
    </w:p>
    <w:p w14:paraId="4C454EE3" w14:textId="1A1DC7E0"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0F4A7F">
        <w:t>Applied Molecular Therapies</w:t>
      </w:r>
      <w:r w:rsidR="00BC5F2F">
        <w:t xml:space="preserve"> Pty Ltd</w:t>
      </w:r>
    </w:p>
    <w:p w14:paraId="19F046BD" w14:textId="5AC6E6FA"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BC5F2F">
        <w:t>70 625 535 551</w:t>
      </w:r>
    </w:p>
    <w:p w14:paraId="31D68632" w14:textId="77AAAF27" w:rsidR="00C171FB" w:rsidRDefault="00C171FB" w:rsidP="00C171FB">
      <w:pPr>
        <w:pBdr>
          <w:top w:val="single" w:sz="4" w:space="1" w:color="auto"/>
          <w:left w:val="single" w:sz="4" w:space="4" w:color="auto"/>
          <w:bottom w:val="single" w:sz="4" w:space="1" w:color="auto"/>
          <w:right w:val="single" w:sz="4" w:space="4" w:color="auto"/>
        </w:pBdr>
      </w:pPr>
      <w:r>
        <w:t>Business trading name:</w:t>
      </w:r>
      <w:r w:rsidR="00BC5F2F">
        <w:t xml:space="preserve"> AMT </w:t>
      </w:r>
    </w:p>
    <w:p w14:paraId="0DE6F539" w14:textId="77777777" w:rsidR="00C171FB" w:rsidRPr="00C171FB" w:rsidRDefault="00C171FB" w:rsidP="00C171FB"/>
    <w:p w14:paraId="705A4300" w14:textId="2368170E" w:rsidR="00C171FB" w:rsidRPr="008F1188" w:rsidRDefault="00C171FB" w:rsidP="00C171FB">
      <w:pPr>
        <w:rPr>
          <w:b/>
        </w:rPr>
      </w:pPr>
      <w:r w:rsidRPr="008F1188">
        <w:rPr>
          <w:b/>
        </w:rPr>
        <w:t xml:space="preserve">Primary contact name: </w:t>
      </w:r>
      <w:r w:rsidR="008F1188" w:rsidRPr="008F1188">
        <w:rPr>
          <w:b/>
          <w:bCs/>
        </w:rPr>
        <w:t>REDACTED</w:t>
      </w:r>
    </w:p>
    <w:p w14:paraId="51C95926" w14:textId="77777777" w:rsidR="00C171FB" w:rsidRPr="008F1188" w:rsidRDefault="00C171FB" w:rsidP="00C171FB">
      <w:pPr>
        <w:pBdr>
          <w:top w:val="single" w:sz="4" w:space="1" w:color="auto"/>
          <w:left w:val="single" w:sz="4" w:space="4" w:color="auto"/>
          <w:bottom w:val="single" w:sz="4" w:space="1" w:color="auto"/>
          <w:right w:val="single" w:sz="4" w:space="4" w:color="auto"/>
        </w:pBdr>
      </w:pPr>
      <w:r w:rsidRPr="008F1188">
        <w:t>Primary contact numbers</w:t>
      </w:r>
    </w:p>
    <w:p w14:paraId="346DF447" w14:textId="4C7DCC0A" w:rsidR="00C171FB" w:rsidRPr="008F1188" w:rsidRDefault="00C171FB" w:rsidP="00C171FB">
      <w:pPr>
        <w:pBdr>
          <w:top w:val="single" w:sz="4" w:space="1" w:color="auto"/>
          <w:left w:val="single" w:sz="4" w:space="4" w:color="auto"/>
          <w:bottom w:val="single" w:sz="4" w:space="1" w:color="auto"/>
          <w:right w:val="single" w:sz="4" w:space="4" w:color="auto"/>
        </w:pBdr>
      </w:pPr>
      <w:r w:rsidRPr="008F1188">
        <w:t xml:space="preserve">Business: </w:t>
      </w:r>
      <w:bdo w:val="ltr">
        <w:r w:rsidR="008F1188" w:rsidRPr="008F1188">
          <w:rPr>
            <w:b/>
            <w:bCs/>
          </w:rPr>
          <w:t xml:space="preserve"> REDACTED</w:t>
        </w:r>
        <w:r w:rsidR="0034292D">
          <w:t>‬</w:t>
        </w:r>
      </w:bdo>
    </w:p>
    <w:p w14:paraId="52C78DF3" w14:textId="77777777" w:rsidR="008F1188" w:rsidRPr="008F1188" w:rsidRDefault="00C171FB" w:rsidP="00C171FB">
      <w:pPr>
        <w:pBdr>
          <w:top w:val="single" w:sz="4" w:space="1" w:color="auto"/>
          <w:left w:val="single" w:sz="4" w:space="4" w:color="auto"/>
          <w:bottom w:val="single" w:sz="4" w:space="1" w:color="auto"/>
          <w:right w:val="single" w:sz="4" w:space="4" w:color="auto"/>
        </w:pBdr>
      </w:pPr>
      <w:r w:rsidRPr="008F1188">
        <w:t>Mobile:</w:t>
      </w:r>
      <w:r w:rsidRPr="008F1188">
        <w:tab/>
      </w:r>
      <w:r w:rsidR="008F1188" w:rsidRPr="008F1188">
        <w:rPr>
          <w:b/>
          <w:bCs/>
        </w:rPr>
        <w:t>REDACTED</w:t>
      </w:r>
      <w:r w:rsidR="008F1188" w:rsidRPr="008F1188">
        <w:t xml:space="preserve"> </w:t>
      </w:r>
    </w:p>
    <w:p w14:paraId="4F1F1EC7" w14:textId="53C3F7D1" w:rsidR="00C171FB" w:rsidRPr="008F1188" w:rsidRDefault="00C171FB" w:rsidP="00C171FB">
      <w:pPr>
        <w:pBdr>
          <w:top w:val="single" w:sz="4" w:space="1" w:color="auto"/>
          <w:left w:val="single" w:sz="4" w:space="4" w:color="auto"/>
          <w:bottom w:val="single" w:sz="4" w:space="1" w:color="auto"/>
          <w:right w:val="single" w:sz="4" w:space="4" w:color="auto"/>
        </w:pBdr>
      </w:pPr>
      <w:r w:rsidRPr="008F1188">
        <w:t xml:space="preserve">Email: </w:t>
      </w:r>
      <w:r w:rsidR="008F1188" w:rsidRPr="008F1188">
        <w:rPr>
          <w:b/>
          <w:bCs/>
        </w:rPr>
        <w:t>REDACTED</w:t>
      </w:r>
    </w:p>
    <w:p w14:paraId="77EC9C05" w14:textId="77777777" w:rsidR="00C171FB" w:rsidRPr="008F1188" w:rsidRDefault="00C171FB" w:rsidP="00C171FB">
      <w:pPr>
        <w:rPr>
          <w:b/>
        </w:rPr>
      </w:pPr>
    </w:p>
    <w:p w14:paraId="4B2A62F4" w14:textId="0107B038" w:rsidR="00C171FB" w:rsidRPr="008F1188" w:rsidRDefault="00C171FB" w:rsidP="00C171FB">
      <w:pPr>
        <w:rPr>
          <w:b/>
        </w:rPr>
      </w:pPr>
      <w:r w:rsidRPr="008F1188">
        <w:rPr>
          <w:b/>
        </w:rPr>
        <w:t xml:space="preserve">Alternative contact name: </w:t>
      </w:r>
      <w:r w:rsidR="008F1188" w:rsidRPr="008F1188">
        <w:rPr>
          <w:b/>
          <w:bCs/>
        </w:rPr>
        <w:t>REDACTED</w:t>
      </w:r>
    </w:p>
    <w:p w14:paraId="3422FD4A" w14:textId="77777777" w:rsidR="00C171FB" w:rsidRPr="008F1188" w:rsidRDefault="00C171FB" w:rsidP="00C171FB">
      <w:pPr>
        <w:pBdr>
          <w:top w:val="single" w:sz="4" w:space="1" w:color="auto"/>
          <w:left w:val="single" w:sz="4" w:space="4" w:color="auto"/>
          <w:bottom w:val="single" w:sz="4" w:space="1" w:color="auto"/>
          <w:right w:val="single" w:sz="4" w:space="4" w:color="auto"/>
        </w:pBdr>
      </w:pPr>
      <w:r w:rsidRPr="008F1188">
        <w:t>Alternative contact numbers</w:t>
      </w:r>
      <w:r w:rsidRPr="008F1188">
        <w:tab/>
      </w:r>
    </w:p>
    <w:p w14:paraId="0F6CA17D" w14:textId="6BB1085B" w:rsidR="00952F71" w:rsidRPr="008F1188" w:rsidRDefault="00C171FB" w:rsidP="00952F71">
      <w:pPr>
        <w:pBdr>
          <w:top w:val="single" w:sz="4" w:space="1" w:color="auto"/>
          <w:left w:val="single" w:sz="4" w:space="4" w:color="auto"/>
          <w:bottom w:val="single" w:sz="4" w:space="1" w:color="auto"/>
          <w:right w:val="single" w:sz="4" w:space="4" w:color="auto"/>
        </w:pBdr>
      </w:pPr>
      <w:r w:rsidRPr="008F1188">
        <w:t xml:space="preserve">Business: </w:t>
      </w:r>
      <w:r w:rsidR="008F1188" w:rsidRPr="008F1188">
        <w:rPr>
          <w:b/>
          <w:bCs/>
        </w:rPr>
        <w:t>REDACTED</w:t>
      </w:r>
    </w:p>
    <w:p w14:paraId="646EDE60" w14:textId="77777777" w:rsidR="008F1188" w:rsidRPr="008F1188" w:rsidRDefault="00C171FB" w:rsidP="00C171FB">
      <w:pPr>
        <w:pBdr>
          <w:top w:val="single" w:sz="4" w:space="1" w:color="auto"/>
          <w:left w:val="single" w:sz="4" w:space="4" w:color="auto"/>
          <w:bottom w:val="single" w:sz="4" w:space="1" w:color="auto"/>
          <w:right w:val="single" w:sz="4" w:space="4" w:color="auto"/>
        </w:pBdr>
      </w:pPr>
      <w:r w:rsidRPr="008F1188">
        <w:t xml:space="preserve">Mobile: </w:t>
      </w:r>
      <w:r w:rsidR="008F1188" w:rsidRPr="008F1188">
        <w:rPr>
          <w:b/>
          <w:bCs/>
        </w:rPr>
        <w:t>REDACTED</w:t>
      </w:r>
      <w:r w:rsidR="008F1188" w:rsidRPr="008F1188">
        <w:t xml:space="preserve"> </w:t>
      </w:r>
    </w:p>
    <w:p w14:paraId="6F1F5689" w14:textId="58543C37" w:rsidR="00C171FB" w:rsidRDefault="00C171FB" w:rsidP="00C171FB">
      <w:pPr>
        <w:pBdr>
          <w:top w:val="single" w:sz="4" w:space="1" w:color="auto"/>
          <w:left w:val="single" w:sz="4" w:space="4" w:color="auto"/>
          <w:bottom w:val="single" w:sz="4" w:space="1" w:color="auto"/>
          <w:right w:val="single" w:sz="4" w:space="4" w:color="auto"/>
        </w:pBdr>
      </w:pPr>
      <w:r w:rsidRPr="008F1188">
        <w:t xml:space="preserve">Email: </w:t>
      </w:r>
      <w:r w:rsidR="008F1188" w:rsidRPr="008F1188">
        <w:rPr>
          <w:b/>
          <w:bCs/>
        </w:rPr>
        <w:t>REDACTED</w:t>
      </w:r>
    </w:p>
    <w:p w14:paraId="2047B0B2" w14:textId="77777777" w:rsidR="00C171FB" w:rsidRPr="00C171FB" w:rsidRDefault="00C171FB" w:rsidP="00C171FB"/>
    <w:p w14:paraId="795257EE" w14:textId="77777777" w:rsidR="00AD2E85" w:rsidRDefault="00AD2E85" w:rsidP="004A0BF4">
      <w:pPr>
        <w:pStyle w:val="Heading2"/>
      </w:pPr>
      <w:r>
        <w:t xml:space="preserve">(a) </w:t>
      </w:r>
      <w:r w:rsidRPr="00AD2E85">
        <w:t>Are you a consultant acting on behalf on an applicant?</w:t>
      </w:r>
    </w:p>
    <w:p w14:paraId="6704394C"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Yes</w:t>
      </w:r>
    </w:p>
    <w:p w14:paraId="281711EC" w14:textId="2AE66DC3" w:rsidR="00AD2E85" w:rsidRPr="00753C44" w:rsidRDefault="00173897" w:rsidP="00AD2E85">
      <w:pPr>
        <w:spacing w:before="0" w:after="0"/>
        <w:ind w:left="426"/>
        <w:rPr>
          <w:szCs w:val="20"/>
        </w:rPr>
      </w:pPr>
      <w:r>
        <w:rPr>
          <w:szCs w:val="20"/>
        </w:rPr>
        <w:fldChar w:fldCharType="begin">
          <w:ffData>
            <w:name w:val="Check2"/>
            <w:enabled/>
            <w:calcOnExit w:val="0"/>
            <w:checkBox>
              <w:sizeAuto/>
              <w:default w:val="1"/>
            </w:checkBox>
          </w:ffData>
        </w:fldChar>
      </w:r>
      <w:r>
        <w:rPr>
          <w:szCs w:val="20"/>
        </w:rPr>
        <w:instrText xml:space="preserve"> </w:instrText>
      </w:r>
      <w:bookmarkStart w:id="1" w:name="Check2"/>
      <w:r>
        <w:rPr>
          <w:szCs w:val="20"/>
        </w:rPr>
        <w:instrText xml:space="preserve">FORMCHECKBOX </w:instrText>
      </w:r>
      <w:r w:rsidR="0034292D">
        <w:rPr>
          <w:szCs w:val="20"/>
        </w:rPr>
      </w:r>
      <w:r w:rsidR="0034292D">
        <w:rPr>
          <w:szCs w:val="20"/>
        </w:rPr>
        <w:fldChar w:fldCharType="separate"/>
      </w:r>
      <w:r>
        <w:rPr>
          <w:szCs w:val="20"/>
        </w:rPr>
        <w:fldChar w:fldCharType="end"/>
      </w:r>
      <w:bookmarkEnd w:id="1"/>
      <w:r w:rsidR="00AD2E85">
        <w:rPr>
          <w:szCs w:val="20"/>
        </w:rPr>
        <w:t xml:space="preserve"> </w:t>
      </w:r>
      <w:r w:rsidR="00AD2E85" w:rsidRPr="004B592C">
        <w:rPr>
          <w:color w:val="000000" w:themeColor="text1"/>
          <w:szCs w:val="20"/>
        </w:rPr>
        <w:t>No</w:t>
      </w:r>
      <w:r w:rsidR="00AD2E85" w:rsidRPr="00D2196F">
        <w:rPr>
          <w:color w:val="000000" w:themeColor="text1"/>
          <w:szCs w:val="20"/>
        </w:rPr>
        <w:t xml:space="preserve"> </w:t>
      </w:r>
      <w:r w:rsidR="00AD2E85" w:rsidRPr="00753C44">
        <w:rPr>
          <w:szCs w:val="20"/>
        </w:rPr>
        <w:t xml:space="preserve"> </w:t>
      </w:r>
    </w:p>
    <w:p w14:paraId="18174123" w14:textId="77777777" w:rsidR="00AD2E85" w:rsidRPr="00AD2E85" w:rsidRDefault="00AD2E85" w:rsidP="00AD2E85">
      <w:pPr>
        <w:ind w:firstLine="360"/>
        <w:rPr>
          <w:b/>
        </w:rPr>
      </w:pPr>
      <w:r w:rsidRPr="00AD2E85">
        <w:rPr>
          <w:b/>
        </w:rPr>
        <w:t>(b) If yes what is the Applicant(s) name that you are acting on behalf of?</w:t>
      </w:r>
    </w:p>
    <w:p w14:paraId="4F2A8A3F" w14:textId="77777777" w:rsidR="00AD2E85" w:rsidRPr="00AD2E85" w:rsidRDefault="00AD2E85" w:rsidP="00AD2E85"/>
    <w:p w14:paraId="2E066502" w14:textId="77777777" w:rsidR="00534C5F" w:rsidRPr="00154B00" w:rsidRDefault="00494011" w:rsidP="004A0BF4">
      <w:pPr>
        <w:pStyle w:val="Heading2"/>
      </w:pPr>
      <w:r>
        <w:t xml:space="preserve">(a) </w:t>
      </w:r>
      <w:r w:rsidR="00534C5F">
        <w:t>Are you a lobbyist acting on behalf of an Applicant?</w:t>
      </w:r>
    </w:p>
    <w:p w14:paraId="465DDA90"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Yes</w:t>
      </w:r>
    </w:p>
    <w:p w14:paraId="1996A22D" w14:textId="6D1257F0" w:rsidR="00A6491A" w:rsidRPr="00753C44" w:rsidRDefault="00173897"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A6491A">
        <w:rPr>
          <w:szCs w:val="20"/>
        </w:rPr>
        <w:t xml:space="preserve"> </w:t>
      </w:r>
      <w:r w:rsidR="00A6491A" w:rsidRPr="004B592C">
        <w:rPr>
          <w:szCs w:val="20"/>
        </w:rPr>
        <w:t>No</w:t>
      </w:r>
      <w:r w:rsidR="00A6491A" w:rsidRPr="00753C44">
        <w:rPr>
          <w:szCs w:val="20"/>
        </w:rPr>
        <w:t xml:space="preserve">  </w:t>
      </w:r>
    </w:p>
    <w:p w14:paraId="42D86659"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02DB418C"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Yes</w:t>
      </w:r>
    </w:p>
    <w:p w14:paraId="306E49D6"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No</w:t>
      </w:r>
      <w:r w:rsidRPr="00753C44">
        <w:rPr>
          <w:szCs w:val="20"/>
        </w:rPr>
        <w:t xml:space="preserve">  </w:t>
      </w:r>
    </w:p>
    <w:p w14:paraId="12137682" w14:textId="77777777" w:rsidR="00CE0F9E" w:rsidRPr="00154B00" w:rsidRDefault="00CE0F9E" w:rsidP="00CE0F9E">
      <w:pPr>
        <w:pStyle w:val="Heading2"/>
        <w:numPr>
          <w:ilvl w:val="0"/>
          <w:numId w:val="23"/>
        </w:numPr>
      </w:pPr>
      <w:r>
        <w:t>Have you engaged a consultant on your behalf?</w:t>
      </w:r>
    </w:p>
    <w:p w14:paraId="0FB60297" w14:textId="77777777" w:rsidR="00CE0F9E" w:rsidRDefault="00CE0F9E" w:rsidP="00CE0F9E">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Yes </w:t>
      </w:r>
    </w:p>
    <w:p w14:paraId="548E1885" w14:textId="3383227B" w:rsidR="00CE0F9E" w:rsidRDefault="00173897" w:rsidP="00CE0F9E">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CE0F9E">
        <w:rPr>
          <w:szCs w:val="20"/>
        </w:rPr>
        <w:t xml:space="preserve"> </w:t>
      </w:r>
      <w:r w:rsidR="00CE0F9E" w:rsidRPr="004B592C">
        <w:rPr>
          <w:szCs w:val="20"/>
        </w:rPr>
        <w:t>No</w:t>
      </w:r>
      <w:r w:rsidR="00CE0F9E" w:rsidRPr="00753C44">
        <w:rPr>
          <w:szCs w:val="20"/>
        </w:rPr>
        <w:t xml:space="preserve">  </w:t>
      </w:r>
    </w:p>
    <w:p w14:paraId="6A4F92F6" w14:textId="77777777" w:rsidR="00CE0F9E" w:rsidRDefault="00CE0F9E" w:rsidP="00CE0F9E">
      <w:pPr>
        <w:spacing w:before="0" w:after="0"/>
        <w:ind w:left="426"/>
        <w:rPr>
          <w:szCs w:val="20"/>
        </w:rPr>
      </w:pPr>
    </w:p>
    <w:p w14:paraId="09C5CFBF" w14:textId="77777777" w:rsidR="00CE0F9E" w:rsidRPr="00753C44" w:rsidRDefault="00CE0F9E" w:rsidP="00CE0F9E">
      <w:pPr>
        <w:spacing w:before="0" w:after="0"/>
        <w:ind w:left="426"/>
        <w:rPr>
          <w:szCs w:val="20"/>
        </w:rPr>
      </w:pPr>
    </w:p>
    <w:p w14:paraId="04BF86D7" w14:textId="77777777" w:rsidR="00E04FB3" w:rsidRDefault="00E04FB3" w:rsidP="005C333E">
      <w:pPr>
        <w:spacing w:before="0" w:after="0"/>
        <w:ind w:left="426"/>
        <w:rPr>
          <w:b/>
          <w:szCs w:val="20"/>
        </w:rPr>
      </w:pPr>
      <w:r w:rsidRPr="00154B00">
        <w:rPr>
          <w:b/>
          <w:szCs w:val="20"/>
        </w:rPr>
        <w:br w:type="page"/>
      </w:r>
    </w:p>
    <w:p w14:paraId="42A49F47"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407F30F9" w14:textId="77777777" w:rsidR="000B3CD0" w:rsidRDefault="000B3CD0" w:rsidP="00730C04">
      <w:pPr>
        <w:pStyle w:val="Heading2"/>
      </w:pPr>
      <w:r w:rsidRPr="00154B00">
        <w:t>Application title</w:t>
      </w:r>
      <w:r w:rsidR="00A8732C">
        <w:t xml:space="preserve"> </w:t>
      </w:r>
    </w:p>
    <w:p w14:paraId="6A86938D" w14:textId="68A7119C" w:rsidR="009056C5" w:rsidRPr="009056C5" w:rsidRDefault="00D2196F" w:rsidP="00432D5F">
      <w:pPr>
        <w:ind w:left="360"/>
      </w:pPr>
      <w:r w:rsidRPr="00D2196F">
        <w:rPr>
          <w:vertAlign w:val="superscript"/>
        </w:rPr>
        <w:t>177</w:t>
      </w:r>
      <w:r>
        <w:t>Lutetium</w:t>
      </w:r>
      <w:r w:rsidRPr="00554403">
        <w:rPr>
          <w:vertAlign w:val="subscript"/>
        </w:rPr>
        <w:t>(</w:t>
      </w:r>
      <w:proofErr w:type="spellStart"/>
      <w:r w:rsidRPr="00554403">
        <w:rPr>
          <w:vertAlign w:val="subscript"/>
        </w:rPr>
        <w:t>nca</w:t>
      </w:r>
      <w:proofErr w:type="spellEnd"/>
      <w:r w:rsidRPr="00554403">
        <w:rPr>
          <w:vertAlign w:val="subscript"/>
        </w:rPr>
        <w:t>)</w:t>
      </w:r>
      <w:r w:rsidR="00D7061F">
        <w:rPr>
          <w:vertAlign w:val="subscript"/>
        </w:rPr>
        <w:t xml:space="preserve"> </w:t>
      </w:r>
      <w:proofErr w:type="spellStart"/>
      <w:r>
        <w:t>Octreotate</w:t>
      </w:r>
      <w:proofErr w:type="spellEnd"/>
      <w:r>
        <w:t xml:space="preserve"> </w:t>
      </w:r>
      <w:r w:rsidR="00B42552">
        <w:t>treatment</w:t>
      </w:r>
      <w:r>
        <w:t xml:space="preserve"> for </w:t>
      </w:r>
      <w:r w:rsidR="00147079">
        <w:t>advanced n</w:t>
      </w:r>
      <w:r>
        <w:t xml:space="preserve">euroendocrine </w:t>
      </w:r>
      <w:r w:rsidR="00147079">
        <w:t xml:space="preserve">and other </w:t>
      </w:r>
      <w:r w:rsidR="00A37CCA">
        <w:t xml:space="preserve">high somatostatin receptor expressing </w:t>
      </w:r>
      <w:r w:rsidR="00147079">
        <w:t>c</w:t>
      </w:r>
      <w:r>
        <w:t>ancer</w:t>
      </w:r>
      <w:r w:rsidR="00147079">
        <w:t xml:space="preserve">s </w:t>
      </w:r>
    </w:p>
    <w:p w14:paraId="47D772EC" w14:textId="6929FAD6"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799579D" w14:textId="534C36AA" w:rsidR="002B68FA" w:rsidRDefault="00ED5748" w:rsidP="008F1188">
      <w:pPr>
        <w:spacing w:before="0" w:after="0"/>
        <w:ind w:left="360"/>
      </w:pPr>
      <w:r>
        <w:t xml:space="preserve">Neuroendocrine </w:t>
      </w:r>
      <w:r w:rsidR="000D13DE">
        <w:t>Tumours</w:t>
      </w:r>
      <w:r w:rsidR="00B42552">
        <w:t xml:space="preserve"> (NET) </w:t>
      </w:r>
      <w:r w:rsidR="00FD26F1">
        <w:t>aris</w:t>
      </w:r>
      <w:r w:rsidR="00ED1FDA">
        <w:t>e</w:t>
      </w:r>
      <w:r w:rsidR="000D13DE">
        <w:t xml:space="preserve"> in a range of tissues </w:t>
      </w:r>
      <w:r w:rsidR="00ED1FDA">
        <w:t xml:space="preserve">from cells </w:t>
      </w:r>
      <w:r w:rsidR="00556093">
        <w:t xml:space="preserve">that </w:t>
      </w:r>
      <w:r w:rsidR="000D13DE">
        <w:t xml:space="preserve">function to regulate bodily function by </w:t>
      </w:r>
      <w:r w:rsidR="0083553C">
        <w:t>secret</w:t>
      </w:r>
      <w:r w:rsidR="000D13DE">
        <w:t>ing</w:t>
      </w:r>
      <w:r w:rsidR="0083553C">
        <w:t xml:space="preserve"> </w:t>
      </w:r>
      <w:r w:rsidR="004E3A98">
        <w:t>bioactive compounds, particularly peptide hormones</w:t>
      </w:r>
      <w:r w:rsidR="007E0C4D">
        <w:t xml:space="preserve">. </w:t>
      </w:r>
      <w:r w:rsidR="000B2EB5">
        <w:t xml:space="preserve"> </w:t>
      </w:r>
      <w:r w:rsidR="007E0C4D">
        <w:t>NET and several other uncommon cancer types</w:t>
      </w:r>
      <w:r w:rsidR="00692C90">
        <w:t xml:space="preserve"> </w:t>
      </w:r>
      <w:r w:rsidR="00FD26F1">
        <w:t xml:space="preserve">have high somatostatin receptor expression </w:t>
      </w:r>
      <w:r w:rsidR="00692C90">
        <w:t>(H</w:t>
      </w:r>
      <w:r w:rsidR="00BE42F2">
        <w:t>-</w:t>
      </w:r>
      <w:r w:rsidR="00692C90">
        <w:t>SST</w:t>
      </w:r>
      <w:r w:rsidR="00BE42F2">
        <w:t>R</w:t>
      </w:r>
      <w:r w:rsidR="00692C90">
        <w:t>)</w:t>
      </w:r>
      <w:r w:rsidR="00FD26F1">
        <w:t>, making this an attractive diagnostic and therapeutic target</w:t>
      </w:r>
      <w:r w:rsidR="007E0C4D">
        <w:t>.</w:t>
      </w:r>
      <w:r w:rsidR="002665D7">
        <w:t xml:space="preserve"> </w:t>
      </w:r>
    </w:p>
    <w:p w14:paraId="47420423" w14:textId="77777777" w:rsidR="002B68FA" w:rsidRDefault="002B68FA" w:rsidP="008F1188">
      <w:pPr>
        <w:spacing w:before="0" w:after="0"/>
        <w:ind w:left="360"/>
      </w:pPr>
    </w:p>
    <w:p w14:paraId="21D3D29B" w14:textId="3C7344DA" w:rsidR="002B68FA" w:rsidRDefault="002B68FA" w:rsidP="008F1188">
      <w:pPr>
        <w:spacing w:before="0" w:after="0"/>
        <w:ind w:left="360"/>
      </w:pPr>
      <w:r>
        <w:t xml:space="preserve">NET can be </w:t>
      </w:r>
      <w:r w:rsidR="00BE44D0">
        <w:t>slow</w:t>
      </w:r>
      <w:r w:rsidR="00556093">
        <w:t>ly</w:t>
      </w:r>
      <w:r w:rsidR="00BE44D0">
        <w:t xml:space="preserve"> </w:t>
      </w:r>
      <w:r>
        <w:t xml:space="preserve">or </w:t>
      </w:r>
      <w:r w:rsidR="00556093">
        <w:t xml:space="preserve">aggressively </w:t>
      </w:r>
      <w:r>
        <w:t xml:space="preserve">growing </w:t>
      </w:r>
      <w:r w:rsidR="00BE44D0">
        <w:t>with</w:t>
      </w:r>
      <w:r w:rsidR="00DC3FAD">
        <w:t xml:space="preserve"> excessive hormone secretion </w:t>
      </w:r>
      <w:r w:rsidR="00C66AEE">
        <w:t>often adversely affecting</w:t>
      </w:r>
      <w:r>
        <w:t xml:space="preserve"> NET </w:t>
      </w:r>
      <w:r w:rsidR="00DC3FAD">
        <w:t>patient</w:t>
      </w:r>
      <w:r w:rsidR="00C66AEE">
        <w:t>’</w:t>
      </w:r>
      <w:r>
        <w:t>s</w:t>
      </w:r>
      <w:r w:rsidR="00C66AEE">
        <w:t xml:space="preserve"> </w:t>
      </w:r>
      <w:r w:rsidR="00FD26F1">
        <w:t xml:space="preserve">quality of life </w:t>
      </w:r>
      <w:r w:rsidR="00556093">
        <w:t>in lower-grade tumours</w:t>
      </w:r>
      <w:r w:rsidR="00A36B38">
        <w:t>,</w:t>
      </w:r>
      <w:r w:rsidR="00556093">
        <w:t xml:space="preserve"> while</w:t>
      </w:r>
      <w:r w:rsidR="00345C97">
        <w:t xml:space="preserve"> high-grade tumours cause compromise of organ function and tissue integrity leading to premature death</w:t>
      </w:r>
      <w:r>
        <w:t xml:space="preserve">. </w:t>
      </w:r>
      <w:r w:rsidR="00E46F6B">
        <w:t>A</w:t>
      </w:r>
      <w:r w:rsidR="00C73906">
        <w:t>round</w:t>
      </w:r>
      <w:r w:rsidR="00DC60D9">
        <w:t xml:space="preserve"> </w:t>
      </w:r>
      <w:r w:rsidR="00C73906">
        <w:t>5</w:t>
      </w:r>
      <w:r w:rsidR="00DC60D9">
        <w:t>0% of</w:t>
      </w:r>
      <w:r w:rsidR="00432F4F">
        <w:t xml:space="preserve"> patients</w:t>
      </w:r>
      <w:r w:rsidR="00345C97">
        <w:t xml:space="preserve"> have</w:t>
      </w:r>
      <w:r w:rsidR="00A36B38">
        <w:t xml:space="preserve"> advanced</w:t>
      </w:r>
      <w:r w:rsidR="00FD26F1">
        <w:t xml:space="preserve"> and already</w:t>
      </w:r>
      <w:r w:rsidR="00C73906">
        <w:t xml:space="preserve"> incurable </w:t>
      </w:r>
      <w:r w:rsidR="00816B8B">
        <w:t>disease</w:t>
      </w:r>
      <w:r w:rsidR="00345C97">
        <w:t xml:space="preserve"> at diagnosis</w:t>
      </w:r>
      <w:r w:rsidR="008B1C96">
        <w:t xml:space="preserve">. </w:t>
      </w:r>
    </w:p>
    <w:p w14:paraId="70493771" w14:textId="77777777" w:rsidR="002B68FA" w:rsidRDefault="002B68FA" w:rsidP="008F1188">
      <w:pPr>
        <w:spacing w:before="0" w:after="0"/>
        <w:ind w:left="360"/>
      </w:pPr>
    </w:p>
    <w:p w14:paraId="066BBAE8" w14:textId="0AFB2EF2" w:rsidR="00845AB2" w:rsidRPr="00845AB2" w:rsidRDefault="00A36B38" w:rsidP="008F1188">
      <w:pPr>
        <w:spacing w:before="0" w:after="0"/>
        <w:ind w:left="360"/>
        <w:rPr>
          <w:rFonts w:ascii="Helvetica" w:eastAsia="Times New Roman" w:hAnsi="Helvetica" w:cs="Times New Roman"/>
          <w:color w:val="FFFFFF"/>
          <w:sz w:val="30"/>
          <w:szCs w:val="30"/>
          <w:lang w:eastAsia="en-GB"/>
        </w:rPr>
      </w:pPr>
      <w:r>
        <w:t>The long-acting formulations of the somatostatin analog</w:t>
      </w:r>
      <w:r w:rsidR="00BE42F2">
        <w:t>ue</w:t>
      </w:r>
      <w:r>
        <w:t xml:space="preserve">s are the mainstay of symptomatic treatment </w:t>
      </w:r>
      <w:r w:rsidR="00E46F6B">
        <w:t>for</w:t>
      </w:r>
      <w:r>
        <w:t xml:space="preserve"> </w:t>
      </w:r>
      <w:r w:rsidR="00E46F6B">
        <w:t>hormonal dysregulation</w:t>
      </w:r>
      <w:r>
        <w:t xml:space="preserve"> and delay disease progression</w:t>
      </w:r>
      <w:r w:rsidR="00E46F6B">
        <w:t xml:space="preserve"> but</w:t>
      </w:r>
      <w:r w:rsidR="00345C97">
        <w:t xml:space="preserve"> eventually </w:t>
      </w:r>
      <w:r w:rsidR="00E46F6B">
        <w:t>fail</w:t>
      </w:r>
      <w:r w:rsidR="00345C97">
        <w:t xml:space="preserve">. </w:t>
      </w:r>
      <w:r>
        <w:t>Thereafter</w:t>
      </w:r>
      <w:r w:rsidR="008839CE">
        <w:t>, t</w:t>
      </w:r>
      <w:r w:rsidR="008B1C96">
        <w:t xml:space="preserve">he highly complex array of clinical management problems presented by </w:t>
      </w:r>
      <w:r w:rsidR="00636F48">
        <w:t xml:space="preserve">advanced stage </w:t>
      </w:r>
      <w:r w:rsidR="008B1C96">
        <w:t xml:space="preserve">NET patients necessitates highly individualised </w:t>
      </w:r>
      <w:r w:rsidR="00636F48">
        <w:t xml:space="preserve">care provided by experienced multi-disciplinary healthcare teams </w:t>
      </w:r>
      <w:r w:rsidR="00055FC7">
        <w:t xml:space="preserve">(MDT) </w:t>
      </w:r>
      <w:r w:rsidR="00636F48">
        <w:t>to achieve optimal patient outcomes.</w:t>
      </w:r>
      <w:r>
        <w:t xml:space="preserve"> </w:t>
      </w:r>
    </w:p>
    <w:p w14:paraId="27296CD6"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9A36F59" w14:textId="2E8A213C" w:rsidR="00515D40" w:rsidRDefault="00411855" w:rsidP="00432D5F">
      <w:pPr>
        <w:ind w:left="360"/>
      </w:pPr>
      <w:r>
        <w:t xml:space="preserve">The service </w:t>
      </w:r>
      <w:r w:rsidR="00B940D2">
        <w:t>is</w:t>
      </w:r>
      <w:r>
        <w:t xml:space="preserve"> </w:t>
      </w:r>
      <w:r w:rsidR="00D42DF6">
        <w:t xml:space="preserve">a precision medicine </w:t>
      </w:r>
      <w:r w:rsidR="00B940D2">
        <w:t>approach</w:t>
      </w:r>
      <w:r w:rsidR="00D42DF6">
        <w:t xml:space="preserve"> </w:t>
      </w:r>
      <w:r w:rsidR="00176620">
        <w:t>for</w:t>
      </w:r>
      <w:r w:rsidR="00D42DF6">
        <w:t xml:space="preserve"> </w:t>
      </w:r>
      <w:proofErr w:type="spellStart"/>
      <w:r w:rsidR="00D42DF6">
        <w:t>personal</w:t>
      </w:r>
      <w:r w:rsidR="00176620">
        <w:t>ed</w:t>
      </w:r>
      <w:proofErr w:type="spellEnd"/>
      <w:r w:rsidR="00D42DF6">
        <w:t xml:space="preserve"> treatment of </w:t>
      </w:r>
      <w:r w:rsidR="00B940D2">
        <w:t>patients</w:t>
      </w:r>
      <w:r w:rsidR="009D2974">
        <w:t xml:space="preserve"> with advanced NET</w:t>
      </w:r>
      <w:r w:rsidR="00793FFD">
        <w:t xml:space="preserve"> and H</w:t>
      </w:r>
      <w:r w:rsidR="00BE42F2">
        <w:t>-</w:t>
      </w:r>
      <w:r w:rsidR="00793FFD">
        <w:t>SST</w:t>
      </w:r>
      <w:r w:rsidR="00BE42F2">
        <w:t>R</w:t>
      </w:r>
      <w:r w:rsidR="00176620">
        <w:t>.</w:t>
      </w:r>
    </w:p>
    <w:p w14:paraId="0EDB12BE" w14:textId="70B3A490" w:rsidR="00D42DF6" w:rsidRDefault="00515D40" w:rsidP="00432D5F">
      <w:pPr>
        <w:ind w:left="360"/>
      </w:pPr>
      <w:r w:rsidRPr="00411855">
        <w:rPr>
          <w:vertAlign w:val="superscript"/>
        </w:rPr>
        <w:t>177</w:t>
      </w:r>
      <w:r>
        <w:t>Lutetium(</w:t>
      </w:r>
      <w:proofErr w:type="spellStart"/>
      <w:r>
        <w:t>nca</w:t>
      </w:r>
      <w:proofErr w:type="spellEnd"/>
      <w:r>
        <w:t xml:space="preserve">) </w:t>
      </w:r>
      <w:proofErr w:type="spellStart"/>
      <w:r>
        <w:t>Octreotate</w:t>
      </w:r>
      <w:proofErr w:type="spellEnd"/>
      <w:r>
        <w:t xml:space="preserve"> </w:t>
      </w:r>
      <w:r w:rsidR="00173897">
        <w:t xml:space="preserve">produced by </w:t>
      </w:r>
      <w:r w:rsidR="00A47DA2">
        <w:t xml:space="preserve">TGA Licenced Manufacturer </w:t>
      </w:r>
      <w:r w:rsidR="00173897">
        <w:t>AMT</w:t>
      </w:r>
      <w:r>
        <w:t xml:space="preserve"> is a GMP quality radiopharmaceutical administered by infusion to patients with progressive or symptomatic NET if molecular imaging techniques demonstrate much higher levels of somatostatin receptors on the majority tumour</w:t>
      </w:r>
      <w:r w:rsidR="00B94F70">
        <w:t>s</w:t>
      </w:r>
      <w:r>
        <w:t xml:space="preserve"> sites </w:t>
      </w:r>
      <w:r w:rsidR="00B94F70">
        <w:t>compared to</w:t>
      </w:r>
      <w:r>
        <w:t xml:space="preserve"> normal tissues. </w:t>
      </w:r>
      <w:r w:rsidR="00B94F70">
        <w:t xml:space="preserve">Selective delivery of high radiation doses to NET </w:t>
      </w:r>
      <w:r w:rsidR="00770A3A">
        <w:t xml:space="preserve">tumour </w:t>
      </w:r>
      <w:r w:rsidR="00B94F70">
        <w:t xml:space="preserve">sites is the mechanism of action of </w:t>
      </w:r>
      <w:r w:rsidR="00173897" w:rsidRPr="00411855">
        <w:rPr>
          <w:vertAlign w:val="superscript"/>
        </w:rPr>
        <w:t>177</w:t>
      </w:r>
      <w:r w:rsidR="00173897">
        <w:t>Lutetium(</w:t>
      </w:r>
      <w:proofErr w:type="spellStart"/>
      <w:r w:rsidR="00173897">
        <w:t>nca</w:t>
      </w:r>
      <w:proofErr w:type="spellEnd"/>
      <w:r w:rsidR="00173897">
        <w:t xml:space="preserve">) </w:t>
      </w:r>
      <w:proofErr w:type="spellStart"/>
      <w:r w:rsidR="00173897">
        <w:t>Octreotate</w:t>
      </w:r>
      <w:proofErr w:type="spellEnd"/>
      <w:r w:rsidR="00B94F70">
        <w:t>.</w:t>
      </w:r>
    </w:p>
    <w:p w14:paraId="37AA6F4C" w14:textId="47F84749" w:rsidR="00B94F70" w:rsidRDefault="00176620" w:rsidP="00432D5F">
      <w:pPr>
        <w:ind w:left="360"/>
      </w:pPr>
      <w:r>
        <w:t xml:space="preserve">The initial treatment cycle </w:t>
      </w:r>
      <w:r w:rsidR="00B94F70">
        <w:t xml:space="preserve">most commonly </w:t>
      </w:r>
      <w:r>
        <w:t>comprises</w:t>
      </w:r>
      <w:r w:rsidR="00B94F70">
        <w:t xml:space="preserve"> 4</w:t>
      </w:r>
      <w:r w:rsidR="00BE42F2">
        <w:t>-5</w:t>
      </w:r>
      <w:r w:rsidR="00B94F70">
        <w:t xml:space="preserve"> </w:t>
      </w:r>
      <w:r w:rsidR="00173897" w:rsidRPr="00411855">
        <w:rPr>
          <w:vertAlign w:val="superscript"/>
        </w:rPr>
        <w:t>177</w:t>
      </w:r>
      <w:r w:rsidR="00173897">
        <w:t>Lutetium(</w:t>
      </w:r>
      <w:proofErr w:type="spellStart"/>
      <w:r w:rsidR="00173897">
        <w:t>nca</w:t>
      </w:r>
      <w:proofErr w:type="spellEnd"/>
      <w:r w:rsidR="00173897">
        <w:t xml:space="preserve">) </w:t>
      </w:r>
      <w:proofErr w:type="spellStart"/>
      <w:r w:rsidR="00173897">
        <w:t>Octreotate</w:t>
      </w:r>
      <w:proofErr w:type="spellEnd"/>
      <w:r w:rsidR="00173897" w:rsidDel="00173897">
        <w:t xml:space="preserve"> </w:t>
      </w:r>
      <w:r w:rsidR="00B94F70">
        <w:t xml:space="preserve">infusions </w:t>
      </w:r>
      <w:r>
        <w:t xml:space="preserve">given </w:t>
      </w:r>
      <w:r w:rsidR="00B94F70">
        <w:t xml:space="preserve">6-8 weeks apart </w:t>
      </w:r>
      <w:r w:rsidR="00770A3A">
        <w:t>and</w:t>
      </w:r>
      <w:r>
        <w:t xml:space="preserve"> responding patients may be re-treated multiple times if symptoms recur or further tumour progression occurs.</w:t>
      </w:r>
    </w:p>
    <w:p w14:paraId="0259F332" w14:textId="06ED2869" w:rsidR="001900FF" w:rsidRDefault="00CC546A" w:rsidP="00432D5F">
      <w:pPr>
        <w:ind w:left="360"/>
      </w:pPr>
      <w:r>
        <w:t>T</w:t>
      </w:r>
      <w:r w:rsidR="001900FF">
        <w:t xml:space="preserve">he wide spectrum of clinical management problems presented by patients with advanced NET and other </w:t>
      </w:r>
      <w:r w:rsidR="00BE42F2">
        <w:t>H-SSTR</w:t>
      </w:r>
      <w:r w:rsidR="00D44919">
        <w:t xml:space="preserve"> </w:t>
      </w:r>
      <w:r w:rsidR="001900FF">
        <w:t>cancer types</w:t>
      </w:r>
      <w:r>
        <w:t xml:space="preserve"> means </w:t>
      </w:r>
      <w:r w:rsidR="00D44919">
        <w:t xml:space="preserve">that experienced </w:t>
      </w:r>
      <w:r w:rsidR="00A47DA2">
        <w:t>MDT</w:t>
      </w:r>
      <w:r w:rsidR="00D44919">
        <w:t xml:space="preserve"> provide the optimal pathway for assessing patient suitability for </w:t>
      </w:r>
      <w:r w:rsidR="00173897" w:rsidRPr="00411855">
        <w:rPr>
          <w:vertAlign w:val="superscript"/>
        </w:rPr>
        <w:t>177</w:t>
      </w:r>
      <w:r w:rsidR="00173897">
        <w:t>Lutetium(</w:t>
      </w:r>
      <w:proofErr w:type="spellStart"/>
      <w:r w:rsidR="00173897">
        <w:t>nca</w:t>
      </w:r>
      <w:proofErr w:type="spellEnd"/>
      <w:r w:rsidR="00173897">
        <w:t xml:space="preserve">) </w:t>
      </w:r>
      <w:proofErr w:type="spellStart"/>
      <w:r w:rsidR="00173897">
        <w:t>Octreotate</w:t>
      </w:r>
      <w:proofErr w:type="spellEnd"/>
      <w:r w:rsidR="00D44919">
        <w:t xml:space="preserve"> </w:t>
      </w:r>
      <w:r w:rsidR="00770A3A">
        <w:t>and/</w:t>
      </w:r>
      <w:r w:rsidR="00D44919">
        <w:t xml:space="preserve">or alternative </w:t>
      </w:r>
      <w:r w:rsidR="001900FF">
        <w:t>treatments inten</w:t>
      </w:r>
      <w:r>
        <w:t xml:space="preserve">ded to control </w:t>
      </w:r>
      <w:r w:rsidR="00D44919">
        <w:t>NET</w:t>
      </w:r>
      <w:r>
        <w:t xml:space="preserve"> progression</w:t>
      </w:r>
      <w:r w:rsidR="00D44919">
        <w:t xml:space="preserve">. </w:t>
      </w:r>
      <w:r>
        <w:t xml:space="preserve"> </w:t>
      </w:r>
    </w:p>
    <w:p w14:paraId="0CFD17CA"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4864BC4" w14:textId="04DBB7FE" w:rsidR="00753C44" w:rsidRDefault="00173897" w:rsidP="00432D5F">
      <w:pPr>
        <w:spacing w:before="0" w:after="0"/>
        <w:ind w:left="360"/>
        <w:rPr>
          <w:szCs w:val="20"/>
        </w:rPr>
      </w:pPr>
      <w:r>
        <w:rPr>
          <w:szCs w:val="20"/>
        </w:rPr>
        <w:fldChar w:fldCharType="begin">
          <w:ffData>
            <w:name w:val="Check1"/>
            <w:enabled/>
            <w:calcOnExit w:val="0"/>
            <w:checkBox>
              <w:sizeAuto/>
              <w:default w:val="1"/>
            </w:checkBox>
          </w:ffData>
        </w:fldChar>
      </w:r>
      <w:r>
        <w:rPr>
          <w:szCs w:val="20"/>
        </w:rPr>
        <w:instrText xml:space="preserve"> </w:instrText>
      </w:r>
      <w:bookmarkStart w:id="2" w:name="Check1"/>
      <w:r>
        <w:rPr>
          <w:szCs w:val="20"/>
        </w:rPr>
        <w:instrText xml:space="preserve">FORMCHECKBOX </w:instrText>
      </w:r>
      <w:r w:rsidR="0034292D">
        <w:rPr>
          <w:szCs w:val="20"/>
        </w:rPr>
      </w:r>
      <w:r w:rsidR="0034292D">
        <w:rPr>
          <w:szCs w:val="20"/>
        </w:rPr>
        <w:fldChar w:fldCharType="separate"/>
      </w:r>
      <w:r>
        <w:rPr>
          <w:szCs w:val="20"/>
        </w:rPr>
        <w:fldChar w:fldCharType="end"/>
      </w:r>
      <w:bookmarkEnd w:id="2"/>
      <w:r w:rsidR="006B6390">
        <w:rPr>
          <w:szCs w:val="20"/>
        </w:rPr>
        <w:t xml:space="preserve"> </w:t>
      </w:r>
      <w:r w:rsidR="00A47DA2">
        <w:rPr>
          <w:szCs w:val="20"/>
        </w:rPr>
        <w:t>Yes</w:t>
      </w:r>
    </w:p>
    <w:p w14:paraId="0F157E90" w14:textId="77777777" w:rsidR="00753C44" w:rsidRPr="00753C44" w:rsidRDefault="006B6390" w:rsidP="00432D5F">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6A5246B"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872E900" w14:textId="77777777" w:rsidR="00753C44" w:rsidRDefault="006B6390" w:rsidP="00432D5F">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7B616D74" w14:textId="16B85C77" w:rsidR="00753C44" w:rsidRPr="00753C44" w:rsidRDefault="00173897" w:rsidP="00432D5F">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6B6390">
        <w:rPr>
          <w:szCs w:val="20"/>
        </w:rPr>
        <w:t xml:space="preserve"> </w:t>
      </w:r>
      <w:r w:rsidR="00753C44" w:rsidRPr="00A47DA2">
        <w:rPr>
          <w:szCs w:val="20"/>
        </w:rPr>
        <w:t>New MBS item(s)</w:t>
      </w:r>
    </w:p>
    <w:p w14:paraId="2E0296C4" w14:textId="77777777" w:rsidR="008F1188" w:rsidRDefault="008F1188">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63B0EDC7" w14:textId="06CAD2B8"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59EE834" w14:textId="7CE21AC0" w:rsidR="003D795C" w:rsidRPr="00CB12EC" w:rsidRDefault="008F1188" w:rsidP="008F1188">
      <w:pPr>
        <w:ind w:firstLine="360"/>
      </w:pPr>
      <w:r>
        <w:t>N/A</w:t>
      </w:r>
    </w:p>
    <w:p w14:paraId="7F4F5A02" w14:textId="142E164B" w:rsidR="008F1188" w:rsidRDefault="006C0843" w:rsidP="008F1188">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71A098C" w14:textId="6AF21022" w:rsidR="008F1188" w:rsidRPr="008F1188" w:rsidRDefault="008F1188" w:rsidP="008F1188">
      <w:pPr>
        <w:ind w:firstLine="360"/>
      </w:pPr>
      <w:r>
        <w:t>N/A</w:t>
      </w:r>
    </w:p>
    <w:p w14:paraId="13C2419C"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E5BAAA2" w14:textId="7E1B7271" w:rsidR="006B6390" w:rsidRPr="008F1188" w:rsidRDefault="001E158E" w:rsidP="008F1188">
      <w:pPr>
        <w:spacing w:before="0" w:after="0"/>
        <w:ind w:left="360"/>
        <w:rPr>
          <w:rStyle w:val="Strong"/>
          <w:b w:val="0"/>
        </w:rPr>
      </w:pPr>
      <w:r w:rsidRPr="008F1188">
        <w:rPr>
          <w:b/>
          <w:szCs w:val="20"/>
        </w:rPr>
        <w:fldChar w:fldCharType="begin">
          <w:ffData>
            <w:name w:val=""/>
            <w:enabled/>
            <w:calcOnExit w:val="0"/>
            <w:checkBox>
              <w:sizeAuto/>
              <w:default w:val="1"/>
            </w:checkBox>
          </w:ffData>
        </w:fldChar>
      </w:r>
      <w:r w:rsidRPr="008F1188">
        <w:rPr>
          <w:b/>
          <w:szCs w:val="20"/>
        </w:rPr>
        <w:instrText xml:space="preserve"> FORMCHECKBOX </w:instrText>
      </w:r>
      <w:r w:rsidR="0034292D">
        <w:rPr>
          <w:b/>
          <w:szCs w:val="20"/>
        </w:rPr>
      </w:r>
      <w:r w:rsidR="0034292D">
        <w:rPr>
          <w:b/>
          <w:szCs w:val="20"/>
        </w:rPr>
        <w:fldChar w:fldCharType="separate"/>
      </w:r>
      <w:r w:rsidRPr="008F1188">
        <w:rPr>
          <w:b/>
          <w:szCs w:val="20"/>
        </w:rPr>
        <w:fldChar w:fldCharType="end"/>
      </w:r>
      <w:r w:rsidR="006B6390" w:rsidRPr="008F1188">
        <w:rPr>
          <w:b/>
          <w:szCs w:val="20"/>
        </w:rPr>
        <w:t xml:space="preserve"> </w:t>
      </w:r>
      <w:r w:rsidR="006B6390" w:rsidRPr="008F1188">
        <w:rPr>
          <w:rStyle w:val="Strong"/>
          <w:b w:val="0"/>
        </w:rPr>
        <w:t>A new item which also seeks to allow access to the MBS for a specific health practitioner group</w:t>
      </w:r>
    </w:p>
    <w:p w14:paraId="3DADBBBA" w14:textId="77777777" w:rsidR="006B6390" w:rsidRPr="008F1188" w:rsidRDefault="006B6390" w:rsidP="008F1188">
      <w:pPr>
        <w:spacing w:before="0" w:after="0"/>
        <w:ind w:left="360"/>
        <w:rPr>
          <w:rStyle w:val="Strong"/>
          <w:b w:val="0"/>
        </w:rPr>
      </w:pPr>
      <w:r w:rsidRPr="008F1188">
        <w:rPr>
          <w:b/>
          <w:szCs w:val="20"/>
        </w:rPr>
        <w:fldChar w:fldCharType="begin">
          <w:ffData>
            <w:name w:val="Check2"/>
            <w:enabled/>
            <w:calcOnExit w:val="0"/>
            <w:checkBox>
              <w:sizeAuto/>
              <w:default w:val="0"/>
            </w:checkBox>
          </w:ffData>
        </w:fldChar>
      </w:r>
      <w:r w:rsidRPr="008F1188">
        <w:rPr>
          <w:b/>
          <w:szCs w:val="20"/>
        </w:rPr>
        <w:instrText xml:space="preserve"> FORMCHECKBOX </w:instrText>
      </w:r>
      <w:r w:rsidR="0034292D">
        <w:rPr>
          <w:b/>
          <w:szCs w:val="20"/>
        </w:rPr>
      </w:r>
      <w:r w:rsidR="0034292D">
        <w:rPr>
          <w:b/>
          <w:szCs w:val="20"/>
        </w:rPr>
        <w:fldChar w:fldCharType="separate"/>
      </w:r>
      <w:r w:rsidRPr="008F1188">
        <w:rPr>
          <w:b/>
          <w:szCs w:val="20"/>
        </w:rPr>
        <w:fldChar w:fldCharType="end"/>
      </w:r>
      <w:r w:rsidRPr="008F1188">
        <w:rPr>
          <w:b/>
          <w:szCs w:val="20"/>
        </w:rPr>
        <w:t xml:space="preserve"> </w:t>
      </w:r>
      <w:r w:rsidRPr="008F1188">
        <w:rPr>
          <w:rStyle w:val="Strong"/>
          <w:b w:val="0"/>
        </w:rPr>
        <w:t>A new item that is proposing a way of clinically delivering a service that is new to the MBS (in terms of new technology and / or population)</w:t>
      </w:r>
    </w:p>
    <w:p w14:paraId="4D07B539" w14:textId="77777777" w:rsidR="006B6390" w:rsidRPr="008F1188" w:rsidRDefault="006B6390" w:rsidP="008F1188">
      <w:pPr>
        <w:spacing w:before="0" w:after="0"/>
        <w:ind w:left="360"/>
        <w:rPr>
          <w:rStyle w:val="Strong"/>
          <w:b w:val="0"/>
        </w:rPr>
      </w:pPr>
      <w:r w:rsidRPr="008F1188">
        <w:rPr>
          <w:b/>
          <w:szCs w:val="20"/>
        </w:rPr>
        <w:fldChar w:fldCharType="begin">
          <w:ffData>
            <w:name w:val="Check2"/>
            <w:enabled/>
            <w:calcOnExit w:val="0"/>
            <w:checkBox>
              <w:sizeAuto/>
              <w:default w:val="0"/>
            </w:checkBox>
          </w:ffData>
        </w:fldChar>
      </w:r>
      <w:r w:rsidRPr="008F1188">
        <w:rPr>
          <w:b/>
          <w:szCs w:val="20"/>
        </w:rPr>
        <w:instrText xml:space="preserve"> FORMCHECKBOX </w:instrText>
      </w:r>
      <w:r w:rsidR="0034292D">
        <w:rPr>
          <w:b/>
          <w:szCs w:val="20"/>
        </w:rPr>
      </w:r>
      <w:r w:rsidR="0034292D">
        <w:rPr>
          <w:b/>
          <w:szCs w:val="20"/>
        </w:rPr>
        <w:fldChar w:fldCharType="separate"/>
      </w:r>
      <w:r w:rsidRPr="008F1188">
        <w:rPr>
          <w:b/>
          <w:szCs w:val="20"/>
        </w:rPr>
        <w:fldChar w:fldCharType="end"/>
      </w:r>
      <w:r w:rsidRPr="008F1188">
        <w:rPr>
          <w:b/>
          <w:szCs w:val="20"/>
        </w:rPr>
        <w:t xml:space="preserve"> </w:t>
      </w:r>
      <w:r w:rsidRPr="008F1188">
        <w:rPr>
          <w:rStyle w:val="Strong"/>
          <w:b w:val="0"/>
        </w:rPr>
        <w:t>A new item for a specific single consultation item</w:t>
      </w:r>
    </w:p>
    <w:p w14:paraId="3BC01FB4" w14:textId="77777777" w:rsidR="006B6390" w:rsidRPr="008F1188" w:rsidRDefault="006B6390" w:rsidP="008F1188">
      <w:pPr>
        <w:spacing w:before="0" w:after="0"/>
        <w:ind w:left="360"/>
        <w:rPr>
          <w:rStyle w:val="Strong"/>
          <w:b w:val="0"/>
        </w:rPr>
      </w:pPr>
      <w:r w:rsidRPr="008F1188">
        <w:rPr>
          <w:b/>
          <w:szCs w:val="20"/>
        </w:rPr>
        <w:fldChar w:fldCharType="begin">
          <w:ffData>
            <w:name w:val="Check2"/>
            <w:enabled/>
            <w:calcOnExit w:val="0"/>
            <w:checkBox>
              <w:sizeAuto/>
              <w:default w:val="0"/>
            </w:checkBox>
          </w:ffData>
        </w:fldChar>
      </w:r>
      <w:r w:rsidRPr="008F1188">
        <w:rPr>
          <w:b/>
          <w:szCs w:val="20"/>
        </w:rPr>
        <w:instrText xml:space="preserve"> FORMCHECKBOX </w:instrText>
      </w:r>
      <w:r w:rsidR="0034292D">
        <w:rPr>
          <w:b/>
          <w:szCs w:val="20"/>
        </w:rPr>
      </w:r>
      <w:r w:rsidR="0034292D">
        <w:rPr>
          <w:b/>
          <w:szCs w:val="20"/>
        </w:rPr>
        <w:fldChar w:fldCharType="separate"/>
      </w:r>
      <w:r w:rsidRPr="008F1188">
        <w:rPr>
          <w:b/>
          <w:szCs w:val="20"/>
        </w:rPr>
        <w:fldChar w:fldCharType="end"/>
      </w:r>
      <w:r w:rsidRPr="008F1188">
        <w:rPr>
          <w:b/>
          <w:szCs w:val="20"/>
        </w:rPr>
        <w:t xml:space="preserve"> </w:t>
      </w:r>
      <w:r w:rsidRPr="008F1188">
        <w:rPr>
          <w:rStyle w:val="Strong"/>
          <w:b w:val="0"/>
        </w:rPr>
        <w:t>A new item for a global consultation item(s)</w:t>
      </w:r>
    </w:p>
    <w:p w14:paraId="548D079E"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16A2053" w14:textId="77777777" w:rsidR="000A5B32" w:rsidRDefault="000A5B32" w:rsidP="008F1188">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sidRPr="000A5B32">
        <w:rPr>
          <w:szCs w:val="20"/>
        </w:rPr>
        <w:t xml:space="preserve"> Yes</w:t>
      </w:r>
    </w:p>
    <w:p w14:paraId="1F66E785" w14:textId="45E4897D" w:rsidR="00626365" w:rsidRDefault="001E158E" w:rsidP="008F1188">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0A5B32" w:rsidRPr="000A5B32">
        <w:rPr>
          <w:szCs w:val="20"/>
        </w:rPr>
        <w:t xml:space="preserve"> </w:t>
      </w:r>
      <w:r w:rsidR="000A5B32" w:rsidRPr="00A47DA2">
        <w:rPr>
          <w:szCs w:val="20"/>
        </w:rPr>
        <w:t>No</w:t>
      </w:r>
    </w:p>
    <w:p w14:paraId="3181E6DF"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5F82C5E3" w14:textId="0386192A" w:rsidR="000A5B32" w:rsidRPr="00855944" w:rsidRDefault="00432D5F" w:rsidP="00432D5F">
      <w:pPr>
        <w:ind w:left="284" w:firstLine="76"/>
        <w:rPr>
          <w:rStyle w:val="Strong"/>
        </w:rPr>
      </w:pPr>
      <w:r>
        <w:t>N/A</w:t>
      </w:r>
    </w:p>
    <w:p w14:paraId="36EE7D3E" w14:textId="77777777" w:rsidR="000B3CD0" w:rsidRDefault="000B3CD0" w:rsidP="00730C04">
      <w:pPr>
        <w:pStyle w:val="Heading2"/>
      </w:pPr>
      <w:r w:rsidRPr="00154B00">
        <w:t xml:space="preserve">What is the type of </w:t>
      </w:r>
      <w:r w:rsidR="00B45CA5">
        <w:t xml:space="preserve">medical </w:t>
      </w:r>
      <w:r w:rsidRPr="00154B00">
        <w:t>service</w:t>
      </w:r>
      <w:r w:rsidR="00B45CA5">
        <w:t>/technology?</w:t>
      </w:r>
    </w:p>
    <w:p w14:paraId="76477CF3" w14:textId="1C02C73C" w:rsidR="00A6594E" w:rsidRDefault="00A1796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34292D">
        <w:rPr>
          <w:b/>
          <w:szCs w:val="20"/>
        </w:rPr>
      </w:r>
      <w:r w:rsidR="0034292D">
        <w:rPr>
          <w:b/>
          <w:szCs w:val="20"/>
        </w:rPr>
        <w:fldChar w:fldCharType="separate"/>
      </w:r>
      <w:r>
        <w:rPr>
          <w:b/>
          <w:szCs w:val="20"/>
        </w:rPr>
        <w:fldChar w:fldCharType="end"/>
      </w:r>
      <w:r w:rsidR="00A6594E" w:rsidRPr="0027105F">
        <w:rPr>
          <w:b/>
          <w:szCs w:val="20"/>
        </w:rPr>
        <w:t xml:space="preserve"> </w:t>
      </w:r>
      <w:r w:rsidR="00A6594E" w:rsidRPr="00A47DA2">
        <w:t>Therapeutic medical service</w:t>
      </w:r>
    </w:p>
    <w:p w14:paraId="2F9176C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4292D">
        <w:rPr>
          <w:b/>
          <w:szCs w:val="20"/>
        </w:rPr>
      </w:r>
      <w:r w:rsidR="0034292D">
        <w:rPr>
          <w:b/>
          <w:szCs w:val="20"/>
        </w:rPr>
        <w:fldChar w:fldCharType="separate"/>
      </w:r>
      <w:r w:rsidRPr="0027105F">
        <w:rPr>
          <w:b/>
          <w:szCs w:val="20"/>
        </w:rPr>
        <w:fldChar w:fldCharType="end"/>
      </w:r>
      <w:r w:rsidRPr="0027105F">
        <w:rPr>
          <w:b/>
          <w:szCs w:val="20"/>
        </w:rPr>
        <w:t xml:space="preserve"> </w:t>
      </w:r>
      <w:r>
        <w:t>Investigative medical service</w:t>
      </w:r>
    </w:p>
    <w:p w14:paraId="7A869DE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4292D">
        <w:rPr>
          <w:b/>
          <w:szCs w:val="20"/>
        </w:rPr>
      </w:r>
      <w:r w:rsidR="0034292D">
        <w:rPr>
          <w:b/>
          <w:szCs w:val="20"/>
        </w:rPr>
        <w:fldChar w:fldCharType="separate"/>
      </w:r>
      <w:r w:rsidRPr="0027105F">
        <w:rPr>
          <w:b/>
          <w:szCs w:val="20"/>
        </w:rPr>
        <w:fldChar w:fldCharType="end"/>
      </w:r>
      <w:r w:rsidRPr="0027105F">
        <w:rPr>
          <w:b/>
          <w:szCs w:val="20"/>
        </w:rPr>
        <w:t xml:space="preserve"> </w:t>
      </w:r>
      <w:r>
        <w:t>Single consultation medical service</w:t>
      </w:r>
    </w:p>
    <w:p w14:paraId="1964E9E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4292D">
        <w:rPr>
          <w:b/>
          <w:szCs w:val="20"/>
        </w:rPr>
      </w:r>
      <w:r w:rsidR="0034292D">
        <w:rPr>
          <w:b/>
          <w:szCs w:val="20"/>
        </w:rPr>
        <w:fldChar w:fldCharType="separate"/>
      </w:r>
      <w:r w:rsidRPr="0027105F">
        <w:rPr>
          <w:b/>
          <w:szCs w:val="20"/>
        </w:rPr>
        <w:fldChar w:fldCharType="end"/>
      </w:r>
      <w:r w:rsidRPr="0027105F">
        <w:rPr>
          <w:b/>
          <w:szCs w:val="20"/>
        </w:rPr>
        <w:t xml:space="preserve"> </w:t>
      </w:r>
      <w:r>
        <w:t>Global consultation medical service</w:t>
      </w:r>
    </w:p>
    <w:p w14:paraId="4F6D4ED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4292D">
        <w:rPr>
          <w:b/>
          <w:szCs w:val="20"/>
        </w:rPr>
      </w:r>
      <w:r w:rsidR="0034292D">
        <w:rPr>
          <w:b/>
          <w:szCs w:val="20"/>
        </w:rPr>
        <w:fldChar w:fldCharType="separate"/>
      </w:r>
      <w:r w:rsidRPr="0027105F">
        <w:rPr>
          <w:b/>
          <w:szCs w:val="20"/>
        </w:rPr>
        <w:fldChar w:fldCharType="end"/>
      </w:r>
      <w:r w:rsidRPr="0027105F">
        <w:rPr>
          <w:b/>
          <w:szCs w:val="20"/>
        </w:rPr>
        <w:t xml:space="preserve"> </w:t>
      </w:r>
      <w:r>
        <w:t>Allied health service</w:t>
      </w:r>
    </w:p>
    <w:p w14:paraId="2F76F38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4292D">
        <w:rPr>
          <w:b/>
          <w:szCs w:val="20"/>
        </w:rPr>
      </w:r>
      <w:r w:rsidR="0034292D">
        <w:rPr>
          <w:b/>
          <w:szCs w:val="20"/>
        </w:rPr>
        <w:fldChar w:fldCharType="separate"/>
      </w:r>
      <w:r w:rsidRPr="0027105F">
        <w:rPr>
          <w:b/>
          <w:szCs w:val="20"/>
        </w:rPr>
        <w:fldChar w:fldCharType="end"/>
      </w:r>
      <w:r w:rsidRPr="0027105F">
        <w:rPr>
          <w:b/>
          <w:szCs w:val="20"/>
        </w:rPr>
        <w:t xml:space="preserve"> </w:t>
      </w:r>
      <w:r>
        <w:t>Co-dependent technology</w:t>
      </w:r>
    </w:p>
    <w:p w14:paraId="0169AFA8"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4292D">
        <w:rPr>
          <w:b/>
          <w:szCs w:val="20"/>
        </w:rPr>
      </w:r>
      <w:r w:rsidR="0034292D">
        <w:rPr>
          <w:b/>
          <w:szCs w:val="20"/>
        </w:rPr>
        <w:fldChar w:fldCharType="separate"/>
      </w:r>
      <w:r w:rsidRPr="0027105F">
        <w:rPr>
          <w:b/>
          <w:szCs w:val="20"/>
        </w:rPr>
        <w:fldChar w:fldCharType="end"/>
      </w:r>
      <w:r w:rsidRPr="0027105F">
        <w:rPr>
          <w:b/>
          <w:szCs w:val="20"/>
        </w:rPr>
        <w:t xml:space="preserve"> </w:t>
      </w:r>
      <w:r>
        <w:t>Hybrid health technology</w:t>
      </w:r>
    </w:p>
    <w:p w14:paraId="4E846E30" w14:textId="2148FFCB"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0889CA3E" w14:textId="427B1469" w:rsidR="008F1188" w:rsidRPr="008F1188" w:rsidRDefault="008F1188" w:rsidP="008F1188">
      <w:pPr>
        <w:ind w:left="360"/>
      </w:pPr>
      <w:r>
        <w:t>N/A</w:t>
      </w:r>
    </w:p>
    <w:p w14:paraId="62855C6E"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137CC37" w14:textId="46B08CFB" w:rsidR="00FE16C1" w:rsidRDefault="00A1796B" w:rsidP="008F1188">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34292D">
        <w:rPr>
          <w:b/>
          <w:szCs w:val="20"/>
        </w:rPr>
      </w:r>
      <w:r w:rsidR="0034292D">
        <w:rPr>
          <w:b/>
          <w:szCs w:val="20"/>
        </w:rPr>
        <w:fldChar w:fldCharType="separate"/>
      </w:r>
      <w:r>
        <w:rPr>
          <w:b/>
          <w:szCs w:val="20"/>
        </w:rPr>
        <w:fldChar w:fldCharType="end"/>
      </w:r>
      <w:r w:rsidR="00FE16C1" w:rsidRPr="0027105F">
        <w:rPr>
          <w:b/>
          <w:szCs w:val="20"/>
        </w:rPr>
        <w:t xml:space="preserve"> </w:t>
      </w:r>
      <w:r w:rsidR="00FE16C1" w:rsidRPr="00A47DA2">
        <w:t>Pharmaceutical / Biological</w:t>
      </w:r>
    </w:p>
    <w:p w14:paraId="44A2352B" w14:textId="77777777" w:rsidR="00FE16C1" w:rsidRDefault="00FE16C1" w:rsidP="008F1188">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4292D">
        <w:rPr>
          <w:b/>
          <w:szCs w:val="20"/>
        </w:rPr>
      </w:r>
      <w:r w:rsidR="0034292D">
        <w:rPr>
          <w:b/>
          <w:szCs w:val="20"/>
        </w:rPr>
        <w:fldChar w:fldCharType="separate"/>
      </w:r>
      <w:r w:rsidRPr="0027105F">
        <w:rPr>
          <w:b/>
          <w:szCs w:val="20"/>
        </w:rPr>
        <w:fldChar w:fldCharType="end"/>
      </w:r>
      <w:r w:rsidRPr="0027105F">
        <w:rPr>
          <w:b/>
          <w:szCs w:val="20"/>
        </w:rPr>
        <w:t xml:space="preserve"> </w:t>
      </w:r>
      <w:r>
        <w:t>Prosthesis or device</w:t>
      </w:r>
    </w:p>
    <w:p w14:paraId="1DDE8EA3" w14:textId="77777777" w:rsidR="00FE16C1" w:rsidRPr="00FE16C1" w:rsidRDefault="00FE16C1" w:rsidP="008F1188">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4292D">
        <w:rPr>
          <w:b/>
          <w:szCs w:val="20"/>
        </w:rPr>
      </w:r>
      <w:r w:rsidR="0034292D">
        <w:rPr>
          <w:b/>
          <w:szCs w:val="20"/>
        </w:rPr>
        <w:fldChar w:fldCharType="separate"/>
      </w:r>
      <w:r w:rsidRPr="0027105F">
        <w:rPr>
          <w:b/>
          <w:szCs w:val="20"/>
        </w:rPr>
        <w:fldChar w:fldCharType="end"/>
      </w:r>
      <w:r w:rsidRPr="0027105F">
        <w:rPr>
          <w:b/>
          <w:szCs w:val="20"/>
        </w:rPr>
        <w:t xml:space="preserve"> </w:t>
      </w:r>
      <w:r w:rsidRPr="009E5EEE">
        <w:t>No</w:t>
      </w:r>
    </w:p>
    <w:p w14:paraId="7E12B8C9"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2F47F25A" w14:textId="77777777" w:rsidR="00FE16C1" w:rsidRDefault="00FE16C1" w:rsidP="008F1188">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sidRPr="000A5B32">
        <w:rPr>
          <w:szCs w:val="20"/>
        </w:rPr>
        <w:t xml:space="preserve"> Yes</w:t>
      </w:r>
    </w:p>
    <w:p w14:paraId="76293FEF" w14:textId="211DBD8D" w:rsidR="00FE16C1" w:rsidRPr="00FE16C1" w:rsidRDefault="00A1796B" w:rsidP="008F1188">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FE16C1">
        <w:rPr>
          <w:szCs w:val="20"/>
        </w:rPr>
        <w:t xml:space="preserve"> </w:t>
      </w:r>
      <w:r w:rsidR="00FE16C1" w:rsidRPr="00A47DA2">
        <w:rPr>
          <w:szCs w:val="20"/>
        </w:rPr>
        <w:t>No</w:t>
      </w:r>
      <w:r w:rsidR="00FE16C1">
        <w:rPr>
          <w:szCs w:val="20"/>
        </w:rPr>
        <w:t xml:space="preserve">  </w:t>
      </w:r>
    </w:p>
    <w:p w14:paraId="27869A7A"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F9B984C" w14:textId="77777777" w:rsidR="00432D5F" w:rsidRPr="00855944" w:rsidRDefault="00432D5F" w:rsidP="00432D5F">
      <w:pPr>
        <w:ind w:left="360"/>
        <w:rPr>
          <w:rStyle w:val="Strong"/>
        </w:rPr>
      </w:pPr>
      <w:r>
        <w:t>N/A</w:t>
      </w:r>
    </w:p>
    <w:p w14:paraId="61F4C465"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61F3687" w14:textId="77777777" w:rsidR="007E39E4" w:rsidRDefault="007E39E4" w:rsidP="00432D5F">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767B98BB" w14:textId="4371877A" w:rsidR="001E6919" w:rsidRDefault="00A1796B" w:rsidP="00432D5F">
      <w:pPr>
        <w:spacing w:before="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1E6919">
        <w:rPr>
          <w:szCs w:val="20"/>
        </w:rPr>
        <w:t xml:space="preserve"> </w:t>
      </w:r>
      <w:r w:rsidR="001E6919" w:rsidRPr="00A47DA2">
        <w:rPr>
          <w:szCs w:val="20"/>
        </w:rPr>
        <w:t>No</w:t>
      </w:r>
    </w:p>
    <w:p w14:paraId="3AA47E8E"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76E4880B" w14:textId="77777777" w:rsidR="00432D5F" w:rsidRPr="00855944" w:rsidRDefault="00432D5F" w:rsidP="00432D5F">
      <w:pPr>
        <w:ind w:left="360"/>
        <w:rPr>
          <w:rStyle w:val="Strong"/>
        </w:rPr>
      </w:pPr>
      <w:r>
        <w:t>N/A</w:t>
      </w:r>
    </w:p>
    <w:p w14:paraId="1B040BFB" w14:textId="77777777"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E6B11A9" w14:textId="77777777" w:rsidR="00432D5F" w:rsidRPr="00855944" w:rsidRDefault="00432D5F" w:rsidP="00432D5F">
      <w:pPr>
        <w:ind w:left="284" w:firstLine="76"/>
        <w:rPr>
          <w:rStyle w:val="Strong"/>
        </w:rPr>
      </w:pPr>
      <w:r>
        <w:t>N/A</w:t>
      </w:r>
    </w:p>
    <w:p w14:paraId="0B4C9983"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7F826EC0" w14:textId="5D5A5ECD" w:rsidR="009939DC" w:rsidRPr="00432D5F" w:rsidRDefault="00432D5F" w:rsidP="00432D5F">
      <w:pPr>
        <w:ind w:left="360"/>
        <w:rPr>
          <w:rFonts w:ascii="Calibri" w:eastAsia="Calibri" w:hAnsi="Calibri" w:cs="Times New Roman"/>
          <w:b/>
        </w:rPr>
      </w:pPr>
      <w:r>
        <w:t>N/A</w:t>
      </w:r>
    </w:p>
    <w:p w14:paraId="49DFBF79"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6EF3D2E9" w14:textId="77777777" w:rsidR="00432D5F" w:rsidRPr="00855944" w:rsidRDefault="00432D5F" w:rsidP="00432D5F">
      <w:pPr>
        <w:ind w:left="360"/>
        <w:rPr>
          <w:rStyle w:val="Strong"/>
        </w:rPr>
      </w:pPr>
      <w:r>
        <w:t>N/A</w:t>
      </w:r>
    </w:p>
    <w:p w14:paraId="640E14AD"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0B3C17A7" w14:textId="77777777" w:rsidR="009939DC" w:rsidRDefault="009939DC" w:rsidP="00432D5F">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sidRPr="000A5B32">
        <w:rPr>
          <w:szCs w:val="20"/>
        </w:rPr>
        <w:t xml:space="preserve"> </w:t>
      </w:r>
      <w:r w:rsidRPr="00794976">
        <w:rPr>
          <w:szCs w:val="20"/>
        </w:rPr>
        <w:t>Yes</w:t>
      </w:r>
    </w:p>
    <w:p w14:paraId="1B641D3D" w14:textId="77777777" w:rsidR="009939DC" w:rsidRPr="001E6958" w:rsidRDefault="009939DC" w:rsidP="00432D5F">
      <w:pPr>
        <w:spacing w:before="0" w:after="0"/>
        <w:ind w:left="360"/>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No  </w:t>
      </w:r>
    </w:p>
    <w:p w14:paraId="6AC27025" w14:textId="03B6884D" w:rsidR="009939DC" w:rsidRDefault="00016B6E" w:rsidP="00530204">
      <w:pPr>
        <w:pStyle w:val="Heading2"/>
        <w:numPr>
          <w:ilvl w:val="0"/>
          <w:numId w:val="26"/>
        </w:numPr>
      </w:pPr>
      <w:r w:rsidRPr="009939DC">
        <w:t>If yes, please provide the name(s) of the spon</w:t>
      </w:r>
      <w:r w:rsidR="009939DC">
        <w:t>sor(s) and / or manufacturer(s):</w:t>
      </w:r>
    </w:p>
    <w:p w14:paraId="0C97A7D9" w14:textId="77777777" w:rsidR="00794976" w:rsidRPr="00794976" w:rsidRDefault="00794976" w:rsidP="00794976"/>
    <w:p w14:paraId="1D576339"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C8650C2" w14:textId="2A1B9C95" w:rsidR="009939DC" w:rsidRDefault="009939DC" w:rsidP="00A6491A">
      <w:pPr>
        <w:spacing w:before="0" w:after="0"/>
        <w:ind w:left="284"/>
      </w:pPr>
      <w:r>
        <w:t>Single use consumables:</w:t>
      </w:r>
      <w:r w:rsidR="00D74D2C" w:rsidRPr="00D74D2C">
        <w:t xml:space="preserve"> Gloves/giving sets/syringes/swabs/cannulas/ amino acid infusion/ [177Lu(</w:t>
      </w:r>
      <w:proofErr w:type="spellStart"/>
      <w:r w:rsidR="00D74D2C" w:rsidRPr="00D74D2C">
        <w:t>nca</w:t>
      </w:r>
      <w:proofErr w:type="spellEnd"/>
      <w:r w:rsidR="00D74D2C" w:rsidRPr="00D74D2C">
        <w:t>)</w:t>
      </w:r>
      <w:proofErr w:type="spellStart"/>
      <w:r w:rsidR="00D74D2C" w:rsidRPr="00D74D2C">
        <w:t>Octreotate</w:t>
      </w:r>
      <w:proofErr w:type="spellEnd"/>
      <w:r w:rsidR="00D74D2C" w:rsidRPr="00D74D2C">
        <w:t xml:space="preserve"> injection</w:t>
      </w:r>
      <w:r w:rsidR="00D74D2C">
        <w:t xml:space="preserve"> </w:t>
      </w:r>
    </w:p>
    <w:p w14:paraId="07D4EE28" w14:textId="145A4714" w:rsidR="00F301F1" w:rsidRPr="00855944" w:rsidRDefault="00F301F1" w:rsidP="00A6491A">
      <w:pPr>
        <w:spacing w:before="0" w:after="0"/>
        <w:ind w:left="284"/>
      </w:pPr>
      <w:r w:rsidRPr="00855944">
        <w:br w:type="page"/>
      </w:r>
    </w:p>
    <w:p w14:paraId="0EC1398B"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25C94823"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35E13ADC" w14:textId="525ACB42" w:rsidR="00A26343" w:rsidRPr="00A26343" w:rsidRDefault="00A26343" w:rsidP="00A47DA2">
      <w:pPr>
        <w:spacing w:before="0" w:after="0"/>
        <w:ind w:left="360"/>
        <w:rPr>
          <w:szCs w:val="20"/>
        </w:rPr>
      </w:pPr>
      <w:r w:rsidRPr="00A26343">
        <w:rPr>
          <w:szCs w:val="20"/>
        </w:rPr>
        <w:t>Type of therapeutic good</w:t>
      </w:r>
      <w:r>
        <w:rPr>
          <w:szCs w:val="20"/>
        </w:rPr>
        <w:t xml:space="preserve">: </w:t>
      </w:r>
      <w:r w:rsidR="00562BBE">
        <w:rPr>
          <w:szCs w:val="20"/>
        </w:rPr>
        <w:t xml:space="preserve">Sterile </w:t>
      </w:r>
      <w:r w:rsidR="00562BBE">
        <w:t>r</w:t>
      </w:r>
      <w:r w:rsidR="006D19E8">
        <w:t xml:space="preserve">adioactive </w:t>
      </w:r>
      <w:r w:rsidR="00A47DA2">
        <w:t xml:space="preserve">medicinal product </w:t>
      </w:r>
    </w:p>
    <w:p w14:paraId="1C9BE317" w14:textId="209D9B82" w:rsidR="00A26343" w:rsidRPr="00A26343" w:rsidRDefault="00A26343" w:rsidP="00A47DA2">
      <w:pPr>
        <w:spacing w:before="0" w:after="0"/>
        <w:ind w:left="360"/>
        <w:rPr>
          <w:szCs w:val="20"/>
        </w:rPr>
      </w:pPr>
      <w:r w:rsidRPr="00A26343">
        <w:rPr>
          <w:szCs w:val="20"/>
        </w:rPr>
        <w:t>Manufacturer’s name</w:t>
      </w:r>
      <w:r>
        <w:rPr>
          <w:szCs w:val="20"/>
        </w:rPr>
        <w:t xml:space="preserve">: </w:t>
      </w:r>
      <w:r w:rsidR="006D19E8">
        <w:t>Applied Molecular Therapies</w:t>
      </w:r>
      <w:r w:rsidR="00A47DA2">
        <w:t xml:space="preserve"> Pty Ltd</w:t>
      </w:r>
    </w:p>
    <w:p w14:paraId="2363A2AD" w14:textId="128345FF" w:rsidR="00A26343" w:rsidRDefault="00A26343" w:rsidP="00A47DA2">
      <w:pPr>
        <w:spacing w:before="0" w:after="0"/>
        <w:ind w:left="360"/>
      </w:pPr>
      <w:r w:rsidRPr="00A26343">
        <w:rPr>
          <w:szCs w:val="20"/>
        </w:rPr>
        <w:t>Sponsor’s name</w:t>
      </w:r>
      <w:r>
        <w:rPr>
          <w:szCs w:val="20"/>
        </w:rPr>
        <w:t xml:space="preserve">: </w:t>
      </w:r>
      <w:r w:rsidR="006D19E8">
        <w:t>Applied Molecular Therapies</w:t>
      </w:r>
    </w:p>
    <w:p w14:paraId="40649EF7" w14:textId="77777777" w:rsidR="000E2E02" w:rsidRPr="00A26343" w:rsidRDefault="000E2E02" w:rsidP="00A75D46">
      <w:pPr>
        <w:spacing w:before="0" w:after="0"/>
        <w:rPr>
          <w:szCs w:val="20"/>
        </w:rPr>
      </w:pPr>
    </w:p>
    <w:p w14:paraId="6F333495" w14:textId="3A86D343" w:rsidR="00D56765" w:rsidRDefault="000E2E02" w:rsidP="000F3129">
      <w:pPr>
        <w:pStyle w:val="Heading2"/>
        <w:numPr>
          <w:ilvl w:val="0"/>
          <w:numId w:val="27"/>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6163730D" w14:textId="62477A5F" w:rsidR="00C90AB4" w:rsidRPr="00C90AB4" w:rsidRDefault="00C90AB4" w:rsidP="00A47DA2">
      <w:pPr>
        <w:ind w:left="284"/>
      </w:pPr>
      <w:r w:rsidRPr="00411855">
        <w:rPr>
          <w:vertAlign w:val="superscript"/>
        </w:rPr>
        <w:t>177</w:t>
      </w:r>
      <w:r>
        <w:t>Lutetium(</w:t>
      </w:r>
      <w:proofErr w:type="spellStart"/>
      <w:r>
        <w:t>nca</w:t>
      </w:r>
      <w:proofErr w:type="spellEnd"/>
      <w:r>
        <w:t xml:space="preserve">) </w:t>
      </w:r>
      <w:proofErr w:type="spellStart"/>
      <w:r>
        <w:t>Octreotate</w:t>
      </w:r>
      <w:proofErr w:type="spellEnd"/>
      <w:r>
        <w:t xml:space="preserve"> has not been listed on the ARTG.</w:t>
      </w:r>
    </w:p>
    <w:p w14:paraId="1A752394" w14:textId="77777777" w:rsidR="00704082" w:rsidRDefault="00704082" w:rsidP="00704082">
      <w:pPr>
        <w:ind w:firstLine="352"/>
        <w:contextualSpacing/>
      </w:pPr>
    </w:p>
    <w:p w14:paraId="06A0D15B" w14:textId="77777777" w:rsidR="000E2E02" w:rsidRPr="00154B00" w:rsidRDefault="000E2E02" w:rsidP="000F3129">
      <w:pPr>
        <w:pStyle w:val="Heading2"/>
        <w:numPr>
          <w:ilvl w:val="0"/>
          <w:numId w:val="27"/>
        </w:numPr>
        <w:spacing w:before="0" w:after="0"/>
        <w:ind w:left="709" w:hanging="357"/>
      </w:pPr>
      <w:r>
        <w:t>If a</w:t>
      </w:r>
      <w:r w:rsidRPr="000E2E02">
        <w:t xml:space="preserve"> medical device is involved, has the medical device been classified by TGA as a Class III OR Active Implantable Medical Device (AIMD) under the TGA regulatory scheme for devices?</w:t>
      </w:r>
    </w:p>
    <w:p w14:paraId="628C33A6" w14:textId="77777777" w:rsidR="000E2E02" w:rsidRPr="00615F42" w:rsidRDefault="000E2E02" w:rsidP="00432D5F">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sidRPr="000A5B32">
        <w:rPr>
          <w:szCs w:val="20"/>
        </w:rPr>
        <w:t xml:space="preserve"> </w:t>
      </w:r>
      <w:r w:rsidRPr="00615F42">
        <w:rPr>
          <w:szCs w:val="20"/>
        </w:rPr>
        <w:t>Class III</w:t>
      </w:r>
    </w:p>
    <w:p w14:paraId="37A64BDC" w14:textId="77777777" w:rsidR="000E2E02" w:rsidRPr="00615F42" w:rsidRDefault="000E2E02" w:rsidP="00432D5F">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sidRPr="000A5B32">
        <w:rPr>
          <w:szCs w:val="20"/>
        </w:rPr>
        <w:t xml:space="preserve"> </w:t>
      </w:r>
      <w:r w:rsidRPr="00615F42">
        <w:rPr>
          <w:szCs w:val="20"/>
        </w:rPr>
        <w:t>AIMD</w:t>
      </w:r>
    </w:p>
    <w:p w14:paraId="32662A4A" w14:textId="2EDA0C0C" w:rsidR="000F3129" w:rsidRPr="00154B00" w:rsidRDefault="00C90AB4" w:rsidP="00432D5F">
      <w:pPr>
        <w:spacing w:before="0" w:after="0"/>
        <w:ind w:left="352"/>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0E2E02" w:rsidRPr="000A5B32">
        <w:rPr>
          <w:szCs w:val="20"/>
        </w:rPr>
        <w:t xml:space="preserve"> </w:t>
      </w:r>
      <w:r w:rsidR="000E2E02" w:rsidRPr="00A47DA2">
        <w:rPr>
          <w:szCs w:val="20"/>
        </w:rPr>
        <w:t>N/A</w:t>
      </w:r>
    </w:p>
    <w:p w14:paraId="1EC661F2" w14:textId="77777777" w:rsidR="00562BBE" w:rsidRDefault="000E2E02" w:rsidP="00432D5F">
      <w:pPr>
        <w:pStyle w:val="Heading2"/>
        <w:numPr>
          <w:ilvl w:val="0"/>
          <w:numId w:val="27"/>
        </w:numPr>
        <w:ind w:left="714" w:hanging="357"/>
        <w:contextualSpacing w:val="0"/>
        <w:rPr>
          <w:bCs/>
          <w:lang w:val="en-GB"/>
        </w:rPr>
      </w:pPr>
      <w:r w:rsidRPr="000E2E02">
        <w:rPr>
          <w:bCs/>
          <w:lang w:val="en-GB"/>
        </w:rPr>
        <w:t>Is the therapeutic good classified by TGA for Research Use Only (RUO)?</w:t>
      </w:r>
      <w:r w:rsidR="00562BBE">
        <w:rPr>
          <w:bCs/>
          <w:lang w:val="en-GB"/>
        </w:rPr>
        <w:t xml:space="preserve"> </w:t>
      </w:r>
    </w:p>
    <w:p w14:paraId="563DC5AC" w14:textId="6EDE8F54" w:rsidR="000E2E02" w:rsidRPr="00432D5F" w:rsidRDefault="00562BBE" w:rsidP="00432D5F">
      <w:pPr>
        <w:pStyle w:val="Heading2"/>
        <w:numPr>
          <w:ilvl w:val="0"/>
          <w:numId w:val="0"/>
        </w:numPr>
        <w:ind w:left="357"/>
        <w:contextualSpacing w:val="0"/>
        <w:rPr>
          <w:b w:val="0"/>
          <w:lang w:val="en-GB"/>
        </w:rPr>
      </w:pPr>
      <w:r w:rsidRPr="00A47DA2">
        <w:rPr>
          <w:b w:val="0"/>
          <w:lang w:val="en-GB"/>
        </w:rPr>
        <w:t>No</w:t>
      </w:r>
    </w:p>
    <w:p w14:paraId="1AD5482E" w14:textId="77777777" w:rsidR="003421AE" w:rsidRPr="00A6491A" w:rsidRDefault="0011369B" w:rsidP="00F24FD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33EC762" w14:textId="0D91351B" w:rsidR="00615F42" w:rsidRDefault="00C90AB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615F42">
        <w:rPr>
          <w:szCs w:val="20"/>
        </w:rPr>
        <w:t xml:space="preserve"> </w:t>
      </w:r>
      <w:r>
        <w:rPr>
          <w:szCs w:val="20"/>
        </w:rPr>
        <w:t xml:space="preserve">Yes. </w:t>
      </w:r>
      <w:r w:rsidR="00615F42">
        <w:rPr>
          <w:szCs w:val="20"/>
        </w:rPr>
        <w:t>(</w:t>
      </w:r>
      <w:r>
        <w:rPr>
          <w:szCs w:val="20"/>
        </w:rPr>
        <w:t>Please see accompany letter from TGA</w:t>
      </w:r>
      <w:r w:rsidR="00562BBE">
        <w:rPr>
          <w:szCs w:val="20"/>
        </w:rPr>
        <w:t xml:space="preserve"> </w:t>
      </w:r>
      <w:r>
        <w:rPr>
          <w:szCs w:val="20"/>
        </w:rPr>
        <w:t xml:space="preserve">to </w:t>
      </w:r>
      <w:r w:rsidR="00A47DA2">
        <w:rPr>
          <w:szCs w:val="20"/>
        </w:rPr>
        <w:t>Australasian Association of Nuclear Medicine Specialists</w:t>
      </w:r>
      <w:r w:rsidR="00615F42">
        <w:rPr>
          <w:szCs w:val="20"/>
        </w:rPr>
        <w:t>)</w:t>
      </w:r>
    </w:p>
    <w:p w14:paraId="1A73B6B2" w14:textId="77777777" w:rsidR="00F24FD6" w:rsidRDefault="00615F42" w:rsidP="00D56765">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w:t>
      </w:r>
      <w:r w:rsidRPr="00902B61">
        <w:rPr>
          <w:szCs w:val="20"/>
        </w:rPr>
        <w:t>No</w:t>
      </w:r>
    </w:p>
    <w:p w14:paraId="64349811" w14:textId="77777777" w:rsidR="00D56765" w:rsidRPr="00D56765" w:rsidRDefault="00D56765" w:rsidP="00D56765">
      <w:pPr>
        <w:spacing w:before="0" w:after="0"/>
        <w:ind w:left="284"/>
        <w:rPr>
          <w:b/>
          <w:szCs w:val="20"/>
        </w:rPr>
      </w:pPr>
    </w:p>
    <w:p w14:paraId="23A5C19C" w14:textId="679548D8" w:rsidR="00D56765" w:rsidRPr="00D56765" w:rsidRDefault="00FF23B8" w:rsidP="00D56765">
      <w:pPr>
        <w:pStyle w:val="Heading2"/>
        <w:numPr>
          <w:ilvl w:val="0"/>
          <w:numId w:val="28"/>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290134E5" w14:textId="77777777" w:rsidR="00FF23B8" w:rsidRPr="00F24FD6" w:rsidRDefault="00FF23B8" w:rsidP="00432D5F">
      <w:pPr>
        <w:pStyle w:val="Heading2"/>
        <w:numPr>
          <w:ilvl w:val="0"/>
          <w:numId w:val="0"/>
        </w:numPr>
        <w:spacing w:before="0" w:after="0"/>
        <w:ind w:left="436" w:hanging="76"/>
      </w:pPr>
      <w:r w:rsidRPr="00F24FD6">
        <w:fldChar w:fldCharType="begin">
          <w:ffData>
            <w:name w:val="Check1"/>
            <w:enabled/>
            <w:calcOnExit w:val="0"/>
            <w:checkBox>
              <w:sizeAuto/>
              <w:default w:val="0"/>
            </w:checkBox>
          </w:ffData>
        </w:fldChar>
      </w:r>
      <w:r w:rsidRPr="00F24FD6">
        <w:instrText xml:space="preserve"> FORMCHECKBOX </w:instrText>
      </w:r>
      <w:r w:rsidR="0034292D">
        <w:fldChar w:fldCharType="separate"/>
      </w:r>
      <w:r w:rsidRPr="00F24FD6">
        <w:fldChar w:fldCharType="end"/>
      </w:r>
      <w:r w:rsidRPr="00F24FD6">
        <w:t xml:space="preserve"> Yes (if yes, please provide details below)</w:t>
      </w:r>
    </w:p>
    <w:p w14:paraId="5C27E03E" w14:textId="0AE0B5B8" w:rsidR="00FF23B8" w:rsidRPr="00432D5F" w:rsidRDefault="00C90AB4" w:rsidP="00432D5F">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FF23B8">
        <w:rPr>
          <w:szCs w:val="20"/>
        </w:rPr>
        <w:t xml:space="preserve"> </w:t>
      </w:r>
      <w:r w:rsidR="00FF23B8" w:rsidRPr="00A47DA2">
        <w:rPr>
          <w:b/>
          <w:szCs w:val="20"/>
        </w:rPr>
        <w:t>No</w:t>
      </w:r>
      <w:r>
        <w:rPr>
          <w:b/>
          <w:szCs w:val="20"/>
        </w:rPr>
        <w:tab/>
      </w:r>
    </w:p>
    <w:p w14:paraId="4A5CDFD0" w14:textId="77777777" w:rsidR="00FF23B8" w:rsidRPr="00FF23B8" w:rsidRDefault="00FF23B8" w:rsidP="00FF23B8">
      <w:pPr>
        <w:pStyle w:val="ListParagraph"/>
        <w:numPr>
          <w:ilvl w:val="0"/>
          <w:numId w:val="28"/>
        </w:numPr>
        <w:rPr>
          <w:b/>
          <w:szCs w:val="20"/>
        </w:rPr>
      </w:pPr>
      <w:r>
        <w:t xml:space="preserve">If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3350DB29" w14:textId="77777777" w:rsidR="00432D5F" w:rsidRDefault="0047581D" w:rsidP="00432D5F">
      <w:pPr>
        <w:spacing w:before="0" w:after="0"/>
        <w:ind w:firstLine="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Yes (please provide details below)</w:t>
      </w:r>
    </w:p>
    <w:p w14:paraId="5726EBEF" w14:textId="673D3CC2" w:rsidR="0047581D" w:rsidRDefault="00A61C88" w:rsidP="00432D5F">
      <w:pPr>
        <w:spacing w:before="0" w:after="0"/>
        <w:ind w:firstLine="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47581D">
        <w:rPr>
          <w:szCs w:val="20"/>
        </w:rPr>
        <w:t xml:space="preserve"> </w:t>
      </w:r>
      <w:r w:rsidR="0047581D" w:rsidRPr="00A47DA2">
        <w:rPr>
          <w:szCs w:val="20"/>
        </w:rPr>
        <w:t>No</w:t>
      </w:r>
    </w:p>
    <w:p w14:paraId="0B361727" w14:textId="77777777" w:rsidR="000A110D" w:rsidRDefault="000A110D" w:rsidP="00971EDB">
      <w:pPr>
        <w:spacing w:before="0" w:after="0"/>
        <w:rPr>
          <w:szCs w:val="20"/>
        </w:rPr>
      </w:pPr>
    </w:p>
    <w:p w14:paraId="10EECA8D" w14:textId="77777777" w:rsidR="00DD308E" w:rsidRDefault="00DD308E">
      <w:pPr>
        <w:rPr>
          <w:b/>
          <w:sz w:val="32"/>
          <w:szCs w:val="32"/>
        </w:rPr>
        <w:sectPr w:rsidR="00DD308E" w:rsidSect="00991EE4">
          <w:footerReference w:type="default" r:id="rId10"/>
          <w:pgSz w:w="11906" w:h="16838"/>
          <w:pgMar w:top="1440" w:right="1440" w:bottom="1440" w:left="1440" w:header="708" w:footer="708" w:gutter="0"/>
          <w:pgNumType w:start="0"/>
          <w:cols w:space="708"/>
          <w:titlePg/>
          <w:docGrid w:linePitch="360"/>
        </w:sectPr>
      </w:pPr>
    </w:p>
    <w:p w14:paraId="33DD35A7"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48600482" w14:textId="1F9E68A2" w:rsidR="00DD308E" w:rsidRPr="00643755" w:rsidRDefault="00643755" w:rsidP="00643755">
      <w:pPr>
        <w:pStyle w:val="Heading2"/>
      </w:pPr>
      <w:r w:rsidRPr="00643755">
        <w:t>Provide one or more recent (published) high quality clinical studies that support use of the proposed health service/technology. At ‘Application Form lodgement’, please do not attach full text articles; just provide a summary.</w:t>
      </w:r>
    </w:p>
    <w:tbl>
      <w:tblPr>
        <w:tblStyle w:val="TableGrid"/>
        <w:tblW w:w="5000" w:type="pct"/>
        <w:tblLook w:val="04A0" w:firstRow="1" w:lastRow="0" w:firstColumn="1" w:lastColumn="0" w:noHBand="0" w:noVBand="1"/>
        <w:tblCaption w:val="Summary of Evidence - Published"/>
      </w:tblPr>
      <w:tblGrid>
        <w:gridCol w:w="470"/>
        <w:gridCol w:w="1337"/>
        <w:gridCol w:w="2210"/>
        <w:gridCol w:w="5125"/>
        <w:gridCol w:w="3572"/>
        <w:gridCol w:w="1234"/>
      </w:tblGrid>
      <w:tr w:rsidR="00EE279D" w14:paraId="11C4006C" w14:textId="77777777" w:rsidTr="008F1188">
        <w:trPr>
          <w:cantSplit/>
          <w:tblHeader/>
        </w:trPr>
        <w:tc>
          <w:tcPr>
            <w:tcW w:w="183" w:type="pct"/>
          </w:tcPr>
          <w:p w14:paraId="2699DBF3" w14:textId="77777777" w:rsidR="00DD308E" w:rsidRDefault="00DD308E" w:rsidP="00855944">
            <w:pPr>
              <w:pStyle w:val="TableHEADER"/>
            </w:pPr>
          </w:p>
        </w:tc>
        <w:tc>
          <w:tcPr>
            <w:tcW w:w="720" w:type="pct"/>
          </w:tcPr>
          <w:p w14:paraId="7797C241" w14:textId="59DC80C8" w:rsidR="00DD308E" w:rsidRDefault="00DD308E" w:rsidP="00855944">
            <w:pPr>
              <w:pStyle w:val="TableHEADER"/>
            </w:pPr>
            <w:r>
              <w:t>Type of study design</w:t>
            </w:r>
          </w:p>
        </w:tc>
        <w:tc>
          <w:tcPr>
            <w:tcW w:w="937" w:type="pct"/>
          </w:tcPr>
          <w:p w14:paraId="140434AC" w14:textId="48B38CFF" w:rsidR="00DD308E" w:rsidRDefault="00DD308E" w:rsidP="00855944">
            <w:pPr>
              <w:pStyle w:val="TableHEADER"/>
            </w:pPr>
            <w:r>
              <w:t xml:space="preserve">Title of journal article or research project </w:t>
            </w:r>
          </w:p>
        </w:tc>
        <w:tc>
          <w:tcPr>
            <w:tcW w:w="1970" w:type="pct"/>
          </w:tcPr>
          <w:p w14:paraId="0065641C" w14:textId="15466594" w:rsidR="00DD308E" w:rsidRDefault="00DD308E" w:rsidP="00855944">
            <w:pPr>
              <w:pStyle w:val="TableHEADER"/>
            </w:pPr>
            <w:r>
              <w:t xml:space="preserve">Short description of research </w:t>
            </w:r>
          </w:p>
        </w:tc>
        <w:tc>
          <w:tcPr>
            <w:tcW w:w="748" w:type="pct"/>
          </w:tcPr>
          <w:p w14:paraId="4CBE2D6F" w14:textId="052E12B9" w:rsidR="00DD308E" w:rsidRDefault="00DD308E" w:rsidP="00855944">
            <w:pPr>
              <w:pStyle w:val="TableHEADER"/>
            </w:pPr>
            <w:r w:rsidRPr="00E82F54">
              <w:t xml:space="preserve">Website link to </w:t>
            </w:r>
            <w:r>
              <w:t>journal article or research</w:t>
            </w:r>
          </w:p>
        </w:tc>
        <w:tc>
          <w:tcPr>
            <w:tcW w:w="442" w:type="pct"/>
          </w:tcPr>
          <w:p w14:paraId="36E1DC0F" w14:textId="3D059251" w:rsidR="00DD308E" w:rsidRDefault="00DD308E" w:rsidP="00855944">
            <w:pPr>
              <w:pStyle w:val="TableHEADER"/>
            </w:pPr>
            <w:r w:rsidRPr="00E82F54">
              <w:t>Date</w:t>
            </w:r>
            <w:r>
              <w:t xml:space="preserve"> of publication</w:t>
            </w:r>
          </w:p>
        </w:tc>
      </w:tr>
      <w:tr w:rsidR="00EE279D" w14:paraId="3CAB8A7A" w14:textId="77777777" w:rsidTr="008F1188">
        <w:trPr>
          <w:cantSplit/>
        </w:trPr>
        <w:tc>
          <w:tcPr>
            <w:tcW w:w="183" w:type="pct"/>
          </w:tcPr>
          <w:p w14:paraId="2750E1F6" w14:textId="77777777" w:rsidR="00DD308E" w:rsidRPr="00965B6B" w:rsidRDefault="00DD308E" w:rsidP="00DD308E">
            <w:pPr>
              <w:rPr>
                <w:szCs w:val="20"/>
              </w:rPr>
            </w:pPr>
            <w:r w:rsidRPr="00965B6B">
              <w:rPr>
                <w:szCs w:val="20"/>
              </w:rPr>
              <w:t>1</w:t>
            </w:r>
            <w:r>
              <w:rPr>
                <w:szCs w:val="20"/>
              </w:rPr>
              <w:t>.</w:t>
            </w:r>
          </w:p>
        </w:tc>
        <w:tc>
          <w:tcPr>
            <w:tcW w:w="720" w:type="pct"/>
          </w:tcPr>
          <w:p w14:paraId="64F97315" w14:textId="6AF02101" w:rsidR="00DD308E" w:rsidRPr="00BB5167" w:rsidRDefault="00902B61" w:rsidP="00DD308E">
            <w:pPr>
              <w:rPr>
                <w:bCs/>
                <w:szCs w:val="20"/>
              </w:rPr>
            </w:pPr>
            <w:r w:rsidRPr="00BB5167">
              <w:rPr>
                <w:bCs/>
                <w:szCs w:val="20"/>
              </w:rPr>
              <w:t>Randomised Controlled Trial</w:t>
            </w:r>
          </w:p>
        </w:tc>
        <w:tc>
          <w:tcPr>
            <w:tcW w:w="937" w:type="pct"/>
          </w:tcPr>
          <w:p w14:paraId="50C0C8DD" w14:textId="347DE6DD" w:rsidR="00DD308E" w:rsidRPr="00BB5167" w:rsidRDefault="00BB5167" w:rsidP="00BB5167">
            <w:pPr>
              <w:rPr>
                <w:bCs/>
                <w:szCs w:val="20"/>
                <w:lang w:val="en-GB"/>
              </w:rPr>
            </w:pPr>
            <w:r w:rsidRPr="00BB5167">
              <w:rPr>
                <w:bCs/>
                <w:szCs w:val="20"/>
                <w:lang w:val="en-GB"/>
              </w:rPr>
              <w:t xml:space="preserve">Phase 3 Trial of 177Lu-Dotatate for Midgut Neuroendocrine </w:t>
            </w:r>
            <w:proofErr w:type="spellStart"/>
            <w:r w:rsidRPr="00BB5167">
              <w:rPr>
                <w:bCs/>
                <w:szCs w:val="20"/>
                <w:lang w:val="en-GB"/>
              </w:rPr>
              <w:t>Tumors</w:t>
            </w:r>
            <w:proofErr w:type="spellEnd"/>
          </w:p>
        </w:tc>
        <w:tc>
          <w:tcPr>
            <w:tcW w:w="1970" w:type="pct"/>
          </w:tcPr>
          <w:p w14:paraId="7DB07601" w14:textId="41985970" w:rsidR="00760F0B" w:rsidRPr="00760F0B" w:rsidRDefault="00760F0B" w:rsidP="009B30EA">
            <w:pPr>
              <w:rPr>
                <w:bCs/>
                <w:szCs w:val="20"/>
                <w:lang w:val="en-GB"/>
              </w:rPr>
            </w:pPr>
            <w:r w:rsidRPr="00760F0B">
              <w:rPr>
                <w:bCs/>
                <w:szCs w:val="20"/>
                <w:lang w:val="en-GB"/>
              </w:rPr>
              <w:t xml:space="preserve">229 patients </w:t>
            </w:r>
            <w:r>
              <w:rPr>
                <w:bCs/>
                <w:szCs w:val="20"/>
                <w:lang w:val="en-GB"/>
              </w:rPr>
              <w:t>with</w:t>
            </w:r>
            <w:r w:rsidRPr="00760F0B">
              <w:rPr>
                <w:bCs/>
                <w:szCs w:val="20"/>
                <w:lang w:val="en-GB"/>
              </w:rPr>
              <w:t xml:space="preserve"> well-differentiated, metastatic midgut </w:t>
            </w:r>
            <w:r w:rsidR="009B30EA">
              <w:rPr>
                <w:bCs/>
                <w:szCs w:val="20"/>
                <w:lang w:val="en-GB"/>
              </w:rPr>
              <w:t>NET</w:t>
            </w:r>
            <w:r w:rsidRPr="00760F0B">
              <w:rPr>
                <w:bCs/>
                <w:szCs w:val="20"/>
                <w:lang w:val="en-GB"/>
              </w:rPr>
              <w:t xml:space="preserve"> </w:t>
            </w:r>
            <w:r>
              <w:rPr>
                <w:bCs/>
                <w:szCs w:val="20"/>
                <w:lang w:val="en-GB"/>
              </w:rPr>
              <w:t>randomised to</w:t>
            </w:r>
            <w:r w:rsidRPr="00760F0B">
              <w:rPr>
                <w:bCs/>
                <w:szCs w:val="20"/>
                <w:lang w:val="en-GB"/>
              </w:rPr>
              <w:t xml:space="preserve"> 177Lu-Dotatate 7.4 </w:t>
            </w:r>
            <w:proofErr w:type="spellStart"/>
            <w:r w:rsidRPr="00760F0B">
              <w:rPr>
                <w:bCs/>
                <w:szCs w:val="20"/>
                <w:lang w:val="en-GB"/>
              </w:rPr>
              <w:t>GBq</w:t>
            </w:r>
            <w:proofErr w:type="spellEnd"/>
            <w:r>
              <w:rPr>
                <w:bCs/>
                <w:szCs w:val="20"/>
                <w:lang w:val="en-GB"/>
              </w:rPr>
              <w:t xml:space="preserve"> </w:t>
            </w:r>
            <w:r w:rsidRPr="00760F0B">
              <w:rPr>
                <w:bCs/>
                <w:szCs w:val="20"/>
                <w:lang w:val="en-GB"/>
              </w:rPr>
              <w:t>8 week</w:t>
            </w:r>
            <w:r>
              <w:rPr>
                <w:bCs/>
                <w:szCs w:val="20"/>
                <w:lang w:val="en-GB"/>
              </w:rPr>
              <w:t>ly x 4</w:t>
            </w:r>
            <w:r w:rsidRPr="00760F0B">
              <w:rPr>
                <w:bCs/>
                <w:szCs w:val="20"/>
                <w:lang w:val="en-GB"/>
              </w:rPr>
              <w:t xml:space="preserve"> plus best supportive care including octreotide</w:t>
            </w:r>
          </w:p>
          <w:p w14:paraId="0EE6B721" w14:textId="01F99B7D" w:rsidR="00DD308E" w:rsidRPr="00760F0B" w:rsidRDefault="00760F0B" w:rsidP="00510E49">
            <w:pPr>
              <w:rPr>
                <w:bCs/>
                <w:szCs w:val="20"/>
              </w:rPr>
            </w:pPr>
            <w:r w:rsidRPr="00760F0B">
              <w:rPr>
                <w:bCs/>
                <w:szCs w:val="20"/>
                <w:lang w:val="en-GB"/>
              </w:rPr>
              <w:t>long-acting</w:t>
            </w:r>
            <w:r w:rsidR="00510E49">
              <w:rPr>
                <w:bCs/>
                <w:szCs w:val="20"/>
                <w:lang w:val="en-GB"/>
              </w:rPr>
              <w:t xml:space="preserve"> (</w:t>
            </w:r>
            <w:proofErr w:type="spellStart"/>
            <w:r w:rsidR="00510E49">
              <w:rPr>
                <w:bCs/>
                <w:szCs w:val="20"/>
                <w:lang w:val="en-GB"/>
              </w:rPr>
              <w:t>Sandostatin</w:t>
            </w:r>
            <w:proofErr w:type="spellEnd"/>
            <w:r w:rsidR="00510E49">
              <w:rPr>
                <w:bCs/>
                <w:szCs w:val="20"/>
                <w:lang w:val="en-GB"/>
              </w:rPr>
              <w:t>-LAR)</w:t>
            </w:r>
            <w:r w:rsidRPr="00760F0B">
              <w:rPr>
                <w:bCs/>
                <w:szCs w:val="20"/>
                <w:lang w:val="en-GB"/>
              </w:rPr>
              <w:t xml:space="preserve"> </w:t>
            </w:r>
            <w:r w:rsidR="009B30EA">
              <w:rPr>
                <w:bCs/>
                <w:szCs w:val="20"/>
                <w:lang w:val="en-GB"/>
              </w:rPr>
              <w:t xml:space="preserve">or </w:t>
            </w:r>
            <w:r w:rsidR="00BE42F2">
              <w:rPr>
                <w:bCs/>
                <w:szCs w:val="20"/>
                <w:lang w:val="en-GB"/>
              </w:rPr>
              <w:t xml:space="preserve">augmented dose </w:t>
            </w:r>
            <w:proofErr w:type="spellStart"/>
            <w:r w:rsidR="00510E49">
              <w:rPr>
                <w:bCs/>
                <w:szCs w:val="20"/>
                <w:lang w:val="en-GB"/>
              </w:rPr>
              <w:t>Sandostatin</w:t>
            </w:r>
            <w:proofErr w:type="spellEnd"/>
            <w:r w:rsidR="00510E49">
              <w:rPr>
                <w:bCs/>
                <w:szCs w:val="20"/>
                <w:lang w:val="en-GB"/>
              </w:rPr>
              <w:t xml:space="preserve"> LAR (60mg versus 30mg 4-weekly)</w:t>
            </w:r>
            <w:r w:rsidR="009B30EA">
              <w:rPr>
                <w:bCs/>
                <w:szCs w:val="20"/>
                <w:lang w:val="en-GB"/>
              </w:rPr>
              <w:t xml:space="preserve">. For primary endpoint </w:t>
            </w:r>
            <w:proofErr w:type="gramStart"/>
            <w:r w:rsidR="009B30EA">
              <w:rPr>
                <w:bCs/>
                <w:szCs w:val="20"/>
                <w:lang w:val="en-GB"/>
              </w:rPr>
              <w:t>20 month</w:t>
            </w:r>
            <w:proofErr w:type="gramEnd"/>
            <w:r w:rsidR="009B30EA">
              <w:rPr>
                <w:bCs/>
                <w:szCs w:val="20"/>
                <w:lang w:val="en-GB"/>
              </w:rPr>
              <w:t xml:space="preserve"> PFS was 65% (</w:t>
            </w:r>
            <w:r w:rsidR="009B30EA" w:rsidRPr="00760F0B">
              <w:rPr>
                <w:bCs/>
                <w:szCs w:val="20"/>
                <w:lang w:val="en-GB"/>
              </w:rPr>
              <w:t>177Lu-Dotatate</w:t>
            </w:r>
            <w:r w:rsidR="009B30EA">
              <w:rPr>
                <w:bCs/>
                <w:szCs w:val="20"/>
                <w:lang w:val="en-GB"/>
              </w:rPr>
              <w:t xml:space="preserve">) and 10.8% (control) with </w:t>
            </w:r>
            <w:r w:rsidR="00B650E4">
              <w:rPr>
                <w:bCs/>
                <w:szCs w:val="20"/>
                <w:lang w:val="en-GB"/>
              </w:rPr>
              <w:t xml:space="preserve">14 deaths with </w:t>
            </w:r>
            <w:r w:rsidR="00B650E4" w:rsidRPr="00760F0B">
              <w:rPr>
                <w:bCs/>
                <w:szCs w:val="20"/>
                <w:lang w:val="en-GB"/>
              </w:rPr>
              <w:t>177Lu-Dotatate</w:t>
            </w:r>
            <w:r w:rsidR="00B650E4">
              <w:rPr>
                <w:bCs/>
                <w:szCs w:val="20"/>
                <w:lang w:val="en-GB"/>
              </w:rPr>
              <w:t xml:space="preserve"> and 26 in control group (p=.004)</w:t>
            </w:r>
          </w:p>
        </w:tc>
        <w:tc>
          <w:tcPr>
            <w:tcW w:w="748" w:type="pct"/>
          </w:tcPr>
          <w:p w14:paraId="440C3598" w14:textId="072FA5FF" w:rsidR="00DD308E" w:rsidRPr="00E82F54" w:rsidRDefault="00E44522" w:rsidP="00DD308E">
            <w:pPr>
              <w:rPr>
                <w:b/>
                <w:szCs w:val="20"/>
              </w:rPr>
            </w:pPr>
            <w:r w:rsidRPr="00E44522">
              <w:rPr>
                <w:lang w:val="en-GB"/>
              </w:rPr>
              <w:t>DOI: 10.1056/NEJMoa1607427</w:t>
            </w:r>
          </w:p>
        </w:tc>
        <w:tc>
          <w:tcPr>
            <w:tcW w:w="442" w:type="pct"/>
          </w:tcPr>
          <w:p w14:paraId="2370E26F" w14:textId="6D0F0839" w:rsidR="00DD308E" w:rsidRPr="00E82F54" w:rsidRDefault="00E44522" w:rsidP="00DD308E">
            <w:pPr>
              <w:rPr>
                <w:b/>
                <w:szCs w:val="20"/>
              </w:rPr>
            </w:pPr>
            <w:r>
              <w:t>2017</w:t>
            </w:r>
          </w:p>
        </w:tc>
      </w:tr>
      <w:tr w:rsidR="00C177D1" w14:paraId="61460993" w14:textId="77777777" w:rsidTr="008F1188">
        <w:trPr>
          <w:cantSplit/>
        </w:trPr>
        <w:tc>
          <w:tcPr>
            <w:tcW w:w="183" w:type="pct"/>
          </w:tcPr>
          <w:p w14:paraId="7E6D3AA6" w14:textId="6FBB8AD7" w:rsidR="00C177D1" w:rsidRDefault="00C177D1" w:rsidP="00DD308E">
            <w:pPr>
              <w:rPr>
                <w:szCs w:val="20"/>
              </w:rPr>
            </w:pPr>
            <w:r>
              <w:rPr>
                <w:szCs w:val="20"/>
              </w:rPr>
              <w:t>2.</w:t>
            </w:r>
          </w:p>
        </w:tc>
        <w:tc>
          <w:tcPr>
            <w:tcW w:w="720" w:type="pct"/>
          </w:tcPr>
          <w:p w14:paraId="3F6FF6EE" w14:textId="46916387" w:rsidR="00C177D1" w:rsidRDefault="00C177D1" w:rsidP="00DD308E">
            <w:r>
              <w:t>Prospective cohort study</w:t>
            </w:r>
          </w:p>
        </w:tc>
        <w:tc>
          <w:tcPr>
            <w:tcW w:w="937" w:type="pct"/>
          </w:tcPr>
          <w:p w14:paraId="4560CF6B" w14:textId="2D014356" w:rsidR="00C177D1" w:rsidRPr="00C177D1" w:rsidRDefault="00C177D1" w:rsidP="00E44522">
            <w:r w:rsidRPr="00C177D1">
              <w:t xml:space="preserve">Quality of Life in 265 Patients with </w:t>
            </w:r>
            <w:proofErr w:type="spellStart"/>
            <w:r w:rsidRPr="00C177D1">
              <w:t>Gastroenteropancreatic</w:t>
            </w:r>
            <w:proofErr w:type="spellEnd"/>
            <w:r w:rsidRPr="00C177D1">
              <w:t xml:space="preserve"> or Bronchial Neuroendocrine </w:t>
            </w:r>
            <w:proofErr w:type="spellStart"/>
            <w:r w:rsidRPr="00C177D1">
              <w:t>Tumors</w:t>
            </w:r>
            <w:proofErr w:type="spellEnd"/>
            <w:r w:rsidRPr="00C177D1">
              <w:t xml:space="preserve"> Treated with [177Lu-</w:t>
            </w:r>
            <w:proofErr w:type="gramStart"/>
            <w:r w:rsidRPr="00C177D1">
              <w:t>DOTA,Tyr</w:t>
            </w:r>
            <w:proofErr w:type="gramEnd"/>
            <w:r w:rsidRPr="00C177D1">
              <w:t>3]</w:t>
            </w:r>
            <w:proofErr w:type="spellStart"/>
            <w:r w:rsidRPr="00C177D1">
              <w:t>Octreotate</w:t>
            </w:r>
            <w:proofErr w:type="spellEnd"/>
            <w:r w:rsidRPr="00C177D1">
              <w:t xml:space="preserve"> </w:t>
            </w:r>
          </w:p>
        </w:tc>
        <w:tc>
          <w:tcPr>
            <w:tcW w:w="1970" w:type="pct"/>
          </w:tcPr>
          <w:p w14:paraId="09FF0973" w14:textId="215B7B6D" w:rsidR="00581BF6" w:rsidRPr="00581BF6" w:rsidRDefault="00581BF6" w:rsidP="00581BF6">
            <w:r>
              <w:t>Patients at a s</w:t>
            </w:r>
            <w:r w:rsidR="00510E49">
              <w:t>i</w:t>
            </w:r>
            <w:r>
              <w:t xml:space="preserve">ngle institution had practitioner assessed </w:t>
            </w:r>
            <w:proofErr w:type="spellStart"/>
            <w:r>
              <w:t>Karno</w:t>
            </w:r>
            <w:r w:rsidR="00510E49">
              <w:t>f</w:t>
            </w:r>
            <w:r>
              <w:t>sky</w:t>
            </w:r>
            <w:proofErr w:type="spellEnd"/>
            <w:r>
              <w:t xml:space="preserve"> score and self-assessed </w:t>
            </w:r>
            <w:r w:rsidRPr="00581BF6">
              <w:t>EORTC quality- of-life questionnaire (QLQ)–core module (C30)</w:t>
            </w:r>
            <w:r>
              <w:t xml:space="preserve"> before and after 177LuDotate. </w:t>
            </w:r>
            <w:r w:rsidRPr="00581BF6">
              <w:t xml:space="preserve">GHS/QOL, KPS, and symptoms improved significantly after 177Lu-octreotate therapy, and there was no significant decrease in QOL in patients who had no symptoms before therapy. </w:t>
            </w:r>
          </w:p>
          <w:p w14:paraId="53C7601A" w14:textId="181A30CF" w:rsidR="00581BF6" w:rsidRPr="00581BF6" w:rsidRDefault="00581BF6" w:rsidP="00581BF6"/>
          <w:p w14:paraId="2E02163C" w14:textId="22BE9625" w:rsidR="00C177D1" w:rsidRDefault="00C177D1" w:rsidP="00DD308E"/>
        </w:tc>
        <w:tc>
          <w:tcPr>
            <w:tcW w:w="748" w:type="pct"/>
          </w:tcPr>
          <w:p w14:paraId="4C333042" w14:textId="77777777" w:rsidR="00C177D1" w:rsidRPr="00C177D1" w:rsidRDefault="00C177D1" w:rsidP="00C177D1">
            <w:r w:rsidRPr="00C177D1">
              <w:t xml:space="preserve">DOI: 10.2967/jnumed.111.087932 </w:t>
            </w:r>
          </w:p>
          <w:p w14:paraId="211BD7E3" w14:textId="77777777" w:rsidR="00C177D1" w:rsidRPr="00E44522" w:rsidRDefault="00C177D1" w:rsidP="00DD308E">
            <w:pPr>
              <w:rPr>
                <w:lang w:val="en-GB"/>
              </w:rPr>
            </w:pPr>
          </w:p>
        </w:tc>
        <w:tc>
          <w:tcPr>
            <w:tcW w:w="442" w:type="pct"/>
          </w:tcPr>
          <w:p w14:paraId="4435DC02" w14:textId="7C23BCE2" w:rsidR="00C177D1" w:rsidRDefault="00C177D1" w:rsidP="00DD308E">
            <w:r>
              <w:t>2011</w:t>
            </w:r>
          </w:p>
        </w:tc>
      </w:tr>
      <w:tr w:rsidR="00873AC7" w14:paraId="000D51B8" w14:textId="77777777" w:rsidTr="008F1188">
        <w:trPr>
          <w:cantSplit/>
        </w:trPr>
        <w:tc>
          <w:tcPr>
            <w:tcW w:w="183" w:type="pct"/>
          </w:tcPr>
          <w:p w14:paraId="453B215F" w14:textId="43430CBC" w:rsidR="00873AC7" w:rsidRDefault="00873AC7" w:rsidP="00DD308E">
            <w:pPr>
              <w:rPr>
                <w:szCs w:val="20"/>
              </w:rPr>
            </w:pPr>
            <w:r>
              <w:rPr>
                <w:szCs w:val="20"/>
              </w:rPr>
              <w:lastRenderedPageBreak/>
              <w:t>3.</w:t>
            </w:r>
          </w:p>
        </w:tc>
        <w:tc>
          <w:tcPr>
            <w:tcW w:w="720" w:type="pct"/>
          </w:tcPr>
          <w:p w14:paraId="087C0D6F" w14:textId="69B3AA98" w:rsidR="00873AC7" w:rsidRDefault="008644C3" w:rsidP="00DD308E">
            <w:r>
              <w:t>Prospective cohort study</w:t>
            </w:r>
          </w:p>
        </w:tc>
        <w:tc>
          <w:tcPr>
            <w:tcW w:w="937" w:type="pct"/>
          </w:tcPr>
          <w:p w14:paraId="52989FC4" w14:textId="77777777" w:rsidR="008644C3" w:rsidRPr="008644C3" w:rsidRDefault="008644C3" w:rsidP="008644C3">
            <w:r w:rsidRPr="008644C3">
              <w:t>Quality of life in patients with midgut NET following peptide receptor radionuclide therapy</w:t>
            </w:r>
          </w:p>
          <w:p w14:paraId="1A1C1F96" w14:textId="77777777" w:rsidR="00873AC7" w:rsidRPr="00C177D1" w:rsidRDefault="00873AC7" w:rsidP="00E44522"/>
        </w:tc>
        <w:tc>
          <w:tcPr>
            <w:tcW w:w="1970" w:type="pct"/>
          </w:tcPr>
          <w:p w14:paraId="43F4832D" w14:textId="3954E99C" w:rsidR="00873AC7" w:rsidRDefault="008644C3" w:rsidP="00581BF6">
            <w:r>
              <w:t>70 patients with NET had performance scores and quality of life assessed before and after treatment with 177LuDotatate. Global health status emotional, cognitive functioning, pain and diarrhea improved significantly</w:t>
            </w:r>
          </w:p>
        </w:tc>
        <w:tc>
          <w:tcPr>
            <w:tcW w:w="748" w:type="pct"/>
          </w:tcPr>
          <w:p w14:paraId="16592C58" w14:textId="309A93B2" w:rsidR="00873AC7" w:rsidRPr="00C177D1" w:rsidRDefault="008644C3" w:rsidP="00C177D1">
            <w:proofErr w:type="spellStart"/>
            <w:r w:rsidRPr="008644C3">
              <w:t>doi</w:t>
            </w:r>
            <w:proofErr w:type="spellEnd"/>
            <w:r w:rsidRPr="008644C3">
              <w:t>: 10.1007/s00259-019-04431-3.</w:t>
            </w:r>
          </w:p>
        </w:tc>
        <w:tc>
          <w:tcPr>
            <w:tcW w:w="442" w:type="pct"/>
          </w:tcPr>
          <w:p w14:paraId="7606DB05" w14:textId="0F44CA22" w:rsidR="00873AC7" w:rsidRDefault="00627289" w:rsidP="00DD308E">
            <w:r>
              <w:t>2019</w:t>
            </w:r>
          </w:p>
        </w:tc>
      </w:tr>
      <w:tr w:rsidR="00EE279D" w14:paraId="58D2D496" w14:textId="77777777" w:rsidTr="008F1188">
        <w:trPr>
          <w:cantSplit/>
        </w:trPr>
        <w:tc>
          <w:tcPr>
            <w:tcW w:w="183" w:type="pct"/>
          </w:tcPr>
          <w:p w14:paraId="1BEC2F1B" w14:textId="1F401DEA" w:rsidR="00DD308E" w:rsidRPr="00965B6B" w:rsidRDefault="00056D02" w:rsidP="00DD308E">
            <w:pPr>
              <w:rPr>
                <w:szCs w:val="20"/>
              </w:rPr>
            </w:pPr>
            <w:r>
              <w:rPr>
                <w:szCs w:val="20"/>
              </w:rPr>
              <w:t>4</w:t>
            </w:r>
            <w:r w:rsidR="00DD308E">
              <w:rPr>
                <w:szCs w:val="20"/>
              </w:rPr>
              <w:t>.</w:t>
            </w:r>
          </w:p>
        </w:tc>
        <w:tc>
          <w:tcPr>
            <w:tcW w:w="720" w:type="pct"/>
          </w:tcPr>
          <w:p w14:paraId="4ED7EEE8" w14:textId="34DEF88D" w:rsidR="00DD308E" w:rsidRDefault="002C6EDE" w:rsidP="00DD308E">
            <w:pPr>
              <w:rPr>
                <w:b/>
                <w:szCs w:val="20"/>
              </w:rPr>
            </w:pPr>
            <w:r>
              <w:t>Cohort follow up study</w:t>
            </w:r>
          </w:p>
        </w:tc>
        <w:tc>
          <w:tcPr>
            <w:tcW w:w="937" w:type="pct"/>
          </w:tcPr>
          <w:p w14:paraId="4CF51ACA" w14:textId="248116B5" w:rsidR="00DD308E" w:rsidRPr="00B55175" w:rsidRDefault="00E44522" w:rsidP="00E44522">
            <w:pPr>
              <w:rPr>
                <w:lang w:val="en-GB"/>
              </w:rPr>
            </w:pPr>
            <w:r w:rsidRPr="00E44522">
              <w:rPr>
                <w:lang w:val="en-GB"/>
              </w:rPr>
              <w:t>Long-Term Efficacy, Survival, and Safety</w:t>
            </w:r>
            <w:r>
              <w:rPr>
                <w:lang w:val="en-GB"/>
              </w:rPr>
              <w:t xml:space="preserve"> </w:t>
            </w:r>
            <w:r w:rsidRPr="00E44522">
              <w:rPr>
                <w:lang w:val="en-GB"/>
              </w:rPr>
              <w:t>of [177Lu-</w:t>
            </w:r>
            <w:proofErr w:type="gramStart"/>
            <w:r w:rsidRPr="00E44522">
              <w:rPr>
                <w:lang w:val="en-GB"/>
              </w:rPr>
              <w:t>DOTA,Tyr</w:t>
            </w:r>
            <w:proofErr w:type="gramEnd"/>
            <w:r w:rsidRPr="00E44522">
              <w:rPr>
                <w:lang w:val="en-GB"/>
              </w:rPr>
              <w:t>3]</w:t>
            </w:r>
            <w:proofErr w:type="spellStart"/>
            <w:r w:rsidRPr="00E44522">
              <w:rPr>
                <w:lang w:val="en-GB"/>
              </w:rPr>
              <w:t>octreotate</w:t>
            </w:r>
            <w:proofErr w:type="spellEnd"/>
            <w:r w:rsidRPr="00E44522">
              <w:rPr>
                <w:lang w:val="en-GB"/>
              </w:rPr>
              <w:t xml:space="preserve"> in Patients</w:t>
            </w:r>
            <w:r>
              <w:rPr>
                <w:lang w:val="en-GB"/>
              </w:rPr>
              <w:t xml:space="preserve"> </w:t>
            </w:r>
            <w:r w:rsidRPr="00E44522">
              <w:rPr>
                <w:lang w:val="en-GB"/>
              </w:rPr>
              <w:t xml:space="preserve">with </w:t>
            </w:r>
            <w:proofErr w:type="spellStart"/>
            <w:r w:rsidRPr="00E44522">
              <w:rPr>
                <w:lang w:val="en-GB"/>
              </w:rPr>
              <w:t>Gastroenteropancreatic</w:t>
            </w:r>
            <w:proofErr w:type="spellEnd"/>
            <w:r w:rsidRPr="00E44522">
              <w:rPr>
                <w:lang w:val="en-GB"/>
              </w:rPr>
              <w:t xml:space="preserve"> and Bronchial</w:t>
            </w:r>
            <w:r>
              <w:rPr>
                <w:lang w:val="en-GB"/>
              </w:rPr>
              <w:t xml:space="preserve"> </w:t>
            </w:r>
            <w:r w:rsidRPr="00E44522">
              <w:rPr>
                <w:lang w:val="en-GB"/>
              </w:rPr>
              <w:t xml:space="preserve">Neuroendocrine </w:t>
            </w:r>
            <w:proofErr w:type="spellStart"/>
            <w:r w:rsidRPr="00E44522">
              <w:rPr>
                <w:lang w:val="en-GB"/>
              </w:rPr>
              <w:t>Tumors</w:t>
            </w:r>
            <w:proofErr w:type="spellEnd"/>
          </w:p>
        </w:tc>
        <w:tc>
          <w:tcPr>
            <w:tcW w:w="1970" w:type="pct"/>
          </w:tcPr>
          <w:p w14:paraId="72118F6C" w14:textId="4BF23068" w:rsidR="00DD308E" w:rsidRDefault="00AB22B9" w:rsidP="00DD308E">
            <w:pPr>
              <w:rPr>
                <w:b/>
                <w:szCs w:val="20"/>
              </w:rPr>
            </w:pPr>
            <w:r>
              <w:t>Long</w:t>
            </w:r>
            <w:r w:rsidR="00510E49">
              <w:t>-</w:t>
            </w:r>
            <w:r>
              <w:t>term follow</w:t>
            </w:r>
            <w:r w:rsidR="00510E49">
              <w:t>-</w:t>
            </w:r>
            <w:r>
              <w:t xml:space="preserve">up documenting patients relevant outcomes </w:t>
            </w:r>
            <w:proofErr w:type="gramStart"/>
            <w:r>
              <w:t>of  over</w:t>
            </w:r>
            <w:proofErr w:type="gramEnd"/>
            <w:r>
              <w:t xml:space="preserve"> 1200 patients with well differentiated </w:t>
            </w:r>
            <w:proofErr w:type="spellStart"/>
            <w:r>
              <w:t>gastroenteropancreatic</w:t>
            </w:r>
            <w:proofErr w:type="spellEnd"/>
            <w:r>
              <w:t xml:space="preserve"> or bronchopulmonary NET treated in single centre. PFS of 29 months and OS of 63 months. </w:t>
            </w:r>
            <w:r w:rsidR="002C6EDE">
              <w:t>No therapy related chronic renal or hepatic failure. Myelodysplasia rate 1.5%, acute leukemia rate .7%</w:t>
            </w:r>
          </w:p>
        </w:tc>
        <w:tc>
          <w:tcPr>
            <w:tcW w:w="748" w:type="pct"/>
          </w:tcPr>
          <w:p w14:paraId="26B80C7C" w14:textId="14DF87A3" w:rsidR="00DD308E" w:rsidRPr="00E82F54" w:rsidRDefault="00E44522" w:rsidP="00DD308E">
            <w:pPr>
              <w:rPr>
                <w:b/>
                <w:szCs w:val="20"/>
              </w:rPr>
            </w:pPr>
            <w:proofErr w:type="spellStart"/>
            <w:r w:rsidRPr="00E44522">
              <w:rPr>
                <w:lang w:val="en-GB"/>
              </w:rPr>
              <w:t>doi</w:t>
            </w:r>
            <w:proofErr w:type="spellEnd"/>
            <w:r w:rsidRPr="00E44522">
              <w:rPr>
                <w:lang w:val="en-GB"/>
              </w:rPr>
              <w:t>: 10.1158/1078-0432.CCR-16-2743</w:t>
            </w:r>
            <w:r w:rsidR="002C6EDE">
              <w:rPr>
                <w:lang w:val="en-GB"/>
              </w:rPr>
              <w:t xml:space="preserve">ohert </w:t>
            </w:r>
          </w:p>
        </w:tc>
        <w:tc>
          <w:tcPr>
            <w:tcW w:w="442" w:type="pct"/>
          </w:tcPr>
          <w:p w14:paraId="7DC3BA66" w14:textId="688AC531" w:rsidR="00DD308E" w:rsidRPr="00E82F54" w:rsidRDefault="00AB22B9" w:rsidP="00DD308E">
            <w:pPr>
              <w:rPr>
                <w:b/>
                <w:szCs w:val="20"/>
              </w:rPr>
            </w:pPr>
            <w:r>
              <w:t>2017</w:t>
            </w:r>
          </w:p>
        </w:tc>
      </w:tr>
      <w:tr w:rsidR="00EE279D" w14:paraId="459EC9D8" w14:textId="77777777" w:rsidTr="008F1188">
        <w:trPr>
          <w:cantSplit/>
        </w:trPr>
        <w:tc>
          <w:tcPr>
            <w:tcW w:w="183" w:type="pct"/>
          </w:tcPr>
          <w:p w14:paraId="2B32704F" w14:textId="17F795B1" w:rsidR="00DD308E" w:rsidRPr="00965B6B" w:rsidRDefault="00056D02" w:rsidP="00DD308E">
            <w:pPr>
              <w:rPr>
                <w:szCs w:val="20"/>
              </w:rPr>
            </w:pPr>
            <w:r>
              <w:rPr>
                <w:szCs w:val="20"/>
              </w:rPr>
              <w:t>5</w:t>
            </w:r>
            <w:r w:rsidR="00DD308E">
              <w:rPr>
                <w:szCs w:val="20"/>
              </w:rPr>
              <w:t>.</w:t>
            </w:r>
          </w:p>
        </w:tc>
        <w:tc>
          <w:tcPr>
            <w:tcW w:w="720" w:type="pct"/>
          </w:tcPr>
          <w:p w14:paraId="490B5D2B" w14:textId="1510DD41" w:rsidR="00DD308E" w:rsidRDefault="00797E56" w:rsidP="00DD308E">
            <w:pPr>
              <w:rPr>
                <w:b/>
                <w:szCs w:val="20"/>
              </w:rPr>
            </w:pPr>
            <w:r>
              <w:t>Retrospective cohort outcome study</w:t>
            </w:r>
          </w:p>
        </w:tc>
        <w:tc>
          <w:tcPr>
            <w:tcW w:w="937" w:type="pct"/>
          </w:tcPr>
          <w:p w14:paraId="2404D287" w14:textId="175DAAE9" w:rsidR="00797E56" w:rsidRPr="00797E56" w:rsidRDefault="00797E56" w:rsidP="00797E56">
            <w:pPr>
              <w:rPr>
                <w:lang w:val="en-GB"/>
              </w:rPr>
            </w:pPr>
            <w:r w:rsidRPr="00797E56">
              <w:rPr>
                <w:lang w:val="en-GB"/>
              </w:rPr>
              <w:t>Long-term</w:t>
            </w:r>
            <w:r>
              <w:rPr>
                <w:lang w:val="en-GB"/>
              </w:rPr>
              <w:t xml:space="preserve"> </w:t>
            </w:r>
            <w:r w:rsidRPr="00797E56">
              <w:rPr>
                <w:lang w:val="en-GB"/>
              </w:rPr>
              <w:t>outcome of indigenous 177Lu-DOTATATE</w:t>
            </w:r>
          </w:p>
          <w:p w14:paraId="5F2CAD41" w14:textId="626850B9" w:rsidR="00797E56" w:rsidRPr="00797E56" w:rsidRDefault="00797E56" w:rsidP="00797E56">
            <w:pPr>
              <w:rPr>
                <w:lang w:val="en-GB"/>
              </w:rPr>
            </w:pPr>
            <w:r w:rsidRPr="00797E56">
              <w:rPr>
                <w:lang w:val="en-GB"/>
              </w:rPr>
              <w:t>PRRT in patients with Metastatic Advanced</w:t>
            </w:r>
            <w:r>
              <w:rPr>
                <w:lang w:val="en-GB"/>
              </w:rPr>
              <w:t xml:space="preserve"> </w:t>
            </w:r>
            <w:r w:rsidRPr="00797E56">
              <w:rPr>
                <w:lang w:val="en-GB"/>
              </w:rPr>
              <w:t>Neuroendocrine Tumours: a single institutional</w:t>
            </w:r>
          </w:p>
          <w:p w14:paraId="540205A0" w14:textId="4FFF7339" w:rsidR="00DD308E" w:rsidRDefault="00797E56" w:rsidP="00797E56">
            <w:pPr>
              <w:rPr>
                <w:b/>
                <w:szCs w:val="20"/>
              </w:rPr>
            </w:pPr>
            <w:r w:rsidRPr="00797E56">
              <w:rPr>
                <w:lang w:val="en-GB"/>
              </w:rPr>
              <w:t>observation in a large tertiary care setting</w:t>
            </w:r>
          </w:p>
        </w:tc>
        <w:tc>
          <w:tcPr>
            <w:tcW w:w="1970" w:type="pct"/>
          </w:tcPr>
          <w:p w14:paraId="03E12CA3" w14:textId="167E718C" w:rsidR="00EE279D" w:rsidRPr="00EE279D" w:rsidRDefault="00797E56" w:rsidP="00EE279D">
            <w:pPr>
              <w:rPr>
                <w:lang w:val="en-GB"/>
              </w:rPr>
            </w:pPr>
            <w:r>
              <w:t xml:space="preserve">468 NET patients </w:t>
            </w:r>
            <w:r w:rsidR="00EE279D">
              <w:t xml:space="preserve">177LuDotatate </w:t>
            </w:r>
            <w:r>
              <w:t xml:space="preserve">treated </w:t>
            </w:r>
            <w:r w:rsidR="00EE279D">
              <w:t xml:space="preserve">median follow up 46 months. 322 with progressive disease at treatment initiation </w:t>
            </w:r>
            <w:r w:rsidR="000F31FD">
              <w:t>had</w:t>
            </w:r>
            <w:r w:rsidR="00EE279D" w:rsidRPr="00EE279D">
              <w:rPr>
                <w:lang w:val="en-GB"/>
              </w:rPr>
              <w:t xml:space="preserve"> </w:t>
            </w:r>
            <w:r w:rsidR="00ED5077">
              <w:rPr>
                <w:lang w:val="en-GB"/>
              </w:rPr>
              <w:t>high disease control rate</w:t>
            </w:r>
            <w:r w:rsidR="00EE279D" w:rsidRPr="00EE279D">
              <w:rPr>
                <w:lang w:val="en-GB"/>
              </w:rPr>
              <w:t xml:space="preserve"> (CR +</w:t>
            </w:r>
            <w:r w:rsidR="00ED5077">
              <w:rPr>
                <w:lang w:val="en-GB"/>
              </w:rPr>
              <w:t xml:space="preserve"> </w:t>
            </w:r>
            <w:r w:rsidR="00EE279D" w:rsidRPr="00EE279D">
              <w:rPr>
                <w:lang w:val="en-GB"/>
              </w:rPr>
              <w:t xml:space="preserve">PR + </w:t>
            </w:r>
            <w:proofErr w:type="gramStart"/>
            <w:r w:rsidR="00EE279D" w:rsidRPr="00EE279D">
              <w:rPr>
                <w:lang w:val="en-GB"/>
              </w:rPr>
              <w:t>SD)  93.5</w:t>
            </w:r>
            <w:proofErr w:type="gramEnd"/>
            <w:r w:rsidR="00EE279D" w:rsidRPr="00EE279D">
              <w:rPr>
                <w:lang w:val="en-GB"/>
              </w:rPr>
              <w:t>%, 88.5%, 89.1 and 87.9% on symptomatic,</w:t>
            </w:r>
            <w:r w:rsidR="00EE279D">
              <w:rPr>
                <w:lang w:val="en-GB"/>
              </w:rPr>
              <w:t xml:space="preserve"> </w:t>
            </w:r>
            <w:r w:rsidR="00EE279D" w:rsidRPr="00EE279D">
              <w:rPr>
                <w:lang w:val="en-GB"/>
              </w:rPr>
              <w:t>biochemical, RECIST 1.1 and PERCIST criteria</w:t>
            </w:r>
            <w:r w:rsidR="00EE279D">
              <w:rPr>
                <w:lang w:val="en-GB"/>
              </w:rPr>
              <w:t>.</w:t>
            </w:r>
            <w:r w:rsidR="00EE279D" w:rsidRPr="00EE279D">
              <w:rPr>
                <w:lang w:val="en-GB"/>
              </w:rPr>
              <w:t xml:space="preserve"> </w:t>
            </w:r>
          </w:p>
          <w:p w14:paraId="6C9E9E25" w14:textId="46480745" w:rsidR="00DD308E" w:rsidRDefault="00EE279D" w:rsidP="00EE279D">
            <w:pPr>
              <w:rPr>
                <w:b/>
                <w:szCs w:val="20"/>
              </w:rPr>
            </w:pPr>
            <w:r w:rsidRPr="00EE279D">
              <w:rPr>
                <w:lang w:val="en-GB"/>
              </w:rPr>
              <w:t>PFS and OS at 7 years 68.3% and 79.2%, respectively.</w:t>
            </w:r>
            <w:r w:rsidRPr="00EE279D">
              <w:t xml:space="preserve"> </w:t>
            </w:r>
          </w:p>
        </w:tc>
        <w:tc>
          <w:tcPr>
            <w:tcW w:w="748" w:type="pct"/>
          </w:tcPr>
          <w:p w14:paraId="1C25D52C" w14:textId="77C1114D" w:rsidR="00DD308E" w:rsidRPr="00E82F54" w:rsidRDefault="00797E56" w:rsidP="00DD308E">
            <w:pPr>
              <w:rPr>
                <w:b/>
                <w:szCs w:val="20"/>
              </w:rPr>
            </w:pPr>
            <w:proofErr w:type="spellStart"/>
            <w:r w:rsidRPr="00797E56">
              <w:rPr>
                <w:lang w:val="en-GB"/>
              </w:rPr>
              <w:t>doi</w:t>
            </w:r>
            <w:proofErr w:type="spellEnd"/>
            <w:r w:rsidRPr="00797E56">
              <w:rPr>
                <w:lang w:val="en-GB"/>
              </w:rPr>
              <w:t xml:space="preserve">. org/ 10. 1259/ </w:t>
            </w:r>
            <w:proofErr w:type="spellStart"/>
            <w:r w:rsidRPr="00797E56">
              <w:rPr>
                <w:lang w:val="en-GB"/>
              </w:rPr>
              <w:t>bjr</w:t>
            </w:r>
            <w:proofErr w:type="spellEnd"/>
            <w:r w:rsidRPr="00797E56">
              <w:rPr>
                <w:lang w:val="en-GB"/>
              </w:rPr>
              <w:t>. 20201041</w:t>
            </w:r>
          </w:p>
        </w:tc>
        <w:tc>
          <w:tcPr>
            <w:tcW w:w="442" w:type="pct"/>
          </w:tcPr>
          <w:p w14:paraId="726FC9D4" w14:textId="54DC1E2C" w:rsidR="00DD308E" w:rsidRPr="00E82F54" w:rsidRDefault="00797E56" w:rsidP="00DD308E">
            <w:pPr>
              <w:rPr>
                <w:b/>
                <w:szCs w:val="20"/>
              </w:rPr>
            </w:pPr>
            <w:r>
              <w:t>2021</w:t>
            </w:r>
          </w:p>
        </w:tc>
      </w:tr>
      <w:tr w:rsidR="00D9467E" w14:paraId="0B53C99A" w14:textId="77777777" w:rsidTr="008F1188">
        <w:trPr>
          <w:cantSplit/>
        </w:trPr>
        <w:tc>
          <w:tcPr>
            <w:tcW w:w="183" w:type="pct"/>
          </w:tcPr>
          <w:p w14:paraId="7E8286B9" w14:textId="0A0049C0" w:rsidR="00D9467E" w:rsidRDefault="00056D02" w:rsidP="00DD308E">
            <w:pPr>
              <w:rPr>
                <w:szCs w:val="20"/>
              </w:rPr>
            </w:pPr>
            <w:r>
              <w:rPr>
                <w:szCs w:val="20"/>
              </w:rPr>
              <w:lastRenderedPageBreak/>
              <w:t>6.</w:t>
            </w:r>
          </w:p>
        </w:tc>
        <w:tc>
          <w:tcPr>
            <w:tcW w:w="720" w:type="pct"/>
          </w:tcPr>
          <w:p w14:paraId="7077629D" w14:textId="7937BABF" w:rsidR="00D9467E" w:rsidRDefault="00D9467E" w:rsidP="00DD308E">
            <w:r>
              <w:t>Retrospective cohort outcome study</w:t>
            </w:r>
          </w:p>
        </w:tc>
        <w:tc>
          <w:tcPr>
            <w:tcW w:w="937" w:type="pct"/>
          </w:tcPr>
          <w:p w14:paraId="2F0F0CB5" w14:textId="6F53AFAD" w:rsidR="00D9467E" w:rsidRPr="00D9467E" w:rsidRDefault="00C12379" w:rsidP="005D64AD">
            <w:r w:rsidRPr="00C12379">
              <w:t>Peptide receptor radionuclide therapy (PRRT) in European Neuroendocrine Tumour Society (ENETS) grade 3 (G3) neuroendocrine neoplasia (NEN) - a single-institution retrospective analysis</w:t>
            </w:r>
          </w:p>
        </w:tc>
        <w:tc>
          <w:tcPr>
            <w:tcW w:w="1970" w:type="pct"/>
          </w:tcPr>
          <w:p w14:paraId="6F675657" w14:textId="7A4F14F0" w:rsidR="00D9467E" w:rsidRDefault="00AE7BD7" w:rsidP="007C3BBD">
            <w:r w:rsidRPr="00AE7BD7">
              <w:t>28 patients</w:t>
            </w:r>
            <w:r w:rsidR="007C3BBD">
              <w:t xml:space="preserve"> with G3 NET</w:t>
            </w:r>
            <w:r w:rsidRPr="00AE7BD7">
              <w:t xml:space="preserve"> </w:t>
            </w:r>
            <w:r>
              <w:t>-</w:t>
            </w:r>
            <w:r w:rsidRPr="00AE7BD7">
              <w:t>25/28 FDG-avid. Most had </w:t>
            </w:r>
            <w:r w:rsidRPr="00AE7BD7">
              <w:rPr>
                <w:vertAlign w:val="superscript"/>
              </w:rPr>
              <w:t>177</w:t>
            </w:r>
            <w:r w:rsidRPr="00AE7BD7">
              <w:t>Lu-</w:t>
            </w:r>
            <w:r w:rsidR="007C3BBD">
              <w:t>Dotate</w:t>
            </w:r>
            <w:r w:rsidRPr="00AE7BD7">
              <w:t xml:space="preserve"> </w:t>
            </w:r>
            <w:r w:rsidR="007C3BBD">
              <w:t>treatment</w:t>
            </w:r>
            <w:r w:rsidRPr="00AE7BD7">
              <w:t xml:space="preserve"> </w:t>
            </w:r>
            <w:r w:rsidR="007C3BBD">
              <w:t>and 20</w:t>
            </w:r>
            <w:r w:rsidRPr="00AE7BD7">
              <w:t xml:space="preserve"> </w:t>
            </w:r>
            <w:r w:rsidR="007C3BBD">
              <w:t>with</w:t>
            </w:r>
            <w:r w:rsidRPr="00AE7BD7">
              <w:t xml:space="preserve"> </w:t>
            </w:r>
            <w:proofErr w:type="spellStart"/>
            <w:r w:rsidRPr="00AE7BD7">
              <w:t>radiosensitising</w:t>
            </w:r>
            <w:proofErr w:type="spellEnd"/>
            <w:r w:rsidRPr="00AE7BD7">
              <w:t xml:space="preserve"> chemotherapy. 79% </w:t>
            </w:r>
            <w:r w:rsidR="007C3BBD">
              <w:t xml:space="preserve">treated for disease progression </w:t>
            </w:r>
            <w:r w:rsidRPr="00AE7BD7">
              <w:t xml:space="preserve">after prior chemotherapy. Median follow-up was 29 months. </w:t>
            </w:r>
            <w:r w:rsidR="007C3BBD">
              <w:t>M</w:t>
            </w:r>
            <w:r w:rsidRPr="00AE7BD7">
              <w:t xml:space="preserve">edian PFS was 9 months for all patients. with median OS of 19 months. </w:t>
            </w:r>
          </w:p>
        </w:tc>
        <w:tc>
          <w:tcPr>
            <w:tcW w:w="748" w:type="pct"/>
          </w:tcPr>
          <w:p w14:paraId="4E33F833" w14:textId="77777777" w:rsidR="007C3BBD" w:rsidRPr="007C3BBD" w:rsidRDefault="007C3BBD" w:rsidP="007C3BBD">
            <w:r w:rsidRPr="007C3BBD">
              <w:t>doi.org/10.1007/s00259-017-3821-2</w:t>
            </w:r>
          </w:p>
          <w:p w14:paraId="6A683898" w14:textId="44425E3B" w:rsidR="00D9467E" w:rsidRDefault="00D9467E" w:rsidP="005D64AD"/>
        </w:tc>
        <w:tc>
          <w:tcPr>
            <w:tcW w:w="442" w:type="pct"/>
          </w:tcPr>
          <w:p w14:paraId="3B501C20" w14:textId="090FD114" w:rsidR="00D9467E" w:rsidRDefault="00C12379" w:rsidP="00DD308E">
            <w:r>
              <w:t>201</w:t>
            </w:r>
            <w:r w:rsidR="00AE7BD7">
              <w:t>7</w:t>
            </w:r>
          </w:p>
        </w:tc>
      </w:tr>
      <w:tr w:rsidR="00A21AD0" w14:paraId="2E77D951" w14:textId="77777777" w:rsidTr="008F1188">
        <w:trPr>
          <w:cantSplit/>
        </w:trPr>
        <w:tc>
          <w:tcPr>
            <w:tcW w:w="183" w:type="pct"/>
          </w:tcPr>
          <w:p w14:paraId="6A3573F7" w14:textId="5494977E" w:rsidR="00A21AD0" w:rsidRDefault="00056D02" w:rsidP="00DD308E">
            <w:pPr>
              <w:rPr>
                <w:szCs w:val="20"/>
              </w:rPr>
            </w:pPr>
            <w:r>
              <w:rPr>
                <w:szCs w:val="20"/>
              </w:rPr>
              <w:t>7.</w:t>
            </w:r>
          </w:p>
        </w:tc>
        <w:tc>
          <w:tcPr>
            <w:tcW w:w="720" w:type="pct"/>
          </w:tcPr>
          <w:p w14:paraId="1FAEAD43" w14:textId="61A7D6B6" w:rsidR="00A21AD0" w:rsidRDefault="000532CE" w:rsidP="00DD308E">
            <w:r>
              <w:t>Retrospective cohort outcome study</w:t>
            </w:r>
          </w:p>
        </w:tc>
        <w:tc>
          <w:tcPr>
            <w:tcW w:w="937" w:type="pct"/>
          </w:tcPr>
          <w:p w14:paraId="74DA8547" w14:textId="77777777" w:rsidR="00A21AD0" w:rsidRPr="00A21AD0" w:rsidRDefault="00A21AD0" w:rsidP="00A21AD0">
            <w:pPr>
              <w:rPr>
                <w:lang w:val="en-GB"/>
              </w:rPr>
            </w:pPr>
            <w:r w:rsidRPr="00A21AD0">
              <w:rPr>
                <w:lang w:val="en-GB"/>
              </w:rPr>
              <w:t>Peptide Receptor Radionuclide Therapy in Grade 3</w:t>
            </w:r>
          </w:p>
          <w:p w14:paraId="7E37E5EE" w14:textId="77777777" w:rsidR="00A21AD0" w:rsidRPr="00A21AD0" w:rsidRDefault="00A21AD0" w:rsidP="00A21AD0">
            <w:pPr>
              <w:rPr>
                <w:lang w:val="en-GB"/>
              </w:rPr>
            </w:pPr>
            <w:r w:rsidRPr="00A21AD0">
              <w:rPr>
                <w:lang w:val="en-GB"/>
              </w:rPr>
              <w:t>Neuroendocrine Neoplasms: Safety and Survival Analysis in</w:t>
            </w:r>
          </w:p>
          <w:p w14:paraId="0B39B7B6" w14:textId="417CE674" w:rsidR="00A21AD0" w:rsidRPr="00C12379" w:rsidRDefault="00A21AD0" w:rsidP="00A21AD0">
            <w:r w:rsidRPr="00A21AD0">
              <w:rPr>
                <w:lang w:val="en-GB"/>
              </w:rPr>
              <w:t>69 Patients</w:t>
            </w:r>
          </w:p>
        </w:tc>
        <w:tc>
          <w:tcPr>
            <w:tcW w:w="1970" w:type="pct"/>
          </w:tcPr>
          <w:p w14:paraId="25EDE142" w14:textId="5FB9C746" w:rsidR="000532CE" w:rsidRPr="000532CE" w:rsidRDefault="000532CE" w:rsidP="000532CE">
            <w:pPr>
              <w:rPr>
                <w:lang w:val="en-GB"/>
              </w:rPr>
            </w:pPr>
            <w:r w:rsidRPr="000532CE">
              <w:rPr>
                <w:lang w:val="en-GB"/>
              </w:rPr>
              <w:t>69</w:t>
            </w:r>
            <w:r>
              <w:rPr>
                <w:lang w:val="en-GB"/>
              </w:rPr>
              <w:t xml:space="preserve"> </w:t>
            </w:r>
            <w:r w:rsidRPr="000532CE">
              <w:rPr>
                <w:lang w:val="en-GB"/>
              </w:rPr>
              <w:t>patients received 177Lu- or 90Y</w:t>
            </w:r>
            <w:r>
              <w:rPr>
                <w:lang w:val="en-GB"/>
              </w:rPr>
              <w:t xml:space="preserve"> </w:t>
            </w:r>
            <w:proofErr w:type="spellStart"/>
            <w:r w:rsidRPr="000532CE">
              <w:rPr>
                <w:lang w:val="en-GB"/>
              </w:rPr>
              <w:t>D</w:t>
            </w:r>
            <w:r>
              <w:rPr>
                <w:lang w:val="en-GB"/>
              </w:rPr>
              <w:t>otatate</w:t>
            </w:r>
            <w:proofErr w:type="spellEnd"/>
            <w:r>
              <w:rPr>
                <w:lang w:val="en-GB"/>
              </w:rPr>
              <w:t xml:space="preserve"> o</w:t>
            </w:r>
            <w:r w:rsidR="002C3623">
              <w:rPr>
                <w:lang w:val="en-GB"/>
              </w:rPr>
              <w:t>r</w:t>
            </w:r>
            <w:r>
              <w:rPr>
                <w:lang w:val="en-GB"/>
              </w:rPr>
              <w:t xml:space="preserve"> </w:t>
            </w:r>
            <w:proofErr w:type="spellStart"/>
            <w:r>
              <w:rPr>
                <w:lang w:val="en-GB"/>
              </w:rPr>
              <w:t>Dotatoc</w:t>
            </w:r>
            <w:proofErr w:type="spellEnd"/>
            <w:r>
              <w:rPr>
                <w:lang w:val="en-GB"/>
              </w:rPr>
              <w:t xml:space="preserve"> </w:t>
            </w:r>
            <w:r w:rsidRPr="000532CE">
              <w:rPr>
                <w:lang w:val="en-GB"/>
              </w:rPr>
              <w:t>or DOTATOC</w:t>
            </w:r>
            <w:r>
              <w:rPr>
                <w:lang w:val="en-GB"/>
              </w:rPr>
              <w:t>, 22</w:t>
            </w:r>
          </w:p>
          <w:p w14:paraId="404988D3" w14:textId="0DCAF940" w:rsidR="00A21AD0" w:rsidRPr="002C3623" w:rsidRDefault="000532CE" w:rsidP="002C3623">
            <w:pPr>
              <w:rPr>
                <w:lang w:val="en-GB"/>
              </w:rPr>
            </w:pPr>
            <w:r>
              <w:rPr>
                <w:lang w:val="en-GB"/>
              </w:rPr>
              <w:t>adjuvant</w:t>
            </w:r>
            <w:r w:rsidRPr="000532CE">
              <w:rPr>
                <w:lang w:val="en-GB"/>
              </w:rPr>
              <w:t xml:space="preserve"> chemotherapy.</w:t>
            </w:r>
            <w:r>
              <w:rPr>
                <w:lang w:val="en-GB"/>
              </w:rPr>
              <w:t xml:space="preserve"> For </w:t>
            </w:r>
            <w:r w:rsidRPr="000532CE">
              <w:rPr>
                <w:lang w:val="en-GB"/>
              </w:rPr>
              <w:t>Ki-67 less 55% (53</w:t>
            </w:r>
            <w:r w:rsidR="002C3623">
              <w:rPr>
                <w:lang w:val="en-GB"/>
              </w:rPr>
              <w:t xml:space="preserve"> patients</w:t>
            </w:r>
            <w:r w:rsidRPr="000532CE">
              <w:rPr>
                <w:lang w:val="en-GB"/>
              </w:rPr>
              <w:t xml:space="preserve">) median PFS was 11 </w:t>
            </w:r>
            <w:proofErr w:type="spellStart"/>
            <w:r w:rsidRPr="000532CE">
              <w:rPr>
                <w:lang w:val="en-GB"/>
              </w:rPr>
              <w:t>mo</w:t>
            </w:r>
            <w:proofErr w:type="spellEnd"/>
            <w:r w:rsidRPr="000532CE">
              <w:rPr>
                <w:lang w:val="en-GB"/>
              </w:rPr>
              <w:t xml:space="preserve"> and median OS was</w:t>
            </w:r>
            <w:r>
              <w:rPr>
                <w:lang w:val="en-GB"/>
              </w:rPr>
              <w:t xml:space="preserve"> </w:t>
            </w:r>
            <w:r w:rsidRPr="000532CE">
              <w:rPr>
                <w:lang w:val="en-GB"/>
              </w:rPr>
              <w:t xml:space="preserve">22 mo. Ki-67 index greater than 55% </w:t>
            </w:r>
            <w:r w:rsidR="002C3623">
              <w:rPr>
                <w:lang w:val="en-GB"/>
              </w:rPr>
              <w:t>(</w:t>
            </w:r>
            <w:r w:rsidRPr="000532CE">
              <w:rPr>
                <w:lang w:val="en-GB"/>
              </w:rPr>
              <w:t>11</w:t>
            </w:r>
            <w:r w:rsidR="002C3623">
              <w:rPr>
                <w:lang w:val="en-GB"/>
              </w:rPr>
              <w:t xml:space="preserve"> patients had </w:t>
            </w:r>
            <w:r w:rsidR="002C3623" w:rsidRPr="002C3623">
              <w:rPr>
                <w:lang w:val="en-GB"/>
              </w:rPr>
              <w:t xml:space="preserve">4 months </w:t>
            </w:r>
            <w:r w:rsidRPr="000532CE">
              <w:rPr>
                <w:lang w:val="en-GB"/>
              </w:rPr>
              <w:t xml:space="preserve">median PFS and </w:t>
            </w:r>
            <w:r w:rsidR="002C3623">
              <w:rPr>
                <w:lang w:val="en-GB"/>
              </w:rPr>
              <w:t xml:space="preserve">7 months </w:t>
            </w:r>
            <w:r w:rsidRPr="000532CE">
              <w:rPr>
                <w:lang w:val="en-GB"/>
              </w:rPr>
              <w:t>median OS.</w:t>
            </w:r>
          </w:p>
        </w:tc>
        <w:tc>
          <w:tcPr>
            <w:tcW w:w="748" w:type="pct"/>
          </w:tcPr>
          <w:p w14:paraId="6012D9F9" w14:textId="05646D4D" w:rsidR="00A21AD0" w:rsidRPr="007C3BBD" w:rsidRDefault="000532CE" w:rsidP="007C3BBD">
            <w:r w:rsidRPr="000532CE">
              <w:rPr>
                <w:lang w:val="en-GB"/>
              </w:rPr>
              <w:t>DOI: 10.2967/jnumed.118.215848</w:t>
            </w:r>
          </w:p>
        </w:tc>
        <w:tc>
          <w:tcPr>
            <w:tcW w:w="442" w:type="pct"/>
          </w:tcPr>
          <w:p w14:paraId="4E40FEB2" w14:textId="5326FE87" w:rsidR="00A21AD0" w:rsidRDefault="000532CE" w:rsidP="00DD308E">
            <w:r>
              <w:t>2019</w:t>
            </w:r>
          </w:p>
        </w:tc>
      </w:tr>
      <w:tr w:rsidR="009A3842" w14:paraId="5FC9E700" w14:textId="77777777" w:rsidTr="008F1188">
        <w:trPr>
          <w:cantSplit/>
        </w:trPr>
        <w:tc>
          <w:tcPr>
            <w:tcW w:w="183" w:type="pct"/>
          </w:tcPr>
          <w:p w14:paraId="3DBF38AC" w14:textId="7384AB7D" w:rsidR="009A3842" w:rsidRDefault="00056D02" w:rsidP="00DD308E">
            <w:pPr>
              <w:rPr>
                <w:szCs w:val="20"/>
              </w:rPr>
            </w:pPr>
            <w:r>
              <w:rPr>
                <w:szCs w:val="20"/>
              </w:rPr>
              <w:t>8.</w:t>
            </w:r>
          </w:p>
        </w:tc>
        <w:tc>
          <w:tcPr>
            <w:tcW w:w="720" w:type="pct"/>
          </w:tcPr>
          <w:p w14:paraId="6BEDF1F4" w14:textId="327DC5F1" w:rsidR="009A3842" w:rsidRDefault="007B5071" w:rsidP="00DD308E">
            <w:r>
              <w:t>Retrospective cohort outcome study</w:t>
            </w:r>
          </w:p>
        </w:tc>
        <w:tc>
          <w:tcPr>
            <w:tcW w:w="937" w:type="pct"/>
          </w:tcPr>
          <w:p w14:paraId="226804D2" w14:textId="279CC346" w:rsidR="009A3842" w:rsidRPr="00A21AD0" w:rsidRDefault="009A3842" w:rsidP="009A3842">
            <w:pPr>
              <w:rPr>
                <w:lang w:val="en-GB"/>
              </w:rPr>
            </w:pPr>
            <w:r w:rsidRPr="009A3842">
              <w:rPr>
                <w:lang w:val="en-GB"/>
              </w:rPr>
              <w:t xml:space="preserve">Subacute </w:t>
            </w:r>
            <w:proofErr w:type="spellStart"/>
            <w:r w:rsidRPr="009A3842">
              <w:rPr>
                <w:lang w:val="en-GB"/>
              </w:rPr>
              <w:t>haematotoxicity</w:t>
            </w:r>
            <w:proofErr w:type="spellEnd"/>
            <w:r w:rsidRPr="009A3842">
              <w:rPr>
                <w:lang w:val="en-GB"/>
              </w:rPr>
              <w:t xml:space="preserve"> after PRRT with 177Lu-DOTA-octreotate:</w:t>
            </w:r>
            <w:r>
              <w:rPr>
                <w:lang w:val="en-GB"/>
              </w:rPr>
              <w:t xml:space="preserve"> </w:t>
            </w:r>
            <w:r w:rsidRPr="009A3842">
              <w:rPr>
                <w:lang w:val="en-GB"/>
              </w:rPr>
              <w:t xml:space="preserve">prognostic factors, </w:t>
            </w:r>
            <w:proofErr w:type="gramStart"/>
            <w:r w:rsidRPr="009A3842">
              <w:rPr>
                <w:lang w:val="en-GB"/>
              </w:rPr>
              <w:t>incidence</w:t>
            </w:r>
            <w:proofErr w:type="gramEnd"/>
            <w:r w:rsidRPr="009A3842">
              <w:rPr>
                <w:lang w:val="en-GB"/>
              </w:rPr>
              <w:t xml:space="preserve"> and course</w:t>
            </w:r>
          </w:p>
        </w:tc>
        <w:tc>
          <w:tcPr>
            <w:tcW w:w="1970" w:type="pct"/>
          </w:tcPr>
          <w:p w14:paraId="649EBFDE" w14:textId="4FB9FC88" w:rsidR="009A3842" w:rsidRDefault="007B5071" w:rsidP="007B5071">
            <w:pPr>
              <w:rPr>
                <w:lang w:val="en-GB"/>
              </w:rPr>
            </w:pPr>
            <w:r w:rsidRPr="007B5071">
              <w:rPr>
                <w:lang w:val="en-GB"/>
              </w:rPr>
              <w:t xml:space="preserve">Haematological toxicity (grade 3/4) occurred in </w:t>
            </w:r>
            <w:r>
              <w:rPr>
                <w:lang w:val="en-GB"/>
              </w:rPr>
              <w:t>34</w:t>
            </w:r>
            <w:r w:rsidRPr="007B5071">
              <w:rPr>
                <w:lang w:val="en-GB"/>
              </w:rPr>
              <w:t xml:space="preserve"> of 320 patients</w:t>
            </w:r>
            <w:r>
              <w:rPr>
                <w:lang w:val="en-GB"/>
              </w:rPr>
              <w:t xml:space="preserve"> and </w:t>
            </w:r>
            <w:r w:rsidRPr="007B5071">
              <w:rPr>
                <w:lang w:val="en-GB"/>
              </w:rPr>
              <w:t>lasted</w:t>
            </w:r>
            <w:r>
              <w:rPr>
                <w:lang w:val="en-GB"/>
              </w:rPr>
              <w:t xml:space="preserve"> </w:t>
            </w:r>
            <w:r w:rsidRPr="007B5071">
              <w:rPr>
                <w:lang w:val="en-GB"/>
              </w:rPr>
              <w:t xml:space="preserve">more than 6 months </w:t>
            </w:r>
            <w:r>
              <w:rPr>
                <w:lang w:val="en-GB"/>
              </w:rPr>
              <w:t xml:space="preserve">in 15. </w:t>
            </w:r>
            <w:r w:rsidRPr="007B5071">
              <w:rPr>
                <w:lang w:val="en-GB"/>
              </w:rPr>
              <w:t>Risk</w:t>
            </w:r>
            <w:r>
              <w:rPr>
                <w:lang w:val="en-GB"/>
              </w:rPr>
              <w:t xml:space="preserve"> factors </w:t>
            </w:r>
            <w:proofErr w:type="gramStart"/>
            <w:r>
              <w:rPr>
                <w:lang w:val="en-GB"/>
              </w:rPr>
              <w:t>wer</w:t>
            </w:r>
            <w:r w:rsidR="000449F5">
              <w:rPr>
                <w:lang w:val="en-GB"/>
              </w:rPr>
              <w:t>e</w:t>
            </w:r>
            <w:r w:rsidRPr="007B5071">
              <w:rPr>
                <w:lang w:val="en-GB"/>
              </w:rPr>
              <w:t>:</w:t>
            </w:r>
            <w:proofErr w:type="gramEnd"/>
            <w:r w:rsidRPr="007B5071">
              <w:rPr>
                <w:lang w:val="en-GB"/>
              </w:rPr>
              <w:t xml:space="preserve"> poor renal function, white blood cell (WBC) count&lt;4.0</w:t>
            </w:r>
            <w:r>
              <w:rPr>
                <w:lang w:val="en-GB"/>
              </w:rPr>
              <w:t>x</w:t>
            </w:r>
            <w:r w:rsidRPr="007B5071">
              <w:rPr>
                <w:lang w:val="en-GB"/>
              </w:rPr>
              <w:t>10</w:t>
            </w:r>
            <w:r w:rsidRPr="007B5071">
              <w:rPr>
                <w:vertAlign w:val="superscript"/>
                <w:lang w:val="en-GB"/>
              </w:rPr>
              <w:t>9</w:t>
            </w:r>
            <w:r w:rsidRPr="007B5071">
              <w:rPr>
                <w:lang w:val="en-GB"/>
              </w:rPr>
              <w:t>/l, age over 70 years, extensive tumour mass and</w:t>
            </w:r>
            <w:r>
              <w:rPr>
                <w:lang w:val="en-GB"/>
              </w:rPr>
              <w:t xml:space="preserve"> high uptake on somatostatin receptor imaging.</w:t>
            </w:r>
          </w:p>
          <w:p w14:paraId="0B8DA46A" w14:textId="084BF265" w:rsidR="000449F5" w:rsidRPr="000532CE" w:rsidRDefault="000449F5" w:rsidP="007B5071">
            <w:pPr>
              <w:rPr>
                <w:lang w:val="en-GB"/>
              </w:rPr>
            </w:pPr>
          </w:p>
        </w:tc>
        <w:tc>
          <w:tcPr>
            <w:tcW w:w="748" w:type="pct"/>
          </w:tcPr>
          <w:p w14:paraId="53E92BDB" w14:textId="06A8F4AA" w:rsidR="009A3842" w:rsidRPr="000532CE" w:rsidRDefault="007B5071" w:rsidP="007C3BBD">
            <w:pPr>
              <w:rPr>
                <w:lang w:val="en-GB"/>
              </w:rPr>
            </w:pPr>
            <w:r w:rsidRPr="007B5071">
              <w:rPr>
                <w:lang w:val="en-GB"/>
              </w:rPr>
              <w:t>DOI 10.1007/s00259-015-3193-4</w:t>
            </w:r>
          </w:p>
        </w:tc>
        <w:tc>
          <w:tcPr>
            <w:tcW w:w="442" w:type="pct"/>
          </w:tcPr>
          <w:p w14:paraId="334456FD" w14:textId="0E5EDE19" w:rsidR="009A3842" w:rsidRDefault="007B5071" w:rsidP="00DD308E">
            <w:r>
              <w:t>2016</w:t>
            </w:r>
          </w:p>
        </w:tc>
      </w:tr>
      <w:tr w:rsidR="00AD4983" w14:paraId="734F8AD7" w14:textId="77777777" w:rsidTr="008F1188">
        <w:trPr>
          <w:cantSplit/>
        </w:trPr>
        <w:tc>
          <w:tcPr>
            <w:tcW w:w="183" w:type="pct"/>
          </w:tcPr>
          <w:p w14:paraId="1E805905" w14:textId="53AC4590" w:rsidR="00AD4983" w:rsidRDefault="00056D02" w:rsidP="00DD308E">
            <w:pPr>
              <w:rPr>
                <w:szCs w:val="20"/>
              </w:rPr>
            </w:pPr>
            <w:r>
              <w:rPr>
                <w:szCs w:val="20"/>
              </w:rPr>
              <w:lastRenderedPageBreak/>
              <w:t>9.</w:t>
            </w:r>
          </w:p>
        </w:tc>
        <w:tc>
          <w:tcPr>
            <w:tcW w:w="720" w:type="pct"/>
          </w:tcPr>
          <w:p w14:paraId="3CE3C72B" w14:textId="2F81D620" w:rsidR="00AD4983" w:rsidRDefault="00E22FAE" w:rsidP="00DD308E">
            <w:r>
              <w:t xml:space="preserve">Retrospective </w:t>
            </w:r>
          </w:p>
        </w:tc>
        <w:tc>
          <w:tcPr>
            <w:tcW w:w="937" w:type="pct"/>
          </w:tcPr>
          <w:p w14:paraId="095C98DD" w14:textId="10316BBF" w:rsidR="00AD4983" w:rsidRPr="009A3842" w:rsidRDefault="00D16409" w:rsidP="009A3842">
            <w:pPr>
              <w:rPr>
                <w:lang w:val="en-GB"/>
              </w:rPr>
            </w:pPr>
            <w:r>
              <w:rPr>
                <w:lang w:val="en-GB"/>
              </w:rPr>
              <w:t xml:space="preserve">Multi-centre PRRT </w:t>
            </w:r>
            <w:r w:rsidR="00AD4983">
              <w:rPr>
                <w:lang w:val="en-GB"/>
              </w:rPr>
              <w:t>toxicity study</w:t>
            </w:r>
          </w:p>
        </w:tc>
        <w:tc>
          <w:tcPr>
            <w:tcW w:w="1970" w:type="pct"/>
          </w:tcPr>
          <w:p w14:paraId="4060FA67" w14:textId="0596A6CE" w:rsidR="00AD4983" w:rsidRPr="007B5071" w:rsidRDefault="00E22FAE" w:rsidP="00D16409">
            <w:pPr>
              <w:rPr>
                <w:lang w:val="en-GB"/>
              </w:rPr>
            </w:pPr>
            <w:r>
              <w:rPr>
                <w:lang w:val="en-GB"/>
              </w:rPr>
              <w:t>807 patients from multiple centres in Europe evaluating acute and long-term toxicity</w:t>
            </w:r>
            <w:r w:rsidR="00711803">
              <w:rPr>
                <w:lang w:val="en-GB"/>
              </w:rPr>
              <w:t xml:space="preserve">. </w:t>
            </w:r>
            <w:r w:rsidR="00711803" w:rsidRPr="00711803">
              <w:rPr>
                <w:lang w:val="en-GB"/>
              </w:rPr>
              <w:t>Treatment with 90Y and 90Y+177Lu was more likely</w:t>
            </w:r>
            <w:r w:rsidR="00711803">
              <w:rPr>
                <w:lang w:val="en-GB"/>
              </w:rPr>
              <w:t xml:space="preserve"> </w:t>
            </w:r>
            <w:r w:rsidR="00711803" w:rsidRPr="00711803">
              <w:rPr>
                <w:lang w:val="en-GB"/>
              </w:rPr>
              <w:t>to result in nephrotoxicity than treatment with 177Lu alone</w:t>
            </w:r>
            <w:r w:rsidR="00711803">
              <w:rPr>
                <w:lang w:val="en-GB"/>
              </w:rPr>
              <w:t xml:space="preserve"> </w:t>
            </w:r>
            <w:r w:rsidR="00711803" w:rsidRPr="00711803">
              <w:rPr>
                <w:lang w:val="en-GB"/>
              </w:rPr>
              <w:t>(33.6 %, 25.5 % and 13.4 % of patients, respectively;</w:t>
            </w:r>
            <w:r w:rsidR="00711803">
              <w:rPr>
                <w:lang w:val="en-GB"/>
              </w:rPr>
              <w:t xml:space="preserve"> </w:t>
            </w:r>
            <w:r w:rsidR="00711803" w:rsidRPr="00711803">
              <w:rPr>
                <w:lang w:val="en-GB"/>
              </w:rPr>
              <w:t>p&lt;0.0001). Nephrotoxicity (any grade), transient and persistent,</w:t>
            </w:r>
            <w:r w:rsidR="00711803">
              <w:rPr>
                <w:lang w:val="en-GB"/>
              </w:rPr>
              <w:t xml:space="preserve"> </w:t>
            </w:r>
            <w:r w:rsidR="00711803" w:rsidRPr="00711803">
              <w:rPr>
                <w:lang w:val="en-GB"/>
              </w:rPr>
              <w:t>occurred in 279 patients (34.6 %) and was severe (grade</w:t>
            </w:r>
            <w:r w:rsidR="00711803">
              <w:rPr>
                <w:lang w:val="en-GB"/>
              </w:rPr>
              <w:t xml:space="preserve"> </w:t>
            </w:r>
            <w:r w:rsidR="00711803" w:rsidRPr="00711803">
              <w:rPr>
                <w:lang w:val="en-GB"/>
              </w:rPr>
              <w:t>3+4) in 12 (1.5 %).</w:t>
            </w:r>
            <w:r w:rsidR="00D16409">
              <w:rPr>
                <w:lang w:val="en-GB"/>
              </w:rPr>
              <w:t xml:space="preserve"> </w:t>
            </w:r>
            <w:r w:rsidR="00D16409" w:rsidRPr="00D16409">
              <w:rPr>
                <w:lang w:val="en-GB"/>
              </w:rPr>
              <w:t>Myelodysplastic</w:t>
            </w:r>
            <w:r w:rsidR="00D16409">
              <w:rPr>
                <w:lang w:val="en-GB"/>
              </w:rPr>
              <w:t xml:space="preserve"> </w:t>
            </w:r>
            <w:r w:rsidR="00D16409" w:rsidRPr="00D16409">
              <w:rPr>
                <w:lang w:val="en-GB"/>
              </w:rPr>
              <w:t>syndrome occurred in 2.35 % of patients</w:t>
            </w:r>
          </w:p>
        </w:tc>
        <w:tc>
          <w:tcPr>
            <w:tcW w:w="748" w:type="pct"/>
          </w:tcPr>
          <w:p w14:paraId="63730A06" w14:textId="7B551620" w:rsidR="00AD4983" w:rsidRPr="007B5071" w:rsidRDefault="00711803" w:rsidP="007C3BBD">
            <w:pPr>
              <w:rPr>
                <w:lang w:val="en-GB"/>
              </w:rPr>
            </w:pPr>
            <w:r w:rsidRPr="00711803">
              <w:rPr>
                <w:lang w:val="en-GB"/>
              </w:rPr>
              <w:t>DOI 10.1007/s00259-014-2893-5</w:t>
            </w:r>
          </w:p>
        </w:tc>
        <w:tc>
          <w:tcPr>
            <w:tcW w:w="442" w:type="pct"/>
          </w:tcPr>
          <w:p w14:paraId="4F546265" w14:textId="6970DB3F" w:rsidR="00AD4983" w:rsidRDefault="00D16409" w:rsidP="00DD308E">
            <w:r>
              <w:t>2015</w:t>
            </w:r>
          </w:p>
        </w:tc>
      </w:tr>
      <w:tr w:rsidR="00026E73" w14:paraId="323C87C1" w14:textId="77777777" w:rsidTr="008F1188">
        <w:trPr>
          <w:cantSplit/>
        </w:trPr>
        <w:tc>
          <w:tcPr>
            <w:tcW w:w="183" w:type="pct"/>
          </w:tcPr>
          <w:p w14:paraId="47DAF8E2" w14:textId="3657E3E9" w:rsidR="00026E73" w:rsidRDefault="000449F5" w:rsidP="00DD308E">
            <w:pPr>
              <w:rPr>
                <w:szCs w:val="20"/>
              </w:rPr>
            </w:pPr>
            <w:r>
              <w:rPr>
                <w:szCs w:val="20"/>
              </w:rPr>
              <w:t>10</w:t>
            </w:r>
          </w:p>
        </w:tc>
        <w:tc>
          <w:tcPr>
            <w:tcW w:w="720" w:type="pct"/>
          </w:tcPr>
          <w:p w14:paraId="368AC839" w14:textId="59F2E500" w:rsidR="00026E73" w:rsidRDefault="009E5A03" w:rsidP="00DD308E">
            <w:r>
              <w:t>Retrospective cohort study</w:t>
            </w:r>
          </w:p>
        </w:tc>
        <w:tc>
          <w:tcPr>
            <w:tcW w:w="937" w:type="pct"/>
          </w:tcPr>
          <w:p w14:paraId="05300F8C" w14:textId="1BEABDB7" w:rsidR="00026E73" w:rsidRDefault="00026E73" w:rsidP="00026E73">
            <w:pPr>
              <w:rPr>
                <w:lang w:val="en-GB"/>
              </w:rPr>
            </w:pPr>
            <w:r w:rsidRPr="00026E73">
              <w:rPr>
                <w:lang w:val="en-GB"/>
              </w:rPr>
              <w:t>Retreatment with peptide receptor radionuclide</w:t>
            </w:r>
            <w:r>
              <w:rPr>
                <w:lang w:val="en-GB"/>
              </w:rPr>
              <w:t xml:space="preserve"> </w:t>
            </w:r>
            <w:r w:rsidRPr="00026E73">
              <w:rPr>
                <w:lang w:val="en-GB"/>
              </w:rPr>
              <w:t>therapy in patients with progressing neuroendocrine</w:t>
            </w:r>
            <w:r>
              <w:rPr>
                <w:lang w:val="en-GB"/>
              </w:rPr>
              <w:t xml:space="preserve"> </w:t>
            </w:r>
            <w:r w:rsidRPr="00026E73">
              <w:rPr>
                <w:lang w:val="en-GB"/>
              </w:rPr>
              <w:t>tumours: efficacy and prognostic factors for response</w:t>
            </w:r>
          </w:p>
        </w:tc>
        <w:tc>
          <w:tcPr>
            <w:tcW w:w="1970" w:type="pct"/>
          </w:tcPr>
          <w:p w14:paraId="1E6FC2B6" w14:textId="3668BE04" w:rsidR="003B6E6F" w:rsidRPr="009E5A03" w:rsidRDefault="009E5A03" w:rsidP="003B6E6F">
            <w:pPr>
              <w:rPr>
                <w:lang w:val="en-GB"/>
              </w:rPr>
            </w:pPr>
            <w:r w:rsidRPr="009E5A03">
              <w:rPr>
                <w:lang w:val="en-GB"/>
              </w:rPr>
              <w:t xml:space="preserve">29 patients were </w:t>
            </w:r>
            <w:r>
              <w:rPr>
                <w:lang w:val="en-GB"/>
              </w:rPr>
              <w:t>re-</w:t>
            </w:r>
            <w:r w:rsidRPr="009E5A03">
              <w:rPr>
                <w:lang w:val="en-GB"/>
              </w:rPr>
              <w:t xml:space="preserve">treated </w:t>
            </w:r>
            <w:r w:rsidR="003B6E6F">
              <w:rPr>
                <w:lang w:val="en-GB"/>
              </w:rPr>
              <w:t xml:space="preserve">(PRRT2) </w:t>
            </w:r>
            <w:r w:rsidRPr="009E5A03">
              <w:rPr>
                <w:lang w:val="en-GB"/>
              </w:rPr>
              <w:t>with 90Y-</w:t>
            </w:r>
            <w:r>
              <w:rPr>
                <w:lang w:val="en-GB"/>
              </w:rPr>
              <w:t>dotatate</w:t>
            </w:r>
            <w:r w:rsidRPr="009E5A03">
              <w:rPr>
                <w:lang w:val="en-GB"/>
              </w:rPr>
              <w:t xml:space="preserve"> and 18</w:t>
            </w:r>
            <w:r>
              <w:rPr>
                <w:lang w:val="en-GB"/>
              </w:rPr>
              <w:t xml:space="preserve"> </w:t>
            </w:r>
            <w:r w:rsidRPr="009E5A03">
              <w:rPr>
                <w:lang w:val="en-GB"/>
              </w:rPr>
              <w:t>patients with 177Lu</w:t>
            </w:r>
            <w:r>
              <w:rPr>
                <w:lang w:val="en-GB"/>
              </w:rPr>
              <w:t>-dotatate after initial</w:t>
            </w:r>
            <w:r w:rsidR="003B6E6F">
              <w:rPr>
                <w:lang w:val="en-GB"/>
              </w:rPr>
              <w:t xml:space="preserve"> peptide receptor radionuclide </w:t>
            </w:r>
            <w:proofErr w:type="gramStart"/>
            <w:r w:rsidR="003B6E6F">
              <w:rPr>
                <w:lang w:val="en-GB"/>
              </w:rPr>
              <w:t>therapy</w:t>
            </w:r>
            <w:r>
              <w:rPr>
                <w:lang w:val="en-GB"/>
              </w:rPr>
              <w:t xml:space="preserve"> </w:t>
            </w:r>
            <w:r w:rsidRPr="009E5A03">
              <w:rPr>
                <w:lang w:val="en-GB"/>
              </w:rPr>
              <w:t>.</w:t>
            </w:r>
            <w:proofErr w:type="gramEnd"/>
            <w:r w:rsidRPr="009E5A03">
              <w:rPr>
                <w:lang w:val="en-GB"/>
              </w:rPr>
              <w:t xml:space="preserve"> </w:t>
            </w:r>
          </w:p>
          <w:p w14:paraId="6CB09A05" w14:textId="77777777" w:rsidR="003B6E6F" w:rsidRDefault="003B6E6F" w:rsidP="009E5A03">
            <w:pPr>
              <w:rPr>
                <w:lang w:val="en-GB"/>
              </w:rPr>
            </w:pPr>
            <w:r>
              <w:rPr>
                <w:lang w:val="en-GB"/>
              </w:rPr>
              <w:t>M</w:t>
            </w:r>
            <w:r w:rsidR="009E5A03" w:rsidRPr="009E5A03">
              <w:rPr>
                <w:lang w:val="en-GB"/>
              </w:rPr>
              <w:t>edian PFS after PRRT2 was 17.5</w:t>
            </w:r>
            <w:r>
              <w:rPr>
                <w:lang w:val="en-GB"/>
              </w:rPr>
              <w:t xml:space="preserve"> </w:t>
            </w:r>
            <w:r w:rsidR="009E5A03" w:rsidRPr="009E5A03">
              <w:rPr>
                <w:lang w:val="en-GB"/>
              </w:rPr>
              <w:t>months. There was no statistically</w:t>
            </w:r>
            <w:r>
              <w:rPr>
                <w:lang w:val="en-GB"/>
              </w:rPr>
              <w:t xml:space="preserve"> </w:t>
            </w:r>
            <w:r w:rsidR="009E5A03" w:rsidRPr="009E5A03">
              <w:rPr>
                <w:lang w:val="en-GB"/>
              </w:rPr>
              <w:t xml:space="preserve">significant difference in median PFS </w:t>
            </w:r>
            <w:r>
              <w:rPr>
                <w:lang w:val="en-GB"/>
              </w:rPr>
              <w:t>related to</w:t>
            </w:r>
            <w:r w:rsidR="009E5A03" w:rsidRPr="009E5A03">
              <w:rPr>
                <w:lang w:val="en-GB"/>
              </w:rPr>
              <w:t xml:space="preserve"> radiopharmaceutical</w:t>
            </w:r>
            <w:r>
              <w:rPr>
                <w:lang w:val="en-GB"/>
              </w:rPr>
              <w:t>.</w:t>
            </w:r>
          </w:p>
          <w:p w14:paraId="1FD1235C" w14:textId="251B9079" w:rsidR="00026E73" w:rsidRPr="007B5071" w:rsidRDefault="003B6E6F" w:rsidP="009E5A03">
            <w:pPr>
              <w:rPr>
                <w:lang w:val="en-GB"/>
              </w:rPr>
            </w:pPr>
            <w:r w:rsidRPr="009E5A03">
              <w:rPr>
                <w:lang w:val="en-GB"/>
              </w:rPr>
              <w:t>71 months</w:t>
            </w:r>
            <w:r>
              <w:rPr>
                <w:lang w:val="en-GB"/>
              </w:rPr>
              <w:t xml:space="preserve"> m</w:t>
            </w:r>
            <w:r w:rsidR="009E5A03" w:rsidRPr="009E5A03">
              <w:rPr>
                <w:lang w:val="en-GB"/>
              </w:rPr>
              <w:t>edian overall survival from commencement of first</w:t>
            </w:r>
            <w:r>
              <w:rPr>
                <w:lang w:val="en-GB"/>
              </w:rPr>
              <w:t xml:space="preserve"> </w:t>
            </w:r>
            <w:r w:rsidR="009E5A03" w:rsidRPr="009E5A03">
              <w:rPr>
                <w:lang w:val="en-GB"/>
              </w:rPr>
              <w:t>PRRT cycle</w:t>
            </w:r>
            <w:r>
              <w:rPr>
                <w:lang w:val="en-GB"/>
              </w:rPr>
              <w:t>.</w:t>
            </w:r>
          </w:p>
        </w:tc>
        <w:tc>
          <w:tcPr>
            <w:tcW w:w="748" w:type="pct"/>
          </w:tcPr>
          <w:p w14:paraId="35464E6C" w14:textId="11091556" w:rsidR="00026E73" w:rsidRPr="007B5071" w:rsidRDefault="009E5A03" w:rsidP="007C3BBD">
            <w:pPr>
              <w:rPr>
                <w:lang w:val="en-GB"/>
              </w:rPr>
            </w:pPr>
            <w:proofErr w:type="spellStart"/>
            <w:r w:rsidRPr="009E5A03">
              <w:rPr>
                <w:lang w:val="en-GB"/>
              </w:rPr>
              <w:t>doi</w:t>
            </w:r>
            <w:proofErr w:type="spellEnd"/>
            <w:r w:rsidRPr="009E5A03">
              <w:rPr>
                <w:lang w:val="en-GB"/>
              </w:rPr>
              <w:t xml:space="preserve">. org/ 10. 1259/ </w:t>
            </w:r>
            <w:proofErr w:type="spellStart"/>
            <w:r w:rsidRPr="009E5A03">
              <w:rPr>
                <w:lang w:val="en-GB"/>
              </w:rPr>
              <w:t>bjr</w:t>
            </w:r>
            <w:proofErr w:type="spellEnd"/>
            <w:r w:rsidRPr="009E5A03">
              <w:rPr>
                <w:lang w:val="en-GB"/>
              </w:rPr>
              <w:t>. 20180041</w:t>
            </w:r>
          </w:p>
        </w:tc>
        <w:tc>
          <w:tcPr>
            <w:tcW w:w="442" w:type="pct"/>
          </w:tcPr>
          <w:p w14:paraId="653B6271" w14:textId="59E67275" w:rsidR="00026E73" w:rsidRDefault="009E5A03" w:rsidP="00DD308E">
            <w:r>
              <w:t>2018</w:t>
            </w:r>
          </w:p>
        </w:tc>
      </w:tr>
      <w:tr w:rsidR="000449F5" w14:paraId="0A3BCE07" w14:textId="77777777" w:rsidTr="008F1188">
        <w:trPr>
          <w:cantSplit/>
        </w:trPr>
        <w:tc>
          <w:tcPr>
            <w:tcW w:w="183" w:type="pct"/>
          </w:tcPr>
          <w:p w14:paraId="0DB0AE28" w14:textId="3DF45FDD" w:rsidR="000449F5" w:rsidRDefault="00E22FAE" w:rsidP="00DD308E">
            <w:pPr>
              <w:rPr>
                <w:szCs w:val="20"/>
              </w:rPr>
            </w:pPr>
            <w:r>
              <w:rPr>
                <w:szCs w:val="20"/>
              </w:rPr>
              <w:t>11</w:t>
            </w:r>
            <w:r w:rsidR="00D16409">
              <w:rPr>
                <w:szCs w:val="20"/>
              </w:rPr>
              <w:t>.</w:t>
            </w:r>
          </w:p>
        </w:tc>
        <w:tc>
          <w:tcPr>
            <w:tcW w:w="720" w:type="pct"/>
          </w:tcPr>
          <w:p w14:paraId="4E15E3A9" w14:textId="5BDC2140" w:rsidR="000449F5" w:rsidRDefault="00E22FAE" w:rsidP="00DD308E">
            <w:r>
              <w:t>Retrospective cohort study</w:t>
            </w:r>
          </w:p>
        </w:tc>
        <w:tc>
          <w:tcPr>
            <w:tcW w:w="937" w:type="pct"/>
          </w:tcPr>
          <w:p w14:paraId="38CBADE6" w14:textId="5C97BBE5" w:rsidR="000449F5" w:rsidRPr="00026E73" w:rsidRDefault="00E22FAE" w:rsidP="00026E73">
            <w:pPr>
              <w:rPr>
                <w:lang w:val="en-GB"/>
              </w:rPr>
            </w:pPr>
            <w:r>
              <w:rPr>
                <w:lang w:val="en-GB"/>
              </w:rPr>
              <w:t xml:space="preserve">Analysis of efficacy and safety of PRRT in </w:t>
            </w:r>
            <w:proofErr w:type="spellStart"/>
            <w:r>
              <w:rPr>
                <w:lang w:val="en-GB"/>
              </w:rPr>
              <w:t>bronchpulmonary</w:t>
            </w:r>
            <w:proofErr w:type="spellEnd"/>
            <w:r>
              <w:rPr>
                <w:lang w:val="en-GB"/>
              </w:rPr>
              <w:t xml:space="preserve"> NET at 2 ENETS Centres of Excellence</w:t>
            </w:r>
          </w:p>
        </w:tc>
        <w:tc>
          <w:tcPr>
            <w:tcW w:w="1970" w:type="pct"/>
          </w:tcPr>
          <w:p w14:paraId="1B616CF3" w14:textId="77777777" w:rsidR="00540572" w:rsidRDefault="00E22FAE" w:rsidP="00711803">
            <w:pPr>
              <w:rPr>
                <w:lang w:val="en-GB"/>
              </w:rPr>
            </w:pPr>
            <w:r>
              <w:rPr>
                <w:lang w:val="en-GB"/>
              </w:rPr>
              <w:t>48 patients with typical and atypical lung carcinoid tumours with progressive metastatic disease.</w:t>
            </w:r>
            <w:r w:rsidR="005353C9">
              <w:rPr>
                <w:lang w:val="en-GB"/>
              </w:rPr>
              <w:t xml:space="preserve"> </w:t>
            </w:r>
          </w:p>
          <w:p w14:paraId="62F2EAE3" w14:textId="77777777" w:rsidR="00540572" w:rsidRDefault="005353C9" w:rsidP="00711803">
            <w:pPr>
              <w:rPr>
                <w:lang w:val="en-GB"/>
              </w:rPr>
            </w:pPr>
            <w:r w:rsidRPr="005353C9">
              <w:rPr>
                <w:lang w:val="en-GB"/>
              </w:rPr>
              <w:t xml:space="preserve">At a median follow-up of 42 </w:t>
            </w:r>
            <w:proofErr w:type="spellStart"/>
            <w:r w:rsidRPr="005353C9">
              <w:rPr>
                <w:lang w:val="en-GB"/>
              </w:rPr>
              <w:t>mo</w:t>
            </w:r>
            <w:proofErr w:type="spellEnd"/>
            <w:r w:rsidRPr="005353C9">
              <w:rPr>
                <w:lang w:val="en-GB"/>
              </w:rPr>
              <w:t>, the median PFS</w:t>
            </w:r>
            <w:r>
              <w:rPr>
                <w:lang w:val="en-GB"/>
              </w:rPr>
              <w:t xml:space="preserve"> </w:t>
            </w:r>
            <w:r w:rsidRPr="005353C9">
              <w:rPr>
                <w:lang w:val="en-GB"/>
              </w:rPr>
              <w:t xml:space="preserve">and OS were 23 </w:t>
            </w:r>
            <w:proofErr w:type="spellStart"/>
            <w:r w:rsidRPr="005353C9">
              <w:rPr>
                <w:lang w:val="en-GB"/>
              </w:rPr>
              <w:t>mo</w:t>
            </w:r>
            <w:proofErr w:type="spellEnd"/>
            <w:r w:rsidRPr="005353C9">
              <w:rPr>
                <w:lang w:val="en-GB"/>
              </w:rPr>
              <w:t xml:space="preserve"> (95% CI, 18–28 </w:t>
            </w:r>
            <w:proofErr w:type="spellStart"/>
            <w:r w:rsidRPr="005353C9">
              <w:rPr>
                <w:lang w:val="en-GB"/>
              </w:rPr>
              <w:t>mo</w:t>
            </w:r>
            <w:proofErr w:type="spellEnd"/>
            <w:r w:rsidRPr="005353C9">
              <w:rPr>
                <w:lang w:val="en-GB"/>
              </w:rPr>
              <w:t xml:space="preserve">) and 59 </w:t>
            </w:r>
            <w:proofErr w:type="spellStart"/>
            <w:r w:rsidRPr="005353C9">
              <w:rPr>
                <w:lang w:val="en-GB"/>
              </w:rPr>
              <w:t>mo</w:t>
            </w:r>
            <w:proofErr w:type="spellEnd"/>
            <w:r w:rsidRPr="005353C9">
              <w:rPr>
                <w:lang w:val="en-GB"/>
              </w:rPr>
              <w:t xml:space="preserve"> (95% CI, 50-not</w:t>
            </w:r>
            <w:r>
              <w:rPr>
                <w:lang w:val="en-GB"/>
              </w:rPr>
              <w:t xml:space="preserve"> </w:t>
            </w:r>
            <w:r w:rsidRPr="005353C9">
              <w:rPr>
                <w:lang w:val="en-GB"/>
              </w:rPr>
              <w:t xml:space="preserve">reached [NR]), respectively. </w:t>
            </w:r>
          </w:p>
          <w:p w14:paraId="78DB32C8" w14:textId="27EA4F5A" w:rsidR="000449F5" w:rsidRPr="009E5A03" w:rsidRDefault="005353C9" w:rsidP="00711803">
            <w:pPr>
              <w:rPr>
                <w:lang w:val="en-GB"/>
              </w:rPr>
            </w:pPr>
            <w:r>
              <w:rPr>
                <w:lang w:val="en-GB"/>
              </w:rPr>
              <w:t>Disease control rate was 88% by RECIST or Ga-68 DOTATE PET/CT</w:t>
            </w:r>
            <w:r w:rsidR="00711803">
              <w:rPr>
                <w:lang w:val="en-GB"/>
              </w:rPr>
              <w:t xml:space="preserve">. </w:t>
            </w:r>
            <w:r w:rsidR="00711803" w:rsidRPr="00711803">
              <w:rPr>
                <w:lang w:val="en-GB"/>
              </w:rPr>
              <w:t>Of</w:t>
            </w:r>
            <w:r w:rsidR="00711803">
              <w:rPr>
                <w:lang w:val="en-GB"/>
              </w:rPr>
              <w:t xml:space="preserve"> </w:t>
            </w:r>
            <w:r w:rsidR="00711803" w:rsidRPr="00711803">
              <w:rPr>
                <w:lang w:val="en-GB"/>
              </w:rPr>
              <w:t>patients with stable disease by RECIST, those with partial response on</w:t>
            </w:r>
            <w:r w:rsidR="00711803">
              <w:rPr>
                <w:lang w:val="en-GB"/>
              </w:rPr>
              <w:t xml:space="preserve"> </w:t>
            </w:r>
            <w:r w:rsidR="00711803" w:rsidRPr="00A47DA2">
              <w:rPr>
                <w:vertAlign w:val="superscript"/>
                <w:lang w:val="en-GB"/>
              </w:rPr>
              <w:t>68</w:t>
            </w:r>
            <w:r w:rsidR="00711803" w:rsidRPr="00711803">
              <w:rPr>
                <w:lang w:val="en-GB"/>
              </w:rPr>
              <w:t>Ga-DOTATATE PET/CT had a longer OS than those with no</w:t>
            </w:r>
            <w:r w:rsidR="00711803">
              <w:rPr>
                <w:lang w:val="en-GB"/>
              </w:rPr>
              <w:t xml:space="preserve"> </w:t>
            </w:r>
            <w:r w:rsidR="00711803" w:rsidRPr="00711803">
              <w:rPr>
                <w:lang w:val="en-GB"/>
              </w:rPr>
              <w:t xml:space="preserve">response, NR versus 52 </w:t>
            </w:r>
            <w:proofErr w:type="spellStart"/>
            <w:r w:rsidR="00711803" w:rsidRPr="00711803">
              <w:rPr>
                <w:lang w:val="en-GB"/>
              </w:rPr>
              <w:t>mo</w:t>
            </w:r>
            <w:proofErr w:type="spellEnd"/>
            <w:r w:rsidR="00711803" w:rsidRPr="00711803">
              <w:rPr>
                <w:lang w:val="en-GB"/>
              </w:rPr>
              <w:t xml:space="preserve"> (95%CI, 28–64), hazard ratio 0.2 (95% CI,</w:t>
            </w:r>
            <w:r w:rsidR="00711803">
              <w:rPr>
                <w:lang w:val="en-GB"/>
              </w:rPr>
              <w:t xml:space="preserve"> </w:t>
            </w:r>
            <w:r w:rsidR="00711803" w:rsidRPr="00711803">
              <w:rPr>
                <w:lang w:val="en-GB"/>
              </w:rPr>
              <w:t>0.1–0.6), P</w:t>
            </w:r>
            <w:r w:rsidR="00540572">
              <w:rPr>
                <w:lang w:val="en-GB"/>
              </w:rPr>
              <w:t xml:space="preserve"> = </w:t>
            </w:r>
            <w:r w:rsidR="00711803" w:rsidRPr="00711803">
              <w:rPr>
                <w:lang w:val="en-GB"/>
              </w:rPr>
              <w:t>0.001.</w:t>
            </w:r>
          </w:p>
        </w:tc>
        <w:tc>
          <w:tcPr>
            <w:tcW w:w="748" w:type="pct"/>
          </w:tcPr>
          <w:p w14:paraId="0C3827E2" w14:textId="216F2358" w:rsidR="000449F5" w:rsidRPr="009E5A03" w:rsidRDefault="00E22FAE" w:rsidP="007C3BBD">
            <w:pPr>
              <w:rPr>
                <w:lang w:val="en-GB"/>
              </w:rPr>
            </w:pPr>
            <w:r w:rsidRPr="00E22FAE">
              <w:rPr>
                <w:lang w:val="en-GB"/>
              </w:rPr>
              <w:t>DOI: 10.2967/jnumed.120.260760</w:t>
            </w:r>
          </w:p>
        </w:tc>
        <w:tc>
          <w:tcPr>
            <w:tcW w:w="442" w:type="pct"/>
          </w:tcPr>
          <w:p w14:paraId="615EBB14" w14:textId="5066DD75" w:rsidR="000449F5" w:rsidRDefault="00711803" w:rsidP="00DD308E">
            <w:r>
              <w:t>2022</w:t>
            </w:r>
          </w:p>
        </w:tc>
      </w:tr>
      <w:tr w:rsidR="00540572" w14:paraId="50084EE3" w14:textId="77777777" w:rsidTr="008F1188">
        <w:trPr>
          <w:cantSplit/>
        </w:trPr>
        <w:tc>
          <w:tcPr>
            <w:tcW w:w="183" w:type="pct"/>
          </w:tcPr>
          <w:p w14:paraId="2886FE42" w14:textId="40482836" w:rsidR="00540572" w:rsidRDefault="00540572" w:rsidP="00DD308E">
            <w:pPr>
              <w:rPr>
                <w:szCs w:val="20"/>
              </w:rPr>
            </w:pPr>
            <w:r>
              <w:rPr>
                <w:szCs w:val="20"/>
              </w:rPr>
              <w:lastRenderedPageBreak/>
              <w:t>12.</w:t>
            </w:r>
          </w:p>
        </w:tc>
        <w:tc>
          <w:tcPr>
            <w:tcW w:w="720" w:type="pct"/>
          </w:tcPr>
          <w:p w14:paraId="5DD4E6AB" w14:textId="5D05A856" w:rsidR="00540572" w:rsidRDefault="00540572" w:rsidP="00DD308E">
            <w:r>
              <w:t>Retrospective cohort</w:t>
            </w:r>
          </w:p>
        </w:tc>
        <w:tc>
          <w:tcPr>
            <w:tcW w:w="937" w:type="pct"/>
          </w:tcPr>
          <w:p w14:paraId="4BA20CE8" w14:textId="2317FD99" w:rsidR="00540572" w:rsidRDefault="00D0773F" w:rsidP="00026E73">
            <w:pPr>
              <w:rPr>
                <w:lang w:val="en-GB"/>
              </w:rPr>
            </w:pPr>
            <w:r w:rsidRPr="00D0773F">
              <w:rPr>
                <w:lang w:val="en-GB"/>
              </w:rPr>
              <w:t>Efficacy of Peptide Receptor Radionuclide Therapy (PRRT) for Functional Metastatic Paraganglioma and Phaeochromocytoma.</w:t>
            </w:r>
          </w:p>
        </w:tc>
        <w:tc>
          <w:tcPr>
            <w:tcW w:w="1970" w:type="pct"/>
          </w:tcPr>
          <w:p w14:paraId="22D5F181" w14:textId="77777777" w:rsidR="00540572" w:rsidRDefault="00540572" w:rsidP="00711803">
            <w:pPr>
              <w:rPr>
                <w:lang w:val="en-GB"/>
              </w:rPr>
            </w:pPr>
          </w:p>
        </w:tc>
        <w:tc>
          <w:tcPr>
            <w:tcW w:w="748" w:type="pct"/>
          </w:tcPr>
          <w:p w14:paraId="049EB7CF" w14:textId="6845869B" w:rsidR="00540572" w:rsidRPr="00E22FAE" w:rsidRDefault="00D0773F" w:rsidP="007C3BBD">
            <w:pPr>
              <w:rPr>
                <w:lang w:val="en-GB"/>
              </w:rPr>
            </w:pPr>
            <w:r w:rsidRPr="00D0773F">
              <w:rPr>
                <w:lang w:val="en-GB"/>
              </w:rPr>
              <w:t>Journal of Clinical Endocrinology and Metabolism 2017 Sep 1;102(9):3278-3287</w:t>
            </w:r>
          </w:p>
        </w:tc>
        <w:tc>
          <w:tcPr>
            <w:tcW w:w="442" w:type="pct"/>
          </w:tcPr>
          <w:p w14:paraId="57FE40C9" w14:textId="2FC05BA5" w:rsidR="00540572" w:rsidRDefault="00D0773F" w:rsidP="00DD308E">
            <w:r>
              <w:t>2017</w:t>
            </w:r>
          </w:p>
        </w:tc>
      </w:tr>
      <w:tr w:rsidR="00D0773F" w14:paraId="78A065A1" w14:textId="77777777" w:rsidTr="008F1188">
        <w:trPr>
          <w:cantSplit/>
        </w:trPr>
        <w:tc>
          <w:tcPr>
            <w:tcW w:w="183" w:type="pct"/>
          </w:tcPr>
          <w:p w14:paraId="32DC27BB" w14:textId="6C4D5314" w:rsidR="00D0773F" w:rsidRDefault="00BD5857" w:rsidP="00DD308E">
            <w:pPr>
              <w:rPr>
                <w:szCs w:val="20"/>
              </w:rPr>
            </w:pPr>
            <w:r>
              <w:rPr>
                <w:szCs w:val="20"/>
              </w:rPr>
              <w:t>13.</w:t>
            </w:r>
          </w:p>
        </w:tc>
        <w:tc>
          <w:tcPr>
            <w:tcW w:w="720" w:type="pct"/>
          </w:tcPr>
          <w:p w14:paraId="42ECF904" w14:textId="6347B9F3" w:rsidR="00D0773F" w:rsidRDefault="00BD5857" w:rsidP="00DD308E">
            <w:r>
              <w:t>Retrospective cohort</w:t>
            </w:r>
          </w:p>
        </w:tc>
        <w:tc>
          <w:tcPr>
            <w:tcW w:w="937" w:type="pct"/>
          </w:tcPr>
          <w:p w14:paraId="1819DE41" w14:textId="2FA04097" w:rsidR="00D0773F" w:rsidRPr="00D0773F" w:rsidRDefault="00BD5857" w:rsidP="00026E73">
            <w:pPr>
              <w:rPr>
                <w:lang w:val="en-GB"/>
              </w:rPr>
            </w:pPr>
            <w:r w:rsidRPr="00BD5857">
              <w:rPr>
                <w:lang w:val="en-GB"/>
              </w:rPr>
              <w:t xml:space="preserve">Initial Experience </w:t>
            </w:r>
            <w:proofErr w:type="gramStart"/>
            <w:r w:rsidRPr="00BD5857">
              <w:rPr>
                <w:lang w:val="en-GB"/>
              </w:rPr>
              <w:t>With</w:t>
            </w:r>
            <w:proofErr w:type="gramEnd"/>
            <w:r w:rsidRPr="00BD5857">
              <w:rPr>
                <w:lang w:val="en-GB"/>
              </w:rPr>
              <w:t xml:space="preserve"> Gallium-68 DOTA-</w:t>
            </w:r>
            <w:proofErr w:type="spellStart"/>
            <w:r w:rsidRPr="00BD5857">
              <w:rPr>
                <w:lang w:val="en-GB"/>
              </w:rPr>
              <w:t>Octreotate</w:t>
            </w:r>
            <w:proofErr w:type="spellEnd"/>
            <w:r w:rsidRPr="00BD5857">
              <w:rPr>
                <w:lang w:val="en-GB"/>
              </w:rPr>
              <w:t xml:space="preserve"> PET/CT and Peptide Receptor Radionuclide Therapy for </w:t>
            </w:r>
            <w:proofErr w:type="spellStart"/>
            <w:r w:rsidRPr="00BD5857">
              <w:rPr>
                <w:lang w:val="en-GB"/>
              </w:rPr>
              <w:t>Pediatric</w:t>
            </w:r>
            <w:proofErr w:type="spellEnd"/>
            <w:r w:rsidRPr="00BD5857">
              <w:rPr>
                <w:lang w:val="en-GB"/>
              </w:rPr>
              <w:t xml:space="preserve"> Patients With Refractory Metastatic Neuroblastoma</w:t>
            </w:r>
          </w:p>
        </w:tc>
        <w:tc>
          <w:tcPr>
            <w:tcW w:w="1970" w:type="pct"/>
          </w:tcPr>
          <w:p w14:paraId="33702840" w14:textId="07A0FE97" w:rsidR="00D0773F" w:rsidRDefault="001B4F43" w:rsidP="00711803">
            <w:pPr>
              <w:rPr>
                <w:lang w:val="en-GB"/>
              </w:rPr>
            </w:pPr>
            <w:r>
              <w:rPr>
                <w:lang w:val="en-GB"/>
              </w:rPr>
              <w:t>Small series of children with advanced neuroblastoma treated with palliative intent demonstrating effective control of symptoms, evidence of response and low toxicity</w:t>
            </w:r>
          </w:p>
        </w:tc>
        <w:tc>
          <w:tcPr>
            <w:tcW w:w="748" w:type="pct"/>
          </w:tcPr>
          <w:p w14:paraId="70C4E169" w14:textId="480D9FFD" w:rsidR="00D0773F" w:rsidRPr="00D0773F" w:rsidRDefault="001B4F43" w:rsidP="007C3BBD">
            <w:pPr>
              <w:rPr>
                <w:lang w:val="en-GB"/>
              </w:rPr>
            </w:pPr>
            <w:r w:rsidRPr="001B4F43">
              <w:rPr>
                <w:lang w:val="en-GB"/>
              </w:rPr>
              <w:t>10.1097/MPH.0000000000000411</w:t>
            </w:r>
          </w:p>
        </w:tc>
        <w:tc>
          <w:tcPr>
            <w:tcW w:w="442" w:type="pct"/>
          </w:tcPr>
          <w:p w14:paraId="4C0861E5" w14:textId="07A62C1F" w:rsidR="00D0773F" w:rsidRDefault="001B4F43" w:rsidP="00DD308E">
            <w:r>
              <w:t>2016</w:t>
            </w:r>
          </w:p>
        </w:tc>
      </w:tr>
      <w:tr w:rsidR="00AD4983" w14:paraId="08EFA9CC" w14:textId="77777777" w:rsidTr="008F1188">
        <w:trPr>
          <w:cantSplit/>
        </w:trPr>
        <w:tc>
          <w:tcPr>
            <w:tcW w:w="183" w:type="pct"/>
          </w:tcPr>
          <w:p w14:paraId="69FE86E9" w14:textId="2CBEA47C" w:rsidR="00AD4983" w:rsidRDefault="00711803" w:rsidP="00DD308E">
            <w:pPr>
              <w:rPr>
                <w:szCs w:val="20"/>
              </w:rPr>
            </w:pPr>
            <w:r>
              <w:rPr>
                <w:szCs w:val="20"/>
              </w:rPr>
              <w:t>1</w:t>
            </w:r>
            <w:r w:rsidR="001B4F43">
              <w:rPr>
                <w:szCs w:val="20"/>
              </w:rPr>
              <w:t>4</w:t>
            </w:r>
            <w:r w:rsidR="00056D02">
              <w:rPr>
                <w:szCs w:val="20"/>
              </w:rPr>
              <w:t>.</w:t>
            </w:r>
          </w:p>
        </w:tc>
        <w:tc>
          <w:tcPr>
            <w:tcW w:w="720" w:type="pct"/>
          </w:tcPr>
          <w:p w14:paraId="648A8750" w14:textId="178CA1CD" w:rsidR="00AD4983" w:rsidRDefault="00AD4983" w:rsidP="00DD308E">
            <w:r>
              <w:t xml:space="preserve">Systematic </w:t>
            </w:r>
            <w:r w:rsidR="002941FB">
              <w:t>Review and Meta-Analysis</w:t>
            </w:r>
          </w:p>
        </w:tc>
        <w:tc>
          <w:tcPr>
            <w:tcW w:w="937" w:type="pct"/>
          </w:tcPr>
          <w:p w14:paraId="3175ECC4" w14:textId="3971691C" w:rsidR="00AD4983" w:rsidRDefault="00AD4983" w:rsidP="00AD4983">
            <w:pPr>
              <w:rPr>
                <w:lang w:val="en-GB"/>
              </w:rPr>
            </w:pPr>
            <w:r w:rsidRPr="00AD4983">
              <w:rPr>
                <w:lang w:val="en-GB"/>
              </w:rPr>
              <w:t>The therapeutic efficacy of 177Lu-DOTATATE</w:t>
            </w:r>
            <w:r>
              <w:rPr>
                <w:lang w:val="en-GB"/>
              </w:rPr>
              <w:t>/</w:t>
            </w:r>
            <w:r w:rsidRPr="00AD4983">
              <w:rPr>
                <w:lang w:val="en-GB"/>
              </w:rPr>
              <w:t xml:space="preserve">DOTATOC in advanced neuroendocrine </w:t>
            </w:r>
            <w:proofErr w:type="spellStart"/>
            <w:r w:rsidRPr="00AD4983">
              <w:rPr>
                <w:lang w:val="en-GB"/>
              </w:rPr>
              <w:t>tumors</w:t>
            </w:r>
            <w:proofErr w:type="spellEnd"/>
          </w:p>
        </w:tc>
        <w:tc>
          <w:tcPr>
            <w:tcW w:w="1970" w:type="pct"/>
          </w:tcPr>
          <w:p w14:paraId="5E162A8E" w14:textId="5EE1B4CD" w:rsidR="002941FB" w:rsidRPr="002941FB" w:rsidRDefault="002941FB" w:rsidP="002941FB">
            <w:pPr>
              <w:rPr>
                <w:lang w:val="en-GB"/>
              </w:rPr>
            </w:pPr>
            <w:r w:rsidRPr="002941FB">
              <w:rPr>
                <w:lang w:val="en-GB"/>
              </w:rPr>
              <w:t xml:space="preserve">22 studies (1758 patients) were included </w:t>
            </w:r>
          </w:p>
          <w:p w14:paraId="1408F9D7" w14:textId="057F2228" w:rsidR="00AD4983" w:rsidRPr="007B5071" w:rsidRDefault="002941FB" w:rsidP="002941FB">
            <w:pPr>
              <w:rPr>
                <w:lang w:val="en-GB"/>
              </w:rPr>
            </w:pPr>
            <w:r>
              <w:rPr>
                <w:lang w:val="en-GB"/>
              </w:rPr>
              <w:t>P</w:t>
            </w:r>
            <w:r w:rsidRPr="002941FB">
              <w:rPr>
                <w:lang w:val="en-GB"/>
              </w:rPr>
              <w:t>ooled D</w:t>
            </w:r>
            <w:r>
              <w:rPr>
                <w:lang w:val="en-GB"/>
              </w:rPr>
              <w:t xml:space="preserve">isease </w:t>
            </w:r>
            <w:r w:rsidRPr="002941FB">
              <w:rPr>
                <w:lang w:val="en-GB"/>
              </w:rPr>
              <w:t>R</w:t>
            </w:r>
            <w:r>
              <w:rPr>
                <w:lang w:val="en-GB"/>
              </w:rPr>
              <w:t xml:space="preserve">esponse </w:t>
            </w:r>
            <w:r w:rsidRPr="002941FB">
              <w:rPr>
                <w:lang w:val="en-GB"/>
              </w:rPr>
              <w:t>R</w:t>
            </w:r>
            <w:r>
              <w:rPr>
                <w:lang w:val="en-GB"/>
              </w:rPr>
              <w:t>ates</w:t>
            </w:r>
            <w:r w:rsidRPr="002941FB">
              <w:rPr>
                <w:lang w:val="en-GB"/>
              </w:rPr>
              <w:t xml:space="preserve"> were 33.0%</w:t>
            </w:r>
            <w:r>
              <w:rPr>
                <w:lang w:val="en-GB"/>
              </w:rPr>
              <w:t xml:space="preserve">, </w:t>
            </w:r>
            <w:r w:rsidRPr="002941FB">
              <w:rPr>
                <w:lang w:val="en-GB"/>
              </w:rPr>
              <w:t>35.0%, and</w:t>
            </w:r>
            <w:r>
              <w:rPr>
                <w:lang w:val="en-GB"/>
              </w:rPr>
              <w:t xml:space="preserve"> </w:t>
            </w:r>
            <w:r w:rsidRPr="002941FB">
              <w:rPr>
                <w:lang w:val="en-GB"/>
              </w:rPr>
              <w:t xml:space="preserve">25.0% </w:t>
            </w:r>
            <w:r>
              <w:rPr>
                <w:lang w:val="en-GB"/>
              </w:rPr>
              <w:t>and p</w:t>
            </w:r>
            <w:r w:rsidRPr="002941FB">
              <w:rPr>
                <w:lang w:val="en-GB"/>
              </w:rPr>
              <w:t>ooled D</w:t>
            </w:r>
            <w:r>
              <w:rPr>
                <w:lang w:val="en-GB"/>
              </w:rPr>
              <w:t>isease Control Rates</w:t>
            </w:r>
            <w:r w:rsidRPr="002941FB">
              <w:rPr>
                <w:lang w:val="en-GB"/>
              </w:rPr>
              <w:t xml:space="preserve"> were</w:t>
            </w:r>
            <w:r>
              <w:rPr>
                <w:lang w:val="en-GB"/>
              </w:rPr>
              <w:t xml:space="preserve"> </w:t>
            </w:r>
            <w:r w:rsidRPr="002941FB">
              <w:rPr>
                <w:lang w:val="en-GB"/>
              </w:rPr>
              <w:t>79.0%, 83.0</w:t>
            </w:r>
            <w:proofErr w:type="gramStart"/>
            <w:r w:rsidRPr="002941FB">
              <w:rPr>
                <w:lang w:val="en-GB"/>
              </w:rPr>
              <w:t>%  and</w:t>
            </w:r>
            <w:proofErr w:type="gramEnd"/>
            <w:r w:rsidRPr="002941FB">
              <w:rPr>
                <w:lang w:val="en-GB"/>
              </w:rPr>
              <w:t xml:space="preserve"> 82.0% </w:t>
            </w:r>
            <w:r w:rsidR="005E7FD7">
              <w:rPr>
                <w:lang w:val="en-GB"/>
              </w:rPr>
              <w:t xml:space="preserve">for </w:t>
            </w:r>
            <w:r w:rsidRPr="002941FB">
              <w:rPr>
                <w:lang w:val="en-GB"/>
              </w:rPr>
              <w:t>RECIST, RECIST 1.1 and SWOG criteria</w:t>
            </w:r>
            <w:r w:rsidR="005E7FD7">
              <w:rPr>
                <w:lang w:val="en-GB"/>
              </w:rPr>
              <w:t xml:space="preserve"> </w:t>
            </w:r>
            <w:r w:rsidRPr="002941FB">
              <w:rPr>
                <w:lang w:val="en-GB"/>
              </w:rPr>
              <w:t>respectively.</w:t>
            </w:r>
          </w:p>
        </w:tc>
        <w:tc>
          <w:tcPr>
            <w:tcW w:w="748" w:type="pct"/>
          </w:tcPr>
          <w:p w14:paraId="37657064" w14:textId="127BFEF8" w:rsidR="00AD4983" w:rsidRPr="007B5071" w:rsidRDefault="00AD4983" w:rsidP="007C3BBD">
            <w:pPr>
              <w:rPr>
                <w:lang w:val="en-GB"/>
              </w:rPr>
            </w:pPr>
            <w:r w:rsidRPr="00AD4983">
              <w:rPr>
                <w:lang w:val="en-GB"/>
              </w:rPr>
              <w:t>doi.org/10.1097/MD.0000000000019304</w:t>
            </w:r>
          </w:p>
        </w:tc>
        <w:tc>
          <w:tcPr>
            <w:tcW w:w="442" w:type="pct"/>
          </w:tcPr>
          <w:p w14:paraId="49958A83" w14:textId="1A07CE5D" w:rsidR="00AD4983" w:rsidRDefault="00AD4983" w:rsidP="00DD308E">
            <w:r>
              <w:t>2020</w:t>
            </w:r>
          </w:p>
        </w:tc>
      </w:tr>
      <w:tr w:rsidR="00D9467E" w14:paraId="5FF1C0CA" w14:textId="77777777" w:rsidTr="008F1188">
        <w:trPr>
          <w:cantSplit/>
        </w:trPr>
        <w:tc>
          <w:tcPr>
            <w:tcW w:w="183" w:type="pct"/>
          </w:tcPr>
          <w:p w14:paraId="10BBD361" w14:textId="282723B3" w:rsidR="00D9467E" w:rsidRDefault="00711803" w:rsidP="00DD308E">
            <w:pPr>
              <w:rPr>
                <w:szCs w:val="20"/>
              </w:rPr>
            </w:pPr>
            <w:r>
              <w:rPr>
                <w:szCs w:val="20"/>
              </w:rPr>
              <w:lastRenderedPageBreak/>
              <w:t>1</w:t>
            </w:r>
            <w:r w:rsidR="001B4F43">
              <w:rPr>
                <w:szCs w:val="20"/>
              </w:rPr>
              <w:t>5</w:t>
            </w:r>
            <w:r w:rsidR="00056D02">
              <w:rPr>
                <w:szCs w:val="20"/>
              </w:rPr>
              <w:t>.</w:t>
            </w:r>
          </w:p>
        </w:tc>
        <w:tc>
          <w:tcPr>
            <w:tcW w:w="720" w:type="pct"/>
          </w:tcPr>
          <w:p w14:paraId="10A8E105" w14:textId="17699130" w:rsidR="00D9467E" w:rsidRDefault="00D9467E" w:rsidP="00DD308E">
            <w:r>
              <w:t>Expert Society Clinical Guidelines</w:t>
            </w:r>
          </w:p>
        </w:tc>
        <w:tc>
          <w:tcPr>
            <w:tcW w:w="937" w:type="pct"/>
          </w:tcPr>
          <w:p w14:paraId="682B78EB" w14:textId="2DA29AF3" w:rsidR="00D9467E" w:rsidRPr="00056D02" w:rsidRDefault="00D9467E" w:rsidP="00587369">
            <w:pPr>
              <w:autoSpaceDE w:val="0"/>
              <w:autoSpaceDN w:val="0"/>
              <w:adjustRightInd w:val="0"/>
              <w:spacing w:before="0" w:after="0"/>
              <w:rPr>
                <w:rFonts w:cstheme="minorHAnsi"/>
                <w:szCs w:val="20"/>
                <w:lang w:val="en-GB"/>
              </w:rPr>
            </w:pPr>
            <w:r w:rsidRPr="00056D02">
              <w:rPr>
                <w:rFonts w:cstheme="minorHAnsi"/>
                <w:szCs w:val="20"/>
                <w:lang w:val="en-GB"/>
              </w:rPr>
              <w:t>ENETS consensus guidelines for the standards of care in neuroendocrine</w:t>
            </w:r>
          </w:p>
          <w:p w14:paraId="66CAAC5B" w14:textId="77777777" w:rsidR="00D9467E" w:rsidRPr="00056D02" w:rsidRDefault="00D9467E" w:rsidP="00587369">
            <w:pPr>
              <w:autoSpaceDE w:val="0"/>
              <w:autoSpaceDN w:val="0"/>
              <w:adjustRightInd w:val="0"/>
              <w:spacing w:before="0" w:after="0"/>
              <w:rPr>
                <w:rFonts w:cstheme="minorHAnsi"/>
                <w:szCs w:val="20"/>
                <w:lang w:val="en-GB"/>
              </w:rPr>
            </w:pPr>
            <w:r w:rsidRPr="00056D02">
              <w:rPr>
                <w:rFonts w:cstheme="minorHAnsi"/>
                <w:szCs w:val="20"/>
                <w:lang w:val="en-GB"/>
              </w:rPr>
              <w:t xml:space="preserve">neoplasia: peptide receptor radionuclide therapy with </w:t>
            </w:r>
            <w:proofErr w:type="spellStart"/>
            <w:r w:rsidRPr="00056D02">
              <w:rPr>
                <w:rFonts w:cstheme="minorHAnsi"/>
                <w:szCs w:val="20"/>
                <w:lang w:val="en-GB"/>
              </w:rPr>
              <w:t>radiolabeled</w:t>
            </w:r>
            <w:proofErr w:type="spellEnd"/>
          </w:p>
          <w:p w14:paraId="39CD39CF" w14:textId="084308DC" w:rsidR="00D9467E" w:rsidRPr="005D64AD" w:rsidRDefault="00D9467E" w:rsidP="00D9467E">
            <w:pPr>
              <w:rPr>
                <w:lang w:val="en-GB"/>
              </w:rPr>
            </w:pPr>
            <w:r w:rsidRPr="00056D02">
              <w:rPr>
                <w:rFonts w:cstheme="minorHAnsi"/>
                <w:szCs w:val="20"/>
                <w:lang w:val="en-GB"/>
              </w:rPr>
              <w:t>somatostatin analogues.</w:t>
            </w:r>
          </w:p>
        </w:tc>
        <w:tc>
          <w:tcPr>
            <w:tcW w:w="1970" w:type="pct"/>
          </w:tcPr>
          <w:p w14:paraId="112F8E7F" w14:textId="1E07F899" w:rsidR="00D9467E" w:rsidRDefault="00D9467E" w:rsidP="00DD308E">
            <w:r>
              <w:t>Evidence based guidelines developed by the European Neuroendocrine Tumour Society detailing the role of biosimilars in the treatment of NET</w:t>
            </w:r>
          </w:p>
        </w:tc>
        <w:tc>
          <w:tcPr>
            <w:tcW w:w="748" w:type="pct"/>
          </w:tcPr>
          <w:p w14:paraId="687A5EDF" w14:textId="365BE22C" w:rsidR="00D9467E" w:rsidRPr="005D64AD" w:rsidRDefault="00D9467E" w:rsidP="005D64AD">
            <w:pPr>
              <w:rPr>
                <w:lang w:val="en-GB"/>
              </w:rPr>
            </w:pPr>
            <w:r w:rsidRPr="00587369">
              <w:rPr>
                <w:lang w:val="en-GB"/>
              </w:rPr>
              <w:t>https://doi.org/10.1159/000475526.</w:t>
            </w:r>
          </w:p>
        </w:tc>
        <w:tc>
          <w:tcPr>
            <w:tcW w:w="442" w:type="pct"/>
          </w:tcPr>
          <w:p w14:paraId="39968ED1" w14:textId="7E008347" w:rsidR="00D9467E" w:rsidRDefault="00D9467E" w:rsidP="00DD308E">
            <w:r>
              <w:t>2017</w:t>
            </w:r>
          </w:p>
        </w:tc>
      </w:tr>
      <w:tr w:rsidR="00D9467E" w14:paraId="4B6C0C94" w14:textId="77777777" w:rsidTr="008F1188">
        <w:trPr>
          <w:cantSplit/>
        </w:trPr>
        <w:tc>
          <w:tcPr>
            <w:tcW w:w="183" w:type="pct"/>
          </w:tcPr>
          <w:p w14:paraId="741A944F" w14:textId="2FC8D33B" w:rsidR="00D9467E" w:rsidRPr="00965B6B" w:rsidRDefault="00711803" w:rsidP="00DD308E">
            <w:pPr>
              <w:rPr>
                <w:szCs w:val="20"/>
              </w:rPr>
            </w:pPr>
            <w:r>
              <w:rPr>
                <w:szCs w:val="20"/>
              </w:rPr>
              <w:t>1</w:t>
            </w:r>
            <w:r w:rsidR="001B4F43">
              <w:rPr>
                <w:szCs w:val="20"/>
              </w:rPr>
              <w:t>6</w:t>
            </w:r>
            <w:r w:rsidR="00056D02">
              <w:rPr>
                <w:szCs w:val="20"/>
              </w:rPr>
              <w:t>.</w:t>
            </w:r>
          </w:p>
        </w:tc>
        <w:tc>
          <w:tcPr>
            <w:tcW w:w="720" w:type="pct"/>
          </w:tcPr>
          <w:p w14:paraId="3AB89F8C" w14:textId="018EF503" w:rsidR="00D9467E" w:rsidRDefault="00D9467E" w:rsidP="00DD308E">
            <w:pPr>
              <w:rPr>
                <w:b/>
                <w:szCs w:val="20"/>
              </w:rPr>
            </w:pPr>
            <w:r>
              <w:t>Expert opinion</w:t>
            </w:r>
          </w:p>
        </w:tc>
        <w:tc>
          <w:tcPr>
            <w:tcW w:w="937" w:type="pct"/>
          </w:tcPr>
          <w:p w14:paraId="6F4B52C3" w14:textId="77777777" w:rsidR="00D9467E" w:rsidRPr="00772925" w:rsidRDefault="00D9467E" w:rsidP="00772925">
            <w:pPr>
              <w:autoSpaceDE w:val="0"/>
              <w:autoSpaceDN w:val="0"/>
              <w:adjustRightInd w:val="0"/>
              <w:spacing w:before="0" w:after="0"/>
              <w:rPr>
                <w:rFonts w:cstheme="minorHAnsi"/>
                <w:szCs w:val="20"/>
                <w:lang w:val="en-GB"/>
              </w:rPr>
            </w:pPr>
            <w:r w:rsidRPr="00772925">
              <w:rPr>
                <w:rFonts w:cstheme="minorHAnsi"/>
                <w:szCs w:val="20"/>
                <w:lang w:val="en-GB"/>
              </w:rPr>
              <w:t>Unmet needs in the</w:t>
            </w:r>
          </w:p>
          <w:p w14:paraId="37B3055E" w14:textId="77777777" w:rsidR="00D9467E" w:rsidRPr="00772925" w:rsidRDefault="00D9467E" w:rsidP="00772925">
            <w:pPr>
              <w:autoSpaceDE w:val="0"/>
              <w:autoSpaceDN w:val="0"/>
              <w:adjustRightInd w:val="0"/>
              <w:spacing w:before="0" w:after="0"/>
              <w:rPr>
                <w:rFonts w:cstheme="minorHAnsi"/>
                <w:szCs w:val="20"/>
                <w:lang w:val="en-GB"/>
              </w:rPr>
            </w:pPr>
            <w:r w:rsidRPr="00772925">
              <w:rPr>
                <w:rFonts w:cstheme="minorHAnsi"/>
                <w:szCs w:val="20"/>
                <w:lang w:val="en-GB"/>
              </w:rPr>
              <w:t xml:space="preserve">international neuroendocrine </w:t>
            </w:r>
            <w:proofErr w:type="spellStart"/>
            <w:r w:rsidRPr="00772925">
              <w:rPr>
                <w:rFonts w:cstheme="minorHAnsi"/>
                <w:szCs w:val="20"/>
                <w:lang w:val="en-GB"/>
              </w:rPr>
              <w:t>tumor</w:t>
            </w:r>
            <w:proofErr w:type="spellEnd"/>
            <w:r w:rsidRPr="00772925">
              <w:rPr>
                <w:rFonts w:cstheme="minorHAnsi"/>
                <w:szCs w:val="20"/>
                <w:lang w:val="en-GB"/>
              </w:rPr>
              <w:t xml:space="preserve"> (NET) community: assessment</w:t>
            </w:r>
          </w:p>
          <w:p w14:paraId="69E1AACE" w14:textId="77777777" w:rsidR="00D9467E" w:rsidRPr="00772925" w:rsidRDefault="00D9467E" w:rsidP="00772925">
            <w:pPr>
              <w:autoSpaceDE w:val="0"/>
              <w:autoSpaceDN w:val="0"/>
              <w:adjustRightInd w:val="0"/>
              <w:spacing w:before="0" w:after="0"/>
              <w:rPr>
                <w:rFonts w:cstheme="minorHAnsi"/>
                <w:szCs w:val="20"/>
                <w:lang w:val="en-GB"/>
              </w:rPr>
            </w:pPr>
            <w:r w:rsidRPr="00772925">
              <w:rPr>
                <w:rFonts w:cstheme="minorHAnsi"/>
                <w:szCs w:val="20"/>
                <w:lang w:val="en-GB"/>
              </w:rPr>
              <w:t>of major gaps from the perspective of patients, patient</w:t>
            </w:r>
          </w:p>
          <w:p w14:paraId="1162A1DE" w14:textId="77777777" w:rsidR="00D9467E" w:rsidRPr="00056D02" w:rsidRDefault="00D9467E" w:rsidP="00772925">
            <w:pPr>
              <w:autoSpaceDE w:val="0"/>
              <w:autoSpaceDN w:val="0"/>
              <w:adjustRightInd w:val="0"/>
              <w:spacing w:before="0" w:after="0"/>
              <w:rPr>
                <w:rFonts w:cstheme="minorHAnsi"/>
                <w:szCs w:val="20"/>
                <w:lang w:val="en-GB"/>
              </w:rPr>
            </w:pPr>
            <w:r w:rsidRPr="00772925">
              <w:rPr>
                <w:rFonts w:cstheme="minorHAnsi"/>
                <w:szCs w:val="20"/>
                <w:lang w:val="en-GB"/>
              </w:rPr>
              <w:t xml:space="preserve">advocates and NET health care professionals. </w:t>
            </w:r>
          </w:p>
          <w:p w14:paraId="57CD99A5" w14:textId="645A17AE" w:rsidR="00D9467E" w:rsidRDefault="00D9467E" w:rsidP="00587369">
            <w:pPr>
              <w:rPr>
                <w:b/>
                <w:szCs w:val="20"/>
              </w:rPr>
            </w:pPr>
          </w:p>
        </w:tc>
        <w:tc>
          <w:tcPr>
            <w:tcW w:w="1970" w:type="pct"/>
          </w:tcPr>
          <w:p w14:paraId="058C3C57" w14:textId="0FE86CE3" w:rsidR="00D9467E" w:rsidRDefault="00D9467E" w:rsidP="00DD308E">
            <w:pPr>
              <w:rPr>
                <w:b/>
                <w:szCs w:val="20"/>
              </w:rPr>
            </w:pPr>
          </w:p>
        </w:tc>
        <w:tc>
          <w:tcPr>
            <w:tcW w:w="748" w:type="pct"/>
          </w:tcPr>
          <w:p w14:paraId="6FF39092" w14:textId="126FA307" w:rsidR="00D9467E" w:rsidRPr="00E82F54" w:rsidRDefault="00D9467E" w:rsidP="00DD308E">
            <w:pPr>
              <w:rPr>
                <w:b/>
                <w:szCs w:val="20"/>
              </w:rPr>
            </w:pPr>
            <w:r w:rsidRPr="00772925">
              <w:rPr>
                <w:rFonts w:cstheme="minorHAnsi"/>
                <w:szCs w:val="20"/>
                <w:lang w:val="en-GB"/>
              </w:rPr>
              <w:t xml:space="preserve">Leyden S, </w:t>
            </w:r>
            <w:proofErr w:type="spellStart"/>
            <w:r w:rsidRPr="00772925">
              <w:rPr>
                <w:rFonts w:cstheme="minorHAnsi"/>
                <w:szCs w:val="20"/>
                <w:lang w:val="en-GB"/>
              </w:rPr>
              <w:t>Kolarova</w:t>
            </w:r>
            <w:proofErr w:type="spellEnd"/>
            <w:r w:rsidRPr="00772925">
              <w:rPr>
                <w:rFonts w:cstheme="minorHAnsi"/>
                <w:szCs w:val="20"/>
                <w:lang w:val="en-GB"/>
              </w:rPr>
              <w:t xml:space="preserve"> T, Bouvier C, et al.</w:t>
            </w:r>
            <w:r w:rsidRPr="00056D02">
              <w:rPr>
                <w:rFonts w:cstheme="minorHAnsi"/>
                <w:szCs w:val="20"/>
                <w:lang w:val="en-GB"/>
              </w:rPr>
              <w:t xml:space="preserve"> </w:t>
            </w:r>
            <w:r w:rsidRPr="00772925">
              <w:rPr>
                <w:rFonts w:cstheme="minorHAnsi"/>
                <w:szCs w:val="20"/>
                <w:lang w:val="en-GB"/>
              </w:rPr>
              <w:t xml:space="preserve">Int J </w:t>
            </w:r>
            <w:proofErr w:type="spellStart"/>
            <w:r w:rsidRPr="00772925">
              <w:rPr>
                <w:rFonts w:cstheme="minorHAnsi"/>
                <w:szCs w:val="20"/>
                <w:lang w:val="en-GB"/>
              </w:rPr>
              <w:t>Canc</w:t>
            </w:r>
            <w:proofErr w:type="spellEnd"/>
            <w:r w:rsidRPr="00772925">
              <w:rPr>
                <w:rFonts w:cstheme="minorHAnsi"/>
                <w:szCs w:val="20"/>
                <w:lang w:val="en-GB"/>
              </w:rPr>
              <w:t xml:space="preserve"> 2020;</w:t>
            </w:r>
            <w:r w:rsidRPr="00056D02">
              <w:rPr>
                <w:rFonts w:cstheme="minorHAnsi"/>
                <w:szCs w:val="20"/>
                <w:lang w:val="en-GB"/>
              </w:rPr>
              <w:t xml:space="preserve"> 146:1316e23</w:t>
            </w:r>
            <w:r w:rsidRPr="00772925">
              <w:rPr>
                <w:rFonts w:ascii="Times New Roman" w:hAnsi="Times New Roman" w:cs="Times New Roman"/>
                <w:sz w:val="16"/>
                <w:szCs w:val="16"/>
                <w:lang w:val="en-GB"/>
              </w:rPr>
              <w:t>.</w:t>
            </w:r>
          </w:p>
        </w:tc>
        <w:tc>
          <w:tcPr>
            <w:tcW w:w="442" w:type="pct"/>
          </w:tcPr>
          <w:p w14:paraId="6DFE2F5E" w14:textId="7F1F433B" w:rsidR="00D9467E" w:rsidRPr="00E82F54" w:rsidRDefault="00D9467E" w:rsidP="00DD308E">
            <w:pPr>
              <w:rPr>
                <w:b/>
                <w:szCs w:val="20"/>
              </w:rPr>
            </w:pPr>
            <w:r>
              <w:t>2020</w:t>
            </w:r>
          </w:p>
        </w:tc>
      </w:tr>
      <w:tr w:rsidR="00D9467E" w14:paraId="61285AC6" w14:textId="77777777" w:rsidTr="008F1188">
        <w:trPr>
          <w:cantSplit/>
        </w:trPr>
        <w:tc>
          <w:tcPr>
            <w:tcW w:w="183" w:type="pct"/>
          </w:tcPr>
          <w:p w14:paraId="7DADBFD3" w14:textId="2C2223F8" w:rsidR="00D9467E" w:rsidRDefault="00ED5077" w:rsidP="00DD308E">
            <w:pPr>
              <w:rPr>
                <w:szCs w:val="20"/>
              </w:rPr>
            </w:pPr>
            <w:r>
              <w:rPr>
                <w:szCs w:val="20"/>
              </w:rPr>
              <w:lastRenderedPageBreak/>
              <w:t>1</w:t>
            </w:r>
            <w:r w:rsidR="001B4F43">
              <w:rPr>
                <w:szCs w:val="20"/>
              </w:rPr>
              <w:t>7</w:t>
            </w:r>
            <w:r>
              <w:rPr>
                <w:szCs w:val="20"/>
              </w:rPr>
              <w:t xml:space="preserve">. </w:t>
            </w:r>
          </w:p>
        </w:tc>
        <w:tc>
          <w:tcPr>
            <w:tcW w:w="720" w:type="pct"/>
          </w:tcPr>
          <w:p w14:paraId="0DA4FEA3" w14:textId="1C5E5382" w:rsidR="00D9467E" w:rsidRDefault="00D16409" w:rsidP="00DD308E">
            <w:r>
              <w:t>Expert opinion</w:t>
            </w:r>
          </w:p>
        </w:tc>
        <w:tc>
          <w:tcPr>
            <w:tcW w:w="937" w:type="pct"/>
          </w:tcPr>
          <w:p w14:paraId="0DC965CB" w14:textId="754F0388" w:rsidR="00D9467E" w:rsidRPr="00A47DA2" w:rsidRDefault="00D16409" w:rsidP="00772925">
            <w:pPr>
              <w:autoSpaceDE w:val="0"/>
              <w:autoSpaceDN w:val="0"/>
              <w:adjustRightInd w:val="0"/>
              <w:spacing w:before="0" w:after="0"/>
              <w:rPr>
                <w:rFonts w:cstheme="minorHAnsi"/>
                <w:szCs w:val="20"/>
                <w:lang w:val="en-GB"/>
              </w:rPr>
            </w:pPr>
            <w:r w:rsidRPr="00A47DA2">
              <w:rPr>
                <w:rFonts w:cstheme="minorHAnsi"/>
                <w:szCs w:val="20"/>
                <w:lang w:val="en-GB"/>
              </w:rPr>
              <w:t xml:space="preserve">Consensus on molecular imaging and </w:t>
            </w:r>
            <w:proofErr w:type="spellStart"/>
            <w:r w:rsidRPr="00A47DA2">
              <w:rPr>
                <w:rFonts w:cstheme="minorHAnsi"/>
                <w:szCs w:val="20"/>
                <w:lang w:val="en-GB"/>
              </w:rPr>
              <w:t>theranostics</w:t>
            </w:r>
            <w:proofErr w:type="spellEnd"/>
            <w:r w:rsidRPr="00A47DA2">
              <w:rPr>
                <w:rFonts w:cstheme="minorHAnsi"/>
                <w:szCs w:val="20"/>
                <w:lang w:val="en-GB"/>
              </w:rPr>
              <w:t xml:space="preserve"> in neuroendocrine neoplasms.</w:t>
            </w:r>
          </w:p>
        </w:tc>
        <w:tc>
          <w:tcPr>
            <w:tcW w:w="1970" w:type="pct"/>
          </w:tcPr>
          <w:p w14:paraId="088B1097" w14:textId="4FCA5786" w:rsidR="00D9467E" w:rsidRPr="00693815" w:rsidRDefault="00D16409" w:rsidP="00DD308E">
            <w:pPr>
              <w:rPr>
                <w:rFonts w:cstheme="minorHAnsi"/>
                <w:szCs w:val="20"/>
                <w:lang w:val="en-GB"/>
              </w:rPr>
            </w:pPr>
            <w:r w:rsidRPr="00693815">
              <w:rPr>
                <w:rFonts w:cstheme="minorHAnsi"/>
                <w:szCs w:val="20"/>
                <w:lang w:val="en-GB"/>
              </w:rPr>
              <w:t xml:space="preserve">Focus group of oncologists, gastroenterologists and nuclear medicine specialists convened by European Association of Nuclear </w:t>
            </w:r>
            <w:r w:rsidR="004C2B1C" w:rsidRPr="00693815">
              <w:rPr>
                <w:rFonts w:cstheme="minorHAnsi"/>
                <w:szCs w:val="20"/>
                <w:lang w:val="en-GB"/>
              </w:rPr>
              <w:t>Me</w:t>
            </w:r>
            <w:r w:rsidR="004C2B1C">
              <w:rPr>
                <w:rFonts w:cstheme="minorHAnsi"/>
                <w:szCs w:val="20"/>
                <w:lang w:val="en-GB"/>
              </w:rPr>
              <w:t>d</w:t>
            </w:r>
            <w:r w:rsidR="004C2B1C" w:rsidRPr="00693815">
              <w:rPr>
                <w:rFonts w:cstheme="minorHAnsi"/>
                <w:szCs w:val="20"/>
                <w:lang w:val="en-GB"/>
              </w:rPr>
              <w:t>icine</w:t>
            </w:r>
            <w:r w:rsidRPr="00693815">
              <w:rPr>
                <w:rFonts w:cstheme="minorHAnsi"/>
                <w:szCs w:val="20"/>
                <w:lang w:val="en-GB"/>
              </w:rPr>
              <w:t xml:space="preserve"> to the document current state-of-art opinions on the use of </w:t>
            </w:r>
            <w:proofErr w:type="spellStart"/>
            <w:r w:rsidRPr="00693815">
              <w:rPr>
                <w:rFonts w:cstheme="minorHAnsi"/>
                <w:szCs w:val="20"/>
                <w:lang w:val="en-GB"/>
              </w:rPr>
              <w:t>theranostic</w:t>
            </w:r>
            <w:proofErr w:type="spellEnd"/>
            <w:r w:rsidRPr="00693815">
              <w:rPr>
                <w:rFonts w:cstheme="minorHAnsi"/>
                <w:szCs w:val="20"/>
                <w:lang w:val="en-GB"/>
              </w:rPr>
              <w:t xml:space="preserve"> approaches in neuroendocrine neoplasia</w:t>
            </w:r>
            <w:r w:rsidR="006822C7" w:rsidRPr="00693815">
              <w:rPr>
                <w:rFonts w:cstheme="minorHAnsi"/>
                <w:szCs w:val="20"/>
                <w:lang w:val="en-GB"/>
              </w:rPr>
              <w:t xml:space="preserve">. </w:t>
            </w:r>
          </w:p>
          <w:p w14:paraId="0252E787" w14:textId="181DE9C7" w:rsidR="006822C7" w:rsidRPr="00693815" w:rsidRDefault="006822C7" w:rsidP="006822C7">
            <w:pPr>
              <w:rPr>
                <w:rFonts w:cstheme="minorHAnsi"/>
                <w:szCs w:val="20"/>
              </w:rPr>
            </w:pPr>
            <w:r w:rsidRPr="00693815">
              <w:rPr>
                <w:rFonts w:cstheme="minorHAnsi"/>
                <w:szCs w:val="20"/>
              </w:rPr>
              <w:t>Consensus supported use of peptide receptor radionuclide therapy (PRRT) as second line therapy at first disease progression in all patients with G1-2 [68Ga] Ga-DOTA-SSA positive gastrointestinal NET and in a subset of patients with NET G3 (Ki67 &gt; 20%) provided all [18</w:t>
            </w:r>
            <w:proofErr w:type="gramStart"/>
            <w:r w:rsidRPr="00693815">
              <w:rPr>
                <w:rFonts w:cstheme="minorHAnsi"/>
                <w:szCs w:val="20"/>
              </w:rPr>
              <w:t>F]FDG</w:t>
            </w:r>
            <w:proofErr w:type="gramEnd"/>
            <w:r w:rsidRPr="00693815">
              <w:rPr>
                <w:rFonts w:cstheme="minorHAnsi"/>
                <w:szCs w:val="20"/>
              </w:rPr>
              <w:t xml:space="preserve"> positive lesions exhibit [68Ga]Ga-DOTASSA uptake. PRRT rechallenge was also supported for prior responders.</w:t>
            </w:r>
          </w:p>
        </w:tc>
        <w:tc>
          <w:tcPr>
            <w:tcW w:w="748" w:type="pct"/>
          </w:tcPr>
          <w:p w14:paraId="4188E429" w14:textId="62C7B855" w:rsidR="00D9467E" w:rsidRPr="00A47DA2" w:rsidRDefault="00693815" w:rsidP="00A47DA2">
            <w:pPr>
              <w:tabs>
                <w:tab w:val="center" w:pos="1678"/>
              </w:tabs>
              <w:autoSpaceDE w:val="0"/>
              <w:autoSpaceDN w:val="0"/>
              <w:adjustRightInd w:val="0"/>
              <w:spacing w:before="0" w:after="0"/>
              <w:rPr>
                <w:rFonts w:cstheme="minorHAnsi"/>
                <w:szCs w:val="20"/>
                <w:lang w:val="en-GB"/>
              </w:rPr>
            </w:pPr>
            <w:proofErr w:type="spellStart"/>
            <w:r w:rsidRPr="00A47DA2">
              <w:rPr>
                <w:rFonts w:cstheme="minorHAnsi"/>
                <w:szCs w:val="20"/>
                <w:lang w:val="en-GB"/>
              </w:rPr>
              <w:t>doi</w:t>
            </w:r>
            <w:proofErr w:type="spellEnd"/>
            <w:r w:rsidRPr="00A47DA2">
              <w:rPr>
                <w:rFonts w:cstheme="minorHAnsi"/>
                <w:szCs w:val="20"/>
                <w:lang w:val="en-GB"/>
              </w:rPr>
              <w:t>: 10.1016/j.ejca.2021.01.008</w:t>
            </w:r>
          </w:p>
        </w:tc>
        <w:tc>
          <w:tcPr>
            <w:tcW w:w="442" w:type="pct"/>
          </w:tcPr>
          <w:p w14:paraId="3BA5C2A0" w14:textId="5232A2C2" w:rsidR="00D9467E" w:rsidRDefault="000449F5" w:rsidP="00DD308E">
            <w:r>
              <w:t>2020</w:t>
            </w:r>
          </w:p>
        </w:tc>
      </w:tr>
      <w:tr w:rsidR="00A47DA2" w14:paraId="7DE1D173" w14:textId="77777777" w:rsidTr="008F1188">
        <w:trPr>
          <w:cantSplit/>
        </w:trPr>
        <w:tc>
          <w:tcPr>
            <w:tcW w:w="183" w:type="pct"/>
          </w:tcPr>
          <w:p w14:paraId="2FACB586" w14:textId="6D129868" w:rsidR="00A47DA2" w:rsidRDefault="008D73E6" w:rsidP="00DD308E">
            <w:pPr>
              <w:rPr>
                <w:szCs w:val="20"/>
              </w:rPr>
            </w:pPr>
            <w:r>
              <w:rPr>
                <w:szCs w:val="20"/>
              </w:rPr>
              <w:t>18</w:t>
            </w:r>
          </w:p>
        </w:tc>
        <w:tc>
          <w:tcPr>
            <w:tcW w:w="720" w:type="pct"/>
          </w:tcPr>
          <w:p w14:paraId="0FBC9B5E" w14:textId="1CC7BCF3" w:rsidR="00A47DA2" w:rsidRDefault="008D73E6" w:rsidP="00DD308E">
            <w:r>
              <w:t>Expert Clinical Guidelines</w:t>
            </w:r>
          </w:p>
        </w:tc>
        <w:tc>
          <w:tcPr>
            <w:tcW w:w="937" w:type="pct"/>
          </w:tcPr>
          <w:p w14:paraId="25A70189" w14:textId="77777777" w:rsidR="008D73E6" w:rsidRPr="008D73E6" w:rsidRDefault="008D73E6" w:rsidP="008D73E6">
            <w:pPr>
              <w:autoSpaceDE w:val="0"/>
              <w:autoSpaceDN w:val="0"/>
              <w:adjustRightInd w:val="0"/>
              <w:spacing w:before="0" w:after="0"/>
              <w:rPr>
                <w:rFonts w:cstheme="minorHAnsi"/>
                <w:szCs w:val="20"/>
              </w:rPr>
            </w:pPr>
            <w:proofErr w:type="spellStart"/>
            <w:r w:rsidRPr="008D73E6">
              <w:rPr>
                <w:rFonts w:cstheme="minorHAnsi"/>
                <w:szCs w:val="20"/>
              </w:rPr>
              <w:t>Gastroenteropancreatic</w:t>
            </w:r>
            <w:proofErr w:type="spellEnd"/>
            <w:r w:rsidRPr="008D73E6">
              <w:rPr>
                <w:rFonts w:cstheme="minorHAnsi"/>
                <w:szCs w:val="20"/>
              </w:rPr>
              <w:t xml:space="preserve"> neuroendocrine neoplasms: ESMO Clinical Practice Guidelines for diagnosis, </w:t>
            </w:r>
            <w:proofErr w:type="gramStart"/>
            <w:r w:rsidRPr="008D73E6">
              <w:rPr>
                <w:rFonts w:cstheme="minorHAnsi"/>
                <w:szCs w:val="20"/>
              </w:rPr>
              <w:t>treatment</w:t>
            </w:r>
            <w:proofErr w:type="gramEnd"/>
            <w:r w:rsidRPr="008D73E6">
              <w:rPr>
                <w:rFonts w:cstheme="minorHAnsi"/>
                <w:szCs w:val="20"/>
              </w:rPr>
              <w:t xml:space="preserve"> and follow-up </w:t>
            </w:r>
          </w:p>
          <w:p w14:paraId="51A115C7" w14:textId="77777777" w:rsidR="00A47DA2" w:rsidRPr="00A47DA2" w:rsidRDefault="00A47DA2" w:rsidP="00772925">
            <w:pPr>
              <w:autoSpaceDE w:val="0"/>
              <w:autoSpaceDN w:val="0"/>
              <w:adjustRightInd w:val="0"/>
              <w:spacing w:before="0" w:after="0"/>
              <w:rPr>
                <w:rFonts w:cstheme="minorHAnsi"/>
                <w:szCs w:val="20"/>
                <w:lang w:val="en-GB"/>
              </w:rPr>
            </w:pPr>
          </w:p>
        </w:tc>
        <w:tc>
          <w:tcPr>
            <w:tcW w:w="1970" w:type="pct"/>
          </w:tcPr>
          <w:p w14:paraId="2BCD48B6" w14:textId="27457083" w:rsidR="00A47DA2" w:rsidRPr="00693815" w:rsidRDefault="008D73E6" w:rsidP="00DD308E">
            <w:pPr>
              <w:rPr>
                <w:rFonts w:cstheme="minorHAnsi"/>
                <w:szCs w:val="20"/>
                <w:lang w:val="en-GB"/>
              </w:rPr>
            </w:pPr>
            <w:r>
              <w:rPr>
                <w:rFonts w:cstheme="minorHAnsi"/>
                <w:szCs w:val="20"/>
                <w:lang w:val="en-GB"/>
              </w:rPr>
              <w:t>Contemporary practice guidelines compiled by experts in the field for the European Society of Medical Oncology. Includes comprehensive descriptive text and multiple algorithms detailing optimal clinical pathways for NET patients with a variety of tumour types, tumour grades and clinical indications</w:t>
            </w:r>
          </w:p>
        </w:tc>
        <w:tc>
          <w:tcPr>
            <w:tcW w:w="748" w:type="pct"/>
          </w:tcPr>
          <w:p w14:paraId="7D6B4AA6" w14:textId="131C29AC" w:rsidR="00A47DA2" w:rsidRPr="00A47DA2" w:rsidRDefault="008D73E6" w:rsidP="00A47DA2">
            <w:pPr>
              <w:tabs>
                <w:tab w:val="center" w:pos="1678"/>
              </w:tabs>
              <w:autoSpaceDE w:val="0"/>
              <w:autoSpaceDN w:val="0"/>
              <w:adjustRightInd w:val="0"/>
              <w:spacing w:before="0" w:after="0"/>
              <w:rPr>
                <w:rFonts w:cstheme="minorHAnsi"/>
                <w:szCs w:val="20"/>
                <w:lang w:val="en-GB"/>
              </w:rPr>
            </w:pPr>
            <w:r>
              <w:t>doi.org/10.1016/j.annonc.2020.03.304</w:t>
            </w:r>
          </w:p>
        </w:tc>
        <w:tc>
          <w:tcPr>
            <w:tcW w:w="442" w:type="pct"/>
          </w:tcPr>
          <w:p w14:paraId="181BCF06" w14:textId="26016095" w:rsidR="00A47DA2" w:rsidRDefault="008D73E6" w:rsidP="00DD308E">
            <w:r>
              <w:t>2020</w:t>
            </w:r>
          </w:p>
        </w:tc>
      </w:tr>
    </w:tbl>
    <w:p w14:paraId="0144D0A0" w14:textId="76792925"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r>
        <w:rPr>
          <w:i/>
          <w:szCs w:val="20"/>
        </w:rPr>
        <w:br w:type="page"/>
      </w:r>
    </w:p>
    <w:p w14:paraId="480439A1" w14:textId="77777777" w:rsidR="004C49EF" w:rsidRDefault="00643755" w:rsidP="00643755">
      <w:pPr>
        <w:pStyle w:val="Heading2"/>
      </w:pPr>
      <w:r w:rsidRPr="00643755">
        <w:lastRenderedPageBreak/>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004C49EF" w:rsidRPr="00643755">
        <w:rPr>
          <w:i/>
        </w:rPr>
        <w:t>.</w:t>
      </w:r>
    </w:p>
    <w:tbl>
      <w:tblPr>
        <w:tblStyle w:val="TableGrid"/>
        <w:tblW w:w="5000" w:type="pct"/>
        <w:tblLook w:val="04A0" w:firstRow="1" w:lastRow="0" w:firstColumn="1" w:lastColumn="0" w:noHBand="0" w:noVBand="1"/>
        <w:tblCaption w:val="Summary of Evidence - Yet to be Published"/>
      </w:tblPr>
      <w:tblGrid>
        <w:gridCol w:w="421"/>
        <w:gridCol w:w="1417"/>
        <w:gridCol w:w="2126"/>
        <w:gridCol w:w="5046"/>
        <w:gridCol w:w="3476"/>
        <w:gridCol w:w="1462"/>
      </w:tblGrid>
      <w:tr w:rsidR="004C49EF" w14:paraId="432AF0CD" w14:textId="77777777" w:rsidTr="008F1188">
        <w:trPr>
          <w:cantSplit/>
          <w:tblHeader/>
        </w:trPr>
        <w:tc>
          <w:tcPr>
            <w:tcW w:w="151" w:type="pct"/>
          </w:tcPr>
          <w:p w14:paraId="6523B578" w14:textId="77777777" w:rsidR="004C49EF" w:rsidRDefault="004C49EF" w:rsidP="00855944">
            <w:pPr>
              <w:pStyle w:val="TableHEADER"/>
            </w:pPr>
          </w:p>
        </w:tc>
        <w:tc>
          <w:tcPr>
            <w:tcW w:w="508" w:type="pct"/>
          </w:tcPr>
          <w:p w14:paraId="25F5BC0C" w14:textId="12B185BE" w:rsidR="004C49EF" w:rsidRDefault="004C49EF" w:rsidP="00855944">
            <w:pPr>
              <w:pStyle w:val="TableHEADER"/>
            </w:pPr>
            <w:r>
              <w:t>Type of study design</w:t>
            </w:r>
          </w:p>
        </w:tc>
        <w:tc>
          <w:tcPr>
            <w:tcW w:w="762" w:type="pct"/>
          </w:tcPr>
          <w:p w14:paraId="5F3BF113" w14:textId="6EC83BF8" w:rsidR="004C49EF" w:rsidRDefault="004C49EF" w:rsidP="00855944">
            <w:pPr>
              <w:pStyle w:val="TableHEADER"/>
            </w:pPr>
            <w:r>
              <w:t xml:space="preserve">Title of research </w:t>
            </w:r>
          </w:p>
        </w:tc>
        <w:tc>
          <w:tcPr>
            <w:tcW w:w="1809" w:type="pct"/>
          </w:tcPr>
          <w:p w14:paraId="199C4224" w14:textId="64CEED5B" w:rsidR="004C49EF" w:rsidRDefault="00367C1B" w:rsidP="00855944">
            <w:pPr>
              <w:pStyle w:val="TableHEADER"/>
            </w:pPr>
            <w:r>
              <w:t>Short description of research</w:t>
            </w:r>
          </w:p>
        </w:tc>
        <w:tc>
          <w:tcPr>
            <w:tcW w:w="1246" w:type="pct"/>
          </w:tcPr>
          <w:p w14:paraId="1AA2298F" w14:textId="121A0A11" w:rsidR="004C49EF" w:rsidRDefault="004C49EF" w:rsidP="00855944">
            <w:pPr>
              <w:pStyle w:val="TableHEADER"/>
            </w:pPr>
            <w:r w:rsidRPr="00E82F54">
              <w:t xml:space="preserve">Website link to </w:t>
            </w:r>
            <w:r>
              <w:t>research</w:t>
            </w:r>
          </w:p>
        </w:tc>
        <w:tc>
          <w:tcPr>
            <w:tcW w:w="524" w:type="pct"/>
          </w:tcPr>
          <w:p w14:paraId="5A211B8E" w14:textId="6BC04AEC" w:rsidR="004C49EF" w:rsidRDefault="004C49EF" w:rsidP="00855944">
            <w:pPr>
              <w:pStyle w:val="TableHEADER"/>
            </w:pPr>
            <w:r w:rsidRPr="00E82F54">
              <w:t>Date</w:t>
            </w:r>
          </w:p>
        </w:tc>
      </w:tr>
      <w:tr w:rsidR="004C49EF" w14:paraId="42C23A2A" w14:textId="77777777" w:rsidTr="008F1188">
        <w:trPr>
          <w:cantSplit/>
        </w:trPr>
        <w:tc>
          <w:tcPr>
            <w:tcW w:w="151" w:type="pct"/>
          </w:tcPr>
          <w:p w14:paraId="6164B69F" w14:textId="77777777" w:rsidR="004C49EF" w:rsidRPr="00965B6B" w:rsidRDefault="004C49EF" w:rsidP="00526478">
            <w:pPr>
              <w:rPr>
                <w:szCs w:val="20"/>
              </w:rPr>
            </w:pPr>
            <w:r w:rsidRPr="00965B6B">
              <w:rPr>
                <w:szCs w:val="20"/>
              </w:rPr>
              <w:t>1</w:t>
            </w:r>
            <w:r>
              <w:rPr>
                <w:szCs w:val="20"/>
              </w:rPr>
              <w:t>.</w:t>
            </w:r>
          </w:p>
        </w:tc>
        <w:tc>
          <w:tcPr>
            <w:tcW w:w="508" w:type="pct"/>
          </w:tcPr>
          <w:p w14:paraId="6FBEDCE8" w14:textId="6FB26478" w:rsidR="004C49EF" w:rsidRDefault="008E04E9" w:rsidP="00526478">
            <w:pPr>
              <w:rPr>
                <w:b/>
                <w:szCs w:val="20"/>
              </w:rPr>
            </w:pPr>
            <w:r>
              <w:t xml:space="preserve">Prospective phase I </w:t>
            </w:r>
            <w:r w:rsidR="00693815">
              <w:t>trial</w:t>
            </w:r>
          </w:p>
        </w:tc>
        <w:tc>
          <w:tcPr>
            <w:tcW w:w="762" w:type="pct"/>
          </w:tcPr>
          <w:p w14:paraId="082DA6BF" w14:textId="23256824" w:rsidR="004C49EF" w:rsidRDefault="008E04E9" w:rsidP="00526478">
            <w:pPr>
              <w:rPr>
                <w:b/>
                <w:szCs w:val="20"/>
              </w:rPr>
            </w:pPr>
            <w:proofErr w:type="spellStart"/>
            <w:r>
              <w:t>PARLuNET</w:t>
            </w:r>
            <w:proofErr w:type="spellEnd"/>
            <w:r>
              <w:t xml:space="preserve"> </w:t>
            </w:r>
            <w:r w:rsidR="00693815">
              <w:t>(</w:t>
            </w:r>
            <w:r w:rsidR="00693815" w:rsidRPr="00693815">
              <w:t>NCT05053854</w:t>
            </w:r>
            <w:r w:rsidR="00693815">
              <w:t>)</w:t>
            </w:r>
          </w:p>
        </w:tc>
        <w:tc>
          <w:tcPr>
            <w:tcW w:w="1809" w:type="pct"/>
          </w:tcPr>
          <w:p w14:paraId="5A62A79B" w14:textId="34327A7C" w:rsidR="004C49EF" w:rsidRDefault="00C26D14" w:rsidP="00526478">
            <w:pPr>
              <w:rPr>
                <w:b/>
                <w:szCs w:val="20"/>
              </w:rPr>
            </w:pPr>
            <w:r>
              <w:t>Phase I dose-escalation trial of Lu-</w:t>
            </w:r>
            <w:proofErr w:type="gramStart"/>
            <w:r>
              <w:t>DOTATE  plus</w:t>
            </w:r>
            <w:proofErr w:type="gramEnd"/>
            <w:r>
              <w:t xml:space="preserve"> the PARP-inhibitor </w:t>
            </w:r>
            <w:proofErr w:type="spellStart"/>
            <w:r>
              <w:t>talazoparib</w:t>
            </w:r>
            <w:proofErr w:type="spellEnd"/>
            <w:r>
              <w:t xml:space="preserve"> as a DNA-damage repair modifying agent. Prior preclinical data suggesting significantly enhanced radiosensitivity (Cullinane et al. Scientific Reports </w:t>
            </w:r>
            <w:r w:rsidRPr="00C26D14">
              <w:rPr>
                <w:bCs/>
              </w:rPr>
              <w:t>2020;10(1):10196</w:t>
            </w:r>
            <w:r>
              <w:rPr>
                <w:bCs/>
              </w:rPr>
              <w:t>) Currently recruiting into dose level 2</w:t>
            </w:r>
          </w:p>
        </w:tc>
        <w:tc>
          <w:tcPr>
            <w:tcW w:w="1246" w:type="pct"/>
          </w:tcPr>
          <w:p w14:paraId="15C4C452" w14:textId="2CBEB9AD" w:rsidR="004C49EF" w:rsidRPr="00E82F54" w:rsidRDefault="001B4F43" w:rsidP="00526478">
            <w:pPr>
              <w:rPr>
                <w:b/>
                <w:szCs w:val="20"/>
              </w:rPr>
            </w:pPr>
            <w:r>
              <w:t>No results available</w:t>
            </w:r>
          </w:p>
        </w:tc>
        <w:tc>
          <w:tcPr>
            <w:tcW w:w="524" w:type="pct"/>
          </w:tcPr>
          <w:p w14:paraId="38AC3D8E" w14:textId="61CC5FA9" w:rsidR="004C49EF" w:rsidRPr="00E82F54" w:rsidRDefault="001B4F43" w:rsidP="00526478">
            <w:pPr>
              <w:rPr>
                <w:b/>
                <w:szCs w:val="20"/>
              </w:rPr>
            </w:pPr>
            <w:r>
              <w:t>Recruitment will likely complete in 2022</w:t>
            </w:r>
          </w:p>
        </w:tc>
      </w:tr>
    </w:tbl>
    <w:p w14:paraId="6758CB91"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54866FE9"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44802F9C"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04AF5814" w14:textId="0664795F" w:rsidR="00A727B6" w:rsidRDefault="00A70EE0" w:rsidP="00A727B6">
      <w:pPr>
        <w:ind w:left="426"/>
      </w:pPr>
      <w:r>
        <w:t>Australasian Association of Nuclear Medicine Specialists</w:t>
      </w:r>
    </w:p>
    <w:p w14:paraId="5790F16D" w14:textId="6D09D891" w:rsidR="00A70EE0" w:rsidRPr="00A727B6" w:rsidRDefault="00A70EE0" w:rsidP="00A727B6">
      <w:pPr>
        <w:ind w:left="426"/>
      </w:pPr>
      <w:r>
        <w:t>Royal Australian and New Zealand College of Radiologists</w:t>
      </w:r>
    </w:p>
    <w:p w14:paraId="55D2BA07"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10377251" w14:textId="4A2E5E82" w:rsidR="00EA173C" w:rsidRDefault="00A70EE0" w:rsidP="008F1188">
      <w:pPr>
        <w:spacing w:before="0"/>
        <w:ind w:left="425"/>
      </w:pPr>
      <w:r>
        <w:t>Clinical Oncology Society of Australia</w:t>
      </w:r>
    </w:p>
    <w:p w14:paraId="6FEC785E" w14:textId="669F2AEE" w:rsidR="00A70EE0" w:rsidRDefault="00A70EE0" w:rsidP="008F1188">
      <w:pPr>
        <w:spacing w:before="0"/>
        <w:ind w:left="425"/>
      </w:pPr>
      <w:r>
        <w:t>Royal Australian College of Physicians</w:t>
      </w:r>
    </w:p>
    <w:p w14:paraId="033EDFA1" w14:textId="1D48072A" w:rsidR="00A70EE0" w:rsidRDefault="00A70EE0" w:rsidP="008F1188">
      <w:pPr>
        <w:spacing w:before="0"/>
        <w:ind w:left="425"/>
      </w:pPr>
      <w:r>
        <w:t>Royal Australian College of Surgeons</w:t>
      </w:r>
    </w:p>
    <w:p w14:paraId="6F47A9F3" w14:textId="0949E561" w:rsidR="00A70EE0" w:rsidRDefault="00A70EE0" w:rsidP="008F1188">
      <w:pPr>
        <w:spacing w:before="0"/>
        <w:ind w:left="425"/>
      </w:pPr>
      <w:r>
        <w:t>Endocrinology Society of Australia</w:t>
      </w:r>
    </w:p>
    <w:p w14:paraId="2C416390" w14:textId="77777777" w:rsidR="00A70EE0" w:rsidRPr="00A727B6" w:rsidRDefault="00A70EE0" w:rsidP="008F1188">
      <w:pPr>
        <w:spacing w:before="0"/>
        <w:ind w:left="425"/>
      </w:pPr>
      <w:r>
        <w:t>Royal Australian and New Zealand College of Radiologists</w:t>
      </w:r>
    </w:p>
    <w:p w14:paraId="3A2943C0" w14:textId="77777777" w:rsidR="00E82F54" w:rsidRPr="00154B00" w:rsidRDefault="00E82F54" w:rsidP="00A75D4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56FA5F9C" w14:textId="7DF5C8BE" w:rsidR="00A70EE0" w:rsidRDefault="00A70EE0" w:rsidP="00A727B6">
      <w:pPr>
        <w:ind w:left="426"/>
      </w:pPr>
      <w:proofErr w:type="spellStart"/>
      <w:r>
        <w:t>Neuro</w:t>
      </w:r>
      <w:r w:rsidR="006E7C3D">
        <w:t>E</w:t>
      </w:r>
      <w:r>
        <w:t>ndocrine</w:t>
      </w:r>
      <w:proofErr w:type="spellEnd"/>
      <w:r>
        <w:t xml:space="preserve"> Cancer Australia</w:t>
      </w:r>
    </w:p>
    <w:p w14:paraId="5BE4F907" w14:textId="4CD9480F" w:rsidR="00A70EE0" w:rsidRDefault="00A70EE0" w:rsidP="00A727B6">
      <w:pPr>
        <w:ind w:left="426"/>
      </w:pPr>
      <w:r>
        <w:t>Cancer Council Australia</w:t>
      </w:r>
    </w:p>
    <w:p w14:paraId="5C18EAAD" w14:textId="3FE533A0" w:rsidR="00E82F54" w:rsidRDefault="00A70EE0" w:rsidP="00A727B6">
      <w:pPr>
        <w:ind w:left="426"/>
      </w:pPr>
      <w:r>
        <w:t>Cancer Voices</w:t>
      </w:r>
    </w:p>
    <w:p w14:paraId="42EFC517"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0368DFD2" w14:textId="3B040453" w:rsidR="00EE6450" w:rsidRDefault="00FA1EF2" w:rsidP="00EE6450">
      <w:pPr>
        <w:ind w:left="426"/>
      </w:pPr>
      <w:r>
        <w:t>There is no alternat</w:t>
      </w:r>
      <w:r w:rsidR="00F52C4E">
        <w:t>ive</w:t>
      </w:r>
      <w:r>
        <w:t xml:space="preserve"> </w:t>
      </w:r>
      <w:r w:rsidR="00F52C4E">
        <w:t xml:space="preserve">identical or biosimilar </w:t>
      </w:r>
      <w:r w:rsidRPr="00F52C4E">
        <w:rPr>
          <w:i/>
          <w:iCs/>
        </w:rPr>
        <w:t>GMP quality</w:t>
      </w:r>
      <w:r>
        <w:t xml:space="preserve"> product available in Australia</w:t>
      </w:r>
      <w:r w:rsidR="00440654">
        <w:t xml:space="preserve"> for this treatment indication</w:t>
      </w:r>
    </w:p>
    <w:p w14:paraId="3DC028D8" w14:textId="0377B079" w:rsidR="00440654" w:rsidRDefault="002E52B3" w:rsidP="00440654">
      <w:pPr>
        <w:ind w:left="426"/>
      </w:pPr>
      <w:r>
        <w:t>Non-GMP quality, extemporaneously compounded product is manufacture</w:t>
      </w:r>
      <w:r w:rsidR="00F52C4E">
        <w:t>d</w:t>
      </w:r>
      <w:r>
        <w:t xml:space="preserve"> in several locations around Australia for supply to patients</w:t>
      </w:r>
      <w:r w:rsidR="00F52C4E">
        <w:t xml:space="preserve"> using both</w:t>
      </w:r>
      <w:r w:rsidR="00693815" w:rsidRPr="00693815">
        <w:t xml:space="preserve"> </w:t>
      </w:r>
      <w:r w:rsidR="00693815">
        <w:t>no carrier added</w:t>
      </w:r>
      <w:r w:rsidR="00F52C4E">
        <w:t xml:space="preserve"> (</w:t>
      </w:r>
      <w:proofErr w:type="spellStart"/>
      <w:r w:rsidR="00A61C88">
        <w:t>nca</w:t>
      </w:r>
      <w:proofErr w:type="spellEnd"/>
      <w:r w:rsidR="00F52C4E">
        <w:t xml:space="preserve">) </w:t>
      </w:r>
      <w:r w:rsidR="00693815">
        <w:t>and carrier added</w:t>
      </w:r>
      <w:r w:rsidR="00693815" w:rsidDel="00693815">
        <w:t xml:space="preserve"> </w:t>
      </w:r>
      <w:r w:rsidR="00F52C4E">
        <w:t>(</w:t>
      </w:r>
      <w:r w:rsidR="00A61C88">
        <w:t>ca</w:t>
      </w:r>
      <w:r w:rsidR="00F52C4E">
        <w:t xml:space="preserve">) </w:t>
      </w:r>
      <w:r w:rsidR="00F52C4E" w:rsidRPr="00F52C4E">
        <w:rPr>
          <w:vertAlign w:val="superscript"/>
        </w:rPr>
        <w:t>177</w:t>
      </w:r>
      <w:r w:rsidR="00F52C4E">
        <w:t>Lutetium</w:t>
      </w:r>
      <w:r w:rsidR="00440654">
        <w:t xml:space="preserve"> and is used for this treatment indication</w:t>
      </w:r>
    </w:p>
    <w:p w14:paraId="3C70F727" w14:textId="40B5685C" w:rsidR="00F52C4E" w:rsidRDefault="00F52C4E" w:rsidP="00EE6450">
      <w:pPr>
        <w:ind w:left="426"/>
      </w:pPr>
      <w:r>
        <w:t xml:space="preserve">Biosimilar non-GMP quality radiopharmaceuticals that are, or have been used in Australia </w:t>
      </w:r>
      <w:r w:rsidR="00440654">
        <w:t>for this treatment indication are</w:t>
      </w:r>
      <w:r>
        <w:t xml:space="preserve"> </w:t>
      </w:r>
    </w:p>
    <w:p w14:paraId="0FB97441" w14:textId="4B5F24BA" w:rsidR="002E52B3" w:rsidRDefault="00F52C4E" w:rsidP="00EE6450">
      <w:pPr>
        <w:ind w:left="426"/>
      </w:pPr>
      <w:r w:rsidRPr="00F52C4E">
        <w:rPr>
          <w:vertAlign w:val="superscript"/>
        </w:rPr>
        <w:t>177</w:t>
      </w:r>
      <w:proofErr w:type="gramStart"/>
      <w:r>
        <w:t>Lutetium</w:t>
      </w:r>
      <w:r w:rsidRPr="00AD38C4">
        <w:t>(</w:t>
      </w:r>
      <w:proofErr w:type="gramEnd"/>
      <w:r w:rsidRPr="00AD38C4">
        <w:t xml:space="preserve">ca and </w:t>
      </w:r>
      <w:proofErr w:type="spellStart"/>
      <w:r w:rsidRPr="00AD38C4">
        <w:t>nca</w:t>
      </w:r>
      <w:proofErr w:type="spellEnd"/>
      <w:r w:rsidR="00A61C88" w:rsidRPr="00AD38C4">
        <w:t>)</w:t>
      </w:r>
      <w:r>
        <w:t>Octreotide</w:t>
      </w:r>
    </w:p>
    <w:p w14:paraId="5CA3E823" w14:textId="0F295FE8" w:rsidR="00F52C4E" w:rsidRDefault="00F52C4E" w:rsidP="00EE6450">
      <w:pPr>
        <w:ind w:left="426"/>
      </w:pPr>
      <w:r w:rsidRPr="00F52C4E">
        <w:rPr>
          <w:vertAlign w:val="superscript"/>
        </w:rPr>
        <w:t>90</w:t>
      </w:r>
      <w:r>
        <w:t>Yt</w:t>
      </w:r>
      <w:r w:rsidR="00440654">
        <w:t>rium</w:t>
      </w:r>
      <w:r w:rsidR="00A61C88">
        <w:t xml:space="preserve"> </w:t>
      </w:r>
      <w:proofErr w:type="spellStart"/>
      <w:r>
        <w:t>Octreotate</w:t>
      </w:r>
      <w:proofErr w:type="spellEnd"/>
      <w:r>
        <w:t xml:space="preserve"> and</w:t>
      </w:r>
      <w:r w:rsidR="00A61C88">
        <w:t xml:space="preserve"> </w:t>
      </w:r>
      <w:r>
        <w:t>Octreotide</w:t>
      </w:r>
    </w:p>
    <w:p w14:paraId="36DCEB93" w14:textId="7EC85EE6" w:rsidR="00F52C4E" w:rsidRPr="00F52C4E" w:rsidRDefault="00F52C4E" w:rsidP="00EE6450">
      <w:pPr>
        <w:ind w:left="426"/>
      </w:pPr>
      <w:r w:rsidRPr="00440654">
        <w:rPr>
          <w:vertAlign w:val="superscript"/>
        </w:rPr>
        <w:t>111</w:t>
      </w:r>
      <w:r>
        <w:t>In</w:t>
      </w:r>
      <w:r w:rsidR="00440654">
        <w:t>dium</w:t>
      </w:r>
      <w:r w:rsidR="008D73E6">
        <w:t xml:space="preserve"> </w:t>
      </w:r>
      <w:r w:rsidR="00BD0717">
        <w:t>DTPA-</w:t>
      </w:r>
      <w:proofErr w:type="spellStart"/>
      <w:r w:rsidR="00440654">
        <w:t>Octreotate</w:t>
      </w:r>
      <w:proofErr w:type="spellEnd"/>
      <w:r w:rsidR="00440654">
        <w:t xml:space="preserve"> and </w:t>
      </w:r>
      <w:r w:rsidR="00A61C88">
        <w:t>Oct</w:t>
      </w:r>
      <w:r w:rsidR="00BD0717">
        <w:t>reotide</w:t>
      </w:r>
    </w:p>
    <w:p w14:paraId="0113A17C" w14:textId="0ECE1974" w:rsidR="002E52B3" w:rsidRPr="008F1188" w:rsidRDefault="00EC47AF" w:rsidP="008F1188">
      <w:pPr>
        <w:ind w:left="426"/>
      </w:pPr>
      <w:r>
        <w:t xml:space="preserve">NOVARTIS sponsors </w:t>
      </w:r>
      <w:r w:rsidR="00440654">
        <w:t xml:space="preserve">a GMP quality </w:t>
      </w:r>
      <w:r w:rsidR="00440654" w:rsidRPr="00F52C4E">
        <w:rPr>
          <w:vertAlign w:val="superscript"/>
        </w:rPr>
        <w:t>177</w:t>
      </w:r>
      <w:proofErr w:type="gramStart"/>
      <w:r w:rsidR="00440654">
        <w:t>Lutetium</w:t>
      </w:r>
      <w:r w:rsidR="00440654">
        <w:rPr>
          <w:vertAlign w:val="subscript"/>
        </w:rPr>
        <w:t>(</w:t>
      </w:r>
      <w:proofErr w:type="gramEnd"/>
      <w:r w:rsidR="00A61C88" w:rsidRPr="00AD38C4">
        <w:t>ca</w:t>
      </w:r>
      <w:r w:rsidR="00BD0717" w:rsidRPr="00AD38C4">
        <w:t xml:space="preserve"> and </w:t>
      </w:r>
      <w:proofErr w:type="spellStart"/>
      <w:r w:rsidR="00A61C88" w:rsidRPr="00AD38C4">
        <w:t>nca</w:t>
      </w:r>
      <w:proofErr w:type="spellEnd"/>
      <w:r w:rsidR="00440654" w:rsidRPr="00F52C4E">
        <w:rPr>
          <w:vertAlign w:val="subscript"/>
        </w:rPr>
        <w:t>)</w:t>
      </w:r>
      <w:proofErr w:type="spellStart"/>
      <w:r w:rsidR="00440654">
        <w:t>Octreotate</w:t>
      </w:r>
      <w:proofErr w:type="spellEnd"/>
      <w:r w:rsidR="00440654">
        <w:t xml:space="preserve"> radiopharmaceutical product for use in a similar treatment indication </w:t>
      </w:r>
      <w:r>
        <w:t>in the European Union and United States of America</w:t>
      </w:r>
      <w:r w:rsidR="00BD0717">
        <w:t>,</w:t>
      </w:r>
      <w:r w:rsidR="00440654">
        <w:t xml:space="preserve"> but it is unknown whether the company intends to sponsor supply of their product to the Australian healthcare system</w:t>
      </w:r>
      <w:r w:rsidR="00BD0717">
        <w:t>.</w:t>
      </w:r>
    </w:p>
    <w:p w14:paraId="695F344F" w14:textId="77777777" w:rsidR="00BA72E3" w:rsidRPr="005A20E4" w:rsidRDefault="00BA72E3" w:rsidP="00BA72E3">
      <w:pPr>
        <w:numPr>
          <w:ilvl w:val="0"/>
          <w:numId w:val="1"/>
        </w:numPr>
        <w:rPr>
          <w:b/>
          <w:szCs w:val="20"/>
        </w:rPr>
      </w:pPr>
      <w:r w:rsidRPr="005A20E4">
        <w:rPr>
          <w:b/>
          <w:szCs w:val="20"/>
        </w:rPr>
        <w:t>Nominate two experts that can be contacted about the proposed medical service, and current clinical management of the condition:</w:t>
      </w:r>
    </w:p>
    <w:p w14:paraId="5C0825DF" w14:textId="46B404AF" w:rsidR="003433D1" w:rsidRPr="008F1188" w:rsidRDefault="008F1188" w:rsidP="008F1188">
      <w:pPr>
        <w:ind w:left="360"/>
        <w:rPr>
          <w:b/>
          <w:bCs/>
          <w:sz w:val="32"/>
          <w:szCs w:val="32"/>
        </w:rPr>
      </w:pPr>
      <w:r w:rsidRPr="008F1188">
        <w:rPr>
          <w:b/>
          <w:bCs/>
        </w:rPr>
        <w:t>REDACTED</w:t>
      </w:r>
      <w:r w:rsidR="003433D1" w:rsidRPr="008F1188">
        <w:rPr>
          <w:b/>
          <w:bCs/>
          <w:sz w:val="32"/>
          <w:szCs w:val="32"/>
        </w:rPr>
        <w:br w:type="page"/>
      </w:r>
    </w:p>
    <w:p w14:paraId="3FA1BBD9"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3AB04A86" w14:textId="77777777" w:rsidR="0021185D" w:rsidRPr="005C3AE7" w:rsidRDefault="005C3AE7" w:rsidP="008F1188">
      <w:pPr>
        <w:pStyle w:val="Subtitle"/>
        <w:ind w:left="0"/>
      </w:pPr>
      <w:r w:rsidRPr="005C3AE7">
        <w:t xml:space="preserve">PART 6a – </w:t>
      </w:r>
      <w:r w:rsidR="0021185D" w:rsidRPr="005C3AE7">
        <w:t>INFORMATION ABOUT THE PROPOSED POPULATION</w:t>
      </w:r>
    </w:p>
    <w:p w14:paraId="1827D697" w14:textId="2BAD2959"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w:t>
      </w:r>
      <w:r w:rsidR="00055FC7">
        <w:t>-</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4D551CF6" w14:textId="04824794" w:rsidR="00385EF9" w:rsidRDefault="00EC47AF" w:rsidP="00385EF9">
      <w:pPr>
        <w:ind w:left="426"/>
      </w:pPr>
      <w:r>
        <w:t xml:space="preserve">NET is a malignancy that originates in neuroendocrine cells </w:t>
      </w:r>
      <w:r w:rsidR="002B1304">
        <w:t>normally</w:t>
      </w:r>
      <w:r>
        <w:t xml:space="preserve"> located in many regions of the body but primarily the digestive and respiratory tracts.</w:t>
      </w:r>
      <w:r w:rsidR="000E6DCD">
        <w:t xml:space="preserve"> </w:t>
      </w:r>
    </w:p>
    <w:p w14:paraId="7E8D8423" w14:textId="77777777" w:rsidR="002E52B3" w:rsidRDefault="002E52B3" w:rsidP="002E52B3">
      <w:pPr>
        <w:ind w:left="426"/>
      </w:pPr>
      <w:r>
        <w:t>NET may be sporadic or may occur as part of familial Multiple Endocrine Neoplasia Syndromes (MEN 1 and 2)</w:t>
      </w:r>
    </w:p>
    <w:p w14:paraId="304A969D" w14:textId="705323AC" w:rsidR="00EC47AF" w:rsidRDefault="002E52B3" w:rsidP="00E357B9">
      <w:pPr>
        <w:ind w:left="426"/>
      </w:pPr>
      <w:r>
        <w:t xml:space="preserve">Approximately </w:t>
      </w:r>
      <w:r w:rsidR="002B1304">
        <w:t>20</w:t>
      </w:r>
      <w:r w:rsidR="00EC47AF">
        <w:t xml:space="preserve">% of NET </w:t>
      </w:r>
      <w:r>
        <w:t>ret</w:t>
      </w:r>
      <w:r w:rsidR="00EC47AF">
        <w:t xml:space="preserve">ain </w:t>
      </w:r>
      <w:r>
        <w:t xml:space="preserve">the capacity to secrete clinically significant quantities of functional peptide </w:t>
      </w:r>
      <w:r w:rsidR="00EC47AF">
        <w:t>hormon</w:t>
      </w:r>
      <w:r>
        <w:t>es</w:t>
      </w:r>
      <w:r w:rsidR="000A4ADF">
        <w:t xml:space="preserve"> and may present with associated syndromic features, </w:t>
      </w:r>
      <w:proofErr w:type="gramStart"/>
      <w:r w:rsidR="000A4ADF">
        <w:t>e.g.</w:t>
      </w:r>
      <w:proofErr w:type="gramEnd"/>
      <w:r w:rsidR="000A4ADF">
        <w:t xml:space="preserve"> carcinoid syndrome, Werner-Morrison syndrome etc</w:t>
      </w:r>
      <w:r w:rsidR="00EC47AF">
        <w:t>.</w:t>
      </w:r>
    </w:p>
    <w:p w14:paraId="3EC1819A" w14:textId="05ED1B5D" w:rsidR="000E20FE" w:rsidRDefault="000E20FE" w:rsidP="00E357B9">
      <w:pPr>
        <w:ind w:left="426"/>
      </w:pPr>
      <w:r>
        <w:t>H</w:t>
      </w:r>
      <w:r w:rsidR="000A4ADF">
        <w:t>-</w:t>
      </w:r>
      <w:r>
        <w:t>SST</w:t>
      </w:r>
      <w:r w:rsidR="000A4ADF">
        <w:t>R</w:t>
      </w:r>
      <w:r>
        <w:t xml:space="preserve"> </w:t>
      </w:r>
      <w:r w:rsidR="00AD7500">
        <w:t xml:space="preserve">tumours can also arise </w:t>
      </w:r>
      <w:r>
        <w:t xml:space="preserve">in a variety of different </w:t>
      </w:r>
      <w:r w:rsidR="00AD7500">
        <w:t xml:space="preserve">sites, including the thyroid (medullary thyroid cancer), the thymus, the skin (Merkel cell carcinoma), adrenal glands (phaeochromocytoma) or autonomic nervous </w:t>
      </w:r>
      <w:proofErr w:type="gramStart"/>
      <w:r w:rsidR="00AD7500">
        <w:t>system )paraganglioma</w:t>
      </w:r>
      <w:proofErr w:type="gramEnd"/>
      <w:r w:rsidR="00AD7500">
        <w:t>)</w:t>
      </w:r>
      <w:r>
        <w:t xml:space="preserve"> and may also demonstrate dysregulated production of physiologically active molecules, particularly catecholamines.</w:t>
      </w:r>
    </w:p>
    <w:p w14:paraId="4EEA5D1E" w14:textId="7ABFD4FD" w:rsidR="00A538CC" w:rsidRDefault="00A538CC" w:rsidP="00E357B9">
      <w:pPr>
        <w:ind w:left="426"/>
      </w:pPr>
      <w:r>
        <w:t xml:space="preserve">The natural history of the disease is </w:t>
      </w:r>
      <w:r w:rsidR="00A91C57">
        <w:t>highly variable</w:t>
      </w:r>
      <w:r>
        <w:t xml:space="preserve"> and dependent several </w:t>
      </w:r>
      <w:r w:rsidR="002D4C99">
        <w:t xml:space="preserve">key </w:t>
      </w:r>
      <w:r>
        <w:t>tumour characteristics</w:t>
      </w:r>
    </w:p>
    <w:p w14:paraId="6B73BBF5" w14:textId="57685E65" w:rsidR="001609F8" w:rsidRPr="00692C90" w:rsidRDefault="001609F8" w:rsidP="001609F8">
      <w:pPr>
        <w:pStyle w:val="ListParagraph"/>
        <w:numPr>
          <w:ilvl w:val="0"/>
          <w:numId w:val="43"/>
        </w:numPr>
        <w:rPr>
          <w:i/>
          <w:iCs/>
          <w:u w:val="single"/>
        </w:rPr>
      </w:pPr>
      <w:r>
        <w:rPr>
          <w:i/>
          <w:iCs/>
          <w:u w:val="single"/>
        </w:rPr>
        <w:t>l</w:t>
      </w:r>
      <w:r w:rsidRPr="001609F8">
        <w:rPr>
          <w:i/>
          <w:iCs/>
          <w:u w:val="single"/>
        </w:rPr>
        <w:t>ocation of the primary t</w:t>
      </w:r>
      <w:r>
        <w:rPr>
          <w:i/>
          <w:iCs/>
          <w:u w:val="single"/>
        </w:rPr>
        <w:t>u</w:t>
      </w:r>
      <w:r w:rsidRPr="001609F8">
        <w:rPr>
          <w:i/>
          <w:iCs/>
          <w:u w:val="single"/>
        </w:rPr>
        <w:t>mour</w:t>
      </w:r>
      <w:r>
        <w:rPr>
          <w:i/>
          <w:iCs/>
          <w:u w:val="single"/>
        </w:rPr>
        <w:t xml:space="preserve">. </w:t>
      </w:r>
      <w:r>
        <w:t>Localised tumours may produce major morbidity and cause death depending on their location and potential for ablation by surgery and/or radiotherapy</w:t>
      </w:r>
    </w:p>
    <w:p w14:paraId="59FA211B" w14:textId="7687B53D" w:rsidR="00692C90" w:rsidRPr="00692C90" w:rsidRDefault="00692C90" w:rsidP="00692C90">
      <w:pPr>
        <w:ind w:left="1146"/>
      </w:pPr>
      <w:r>
        <w:t xml:space="preserve">The location of the primary tumour also commonly defines the cell type of </w:t>
      </w:r>
      <w:r w:rsidR="00C341A4">
        <w:t xml:space="preserve">origin of </w:t>
      </w:r>
      <w:r>
        <w:t xml:space="preserve">the NET </w:t>
      </w:r>
      <w:r w:rsidR="00C341A4">
        <w:t>or H</w:t>
      </w:r>
      <w:r w:rsidR="0096605E">
        <w:t>-</w:t>
      </w:r>
      <w:r w:rsidR="00C341A4">
        <w:t>SST</w:t>
      </w:r>
      <w:r w:rsidR="0096605E">
        <w:t>R</w:t>
      </w:r>
      <w:r w:rsidR="00C341A4">
        <w:t xml:space="preserve"> </w:t>
      </w:r>
      <w:r w:rsidR="002F6D7F">
        <w:t xml:space="preserve">and in conjunction with the site of tumour origin these characteristics </w:t>
      </w:r>
      <w:r w:rsidR="00C341A4">
        <w:t>strongly influence the range of tumour behaviour</w:t>
      </w:r>
      <w:r w:rsidR="002F6D7F">
        <w:t>s and consequently management options and patient outcomes</w:t>
      </w:r>
    </w:p>
    <w:p w14:paraId="698103D4" w14:textId="178E7CA5" w:rsidR="007F4E59" w:rsidRDefault="007F4E59" w:rsidP="007F4E59">
      <w:pPr>
        <w:pStyle w:val="ListParagraph"/>
        <w:numPr>
          <w:ilvl w:val="0"/>
          <w:numId w:val="43"/>
        </w:numPr>
      </w:pPr>
      <w:r w:rsidRPr="002D4C99">
        <w:rPr>
          <w:i/>
          <w:iCs/>
          <w:u w:val="single"/>
        </w:rPr>
        <w:t>whether the tumour is localised or metastatic</w:t>
      </w:r>
      <w:r w:rsidR="001144E9" w:rsidRPr="002D4C99">
        <w:rPr>
          <w:i/>
          <w:iCs/>
          <w:u w:val="single"/>
        </w:rPr>
        <w:t>.</w:t>
      </w:r>
      <w:r w:rsidR="001144E9">
        <w:t xml:space="preserve"> </w:t>
      </w:r>
      <w:r w:rsidR="001609F8">
        <w:t>Metastatic NET is present in approximately 50% of patients at first diagnosis, and i</w:t>
      </w:r>
      <w:r w:rsidR="002D4C99">
        <w:t xml:space="preserve">n </w:t>
      </w:r>
      <w:r w:rsidR="00C341A4">
        <w:t>most</w:t>
      </w:r>
      <w:r w:rsidR="002D4C99">
        <w:t xml:space="preserve"> patients </w:t>
      </w:r>
      <w:r w:rsidR="001609F8">
        <w:t>who have</w:t>
      </w:r>
      <w:r w:rsidR="002D4C99">
        <w:t xml:space="preserve"> metastatic NET </w:t>
      </w:r>
      <w:r w:rsidR="00C341A4">
        <w:t>and H</w:t>
      </w:r>
      <w:r w:rsidR="0096605E">
        <w:t>-</w:t>
      </w:r>
      <w:r w:rsidR="00C341A4">
        <w:t>SST</w:t>
      </w:r>
      <w:r w:rsidR="0096605E">
        <w:t>R</w:t>
      </w:r>
      <w:r w:rsidR="00C341A4">
        <w:t xml:space="preserve"> </w:t>
      </w:r>
      <w:r w:rsidR="002D4C99">
        <w:t>the condition is ultimately their cause of death</w:t>
      </w:r>
      <w:r w:rsidR="00385EF9">
        <w:t xml:space="preserve">. </w:t>
      </w:r>
    </w:p>
    <w:p w14:paraId="1EAC9E02" w14:textId="77777777" w:rsidR="002F6D7F" w:rsidRDefault="002F6D7F" w:rsidP="002F6D7F">
      <w:pPr>
        <w:pStyle w:val="ListParagraph"/>
        <w:ind w:left="1146"/>
      </w:pPr>
    </w:p>
    <w:p w14:paraId="301097BC" w14:textId="2DBBBEA8" w:rsidR="00162E8F" w:rsidRDefault="00A538CC" w:rsidP="00A538CC">
      <w:pPr>
        <w:pStyle w:val="ListParagraph"/>
        <w:numPr>
          <w:ilvl w:val="0"/>
          <w:numId w:val="43"/>
        </w:numPr>
      </w:pPr>
      <w:r w:rsidRPr="002D4C99">
        <w:rPr>
          <w:i/>
          <w:iCs/>
          <w:u w:val="single"/>
        </w:rPr>
        <w:t xml:space="preserve">the </w:t>
      </w:r>
      <w:r w:rsidR="004426BE">
        <w:rPr>
          <w:i/>
          <w:iCs/>
          <w:u w:val="single"/>
        </w:rPr>
        <w:t>rate of</w:t>
      </w:r>
      <w:r w:rsidRPr="002D4C99">
        <w:rPr>
          <w:i/>
          <w:iCs/>
          <w:u w:val="single"/>
        </w:rPr>
        <w:t xml:space="preserve"> tumour cell replication</w:t>
      </w:r>
      <w:r w:rsidR="001144E9" w:rsidRPr="002D4C99">
        <w:rPr>
          <w:i/>
          <w:iCs/>
          <w:u w:val="single"/>
        </w:rPr>
        <w:t>.</w:t>
      </w:r>
      <w:r w:rsidR="001144E9">
        <w:t xml:space="preserve"> </w:t>
      </w:r>
      <w:r w:rsidR="004426BE">
        <w:t xml:space="preserve"> NET </w:t>
      </w:r>
      <w:r w:rsidR="00F74BD5">
        <w:t xml:space="preserve">Grade </w:t>
      </w:r>
      <w:r w:rsidR="004426BE">
        <w:t>is a classification dependent upon</w:t>
      </w:r>
      <w:r>
        <w:t xml:space="preserve"> pathological estimation of a Ki-67 </w:t>
      </w:r>
      <w:r w:rsidR="00146A10">
        <w:t>index</w:t>
      </w:r>
      <w:r w:rsidR="001B3FE0">
        <w:t xml:space="preserve">. </w:t>
      </w:r>
      <w:r>
        <w:t>G1</w:t>
      </w:r>
      <w:r w:rsidR="00162E8F">
        <w:t>, or</w:t>
      </w:r>
      <w:r w:rsidR="004426BE">
        <w:t xml:space="preserve"> Low grade</w:t>
      </w:r>
      <w:r>
        <w:t xml:space="preserve"> </w:t>
      </w:r>
      <w:r w:rsidR="001B3FE0">
        <w:t>tumours</w:t>
      </w:r>
      <w:r w:rsidR="00162E8F">
        <w:t xml:space="preserve">, </w:t>
      </w:r>
      <w:r w:rsidR="001B3FE0">
        <w:t xml:space="preserve">have Ki-67 less than </w:t>
      </w:r>
      <w:r w:rsidR="00341CB5">
        <w:t>3</w:t>
      </w:r>
      <w:r w:rsidR="001B3FE0">
        <w:t>%</w:t>
      </w:r>
      <w:r w:rsidR="00162E8F">
        <w:t xml:space="preserve"> and</w:t>
      </w:r>
      <w:r w:rsidR="001B3FE0">
        <w:t xml:space="preserve"> G</w:t>
      </w:r>
      <w:r w:rsidR="00162E8F">
        <w:t xml:space="preserve">2, </w:t>
      </w:r>
      <w:proofErr w:type="gramStart"/>
      <w:r w:rsidR="00162E8F">
        <w:t xml:space="preserve">or </w:t>
      </w:r>
      <w:r w:rsidR="004426BE">
        <w:t xml:space="preserve"> Intermediate</w:t>
      </w:r>
      <w:proofErr w:type="gramEnd"/>
      <w:r w:rsidR="004426BE">
        <w:t xml:space="preserve"> grade </w:t>
      </w:r>
      <w:r w:rsidR="001B3FE0">
        <w:t>tumours</w:t>
      </w:r>
      <w:r w:rsidR="00162E8F">
        <w:t>,</w:t>
      </w:r>
      <w:r w:rsidR="00146A10">
        <w:t xml:space="preserve"> have</w:t>
      </w:r>
      <w:r w:rsidR="001B3FE0">
        <w:t xml:space="preserve"> Ki-67 of </w:t>
      </w:r>
      <w:r w:rsidR="0096605E">
        <w:t>3</w:t>
      </w:r>
      <w:r w:rsidR="001B3FE0">
        <w:t>-20%</w:t>
      </w:r>
      <w:r w:rsidR="004426BE">
        <w:t>.</w:t>
      </w:r>
      <w:r w:rsidR="001B3FE0">
        <w:t xml:space="preserve"> </w:t>
      </w:r>
    </w:p>
    <w:p w14:paraId="499ED527" w14:textId="311D85CE" w:rsidR="002F6D7F" w:rsidRDefault="001B3FE0" w:rsidP="00162E8F">
      <w:pPr>
        <w:pStyle w:val="ListParagraph"/>
        <w:ind w:left="1146"/>
      </w:pPr>
      <w:r>
        <w:t>G3</w:t>
      </w:r>
      <w:r w:rsidR="00162E8F">
        <w:t xml:space="preserve">, or </w:t>
      </w:r>
      <w:proofErr w:type="gramStart"/>
      <w:r w:rsidR="004426BE">
        <w:t>High grade</w:t>
      </w:r>
      <w:proofErr w:type="gramEnd"/>
      <w:r w:rsidR="004426BE">
        <w:t xml:space="preserve"> tumours</w:t>
      </w:r>
      <w:r w:rsidR="00162E8F">
        <w:t xml:space="preserve">, </w:t>
      </w:r>
      <w:r>
        <w:t xml:space="preserve">have a Ki-67 </w:t>
      </w:r>
      <w:r w:rsidR="00146A10">
        <w:t xml:space="preserve">of </w:t>
      </w:r>
      <w:r>
        <w:t>21-100%</w:t>
      </w:r>
      <w:r w:rsidR="00341CB5">
        <w:t xml:space="preserve"> </w:t>
      </w:r>
      <w:r w:rsidR="00146A10">
        <w:t xml:space="preserve">with </w:t>
      </w:r>
      <w:r w:rsidR="00162E8F">
        <w:t xml:space="preserve">the </w:t>
      </w:r>
      <w:r w:rsidR="00146A10">
        <w:t xml:space="preserve">G3 </w:t>
      </w:r>
      <w:r w:rsidR="00162E8F">
        <w:t>tumours</w:t>
      </w:r>
      <w:r w:rsidR="00146A10">
        <w:t xml:space="preserve"> </w:t>
      </w:r>
      <w:r w:rsidR="00162E8F">
        <w:t xml:space="preserve">category </w:t>
      </w:r>
      <w:r w:rsidR="00146A10">
        <w:t>more</w:t>
      </w:r>
      <w:r w:rsidR="004426BE">
        <w:t xml:space="preserve"> recently </w:t>
      </w:r>
      <w:r w:rsidR="00162E8F">
        <w:t xml:space="preserve">divided into </w:t>
      </w:r>
      <w:r w:rsidR="00146A10">
        <w:t>W</w:t>
      </w:r>
      <w:r w:rsidR="004426BE">
        <w:t>ell differentiated</w:t>
      </w:r>
      <w:r w:rsidR="0096605E">
        <w:t xml:space="preserve"> NET</w:t>
      </w:r>
      <w:r w:rsidR="004426BE">
        <w:t xml:space="preserve"> </w:t>
      </w:r>
      <w:r w:rsidR="00146A10">
        <w:t xml:space="preserve">and Poorly differentiated </w:t>
      </w:r>
      <w:r w:rsidR="0096605E">
        <w:t>neuroendocrine carcinoma (NEC)</w:t>
      </w:r>
      <w:r w:rsidR="00146A10">
        <w:t xml:space="preserve">, with </w:t>
      </w:r>
      <w:r w:rsidR="00341CB5">
        <w:t xml:space="preserve">G3 </w:t>
      </w:r>
      <w:r w:rsidR="0096605E">
        <w:t xml:space="preserve">WD-NET </w:t>
      </w:r>
      <w:r w:rsidR="00EE0F7D">
        <w:t>generally having a</w:t>
      </w:r>
      <w:r w:rsidR="00146A10">
        <w:t xml:space="preserve"> Ki-67 index of 21-5</w:t>
      </w:r>
      <w:r w:rsidR="00EE0F7D">
        <w:t>5</w:t>
      </w:r>
      <w:r w:rsidR="0096605E">
        <w:t>% with NEC typically having Ki-67 &gt;55%.</w:t>
      </w:r>
    </w:p>
    <w:p w14:paraId="1B605F20" w14:textId="1200FE4D" w:rsidR="008C4AD8" w:rsidRDefault="00341CB5" w:rsidP="00162E8F">
      <w:pPr>
        <w:pStyle w:val="ListParagraph"/>
        <w:ind w:left="1146"/>
      </w:pPr>
      <w:r>
        <w:t xml:space="preserve">Higher tumour grades </w:t>
      </w:r>
      <w:r w:rsidR="00162E8F">
        <w:t>have</w:t>
      </w:r>
      <w:r>
        <w:t xml:space="preserve"> more rapid tumour growth </w:t>
      </w:r>
      <w:r w:rsidR="00EE0F7D">
        <w:t xml:space="preserve">and shorter average overall survival </w:t>
      </w:r>
      <w:r w:rsidR="00162E8F">
        <w:t>duration</w:t>
      </w:r>
      <w:r w:rsidR="00EE0F7D">
        <w:t xml:space="preserve"> with </w:t>
      </w:r>
      <w:r w:rsidR="00162E8F">
        <w:t>shortest</w:t>
      </w:r>
      <w:r w:rsidR="00EE0F7D">
        <w:t xml:space="preserve"> overall survival of </w:t>
      </w:r>
      <w:r w:rsidR="00C11664">
        <w:t xml:space="preserve">6-18 </w:t>
      </w:r>
      <w:r w:rsidR="00EE0F7D">
        <w:t xml:space="preserve">months for patients with </w:t>
      </w:r>
      <w:r w:rsidR="00C11664">
        <w:t>NEC.</w:t>
      </w:r>
    </w:p>
    <w:p w14:paraId="1781FDB8" w14:textId="5D7084A3" w:rsidR="008940AF" w:rsidRDefault="00F74BD5" w:rsidP="008940AF">
      <w:pPr>
        <w:pStyle w:val="ListParagraph"/>
        <w:ind w:left="1146"/>
      </w:pPr>
      <w:r>
        <w:t xml:space="preserve">NET patients with metastatic disease not uncommonly have </w:t>
      </w:r>
      <w:r w:rsidR="002F6D7F">
        <w:t xml:space="preserve">some heterogeneity of tumour grade at different metastatic sites </w:t>
      </w:r>
      <w:r w:rsidR="00162E8F">
        <w:t>and</w:t>
      </w:r>
      <w:r>
        <w:t xml:space="preserve"> </w:t>
      </w:r>
      <w:r w:rsidR="002F6D7F">
        <w:t xml:space="preserve">the range of </w:t>
      </w:r>
      <w:r w:rsidR="00162E8F">
        <w:t>tumour grade</w:t>
      </w:r>
      <w:r w:rsidR="002F6D7F">
        <w:t>s</w:t>
      </w:r>
      <w:r w:rsidR="008940AF">
        <w:t xml:space="preserve"> in any individual </w:t>
      </w:r>
      <w:r w:rsidR="00E838D7">
        <w:t>may</w:t>
      </w:r>
      <w:r w:rsidR="008940AF">
        <w:t xml:space="preserve"> not </w:t>
      </w:r>
      <w:r w:rsidR="00E838D7">
        <w:t xml:space="preserve">be </w:t>
      </w:r>
      <w:r>
        <w:t>static</w:t>
      </w:r>
      <w:r w:rsidR="008940AF">
        <w:t xml:space="preserve"> for the duration of their illness</w:t>
      </w:r>
      <w:r w:rsidR="002F6D7F">
        <w:t>.</w:t>
      </w:r>
      <w:r w:rsidR="008940AF">
        <w:t xml:space="preserve"> </w:t>
      </w:r>
      <w:r w:rsidR="002F6D7F">
        <w:t>There is a</w:t>
      </w:r>
      <w:r w:rsidR="008940AF">
        <w:t xml:space="preserve"> strong tendency </w:t>
      </w:r>
      <w:r w:rsidR="00530AD0">
        <w:t xml:space="preserve">for patients to develop </w:t>
      </w:r>
      <w:r w:rsidR="008940AF">
        <w:t xml:space="preserve">for </w:t>
      </w:r>
      <w:r>
        <w:t xml:space="preserve">less </w:t>
      </w:r>
      <w:r w:rsidR="008940AF">
        <w:t>differentiated tumours</w:t>
      </w:r>
      <w:r w:rsidR="002F6D7F">
        <w:t>, higher grade tumour</w:t>
      </w:r>
      <w:r w:rsidR="008940AF">
        <w:t xml:space="preserve"> </w:t>
      </w:r>
      <w:r>
        <w:t xml:space="preserve">associated </w:t>
      </w:r>
      <w:r w:rsidR="00530AD0">
        <w:t xml:space="preserve">with </w:t>
      </w:r>
      <w:r>
        <w:t>more rapid disease progression and symptomatic deterioration</w:t>
      </w:r>
      <w:r w:rsidR="00530AD0">
        <w:t xml:space="preserve"> </w:t>
      </w:r>
      <w:proofErr w:type="gramStart"/>
      <w:r w:rsidR="00530AD0">
        <w:t>during the course of</w:t>
      </w:r>
      <w:proofErr w:type="gramEnd"/>
      <w:r w:rsidR="00530AD0">
        <w:t xml:space="preserve"> their illness.</w:t>
      </w:r>
    </w:p>
    <w:p w14:paraId="0BC154B3" w14:textId="0A1EFC8A" w:rsidR="00E838D7" w:rsidRDefault="00EE0F7D" w:rsidP="00E838D7">
      <w:pPr>
        <w:pStyle w:val="ListParagraph"/>
        <w:ind w:left="1146"/>
      </w:pPr>
      <w:r>
        <w:t xml:space="preserve">In general </w:t>
      </w:r>
      <w:r w:rsidR="008C4AD8">
        <w:t>tumour grade</w:t>
      </w:r>
      <w:r w:rsidR="00E838D7">
        <w:t xml:space="preserve"> is reflected by metabolic imaging characteristics</w:t>
      </w:r>
      <w:r w:rsidR="008C4AD8">
        <w:t xml:space="preserve"> </w:t>
      </w:r>
      <w:r w:rsidR="00E838D7">
        <w:t>with decreasing</w:t>
      </w:r>
      <w:r w:rsidR="004A5BE8">
        <w:t xml:space="preserve"> somatostatin receptor </w:t>
      </w:r>
      <w:r w:rsidR="00E838D7">
        <w:t>imaging positivity and increasing FDG PET positivity</w:t>
      </w:r>
      <w:r w:rsidR="004A5BE8">
        <w:t xml:space="preserve"> </w:t>
      </w:r>
      <w:r w:rsidR="00E838D7">
        <w:t xml:space="preserve">as tumour grade increases. The metabolic imaging phenotype </w:t>
      </w:r>
      <w:r w:rsidR="005D49C1">
        <w:t xml:space="preserve">of a patient provides important prognostic information as patients </w:t>
      </w:r>
      <w:r w:rsidR="00530AD0">
        <w:t xml:space="preserve">usually </w:t>
      </w:r>
      <w:r w:rsidR="005D49C1">
        <w:t xml:space="preserve">progress more rapidly when FDG positive tumour sites are present </w:t>
      </w:r>
      <w:r w:rsidR="003217F7">
        <w:t xml:space="preserve">particularly when accompanied by </w:t>
      </w:r>
      <w:r w:rsidR="005D49C1">
        <w:t xml:space="preserve">low or </w:t>
      </w:r>
      <w:r w:rsidR="003217F7">
        <w:t>absent</w:t>
      </w:r>
      <w:r w:rsidR="005D49C1">
        <w:t xml:space="preserve"> </w:t>
      </w:r>
      <w:r w:rsidR="003217F7">
        <w:t xml:space="preserve">tumour uptake on </w:t>
      </w:r>
      <w:r w:rsidR="005D49C1">
        <w:t xml:space="preserve">somatostatin receptor </w:t>
      </w:r>
      <w:r w:rsidR="003217F7">
        <w:t>imaging.</w:t>
      </w:r>
      <w:r w:rsidR="005D49C1">
        <w:t xml:space="preserve"> </w:t>
      </w:r>
      <w:r w:rsidR="003217F7">
        <w:t xml:space="preserve">The prognostic relevance of tumours demonstrating low somatostatin </w:t>
      </w:r>
      <w:r w:rsidR="003217F7">
        <w:lastRenderedPageBreak/>
        <w:t xml:space="preserve">receptor expression </w:t>
      </w:r>
      <w:r w:rsidR="007903F0">
        <w:t>in part</w:t>
      </w:r>
      <w:r w:rsidR="003217F7">
        <w:t xml:space="preserve"> reflects the insensitivity of those tumour sites to somatostatin receptor antagonist treatment</w:t>
      </w:r>
      <w:r w:rsidR="005E62EB">
        <w:t>.</w:t>
      </w:r>
    </w:p>
    <w:p w14:paraId="5EF0016D" w14:textId="68E90F10" w:rsidR="005E62EB" w:rsidRDefault="005E62EB" w:rsidP="00E838D7">
      <w:pPr>
        <w:pStyle w:val="ListParagraph"/>
        <w:ind w:left="1146"/>
      </w:pPr>
      <w:r>
        <w:t>No formal system of tumour grading for H</w:t>
      </w:r>
      <w:r w:rsidR="00C11664">
        <w:t>-</w:t>
      </w:r>
      <w:r>
        <w:t>SST</w:t>
      </w:r>
      <w:r w:rsidR="00C11664">
        <w:t>R</w:t>
      </w:r>
      <w:r>
        <w:t xml:space="preserve"> has been implemented</w:t>
      </w:r>
      <w:r w:rsidR="00C11664">
        <w:t xml:space="preserve"> but the intensity of uptake of 68Ga-D</w:t>
      </w:r>
      <w:r w:rsidR="00193D3A">
        <w:t>otatate</w:t>
      </w:r>
      <w:r w:rsidR="00C11664">
        <w:t xml:space="preserve"> PET/CT, referred to </w:t>
      </w:r>
      <w:r w:rsidR="00193D3A">
        <w:t>a</w:t>
      </w:r>
      <w:r w:rsidR="00C11664">
        <w:t xml:space="preserve">s the modified </w:t>
      </w:r>
      <w:proofErr w:type="spellStart"/>
      <w:r w:rsidR="00C11664">
        <w:t>Krenning</w:t>
      </w:r>
      <w:proofErr w:type="spellEnd"/>
      <w:r w:rsidR="00C11664">
        <w:t xml:space="preserve"> score 3 and 4, has been shown to correlate with </w:t>
      </w:r>
      <w:r w:rsidR="00102AE0">
        <w:t>strong staining on immunohistochemistry. Moreover, FDG PET/CT intensity is also associated with a higher</w:t>
      </w:r>
      <w:r>
        <w:t xml:space="preserve"> rate of tumour cell replication and degree of tumour differentiation</w:t>
      </w:r>
      <w:r w:rsidR="00102AE0">
        <w:t xml:space="preserve">. </w:t>
      </w:r>
      <w:r>
        <w:t xml:space="preserve"> </w:t>
      </w:r>
      <w:r w:rsidR="00951823">
        <w:t xml:space="preserve">These factors </w:t>
      </w:r>
      <w:r>
        <w:t>influence the natural history of these tumours and heterogeneity is a</w:t>
      </w:r>
      <w:r w:rsidR="00492264">
        <w:t>lso a common feature in these tumours</w:t>
      </w:r>
      <w:r w:rsidR="00951823">
        <w:t>.</w:t>
      </w:r>
    </w:p>
    <w:p w14:paraId="5A78BAD4" w14:textId="77777777" w:rsidR="00ED3F92" w:rsidRDefault="00ED3F92" w:rsidP="00E838D7">
      <w:pPr>
        <w:pStyle w:val="ListParagraph"/>
        <w:ind w:left="1146"/>
      </w:pPr>
    </w:p>
    <w:p w14:paraId="333C8D5B" w14:textId="500578E9" w:rsidR="00C845CC" w:rsidRDefault="001B3FE0" w:rsidP="00E838D7">
      <w:pPr>
        <w:pStyle w:val="ListParagraph"/>
        <w:numPr>
          <w:ilvl w:val="0"/>
          <w:numId w:val="43"/>
        </w:numPr>
      </w:pPr>
      <w:r w:rsidRPr="002D4C99">
        <w:rPr>
          <w:i/>
          <w:iCs/>
          <w:u w:val="single"/>
        </w:rPr>
        <w:t xml:space="preserve">the type and quantity of </w:t>
      </w:r>
      <w:r w:rsidR="00E838D7">
        <w:rPr>
          <w:i/>
          <w:iCs/>
          <w:u w:val="single"/>
        </w:rPr>
        <w:t xml:space="preserve">peptide </w:t>
      </w:r>
      <w:r w:rsidRPr="002D4C99">
        <w:rPr>
          <w:i/>
          <w:iCs/>
          <w:u w:val="single"/>
        </w:rPr>
        <w:t xml:space="preserve">hormone </w:t>
      </w:r>
      <w:r w:rsidR="002D4C99">
        <w:rPr>
          <w:i/>
          <w:iCs/>
          <w:u w:val="single"/>
        </w:rPr>
        <w:t>secret</w:t>
      </w:r>
      <w:r w:rsidR="00E838D7">
        <w:rPr>
          <w:i/>
          <w:iCs/>
          <w:u w:val="single"/>
        </w:rPr>
        <w:t>ion</w:t>
      </w:r>
      <w:r w:rsidRPr="002D4C99">
        <w:rPr>
          <w:i/>
          <w:iCs/>
          <w:u w:val="single"/>
        </w:rPr>
        <w:t>.</w:t>
      </w:r>
      <w:r>
        <w:t xml:space="preserve"> </w:t>
      </w:r>
      <w:r w:rsidR="003D2016">
        <w:t>Patient outcomes may be strongly influenced by excessive hormone secretion a</w:t>
      </w:r>
      <w:r w:rsidR="009B6FEF">
        <w:t>s</w:t>
      </w:r>
      <w:r w:rsidR="003D2016">
        <w:t xml:space="preserve"> </w:t>
      </w:r>
      <w:r w:rsidR="00797D14">
        <w:t xml:space="preserve">the </w:t>
      </w:r>
      <w:r w:rsidR="00C845CC">
        <w:t xml:space="preserve">adverse effects of hormone secretion can be the dominant factor diminishing an individual NET </w:t>
      </w:r>
      <w:r w:rsidR="005E62EB">
        <w:t>or H</w:t>
      </w:r>
      <w:r w:rsidR="00951823">
        <w:t>-</w:t>
      </w:r>
      <w:r w:rsidR="005E62EB">
        <w:t>SST</w:t>
      </w:r>
      <w:r w:rsidR="00951823">
        <w:t>R</w:t>
      </w:r>
      <w:r w:rsidR="005E62EB">
        <w:t xml:space="preserve"> </w:t>
      </w:r>
      <w:r w:rsidR="00C845CC">
        <w:t>patient’s quality of life and not infrequently their survival</w:t>
      </w:r>
      <w:r w:rsidR="003D2016">
        <w:t xml:space="preserve"> </w:t>
      </w:r>
      <w:r w:rsidR="00C845CC">
        <w:t>even when they have</w:t>
      </w:r>
      <w:r>
        <w:t xml:space="preserve"> lower </w:t>
      </w:r>
      <w:r w:rsidR="00C845CC">
        <w:t>g</w:t>
      </w:r>
      <w:r>
        <w:t>rade slow</w:t>
      </w:r>
      <w:r w:rsidR="003D2016">
        <w:t>ly growing tumours</w:t>
      </w:r>
      <w:r w:rsidR="00C845CC">
        <w:t>.</w:t>
      </w:r>
      <w:r w:rsidR="003D2016">
        <w:t xml:space="preserve"> </w:t>
      </w:r>
    </w:p>
    <w:p w14:paraId="35B75621" w14:textId="77777777" w:rsidR="009B6FEF" w:rsidRDefault="000847C2" w:rsidP="00C845CC">
      <w:pPr>
        <w:pStyle w:val="ListParagraph"/>
        <w:ind w:left="1146"/>
      </w:pPr>
      <w:r>
        <w:t>For example</w:t>
      </w:r>
      <w:r w:rsidR="00DE0DC7">
        <w:t xml:space="preserve"> </w:t>
      </w:r>
      <w:r>
        <w:t>lower</w:t>
      </w:r>
      <w:r w:rsidR="00DE0DC7">
        <w:t xml:space="preserve"> grade </w:t>
      </w:r>
      <w:proofErr w:type="gramStart"/>
      <w:r w:rsidR="00DE0DC7">
        <w:t>slowly</w:t>
      </w:r>
      <w:proofErr w:type="gramEnd"/>
      <w:r w:rsidR="00DE0DC7">
        <w:t xml:space="preserve"> growing NET </w:t>
      </w:r>
      <w:r w:rsidR="009B6FEF">
        <w:t xml:space="preserve">may </w:t>
      </w:r>
      <w:r w:rsidR="00DE0DC7">
        <w:t>produc</w:t>
      </w:r>
      <w:r w:rsidR="009B6FEF">
        <w:t>e</w:t>
      </w:r>
      <w:r w:rsidR="00DE0DC7">
        <w:t xml:space="preserve"> insulin </w:t>
      </w:r>
      <w:r w:rsidR="00C845CC">
        <w:t xml:space="preserve">(insulinomas) </w:t>
      </w:r>
      <w:r w:rsidR="009B6FEF">
        <w:t>leading to hypoglycaemia that is</w:t>
      </w:r>
      <w:r w:rsidR="00C845CC">
        <w:t xml:space="preserve"> difficult or impossible to control </w:t>
      </w:r>
      <w:r w:rsidR="009B6FEF">
        <w:t>with associated</w:t>
      </w:r>
      <w:r w:rsidR="00DE0DC7">
        <w:t xml:space="preserve"> morbidity and sometimes death</w:t>
      </w:r>
      <w:r w:rsidR="00C845CC">
        <w:t>.</w:t>
      </w:r>
      <w:r w:rsidR="00DE0DC7">
        <w:t xml:space="preserve"> </w:t>
      </w:r>
      <w:r w:rsidR="009B6FEF">
        <w:t xml:space="preserve">Peptide hormone secretion in </w:t>
      </w:r>
      <w:r w:rsidR="00DE0DC7">
        <w:t xml:space="preserve">NET patients </w:t>
      </w:r>
      <w:r w:rsidR="009B6FEF">
        <w:t xml:space="preserve">with carcinoid tumours </w:t>
      </w:r>
      <w:r w:rsidR="00C845CC">
        <w:t>not infrequently</w:t>
      </w:r>
      <w:r w:rsidR="00DE0DC7">
        <w:t xml:space="preserve"> develop endocardial fibrosis and life</w:t>
      </w:r>
      <w:r>
        <w:t>-</w:t>
      </w:r>
      <w:r w:rsidR="00DE0DC7">
        <w:t xml:space="preserve"> threatening valvular dysfunction or mesenteric fibrosis </w:t>
      </w:r>
      <w:r w:rsidR="007F4E59">
        <w:t xml:space="preserve">with associated malabsorption syndromes. Carcinoid NET patients frequently have great morbidity related to </w:t>
      </w:r>
      <w:proofErr w:type="spellStart"/>
      <w:r w:rsidR="007F4E59">
        <w:t>diahorrea</w:t>
      </w:r>
      <w:proofErr w:type="spellEnd"/>
      <w:r w:rsidR="007F4E59">
        <w:t xml:space="preserve"> and malabsorption </w:t>
      </w:r>
      <w:r w:rsidR="00C845CC">
        <w:t xml:space="preserve">that is impossible to ameliorate with </w:t>
      </w:r>
      <w:r w:rsidR="00797D14">
        <w:t>pharmacological and/or supportive treatments</w:t>
      </w:r>
      <w:r w:rsidR="009B6FEF">
        <w:t xml:space="preserve"> and may be disabled by bronchospasm.</w:t>
      </w:r>
    </w:p>
    <w:p w14:paraId="3A3740F2" w14:textId="383DF3EB" w:rsidR="001B3FE0" w:rsidRDefault="00797D14" w:rsidP="00C845CC">
      <w:pPr>
        <w:pStyle w:val="ListParagraph"/>
        <w:ind w:left="1146"/>
      </w:pPr>
      <w:r>
        <w:t>Intractable</w:t>
      </w:r>
      <w:r w:rsidR="007F4E59">
        <w:t xml:space="preserve"> </w:t>
      </w:r>
      <w:proofErr w:type="spellStart"/>
      <w:r w:rsidR="007F4E59">
        <w:t>diahorrea</w:t>
      </w:r>
      <w:proofErr w:type="spellEnd"/>
      <w:r w:rsidR="007F4E59">
        <w:t xml:space="preserve"> is also a cause of serious morbidity in </w:t>
      </w:r>
      <w:r>
        <w:t xml:space="preserve">rare </w:t>
      </w:r>
      <w:r w:rsidR="007F4E59">
        <w:t>patients secreting vasoactive intestinal peptide</w:t>
      </w:r>
      <w:r w:rsidR="00951823">
        <w:t xml:space="preserve"> (VIP)</w:t>
      </w:r>
      <w:r w:rsidR="007F4E59">
        <w:t xml:space="preserve">. Diabetes, skin rash and </w:t>
      </w:r>
      <w:proofErr w:type="spellStart"/>
      <w:r w:rsidR="00951823">
        <w:t>steatorrhoea</w:t>
      </w:r>
      <w:proofErr w:type="spellEnd"/>
      <w:r w:rsidR="00951823">
        <w:t xml:space="preserve"> </w:t>
      </w:r>
      <w:r w:rsidR="007F4E59">
        <w:t>can caus</w:t>
      </w:r>
      <w:r w:rsidR="001144E9">
        <w:t xml:space="preserve">e major morbidity in </w:t>
      </w:r>
      <w:r>
        <w:t xml:space="preserve">rare </w:t>
      </w:r>
      <w:r w:rsidR="001144E9">
        <w:t>patients who secrete excessive somatostatin</w:t>
      </w:r>
      <w:r w:rsidR="00012943">
        <w:t>.</w:t>
      </w:r>
      <w:r w:rsidR="001144E9">
        <w:t xml:space="preserve"> </w:t>
      </w:r>
      <w:r w:rsidR="00951823">
        <w:t xml:space="preserve">Gastric ulceration can occur with </w:t>
      </w:r>
      <w:proofErr w:type="spellStart"/>
      <w:r w:rsidR="00951823">
        <w:t>gastrinoma</w:t>
      </w:r>
      <w:proofErr w:type="spellEnd"/>
      <w:r w:rsidR="00951823">
        <w:t>, while skin necrosis (migrat</w:t>
      </w:r>
      <w:r w:rsidR="00171BC9">
        <w:t>ory necrolytic erythema)</w:t>
      </w:r>
      <w:r w:rsidR="00951823">
        <w:t xml:space="preserve"> and diabetes </w:t>
      </w:r>
      <w:r w:rsidR="00171BC9">
        <w:t>is typical of</w:t>
      </w:r>
      <w:r w:rsidR="00951823">
        <w:t xml:space="preserve"> glucagonoma. </w:t>
      </w:r>
      <w:r w:rsidR="00012943">
        <w:t xml:space="preserve">Patients </w:t>
      </w:r>
      <w:r w:rsidR="00171BC9">
        <w:t xml:space="preserve">with </w:t>
      </w:r>
      <w:r w:rsidR="00012943">
        <w:t>H</w:t>
      </w:r>
      <w:r w:rsidR="00171BC9">
        <w:t>-</w:t>
      </w:r>
      <w:proofErr w:type="spellStart"/>
      <w:r w:rsidR="00012943">
        <w:t>SST</w:t>
      </w:r>
      <w:r w:rsidR="00171BC9">
        <w:t>r</w:t>
      </w:r>
      <w:proofErr w:type="spellEnd"/>
      <w:r w:rsidR="00012943">
        <w:t xml:space="preserve"> </w:t>
      </w:r>
      <w:r w:rsidR="00171BC9">
        <w:t>that s</w:t>
      </w:r>
      <w:r w:rsidR="00193D3A">
        <w:t>e</w:t>
      </w:r>
      <w:r w:rsidR="00171BC9">
        <w:t xml:space="preserve">crete </w:t>
      </w:r>
      <w:r w:rsidR="00012943">
        <w:t>excess catecholamines</w:t>
      </w:r>
      <w:r w:rsidR="001144E9">
        <w:t xml:space="preserve"> </w:t>
      </w:r>
      <w:r>
        <w:t xml:space="preserve">may </w:t>
      </w:r>
      <w:r w:rsidR="001144E9">
        <w:t xml:space="preserve">experience </w:t>
      </w:r>
      <w:r>
        <w:t>difficult to control hypertension</w:t>
      </w:r>
      <w:r w:rsidR="001144E9">
        <w:t xml:space="preserve"> or life</w:t>
      </w:r>
      <w:r w:rsidR="000847C2">
        <w:t>-</w:t>
      </w:r>
      <w:r w:rsidR="001144E9">
        <w:t>threatening hypertensive crises</w:t>
      </w:r>
      <w:r w:rsidR="000847C2">
        <w:t xml:space="preserve">. </w:t>
      </w:r>
      <w:r w:rsidR="00012943">
        <w:t>Several</w:t>
      </w:r>
      <w:r w:rsidR="000847C2">
        <w:t xml:space="preserve"> other less common hormonal secretion syndromes </w:t>
      </w:r>
      <w:r w:rsidR="00A445A4">
        <w:t>are recognised</w:t>
      </w:r>
      <w:r w:rsidR="000847C2">
        <w:t>.</w:t>
      </w:r>
    </w:p>
    <w:p w14:paraId="6670B403" w14:textId="3C6A7F97" w:rsidR="000847C2" w:rsidRDefault="009B6FEF" w:rsidP="00995F04">
      <w:pPr>
        <w:ind w:left="1146"/>
      </w:pPr>
      <w:r>
        <w:t>Although s</w:t>
      </w:r>
      <w:r w:rsidR="000847C2">
        <w:t xml:space="preserve">evere syndromes of </w:t>
      </w:r>
      <w:r>
        <w:t xml:space="preserve">hormone </w:t>
      </w:r>
      <w:r w:rsidR="000847C2">
        <w:t>excess</w:t>
      </w:r>
      <w:r>
        <w:t xml:space="preserve"> with fatal outcome are rare</w:t>
      </w:r>
      <w:r w:rsidR="000847C2">
        <w:t xml:space="preserve"> </w:t>
      </w:r>
      <w:r>
        <w:t>l</w:t>
      </w:r>
      <w:r w:rsidR="000847C2">
        <w:t>ess severe syndromes of hormo</w:t>
      </w:r>
      <w:r w:rsidR="00FE32E9">
        <w:t xml:space="preserve">ne excess are </w:t>
      </w:r>
      <w:r>
        <w:t>not un</w:t>
      </w:r>
      <w:r w:rsidR="00FE32E9">
        <w:t>common within the NET population</w:t>
      </w:r>
      <w:r w:rsidR="00995F04">
        <w:t xml:space="preserve"> and patients with indolent G1 tumours may experience many years of poor quality of life due to poor control of the manifestation of their tumours</w:t>
      </w:r>
      <w:r w:rsidR="00171BC9">
        <w:t>’</w:t>
      </w:r>
      <w:r w:rsidR="00995F04">
        <w:t xml:space="preserve"> hormone secretion and/or the adverse effects of associated treatments</w:t>
      </w:r>
      <w:r w:rsidR="00FE32E9">
        <w:t>.</w:t>
      </w:r>
    </w:p>
    <w:p w14:paraId="17762001" w14:textId="14D3CBDE" w:rsidR="00996F42" w:rsidRPr="00996F42" w:rsidRDefault="00996F42" w:rsidP="00996F42">
      <w:pPr>
        <w:pStyle w:val="ListParagraph"/>
        <w:numPr>
          <w:ilvl w:val="0"/>
          <w:numId w:val="43"/>
        </w:numPr>
        <w:rPr>
          <w:u w:val="single"/>
        </w:rPr>
      </w:pPr>
      <w:r w:rsidRPr="00996F42">
        <w:rPr>
          <w:i/>
          <w:iCs/>
          <w:u w:val="single"/>
        </w:rPr>
        <w:t>Response to treatments applied and associated adverse effects of treatment</w:t>
      </w:r>
    </w:p>
    <w:p w14:paraId="245ADEF9" w14:textId="68E7CC1A" w:rsidR="00EC47AF" w:rsidRDefault="00731BE7" w:rsidP="00E357B9">
      <w:pPr>
        <w:ind w:left="426"/>
        <w:rPr>
          <w:szCs w:val="20"/>
        </w:rPr>
      </w:pPr>
      <w:r>
        <w:rPr>
          <w:szCs w:val="20"/>
        </w:rPr>
        <w:t>Although</w:t>
      </w:r>
      <w:r w:rsidR="00171BC9">
        <w:rPr>
          <w:szCs w:val="20"/>
        </w:rPr>
        <w:t>,</w:t>
      </w:r>
      <w:r>
        <w:rPr>
          <w:szCs w:val="20"/>
        </w:rPr>
        <w:t xml:space="preserve"> as a group</w:t>
      </w:r>
      <w:r w:rsidR="00171BC9">
        <w:rPr>
          <w:szCs w:val="20"/>
        </w:rPr>
        <w:t>,</w:t>
      </w:r>
      <w:r>
        <w:rPr>
          <w:szCs w:val="20"/>
        </w:rPr>
        <w:t xml:space="preserve"> NET</w:t>
      </w:r>
      <w:r w:rsidR="00171BC9">
        <w:rPr>
          <w:szCs w:val="20"/>
        </w:rPr>
        <w:t xml:space="preserve">, including those with </w:t>
      </w:r>
      <w:r>
        <w:rPr>
          <w:szCs w:val="20"/>
        </w:rPr>
        <w:t>H</w:t>
      </w:r>
      <w:r w:rsidR="00171BC9">
        <w:rPr>
          <w:szCs w:val="20"/>
        </w:rPr>
        <w:t>-</w:t>
      </w:r>
      <w:r>
        <w:rPr>
          <w:szCs w:val="20"/>
        </w:rPr>
        <w:t>SST</w:t>
      </w:r>
      <w:r w:rsidR="00171BC9">
        <w:rPr>
          <w:szCs w:val="20"/>
        </w:rPr>
        <w:t>R,</w:t>
      </w:r>
      <w:r>
        <w:rPr>
          <w:szCs w:val="20"/>
        </w:rPr>
        <w:t xml:space="preserve"> </w:t>
      </w:r>
      <w:r w:rsidR="00171BC9">
        <w:rPr>
          <w:szCs w:val="20"/>
        </w:rPr>
        <w:t xml:space="preserve">and the other H-SSTR tumours </w:t>
      </w:r>
      <w:r>
        <w:rPr>
          <w:szCs w:val="20"/>
        </w:rPr>
        <w:t>are not rare, the incidence of different tumour types that comprise this category of malignancies is low. Accordingly</w:t>
      </w:r>
      <w:r w:rsidR="00171BC9">
        <w:rPr>
          <w:szCs w:val="20"/>
        </w:rPr>
        <w:t>,</w:t>
      </w:r>
      <w:r>
        <w:rPr>
          <w:szCs w:val="20"/>
        </w:rPr>
        <w:t xml:space="preserve"> even experienced clinical cancer specialists may be asked to treat patients with a specific type of NET or H</w:t>
      </w:r>
      <w:r w:rsidR="002A0235">
        <w:rPr>
          <w:szCs w:val="20"/>
        </w:rPr>
        <w:t>-</w:t>
      </w:r>
      <w:r>
        <w:rPr>
          <w:szCs w:val="20"/>
        </w:rPr>
        <w:t>SST</w:t>
      </w:r>
      <w:r w:rsidR="002A0235">
        <w:rPr>
          <w:szCs w:val="20"/>
        </w:rPr>
        <w:t xml:space="preserve">R </w:t>
      </w:r>
      <w:r>
        <w:rPr>
          <w:szCs w:val="20"/>
        </w:rPr>
        <w:t xml:space="preserve">only rarely, and </w:t>
      </w:r>
      <w:r w:rsidR="003F0D6D">
        <w:rPr>
          <w:szCs w:val="20"/>
        </w:rPr>
        <w:t xml:space="preserve">the development of </w:t>
      </w:r>
      <w:proofErr w:type="gramStart"/>
      <w:r w:rsidR="003F0D6D">
        <w:rPr>
          <w:szCs w:val="20"/>
        </w:rPr>
        <w:t>high quality</w:t>
      </w:r>
      <w:proofErr w:type="gramEnd"/>
      <w:r w:rsidR="003F0D6D">
        <w:rPr>
          <w:szCs w:val="20"/>
        </w:rPr>
        <w:t xml:space="preserve"> evidence is difficult, particularly with respect to understanding the relative benefits and risks of new therapies compared with existing standards of care.</w:t>
      </w:r>
    </w:p>
    <w:p w14:paraId="11B3BAB1" w14:textId="65D3BFD3" w:rsidR="003F0D6D" w:rsidRPr="00154B00" w:rsidRDefault="003F0D6D" w:rsidP="00E357B9">
      <w:pPr>
        <w:ind w:left="426"/>
        <w:rPr>
          <w:szCs w:val="20"/>
        </w:rPr>
      </w:pPr>
      <w:r>
        <w:rPr>
          <w:szCs w:val="20"/>
        </w:rPr>
        <w:t>From those perspectives the burden of disease associated with NET and H</w:t>
      </w:r>
      <w:r w:rsidR="002A0235">
        <w:rPr>
          <w:szCs w:val="20"/>
        </w:rPr>
        <w:t>-</w:t>
      </w:r>
      <w:r>
        <w:rPr>
          <w:szCs w:val="20"/>
        </w:rPr>
        <w:t>SST</w:t>
      </w:r>
      <w:r w:rsidR="002A0235">
        <w:rPr>
          <w:szCs w:val="20"/>
        </w:rPr>
        <w:t>R</w:t>
      </w:r>
      <w:r>
        <w:rPr>
          <w:szCs w:val="20"/>
        </w:rPr>
        <w:t xml:space="preserve"> is increased when patients are managed without access to </w:t>
      </w:r>
      <w:r w:rsidR="00D07881">
        <w:rPr>
          <w:szCs w:val="20"/>
        </w:rPr>
        <w:t xml:space="preserve">guidance by an </w:t>
      </w:r>
      <w:r>
        <w:rPr>
          <w:szCs w:val="20"/>
        </w:rPr>
        <w:t xml:space="preserve">experienced </w:t>
      </w:r>
      <w:r w:rsidR="00D07881">
        <w:rPr>
          <w:szCs w:val="20"/>
        </w:rPr>
        <w:t>MDT.</w:t>
      </w:r>
    </w:p>
    <w:p w14:paraId="428BF772" w14:textId="3F3F7941" w:rsidR="00AA5FDA" w:rsidRDefault="00E95FE2" w:rsidP="00E95FE2">
      <w:pPr>
        <w:pStyle w:val="Heading2"/>
        <w:spacing w:before="0" w:after="200" w:line="276" w:lineRule="auto"/>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72C62E60" w14:textId="3860E444" w:rsidR="007B1A02" w:rsidRDefault="007B1A02" w:rsidP="00432D5F">
      <w:pPr>
        <w:ind w:left="360"/>
      </w:pPr>
      <w:r>
        <w:t xml:space="preserve">Treatment with </w:t>
      </w:r>
      <w:r w:rsidR="00193D3A" w:rsidRPr="00411855">
        <w:rPr>
          <w:vertAlign w:val="superscript"/>
        </w:rPr>
        <w:t>177</w:t>
      </w:r>
      <w:r w:rsidR="00193D3A">
        <w:t>Lutetium(</w:t>
      </w:r>
      <w:proofErr w:type="spellStart"/>
      <w:r w:rsidR="00193D3A">
        <w:t>nca</w:t>
      </w:r>
      <w:proofErr w:type="spellEnd"/>
      <w:r w:rsidR="00193D3A">
        <w:t xml:space="preserve">) </w:t>
      </w:r>
      <w:proofErr w:type="spellStart"/>
      <w:r w:rsidR="00193D3A">
        <w:t>Octreotate</w:t>
      </w:r>
      <w:proofErr w:type="spellEnd"/>
      <w:r>
        <w:t xml:space="preserve"> may be indicated for several patient groups </w:t>
      </w:r>
      <w:r w:rsidR="00AA318F">
        <w:t>who already have been diagnosed with</w:t>
      </w:r>
      <w:r>
        <w:t xml:space="preserve"> NET</w:t>
      </w:r>
      <w:r w:rsidR="00AA318F">
        <w:t xml:space="preserve"> </w:t>
      </w:r>
      <w:r w:rsidR="00BE7CDC">
        <w:t xml:space="preserve">or </w:t>
      </w:r>
      <w:r w:rsidR="00D82D44">
        <w:t>H</w:t>
      </w:r>
      <w:r w:rsidR="002A0235">
        <w:t>-</w:t>
      </w:r>
      <w:r w:rsidR="00D82D44">
        <w:t>SST</w:t>
      </w:r>
      <w:r w:rsidR="002A0235">
        <w:t>R</w:t>
      </w:r>
      <w:r w:rsidR="00D57D0A">
        <w:t xml:space="preserve"> tumours</w:t>
      </w:r>
      <w:r w:rsidR="00BE7CDC">
        <w:t xml:space="preserve"> </w:t>
      </w:r>
      <w:r w:rsidR="00AA318F">
        <w:t xml:space="preserve">who most commonly will have </w:t>
      </w:r>
      <w:r w:rsidR="009874F4">
        <w:t xml:space="preserve">previously </w:t>
      </w:r>
      <w:r w:rsidR="00AA318F">
        <w:t>received one of more forms of local ablative or systemic therap</w:t>
      </w:r>
      <w:r w:rsidR="00BE7CDC">
        <w:t>y</w:t>
      </w:r>
      <w:r w:rsidR="00D82D44">
        <w:t xml:space="preserve"> for their advanced disease</w:t>
      </w:r>
      <w:r>
        <w:t>.</w:t>
      </w:r>
      <w:r w:rsidR="00AA318F">
        <w:t xml:space="preserve"> </w:t>
      </w:r>
    </w:p>
    <w:p w14:paraId="37EE006D" w14:textId="160A529B" w:rsidR="007B1A02" w:rsidRDefault="007B1A02" w:rsidP="00AA318F">
      <w:pPr>
        <w:pStyle w:val="ListParagraph"/>
        <w:numPr>
          <w:ilvl w:val="0"/>
          <w:numId w:val="46"/>
        </w:numPr>
      </w:pPr>
      <w:r>
        <w:t xml:space="preserve">Patients with </w:t>
      </w:r>
      <w:r w:rsidRPr="00E24623">
        <w:t>progressive</w:t>
      </w:r>
      <w:r>
        <w:t xml:space="preserve"> metastatic disease </w:t>
      </w:r>
      <w:r w:rsidR="00AA318F">
        <w:t xml:space="preserve">that is, or has a high near-term probability of, diminishing the patient’s quality and duration of life </w:t>
      </w:r>
      <w:r w:rsidR="009A16AE">
        <w:t xml:space="preserve">despite </w:t>
      </w:r>
      <w:r w:rsidR="00C11CA4">
        <w:t xml:space="preserve">prior </w:t>
      </w:r>
      <w:r w:rsidR="009A16AE">
        <w:t xml:space="preserve">treatment with maintenance somatostatin antagonist medication </w:t>
      </w:r>
    </w:p>
    <w:p w14:paraId="0F29CD2B" w14:textId="7DCE42D4" w:rsidR="00AA318F" w:rsidRDefault="00AA318F" w:rsidP="00AA318F">
      <w:pPr>
        <w:pStyle w:val="ListParagraph"/>
        <w:numPr>
          <w:ilvl w:val="0"/>
          <w:numId w:val="46"/>
        </w:numPr>
      </w:pPr>
      <w:r>
        <w:lastRenderedPageBreak/>
        <w:t xml:space="preserve">Patients with </w:t>
      </w:r>
      <w:r w:rsidRPr="00E24623">
        <w:t>progressive</w:t>
      </w:r>
      <w:r>
        <w:t xml:space="preserve"> metastatic disease that is, or has a high near-term probability of, diminishing the patient’s quality and duration of life despite </w:t>
      </w:r>
      <w:r w:rsidR="00C11CA4">
        <w:t xml:space="preserve">prior </w:t>
      </w:r>
      <w:r>
        <w:t xml:space="preserve">treatment with </w:t>
      </w:r>
      <w:proofErr w:type="spellStart"/>
      <w:r>
        <w:t>Everolimus</w:t>
      </w:r>
      <w:proofErr w:type="spellEnd"/>
      <w:r>
        <w:t xml:space="preserve"> and/or Sunitinib</w:t>
      </w:r>
    </w:p>
    <w:p w14:paraId="7F8147C7" w14:textId="4A6D3FCA" w:rsidR="004916D4" w:rsidRDefault="004916D4" w:rsidP="00AA318F">
      <w:pPr>
        <w:pStyle w:val="ListParagraph"/>
        <w:numPr>
          <w:ilvl w:val="0"/>
          <w:numId w:val="46"/>
        </w:numPr>
      </w:pPr>
      <w:r>
        <w:t>Patients with high burden or high</w:t>
      </w:r>
      <w:r w:rsidR="00D57D0A">
        <w:t>-</w:t>
      </w:r>
      <w:r>
        <w:t>grade metastatic disease that is, or has a high near-term probability of, diminishing the patient’s quality and duration of life</w:t>
      </w:r>
      <w:r w:rsidR="00D57D0A">
        <w:t>, particularly if they have failed first-line chemotherapy</w:t>
      </w:r>
    </w:p>
    <w:p w14:paraId="409330A3" w14:textId="74BFD153" w:rsidR="007B1A02" w:rsidRDefault="007B1A02" w:rsidP="00AA318F">
      <w:pPr>
        <w:pStyle w:val="ListParagraph"/>
        <w:numPr>
          <w:ilvl w:val="0"/>
          <w:numId w:val="46"/>
        </w:numPr>
      </w:pPr>
      <w:r>
        <w:t xml:space="preserve">Patients with NET who are experiencing reduced quality of life due to </w:t>
      </w:r>
      <w:r w:rsidR="00D46569">
        <w:t xml:space="preserve">medically refractory </w:t>
      </w:r>
      <w:r>
        <w:t xml:space="preserve">excessive hormonal </w:t>
      </w:r>
      <w:proofErr w:type="gramStart"/>
      <w:r>
        <w:t>secretion</w:t>
      </w:r>
      <w:proofErr w:type="gramEnd"/>
      <w:r>
        <w:t xml:space="preserve"> </w:t>
      </w:r>
      <w:r w:rsidR="00717D26">
        <w:t xml:space="preserve">or the </w:t>
      </w:r>
      <w:r w:rsidR="00C11CA4">
        <w:t xml:space="preserve">adverse </w:t>
      </w:r>
      <w:r w:rsidR="00717D26">
        <w:t>effects of treatments specifically applied to modifying the effect of excessive hormone secretion</w:t>
      </w:r>
    </w:p>
    <w:p w14:paraId="0EA6DBA6" w14:textId="28E4D170" w:rsidR="00D46569" w:rsidRDefault="00D46569" w:rsidP="00AA318F">
      <w:pPr>
        <w:pStyle w:val="ListParagraph"/>
        <w:numPr>
          <w:ilvl w:val="0"/>
          <w:numId w:val="46"/>
        </w:numPr>
      </w:pPr>
      <w:r>
        <w:t>Patients with NET who are experiencing reduced quality of life due to pain that is refractory to other therapies</w:t>
      </w:r>
    </w:p>
    <w:p w14:paraId="6D4385DC" w14:textId="550D76B4" w:rsidR="00C11CA4" w:rsidRDefault="00C11CA4" w:rsidP="00C11CA4">
      <w:pPr>
        <w:pStyle w:val="ListParagraph"/>
        <w:numPr>
          <w:ilvl w:val="0"/>
          <w:numId w:val="46"/>
        </w:numPr>
      </w:pPr>
      <w:r>
        <w:t xml:space="preserve">Patients with NET who require systemic therapy but cannot tolerate </w:t>
      </w:r>
      <w:r w:rsidR="00E24623">
        <w:t xml:space="preserve">treatment with </w:t>
      </w:r>
      <w:r>
        <w:t>somatostatin antagonists,</w:t>
      </w:r>
      <w:r w:rsidR="000E3411">
        <w:t xml:space="preserve"> </w:t>
      </w:r>
      <w:r w:rsidR="00D57D0A">
        <w:t xml:space="preserve">the targeted </w:t>
      </w:r>
      <w:r w:rsidR="004C2B1C">
        <w:t xml:space="preserve">agents </w:t>
      </w:r>
      <w:proofErr w:type="spellStart"/>
      <w:r w:rsidR="004C2B1C" w:rsidRPr="00C11CA4">
        <w:t>Everolimus</w:t>
      </w:r>
      <w:proofErr w:type="spellEnd"/>
      <w:r>
        <w:t xml:space="preserve"> </w:t>
      </w:r>
      <w:r w:rsidR="00D57D0A">
        <w:t xml:space="preserve">and </w:t>
      </w:r>
      <w:r>
        <w:t>Sunitinib</w:t>
      </w:r>
      <w:r w:rsidR="00D57D0A">
        <w:t>, or chemotherapy</w:t>
      </w:r>
    </w:p>
    <w:p w14:paraId="5B4C6867" w14:textId="488BFDBD" w:rsidR="007B1A02" w:rsidRDefault="007B1A02" w:rsidP="00AA318F">
      <w:pPr>
        <w:pStyle w:val="ListParagraph"/>
        <w:numPr>
          <w:ilvl w:val="0"/>
          <w:numId w:val="46"/>
        </w:numPr>
      </w:pPr>
      <w:r>
        <w:t xml:space="preserve">Patients with NET in whom neoadjuvant treatment </w:t>
      </w:r>
      <w:r w:rsidR="00D46569">
        <w:t>may facilitate successful localised curative intent ablative therapies</w:t>
      </w:r>
    </w:p>
    <w:p w14:paraId="3D92143A" w14:textId="19E88619" w:rsidR="009874F4" w:rsidRDefault="00BE7CDC" w:rsidP="00BE7CDC">
      <w:pPr>
        <w:pStyle w:val="ListParagraph"/>
        <w:numPr>
          <w:ilvl w:val="0"/>
          <w:numId w:val="46"/>
        </w:numPr>
      </w:pPr>
      <w:r>
        <w:t>P</w:t>
      </w:r>
      <w:r w:rsidR="009874F4">
        <w:t>atient</w:t>
      </w:r>
      <w:r>
        <w:t>s with advanced malignancy characterised by high somatostatin receptor expression such as neuroblastoma, phaeochromocytoma and paraganglioma</w:t>
      </w:r>
      <w:r w:rsidR="009874F4">
        <w:t xml:space="preserve"> whose outcomes may be improved by </w:t>
      </w:r>
      <w:r w:rsidR="00193D3A" w:rsidRPr="00411855">
        <w:rPr>
          <w:vertAlign w:val="superscript"/>
        </w:rPr>
        <w:t>177</w:t>
      </w:r>
      <w:r w:rsidR="00193D3A">
        <w:t>Lutetium(</w:t>
      </w:r>
      <w:proofErr w:type="spellStart"/>
      <w:r w:rsidR="00193D3A">
        <w:t>nca</w:t>
      </w:r>
      <w:proofErr w:type="spellEnd"/>
      <w:r w:rsidR="00193D3A">
        <w:t xml:space="preserve">) </w:t>
      </w:r>
      <w:proofErr w:type="spellStart"/>
      <w:r w:rsidR="00193D3A">
        <w:t>Octreotate</w:t>
      </w:r>
      <w:proofErr w:type="spellEnd"/>
      <w:r w:rsidR="009874F4">
        <w:t xml:space="preserve"> treatment </w:t>
      </w:r>
    </w:p>
    <w:p w14:paraId="62BD436B" w14:textId="080748CD" w:rsidR="009A16AE" w:rsidRDefault="00BE7CDC" w:rsidP="00432D5F">
      <w:pPr>
        <w:ind w:left="360"/>
      </w:pPr>
      <w:r>
        <w:t>S</w:t>
      </w:r>
      <w:r w:rsidR="009A16AE">
        <w:t>uitab</w:t>
      </w:r>
      <w:r>
        <w:t>ility</w:t>
      </w:r>
      <w:r w:rsidR="009A16AE">
        <w:t xml:space="preserve"> for </w:t>
      </w:r>
      <w:r w:rsidR="00193D3A" w:rsidRPr="00411855">
        <w:rPr>
          <w:vertAlign w:val="superscript"/>
        </w:rPr>
        <w:t>177</w:t>
      </w:r>
      <w:r w:rsidR="00193D3A">
        <w:t>Lutetium(</w:t>
      </w:r>
      <w:proofErr w:type="spellStart"/>
      <w:r w:rsidR="00193D3A">
        <w:t>nca</w:t>
      </w:r>
      <w:proofErr w:type="spellEnd"/>
      <w:r w:rsidR="00193D3A">
        <w:t xml:space="preserve">) </w:t>
      </w:r>
      <w:proofErr w:type="spellStart"/>
      <w:r w:rsidR="00193D3A">
        <w:t>Octreotate</w:t>
      </w:r>
      <w:proofErr w:type="spellEnd"/>
      <w:r w:rsidR="00717D26">
        <w:t xml:space="preserve"> </w:t>
      </w:r>
      <w:r w:rsidR="009A16AE">
        <w:t xml:space="preserve">treatment </w:t>
      </w:r>
      <w:r>
        <w:t>requires demonstration of</w:t>
      </w:r>
      <w:r w:rsidR="009A16AE">
        <w:t xml:space="preserve"> high concentration of somatostatin receptors at </w:t>
      </w:r>
      <w:r>
        <w:t>all, or the</w:t>
      </w:r>
      <w:r w:rsidR="009A16AE">
        <w:t xml:space="preserve"> majority of</w:t>
      </w:r>
      <w:r>
        <w:t>,</w:t>
      </w:r>
      <w:r w:rsidR="009A16AE">
        <w:t xml:space="preserve"> tumour sites by imaging with </w:t>
      </w:r>
      <w:r w:rsidR="00EB1BC0">
        <w:t xml:space="preserve">suitable </w:t>
      </w:r>
      <w:r w:rsidR="00284853">
        <w:t xml:space="preserve">somatostatin targeting </w:t>
      </w:r>
      <w:r w:rsidR="00EB1BC0">
        <w:t xml:space="preserve">radiopharmaceuticals </w:t>
      </w:r>
      <w:r w:rsidR="00717D26">
        <w:t>(SS</w:t>
      </w:r>
      <w:r w:rsidR="00D57D0A">
        <w:t xml:space="preserve">TR </w:t>
      </w:r>
      <w:r w:rsidR="00717D26">
        <w:t xml:space="preserve">imaging) </w:t>
      </w:r>
      <w:r w:rsidR="00EB1BC0">
        <w:t>using PET or SPECT scanning.</w:t>
      </w:r>
      <w:r w:rsidR="00E24623">
        <w:t xml:space="preserve"> For some patients with G2 tumours and patients with G3 tumours </w:t>
      </w:r>
      <w:r w:rsidR="00193D3A">
        <w:rPr>
          <w:vertAlign w:val="superscript"/>
        </w:rPr>
        <w:t>18</w:t>
      </w:r>
      <w:r w:rsidR="00E24623">
        <w:t xml:space="preserve">FDG PET imaging may be required </w:t>
      </w:r>
      <w:r w:rsidR="002A2076">
        <w:t>in addition to optimise</w:t>
      </w:r>
      <w:r w:rsidR="00E24623">
        <w:t xml:space="preserve"> therapeutic decision making</w:t>
      </w:r>
      <w:r w:rsidR="002A2076">
        <w:t xml:space="preserve">, particularly to </w:t>
      </w:r>
      <w:r w:rsidR="002311EB">
        <w:t>enhance</w:t>
      </w:r>
      <w:r w:rsidR="002A2076">
        <w:t xml:space="preserve"> detection of discordant sites of disease and</w:t>
      </w:r>
      <w:r w:rsidR="002311EB">
        <w:t>/or</w:t>
      </w:r>
      <w:r w:rsidR="002A2076">
        <w:t xml:space="preserve"> </w:t>
      </w:r>
      <w:r w:rsidR="002311EB">
        <w:t>better define</w:t>
      </w:r>
      <w:r w:rsidR="002A2076">
        <w:t xml:space="preserve"> individual patient prognos</w:t>
      </w:r>
      <w:r w:rsidR="002311EB">
        <w:t xml:space="preserve">is with and without available active </w:t>
      </w:r>
      <w:proofErr w:type="spellStart"/>
      <w:r w:rsidR="002311EB">
        <w:t>tumourcidal</w:t>
      </w:r>
      <w:proofErr w:type="spellEnd"/>
      <w:r w:rsidR="002311EB">
        <w:t>/</w:t>
      </w:r>
      <w:proofErr w:type="spellStart"/>
      <w:r w:rsidR="002311EB">
        <w:t>tumourostatic</w:t>
      </w:r>
      <w:proofErr w:type="spellEnd"/>
      <w:r w:rsidR="002311EB">
        <w:t xml:space="preserve"> therapy</w:t>
      </w:r>
      <w:r w:rsidR="002A2076">
        <w:t>.</w:t>
      </w:r>
    </w:p>
    <w:p w14:paraId="4DEB9D2A" w14:textId="4E399A5D" w:rsidR="00F67E53" w:rsidRDefault="006079C4" w:rsidP="00432D5F">
      <w:pPr>
        <w:ind w:left="360"/>
      </w:pPr>
      <w:r>
        <w:t xml:space="preserve">The applicants propose that Medicare funding for </w:t>
      </w:r>
      <w:r w:rsidR="00193D3A" w:rsidRPr="00411855">
        <w:rPr>
          <w:vertAlign w:val="superscript"/>
        </w:rPr>
        <w:t>177</w:t>
      </w:r>
      <w:r w:rsidR="00193D3A">
        <w:t>Lutetium(</w:t>
      </w:r>
      <w:proofErr w:type="spellStart"/>
      <w:r w:rsidR="00193D3A">
        <w:t>nca</w:t>
      </w:r>
      <w:proofErr w:type="spellEnd"/>
      <w:r w:rsidR="00193D3A">
        <w:t xml:space="preserve">) </w:t>
      </w:r>
      <w:proofErr w:type="spellStart"/>
      <w:r w:rsidR="00193D3A">
        <w:t>Octreotate</w:t>
      </w:r>
      <w:proofErr w:type="spellEnd"/>
      <w:r>
        <w:t xml:space="preserve"> </w:t>
      </w:r>
      <w:r w:rsidR="00546C97">
        <w:t xml:space="preserve">requires referral from </w:t>
      </w:r>
      <w:r>
        <w:t xml:space="preserve">a Multi-Disciplinary Team (MDT) experienced in managing patients with NET. This proposal is </w:t>
      </w:r>
      <w:r w:rsidR="002311EB">
        <w:t>closely</w:t>
      </w:r>
      <w:r>
        <w:t xml:space="preserve"> aligned with Neuroendocrine Carcinoma Australia’s view that all patients with NET should have management guided by an experienced MDT.</w:t>
      </w:r>
      <w:r w:rsidR="00E35017">
        <w:t xml:space="preserve"> This referral pathway to </w:t>
      </w:r>
      <w:r w:rsidR="00193D3A" w:rsidRPr="00411855">
        <w:rPr>
          <w:vertAlign w:val="superscript"/>
        </w:rPr>
        <w:t>177</w:t>
      </w:r>
      <w:r w:rsidR="00193D3A">
        <w:t>Lutetium(</w:t>
      </w:r>
      <w:proofErr w:type="spellStart"/>
      <w:r w:rsidR="00193D3A">
        <w:t>nca</w:t>
      </w:r>
      <w:proofErr w:type="spellEnd"/>
      <w:r w:rsidR="00193D3A">
        <w:t xml:space="preserve">) </w:t>
      </w:r>
      <w:proofErr w:type="spellStart"/>
      <w:r w:rsidR="00193D3A">
        <w:t>Octreotate</w:t>
      </w:r>
      <w:proofErr w:type="spellEnd"/>
      <w:r w:rsidR="00193D3A" w:rsidDel="00193D3A">
        <w:t xml:space="preserve"> </w:t>
      </w:r>
      <w:r w:rsidR="00E35017">
        <w:t xml:space="preserve">treatment recognises that </w:t>
      </w:r>
      <w:r w:rsidR="005F4586">
        <w:t xml:space="preserve">early involvement of an expert MDT is highly desirable for maximal attainment of patient important outcomes. NET patients present a highly heterogeneous range of clinical </w:t>
      </w:r>
      <w:proofErr w:type="gramStart"/>
      <w:r w:rsidR="005F4586">
        <w:t>problems</w:t>
      </w:r>
      <w:proofErr w:type="gramEnd"/>
      <w:r w:rsidR="005F4586">
        <w:t xml:space="preserve"> and no single clinician has the expertise required to effectively and efficiently optimise management decisions at </w:t>
      </w:r>
      <w:r w:rsidR="001D3BC6">
        <w:t>all</w:t>
      </w:r>
      <w:r w:rsidR="005F4586">
        <w:t xml:space="preserve"> stages of NET </w:t>
      </w:r>
      <w:r w:rsidR="001D3BC6">
        <w:t xml:space="preserve">patients’ </w:t>
      </w:r>
      <w:r w:rsidR="005F4586">
        <w:t xml:space="preserve">treatment.  </w:t>
      </w:r>
    </w:p>
    <w:p w14:paraId="033CA128" w14:textId="41600BEC" w:rsidR="00600E8A" w:rsidRDefault="001D3BC6" w:rsidP="00432D5F">
      <w:pPr>
        <w:ind w:left="360"/>
      </w:pPr>
      <w:r>
        <w:t>E</w:t>
      </w:r>
      <w:r w:rsidR="00F67E53">
        <w:t>arly</w:t>
      </w:r>
      <w:r w:rsidR="00A37962">
        <w:t xml:space="preserve"> MDT </w:t>
      </w:r>
      <w:r>
        <w:t>guidance facilitates optimal</w:t>
      </w:r>
      <w:r w:rsidR="00F67E53">
        <w:t xml:space="preserve"> investigation and treatment targeted to the needs of each patient. </w:t>
      </w:r>
      <w:r w:rsidR="00600E8A">
        <w:t xml:space="preserve">Effective guidance from an </w:t>
      </w:r>
      <w:r w:rsidR="00F67E53">
        <w:t xml:space="preserve">MDT </w:t>
      </w:r>
      <w:r w:rsidR="00600E8A">
        <w:t>usually require</w:t>
      </w:r>
      <w:r w:rsidR="00D57D0A">
        <w:t>s</w:t>
      </w:r>
      <w:r w:rsidR="00600E8A">
        <w:t xml:space="preserve"> extensive information including </w:t>
      </w:r>
      <w:r>
        <w:t xml:space="preserve">some or </w:t>
      </w:r>
      <w:proofErr w:type="gramStart"/>
      <w:r>
        <w:t>all of</w:t>
      </w:r>
      <w:proofErr w:type="gramEnd"/>
      <w:r>
        <w:t xml:space="preserve"> the following </w:t>
      </w:r>
      <w:r w:rsidR="00600E8A">
        <w:t>details</w:t>
      </w:r>
      <w:r>
        <w:t>:</w:t>
      </w:r>
    </w:p>
    <w:p w14:paraId="71832756" w14:textId="368DEE50" w:rsidR="00284853" w:rsidRDefault="00600E8A" w:rsidP="00600E8A">
      <w:pPr>
        <w:pStyle w:val="ListParagraph"/>
        <w:numPr>
          <w:ilvl w:val="0"/>
          <w:numId w:val="45"/>
        </w:numPr>
      </w:pPr>
      <w:r>
        <w:t>tumour pathology including tumour grade/ Ki-67 index</w:t>
      </w:r>
    </w:p>
    <w:p w14:paraId="6B813A5A" w14:textId="77777777" w:rsidR="00284853" w:rsidRDefault="00715A48" w:rsidP="00284853">
      <w:pPr>
        <w:pStyle w:val="ListParagraph"/>
        <w:numPr>
          <w:ilvl w:val="0"/>
          <w:numId w:val="45"/>
        </w:numPr>
      </w:pPr>
      <w:r>
        <w:t>current clinical features</w:t>
      </w:r>
    </w:p>
    <w:p w14:paraId="11C3DF03" w14:textId="27730F08" w:rsidR="00284853" w:rsidRDefault="00600E8A" w:rsidP="00284853">
      <w:pPr>
        <w:pStyle w:val="ListParagraph"/>
        <w:numPr>
          <w:ilvl w:val="0"/>
          <w:numId w:val="45"/>
        </w:numPr>
      </w:pPr>
      <w:r>
        <w:t xml:space="preserve">patient </w:t>
      </w:r>
      <w:r w:rsidR="00284853">
        <w:t>co-morbidities</w:t>
      </w:r>
    </w:p>
    <w:p w14:paraId="1759F1C9" w14:textId="0D00CE72" w:rsidR="00600E8A" w:rsidRDefault="00600E8A" w:rsidP="00600E8A">
      <w:pPr>
        <w:pStyle w:val="ListParagraph"/>
        <w:numPr>
          <w:ilvl w:val="0"/>
          <w:numId w:val="45"/>
        </w:numPr>
      </w:pPr>
      <w:r>
        <w:t>prior treatment history</w:t>
      </w:r>
    </w:p>
    <w:p w14:paraId="369C687C" w14:textId="16FFA207" w:rsidR="00284853" w:rsidRDefault="00600E8A" w:rsidP="00284853">
      <w:pPr>
        <w:pStyle w:val="ListParagraph"/>
        <w:numPr>
          <w:ilvl w:val="0"/>
          <w:numId w:val="45"/>
        </w:numPr>
      </w:pPr>
      <w:r>
        <w:t xml:space="preserve">patient’s </w:t>
      </w:r>
      <w:r w:rsidR="00284853">
        <w:t>treatment objectives and preferences</w:t>
      </w:r>
    </w:p>
    <w:p w14:paraId="3BA9EA4E" w14:textId="16E7F050" w:rsidR="00284853" w:rsidRDefault="00715A48" w:rsidP="00284853">
      <w:pPr>
        <w:pStyle w:val="ListParagraph"/>
        <w:numPr>
          <w:ilvl w:val="0"/>
          <w:numId w:val="45"/>
        </w:numPr>
      </w:pPr>
      <w:r>
        <w:t xml:space="preserve">serial imaging including </w:t>
      </w:r>
      <w:r w:rsidR="005B713B">
        <w:t>appropriate</w:t>
      </w:r>
      <w:r w:rsidR="001D3BC6">
        <w:t>ly timed</w:t>
      </w:r>
      <w:r w:rsidR="005B713B">
        <w:t xml:space="preserve"> SS</w:t>
      </w:r>
      <w:r w:rsidR="00D57D0A">
        <w:t xml:space="preserve">TR </w:t>
      </w:r>
      <w:r w:rsidR="005B713B">
        <w:t>imaging and</w:t>
      </w:r>
      <w:r>
        <w:t xml:space="preserve"> CT </w:t>
      </w:r>
      <w:r w:rsidR="005B713B">
        <w:t>and/</w:t>
      </w:r>
      <w:r>
        <w:t>or MRI</w:t>
      </w:r>
      <w:r w:rsidR="005B713B">
        <w:t xml:space="preserve"> depending on the nature and location of the patient’s NET</w:t>
      </w:r>
    </w:p>
    <w:p w14:paraId="206988AA" w14:textId="2DCEFE8F" w:rsidR="00600E8A" w:rsidRDefault="00600E8A" w:rsidP="00284853">
      <w:pPr>
        <w:pStyle w:val="ListParagraph"/>
        <w:numPr>
          <w:ilvl w:val="0"/>
          <w:numId w:val="45"/>
        </w:numPr>
      </w:pPr>
      <w:r>
        <w:t xml:space="preserve">FDG PET/CT imaging in selected patients depending on </w:t>
      </w:r>
      <w:r w:rsidR="00FF00DE">
        <w:t xml:space="preserve">the type of malignancy, </w:t>
      </w:r>
      <w:r>
        <w:t xml:space="preserve">tumour </w:t>
      </w:r>
      <w:r w:rsidR="00FF00DE">
        <w:t>Grading, disease stage and clinical progress</w:t>
      </w:r>
    </w:p>
    <w:p w14:paraId="24CDE967" w14:textId="77777777" w:rsidR="00284853" w:rsidRDefault="00284853" w:rsidP="00284853">
      <w:pPr>
        <w:pStyle w:val="ListParagraph"/>
        <w:numPr>
          <w:ilvl w:val="0"/>
          <w:numId w:val="45"/>
        </w:numPr>
      </w:pPr>
      <w:r>
        <w:t xml:space="preserve">biochemical details of tumour status including chromogranin assays and assays relevant to </w:t>
      </w:r>
      <w:proofErr w:type="gramStart"/>
      <w:r>
        <w:t>particular form</w:t>
      </w:r>
      <w:proofErr w:type="gramEnd"/>
      <w:r>
        <w:t xml:space="preserve"> of excessive hormone secretion by a patient’s NET</w:t>
      </w:r>
    </w:p>
    <w:p w14:paraId="59379A18" w14:textId="7CCB2A00" w:rsidR="00715A48" w:rsidRDefault="00284853" w:rsidP="00284853">
      <w:pPr>
        <w:pStyle w:val="ListParagraph"/>
        <w:numPr>
          <w:ilvl w:val="0"/>
          <w:numId w:val="45"/>
        </w:numPr>
      </w:pPr>
      <w:r>
        <w:t>background biochemical parameters including renal and liver function</w:t>
      </w:r>
    </w:p>
    <w:p w14:paraId="19172A9A" w14:textId="5613D2C9" w:rsidR="00284853" w:rsidRDefault="00284853" w:rsidP="00284853">
      <w:pPr>
        <w:pStyle w:val="ListParagraph"/>
        <w:numPr>
          <w:ilvl w:val="0"/>
          <w:numId w:val="45"/>
        </w:numPr>
      </w:pPr>
      <w:r>
        <w:t>haem</w:t>
      </w:r>
      <w:r w:rsidR="003C02EF">
        <w:t>a</w:t>
      </w:r>
      <w:r>
        <w:t xml:space="preserve">tological </w:t>
      </w:r>
      <w:r w:rsidR="003C02EF">
        <w:t>parameters</w:t>
      </w:r>
    </w:p>
    <w:p w14:paraId="0EA096A0" w14:textId="4597FCB3" w:rsidR="00282B37" w:rsidRPr="00E95FE2" w:rsidRDefault="00282B37" w:rsidP="00E95FE2">
      <w:pPr>
        <w:ind w:left="426"/>
        <w:rPr>
          <w:szCs w:val="20"/>
        </w:rPr>
      </w:pPr>
    </w:p>
    <w:p w14:paraId="2C79F306" w14:textId="77777777" w:rsidR="008F1188" w:rsidRDefault="008F1188">
      <w:pPr>
        <w:spacing w:before="0" w:after="200" w:line="276" w:lineRule="auto"/>
        <w:rPr>
          <w:b/>
          <w:i/>
          <w:szCs w:val="20"/>
          <w:u w:val="single"/>
        </w:rPr>
      </w:pPr>
      <w:r>
        <w:br w:type="page"/>
      </w:r>
    </w:p>
    <w:p w14:paraId="41BF332B" w14:textId="03248E76" w:rsidR="002A50FD" w:rsidRPr="00881F93" w:rsidRDefault="005C3AE7" w:rsidP="008F1188">
      <w:pPr>
        <w:pStyle w:val="Subtitle"/>
        <w:ind w:left="0"/>
      </w:pPr>
      <w:r>
        <w:lastRenderedPageBreak/>
        <w:t xml:space="preserve">PART 6b – </w:t>
      </w:r>
      <w:r w:rsidR="002A50FD" w:rsidRPr="00881F93">
        <w:t>INFORMATION ABOUT THE INTERVENTION</w:t>
      </w:r>
    </w:p>
    <w:p w14:paraId="6A5161AC" w14:textId="77777777" w:rsidR="005370BD" w:rsidRDefault="002A6753" w:rsidP="005370BD">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15327EE6" w14:textId="6CBB4819" w:rsidR="007E4757" w:rsidRPr="008F3308" w:rsidRDefault="00193D3A" w:rsidP="00D2442D">
      <w:pPr>
        <w:pStyle w:val="Heading2"/>
        <w:numPr>
          <w:ilvl w:val="0"/>
          <w:numId w:val="0"/>
        </w:numPr>
        <w:ind w:left="360"/>
        <w:rPr>
          <w:b w:val="0"/>
          <w:bCs/>
        </w:rPr>
      </w:pPr>
      <w:r>
        <w:rPr>
          <w:b w:val="0"/>
          <w:bCs/>
        </w:rPr>
        <w:t>T</w:t>
      </w:r>
      <w:r w:rsidR="007006A7" w:rsidRPr="008F3308">
        <w:rPr>
          <w:b w:val="0"/>
          <w:bCs/>
        </w:rPr>
        <w:t xml:space="preserve">he </w:t>
      </w:r>
      <w:proofErr w:type="spellStart"/>
      <w:r w:rsidR="00A11B7B" w:rsidRPr="000D5131">
        <w:rPr>
          <w:b w:val="0"/>
          <w:bCs/>
        </w:rPr>
        <w:t>theranostic</w:t>
      </w:r>
      <w:proofErr w:type="spellEnd"/>
      <w:r w:rsidR="00A11B7B" w:rsidRPr="000D5131">
        <w:rPr>
          <w:b w:val="0"/>
          <w:bCs/>
        </w:rPr>
        <w:t xml:space="preserve"> </w:t>
      </w:r>
      <w:r w:rsidR="007006A7" w:rsidRPr="000D5131">
        <w:rPr>
          <w:b w:val="0"/>
          <w:bCs/>
        </w:rPr>
        <w:t>specialist</w:t>
      </w:r>
      <w:r w:rsidR="007006A7" w:rsidRPr="008F3308">
        <w:rPr>
          <w:b w:val="0"/>
          <w:bCs/>
        </w:rPr>
        <w:t xml:space="preserve"> who supervises </w:t>
      </w:r>
      <w:r w:rsidRPr="00193D3A">
        <w:rPr>
          <w:b w:val="0"/>
          <w:bCs/>
          <w:vertAlign w:val="superscript"/>
        </w:rPr>
        <w:t>177</w:t>
      </w:r>
      <w:r w:rsidRPr="00193D3A">
        <w:rPr>
          <w:b w:val="0"/>
          <w:bCs/>
        </w:rPr>
        <w:t>Lutetium(</w:t>
      </w:r>
      <w:proofErr w:type="spellStart"/>
      <w:r w:rsidRPr="00193D3A">
        <w:rPr>
          <w:b w:val="0"/>
          <w:bCs/>
        </w:rPr>
        <w:t>nca</w:t>
      </w:r>
      <w:proofErr w:type="spellEnd"/>
      <w:r w:rsidRPr="00193D3A">
        <w:rPr>
          <w:b w:val="0"/>
          <w:bCs/>
        </w:rPr>
        <w:t xml:space="preserve">) </w:t>
      </w:r>
      <w:proofErr w:type="spellStart"/>
      <w:r w:rsidRPr="00193D3A">
        <w:rPr>
          <w:b w:val="0"/>
          <w:bCs/>
        </w:rPr>
        <w:t>Octreotate</w:t>
      </w:r>
      <w:proofErr w:type="spellEnd"/>
      <w:r w:rsidR="007006A7" w:rsidRPr="008F3308">
        <w:rPr>
          <w:b w:val="0"/>
          <w:bCs/>
        </w:rPr>
        <w:t xml:space="preserve"> therapy will </w:t>
      </w:r>
      <w:r>
        <w:rPr>
          <w:b w:val="0"/>
          <w:bCs/>
        </w:rPr>
        <w:t xml:space="preserve">often </w:t>
      </w:r>
      <w:r w:rsidR="007006A7" w:rsidRPr="008F3308">
        <w:rPr>
          <w:b w:val="0"/>
          <w:bCs/>
        </w:rPr>
        <w:t>be a member</w:t>
      </w:r>
      <w:r w:rsidR="000D5131">
        <w:rPr>
          <w:b w:val="0"/>
          <w:bCs/>
        </w:rPr>
        <w:t xml:space="preserve">, or regular attendee, </w:t>
      </w:r>
      <w:r w:rsidR="007006A7" w:rsidRPr="008F3308">
        <w:rPr>
          <w:b w:val="0"/>
          <w:bCs/>
        </w:rPr>
        <w:t xml:space="preserve">of </w:t>
      </w:r>
      <w:r w:rsidR="000D5131">
        <w:rPr>
          <w:b w:val="0"/>
          <w:bCs/>
        </w:rPr>
        <w:t>the</w:t>
      </w:r>
      <w:r w:rsidR="007006A7" w:rsidRPr="008F3308">
        <w:rPr>
          <w:b w:val="0"/>
          <w:bCs/>
        </w:rPr>
        <w:t xml:space="preserve"> MDT that has referred the patient for treatment </w:t>
      </w:r>
      <w:r>
        <w:rPr>
          <w:b w:val="0"/>
          <w:bCs/>
        </w:rPr>
        <w:t xml:space="preserve">in which case </w:t>
      </w:r>
      <w:r w:rsidR="007006A7" w:rsidRPr="008F3308">
        <w:rPr>
          <w:b w:val="0"/>
          <w:bCs/>
        </w:rPr>
        <w:t xml:space="preserve">suitability of that patient will already be </w:t>
      </w:r>
      <w:r w:rsidR="007E4757" w:rsidRPr="008F3308">
        <w:rPr>
          <w:b w:val="0"/>
          <w:bCs/>
        </w:rPr>
        <w:t xml:space="preserve">known to the specialist and pre-treatment consultation </w:t>
      </w:r>
      <w:r w:rsidR="000D5131">
        <w:rPr>
          <w:b w:val="0"/>
          <w:bCs/>
        </w:rPr>
        <w:t>c</w:t>
      </w:r>
      <w:r w:rsidR="000D5131" w:rsidRPr="008F3308">
        <w:rPr>
          <w:b w:val="0"/>
          <w:bCs/>
        </w:rPr>
        <w:t xml:space="preserve">ould </w:t>
      </w:r>
      <w:r w:rsidR="007E4757" w:rsidRPr="008F3308">
        <w:rPr>
          <w:b w:val="0"/>
          <w:bCs/>
        </w:rPr>
        <w:t xml:space="preserve">be </w:t>
      </w:r>
      <w:r w:rsidR="000D5131">
        <w:rPr>
          <w:b w:val="0"/>
          <w:bCs/>
        </w:rPr>
        <w:t>limited</w:t>
      </w:r>
      <w:r w:rsidR="000D5131" w:rsidRPr="008F3308">
        <w:rPr>
          <w:b w:val="0"/>
          <w:bCs/>
        </w:rPr>
        <w:t xml:space="preserve"> </w:t>
      </w:r>
      <w:r w:rsidR="007E4757" w:rsidRPr="008F3308">
        <w:rPr>
          <w:b w:val="0"/>
          <w:bCs/>
        </w:rPr>
        <w:t>to:</w:t>
      </w:r>
    </w:p>
    <w:p w14:paraId="7F7A78C1" w14:textId="6992B3F7" w:rsidR="007E4757" w:rsidRPr="008F3308" w:rsidRDefault="007E4757" w:rsidP="007E4757">
      <w:pPr>
        <w:pStyle w:val="Heading2"/>
        <w:numPr>
          <w:ilvl w:val="0"/>
          <w:numId w:val="47"/>
        </w:numPr>
        <w:rPr>
          <w:b w:val="0"/>
          <w:bCs/>
        </w:rPr>
      </w:pPr>
      <w:r w:rsidRPr="008F3308">
        <w:rPr>
          <w:b w:val="0"/>
          <w:bCs/>
        </w:rPr>
        <w:t xml:space="preserve">explaining the risks and benefits of </w:t>
      </w:r>
      <w:r w:rsidR="00193D3A" w:rsidRPr="00193D3A">
        <w:rPr>
          <w:b w:val="0"/>
          <w:bCs/>
          <w:vertAlign w:val="superscript"/>
        </w:rPr>
        <w:t>177</w:t>
      </w:r>
      <w:r w:rsidR="00193D3A" w:rsidRPr="00193D3A">
        <w:rPr>
          <w:b w:val="0"/>
          <w:bCs/>
        </w:rPr>
        <w:t>Lutetium(</w:t>
      </w:r>
      <w:proofErr w:type="spellStart"/>
      <w:r w:rsidR="00193D3A" w:rsidRPr="00193D3A">
        <w:rPr>
          <w:b w:val="0"/>
          <w:bCs/>
        </w:rPr>
        <w:t>nca</w:t>
      </w:r>
      <w:proofErr w:type="spellEnd"/>
      <w:r w:rsidR="00193D3A" w:rsidRPr="00193D3A">
        <w:rPr>
          <w:b w:val="0"/>
          <w:bCs/>
        </w:rPr>
        <w:t xml:space="preserve">) </w:t>
      </w:r>
      <w:proofErr w:type="spellStart"/>
      <w:r w:rsidR="00193D3A" w:rsidRPr="00193D3A">
        <w:rPr>
          <w:b w:val="0"/>
          <w:bCs/>
        </w:rPr>
        <w:t>Octreotate</w:t>
      </w:r>
      <w:proofErr w:type="spellEnd"/>
      <w:r w:rsidRPr="008F3308">
        <w:rPr>
          <w:b w:val="0"/>
          <w:bCs/>
        </w:rPr>
        <w:t xml:space="preserve"> treatment to that patient</w:t>
      </w:r>
    </w:p>
    <w:p w14:paraId="6509B4AD" w14:textId="77777777" w:rsidR="007E4757" w:rsidRPr="008F3308" w:rsidRDefault="007E4757" w:rsidP="007E4757">
      <w:pPr>
        <w:pStyle w:val="Heading2"/>
        <w:numPr>
          <w:ilvl w:val="0"/>
          <w:numId w:val="47"/>
        </w:numPr>
        <w:rPr>
          <w:b w:val="0"/>
          <w:bCs/>
        </w:rPr>
      </w:pPr>
      <w:r w:rsidRPr="008F3308">
        <w:rPr>
          <w:b w:val="0"/>
          <w:bCs/>
        </w:rPr>
        <w:t>describing the preparation for the treatment including adjustments to regular medications</w:t>
      </w:r>
    </w:p>
    <w:p w14:paraId="573DF73E" w14:textId="77777777" w:rsidR="00D14CD0" w:rsidRPr="008F3308" w:rsidRDefault="007E4757" w:rsidP="007E4757">
      <w:pPr>
        <w:pStyle w:val="Heading2"/>
        <w:numPr>
          <w:ilvl w:val="0"/>
          <w:numId w:val="47"/>
        </w:numPr>
        <w:rPr>
          <w:b w:val="0"/>
          <w:bCs/>
        </w:rPr>
      </w:pPr>
      <w:r w:rsidRPr="008F3308">
        <w:rPr>
          <w:b w:val="0"/>
          <w:bCs/>
        </w:rPr>
        <w:t xml:space="preserve">describing the </w:t>
      </w:r>
      <w:r w:rsidR="00D14CD0" w:rsidRPr="008F3308">
        <w:rPr>
          <w:b w:val="0"/>
          <w:bCs/>
        </w:rPr>
        <w:t>performance of the procedure on the treatment day</w:t>
      </w:r>
    </w:p>
    <w:p w14:paraId="605586E0" w14:textId="31E2548B" w:rsidR="00D14CD0" w:rsidRPr="008F3308" w:rsidRDefault="00D14CD0" w:rsidP="007E4757">
      <w:pPr>
        <w:pStyle w:val="Heading2"/>
        <w:numPr>
          <w:ilvl w:val="0"/>
          <w:numId w:val="47"/>
        </w:numPr>
        <w:rPr>
          <w:b w:val="0"/>
          <w:bCs/>
        </w:rPr>
      </w:pPr>
      <w:r w:rsidRPr="008F3308">
        <w:rPr>
          <w:b w:val="0"/>
          <w:bCs/>
        </w:rPr>
        <w:t>describing the follow-up procedures</w:t>
      </w:r>
      <w:r w:rsidR="007E4757" w:rsidRPr="008F3308">
        <w:rPr>
          <w:b w:val="0"/>
          <w:bCs/>
        </w:rPr>
        <w:t xml:space="preserve"> </w:t>
      </w:r>
    </w:p>
    <w:p w14:paraId="52D23508" w14:textId="647171BE" w:rsidR="00F9570B" w:rsidRPr="00F9570B" w:rsidRDefault="00F9570B" w:rsidP="00F9570B">
      <w:pPr>
        <w:pStyle w:val="ListParagraph"/>
        <w:numPr>
          <w:ilvl w:val="0"/>
          <w:numId w:val="47"/>
        </w:numPr>
      </w:pPr>
      <w:r>
        <w:t xml:space="preserve">ensure data required for monitoring of </w:t>
      </w:r>
      <w:r w:rsidR="00193D3A" w:rsidRPr="00193D3A">
        <w:rPr>
          <w:bCs/>
          <w:vertAlign w:val="superscript"/>
        </w:rPr>
        <w:t>177</w:t>
      </w:r>
      <w:r w:rsidR="00193D3A" w:rsidRPr="00193D3A">
        <w:rPr>
          <w:bCs/>
        </w:rPr>
        <w:t>Lutetium(</w:t>
      </w:r>
      <w:proofErr w:type="spellStart"/>
      <w:r w:rsidR="00193D3A" w:rsidRPr="00193D3A">
        <w:rPr>
          <w:bCs/>
        </w:rPr>
        <w:t>nca</w:t>
      </w:r>
      <w:proofErr w:type="spellEnd"/>
      <w:r w:rsidR="00193D3A" w:rsidRPr="00193D3A">
        <w:rPr>
          <w:bCs/>
        </w:rPr>
        <w:t xml:space="preserve">) </w:t>
      </w:r>
      <w:proofErr w:type="spellStart"/>
      <w:r w:rsidR="00193D3A" w:rsidRPr="00193D3A">
        <w:rPr>
          <w:bCs/>
        </w:rPr>
        <w:t>Octreotate</w:t>
      </w:r>
      <w:proofErr w:type="spellEnd"/>
      <w:r>
        <w:t xml:space="preserve"> treatment effects is current</w:t>
      </w:r>
    </w:p>
    <w:p w14:paraId="2C1C4146" w14:textId="4441764C" w:rsidR="00D14CD0" w:rsidRPr="00D14CD0" w:rsidRDefault="00D14CD0" w:rsidP="00D14CD0">
      <w:pPr>
        <w:pStyle w:val="ListParagraph"/>
        <w:numPr>
          <w:ilvl w:val="0"/>
          <w:numId w:val="47"/>
        </w:numPr>
      </w:pPr>
      <w:r>
        <w:t xml:space="preserve">obtain formal patient consent for </w:t>
      </w:r>
      <w:r w:rsidR="00193D3A" w:rsidRPr="00193D3A">
        <w:rPr>
          <w:bCs/>
          <w:vertAlign w:val="superscript"/>
        </w:rPr>
        <w:t>177</w:t>
      </w:r>
      <w:r w:rsidR="00193D3A" w:rsidRPr="00193D3A">
        <w:rPr>
          <w:bCs/>
        </w:rPr>
        <w:t>Lutetium(</w:t>
      </w:r>
      <w:proofErr w:type="spellStart"/>
      <w:r w:rsidR="00193D3A" w:rsidRPr="00193D3A">
        <w:rPr>
          <w:bCs/>
        </w:rPr>
        <w:t>nca</w:t>
      </w:r>
      <w:proofErr w:type="spellEnd"/>
      <w:r w:rsidR="00193D3A" w:rsidRPr="00193D3A">
        <w:rPr>
          <w:bCs/>
        </w:rPr>
        <w:t xml:space="preserve">) </w:t>
      </w:r>
      <w:proofErr w:type="spellStart"/>
      <w:r w:rsidR="00193D3A" w:rsidRPr="00193D3A">
        <w:rPr>
          <w:bCs/>
        </w:rPr>
        <w:t>Octreotate</w:t>
      </w:r>
      <w:proofErr w:type="spellEnd"/>
      <w:r w:rsidR="00193D3A" w:rsidDel="00193D3A">
        <w:t xml:space="preserve"> </w:t>
      </w:r>
      <w:r>
        <w:t>treatment</w:t>
      </w:r>
    </w:p>
    <w:p w14:paraId="66C13700" w14:textId="1DFC3E23" w:rsidR="003B398F" w:rsidRPr="003B398F" w:rsidRDefault="007006A7" w:rsidP="003B398F">
      <w:pPr>
        <w:pStyle w:val="Heading2"/>
        <w:ind w:left="402"/>
        <w:rPr>
          <w:bCs/>
        </w:rPr>
      </w:pPr>
      <w:r w:rsidRPr="00AD38C4">
        <w:rPr>
          <w:b w:val="0"/>
          <w:bCs/>
        </w:rPr>
        <w:t>On occasion</w:t>
      </w:r>
      <w:r w:rsidR="007E4757" w:rsidRPr="00AD38C4">
        <w:rPr>
          <w:b w:val="0"/>
          <w:bCs/>
        </w:rPr>
        <w:t>s</w:t>
      </w:r>
      <w:r w:rsidRPr="00AD38C4">
        <w:rPr>
          <w:b w:val="0"/>
          <w:bCs/>
        </w:rPr>
        <w:t xml:space="preserve"> </w:t>
      </w:r>
      <w:r w:rsidR="00193D3A">
        <w:rPr>
          <w:b w:val="0"/>
          <w:bCs/>
        </w:rPr>
        <w:t>due to</w:t>
      </w:r>
      <w:r w:rsidR="007E4757" w:rsidRPr="00AD38C4">
        <w:rPr>
          <w:b w:val="0"/>
          <w:bCs/>
        </w:rPr>
        <w:t xml:space="preserve"> equity of access considerations </w:t>
      </w:r>
      <w:r w:rsidRPr="00AD38C4">
        <w:rPr>
          <w:b w:val="0"/>
          <w:bCs/>
        </w:rPr>
        <w:t xml:space="preserve">it is foreseeable </w:t>
      </w:r>
      <w:r w:rsidR="007E4757" w:rsidRPr="00AD38C4">
        <w:rPr>
          <w:b w:val="0"/>
          <w:bCs/>
        </w:rPr>
        <w:t xml:space="preserve">that the patient referred for </w:t>
      </w:r>
      <w:r w:rsidR="00193D3A" w:rsidRPr="00193D3A">
        <w:rPr>
          <w:b w:val="0"/>
          <w:bCs/>
          <w:vertAlign w:val="superscript"/>
        </w:rPr>
        <w:t>177</w:t>
      </w:r>
      <w:r w:rsidR="00193D3A" w:rsidRPr="00193D3A">
        <w:rPr>
          <w:b w:val="0"/>
          <w:bCs/>
        </w:rPr>
        <w:t>Lutetium(</w:t>
      </w:r>
      <w:proofErr w:type="spellStart"/>
      <w:r w:rsidR="00193D3A" w:rsidRPr="00193D3A">
        <w:rPr>
          <w:b w:val="0"/>
          <w:bCs/>
        </w:rPr>
        <w:t>nca</w:t>
      </w:r>
      <w:proofErr w:type="spellEnd"/>
      <w:r w:rsidR="00193D3A" w:rsidRPr="00193D3A">
        <w:rPr>
          <w:b w:val="0"/>
          <w:bCs/>
        </w:rPr>
        <w:t xml:space="preserve">) </w:t>
      </w:r>
      <w:proofErr w:type="spellStart"/>
      <w:r w:rsidR="00193D3A" w:rsidRPr="00193D3A">
        <w:rPr>
          <w:b w:val="0"/>
          <w:bCs/>
        </w:rPr>
        <w:t>Octreotate</w:t>
      </w:r>
      <w:proofErr w:type="spellEnd"/>
      <w:r w:rsidR="00193D3A" w:rsidRPr="00193D3A" w:rsidDel="00193D3A">
        <w:rPr>
          <w:b w:val="0"/>
          <w:bCs/>
        </w:rPr>
        <w:t xml:space="preserve"> </w:t>
      </w:r>
      <w:r w:rsidR="007E4757" w:rsidRPr="00AD38C4">
        <w:rPr>
          <w:b w:val="0"/>
          <w:bCs/>
        </w:rPr>
        <w:t xml:space="preserve">will not be known to the </w:t>
      </w:r>
      <w:r w:rsidR="00D14CD0" w:rsidRPr="00AD38C4">
        <w:rPr>
          <w:b w:val="0"/>
          <w:bCs/>
        </w:rPr>
        <w:t xml:space="preserve">supervising specialist and in that situation the </w:t>
      </w:r>
      <w:r w:rsidR="007E4757" w:rsidRPr="00AD38C4">
        <w:rPr>
          <w:b w:val="0"/>
          <w:bCs/>
        </w:rPr>
        <w:t>specialist</w:t>
      </w:r>
      <w:r w:rsidR="00D14CD0" w:rsidRPr="00AD38C4">
        <w:rPr>
          <w:b w:val="0"/>
          <w:bCs/>
        </w:rPr>
        <w:t xml:space="preserve"> would be required to ensure that the MDT has properly identified patient suitability for the treatment by reviewing all the relevant patient details.</w:t>
      </w:r>
      <w:r w:rsidR="007E4757" w:rsidRPr="00AD38C4">
        <w:rPr>
          <w:b w:val="0"/>
          <w:bCs/>
        </w:rPr>
        <w:t xml:space="preserve"> </w:t>
      </w:r>
      <w:r w:rsidR="00AD38C4">
        <w:rPr>
          <w:b w:val="0"/>
          <w:bCs/>
        </w:rPr>
        <w:t xml:space="preserve">The diagram below illustrates typical key components and clinical steps involved in </w:t>
      </w:r>
      <w:r w:rsidR="00AD38C4" w:rsidRPr="00AD38C4">
        <w:rPr>
          <w:b w:val="0"/>
          <w:bCs/>
          <w:vertAlign w:val="superscript"/>
        </w:rPr>
        <w:t>177</w:t>
      </w:r>
      <w:r w:rsidR="00AD38C4" w:rsidRPr="00AD38C4">
        <w:rPr>
          <w:b w:val="0"/>
          <w:bCs/>
        </w:rPr>
        <w:t>Lutetium(</w:t>
      </w:r>
      <w:proofErr w:type="spellStart"/>
      <w:r w:rsidR="00AD38C4" w:rsidRPr="00AD38C4">
        <w:rPr>
          <w:b w:val="0"/>
          <w:bCs/>
        </w:rPr>
        <w:t>nca</w:t>
      </w:r>
      <w:proofErr w:type="spellEnd"/>
      <w:r w:rsidR="00AD38C4" w:rsidRPr="00AD38C4">
        <w:rPr>
          <w:b w:val="0"/>
          <w:bCs/>
        </w:rPr>
        <w:t xml:space="preserve">) </w:t>
      </w:r>
      <w:proofErr w:type="spellStart"/>
      <w:r w:rsidR="00AD38C4" w:rsidRPr="00AD38C4">
        <w:rPr>
          <w:b w:val="0"/>
          <w:bCs/>
        </w:rPr>
        <w:t>Octreotate</w:t>
      </w:r>
      <w:proofErr w:type="spellEnd"/>
      <w:r w:rsidR="00AD38C4" w:rsidRPr="00AD38C4">
        <w:rPr>
          <w:b w:val="0"/>
          <w:bCs/>
        </w:rPr>
        <w:t xml:space="preserve"> treatment</w:t>
      </w:r>
      <w:r w:rsidR="00AD38C4">
        <w:rPr>
          <w:b w:val="0"/>
          <w:bCs/>
        </w:rPr>
        <w:t xml:space="preserve"> </w:t>
      </w:r>
      <w:r w:rsidR="001F3A2A">
        <w:rPr>
          <w:b w:val="0"/>
          <w:bCs/>
        </w:rPr>
        <w:t>(</w:t>
      </w:r>
      <w:r w:rsidR="00AD38C4">
        <w:rPr>
          <w:b w:val="0"/>
          <w:bCs/>
        </w:rPr>
        <w:t xml:space="preserve">extracted from </w:t>
      </w:r>
      <w:proofErr w:type="spellStart"/>
      <w:proofErr w:type="gramStart"/>
      <w:r w:rsidR="00AD38C4">
        <w:rPr>
          <w:b w:val="0"/>
          <w:bCs/>
        </w:rPr>
        <w:t>Bidakhvidi</w:t>
      </w:r>
      <w:r w:rsidR="00F31563">
        <w:rPr>
          <w:b w:val="0"/>
          <w:bCs/>
        </w:rPr>
        <w:t>,N</w:t>
      </w:r>
      <w:proofErr w:type="spellEnd"/>
      <w:proofErr w:type="gramEnd"/>
      <w:r w:rsidR="003B398F">
        <w:rPr>
          <w:b w:val="0"/>
          <w:bCs/>
        </w:rPr>
        <w:t xml:space="preserve"> et al</w:t>
      </w:r>
      <w:r w:rsidR="001F3A2A">
        <w:rPr>
          <w:b w:val="0"/>
          <w:bCs/>
        </w:rPr>
        <w:t>;</w:t>
      </w:r>
      <w:r w:rsidR="003B398F">
        <w:rPr>
          <w:b w:val="0"/>
          <w:bCs/>
        </w:rPr>
        <w:t xml:space="preserve"> </w:t>
      </w:r>
      <w:r w:rsidR="003B398F" w:rsidRPr="003B398F">
        <w:rPr>
          <w:b w:val="0"/>
        </w:rPr>
        <w:t>doi.org/10.3390/ cancers14010129</w:t>
      </w:r>
      <w:r w:rsidR="001F3A2A">
        <w:rPr>
          <w:b w:val="0"/>
        </w:rPr>
        <w:t xml:space="preserve"> (Open Access)</w:t>
      </w:r>
      <w:r w:rsidR="003B398F">
        <w:rPr>
          <w:bCs/>
        </w:rPr>
        <w:t>]</w:t>
      </w:r>
    </w:p>
    <w:p w14:paraId="410F98F4" w14:textId="4B54BE5D" w:rsidR="00A80C96" w:rsidRDefault="00193D3A" w:rsidP="00D2442D">
      <w:pPr>
        <w:ind w:left="360"/>
      </w:pP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sidR="00A559CF">
        <w:t xml:space="preserve"> administration is </w:t>
      </w:r>
      <w:r w:rsidR="00A80C96">
        <w:t>most</w:t>
      </w:r>
      <w:r w:rsidR="000D5131">
        <w:t>ly</w:t>
      </w:r>
      <w:r w:rsidR="00A80C96">
        <w:t xml:space="preserve"> </w:t>
      </w:r>
      <w:r w:rsidR="00A559CF">
        <w:t>conducted as an outpatient procedure</w:t>
      </w:r>
      <w:r w:rsidR="00A80C96">
        <w:t>.  In some patients where there is a significant risk that treatment will trigger excess hormone release with life threatening consequences treatment should be undertaken as an inpatient</w:t>
      </w:r>
      <w:r w:rsidR="00A559CF">
        <w:t xml:space="preserve">. </w:t>
      </w:r>
    </w:p>
    <w:p w14:paraId="23486FE2" w14:textId="1D2A375C" w:rsidR="00A559CF" w:rsidRPr="003B398F" w:rsidRDefault="00A559CF" w:rsidP="000E3411">
      <w:pPr>
        <w:ind w:left="360"/>
        <w:rPr>
          <w:highlight w:val="yellow"/>
        </w:rPr>
      </w:pPr>
      <w:r>
        <w:t xml:space="preserve">Upon attendance at the administration facility </w:t>
      </w:r>
      <w:r w:rsidR="00A14900">
        <w:t xml:space="preserve">suitably equipped and staffed to undertake the delivery of the </w:t>
      </w:r>
      <w:r w:rsidR="00193D3A" w:rsidRPr="00193D3A">
        <w:rPr>
          <w:bCs/>
          <w:vertAlign w:val="superscript"/>
        </w:rPr>
        <w:t>177</w:t>
      </w:r>
      <w:r w:rsidR="00193D3A" w:rsidRPr="00193D3A">
        <w:rPr>
          <w:bCs/>
        </w:rPr>
        <w:t>Lutetium(</w:t>
      </w:r>
      <w:proofErr w:type="spellStart"/>
      <w:r w:rsidR="00193D3A" w:rsidRPr="00193D3A">
        <w:rPr>
          <w:bCs/>
        </w:rPr>
        <w:t>nca</w:t>
      </w:r>
      <w:proofErr w:type="spellEnd"/>
      <w:r w:rsidR="00193D3A" w:rsidRPr="00193D3A">
        <w:rPr>
          <w:bCs/>
        </w:rPr>
        <w:t xml:space="preserve">) </w:t>
      </w:r>
      <w:proofErr w:type="spellStart"/>
      <w:r w:rsidR="00193D3A" w:rsidRPr="00193D3A">
        <w:rPr>
          <w:bCs/>
        </w:rPr>
        <w:t>Octreotate</w:t>
      </w:r>
      <w:proofErr w:type="spellEnd"/>
      <w:r w:rsidR="00A14900">
        <w:t xml:space="preserve"> radiopharmaceutical</w:t>
      </w:r>
      <w:r w:rsidR="00A11B7B">
        <w:t xml:space="preserve">. </w:t>
      </w:r>
      <w:r w:rsidR="00A11B7B" w:rsidRPr="003B398F">
        <w:t>Preferably</w:t>
      </w:r>
      <w:r w:rsidR="00A11B7B" w:rsidRPr="000E3411">
        <w:t xml:space="preserve"> such facilities would meet the standards specified in </w:t>
      </w:r>
      <w:r w:rsidR="00A11B7B" w:rsidRPr="003B398F">
        <w:t>the appended document</w:t>
      </w:r>
      <w:r w:rsidR="000E3411" w:rsidRPr="003B398F">
        <w:t xml:space="preserve"> Australasian Association of Nuclear Medicine Specialists Position Statement on Practice of </w:t>
      </w:r>
      <w:proofErr w:type="spellStart"/>
      <w:r w:rsidR="000E3411" w:rsidRPr="003B398F">
        <w:t>Theranostics</w:t>
      </w:r>
      <w:proofErr w:type="spellEnd"/>
      <w:r w:rsidR="000E3411" w:rsidRPr="003B398F">
        <w:t xml:space="preserve"> in Australia</w:t>
      </w:r>
      <w:r w:rsidR="00A11DBE">
        <w:t xml:space="preserve"> -</w:t>
      </w:r>
      <w:r w:rsidR="000E3411" w:rsidRPr="003B398F">
        <w:t>Version 1, dated February 2021</w:t>
      </w:r>
      <w:r w:rsidR="00A11DBE">
        <w:t xml:space="preserve"> (AANMS </w:t>
      </w:r>
      <w:proofErr w:type="spellStart"/>
      <w:r w:rsidR="00A11DBE">
        <w:t>Theranostics</w:t>
      </w:r>
      <w:proofErr w:type="spellEnd"/>
      <w:r w:rsidR="00A11DBE">
        <w:t xml:space="preserve"> Position Paper</w:t>
      </w:r>
      <w:r w:rsidR="000E3411" w:rsidRPr="003B398F">
        <w:t xml:space="preserve">). </w:t>
      </w:r>
      <w:r w:rsidR="00A11B7B">
        <w:t>At a suitable facility t</w:t>
      </w:r>
      <w:r>
        <w:t>he patient would have</w:t>
      </w:r>
      <w:r w:rsidR="00A14900">
        <w:t xml:space="preserve"> 2</w:t>
      </w:r>
      <w:r>
        <w:t xml:space="preserve"> intravenous can</w:t>
      </w:r>
      <w:r w:rsidR="00A14900">
        <w:t>n</w:t>
      </w:r>
      <w:r>
        <w:t>ula</w:t>
      </w:r>
      <w:r w:rsidR="00A14900">
        <w:t>s</w:t>
      </w:r>
      <w:r>
        <w:t xml:space="preserve"> inserted with appropriate process to ensure that extravasation of the radiopharmaceutical </w:t>
      </w:r>
      <w:r w:rsidR="00A14900">
        <w:t>will</w:t>
      </w:r>
      <w:r>
        <w:t xml:space="preserve"> not occur.</w:t>
      </w:r>
    </w:p>
    <w:p w14:paraId="0E708A01" w14:textId="56EB50A3" w:rsidR="00A559CF" w:rsidRDefault="00A559CF" w:rsidP="00D2442D">
      <w:pPr>
        <w:ind w:left="360"/>
      </w:pPr>
      <w:r>
        <w:t xml:space="preserve">Premedication </w:t>
      </w:r>
      <w:r w:rsidR="001B53EA">
        <w:t xml:space="preserve">with antiemetics, usually </w:t>
      </w:r>
      <w:r w:rsidR="001B53EA" w:rsidRPr="001B53EA">
        <w:t>selective 5-HT3 serotonin-receptor antagonist</w:t>
      </w:r>
      <w:r w:rsidR="001B53EA">
        <w:t xml:space="preserve"> is </w:t>
      </w:r>
      <w:r w:rsidR="00A11B7B">
        <w:t xml:space="preserve">routinely </w:t>
      </w:r>
      <w:r w:rsidR="001B53EA">
        <w:t>given</w:t>
      </w:r>
      <w:r w:rsidR="00A80C96">
        <w:t>.</w:t>
      </w:r>
      <w:r w:rsidR="00425F23">
        <w:t xml:space="preserve"> At some sites dexamethasone may also be </w:t>
      </w:r>
      <w:r w:rsidR="007F6BDF">
        <w:t>administered</w:t>
      </w:r>
      <w:r w:rsidR="00425F23">
        <w:t xml:space="preserve"> as a premedication</w:t>
      </w:r>
      <w:r w:rsidR="00A11B7B">
        <w:t xml:space="preserve"> as specified by the supervising </w:t>
      </w:r>
      <w:proofErr w:type="spellStart"/>
      <w:r w:rsidR="00A11B7B">
        <w:t>theranostic</w:t>
      </w:r>
      <w:proofErr w:type="spellEnd"/>
      <w:r w:rsidR="00A11B7B">
        <w:t xml:space="preserve"> specialist.</w:t>
      </w:r>
    </w:p>
    <w:p w14:paraId="3AEC58ED" w14:textId="48FAFAA5" w:rsidR="00A559CF" w:rsidRDefault="001B53EA" w:rsidP="00D2442D">
      <w:pPr>
        <w:ind w:left="360"/>
      </w:pPr>
      <w:r>
        <w:t>An</w:t>
      </w:r>
      <w:r w:rsidR="00A559CF">
        <w:t xml:space="preserve"> amino acid infusion composed of </w:t>
      </w:r>
      <w:r w:rsidR="008F3308">
        <w:t>25gm arginine and 25</w:t>
      </w:r>
      <w:r w:rsidR="000D7611">
        <w:t>gm lysine per litre</w:t>
      </w:r>
      <w:r w:rsidR="00A559CF">
        <w:t xml:space="preserve"> </w:t>
      </w:r>
      <w:r w:rsidR="00BC4219">
        <w:t xml:space="preserve">is begun </w:t>
      </w:r>
      <w:r w:rsidR="00EF2B71">
        <w:t>by an</w:t>
      </w:r>
      <w:r w:rsidR="00BC4219">
        <w:t xml:space="preserve"> infusion pump </w:t>
      </w:r>
      <w:r w:rsidR="00EF2B71">
        <w:t xml:space="preserve">through one intravenous cannula </w:t>
      </w:r>
      <w:r w:rsidR="00425F23">
        <w:t>30 minutes</w:t>
      </w:r>
      <w:r w:rsidR="00BC4219">
        <w:t xml:space="preserve"> before </w:t>
      </w:r>
      <w:r w:rsidR="00D11E38" w:rsidRPr="00193D3A">
        <w:rPr>
          <w:bCs/>
          <w:vertAlign w:val="superscript"/>
        </w:rPr>
        <w:t>177</w:t>
      </w:r>
      <w:r w:rsidR="00D11E38" w:rsidRPr="00193D3A">
        <w:rPr>
          <w:bCs/>
        </w:rPr>
        <w:t>Lutetium(</w:t>
      </w:r>
      <w:proofErr w:type="spellStart"/>
      <w:r w:rsidR="00D11E38" w:rsidRPr="00193D3A">
        <w:rPr>
          <w:bCs/>
        </w:rPr>
        <w:t>nca</w:t>
      </w:r>
      <w:proofErr w:type="spellEnd"/>
      <w:r w:rsidR="00D11E38" w:rsidRPr="00193D3A">
        <w:rPr>
          <w:bCs/>
        </w:rPr>
        <w:t xml:space="preserve">) </w:t>
      </w:r>
      <w:proofErr w:type="spellStart"/>
      <w:r w:rsidR="00D11E38" w:rsidRPr="00193D3A">
        <w:rPr>
          <w:bCs/>
        </w:rPr>
        <w:t>Octreotate</w:t>
      </w:r>
      <w:proofErr w:type="spellEnd"/>
      <w:r w:rsidR="00BC4219">
        <w:t xml:space="preserve"> administration to reduce kidney uptake of the radiopharmaceutical</w:t>
      </w:r>
      <w:r w:rsidR="00EF2B71">
        <w:t xml:space="preserve"> </w:t>
      </w:r>
      <w:r w:rsidR="00425F23">
        <w:t xml:space="preserve">and continued for 3-4 hours after </w:t>
      </w:r>
      <w:r w:rsidR="00EF2B71">
        <w:t xml:space="preserve">infusion of </w:t>
      </w:r>
      <w:r w:rsidR="00D11E38" w:rsidRPr="00193D3A">
        <w:rPr>
          <w:bCs/>
          <w:vertAlign w:val="superscript"/>
        </w:rPr>
        <w:t>177</w:t>
      </w:r>
      <w:r w:rsidR="00D11E38" w:rsidRPr="00193D3A">
        <w:rPr>
          <w:bCs/>
        </w:rPr>
        <w:t>Lutetium(</w:t>
      </w:r>
      <w:proofErr w:type="spellStart"/>
      <w:r w:rsidR="00D11E38" w:rsidRPr="00193D3A">
        <w:rPr>
          <w:bCs/>
        </w:rPr>
        <w:t>nca</w:t>
      </w:r>
      <w:proofErr w:type="spellEnd"/>
      <w:r w:rsidR="00D11E38" w:rsidRPr="00193D3A">
        <w:rPr>
          <w:bCs/>
        </w:rPr>
        <w:t xml:space="preserve">) </w:t>
      </w:r>
      <w:proofErr w:type="spellStart"/>
      <w:r w:rsidR="00D11E38" w:rsidRPr="00193D3A">
        <w:rPr>
          <w:bCs/>
        </w:rPr>
        <w:t>Octreotate</w:t>
      </w:r>
      <w:proofErr w:type="spellEnd"/>
      <w:r w:rsidR="00425F23">
        <w:t>,</w:t>
      </w:r>
      <w:r w:rsidR="00EF2B71">
        <w:t xml:space="preserve"> </w:t>
      </w:r>
      <w:r w:rsidR="00425F23">
        <w:t xml:space="preserve">which </w:t>
      </w:r>
      <w:r w:rsidR="00EF2B71">
        <w:t>is undertaken using a separate infusion pump and the second cannula.</w:t>
      </w:r>
    </w:p>
    <w:p w14:paraId="17DFA5B1" w14:textId="3E94D838" w:rsidR="00BC4219" w:rsidRDefault="00EF2B71" w:rsidP="00D2442D">
      <w:pPr>
        <w:ind w:left="360"/>
      </w:pPr>
      <w:r>
        <w:t xml:space="preserve">The patient is monitored for vital signs and adverse reactions during the infusions of </w:t>
      </w:r>
      <w:r w:rsidR="00D11E38" w:rsidRPr="00193D3A">
        <w:rPr>
          <w:bCs/>
          <w:vertAlign w:val="superscript"/>
        </w:rPr>
        <w:t>177</w:t>
      </w:r>
      <w:r w:rsidR="00D11E38" w:rsidRPr="00193D3A">
        <w:rPr>
          <w:bCs/>
        </w:rPr>
        <w:t>Lutetium(</w:t>
      </w:r>
      <w:proofErr w:type="spellStart"/>
      <w:r w:rsidR="00D11E38" w:rsidRPr="00193D3A">
        <w:rPr>
          <w:bCs/>
        </w:rPr>
        <w:t>nca</w:t>
      </w:r>
      <w:proofErr w:type="spellEnd"/>
      <w:r w:rsidR="00D11E38" w:rsidRPr="00193D3A">
        <w:rPr>
          <w:bCs/>
        </w:rPr>
        <w:t xml:space="preserve">) </w:t>
      </w:r>
      <w:proofErr w:type="spellStart"/>
      <w:r w:rsidR="00D11E38" w:rsidRPr="00193D3A">
        <w:rPr>
          <w:bCs/>
        </w:rPr>
        <w:t>Octreotate</w:t>
      </w:r>
      <w:proofErr w:type="spellEnd"/>
      <w:r>
        <w:t xml:space="preserve"> and amino acid solution and for </w:t>
      </w:r>
      <w:r w:rsidR="00425F23">
        <w:t>at least 3</w:t>
      </w:r>
      <w:r>
        <w:t xml:space="preserve"> hour</w:t>
      </w:r>
      <w:r w:rsidR="00425F23">
        <w:t xml:space="preserve">s </w:t>
      </w:r>
      <w:r>
        <w:t xml:space="preserve">following these infusions. </w:t>
      </w:r>
      <w:r w:rsidR="00A80C96">
        <w:t>Occasionally treatment emergent symptoms require additional medication or slowing the rate of the infusions.</w:t>
      </w:r>
    </w:p>
    <w:p w14:paraId="6704F0FF" w14:textId="01597F20" w:rsidR="00F14DB0" w:rsidRDefault="00BC4219" w:rsidP="00D2442D">
      <w:pPr>
        <w:ind w:left="360"/>
      </w:pPr>
      <w:r>
        <w:t xml:space="preserve">At the completion of the </w:t>
      </w:r>
      <w:r w:rsidR="00D11E38" w:rsidRPr="00193D3A">
        <w:rPr>
          <w:bCs/>
          <w:vertAlign w:val="superscript"/>
        </w:rPr>
        <w:t>177</w:t>
      </w:r>
      <w:r w:rsidR="00D11E38" w:rsidRPr="00193D3A">
        <w:rPr>
          <w:bCs/>
        </w:rPr>
        <w:t>Lutetium(</w:t>
      </w:r>
      <w:proofErr w:type="spellStart"/>
      <w:r w:rsidR="00D11E38" w:rsidRPr="00193D3A">
        <w:rPr>
          <w:bCs/>
        </w:rPr>
        <w:t>nca</w:t>
      </w:r>
      <w:proofErr w:type="spellEnd"/>
      <w:r w:rsidR="00D11E38" w:rsidRPr="00193D3A">
        <w:rPr>
          <w:bCs/>
        </w:rPr>
        <w:t xml:space="preserve">) </w:t>
      </w:r>
      <w:proofErr w:type="spellStart"/>
      <w:r w:rsidR="00D11E38" w:rsidRPr="00193D3A">
        <w:rPr>
          <w:bCs/>
        </w:rPr>
        <w:t>Octreotate</w:t>
      </w:r>
      <w:proofErr w:type="spellEnd"/>
      <w:r>
        <w:t xml:space="preserve"> administration the NET patient is</w:t>
      </w:r>
      <w:r w:rsidR="00425F23">
        <w:t xml:space="preserve"> asked to void urine and has external dose rate counting to ensure safe discharge into the community. All patients are</w:t>
      </w:r>
      <w:r>
        <w:t xml:space="preserve"> discharged</w:t>
      </w:r>
      <w:r w:rsidR="00AB559B">
        <w:t xml:space="preserve"> </w:t>
      </w:r>
      <w:r>
        <w:t xml:space="preserve">with instructions to </w:t>
      </w:r>
      <w:r w:rsidR="00AB559B">
        <w:t xml:space="preserve">attend for a post treatment consultation the following day with the supervising </w:t>
      </w:r>
      <w:proofErr w:type="spellStart"/>
      <w:r w:rsidR="00D11E38" w:rsidRPr="000E3411">
        <w:t>theranostic</w:t>
      </w:r>
      <w:proofErr w:type="spellEnd"/>
      <w:r w:rsidR="00D11E38" w:rsidRPr="000E3411">
        <w:t xml:space="preserve"> </w:t>
      </w:r>
      <w:r w:rsidR="00AB559B" w:rsidRPr="000E3411">
        <w:t>specialist</w:t>
      </w:r>
      <w:r w:rsidR="00F14DB0">
        <w:t xml:space="preserve"> where patient progress is </w:t>
      </w:r>
      <w:proofErr w:type="gramStart"/>
      <w:r w:rsidR="00F14DB0">
        <w:t>considered</w:t>
      </w:r>
      <w:proofErr w:type="gramEnd"/>
      <w:r w:rsidR="00F14DB0">
        <w:t xml:space="preserve"> and medication and monitoring requirements are confirmed and</w:t>
      </w:r>
      <w:r w:rsidR="00D11E38">
        <w:t xml:space="preserve"> adjusted where</w:t>
      </w:r>
      <w:r w:rsidR="00F14DB0">
        <w:t xml:space="preserve"> necessary.</w:t>
      </w:r>
      <w:r w:rsidR="003B2CAA">
        <w:t xml:space="preserve"> </w:t>
      </w:r>
    </w:p>
    <w:p w14:paraId="64EA6B53" w14:textId="77777777" w:rsidR="003B398F" w:rsidRDefault="00E55359" w:rsidP="00D2442D">
      <w:pPr>
        <w:ind w:left="360"/>
      </w:pPr>
      <w:r>
        <w:t xml:space="preserve">For research purposes after each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t xml:space="preserve"> treatment</w:t>
      </w:r>
      <w:r w:rsidDel="00E55359">
        <w:t xml:space="preserve"> </w:t>
      </w:r>
      <w:r w:rsidR="00E50C9D">
        <w:t xml:space="preserve">single time point </w:t>
      </w:r>
      <w:r w:rsidR="00D11E38">
        <w:t xml:space="preserve">SPECT/CT </w:t>
      </w:r>
      <w:r w:rsidR="003B2CAA">
        <w:t xml:space="preserve">imaging is recommended for </w:t>
      </w:r>
      <w:r w:rsidR="00D11E38">
        <w:t xml:space="preserve">tumour site uptake </w:t>
      </w:r>
      <w:r w:rsidR="003B2CAA">
        <w:t xml:space="preserve">verification </w:t>
      </w:r>
      <w:r w:rsidR="00D11E38">
        <w:t>with formal radiation dosimetry estimation after the initial treatment</w:t>
      </w:r>
      <w:r w:rsidR="003B2CAA">
        <w:t xml:space="preserve"> </w:t>
      </w:r>
      <w:r w:rsidR="00E50C9D">
        <w:t>(requiring several SPECT/CT imaging sessions several days apart</w:t>
      </w:r>
      <w:r>
        <w:t xml:space="preserve">) provides optimal patient evaluation. </w:t>
      </w:r>
    </w:p>
    <w:p w14:paraId="1AA2CB0D" w14:textId="332D10A0" w:rsidR="00681960" w:rsidRDefault="00E55359" w:rsidP="00D2442D">
      <w:pPr>
        <w:ind w:left="360"/>
      </w:pPr>
      <w:r>
        <w:t xml:space="preserve">For routine clinical practice, when H-SSTR has been confirmed by </w:t>
      </w:r>
      <w:r w:rsidR="006838F3">
        <w:t xml:space="preserve">obligatory pre-treatment </w:t>
      </w:r>
      <w:r>
        <w:t xml:space="preserve">PET or SPECT scanning, a single time point post </w:t>
      </w:r>
      <w:r w:rsidR="006838F3" w:rsidRPr="00193D3A">
        <w:rPr>
          <w:bCs/>
          <w:vertAlign w:val="superscript"/>
        </w:rPr>
        <w:t>177</w:t>
      </w:r>
      <w:r w:rsidR="006838F3" w:rsidRPr="00193D3A">
        <w:rPr>
          <w:bCs/>
        </w:rPr>
        <w:t>Lutetium(</w:t>
      </w:r>
      <w:proofErr w:type="spellStart"/>
      <w:r w:rsidR="006838F3" w:rsidRPr="00193D3A">
        <w:rPr>
          <w:bCs/>
        </w:rPr>
        <w:t>nca</w:t>
      </w:r>
      <w:proofErr w:type="spellEnd"/>
      <w:r w:rsidR="006838F3" w:rsidRPr="00193D3A">
        <w:rPr>
          <w:bCs/>
        </w:rPr>
        <w:t xml:space="preserve">) </w:t>
      </w:r>
      <w:proofErr w:type="spellStart"/>
      <w:r w:rsidR="006838F3" w:rsidRPr="00193D3A">
        <w:rPr>
          <w:bCs/>
        </w:rPr>
        <w:t>Octreotate</w:t>
      </w:r>
      <w:proofErr w:type="spellEnd"/>
      <w:r w:rsidR="006838F3">
        <w:t xml:space="preserve"> treatment</w:t>
      </w:r>
      <w:r>
        <w:t xml:space="preserve"> SPECT/CT scan is </w:t>
      </w:r>
      <w:r w:rsidR="006838F3">
        <w:t>ideally</w:t>
      </w:r>
      <w:r>
        <w:t xml:space="preserve"> performed to identify </w:t>
      </w:r>
      <w:r w:rsidR="006838F3">
        <w:t>“</w:t>
      </w:r>
      <w:r>
        <w:t>super-responders</w:t>
      </w:r>
      <w:r w:rsidR="006838F3">
        <w:t>” after 2 treatment cycles. These patients have a high degree of tumour site early following treatment commencement and are unlikely to benefit further from proceeding to complete full “induction cycle” as the treatment target has already been largely ablated.</w:t>
      </w:r>
    </w:p>
    <w:p w14:paraId="2CF72D77" w14:textId="7712B327" w:rsidR="00681960" w:rsidRDefault="00681960" w:rsidP="006838F3">
      <w:pPr>
        <w:ind w:left="360"/>
      </w:pPr>
      <w:r>
        <w:lastRenderedPageBreak/>
        <w:t xml:space="preserve">A typical induction, or initial treatment cycle of </w:t>
      </w:r>
      <w:r w:rsidR="00302806" w:rsidRPr="00193D3A">
        <w:rPr>
          <w:bCs/>
          <w:vertAlign w:val="superscript"/>
        </w:rPr>
        <w:t>177</w:t>
      </w:r>
      <w:r w:rsidR="00302806" w:rsidRPr="00193D3A">
        <w:rPr>
          <w:bCs/>
        </w:rPr>
        <w:t>Lutetium(</w:t>
      </w:r>
      <w:proofErr w:type="spellStart"/>
      <w:r w:rsidR="00302806" w:rsidRPr="00193D3A">
        <w:rPr>
          <w:bCs/>
        </w:rPr>
        <w:t>nca</w:t>
      </w:r>
      <w:proofErr w:type="spellEnd"/>
      <w:r w:rsidR="00302806" w:rsidRPr="00193D3A">
        <w:rPr>
          <w:bCs/>
        </w:rPr>
        <w:t xml:space="preserve">) </w:t>
      </w:r>
      <w:proofErr w:type="spellStart"/>
      <w:r w:rsidR="00302806" w:rsidRPr="00193D3A">
        <w:rPr>
          <w:bCs/>
        </w:rPr>
        <w:t>Octreotate</w:t>
      </w:r>
      <w:proofErr w:type="spellEnd"/>
      <w:r>
        <w:t xml:space="preserve"> involves 4 admin</w:t>
      </w:r>
      <w:r w:rsidR="00C22FCC">
        <w:t>i</w:t>
      </w:r>
      <w:r>
        <w:t xml:space="preserve">strations </w:t>
      </w:r>
      <w:r w:rsidR="00C22FCC">
        <w:t xml:space="preserve">of radiopharmaceutical </w:t>
      </w:r>
      <w:r w:rsidR="00756F44">
        <w:t>separated by intervals of 6-8 weeks.</w:t>
      </w:r>
      <w:r w:rsidR="006344D5">
        <w:t xml:space="preserve"> In patients with a high disease burden at diagnosis and a favourable but incomplete response to 4 cycles of treatment, a further cycle of treatment may be </w:t>
      </w:r>
      <w:r w:rsidR="00302806">
        <w:t>considered worthwhile</w:t>
      </w:r>
      <w:r w:rsidR="006344D5">
        <w:t>.</w:t>
      </w:r>
      <w:r w:rsidR="00756F44">
        <w:t xml:space="preserve"> </w:t>
      </w:r>
    </w:p>
    <w:p w14:paraId="682626B6" w14:textId="0F459E1B" w:rsidR="00756F44" w:rsidRDefault="00756F44" w:rsidP="00D2442D">
      <w:pPr>
        <w:ind w:left="360"/>
      </w:pPr>
      <w:r>
        <w:t xml:space="preserve">Older patients, particularly strong treatment responders may </w:t>
      </w:r>
      <w:r w:rsidR="00302806">
        <w:t xml:space="preserve">also </w:t>
      </w:r>
      <w:r>
        <w:t xml:space="preserve">receive abbreviated treatment schedules and the interval between </w:t>
      </w:r>
      <w:r w:rsidR="00302806" w:rsidRPr="00193D3A">
        <w:rPr>
          <w:bCs/>
          <w:vertAlign w:val="superscript"/>
        </w:rPr>
        <w:t>177</w:t>
      </w:r>
      <w:r w:rsidR="00302806" w:rsidRPr="00193D3A">
        <w:rPr>
          <w:bCs/>
        </w:rPr>
        <w:t>Lutetium(</w:t>
      </w:r>
      <w:proofErr w:type="spellStart"/>
      <w:r w:rsidR="00302806" w:rsidRPr="00193D3A">
        <w:rPr>
          <w:bCs/>
        </w:rPr>
        <w:t>nca</w:t>
      </w:r>
      <w:proofErr w:type="spellEnd"/>
      <w:r w:rsidR="00302806" w:rsidRPr="00193D3A">
        <w:rPr>
          <w:bCs/>
        </w:rPr>
        <w:t xml:space="preserve">) </w:t>
      </w:r>
      <w:proofErr w:type="spellStart"/>
      <w:r w:rsidR="00302806" w:rsidRPr="00193D3A">
        <w:rPr>
          <w:bCs/>
        </w:rPr>
        <w:t>Octreotate</w:t>
      </w:r>
      <w:proofErr w:type="spellEnd"/>
      <w:r>
        <w:t xml:space="preserve"> administrations </w:t>
      </w:r>
      <w:r w:rsidR="00F14DB0">
        <w:t>may be adjusted to allow for haematological recovery if toxicity occurs</w:t>
      </w:r>
      <w:r w:rsidR="006344D5">
        <w:t>. For G1 tumours in particular, cycles may be separated by up to 12 weeks.</w:t>
      </w:r>
    </w:p>
    <w:p w14:paraId="15218D9A" w14:textId="31733B1F" w:rsidR="00756F44" w:rsidRDefault="00756F44" w:rsidP="00D2442D">
      <w:pPr>
        <w:ind w:left="360"/>
      </w:pPr>
      <w:r>
        <w:t xml:space="preserve">After the induction </w:t>
      </w:r>
      <w:r w:rsidR="006344D5">
        <w:t xml:space="preserve">course, </w:t>
      </w:r>
      <w:r w:rsidR="00591840">
        <w:t xml:space="preserve">follow-up is usually conducted after a </w:t>
      </w:r>
      <w:r w:rsidR="00D74D2C">
        <w:t>3-month</w:t>
      </w:r>
      <w:r w:rsidR="00591840">
        <w:t xml:space="preserve"> interval when the patients clinical, </w:t>
      </w:r>
      <w:proofErr w:type="gramStart"/>
      <w:r w:rsidR="00591840">
        <w:t>biochemical</w:t>
      </w:r>
      <w:proofErr w:type="gramEnd"/>
      <w:r w:rsidR="00591840">
        <w:t xml:space="preserve"> and haematological status is assessed along with disease response assessment using </w:t>
      </w:r>
      <w:r w:rsidR="008F41F2">
        <w:t>SS</w:t>
      </w:r>
      <w:r w:rsidR="006344D5">
        <w:t xml:space="preserve">TR </w:t>
      </w:r>
      <w:r w:rsidR="008F41F2">
        <w:t xml:space="preserve">imaging, and where applicable FDG </w:t>
      </w:r>
      <w:r w:rsidR="00591840">
        <w:t>PET/CT</w:t>
      </w:r>
      <w:r w:rsidR="008F41F2">
        <w:t>,</w:t>
      </w:r>
      <w:r w:rsidR="00591840">
        <w:t xml:space="preserve"> </w:t>
      </w:r>
      <w:r w:rsidR="00302806">
        <w:t xml:space="preserve">formal </w:t>
      </w:r>
      <w:r w:rsidR="00591840">
        <w:t xml:space="preserve">CT or MRI imaging to assess the response of each patient’s </w:t>
      </w:r>
      <w:r w:rsidR="00302806" w:rsidRPr="00193D3A">
        <w:rPr>
          <w:bCs/>
          <w:vertAlign w:val="superscript"/>
        </w:rPr>
        <w:t>177</w:t>
      </w:r>
      <w:r w:rsidR="00302806" w:rsidRPr="00193D3A">
        <w:rPr>
          <w:bCs/>
        </w:rPr>
        <w:t>Lutetium(</w:t>
      </w:r>
      <w:proofErr w:type="spellStart"/>
      <w:r w:rsidR="00302806" w:rsidRPr="00193D3A">
        <w:rPr>
          <w:bCs/>
        </w:rPr>
        <w:t>nca</w:t>
      </w:r>
      <w:proofErr w:type="spellEnd"/>
      <w:r w:rsidR="00302806" w:rsidRPr="00193D3A">
        <w:rPr>
          <w:bCs/>
        </w:rPr>
        <w:t xml:space="preserve">) </w:t>
      </w:r>
      <w:proofErr w:type="spellStart"/>
      <w:r w:rsidR="00302806" w:rsidRPr="00193D3A">
        <w:rPr>
          <w:bCs/>
        </w:rPr>
        <w:t>Octreotate</w:t>
      </w:r>
      <w:proofErr w:type="spellEnd"/>
      <w:r w:rsidR="00591840">
        <w:t xml:space="preserve"> therapy.</w:t>
      </w:r>
    </w:p>
    <w:p w14:paraId="26267CD5" w14:textId="61F28326" w:rsidR="008F41F2" w:rsidRDefault="008F41F2" w:rsidP="00D2442D">
      <w:pPr>
        <w:ind w:left="360"/>
      </w:pPr>
      <w:r>
        <w:t xml:space="preserve">Ongoing follow up requires personalisation depending on </w:t>
      </w:r>
    </w:p>
    <w:p w14:paraId="2F9E4423" w14:textId="624802CD" w:rsidR="008F41F2" w:rsidRDefault="008F41F2" w:rsidP="008F41F2">
      <w:pPr>
        <w:pStyle w:val="ListParagraph"/>
        <w:numPr>
          <w:ilvl w:val="0"/>
          <w:numId w:val="48"/>
        </w:numPr>
      </w:pPr>
      <w:r>
        <w:t>the patient’s tumour type and Grade</w:t>
      </w:r>
    </w:p>
    <w:p w14:paraId="7FA0669C" w14:textId="6718FB70" w:rsidR="008F41F2" w:rsidRDefault="008F41F2" w:rsidP="008F41F2">
      <w:pPr>
        <w:pStyle w:val="ListParagraph"/>
        <w:numPr>
          <w:ilvl w:val="0"/>
          <w:numId w:val="48"/>
        </w:numPr>
      </w:pPr>
      <w:r>
        <w:t>the patient’s prior treatment history</w:t>
      </w:r>
    </w:p>
    <w:p w14:paraId="546EA57F" w14:textId="3E839E48" w:rsidR="008F41F2" w:rsidRDefault="008F41F2" w:rsidP="008F41F2">
      <w:pPr>
        <w:pStyle w:val="ListParagraph"/>
        <w:numPr>
          <w:ilvl w:val="0"/>
          <w:numId w:val="48"/>
        </w:numPr>
      </w:pPr>
      <w:r>
        <w:t>the response to therapy</w:t>
      </w:r>
    </w:p>
    <w:p w14:paraId="01BDFC96" w14:textId="601CDA49" w:rsidR="008F41F2" w:rsidRDefault="008F41F2" w:rsidP="008F41F2">
      <w:pPr>
        <w:pStyle w:val="ListParagraph"/>
        <w:numPr>
          <w:ilvl w:val="0"/>
          <w:numId w:val="48"/>
        </w:numPr>
      </w:pPr>
      <w:r>
        <w:t xml:space="preserve">the occurrence of persistent adverse events related to </w:t>
      </w:r>
      <w:r w:rsidR="00302806" w:rsidRPr="00193D3A">
        <w:rPr>
          <w:bCs/>
          <w:vertAlign w:val="superscript"/>
        </w:rPr>
        <w:t>177</w:t>
      </w:r>
      <w:r w:rsidR="00302806" w:rsidRPr="00193D3A">
        <w:rPr>
          <w:bCs/>
        </w:rPr>
        <w:t>Lutetium(</w:t>
      </w:r>
      <w:proofErr w:type="spellStart"/>
      <w:r w:rsidR="00302806" w:rsidRPr="00193D3A">
        <w:rPr>
          <w:bCs/>
        </w:rPr>
        <w:t>nca</w:t>
      </w:r>
      <w:proofErr w:type="spellEnd"/>
      <w:r w:rsidR="00302806" w:rsidRPr="00193D3A">
        <w:rPr>
          <w:bCs/>
        </w:rPr>
        <w:t xml:space="preserve">) </w:t>
      </w:r>
      <w:proofErr w:type="spellStart"/>
      <w:r w:rsidR="00302806" w:rsidRPr="00193D3A">
        <w:rPr>
          <w:bCs/>
        </w:rPr>
        <w:t>Octreotate</w:t>
      </w:r>
      <w:proofErr w:type="spellEnd"/>
      <w:r w:rsidR="00302806" w:rsidDel="00302806">
        <w:t xml:space="preserve"> </w:t>
      </w:r>
    </w:p>
    <w:p w14:paraId="07BF8CF9" w14:textId="062C0FEA" w:rsidR="008F41F2" w:rsidRDefault="008F41F2" w:rsidP="008F41F2">
      <w:pPr>
        <w:pStyle w:val="ListParagraph"/>
        <w:numPr>
          <w:ilvl w:val="0"/>
          <w:numId w:val="48"/>
        </w:numPr>
      </w:pPr>
      <w:r>
        <w:t>the patient’s clinical progress</w:t>
      </w:r>
    </w:p>
    <w:p w14:paraId="636B2A4B" w14:textId="205C44B1" w:rsidR="008F41F2" w:rsidRDefault="008F41F2" w:rsidP="008F41F2">
      <w:pPr>
        <w:pStyle w:val="ListParagraph"/>
        <w:numPr>
          <w:ilvl w:val="0"/>
          <w:numId w:val="48"/>
        </w:numPr>
      </w:pPr>
      <w:r>
        <w:t>the results of biochemical monitoring test</w:t>
      </w:r>
    </w:p>
    <w:p w14:paraId="6E030A16"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05A6D5B2" w14:textId="272A7611" w:rsidR="002A6753" w:rsidRPr="00154B00" w:rsidRDefault="00663BD4" w:rsidP="00E357B9">
      <w:pPr>
        <w:ind w:left="426"/>
        <w:rPr>
          <w:szCs w:val="20"/>
        </w:rPr>
      </w:pPr>
      <w:r w:rsidRPr="00663BD4">
        <w:t xml:space="preserve">Currently </w:t>
      </w:r>
      <w:r>
        <w:t xml:space="preserve">GMP quality </w:t>
      </w:r>
      <w:r w:rsidRPr="00663BD4">
        <w:rPr>
          <w:bCs/>
          <w:vertAlign w:val="superscript"/>
        </w:rPr>
        <w:t>177</w:t>
      </w:r>
      <w:r w:rsidRPr="00663BD4">
        <w:rPr>
          <w:bCs/>
        </w:rPr>
        <w:t>Lutetium(</w:t>
      </w:r>
      <w:proofErr w:type="spellStart"/>
      <w:r w:rsidRPr="00663BD4">
        <w:rPr>
          <w:bCs/>
        </w:rPr>
        <w:t>nca</w:t>
      </w:r>
      <w:proofErr w:type="spellEnd"/>
      <w:r w:rsidRPr="00663BD4">
        <w:rPr>
          <w:bCs/>
        </w:rPr>
        <w:t xml:space="preserve">) </w:t>
      </w:r>
      <w:proofErr w:type="spellStart"/>
      <w:r w:rsidRPr="00663BD4">
        <w:rPr>
          <w:bCs/>
        </w:rPr>
        <w:t>Octreotate</w:t>
      </w:r>
      <w:proofErr w:type="spellEnd"/>
      <w:r w:rsidRPr="003B398F">
        <w:t xml:space="preserve"> manufactured by AMT does not have a trademark component however this is being investigated and is likely to associated with an Australian registered trademark </w:t>
      </w:r>
      <w:r w:rsidR="006344D5" w:rsidRPr="00663BD4">
        <w:t xml:space="preserve">Internationally, </w:t>
      </w:r>
      <w:r w:rsidRPr="00663BD4">
        <w:t>a similar radiopharmaceutical</w:t>
      </w:r>
      <w:r w:rsidR="006344D5" w:rsidRPr="00663BD4">
        <w:t xml:space="preserve"> agent </w:t>
      </w:r>
      <w:r w:rsidRPr="00663BD4">
        <w:t>known as</w:t>
      </w:r>
      <w:r w:rsidR="006344D5" w:rsidRPr="00663BD4">
        <w:t xml:space="preserve"> </w:t>
      </w:r>
      <w:proofErr w:type="spellStart"/>
      <w:r w:rsidR="00540572" w:rsidRPr="00663BD4">
        <w:t>Lutathera</w:t>
      </w:r>
      <w:proofErr w:type="spellEnd"/>
      <w:r w:rsidR="00540572" w:rsidRPr="00663BD4">
        <w:t xml:space="preserve"> </w:t>
      </w:r>
      <w:r w:rsidRPr="00663BD4">
        <w:t>is sponsored by</w:t>
      </w:r>
      <w:r w:rsidR="00540572" w:rsidRPr="00663BD4">
        <w:t xml:space="preserve"> Novartis.</w:t>
      </w:r>
    </w:p>
    <w:p w14:paraId="6C60D020"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91D39E2" w14:textId="22598777" w:rsidR="00DF0C51" w:rsidRDefault="00C765DD" w:rsidP="00E357B9">
      <w:pPr>
        <w:ind w:left="426"/>
        <w:rPr>
          <w:b/>
          <w:szCs w:val="20"/>
        </w:rPr>
      </w:pPr>
      <w:r>
        <w:t>N/A</w:t>
      </w:r>
    </w:p>
    <w:p w14:paraId="5142806C"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35D65166" w14:textId="53BCAABA" w:rsidR="004C3713" w:rsidRDefault="004C3713" w:rsidP="004C3713">
      <w:pPr>
        <w:ind w:left="426"/>
      </w:pPr>
      <w:r>
        <w:t xml:space="preserve">Determining patient suitability for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t xml:space="preserve"> treatment requires confirmation that H-SSTR is present at all, or most tumour sites. This assessment must be done with either 68Ga </w:t>
      </w:r>
      <w:proofErr w:type="spellStart"/>
      <w:r>
        <w:t>Octreotate</w:t>
      </w:r>
      <w:proofErr w:type="spellEnd"/>
      <w:r>
        <w:t xml:space="preserve"> PET/CT or </w:t>
      </w:r>
      <w:proofErr w:type="spellStart"/>
      <w:r>
        <w:t>Octreoscan</w:t>
      </w:r>
      <w:proofErr w:type="spellEnd"/>
      <w:r>
        <w:t xml:space="preserve"> SPECT/CT imaging technique. These assessments require patient to attend a suitably equipped facility, imposing some limitation of patient access.  The distribution of suitable imaging centres is more widespread than suitable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t xml:space="preserve"> treatment centres and so this limitation is not seen as a major restriction to patient access for the proposed treatment. However, the current MBS for 68Ga </w:t>
      </w:r>
      <w:proofErr w:type="spellStart"/>
      <w:r>
        <w:t>Octreotate</w:t>
      </w:r>
      <w:proofErr w:type="spellEnd"/>
      <w:r>
        <w:t xml:space="preserve"> PET/CT or </w:t>
      </w:r>
      <w:proofErr w:type="spellStart"/>
      <w:r>
        <w:t>Octreoscan</w:t>
      </w:r>
      <w:proofErr w:type="spellEnd"/>
      <w:r>
        <w:t xml:space="preserve"> SPECT/CT imaging do not contemplate the use of these procedures for assessing suitability for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t xml:space="preserve"> treatment. Accordingly, the wording of the MBS Item descriptors would need to be appropriately altered </w:t>
      </w:r>
      <w:r w:rsidRPr="00434B0F">
        <w:rPr>
          <w:i/>
          <w:iCs/>
        </w:rPr>
        <w:t>or</w:t>
      </w:r>
      <w:r>
        <w:rPr>
          <w:i/>
          <w:iCs/>
        </w:rPr>
        <w:t xml:space="preserve"> </w:t>
      </w:r>
      <w:r>
        <w:t xml:space="preserve">the fee for these obligatory imaging procedures to determine patient suitability for treatment would need to be incorporated in the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t xml:space="preserve"> treatment fee otherwise the out-of-pocket costs for the requisite pre-treatment imaging assessments would likely constrain patient accessibility for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t xml:space="preserve"> treatment. The applicants consider that expanding the indications currently contemplated in the respective diagnostic imaging MBS Item descriptors to be the preferred method for allowing patient selection for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t xml:space="preserve"> treatment.</w:t>
      </w:r>
    </w:p>
    <w:p w14:paraId="603B2322" w14:textId="2DD5DA15" w:rsidR="00DC7CEB" w:rsidRDefault="00C765DD" w:rsidP="00E357B9">
      <w:pPr>
        <w:ind w:left="426"/>
      </w:pPr>
      <w:r>
        <w:t xml:space="preserve">It is proposed that </w:t>
      </w:r>
      <w:r w:rsidR="00E43B3D" w:rsidRPr="00193D3A">
        <w:rPr>
          <w:bCs/>
          <w:vertAlign w:val="superscript"/>
        </w:rPr>
        <w:t>177</w:t>
      </w:r>
      <w:r w:rsidR="00E43B3D" w:rsidRPr="00193D3A">
        <w:rPr>
          <w:bCs/>
        </w:rPr>
        <w:t>Lutetium(</w:t>
      </w:r>
      <w:proofErr w:type="spellStart"/>
      <w:r w:rsidR="00E43B3D" w:rsidRPr="00193D3A">
        <w:rPr>
          <w:bCs/>
        </w:rPr>
        <w:t>nca</w:t>
      </w:r>
      <w:proofErr w:type="spellEnd"/>
      <w:r w:rsidR="00E43B3D" w:rsidRPr="00193D3A">
        <w:rPr>
          <w:bCs/>
        </w:rPr>
        <w:t xml:space="preserve">) </w:t>
      </w:r>
      <w:proofErr w:type="spellStart"/>
      <w:r w:rsidR="00E43B3D" w:rsidRPr="00193D3A">
        <w:rPr>
          <w:bCs/>
        </w:rPr>
        <w:t>Octreotate</w:t>
      </w:r>
      <w:proofErr w:type="spellEnd"/>
      <w:r w:rsidR="00DE23FE">
        <w:t xml:space="preserve"> administration</w:t>
      </w:r>
      <w:r>
        <w:t xml:space="preserve"> should </w:t>
      </w:r>
      <w:r w:rsidR="00DC7CEB">
        <w:t>be limited to patients referred by a</w:t>
      </w:r>
      <w:r w:rsidR="00540572">
        <w:t xml:space="preserve"> </w:t>
      </w:r>
      <w:proofErr w:type="gramStart"/>
      <w:r w:rsidR="00540572">
        <w:t>formally-convened</w:t>
      </w:r>
      <w:proofErr w:type="gramEnd"/>
      <w:r w:rsidR="00DC7CEB">
        <w:t xml:space="preserve"> MDT that has expertise in the management of patients with NE</w:t>
      </w:r>
      <w:r w:rsidR="007A086E">
        <w:t>T</w:t>
      </w:r>
      <w:r w:rsidR="00540572">
        <w:t>.</w:t>
      </w:r>
      <w:r w:rsidR="00DC7CEB">
        <w:t xml:space="preserve"> </w:t>
      </w:r>
      <w:r w:rsidR="00540572">
        <w:t xml:space="preserve">Treatments of other </w:t>
      </w:r>
      <w:r w:rsidR="00DC7CEB">
        <w:t xml:space="preserve">advanced </w:t>
      </w:r>
      <w:r w:rsidR="00540572">
        <w:t>H</w:t>
      </w:r>
      <w:r w:rsidR="007F6BDF">
        <w:t>-SS</w:t>
      </w:r>
      <w:r w:rsidR="00540572">
        <w:t>TR</w:t>
      </w:r>
      <w:r w:rsidR="00DC7CEB">
        <w:t xml:space="preserve"> malignancies</w:t>
      </w:r>
      <w:r w:rsidR="00540572">
        <w:t xml:space="preserve"> should be referred from </w:t>
      </w:r>
      <w:r w:rsidR="007F6BDF">
        <w:t xml:space="preserve">appropriate specialist </w:t>
      </w:r>
      <w:r w:rsidR="007A086E">
        <w:t>practitioners</w:t>
      </w:r>
      <w:r w:rsidR="007F6BDF">
        <w:t xml:space="preserve"> such as endocrinologists</w:t>
      </w:r>
      <w:r w:rsidR="007A086E">
        <w:t xml:space="preserve"> or surgeons </w:t>
      </w:r>
      <w:r w:rsidR="007F6BDF">
        <w:t>for phaeochromocytoma/paraganglioma or paediatric oncologists for neuroblastoma</w:t>
      </w:r>
      <w:r w:rsidR="00DC7CEB">
        <w:t xml:space="preserve">. </w:t>
      </w:r>
    </w:p>
    <w:p w14:paraId="1B3B803D" w14:textId="1DFBC3B3" w:rsidR="00DC7CEB" w:rsidRDefault="00DC7CEB" w:rsidP="00E357B9">
      <w:pPr>
        <w:ind w:left="426"/>
      </w:pPr>
      <w:r>
        <w:lastRenderedPageBreak/>
        <w:t xml:space="preserve">Specialists supervising the </w:t>
      </w:r>
      <w:r w:rsidR="000E3411" w:rsidRPr="00193D3A">
        <w:rPr>
          <w:bCs/>
          <w:vertAlign w:val="superscript"/>
        </w:rPr>
        <w:t>177</w:t>
      </w:r>
      <w:r w:rsidR="000E3411" w:rsidRPr="00193D3A">
        <w:rPr>
          <w:bCs/>
        </w:rPr>
        <w:t>Lutetium(</w:t>
      </w:r>
      <w:proofErr w:type="spellStart"/>
      <w:r w:rsidR="000E3411" w:rsidRPr="00193D3A">
        <w:rPr>
          <w:bCs/>
        </w:rPr>
        <w:t>nca</w:t>
      </w:r>
      <w:proofErr w:type="spellEnd"/>
      <w:r w:rsidR="000E3411" w:rsidRPr="00193D3A">
        <w:rPr>
          <w:bCs/>
        </w:rPr>
        <w:t xml:space="preserve">) </w:t>
      </w:r>
      <w:proofErr w:type="spellStart"/>
      <w:r w:rsidR="000E3411" w:rsidRPr="00193D3A">
        <w:rPr>
          <w:bCs/>
        </w:rPr>
        <w:t>Octreotate</w:t>
      </w:r>
      <w:proofErr w:type="spellEnd"/>
      <w:r>
        <w:t xml:space="preserve"> administration should be suitably trained and accredited</w:t>
      </w:r>
      <w:r w:rsidR="000E3411">
        <w:t xml:space="preserve">, optimally </w:t>
      </w:r>
      <w:r w:rsidR="004B30AF">
        <w:t>adhering</w:t>
      </w:r>
      <w:r w:rsidR="000E3411">
        <w:t xml:space="preserve"> to the recommendations of the </w:t>
      </w:r>
      <w:r w:rsidR="00A11DBE">
        <w:t xml:space="preserve">AANMS </w:t>
      </w:r>
      <w:proofErr w:type="spellStart"/>
      <w:r w:rsidR="00A11DBE">
        <w:t>Theranostics</w:t>
      </w:r>
      <w:proofErr w:type="spellEnd"/>
      <w:r w:rsidR="00A11DBE">
        <w:t xml:space="preserve"> Position Paper</w:t>
      </w:r>
      <w:r w:rsidR="000E3411">
        <w:t xml:space="preserve">. </w:t>
      </w:r>
    </w:p>
    <w:p w14:paraId="7F458998" w14:textId="058612D1" w:rsidR="00CC09D7" w:rsidRDefault="0042140F" w:rsidP="00E357B9">
      <w:pPr>
        <w:ind w:left="426"/>
      </w:pPr>
      <w:r>
        <w:t xml:space="preserve">Administering </w:t>
      </w:r>
      <w:r w:rsidR="00DC7CEB">
        <w:t xml:space="preserve">facilities performing </w:t>
      </w:r>
      <w:r w:rsidR="000E3411" w:rsidRPr="00193D3A">
        <w:rPr>
          <w:bCs/>
          <w:vertAlign w:val="superscript"/>
        </w:rPr>
        <w:t>177</w:t>
      </w:r>
      <w:r w:rsidR="000E3411" w:rsidRPr="00193D3A">
        <w:rPr>
          <w:bCs/>
        </w:rPr>
        <w:t>Lutetium(</w:t>
      </w:r>
      <w:proofErr w:type="spellStart"/>
      <w:r w:rsidR="000E3411" w:rsidRPr="00193D3A">
        <w:rPr>
          <w:bCs/>
        </w:rPr>
        <w:t>nca</w:t>
      </w:r>
      <w:proofErr w:type="spellEnd"/>
      <w:r w:rsidR="000E3411" w:rsidRPr="00193D3A">
        <w:rPr>
          <w:bCs/>
        </w:rPr>
        <w:t xml:space="preserve">) </w:t>
      </w:r>
      <w:proofErr w:type="spellStart"/>
      <w:r w:rsidR="000E3411" w:rsidRPr="00193D3A">
        <w:rPr>
          <w:bCs/>
        </w:rPr>
        <w:t>Octreotate</w:t>
      </w:r>
      <w:proofErr w:type="spellEnd"/>
      <w:r w:rsidR="000E3411">
        <w:t xml:space="preserve"> </w:t>
      </w:r>
      <w:r w:rsidR="00DC7CEB">
        <w:t>should be suitably staffed</w:t>
      </w:r>
      <w:r w:rsidR="003B398F">
        <w:t xml:space="preserve">, </w:t>
      </w:r>
      <w:proofErr w:type="gramStart"/>
      <w:r w:rsidR="00DC7CEB">
        <w:t>equipped</w:t>
      </w:r>
      <w:proofErr w:type="gramEnd"/>
      <w:r w:rsidR="00DC7CEB">
        <w:t xml:space="preserve"> </w:t>
      </w:r>
      <w:r w:rsidR="003B398F">
        <w:t xml:space="preserve">and licenced </w:t>
      </w:r>
      <w:r w:rsidR="00DC7CEB">
        <w:t>to ensure the safe administration of therapeutic radiopharmaceutic</w:t>
      </w:r>
      <w:r w:rsidR="00B85069">
        <w:t>als</w:t>
      </w:r>
      <w:r>
        <w:t>,</w:t>
      </w:r>
      <w:r w:rsidR="00B85069">
        <w:t xml:space="preserve"> </w:t>
      </w:r>
      <w:r w:rsidR="000E3411">
        <w:t xml:space="preserve">optimally conforming to the recommendations of </w:t>
      </w:r>
      <w:r w:rsidR="00A11DBE">
        <w:t xml:space="preserve">the AANMS </w:t>
      </w:r>
      <w:proofErr w:type="spellStart"/>
      <w:r w:rsidR="00A11DBE">
        <w:t>Theranostics</w:t>
      </w:r>
      <w:proofErr w:type="spellEnd"/>
      <w:r w:rsidR="00A11DBE">
        <w:t xml:space="preserve"> Position Paper</w:t>
      </w:r>
      <w:r w:rsidR="004C325D">
        <w:t xml:space="preserve">. </w:t>
      </w:r>
      <w:r w:rsidR="008C4406">
        <w:t>These</w:t>
      </w:r>
      <w:r w:rsidR="004B30AF">
        <w:t xml:space="preserve"> recommendations</w:t>
      </w:r>
      <w:r w:rsidR="008C4406">
        <w:t xml:space="preserve"> can be readily implemented at a scale that is sufficient to enable equitable access to patients who have been referred for </w:t>
      </w:r>
      <w:r w:rsidR="000E3411" w:rsidRPr="00193D3A">
        <w:rPr>
          <w:bCs/>
          <w:vertAlign w:val="superscript"/>
        </w:rPr>
        <w:t>177</w:t>
      </w:r>
      <w:r w:rsidR="000E3411" w:rsidRPr="00193D3A">
        <w:rPr>
          <w:bCs/>
        </w:rPr>
        <w:t>Lutetium(</w:t>
      </w:r>
      <w:proofErr w:type="spellStart"/>
      <w:r w:rsidR="000E3411" w:rsidRPr="00193D3A">
        <w:rPr>
          <w:bCs/>
        </w:rPr>
        <w:t>nca</w:t>
      </w:r>
      <w:proofErr w:type="spellEnd"/>
      <w:r w:rsidR="000E3411" w:rsidRPr="00193D3A">
        <w:rPr>
          <w:bCs/>
        </w:rPr>
        <w:t>)</w:t>
      </w:r>
      <w:r w:rsidR="00DF6BA5">
        <w:rPr>
          <w:bCs/>
        </w:rPr>
        <w:t xml:space="preserve"> </w:t>
      </w:r>
      <w:proofErr w:type="spellStart"/>
      <w:r w:rsidR="000E3411" w:rsidRPr="00193D3A">
        <w:rPr>
          <w:bCs/>
        </w:rPr>
        <w:t>Octreotate</w:t>
      </w:r>
      <w:proofErr w:type="spellEnd"/>
      <w:r w:rsidR="008C4406">
        <w:t xml:space="preserve"> treatment.</w:t>
      </w:r>
    </w:p>
    <w:p w14:paraId="31D4A116" w14:textId="1E07614B" w:rsidR="00C765DD" w:rsidRDefault="00B85069" w:rsidP="00E357B9">
      <w:pPr>
        <w:ind w:left="426"/>
      </w:pPr>
      <w:r>
        <w:t xml:space="preserve">Restricting Medicare funding for </w:t>
      </w:r>
      <w:r w:rsidR="00943E95" w:rsidRPr="00193D3A">
        <w:rPr>
          <w:bCs/>
          <w:vertAlign w:val="superscript"/>
        </w:rPr>
        <w:t>177</w:t>
      </w:r>
      <w:r w:rsidR="00943E95" w:rsidRPr="00193D3A">
        <w:rPr>
          <w:bCs/>
        </w:rPr>
        <w:t>Lutetium(</w:t>
      </w:r>
      <w:proofErr w:type="spellStart"/>
      <w:r w:rsidR="00943E95" w:rsidRPr="00193D3A">
        <w:rPr>
          <w:bCs/>
        </w:rPr>
        <w:t>nca</w:t>
      </w:r>
      <w:proofErr w:type="spellEnd"/>
      <w:r w:rsidR="00943E95" w:rsidRPr="00193D3A">
        <w:rPr>
          <w:bCs/>
        </w:rPr>
        <w:t xml:space="preserve">) </w:t>
      </w:r>
      <w:proofErr w:type="spellStart"/>
      <w:r w:rsidR="00943E95" w:rsidRPr="00193D3A">
        <w:rPr>
          <w:bCs/>
        </w:rPr>
        <w:t>Octreotate</w:t>
      </w:r>
      <w:proofErr w:type="spellEnd"/>
      <w:r w:rsidR="00943E95">
        <w:t xml:space="preserve"> </w:t>
      </w:r>
      <w:r>
        <w:t xml:space="preserve">administration to </w:t>
      </w:r>
      <w:r w:rsidR="00943E95">
        <w:t xml:space="preserve">appropriately credentialled facilities and </w:t>
      </w:r>
      <w:proofErr w:type="spellStart"/>
      <w:r w:rsidR="00943E95">
        <w:t>theranostic</w:t>
      </w:r>
      <w:proofErr w:type="spellEnd"/>
      <w:r w:rsidR="00943E95">
        <w:t xml:space="preserve"> specialists</w:t>
      </w:r>
      <w:r w:rsidR="0042140F">
        <w:t>,</w:t>
      </w:r>
      <w:r>
        <w:t xml:space="preserve"> as proposed</w:t>
      </w:r>
      <w:r w:rsidR="0042140F">
        <w:t>,</w:t>
      </w:r>
      <w:r>
        <w:t xml:space="preserve"> </w:t>
      </w:r>
      <w:r w:rsidR="00C765DD">
        <w:t xml:space="preserve">will necessarily involve some limitation to </w:t>
      </w:r>
      <w:r>
        <w:t xml:space="preserve">patient access and increase the travel and dislocation burden </w:t>
      </w:r>
      <w:r w:rsidR="008C4406">
        <w:t xml:space="preserve">particularly </w:t>
      </w:r>
      <w:r>
        <w:t xml:space="preserve">for patients in regional and rural areas. </w:t>
      </w:r>
      <w:r w:rsidR="00C5746A">
        <w:t>However,</w:t>
      </w:r>
      <w:r w:rsidR="000F6A24">
        <w:t xml:space="preserve"> </w:t>
      </w:r>
      <w:r w:rsidR="00C765DD">
        <w:t>the applicants consider that</w:t>
      </w:r>
      <w:r w:rsidR="000F6A24">
        <w:t xml:space="preserve"> the disad</w:t>
      </w:r>
      <w:r w:rsidR="001D04E5">
        <w:t>vantage</w:t>
      </w:r>
      <w:r w:rsidR="00AD4B4C">
        <w:t>s</w:t>
      </w:r>
      <w:r w:rsidR="001D04E5">
        <w:t xml:space="preserve"> of </w:t>
      </w:r>
      <w:r w:rsidR="00AD4B4C">
        <w:t>limiting</w:t>
      </w:r>
      <w:r w:rsidR="001D04E5">
        <w:t xml:space="preserve"> </w:t>
      </w:r>
      <w:r w:rsidR="00A01299" w:rsidRPr="00193D3A">
        <w:rPr>
          <w:bCs/>
          <w:vertAlign w:val="superscript"/>
        </w:rPr>
        <w:t>177</w:t>
      </w:r>
      <w:r w:rsidR="00A01299" w:rsidRPr="00193D3A">
        <w:rPr>
          <w:bCs/>
        </w:rPr>
        <w:t>Lutetium(</w:t>
      </w:r>
      <w:proofErr w:type="spellStart"/>
      <w:r w:rsidR="00A01299" w:rsidRPr="00193D3A">
        <w:rPr>
          <w:bCs/>
        </w:rPr>
        <w:t>nca</w:t>
      </w:r>
      <w:proofErr w:type="spellEnd"/>
      <w:r w:rsidR="00A01299" w:rsidRPr="00193D3A">
        <w:rPr>
          <w:bCs/>
        </w:rPr>
        <w:t xml:space="preserve">) </w:t>
      </w:r>
      <w:proofErr w:type="spellStart"/>
      <w:r w:rsidR="00A01299" w:rsidRPr="00193D3A">
        <w:rPr>
          <w:bCs/>
        </w:rPr>
        <w:t>Octreotate</w:t>
      </w:r>
      <w:proofErr w:type="spellEnd"/>
      <w:r w:rsidR="00A01299">
        <w:t xml:space="preserve"> </w:t>
      </w:r>
      <w:r w:rsidR="00AD4B4C">
        <w:t xml:space="preserve">administration </w:t>
      </w:r>
      <w:r w:rsidR="00A01299">
        <w:t>as specified in this application</w:t>
      </w:r>
      <w:r w:rsidR="001D04E5">
        <w:t xml:space="preserve"> is more than </w:t>
      </w:r>
      <w:r w:rsidR="00AD4B4C">
        <w:t>compensated for</w:t>
      </w:r>
      <w:r w:rsidR="001D04E5">
        <w:t xml:space="preserve"> by the</w:t>
      </w:r>
      <w:r w:rsidR="00C765DD">
        <w:t xml:space="preserve"> </w:t>
      </w:r>
      <w:r w:rsidR="00D00939">
        <w:t xml:space="preserve">benefit patients </w:t>
      </w:r>
      <w:r w:rsidR="001D04E5">
        <w:t>de</w:t>
      </w:r>
      <w:r>
        <w:t>r</w:t>
      </w:r>
      <w:r w:rsidR="001D04E5">
        <w:t>ive from</w:t>
      </w:r>
      <w:r w:rsidR="00D00939">
        <w:t xml:space="preserve"> </w:t>
      </w:r>
      <w:r w:rsidR="001D04E5">
        <w:t>a service delivery model that maximises quality of care</w:t>
      </w:r>
      <w:r w:rsidR="00D00939">
        <w:t>.</w:t>
      </w:r>
    </w:p>
    <w:p w14:paraId="3ACD90DC" w14:textId="170128B2" w:rsidR="00D00939" w:rsidRDefault="00D00939" w:rsidP="00E357B9">
      <w:pPr>
        <w:ind w:left="426"/>
      </w:pPr>
      <w:r>
        <w:t xml:space="preserve">The therapeutic is </w:t>
      </w:r>
      <w:r w:rsidR="0042140F">
        <w:t xml:space="preserve">a sterile </w:t>
      </w:r>
      <w:r>
        <w:t xml:space="preserve">radioactive </w:t>
      </w:r>
      <w:r w:rsidR="004C325D">
        <w:t>therapeutic product with</w:t>
      </w:r>
      <w:r w:rsidR="008C4406">
        <w:t xml:space="preserve"> </w:t>
      </w:r>
      <w:r w:rsidR="004C325D">
        <w:t>a</w:t>
      </w:r>
      <w:r>
        <w:t xml:space="preserve"> </w:t>
      </w:r>
      <w:r w:rsidR="0042140F">
        <w:t>4-</w:t>
      </w:r>
      <w:r>
        <w:t>day</w:t>
      </w:r>
      <w:r w:rsidR="004C325D">
        <w:t xml:space="preserve"> expiry from the time of</w:t>
      </w:r>
      <w:r>
        <w:t xml:space="preserve"> </w:t>
      </w:r>
      <w:r w:rsidR="004C325D">
        <w:t>manufacture</w:t>
      </w:r>
      <w:r>
        <w:t xml:space="preserve">. This </w:t>
      </w:r>
      <w:r w:rsidR="004C325D">
        <w:t xml:space="preserve">product </w:t>
      </w:r>
      <w:r>
        <w:t xml:space="preserve">characteristic </w:t>
      </w:r>
      <w:r w:rsidR="004C325D">
        <w:t>will not materially</w:t>
      </w:r>
      <w:r w:rsidR="001D04E5">
        <w:t xml:space="preserve"> </w:t>
      </w:r>
      <w:r w:rsidR="004C325D">
        <w:t>limit the</w:t>
      </w:r>
      <w:r>
        <w:t xml:space="preserve"> availability of </w:t>
      </w:r>
      <w:r w:rsidR="000D5131" w:rsidRPr="00193D3A">
        <w:rPr>
          <w:bCs/>
          <w:vertAlign w:val="superscript"/>
        </w:rPr>
        <w:t>177</w:t>
      </w:r>
      <w:r w:rsidR="000D5131" w:rsidRPr="00193D3A">
        <w:rPr>
          <w:bCs/>
        </w:rPr>
        <w:t>Lutetium(</w:t>
      </w:r>
      <w:proofErr w:type="spellStart"/>
      <w:r w:rsidR="000D5131" w:rsidRPr="00193D3A">
        <w:rPr>
          <w:bCs/>
        </w:rPr>
        <w:t>nca</w:t>
      </w:r>
      <w:proofErr w:type="spellEnd"/>
      <w:r w:rsidR="000D5131" w:rsidRPr="00193D3A">
        <w:rPr>
          <w:bCs/>
        </w:rPr>
        <w:t xml:space="preserve">) </w:t>
      </w:r>
      <w:proofErr w:type="spellStart"/>
      <w:r w:rsidR="000D5131" w:rsidRPr="00193D3A">
        <w:rPr>
          <w:bCs/>
        </w:rPr>
        <w:t>Octreotate</w:t>
      </w:r>
      <w:proofErr w:type="spellEnd"/>
      <w:r w:rsidR="000D5131">
        <w:t xml:space="preserve"> </w:t>
      </w:r>
      <w:r w:rsidR="004C325D">
        <w:t>treatment throughout Australia as the sponsors have well established logistics</w:t>
      </w:r>
      <w:r w:rsidR="001D04E5">
        <w:t xml:space="preserve"> </w:t>
      </w:r>
      <w:r w:rsidR="004C325D">
        <w:t>capability.</w:t>
      </w:r>
    </w:p>
    <w:p w14:paraId="1064D941" w14:textId="043E254C" w:rsidR="00917DD5" w:rsidRDefault="00263920" w:rsidP="00040EA9">
      <w:pPr>
        <w:ind w:left="426"/>
      </w:pP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sidR="00917DD5">
        <w:t xml:space="preserve"> treatment after MDT referral will commonly be undertaken by an induction cycle of 4</w:t>
      </w:r>
      <w:r w:rsidR="0042140F">
        <w:t>-5</w:t>
      </w:r>
      <w:r w:rsidR="00917DD5">
        <w:t xml:space="preserve"> infusions at 6-</w:t>
      </w:r>
      <w:r w:rsidR="0042140F">
        <w:t xml:space="preserve">12 but typically 8-weekly </w:t>
      </w:r>
      <w:r w:rsidR="00917DD5">
        <w:t xml:space="preserve">intervals and a post treatment review 3 months later. </w:t>
      </w:r>
    </w:p>
    <w:p w14:paraId="73D11858" w14:textId="3442B6BF" w:rsidR="00917DD5" w:rsidRDefault="00917DD5" w:rsidP="00E357B9">
      <w:pPr>
        <w:ind w:left="426"/>
      </w:pPr>
      <w:r>
        <w:t xml:space="preserve">Further treatment with </w:t>
      </w:r>
      <w:r w:rsidR="00263920" w:rsidRPr="00193D3A">
        <w:rPr>
          <w:bCs/>
          <w:vertAlign w:val="superscript"/>
        </w:rPr>
        <w:t>177</w:t>
      </w:r>
      <w:r w:rsidR="00263920" w:rsidRPr="00193D3A">
        <w:rPr>
          <w:bCs/>
        </w:rPr>
        <w:t>Lutetium(</w:t>
      </w:r>
      <w:proofErr w:type="spellStart"/>
      <w:r w:rsidR="00263920" w:rsidRPr="00193D3A">
        <w:rPr>
          <w:bCs/>
        </w:rPr>
        <w:t>nca</w:t>
      </w:r>
      <w:proofErr w:type="spellEnd"/>
      <w:r w:rsidR="00263920" w:rsidRPr="00193D3A">
        <w:rPr>
          <w:bCs/>
        </w:rPr>
        <w:t xml:space="preserve">) </w:t>
      </w:r>
      <w:proofErr w:type="spellStart"/>
      <w:r w:rsidR="00263920" w:rsidRPr="00193D3A">
        <w:rPr>
          <w:bCs/>
        </w:rPr>
        <w:t>Octreotate</w:t>
      </w:r>
      <w:proofErr w:type="spellEnd"/>
      <w:r>
        <w:t xml:space="preserve"> may be instituted upon documentation of progression where the individual </w:t>
      </w:r>
      <w:r w:rsidR="000F0C82">
        <w:t xml:space="preserve">is willing to undergo further active treatment, </w:t>
      </w:r>
      <w:r w:rsidR="00263920">
        <w:t xml:space="preserve">has </w:t>
      </w:r>
      <w:r>
        <w:t>had a favourable response to</w:t>
      </w:r>
      <w:r w:rsidR="000F0C82">
        <w:t xml:space="preserve"> </w:t>
      </w:r>
      <w:r>
        <w:t xml:space="preserve">the induction treatment </w:t>
      </w:r>
      <w:r w:rsidR="0042140F">
        <w:t xml:space="preserve">course </w:t>
      </w:r>
      <w:r w:rsidR="000F0C82">
        <w:t xml:space="preserve">with no or clinically acceptable </w:t>
      </w:r>
      <w:r w:rsidR="0042140F">
        <w:t>and s</w:t>
      </w:r>
      <w:r w:rsidR="00263920">
        <w:t>el</w:t>
      </w:r>
      <w:r w:rsidR="0042140F">
        <w:t xml:space="preserve">f-limiting </w:t>
      </w:r>
      <w:r w:rsidR="000F0C82">
        <w:t>side-effects and has suitable tumour characteristics demonstrated on SS</w:t>
      </w:r>
      <w:r w:rsidR="0042140F">
        <w:t xml:space="preserve">TR </w:t>
      </w:r>
      <w:r w:rsidR="000F0C82">
        <w:t xml:space="preserve">imaging with or without FDG PET/CT imaging. Usually repeat </w:t>
      </w:r>
      <w:r w:rsidR="00263920" w:rsidRPr="00193D3A">
        <w:rPr>
          <w:bCs/>
          <w:vertAlign w:val="superscript"/>
        </w:rPr>
        <w:t>177</w:t>
      </w:r>
      <w:r w:rsidR="00263920" w:rsidRPr="00193D3A">
        <w:rPr>
          <w:bCs/>
        </w:rPr>
        <w:t>Lutetium(</w:t>
      </w:r>
      <w:proofErr w:type="spellStart"/>
      <w:r w:rsidR="00263920" w:rsidRPr="00193D3A">
        <w:rPr>
          <w:bCs/>
        </w:rPr>
        <w:t>nca</w:t>
      </w:r>
      <w:proofErr w:type="spellEnd"/>
      <w:r w:rsidR="00263920" w:rsidRPr="00193D3A">
        <w:rPr>
          <w:bCs/>
        </w:rPr>
        <w:t xml:space="preserve">) </w:t>
      </w:r>
      <w:proofErr w:type="spellStart"/>
      <w:r w:rsidR="00263920" w:rsidRPr="00193D3A">
        <w:rPr>
          <w:bCs/>
        </w:rPr>
        <w:t>Octreotate</w:t>
      </w:r>
      <w:proofErr w:type="spellEnd"/>
      <w:r w:rsidR="000F0C82">
        <w:t xml:space="preserve"> treatments involve 2 administrations undertaken in the same manner as described for the induction cycle. SPECT/CT imaging is </w:t>
      </w:r>
      <w:r w:rsidR="00263920">
        <w:t xml:space="preserve">not necessarily </w:t>
      </w:r>
      <w:r w:rsidR="000F0C82">
        <w:t xml:space="preserve">required after the </w:t>
      </w:r>
      <w:r w:rsidR="00263920">
        <w:t xml:space="preserve">repeat </w:t>
      </w:r>
      <w:r w:rsidR="00263920" w:rsidRPr="00193D3A">
        <w:rPr>
          <w:bCs/>
          <w:vertAlign w:val="superscript"/>
        </w:rPr>
        <w:t>177</w:t>
      </w:r>
      <w:r w:rsidR="00263920" w:rsidRPr="00193D3A">
        <w:rPr>
          <w:bCs/>
        </w:rPr>
        <w:t>Lutetium(</w:t>
      </w:r>
      <w:proofErr w:type="spellStart"/>
      <w:r w:rsidR="00263920" w:rsidRPr="00193D3A">
        <w:rPr>
          <w:bCs/>
        </w:rPr>
        <w:t>nca</w:t>
      </w:r>
      <w:proofErr w:type="spellEnd"/>
      <w:r w:rsidR="00263920" w:rsidRPr="00193D3A">
        <w:rPr>
          <w:bCs/>
        </w:rPr>
        <w:t xml:space="preserve">) </w:t>
      </w:r>
      <w:proofErr w:type="spellStart"/>
      <w:r w:rsidR="00263920" w:rsidRPr="00193D3A">
        <w:rPr>
          <w:bCs/>
        </w:rPr>
        <w:t>Octreotate</w:t>
      </w:r>
      <w:proofErr w:type="spellEnd"/>
      <w:r w:rsidR="00263920">
        <w:t xml:space="preserve"> treatment</w:t>
      </w:r>
      <w:r w:rsidR="000F0C82">
        <w:t xml:space="preserve"> </w:t>
      </w:r>
      <w:r w:rsidR="00263920">
        <w:t>however other in treatment and between treatment assessments</w:t>
      </w:r>
      <w:r w:rsidR="000F0C82">
        <w:t xml:space="preserve"> </w:t>
      </w:r>
      <w:r w:rsidR="00263920">
        <w:t xml:space="preserve">follows the induction cycle program with an identical </w:t>
      </w:r>
      <w:r w:rsidR="000F0C82">
        <w:t xml:space="preserve">3 month </w:t>
      </w:r>
      <w:r w:rsidR="006116A2">
        <w:t>follow schedule.</w:t>
      </w:r>
    </w:p>
    <w:p w14:paraId="10F03EDA" w14:textId="16FA3EB2" w:rsidR="006116A2" w:rsidRDefault="006116A2" w:rsidP="00E357B9">
      <w:pPr>
        <w:ind w:left="426"/>
      </w:pPr>
      <w:r>
        <w:t>Repeat treatment</w:t>
      </w:r>
      <w:r w:rsidR="000E700B">
        <w:t>s</w:t>
      </w:r>
      <w:r>
        <w:t xml:space="preserve"> </w:t>
      </w:r>
      <w:r w:rsidR="000E700B">
        <w:t>at documented</w:t>
      </w:r>
      <w:r>
        <w:t xml:space="preserve"> progression can </w:t>
      </w:r>
      <w:r w:rsidR="000E700B">
        <w:t xml:space="preserve">be undertaken </w:t>
      </w:r>
      <w:r>
        <w:t xml:space="preserve">occur until response failure </w:t>
      </w:r>
      <w:r w:rsidR="000E700B">
        <w:t xml:space="preserve">is documented, </w:t>
      </w:r>
      <w:r>
        <w:t xml:space="preserve">unacceptable toxicity </w:t>
      </w:r>
      <w:proofErr w:type="gramStart"/>
      <w:r>
        <w:t>occurs</w:t>
      </w:r>
      <w:proofErr w:type="gramEnd"/>
      <w:r>
        <w:t xml:space="preserve"> or alternative treatments offer the prospect of superior patient important outcomes.</w:t>
      </w:r>
    </w:p>
    <w:p w14:paraId="6D04D52A" w14:textId="429E153B" w:rsidR="006116A2" w:rsidRDefault="006116A2" w:rsidP="00E357B9">
      <w:pPr>
        <w:ind w:left="426"/>
      </w:pPr>
      <w:r>
        <w:t xml:space="preserve">The frequency of repeat </w:t>
      </w:r>
      <w:r w:rsidR="00F714EC" w:rsidRPr="00193D3A">
        <w:rPr>
          <w:bCs/>
          <w:vertAlign w:val="superscript"/>
        </w:rPr>
        <w:t>177</w:t>
      </w:r>
      <w:r w:rsidR="00F714EC" w:rsidRPr="00193D3A">
        <w:rPr>
          <w:bCs/>
        </w:rPr>
        <w:t>Lutetium(</w:t>
      </w:r>
      <w:proofErr w:type="spellStart"/>
      <w:r w:rsidR="00F714EC" w:rsidRPr="00193D3A">
        <w:rPr>
          <w:bCs/>
        </w:rPr>
        <w:t>nca</w:t>
      </w:r>
      <w:proofErr w:type="spellEnd"/>
      <w:r w:rsidR="00F714EC" w:rsidRPr="00193D3A">
        <w:rPr>
          <w:bCs/>
        </w:rPr>
        <w:t xml:space="preserve">) </w:t>
      </w:r>
      <w:proofErr w:type="spellStart"/>
      <w:r w:rsidR="00F714EC" w:rsidRPr="00193D3A">
        <w:rPr>
          <w:bCs/>
        </w:rPr>
        <w:t>Octreotate</w:t>
      </w:r>
      <w:proofErr w:type="spellEnd"/>
      <w:r>
        <w:t xml:space="preserve"> treatment is </w:t>
      </w:r>
      <w:r w:rsidR="000E700B">
        <w:t xml:space="preserve">necessarily highly variable but will be appropriately limited to achieve optimal outcomes when MDT referral is a mandatory requirement. </w:t>
      </w:r>
    </w:p>
    <w:p w14:paraId="5C9EB833" w14:textId="57ECA3F7" w:rsidR="006116A2" w:rsidRDefault="006116A2" w:rsidP="00E357B9">
      <w:pPr>
        <w:ind w:left="426"/>
      </w:pPr>
      <w:r>
        <w:t xml:space="preserve">In some patients a </w:t>
      </w:r>
      <w:proofErr w:type="gramStart"/>
      <w:r>
        <w:t>2 administration</w:t>
      </w:r>
      <w:proofErr w:type="gramEnd"/>
      <w:r>
        <w:t xml:space="preserve"> consolidation course of </w:t>
      </w:r>
      <w:r w:rsidR="00F714EC" w:rsidRPr="00193D3A">
        <w:rPr>
          <w:bCs/>
          <w:vertAlign w:val="superscript"/>
        </w:rPr>
        <w:t>177</w:t>
      </w:r>
      <w:r w:rsidR="00F714EC" w:rsidRPr="00193D3A">
        <w:rPr>
          <w:bCs/>
        </w:rPr>
        <w:t>Lutetium(</w:t>
      </w:r>
      <w:proofErr w:type="spellStart"/>
      <w:r w:rsidR="00F714EC" w:rsidRPr="00193D3A">
        <w:rPr>
          <w:bCs/>
        </w:rPr>
        <w:t>nca</w:t>
      </w:r>
      <w:proofErr w:type="spellEnd"/>
      <w:r w:rsidR="00F714EC" w:rsidRPr="00193D3A">
        <w:rPr>
          <w:bCs/>
        </w:rPr>
        <w:t xml:space="preserve">) </w:t>
      </w:r>
      <w:proofErr w:type="spellStart"/>
      <w:r w:rsidR="00F714EC" w:rsidRPr="00193D3A">
        <w:rPr>
          <w:bCs/>
        </w:rPr>
        <w:t>Octreotate</w:t>
      </w:r>
      <w:proofErr w:type="spellEnd"/>
      <w:r>
        <w:t xml:space="preserve"> treatment may be instituted in patients where no progression is evident</w:t>
      </w:r>
      <w:r w:rsidR="000E700B">
        <w:t xml:space="preserve"> but re-treatment is </w:t>
      </w:r>
      <w:r w:rsidR="00143BB3">
        <w:t>likely to delay progression</w:t>
      </w:r>
      <w:r w:rsidR="005645FE">
        <w:t>, for example in higher grade (G3) NET with rising tumour markers</w:t>
      </w:r>
      <w:r w:rsidR="00143BB3">
        <w:t xml:space="preserve">. The requirement for MDT referral for consolidation treatment with </w:t>
      </w:r>
      <w:r w:rsidR="00F714EC" w:rsidRPr="00193D3A">
        <w:rPr>
          <w:bCs/>
          <w:vertAlign w:val="superscript"/>
        </w:rPr>
        <w:t>177</w:t>
      </w:r>
      <w:r w:rsidR="00F714EC" w:rsidRPr="00193D3A">
        <w:rPr>
          <w:bCs/>
        </w:rPr>
        <w:t>Lutetium(</w:t>
      </w:r>
      <w:proofErr w:type="spellStart"/>
      <w:r w:rsidR="00F714EC" w:rsidRPr="00193D3A">
        <w:rPr>
          <w:bCs/>
        </w:rPr>
        <w:t>nca</w:t>
      </w:r>
      <w:proofErr w:type="spellEnd"/>
      <w:r w:rsidR="00F714EC" w:rsidRPr="00193D3A">
        <w:rPr>
          <w:bCs/>
        </w:rPr>
        <w:t xml:space="preserve">) </w:t>
      </w:r>
      <w:proofErr w:type="spellStart"/>
      <w:r w:rsidR="00F714EC" w:rsidRPr="00193D3A">
        <w:rPr>
          <w:bCs/>
        </w:rPr>
        <w:t>Octreotate</w:t>
      </w:r>
      <w:proofErr w:type="spellEnd"/>
      <w:r w:rsidR="00F714EC">
        <w:t xml:space="preserve"> treatments</w:t>
      </w:r>
      <w:r w:rsidR="00143BB3">
        <w:t xml:space="preserve"> will appropriately limit access to the medical service to patients most likely to benefit. </w:t>
      </w:r>
    </w:p>
    <w:p w14:paraId="01B0B0C4" w14:textId="48EA2539" w:rsidR="00D00939" w:rsidRPr="00154B00" w:rsidRDefault="00D00939" w:rsidP="00E357B9">
      <w:pPr>
        <w:ind w:left="426"/>
        <w:rPr>
          <w:szCs w:val="20"/>
        </w:rPr>
      </w:pPr>
    </w:p>
    <w:p w14:paraId="29BC8EAC" w14:textId="77777777" w:rsidR="00791C8D" w:rsidRPr="003B398F" w:rsidRDefault="00791C8D" w:rsidP="00530204">
      <w:pPr>
        <w:pStyle w:val="Heading2"/>
        <w:rPr>
          <w:color w:val="000000" w:themeColor="text1"/>
        </w:rPr>
      </w:pPr>
      <w:r w:rsidRPr="003B398F">
        <w:rPr>
          <w:color w:val="000000" w:themeColor="text1"/>
        </w:rPr>
        <w:t xml:space="preserve">If applicable, identify any healthcare resources </w:t>
      </w:r>
      <w:r w:rsidR="007522E3" w:rsidRPr="003B398F">
        <w:rPr>
          <w:color w:val="000000" w:themeColor="text1"/>
        </w:rPr>
        <w:t xml:space="preserve">or other medical services </w:t>
      </w:r>
      <w:r w:rsidRPr="003B398F">
        <w:rPr>
          <w:color w:val="000000" w:themeColor="text1"/>
        </w:rPr>
        <w:t xml:space="preserve">that would need to be delivered </w:t>
      </w:r>
      <w:r w:rsidRPr="003B398F">
        <w:rPr>
          <w:color w:val="000000" w:themeColor="text1"/>
          <w:u w:val="single"/>
        </w:rPr>
        <w:t>at the same time</w:t>
      </w:r>
      <w:r w:rsidRPr="003B398F">
        <w:rPr>
          <w:color w:val="000000" w:themeColor="text1"/>
        </w:rPr>
        <w:t xml:space="preserve"> </w:t>
      </w:r>
      <w:r w:rsidR="00197D29" w:rsidRPr="003B398F">
        <w:rPr>
          <w:color w:val="000000" w:themeColor="text1"/>
        </w:rPr>
        <w:t>as the proposed medical service:</w:t>
      </w:r>
    </w:p>
    <w:p w14:paraId="41BA191A" w14:textId="3955F35A" w:rsidR="00791C8D" w:rsidRDefault="00D65FBA" w:rsidP="00884E69">
      <w:pPr>
        <w:ind w:left="426"/>
      </w:pPr>
      <w:r>
        <w:t xml:space="preserve">Administration of an amino acid infusion </w:t>
      </w:r>
      <w:r w:rsidR="005370BD">
        <w:t xml:space="preserve">is required </w:t>
      </w:r>
      <w:r>
        <w:t xml:space="preserve">to reduce uptake of the product in the kidneys immediately </w:t>
      </w:r>
      <w:r w:rsidR="005370BD">
        <w:t xml:space="preserve">prior to </w:t>
      </w:r>
      <w:r w:rsidR="00040EA9" w:rsidRPr="00193D3A">
        <w:rPr>
          <w:bCs/>
          <w:vertAlign w:val="superscript"/>
        </w:rPr>
        <w:t>177</w:t>
      </w:r>
      <w:r w:rsidR="00040EA9" w:rsidRPr="00193D3A">
        <w:rPr>
          <w:bCs/>
        </w:rPr>
        <w:t>Lutetium(</w:t>
      </w:r>
      <w:proofErr w:type="spellStart"/>
      <w:r w:rsidR="00040EA9" w:rsidRPr="00193D3A">
        <w:rPr>
          <w:bCs/>
        </w:rPr>
        <w:t>nca</w:t>
      </w:r>
      <w:proofErr w:type="spellEnd"/>
      <w:r w:rsidR="00040EA9" w:rsidRPr="00193D3A">
        <w:rPr>
          <w:bCs/>
        </w:rPr>
        <w:t xml:space="preserve">) </w:t>
      </w:r>
      <w:proofErr w:type="spellStart"/>
      <w:r w:rsidR="00040EA9" w:rsidRPr="00193D3A">
        <w:rPr>
          <w:bCs/>
        </w:rPr>
        <w:t>Octreotate</w:t>
      </w:r>
      <w:proofErr w:type="spellEnd"/>
      <w:r w:rsidR="005370BD">
        <w:t xml:space="preserve"> </w:t>
      </w:r>
      <w:r>
        <w:t>administration</w:t>
      </w:r>
      <w:r w:rsidR="005370BD">
        <w:t>.</w:t>
      </w:r>
    </w:p>
    <w:p w14:paraId="701C607C" w14:textId="046FBF6F" w:rsidR="00040EA9" w:rsidRDefault="005370BD" w:rsidP="00040EA9">
      <w:pPr>
        <w:ind w:left="426"/>
      </w:pPr>
      <w:r>
        <w:t xml:space="preserve">Attendance of healthcare professionals skilled in the administration of therapeutic radiopharmaceuticals and associated patient care requirements is </w:t>
      </w:r>
      <w:r w:rsidR="005645FE">
        <w:t>mandatory.</w:t>
      </w:r>
      <w:r w:rsidR="00040EA9">
        <w:t xml:space="preserve"> </w:t>
      </w:r>
      <w:r w:rsidR="00173F79">
        <w:t xml:space="preserve">A credentialled </w:t>
      </w:r>
      <w:proofErr w:type="spellStart"/>
      <w:r w:rsidR="00173F79">
        <w:t>theranostic</w:t>
      </w:r>
      <w:proofErr w:type="spellEnd"/>
      <w:r w:rsidR="00173F79">
        <w:t xml:space="preserve"> specialist </w:t>
      </w:r>
      <w:r>
        <w:t>should</w:t>
      </w:r>
      <w:r w:rsidR="00173F79">
        <w:t xml:space="preserve"> be </w:t>
      </w:r>
      <w:r>
        <w:t>available for consultation</w:t>
      </w:r>
      <w:r w:rsidR="00173F79">
        <w:t xml:space="preserve"> during the procedure and a nuclear medicine technologist and a registered nurse are generally required to conduct the therapeutic administration and evaluate the </w:t>
      </w:r>
      <w:r>
        <w:t>patient’s suitability for release from the administration facility</w:t>
      </w:r>
      <w:r w:rsidR="00040EA9">
        <w:t>.</w:t>
      </w:r>
    </w:p>
    <w:p w14:paraId="297995AC" w14:textId="77777777" w:rsidR="005645FE" w:rsidRPr="00154B00" w:rsidRDefault="005645FE" w:rsidP="00040EA9">
      <w:pPr>
        <w:ind w:left="426"/>
        <w:rPr>
          <w:szCs w:val="20"/>
        </w:rPr>
      </w:pPr>
    </w:p>
    <w:p w14:paraId="65516CA2" w14:textId="77777777" w:rsidR="00432D5F" w:rsidRDefault="00432D5F">
      <w:pPr>
        <w:spacing w:before="0" w:after="200" w:line="276" w:lineRule="auto"/>
        <w:rPr>
          <w:b/>
          <w:bCs/>
          <w:szCs w:val="20"/>
        </w:rPr>
      </w:pPr>
      <w:r>
        <w:rPr>
          <w:bCs/>
        </w:rPr>
        <w:br w:type="page"/>
      </w:r>
    </w:p>
    <w:p w14:paraId="1B61D244" w14:textId="6755E57A" w:rsidR="00B17E26" w:rsidRPr="004C2B1C" w:rsidRDefault="00B17E26" w:rsidP="004C2B1C">
      <w:pPr>
        <w:pStyle w:val="Heading2"/>
        <w:rPr>
          <w:bCs/>
        </w:rPr>
      </w:pPr>
      <w:r w:rsidRPr="004C2B1C">
        <w:rPr>
          <w:bCs/>
        </w:rPr>
        <w:lastRenderedPageBreak/>
        <w:t>If applicable, advise which health profession</w:t>
      </w:r>
      <w:r w:rsidR="00E4321E" w:rsidRPr="004C2B1C">
        <w:rPr>
          <w:bCs/>
        </w:rPr>
        <w:t xml:space="preserve">als </w:t>
      </w:r>
      <w:r w:rsidRPr="004C2B1C">
        <w:rPr>
          <w:bCs/>
        </w:rPr>
        <w:t>will</w:t>
      </w:r>
      <w:r w:rsidR="00E4321E" w:rsidRPr="004C2B1C">
        <w:rPr>
          <w:bCs/>
        </w:rPr>
        <w:t xml:space="preserve"> </w:t>
      </w:r>
      <w:r w:rsidR="007D2358" w:rsidRPr="004C2B1C">
        <w:rPr>
          <w:bCs/>
        </w:rPr>
        <w:t xml:space="preserve">primarily deliver the </w:t>
      </w:r>
      <w:r w:rsidR="00E4321E" w:rsidRPr="004C2B1C">
        <w:rPr>
          <w:bCs/>
        </w:rPr>
        <w:t xml:space="preserve">proposed </w:t>
      </w:r>
      <w:r w:rsidR="00AE1188" w:rsidRPr="004C2B1C">
        <w:rPr>
          <w:bCs/>
        </w:rPr>
        <w:t>service:</w:t>
      </w:r>
    </w:p>
    <w:p w14:paraId="423FE24A" w14:textId="7C469FE2" w:rsidR="00D65FBA" w:rsidRDefault="005370BD" w:rsidP="00D65FBA">
      <w:pPr>
        <w:ind w:left="426"/>
      </w:pPr>
      <w:r>
        <w:t xml:space="preserve">See above. </w:t>
      </w:r>
      <w:r w:rsidR="00040EA9" w:rsidRPr="00193D3A">
        <w:rPr>
          <w:bCs/>
          <w:vertAlign w:val="superscript"/>
        </w:rPr>
        <w:t>177</w:t>
      </w:r>
      <w:r w:rsidR="00040EA9" w:rsidRPr="00193D3A">
        <w:rPr>
          <w:bCs/>
        </w:rPr>
        <w:t>Lutetium(</w:t>
      </w:r>
      <w:proofErr w:type="spellStart"/>
      <w:r w:rsidR="00040EA9" w:rsidRPr="00193D3A">
        <w:rPr>
          <w:bCs/>
        </w:rPr>
        <w:t>nca</w:t>
      </w:r>
      <w:proofErr w:type="spellEnd"/>
      <w:r w:rsidR="00040EA9" w:rsidRPr="00193D3A">
        <w:rPr>
          <w:bCs/>
        </w:rPr>
        <w:t xml:space="preserve">) </w:t>
      </w:r>
      <w:proofErr w:type="spellStart"/>
      <w:r w:rsidR="00040EA9" w:rsidRPr="00193D3A">
        <w:rPr>
          <w:bCs/>
        </w:rPr>
        <w:t>Octreotate</w:t>
      </w:r>
      <w:proofErr w:type="spellEnd"/>
      <w:r w:rsidR="00040EA9" w:rsidDel="00040EA9">
        <w:t xml:space="preserve"> </w:t>
      </w:r>
      <w:r w:rsidR="00D65FBA">
        <w:t xml:space="preserve">administration requires </w:t>
      </w:r>
      <w:r>
        <w:t>the availability</w:t>
      </w:r>
      <w:r w:rsidR="00D65FBA">
        <w:t xml:space="preserve"> of a </w:t>
      </w:r>
      <w:proofErr w:type="spellStart"/>
      <w:r w:rsidR="00040EA9">
        <w:t>theranostic</w:t>
      </w:r>
      <w:proofErr w:type="spellEnd"/>
      <w:r w:rsidR="00040EA9">
        <w:t xml:space="preserve"> </w:t>
      </w:r>
      <w:r w:rsidR="00F87392">
        <w:t>specialists</w:t>
      </w:r>
      <w:r w:rsidR="00D65FBA">
        <w:t xml:space="preserve"> </w:t>
      </w:r>
      <w:r w:rsidR="00F87392">
        <w:t>appropriately credentialled for</w:t>
      </w:r>
      <w:r w:rsidR="00D65FBA">
        <w:t xml:space="preserve"> the administration of therapeutic radiopharmaceuticals, a nuclear medicine technologist and a trained nurse.</w:t>
      </w:r>
    </w:p>
    <w:p w14:paraId="3D67F425"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80DF38D" w14:textId="1E4B6333" w:rsidR="00B17E26" w:rsidRPr="00154B00" w:rsidRDefault="00D65FBA" w:rsidP="00884E69">
      <w:pPr>
        <w:ind w:left="426"/>
        <w:rPr>
          <w:szCs w:val="20"/>
        </w:rPr>
      </w:pPr>
      <w:r>
        <w:t>No</w:t>
      </w:r>
    </w:p>
    <w:p w14:paraId="2A454656"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3EA80A1D" w14:textId="0E8FB046" w:rsidR="00EA0E25" w:rsidRDefault="00F87392" w:rsidP="00BC424B">
      <w:pPr>
        <w:ind w:left="426"/>
      </w:pPr>
      <w:r>
        <w:t xml:space="preserve">The applicants propose that the service should only be delivered by </w:t>
      </w:r>
      <w:proofErr w:type="spellStart"/>
      <w:r w:rsidR="00040EA9">
        <w:t>theranostic</w:t>
      </w:r>
      <w:proofErr w:type="spellEnd"/>
      <w:r w:rsidR="00040EA9">
        <w:t xml:space="preserve"> </w:t>
      </w:r>
      <w:r>
        <w:t>specialists trained and appropriately credentialled for the administration of therapeutic radiopharmaceuticals.</w:t>
      </w:r>
      <w:r w:rsidR="007008A2">
        <w:t xml:space="preserve"> </w:t>
      </w:r>
    </w:p>
    <w:p w14:paraId="1E58BCF0" w14:textId="45170F7B" w:rsidR="00F87392" w:rsidRDefault="00F87392" w:rsidP="00BC424B">
      <w:pPr>
        <w:ind w:left="426"/>
      </w:pPr>
      <w:r>
        <w:t>The decision to deliver the service to individual patients should be a shared decision between the patien</w:t>
      </w:r>
      <w:r w:rsidR="007008A2">
        <w:t xml:space="preserve">t and </w:t>
      </w:r>
      <w:proofErr w:type="spellStart"/>
      <w:r w:rsidR="007008A2">
        <w:t>theran</w:t>
      </w:r>
      <w:r w:rsidR="004C2B1C">
        <w:t>os</w:t>
      </w:r>
      <w:r w:rsidR="007008A2">
        <w:t>tic</w:t>
      </w:r>
      <w:proofErr w:type="spellEnd"/>
      <w:r w:rsidR="007008A2">
        <w:t xml:space="preserve"> specialists </w:t>
      </w:r>
      <w:r>
        <w:t xml:space="preserve">following </w:t>
      </w:r>
      <w:r w:rsidR="00143BB3">
        <w:t xml:space="preserve">referral from </w:t>
      </w:r>
      <w:proofErr w:type="gramStart"/>
      <w:r w:rsidR="00143BB3">
        <w:t>a</w:t>
      </w:r>
      <w:proofErr w:type="gramEnd"/>
      <w:r>
        <w:t xml:space="preserve"> </w:t>
      </w:r>
      <w:r w:rsidR="00143BB3">
        <w:t>MDT</w:t>
      </w:r>
      <w:r>
        <w:t xml:space="preserve"> with specific </w:t>
      </w:r>
      <w:r w:rsidR="00C75BCE">
        <w:t>expertise in the management of NET patients and patients with related cancers demonstrating</w:t>
      </w:r>
      <w:r w:rsidR="00040EA9">
        <w:t xml:space="preserve"> H-SSTR</w:t>
      </w:r>
      <w:r w:rsidR="002F07B8">
        <w:t>.</w:t>
      </w:r>
    </w:p>
    <w:p w14:paraId="552FBE03" w14:textId="4769BBB2" w:rsidR="00F87392" w:rsidRPr="00154B00" w:rsidRDefault="00F87392" w:rsidP="00BC424B">
      <w:pPr>
        <w:ind w:left="426"/>
        <w:rPr>
          <w:szCs w:val="20"/>
        </w:rPr>
      </w:pPr>
      <w:r>
        <w:t xml:space="preserve">It is also proposed that the Medicare funded service should only be provided at </w:t>
      </w:r>
      <w:r w:rsidR="009C47DD">
        <w:t xml:space="preserve">appropriately equipped and qualified </w:t>
      </w:r>
      <w:proofErr w:type="spellStart"/>
      <w:r w:rsidR="009C47DD">
        <w:t>theranostic</w:t>
      </w:r>
      <w:proofErr w:type="spellEnd"/>
      <w:r w:rsidR="009C47DD">
        <w:t xml:space="preserve"> </w:t>
      </w:r>
      <w:r>
        <w:t xml:space="preserve">centres </w:t>
      </w:r>
      <w:r w:rsidR="009C47DD">
        <w:t xml:space="preserve">as detailed in the AANMS </w:t>
      </w:r>
      <w:proofErr w:type="spellStart"/>
      <w:r w:rsidR="009C47DD">
        <w:t>Theranostics</w:t>
      </w:r>
      <w:proofErr w:type="spellEnd"/>
      <w:r w:rsidR="009C47DD">
        <w:t xml:space="preserve"> Position Paper.</w:t>
      </w:r>
    </w:p>
    <w:p w14:paraId="4F98CF34"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451E179" w14:textId="6194A351" w:rsidR="00EA0E25" w:rsidRPr="00154B00" w:rsidRDefault="00DE4F70" w:rsidP="0073597B">
      <w:pPr>
        <w:ind w:left="426"/>
        <w:rPr>
          <w:szCs w:val="20"/>
        </w:rPr>
      </w:pPr>
      <w:r>
        <w:t xml:space="preserve">The proposed service should only be supplied by </w:t>
      </w:r>
      <w:proofErr w:type="spellStart"/>
      <w:r w:rsidR="00040EA9">
        <w:t>theranostic</w:t>
      </w:r>
      <w:proofErr w:type="spellEnd"/>
      <w:r w:rsidR="00040EA9">
        <w:t xml:space="preserve"> specialists</w:t>
      </w:r>
      <w:r>
        <w:t xml:space="preserve"> who are trained and appropriately credentialled for the administration of therapeutic radiopharmaceuticals</w:t>
      </w:r>
      <w:r w:rsidR="00040EA9">
        <w:t xml:space="preserve">. The </w:t>
      </w:r>
      <w:r w:rsidR="009C47DD">
        <w:t xml:space="preserve">AANMS </w:t>
      </w:r>
      <w:proofErr w:type="spellStart"/>
      <w:r w:rsidR="009C47DD">
        <w:t>Theranostics</w:t>
      </w:r>
      <w:proofErr w:type="spellEnd"/>
      <w:r w:rsidR="009C47DD">
        <w:t xml:space="preserve"> Position Paper provides excellent guidance on optimal training of </w:t>
      </w:r>
      <w:proofErr w:type="spellStart"/>
      <w:r w:rsidR="009C47DD">
        <w:t>theranostic</w:t>
      </w:r>
      <w:proofErr w:type="spellEnd"/>
      <w:r w:rsidR="009C47DD">
        <w:t xml:space="preserve"> specialists.</w:t>
      </w:r>
    </w:p>
    <w:p w14:paraId="4443A1CB"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71A2C37B" w14:textId="3B743E45" w:rsidR="000A478F" w:rsidRDefault="00040EA9"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0A478F">
        <w:rPr>
          <w:szCs w:val="20"/>
        </w:rPr>
        <w:t xml:space="preserve"> </w:t>
      </w:r>
      <w:r w:rsidR="000A478F" w:rsidRPr="00BA72CC">
        <w:t>Inpatient private hospital</w:t>
      </w:r>
      <w:r w:rsidR="0079354C" w:rsidRPr="00BA72CC">
        <w:t xml:space="preserve"> (admitted patient)</w:t>
      </w:r>
    </w:p>
    <w:p w14:paraId="0C32449E" w14:textId="02BD728F" w:rsidR="000A478F" w:rsidRPr="00040EA9" w:rsidRDefault="00040EA9"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0A478F">
        <w:rPr>
          <w:szCs w:val="20"/>
        </w:rPr>
        <w:t xml:space="preserve"> </w:t>
      </w:r>
      <w:r w:rsidR="000A478F" w:rsidRPr="00BA72CC">
        <w:t>Inpatient public hospital</w:t>
      </w:r>
      <w:r w:rsidR="0079354C" w:rsidRPr="00BA72CC">
        <w:t xml:space="preserve"> (admitted patient)</w:t>
      </w:r>
    </w:p>
    <w:p w14:paraId="7F7F097B" w14:textId="38E076E5" w:rsidR="000A478F" w:rsidRPr="00040EA9" w:rsidRDefault="00040EA9"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0A478F" w:rsidRPr="00040EA9">
        <w:rPr>
          <w:szCs w:val="20"/>
        </w:rPr>
        <w:t xml:space="preserve"> </w:t>
      </w:r>
      <w:r w:rsidR="003904AC" w:rsidRPr="00BA72CC">
        <w:rPr>
          <w:szCs w:val="20"/>
        </w:rPr>
        <w:t>Private o</w:t>
      </w:r>
      <w:r w:rsidR="000A478F" w:rsidRPr="00BA72CC">
        <w:t>utpatient clinic</w:t>
      </w:r>
    </w:p>
    <w:p w14:paraId="479BBAB4" w14:textId="66915908" w:rsidR="0079354C" w:rsidRDefault="00040EA9"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79354C" w:rsidRPr="00040EA9">
        <w:rPr>
          <w:szCs w:val="20"/>
        </w:rPr>
        <w:t xml:space="preserve"> </w:t>
      </w:r>
      <w:r w:rsidR="0079354C" w:rsidRPr="00BA72CC">
        <w:rPr>
          <w:szCs w:val="20"/>
        </w:rPr>
        <w:t>Public outpatient clinic</w:t>
      </w:r>
    </w:p>
    <w:p w14:paraId="3C56718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w:t>
      </w:r>
      <w:r>
        <w:t>Emergency Department</w:t>
      </w:r>
    </w:p>
    <w:p w14:paraId="5B4DC4E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51876D44"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Private consulting rooms – specialist</w:t>
      </w:r>
    </w:p>
    <w:p w14:paraId="5377AF0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Private consulting rooms – other health practitioner (nurse or allied health)</w:t>
      </w:r>
    </w:p>
    <w:p w14:paraId="3181A96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564BDD48"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Private day surgery clinic (non-admitted patient)</w:t>
      </w:r>
    </w:p>
    <w:p w14:paraId="3774F457"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Public day surgery clinic (admitted patient)</w:t>
      </w:r>
    </w:p>
    <w:p w14:paraId="1CCE77A3"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Public day surgery clinic (non-admitted patient)</w:t>
      </w:r>
    </w:p>
    <w:p w14:paraId="37D06D6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w:t>
      </w:r>
      <w:r>
        <w:t>Residential aged care facility</w:t>
      </w:r>
    </w:p>
    <w:p w14:paraId="5200C87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w:t>
      </w:r>
      <w:r>
        <w:t>Patient’s home</w:t>
      </w:r>
    </w:p>
    <w:p w14:paraId="0316D60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w:t>
      </w:r>
      <w:r>
        <w:t>Laboratory</w:t>
      </w:r>
    </w:p>
    <w:p w14:paraId="1E1E3DEA"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4292D">
        <w:rPr>
          <w:szCs w:val="20"/>
        </w:rPr>
      </w:r>
      <w:r w:rsidR="0034292D">
        <w:rPr>
          <w:szCs w:val="20"/>
        </w:rPr>
        <w:fldChar w:fldCharType="separate"/>
      </w:r>
      <w:r w:rsidRPr="000A5B32">
        <w:rPr>
          <w:szCs w:val="20"/>
        </w:rPr>
        <w:fldChar w:fldCharType="end"/>
      </w:r>
      <w:r>
        <w:rPr>
          <w:szCs w:val="20"/>
        </w:rPr>
        <w:t xml:space="preserve"> </w:t>
      </w:r>
      <w:r>
        <w:t>Other – please specify below</w:t>
      </w:r>
    </w:p>
    <w:p w14:paraId="0E2A98CB"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3346948" w14:textId="420132F3" w:rsidR="0073597B" w:rsidRDefault="00DE4F70" w:rsidP="0073597B">
      <w:pPr>
        <w:ind w:left="426"/>
      </w:pPr>
      <w:r>
        <w:t xml:space="preserve">The applicants propose that private </w:t>
      </w:r>
      <w:r w:rsidR="00A053FB">
        <w:t xml:space="preserve">or </w:t>
      </w:r>
      <w:r>
        <w:t xml:space="preserve">public </w:t>
      </w:r>
      <w:r w:rsidR="00B10FB9">
        <w:t>organisations could satisfy the proposed centre of excellence requirements for Medicare funded service provision.</w:t>
      </w:r>
    </w:p>
    <w:p w14:paraId="4F3A669A" w14:textId="30E44C0A" w:rsidR="00B10FB9" w:rsidRDefault="00B10FB9" w:rsidP="0073597B">
      <w:pPr>
        <w:ind w:left="426"/>
      </w:pPr>
      <w:r>
        <w:t>Generally</w:t>
      </w:r>
      <w:r w:rsidR="00A053FB">
        <w:t>,</w:t>
      </w:r>
      <w:r>
        <w:t xml:space="preserve"> the service can be delivered to outpatients on a same day basis over period of 6-8 hours.</w:t>
      </w:r>
    </w:p>
    <w:p w14:paraId="65681C00" w14:textId="4EBFCF32" w:rsidR="00B10FB9" w:rsidRDefault="00B10FB9" w:rsidP="0073597B">
      <w:pPr>
        <w:ind w:left="426"/>
        <w:rPr>
          <w:b/>
          <w:szCs w:val="20"/>
        </w:rPr>
      </w:pPr>
      <w:r>
        <w:t xml:space="preserve">Rarely patients may require access to </w:t>
      </w:r>
      <w:r w:rsidR="00C75BCE">
        <w:t>inpatient</w:t>
      </w:r>
      <w:r>
        <w:t xml:space="preserve"> service </w:t>
      </w:r>
      <w:r w:rsidR="00C75BCE">
        <w:t xml:space="preserve">to enable safe management of hormone excess </w:t>
      </w:r>
      <w:r w:rsidR="00D305BE">
        <w:t xml:space="preserve">syndromes that are pre-existing or have a significant risk of being precipitated </w:t>
      </w:r>
      <w:proofErr w:type="gramStart"/>
      <w:r w:rsidR="00D305BE">
        <w:t>as a result of</w:t>
      </w:r>
      <w:proofErr w:type="gramEnd"/>
      <w:r w:rsidR="00D305BE">
        <w:t xml:space="preserve"> administration</w:t>
      </w:r>
      <w:r w:rsidR="00357E2B">
        <w:t>.</w:t>
      </w:r>
    </w:p>
    <w:p w14:paraId="3B2FBFE4" w14:textId="77777777" w:rsidR="00432D5F" w:rsidRDefault="00432D5F">
      <w:pPr>
        <w:spacing w:before="0" w:after="200" w:line="276" w:lineRule="auto"/>
        <w:rPr>
          <w:b/>
          <w:szCs w:val="20"/>
        </w:rPr>
      </w:pPr>
      <w:r>
        <w:br w:type="page"/>
      </w:r>
    </w:p>
    <w:p w14:paraId="5CB7B836" w14:textId="7FC17198" w:rsidR="003E30FB" w:rsidRDefault="003E30FB" w:rsidP="00530204">
      <w:pPr>
        <w:pStyle w:val="Heading2"/>
      </w:pPr>
      <w:r>
        <w:lastRenderedPageBreak/>
        <w:t xml:space="preserve">Is the </w:t>
      </w:r>
      <w:r w:rsidRPr="001B29A1">
        <w:t>proposed</w:t>
      </w:r>
      <w:r>
        <w:t xml:space="preserve"> medical service intended to be entirely rendered in Australia?</w:t>
      </w:r>
    </w:p>
    <w:p w14:paraId="0F22CD48" w14:textId="0F6A76D2" w:rsidR="000A478F" w:rsidRDefault="00FC6D02"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0A478F">
        <w:rPr>
          <w:szCs w:val="20"/>
        </w:rPr>
        <w:t xml:space="preserve"> </w:t>
      </w:r>
      <w:r w:rsidR="000A478F" w:rsidRPr="00BA72CC">
        <w:rPr>
          <w:szCs w:val="20"/>
        </w:rPr>
        <w:t>Yes</w:t>
      </w:r>
    </w:p>
    <w:p w14:paraId="7EE18D39" w14:textId="68640F38" w:rsidR="000A478F" w:rsidRPr="008F1188" w:rsidRDefault="000A478F" w:rsidP="008F118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No</w:t>
      </w:r>
      <w:r w:rsidR="00C4696B">
        <w:rPr>
          <w:szCs w:val="20"/>
        </w:rPr>
        <w:t xml:space="preserve"> </w:t>
      </w:r>
    </w:p>
    <w:p w14:paraId="2DF3C21D" w14:textId="77777777" w:rsidR="00E60529" w:rsidRPr="00881F93" w:rsidRDefault="005C3AE7" w:rsidP="008F1188">
      <w:pPr>
        <w:pStyle w:val="Subtitle"/>
        <w:ind w:left="0"/>
      </w:pPr>
      <w:r>
        <w:t xml:space="preserve">PART 6c – </w:t>
      </w:r>
      <w:r w:rsidR="00E60529" w:rsidRPr="00881F93">
        <w:t>INFORMATION ABOUT THE COMPARATOR</w:t>
      </w:r>
      <w:r w:rsidR="00A83EC6" w:rsidRPr="00881F93">
        <w:t>(S)</w:t>
      </w:r>
    </w:p>
    <w:p w14:paraId="7B6A967E" w14:textId="77777777" w:rsidR="00E60529" w:rsidRPr="00154B00" w:rsidRDefault="00A83EC6" w:rsidP="00530204">
      <w:pPr>
        <w:pStyle w:val="Heading2"/>
      </w:pPr>
      <w:r w:rsidRPr="00154B00">
        <w:t>Nominate the appropriate comparator(s) for the proposed medical service</w:t>
      </w:r>
      <w:r w:rsidR="00BF6497">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2D4AAF66" w14:textId="5BEC553E" w:rsidR="005E2BE2" w:rsidRDefault="0012430D" w:rsidP="001B29A1">
      <w:pPr>
        <w:ind w:left="426"/>
      </w:pPr>
      <w:r>
        <w:t xml:space="preserve">This question is not directly relevant to the current Australian healthcare environment given the </w:t>
      </w:r>
      <w:r w:rsidR="00BA119E">
        <w:t xml:space="preserve">long </w:t>
      </w:r>
      <w:r>
        <w:t xml:space="preserve">history of </w:t>
      </w:r>
      <w:r w:rsidR="00FC6D02" w:rsidRPr="00193D3A">
        <w:rPr>
          <w:bCs/>
          <w:vertAlign w:val="superscript"/>
        </w:rPr>
        <w:t>177</w:t>
      </w:r>
      <w:r w:rsidR="00FC6D02" w:rsidRPr="00193D3A">
        <w:rPr>
          <w:bCs/>
        </w:rPr>
        <w:t>Lutetium(</w:t>
      </w:r>
      <w:proofErr w:type="spellStart"/>
      <w:r w:rsidR="00FC6D02" w:rsidRPr="00193D3A">
        <w:rPr>
          <w:bCs/>
        </w:rPr>
        <w:t>nca</w:t>
      </w:r>
      <w:proofErr w:type="spellEnd"/>
      <w:r w:rsidR="00FC6D02" w:rsidRPr="00193D3A">
        <w:rPr>
          <w:bCs/>
        </w:rPr>
        <w:t xml:space="preserve">) </w:t>
      </w:r>
      <w:proofErr w:type="spellStart"/>
      <w:r w:rsidR="00FC6D02" w:rsidRPr="00193D3A">
        <w:rPr>
          <w:bCs/>
        </w:rPr>
        <w:t>Octreotate</w:t>
      </w:r>
      <w:proofErr w:type="spellEnd"/>
      <w:r>
        <w:t xml:space="preserve"> biosimilar use in Australia for patients with advanced NET and H</w:t>
      </w:r>
      <w:r w:rsidR="00BA119E">
        <w:t>-</w:t>
      </w:r>
      <w:r>
        <w:t>SS</w:t>
      </w:r>
      <w:r w:rsidR="00BA119E">
        <w:t>T</w:t>
      </w:r>
      <w:r>
        <w:t>R malignancies</w:t>
      </w:r>
      <w:r w:rsidR="0005740D">
        <w:t xml:space="preserve">. </w:t>
      </w:r>
      <w:r w:rsidR="00EF6A3E">
        <w:t>Despite the lack of Medicare funding experienced specialists</w:t>
      </w:r>
      <w:r w:rsidR="00E506BE">
        <w:t xml:space="preserve"> </w:t>
      </w:r>
      <w:r w:rsidR="00F93AC9">
        <w:t xml:space="preserve">have </w:t>
      </w:r>
      <w:r w:rsidR="00EF6A3E">
        <w:t xml:space="preserve">increasingly </w:t>
      </w:r>
      <w:r w:rsidR="00F93AC9">
        <w:t xml:space="preserve">referred </w:t>
      </w:r>
      <w:r w:rsidR="00EF6A3E">
        <w:t xml:space="preserve">these </w:t>
      </w:r>
      <w:r w:rsidR="00F93AC9">
        <w:t xml:space="preserve">patients for </w:t>
      </w:r>
      <w:r w:rsidR="00EF6A3E">
        <w:t xml:space="preserve">treatment with </w:t>
      </w:r>
      <w:r w:rsidR="00FC6D02" w:rsidRPr="00193D3A">
        <w:rPr>
          <w:bCs/>
          <w:vertAlign w:val="superscript"/>
        </w:rPr>
        <w:t>177</w:t>
      </w:r>
      <w:r w:rsidR="00FC6D02" w:rsidRPr="00193D3A">
        <w:rPr>
          <w:bCs/>
        </w:rPr>
        <w:t>Lutetium(</w:t>
      </w:r>
      <w:proofErr w:type="spellStart"/>
      <w:r w:rsidR="00FC6D02" w:rsidRPr="00193D3A">
        <w:rPr>
          <w:bCs/>
        </w:rPr>
        <w:t>nca</w:t>
      </w:r>
      <w:proofErr w:type="spellEnd"/>
      <w:r w:rsidR="00FC6D02" w:rsidRPr="00193D3A">
        <w:rPr>
          <w:bCs/>
        </w:rPr>
        <w:t xml:space="preserve">) </w:t>
      </w:r>
      <w:proofErr w:type="spellStart"/>
      <w:r w:rsidR="00FC6D02" w:rsidRPr="00193D3A">
        <w:rPr>
          <w:bCs/>
        </w:rPr>
        <w:t>Octreotate</w:t>
      </w:r>
      <w:proofErr w:type="spellEnd"/>
      <w:r w:rsidR="00F93AC9">
        <w:t xml:space="preserve"> biosimilar</w:t>
      </w:r>
      <w:r w:rsidR="00FC6D02">
        <w:t xml:space="preserve"> treatment</w:t>
      </w:r>
      <w:r w:rsidR="00F93AC9">
        <w:t xml:space="preserve"> </w:t>
      </w:r>
      <w:r w:rsidR="00EF6A3E">
        <w:t xml:space="preserve">when they judge that better treatment outcomes are likely. </w:t>
      </w:r>
    </w:p>
    <w:p w14:paraId="0339E121" w14:textId="61D005FD" w:rsidR="00050B63" w:rsidRDefault="00CD2D73" w:rsidP="00E26186">
      <w:pPr>
        <w:ind w:left="426"/>
      </w:pPr>
      <w:r>
        <w:t>Currently t</w:t>
      </w:r>
      <w:r w:rsidR="004C2308">
        <w:t xml:space="preserve">reatment with </w:t>
      </w:r>
      <w:r w:rsidR="00FC6D02" w:rsidRPr="00193D3A">
        <w:rPr>
          <w:bCs/>
          <w:vertAlign w:val="superscript"/>
        </w:rPr>
        <w:t>177</w:t>
      </w:r>
      <w:r w:rsidR="00FC6D02" w:rsidRPr="00193D3A">
        <w:rPr>
          <w:bCs/>
        </w:rPr>
        <w:t>Lutetium(</w:t>
      </w:r>
      <w:proofErr w:type="spellStart"/>
      <w:r w:rsidR="00FC6D02" w:rsidRPr="00193D3A">
        <w:rPr>
          <w:bCs/>
        </w:rPr>
        <w:t>nca</w:t>
      </w:r>
      <w:proofErr w:type="spellEnd"/>
      <w:r w:rsidR="00FC6D02" w:rsidRPr="00193D3A">
        <w:rPr>
          <w:bCs/>
        </w:rPr>
        <w:t xml:space="preserve">) </w:t>
      </w:r>
      <w:proofErr w:type="spellStart"/>
      <w:r w:rsidR="00FC6D02" w:rsidRPr="00193D3A">
        <w:rPr>
          <w:bCs/>
        </w:rPr>
        <w:t>Octreotate</w:t>
      </w:r>
      <w:proofErr w:type="spellEnd"/>
      <w:r w:rsidR="00FC6D02">
        <w:t xml:space="preserve"> </w:t>
      </w:r>
      <w:r w:rsidR="005E2BE2">
        <w:t>biosimilars</w:t>
      </w:r>
      <w:r w:rsidR="004C2308">
        <w:t xml:space="preserve"> is conducted at </w:t>
      </w:r>
      <w:r w:rsidR="005E2BE2">
        <w:t>several</w:t>
      </w:r>
      <w:r w:rsidR="004C2308">
        <w:t xml:space="preserve"> sites throughout Australia </w:t>
      </w:r>
      <w:r w:rsidR="005E2BE2">
        <w:t>including (</w:t>
      </w:r>
      <w:r w:rsidR="004C2308">
        <w:t>Melbourne/Sydney/Brisbane/Adelaide</w:t>
      </w:r>
      <w:r w:rsidR="005E2BE2">
        <w:t>/</w:t>
      </w:r>
      <w:r w:rsidR="004C2308">
        <w:t>Perth)</w:t>
      </w:r>
      <w:r w:rsidR="009E290D">
        <w:t xml:space="preserve">. </w:t>
      </w:r>
      <w:r w:rsidR="00FC6D02">
        <w:t>Treatment</w:t>
      </w:r>
      <w:r w:rsidR="00BA119E">
        <w:t xml:space="preserve"> using this agent was first delivered in 2005 at the Peter MacCallum Cancer Centre and soon after at Fremantle Hospital in Western Australia. The Peter MacCallum Cancer Centre and Royal North Shore Hospital in Sydney have been accredited by the European Neuroendocrine Tumour S</w:t>
      </w:r>
      <w:r w:rsidR="00BA72CC">
        <w:t>oc</w:t>
      </w:r>
      <w:r w:rsidR="00BA119E">
        <w:t xml:space="preserve">iety as Centres of Excellence. </w:t>
      </w:r>
      <w:r w:rsidR="00747D4E">
        <w:t xml:space="preserve">Funding for </w:t>
      </w:r>
      <w:r w:rsidR="00FC6D02" w:rsidRPr="00193D3A">
        <w:rPr>
          <w:bCs/>
          <w:vertAlign w:val="superscript"/>
        </w:rPr>
        <w:t>177</w:t>
      </w:r>
      <w:r w:rsidR="00FC6D02" w:rsidRPr="00193D3A">
        <w:rPr>
          <w:bCs/>
        </w:rPr>
        <w:t>Lutetium(</w:t>
      </w:r>
      <w:proofErr w:type="spellStart"/>
      <w:r w:rsidR="00FC6D02" w:rsidRPr="00193D3A">
        <w:rPr>
          <w:bCs/>
        </w:rPr>
        <w:t>nca</w:t>
      </w:r>
      <w:proofErr w:type="spellEnd"/>
      <w:r w:rsidR="00FC6D02" w:rsidRPr="00193D3A">
        <w:rPr>
          <w:bCs/>
        </w:rPr>
        <w:t xml:space="preserve">) </w:t>
      </w:r>
      <w:proofErr w:type="spellStart"/>
      <w:r w:rsidR="00FC6D02" w:rsidRPr="00193D3A">
        <w:rPr>
          <w:bCs/>
        </w:rPr>
        <w:t>Octreotate</w:t>
      </w:r>
      <w:proofErr w:type="spellEnd"/>
      <w:r w:rsidR="00FC6D02">
        <w:t xml:space="preserve"> treatment </w:t>
      </w:r>
      <w:r w:rsidR="00747D4E">
        <w:t>in Australia is currently only provided by patients or by State healthcare systems.</w:t>
      </w:r>
      <w:r w:rsidR="00BA119E">
        <w:t xml:space="preserve"> </w:t>
      </w:r>
    </w:p>
    <w:p w14:paraId="1EAA5956" w14:textId="50F4CEFD" w:rsidR="00E26186" w:rsidRPr="007767B0" w:rsidRDefault="009E290D" w:rsidP="00E26186">
      <w:pPr>
        <w:ind w:left="426"/>
      </w:pPr>
      <w:r>
        <w:t xml:space="preserve">The increasing </w:t>
      </w:r>
      <w:r w:rsidR="00F2206E">
        <w:t>utilisation</w:t>
      </w:r>
      <w:r>
        <w:t xml:space="preserve"> of </w:t>
      </w:r>
      <w:r w:rsidR="00FC6D02" w:rsidRPr="00193D3A">
        <w:rPr>
          <w:bCs/>
          <w:vertAlign w:val="superscript"/>
        </w:rPr>
        <w:t>177</w:t>
      </w:r>
      <w:r w:rsidR="00FC6D02" w:rsidRPr="00193D3A">
        <w:rPr>
          <w:bCs/>
        </w:rPr>
        <w:t>Lutetium(</w:t>
      </w:r>
      <w:proofErr w:type="spellStart"/>
      <w:r w:rsidR="00FC6D02" w:rsidRPr="00193D3A">
        <w:rPr>
          <w:bCs/>
        </w:rPr>
        <w:t>nca</w:t>
      </w:r>
      <w:proofErr w:type="spellEnd"/>
      <w:r w:rsidR="00FC6D02" w:rsidRPr="00193D3A">
        <w:rPr>
          <w:bCs/>
        </w:rPr>
        <w:t xml:space="preserve">) </w:t>
      </w:r>
      <w:proofErr w:type="spellStart"/>
      <w:r w:rsidR="00FC6D02" w:rsidRPr="00193D3A">
        <w:rPr>
          <w:bCs/>
        </w:rPr>
        <w:t>Octreotate</w:t>
      </w:r>
      <w:proofErr w:type="spellEnd"/>
      <w:r w:rsidR="00FC6D02">
        <w:t xml:space="preserve"> treatment </w:t>
      </w:r>
      <w:r>
        <w:t xml:space="preserve">and </w:t>
      </w:r>
      <w:r w:rsidR="0012430D">
        <w:t>commissioning of</w:t>
      </w:r>
      <w:r>
        <w:t xml:space="preserve"> </w:t>
      </w:r>
      <w:r w:rsidR="00CD2D73">
        <w:t xml:space="preserve">new </w:t>
      </w:r>
      <w:r>
        <w:t xml:space="preserve">treatment centres </w:t>
      </w:r>
      <w:r w:rsidR="0009062C">
        <w:t>throughout</w:t>
      </w:r>
      <w:r w:rsidR="00F2206E">
        <w:t xml:space="preserve"> Australia </w:t>
      </w:r>
      <w:r w:rsidR="0009062C">
        <w:t xml:space="preserve">has resulted </w:t>
      </w:r>
      <w:r w:rsidR="004051A5">
        <w:t xml:space="preserve">largely </w:t>
      </w:r>
      <w:r w:rsidR="0009062C">
        <w:t>from</w:t>
      </w:r>
      <w:r w:rsidR="004051A5">
        <w:t xml:space="preserve"> </w:t>
      </w:r>
      <w:r w:rsidR="00F2206E">
        <w:t>accumulat</w:t>
      </w:r>
      <w:r w:rsidR="00CD2D73">
        <w:t>ed</w:t>
      </w:r>
      <w:r w:rsidR="00F2206E">
        <w:t xml:space="preserve"> local experience</w:t>
      </w:r>
      <w:r>
        <w:t xml:space="preserve"> of </w:t>
      </w:r>
      <w:r w:rsidR="004051A5">
        <w:t xml:space="preserve">highly </w:t>
      </w:r>
      <w:r>
        <w:t xml:space="preserve">favourable </w:t>
      </w:r>
      <w:r w:rsidR="004051A5">
        <w:t xml:space="preserve">patient outcomes from selective implementation of </w:t>
      </w:r>
      <w:r w:rsidR="00FC6D02">
        <w:t xml:space="preserve">this </w:t>
      </w:r>
      <w:r w:rsidR="004051A5">
        <w:t xml:space="preserve">treatment. </w:t>
      </w:r>
      <w:r w:rsidR="00CD2D73">
        <w:t>I</w:t>
      </w:r>
      <w:r w:rsidR="004051A5">
        <w:t xml:space="preserve">ncreasing </w:t>
      </w:r>
      <w:r w:rsidR="00CD2D73">
        <w:t>use of</w:t>
      </w:r>
      <w:r w:rsidR="004051A5">
        <w:t xml:space="preserve"> </w:t>
      </w:r>
      <w:r w:rsidR="00FC6D02" w:rsidRPr="00193D3A">
        <w:rPr>
          <w:bCs/>
          <w:vertAlign w:val="superscript"/>
        </w:rPr>
        <w:t>177</w:t>
      </w:r>
      <w:r w:rsidR="00FC6D02" w:rsidRPr="00193D3A">
        <w:rPr>
          <w:bCs/>
        </w:rPr>
        <w:t>Lutetium(</w:t>
      </w:r>
      <w:proofErr w:type="spellStart"/>
      <w:r w:rsidR="00FC6D02" w:rsidRPr="00193D3A">
        <w:rPr>
          <w:bCs/>
        </w:rPr>
        <w:t>nca</w:t>
      </w:r>
      <w:proofErr w:type="spellEnd"/>
      <w:r w:rsidR="00FC6D02" w:rsidRPr="00193D3A">
        <w:rPr>
          <w:bCs/>
        </w:rPr>
        <w:t xml:space="preserve">) </w:t>
      </w:r>
      <w:proofErr w:type="spellStart"/>
      <w:r w:rsidR="00FC6D02" w:rsidRPr="00193D3A">
        <w:rPr>
          <w:bCs/>
        </w:rPr>
        <w:t>Octreotate</w:t>
      </w:r>
      <w:proofErr w:type="spellEnd"/>
      <w:r w:rsidR="00FC6D02">
        <w:t xml:space="preserve"> treatment</w:t>
      </w:r>
      <w:r w:rsidR="004051A5">
        <w:t xml:space="preserve"> also </w:t>
      </w:r>
      <w:r w:rsidR="00CD2D73">
        <w:t>reflects</w:t>
      </w:r>
      <w:r w:rsidR="004051A5">
        <w:t xml:space="preserve"> accumulating published evidence of </w:t>
      </w:r>
      <w:r w:rsidR="00CD2D73">
        <w:t>efficacy</w:t>
      </w:r>
      <w:r w:rsidR="004051A5">
        <w:t xml:space="preserve"> mainly from retrospective studies and prospective registry type studies. </w:t>
      </w:r>
      <w:r w:rsidR="00B97A5B">
        <w:t>More recently the NETTER</w:t>
      </w:r>
      <w:r w:rsidR="007767B0">
        <w:t>-</w:t>
      </w:r>
      <w:r w:rsidR="00B97A5B">
        <w:t xml:space="preserve">I Phase </w:t>
      </w:r>
      <w:r w:rsidR="007767B0">
        <w:t xml:space="preserve">III </w:t>
      </w:r>
      <w:r w:rsidR="00B97A5B">
        <w:t xml:space="preserve">randomised controlled trial </w:t>
      </w:r>
      <w:r w:rsidR="007767B0">
        <w:t>has demonstrated the superiority of 177 (</w:t>
      </w:r>
      <w:proofErr w:type="spellStart"/>
      <w:r w:rsidR="007767B0">
        <w:t>nca</w:t>
      </w:r>
      <w:proofErr w:type="spellEnd"/>
      <w:r w:rsidR="007767B0">
        <w:t xml:space="preserve">) Lutetium </w:t>
      </w:r>
      <w:proofErr w:type="spellStart"/>
      <w:r w:rsidR="007767B0">
        <w:t>Octreotate</w:t>
      </w:r>
      <w:proofErr w:type="spellEnd"/>
      <w:r w:rsidR="007767B0">
        <w:t xml:space="preserve"> treatment over somatostatin antagonist treatment and </w:t>
      </w:r>
      <w:r w:rsidR="00B00550">
        <w:t>supported</w:t>
      </w:r>
      <w:r w:rsidR="007767B0">
        <w:t xml:space="preserve"> regulatory approval in the USA and European Union. </w:t>
      </w:r>
      <w:r w:rsidR="00E26186" w:rsidRPr="00E26186">
        <w:rPr>
          <w:lang w:val="en-GB"/>
        </w:rPr>
        <w:t>Although the NETTER-1</w:t>
      </w:r>
      <w:r w:rsidR="00E26186">
        <w:rPr>
          <w:lang w:val="en-GB"/>
        </w:rPr>
        <w:t xml:space="preserve"> </w:t>
      </w:r>
      <w:r w:rsidR="00E26186" w:rsidRPr="00E26186">
        <w:rPr>
          <w:lang w:val="en-GB"/>
        </w:rPr>
        <w:t>study included only patients with mid-gut tumours,</w:t>
      </w:r>
      <w:r w:rsidR="00E26186">
        <w:rPr>
          <w:lang w:val="en-GB"/>
        </w:rPr>
        <w:t xml:space="preserve"> </w:t>
      </w:r>
      <w:r w:rsidR="00E26186" w:rsidRPr="00E26186">
        <w:rPr>
          <w:lang w:val="en-GB"/>
        </w:rPr>
        <w:t>(</w:t>
      </w:r>
      <w:proofErr w:type="gramStart"/>
      <w:r w:rsidR="00E26186" w:rsidRPr="00E26186">
        <w:rPr>
          <w:lang w:val="en-GB"/>
        </w:rPr>
        <w:t>i.e.</w:t>
      </w:r>
      <w:proofErr w:type="gramEnd"/>
      <w:r w:rsidR="00E26186" w:rsidRPr="00E26186">
        <w:rPr>
          <w:lang w:val="en-GB"/>
        </w:rPr>
        <w:t xml:space="preserve"> neuroendocrine tumours of appendix, ileum, cecum</w:t>
      </w:r>
      <w:r w:rsidR="00E26186">
        <w:rPr>
          <w:lang w:val="en-GB"/>
        </w:rPr>
        <w:t xml:space="preserve"> </w:t>
      </w:r>
      <w:r w:rsidR="00E26186" w:rsidRPr="00E26186">
        <w:rPr>
          <w:lang w:val="en-GB"/>
        </w:rPr>
        <w:t xml:space="preserve">and ascending colon), the subsequent </w:t>
      </w:r>
      <w:r w:rsidR="00B00550">
        <w:rPr>
          <w:lang w:val="en-GB"/>
        </w:rPr>
        <w:t xml:space="preserve">indication for </w:t>
      </w:r>
      <w:r w:rsidR="00B00550">
        <w:t>177(</w:t>
      </w:r>
      <w:proofErr w:type="spellStart"/>
      <w:r w:rsidR="00B00550">
        <w:t>nca</w:t>
      </w:r>
      <w:proofErr w:type="spellEnd"/>
      <w:r w:rsidR="00B00550">
        <w:t>)Lutetium</w:t>
      </w:r>
      <w:r w:rsidR="004E0343">
        <w:t xml:space="preserve"> </w:t>
      </w:r>
      <w:proofErr w:type="spellStart"/>
      <w:r w:rsidR="00B00550">
        <w:t>Octreotate</w:t>
      </w:r>
      <w:proofErr w:type="spellEnd"/>
      <w:r w:rsidR="00B00550">
        <w:t xml:space="preserve"> treatment</w:t>
      </w:r>
      <w:r w:rsidR="00E26186">
        <w:rPr>
          <w:lang w:val="en-GB"/>
        </w:rPr>
        <w:t xml:space="preserve"> </w:t>
      </w:r>
      <w:r w:rsidR="00E26186" w:rsidRPr="00E26186">
        <w:rPr>
          <w:lang w:val="en-GB"/>
        </w:rPr>
        <w:t xml:space="preserve">was extended to </w:t>
      </w:r>
      <w:r w:rsidR="00B00550">
        <w:rPr>
          <w:lang w:val="en-GB"/>
        </w:rPr>
        <w:t xml:space="preserve">also </w:t>
      </w:r>
      <w:r w:rsidR="00E26186" w:rsidRPr="00E26186">
        <w:rPr>
          <w:lang w:val="en-GB"/>
        </w:rPr>
        <w:t xml:space="preserve">include pancreatic NET </w:t>
      </w:r>
      <w:r w:rsidR="00B00550">
        <w:rPr>
          <w:lang w:val="en-GB"/>
        </w:rPr>
        <w:t>in the European Union</w:t>
      </w:r>
      <w:r w:rsidR="00E26186" w:rsidRPr="00E26186">
        <w:rPr>
          <w:lang w:val="en-GB"/>
        </w:rPr>
        <w:t>.</w:t>
      </w:r>
    </w:p>
    <w:p w14:paraId="271DB8DC" w14:textId="5AB593FB" w:rsidR="00ED5C4B" w:rsidRDefault="00464915" w:rsidP="001B29A1">
      <w:pPr>
        <w:ind w:left="426"/>
      </w:pPr>
      <w:r>
        <w:t xml:space="preserve">Although PBS funded drugs </w:t>
      </w:r>
      <w:proofErr w:type="spellStart"/>
      <w:r>
        <w:t>Everolimus</w:t>
      </w:r>
      <w:proofErr w:type="spellEnd"/>
      <w:r>
        <w:t xml:space="preserve"> and Sunitinib are the most relevant comparators for </w:t>
      </w:r>
      <w:r w:rsidR="00FC6D02" w:rsidRPr="00193D3A">
        <w:rPr>
          <w:bCs/>
          <w:vertAlign w:val="superscript"/>
        </w:rPr>
        <w:t>177</w:t>
      </w:r>
      <w:r w:rsidR="00FC6D02" w:rsidRPr="00193D3A">
        <w:rPr>
          <w:bCs/>
        </w:rPr>
        <w:t>Lutetium(</w:t>
      </w:r>
      <w:proofErr w:type="spellStart"/>
      <w:r w:rsidR="00FC6D02" w:rsidRPr="00193D3A">
        <w:rPr>
          <w:bCs/>
        </w:rPr>
        <w:t>nca</w:t>
      </w:r>
      <w:proofErr w:type="spellEnd"/>
      <w:r w:rsidR="00FC6D02" w:rsidRPr="00193D3A">
        <w:rPr>
          <w:bCs/>
        </w:rPr>
        <w:t xml:space="preserve">) </w:t>
      </w:r>
      <w:proofErr w:type="spellStart"/>
      <w:r w:rsidR="00FC6D02" w:rsidRPr="00193D3A">
        <w:rPr>
          <w:bCs/>
        </w:rPr>
        <w:t>Octreotate</w:t>
      </w:r>
      <w:proofErr w:type="spellEnd"/>
      <w:r w:rsidR="00FC6D02">
        <w:t xml:space="preserve"> treatment</w:t>
      </w:r>
      <w:r>
        <w:t xml:space="preserve"> for NET patients who have failed first line somatostatin antagonist treatment nominating </w:t>
      </w:r>
      <w:r w:rsidR="00ED5C4B">
        <w:t xml:space="preserve">these drugs as “appropriate comparators” </w:t>
      </w:r>
      <w:r w:rsidR="007357A1">
        <w:t>invites a serious misconception about how best treatment outcomes are achieved for patients with advances NET and H</w:t>
      </w:r>
      <w:r w:rsidR="006D7137">
        <w:t>-</w:t>
      </w:r>
      <w:r w:rsidR="007357A1">
        <w:t>SS</w:t>
      </w:r>
      <w:r w:rsidR="006D7137">
        <w:t>T</w:t>
      </w:r>
      <w:r w:rsidR="007357A1">
        <w:t xml:space="preserve">R malignancies. </w:t>
      </w:r>
    </w:p>
    <w:p w14:paraId="41885BA0" w14:textId="113ACA48" w:rsidR="00FD0852" w:rsidRDefault="005906BF" w:rsidP="00FD0852">
      <w:pPr>
        <w:ind w:left="426"/>
      </w:pPr>
      <w:r>
        <w:t xml:space="preserve">The </w:t>
      </w:r>
      <w:r w:rsidR="00ED5C4B">
        <w:t xml:space="preserve">unfortunate </w:t>
      </w:r>
      <w:r>
        <w:t xml:space="preserve">reality is that </w:t>
      </w:r>
      <w:r w:rsidR="007357A1">
        <w:t xml:space="preserve">these </w:t>
      </w:r>
      <w:r>
        <w:t xml:space="preserve">patients have terminal malignancy and current treatments are not curative. </w:t>
      </w:r>
      <w:r w:rsidR="00FC6D02">
        <w:t xml:space="preserve">Many </w:t>
      </w:r>
      <w:r>
        <w:t xml:space="preserve">patients will require treatment with </w:t>
      </w:r>
      <w:r w:rsidRPr="00DC45F9">
        <w:rPr>
          <w:i/>
          <w:iCs/>
        </w:rPr>
        <w:t>both</w:t>
      </w:r>
      <w:r>
        <w:t xml:space="preserve"> </w:t>
      </w:r>
      <w:r w:rsidR="00FC6D02" w:rsidRPr="00193D3A">
        <w:rPr>
          <w:bCs/>
          <w:vertAlign w:val="superscript"/>
        </w:rPr>
        <w:t>177</w:t>
      </w:r>
      <w:r w:rsidR="00FC6D02" w:rsidRPr="00193D3A">
        <w:rPr>
          <w:bCs/>
        </w:rPr>
        <w:t>Lutetium(</w:t>
      </w:r>
      <w:proofErr w:type="spellStart"/>
      <w:r w:rsidR="00FC6D02" w:rsidRPr="00193D3A">
        <w:rPr>
          <w:bCs/>
        </w:rPr>
        <w:t>nca</w:t>
      </w:r>
      <w:proofErr w:type="spellEnd"/>
      <w:r w:rsidR="00FC6D02" w:rsidRPr="00193D3A">
        <w:rPr>
          <w:bCs/>
        </w:rPr>
        <w:t xml:space="preserve">) </w:t>
      </w:r>
      <w:proofErr w:type="spellStart"/>
      <w:r w:rsidR="00FC6D02" w:rsidRPr="00193D3A">
        <w:rPr>
          <w:bCs/>
        </w:rPr>
        <w:t>Octreotate</w:t>
      </w:r>
      <w:proofErr w:type="spellEnd"/>
      <w:r w:rsidR="00FC6D02">
        <w:t xml:space="preserve"> treatment</w:t>
      </w:r>
      <w:r>
        <w:t xml:space="preserve"> and “comparator to maximise the quality and duration of their lives. </w:t>
      </w:r>
      <w:r w:rsidR="00FD0852">
        <w:t xml:space="preserve">That is, </w:t>
      </w:r>
      <w:r w:rsidR="00FC6D02" w:rsidRPr="00193D3A">
        <w:rPr>
          <w:bCs/>
          <w:vertAlign w:val="superscript"/>
        </w:rPr>
        <w:t>177</w:t>
      </w:r>
      <w:r w:rsidR="00FC6D02" w:rsidRPr="00193D3A">
        <w:rPr>
          <w:bCs/>
        </w:rPr>
        <w:t>Lutetium(</w:t>
      </w:r>
      <w:proofErr w:type="spellStart"/>
      <w:r w:rsidR="00FC6D02" w:rsidRPr="00193D3A">
        <w:rPr>
          <w:bCs/>
        </w:rPr>
        <w:t>nca</w:t>
      </w:r>
      <w:proofErr w:type="spellEnd"/>
      <w:r w:rsidR="00FC6D02" w:rsidRPr="00193D3A">
        <w:rPr>
          <w:bCs/>
        </w:rPr>
        <w:t xml:space="preserve">) </w:t>
      </w:r>
      <w:proofErr w:type="spellStart"/>
      <w:r w:rsidR="00FC6D02" w:rsidRPr="00193D3A">
        <w:rPr>
          <w:bCs/>
        </w:rPr>
        <w:t>Octreotate</w:t>
      </w:r>
      <w:proofErr w:type="spellEnd"/>
      <w:r w:rsidR="00FC6D02">
        <w:t xml:space="preserve"> should </w:t>
      </w:r>
      <w:r w:rsidR="00FD0852">
        <w:t xml:space="preserve">not be considered as a “replacement” for comparator management strategies but rather as a valuable addition to the therapeutic armamentarium for patients with advanced NET. </w:t>
      </w:r>
    </w:p>
    <w:p w14:paraId="3F506A89" w14:textId="562A88B1" w:rsidR="005768FE" w:rsidRDefault="00FD0852" w:rsidP="001B29A1">
      <w:pPr>
        <w:ind w:left="426"/>
      </w:pPr>
      <w:r>
        <w:t>In that context it is apparent that any</w:t>
      </w:r>
      <w:r w:rsidR="005906BF">
        <w:t xml:space="preserve"> </w:t>
      </w:r>
      <w:r w:rsidR="005445F3">
        <w:t xml:space="preserve">choice </w:t>
      </w:r>
      <w:r w:rsidR="005906BF">
        <w:t xml:space="preserve">between </w:t>
      </w:r>
      <w:r w:rsidR="001202BD" w:rsidRPr="00193D3A">
        <w:rPr>
          <w:bCs/>
          <w:vertAlign w:val="superscript"/>
        </w:rPr>
        <w:t>177</w:t>
      </w:r>
      <w:r w:rsidR="001202BD" w:rsidRPr="00193D3A">
        <w:rPr>
          <w:bCs/>
        </w:rPr>
        <w:t>Lutetium(</w:t>
      </w:r>
      <w:proofErr w:type="spellStart"/>
      <w:r w:rsidR="001202BD" w:rsidRPr="00193D3A">
        <w:rPr>
          <w:bCs/>
        </w:rPr>
        <w:t>nca</w:t>
      </w:r>
      <w:proofErr w:type="spellEnd"/>
      <w:r w:rsidR="001202BD" w:rsidRPr="00193D3A">
        <w:rPr>
          <w:bCs/>
        </w:rPr>
        <w:t xml:space="preserve">) </w:t>
      </w:r>
      <w:proofErr w:type="spellStart"/>
      <w:r w:rsidR="001202BD" w:rsidRPr="00193D3A">
        <w:rPr>
          <w:bCs/>
        </w:rPr>
        <w:t>Octreotate</w:t>
      </w:r>
      <w:proofErr w:type="spellEnd"/>
      <w:r w:rsidR="001202BD">
        <w:t xml:space="preserve"> </w:t>
      </w:r>
      <w:r w:rsidR="005906BF">
        <w:t>and alternative</w:t>
      </w:r>
      <w:r w:rsidR="00FA63F4">
        <w:t xml:space="preserve"> treatment</w:t>
      </w:r>
      <w:r w:rsidR="005906BF">
        <w:t xml:space="preserve"> </w:t>
      </w:r>
      <w:r w:rsidR="00FA63F4">
        <w:t>is</w:t>
      </w:r>
      <w:r w:rsidR="005445F3">
        <w:t xml:space="preserve"> </w:t>
      </w:r>
      <w:r w:rsidR="00D85026">
        <w:t>more often</w:t>
      </w:r>
      <w:r w:rsidR="005445F3">
        <w:t xml:space="preserve"> sequencing decision </w:t>
      </w:r>
      <w:r w:rsidR="00FA63F4">
        <w:t xml:space="preserve">rather </w:t>
      </w:r>
      <w:r w:rsidR="00D85026">
        <w:t>than</w:t>
      </w:r>
      <w:r w:rsidR="00FA63F4">
        <w:t xml:space="preserve"> binary choice</w:t>
      </w:r>
      <w:r>
        <w:t>, a concept easily</w:t>
      </w:r>
      <w:r w:rsidR="00747D4E">
        <w:t xml:space="preserve"> demonstrated by </w:t>
      </w:r>
      <w:r>
        <w:t xml:space="preserve">considering </w:t>
      </w:r>
      <w:r w:rsidR="00747D4E">
        <w:t xml:space="preserve">the management pathway charts provided in the Appendices. </w:t>
      </w:r>
    </w:p>
    <w:p w14:paraId="136D38E4" w14:textId="3954FD80" w:rsidR="00B95402" w:rsidRDefault="00747D4E" w:rsidP="001B29A1">
      <w:pPr>
        <w:ind w:left="426"/>
      </w:pPr>
      <w:r>
        <w:t>In view of this decision</w:t>
      </w:r>
      <w:r w:rsidR="00FD0852">
        <w:t>-</w:t>
      </w:r>
      <w:r>
        <w:t>making complexity caused by the</w:t>
      </w:r>
      <w:r w:rsidR="000F18B6">
        <w:t xml:space="preserve"> highly heterogeneous nature of </w:t>
      </w:r>
      <w:r w:rsidR="005906BF">
        <w:t xml:space="preserve">advanced </w:t>
      </w:r>
      <w:r w:rsidR="000F18B6">
        <w:t>NET and H</w:t>
      </w:r>
      <w:r w:rsidR="006D7137">
        <w:t>-</w:t>
      </w:r>
      <w:r w:rsidR="000F18B6">
        <w:t>SS</w:t>
      </w:r>
      <w:r w:rsidR="006D7137">
        <w:t>T</w:t>
      </w:r>
      <w:r w:rsidR="000F18B6">
        <w:t>R malignancies</w:t>
      </w:r>
      <w:r w:rsidR="00387060">
        <w:t>,</w:t>
      </w:r>
      <w:r w:rsidR="000F18B6">
        <w:t xml:space="preserve"> the highly variable clinical courses of different individuals </w:t>
      </w:r>
      <w:r w:rsidR="00387060">
        <w:t>and the difficulty developing high level evidence underlines the imperative for engaging</w:t>
      </w:r>
      <w:r w:rsidR="000F18B6">
        <w:t xml:space="preserve"> experienced </w:t>
      </w:r>
      <w:proofErr w:type="gramStart"/>
      <w:r w:rsidR="000F18B6">
        <w:t>MDT’s</w:t>
      </w:r>
      <w:proofErr w:type="gramEnd"/>
      <w:r w:rsidR="000F18B6">
        <w:t xml:space="preserve"> to </w:t>
      </w:r>
      <w:r w:rsidR="005445F3">
        <w:t xml:space="preserve">guide </w:t>
      </w:r>
      <w:r w:rsidR="007357A1">
        <w:t xml:space="preserve">every </w:t>
      </w:r>
      <w:r w:rsidR="005445F3">
        <w:t xml:space="preserve">patient to the right treatment </w:t>
      </w:r>
      <w:r w:rsidR="006D7137">
        <w:t xml:space="preserve">at </w:t>
      </w:r>
      <w:r w:rsidR="005445F3">
        <w:t>the right time</w:t>
      </w:r>
      <w:r w:rsidR="00DC45F9">
        <w:t>.</w:t>
      </w:r>
    </w:p>
    <w:p w14:paraId="08B457EE" w14:textId="69C0C84C" w:rsidR="00630A5B" w:rsidRDefault="00630A5B" w:rsidP="00630A5B">
      <w:pPr>
        <w:ind w:left="426"/>
      </w:pPr>
      <w:r>
        <w:t>It is highly likely that the absence of Medicare funding has resulted in lower tha</w:t>
      </w:r>
      <w:r w:rsidR="00ED5C4B">
        <w:t>n</w:t>
      </w:r>
      <w:r>
        <w:t xml:space="preserve"> optimal rates of </w:t>
      </w:r>
      <w:r w:rsidR="001202BD" w:rsidRPr="00193D3A">
        <w:rPr>
          <w:bCs/>
          <w:vertAlign w:val="superscript"/>
        </w:rPr>
        <w:t>177</w:t>
      </w:r>
      <w:r w:rsidR="001202BD" w:rsidRPr="00193D3A">
        <w:rPr>
          <w:bCs/>
        </w:rPr>
        <w:t>Lutetium(</w:t>
      </w:r>
      <w:proofErr w:type="spellStart"/>
      <w:r w:rsidR="001202BD" w:rsidRPr="00193D3A">
        <w:rPr>
          <w:bCs/>
        </w:rPr>
        <w:t>nca</w:t>
      </w:r>
      <w:proofErr w:type="spellEnd"/>
      <w:r w:rsidR="001202BD" w:rsidRPr="00193D3A">
        <w:rPr>
          <w:bCs/>
        </w:rPr>
        <w:t xml:space="preserve">) </w:t>
      </w:r>
      <w:proofErr w:type="spellStart"/>
      <w:r w:rsidR="001202BD" w:rsidRPr="00193D3A">
        <w:rPr>
          <w:bCs/>
        </w:rPr>
        <w:t>Octreotate</w:t>
      </w:r>
      <w:proofErr w:type="spellEnd"/>
      <w:r w:rsidR="001202BD">
        <w:t xml:space="preserve"> treatment </w:t>
      </w:r>
      <w:r>
        <w:t xml:space="preserve">utilisation and the implementation of </w:t>
      </w:r>
      <w:r w:rsidR="001202BD">
        <w:t xml:space="preserve">this </w:t>
      </w:r>
      <w:r>
        <w:t>treatment in a less than ideal sequence with “comparator” treatments that are currently PBS funded.</w:t>
      </w:r>
    </w:p>
    <w:p w14:paraId="3D136C1F" w14:textId="434A2DFA" w:rsidR="00ED5C4B" w:rsidRDefault="005768FE" w:rsidP="00630A5B">
      <w:pPr>
        <w:ind w:left="426"/>
      </w:pPr>
      <w:r>
        <w:t>As</w:t>
      </w:r>
      <w:r w:rsidR="00716E38">
        <w:t xml:space="preserve"> </w:t>
      </w:r>
      <w:r w:rsidR="001202BD" w:rsidRPr="00193D3A">
        <w:rPr>
          <w:bCs/>
          <w:vertAlign w:val="superscript"/>
        </w:rPr>
        <w:t>177</w:t>
      </w:r>
      <w:r w:rsidR="001202BD" w:rsidRPr="00193D3A">
        <w:rPr>
          <w:bCs/>
        </w:rPr>
        <w:t>Lutetium(</w:t>
      </w:r>
      <w:proofErr w:type="spellStart"/>
      <w:r w:rsidR="001202BD" w:rsidRPr="00193D3A">
        <w:rPr>
          <w:bCs/>
        </w:rPr>
        <w:t>nca</w:t>
      </w:r>
      <w:proofErr w:type="spellEnd"/>
      <w:r w:rsidR="001202BD" w:rsidRPr="00193D3A">
        <w:rPr>
          <w:bCs/>
        </w:rPr>
        <w:t xml:space="preserve">) </w:t>
      </w:r>
      <w:proofErr w:type="spellStart"/>
      <w:r w:rsidR="001202BD" w:rsidRPr="00193D3A">
        <w:rPr>
          <w:bCs/>
        </w:rPr>
        <w:t>Octreotate</w:t>
      </w:r>
      <w:proofErr w:type="spellEnd"/>
      <w:r w:rsidR="001202BD">
        <w:t xml:space="preserve"> treatment</w:t>
      </w:r>
      <w:r w:rsidR="00716E38">
        <w:t xml:space="preserve"> </w:t>
      </w:r>
      <w:r>
        <w:t xml:space="preserve">and “appropriate </w:t>
      </w:r>
      <w:r w:rsidR="00716E38">
        <w:t>comparators</w:t>
      </w:r>
      <w:r>
        <w:t>” are very often used in sequence in patients with NET and associated H</w:t>
      </w:r>
      <w:r w:rsidR="006D7137">
        <w:t>-</w:t>
      </w:r>
      <w:r>
        <w:t>SS</w:t>
      </w:r>
      <w:r w:rsidR="006D7137">
        <w:t>T</w:t>
      </w:r>
      <w:r>
        <w:t xml:space="preserve">R malignancies the healthcare resource utilisation in </w:t>
      </w:r>
      <w:r>
        <w:lastRenderedPageBreak/>
        <w:t>properly evaluated patients is largely similar</w:t>
      </w:r>
      <w:r w:rsidR="00A76065">
        <w:t xml:space="preserve">. </w:t>
      </w:r>
      <w:r w:rsidR="006D7137">
        <w:t xml:space="preserve">Many patients </w:t>
      </w:r>
      <w:proofErr w:type="gramStart"/>
      <w:r w:rsidR="006D7137">
        <w:t>are able to</w:t>
      </w:r>
      <w:proofErr w:type="gramEnd"/>
      <w:r w:rsidR="006D7137">
        <w:t xml:space="preserve"> reduce or cease use of </w:t>
      </w:r>
      <w:proofErr w:type="spellStart"/>
      <w:r w:rsidR="006D7137">
        <w:t>Sandostatin</w:t>
      </w:r>
      <w:proofErr w:type="spellEnd"/>
      <w:r w:rsidR="006D7137">
        <w:t xml:space="preserve"> LAR or </w:t>
      </w:r>
      <w:proofErr w:type="spellStart"/>
      <w:r w:rsidR="006D7137">
        <w:t>Somatuline</w:t>
      </w:r>
      <w:proofErr w:type="spellEnd"/>
      <w:r w:rsidR="006D7137">
        <w:t xml:space="preserve"> therapy, which is PBS-subsidised at a cost unknown to the applicants and similarly, targeted treatments with </w:t>
      </w:r>
      <w:proofErr w:type="spellStart"/>
      <w:r w:rsidR="006D7137">
        <w:t>Everolimus</w:t>
      </w:r>
      <w:proofErr w:type="spellEnd"/>
      <w:r w:rsidR="006D7137">
        <w:t xml:space="preserve"> and</w:t>
      </w:r>
      <w:r w:rsidR="001202BD">
        <w:t xml:space="preserve"> </w:t>
      </w:r>
      <w:r w:rsidR="007F78DD">
        <w:t xml:space="preserve">sunitinib are presumed to have high and ongoing monthly costs. </w:t>
      </w:r>
      <w:r w:rsidR="001202BD" w:rsidRPr="00193D3A">
        <w:rPr>
          <w:bCs/>
          <w:vertAlign w:val="superscript"/>
        </w:rPr>
        <w:t>177</w:t>
      </w:r>
      <w:r w:rsidR="001202BD" w:rsidRPr="00193D3A">
        <w:rPr>
          <w:bCs/>
        </w:rPr>
        <w:t>Lutetium(</w:t>
      </w:r>
      <w:proofErr w:type="spellStart"/>
      <w:r w:rsidR="001202BD" w:rsidRPr="00193D3A">
        <w:rPr>
          <w:bCs/>
        </w:rPr>
        <w:t>nca</w:t>
      </w:r>
      <w:proofErr w:type="spellEnd"/>
      <w:r w:rsidR="001202BD" w:rsidRPr="00193D3A">
        <w:rPr>
          <w:bCs/>
        </w:rPr>
        <w:t xml:space="preserve">) </w:t>
      </w:r>
      <w:proofErr w:type="spellStart"/>
      <w:r w:rsidR="001202BD" w:rsidRPr="00193D3A">
        <w:rPr>
          <w:bCs/>
        </w:rPr>
        <w:t>Octreotate</w:t>
      </w:r>
      <w:proofErr w:type="spellEnd"/>
      <w:r w:rsidR="007F78DD">
        <w:t xml:space="preserve"> treatment, if amortised over the long progression free survival and low utilisation of secondary healthcare resources make </w:t>
      </w:r>
      <w:r w:rsidR="001202BD">
        <w:t>this treatment</w:t>
      </w:r>
      <w:r w:rsidR="009F10D8">
        <w:t xml:space="preserve"> a relatively </w:t>
      </w:r>
      <w:r w:rsidR="00BA4B8C">
        <w:t>cost-effective alternative.</w:t>
      </w:r>
    </w:p>
    <w:p w14:paraId="00744CD6" w14:textId="77777777" w:rsidR="00630A5B" w:rsidRPr="00154B00" w:rsidRDefault="00630A5B" w:rsidP="001B29A1">
      <w:pPr>
        <w:ind w:left="426"/>
        <w:rPr>
          <w:szCs w:val="20"/>
        </w:rPr>
      </w:pPr>
    </w:p>
    <w:p w14:paraId="3127FC54"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6607DE02" w14:textId="2700E78B"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Yes</w:t>
      </w:r>
    </w:p>
    <w:p w14:paraId="56DCD51B" w14:textId="4CF49AC2" w:rsidR="000159B9" w:rsidRDefault="001202BD"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6A1038">
        <w:rPr>
          <w:szCs w:val="20"/>
        </w:rPr>
        <w:t xml:space="preserve"> </w:t>
      </w:r>
      <w:r w:rsidR="006A1038" w:rsidRPr="00BA72CC">
        <w:rPr>
          <w:szCs w:val="20"/>
        </w:rPr>
        <w:t>No</w:t>
      </w:r>
      <w:r w:rsidR="006A1038">
        <w:rPr>
          <w:szCs w:val="20"/>
        </w:rPr>
        <w:t xml:space="preserve">  </w:t>
      </w:r>
    </w:p>
    <w:p w14:paraId="1CC25F42" w14:textId="61A8B7C6" w:rsidR="00A83EC6" w:rsidRPr="00154B00" w:rsidRDefault="005C3AE7" w:rsidP="00530204">
      <w:pPr>
        <w:pStyle w:val="Heading2"/>
      </w:pPr>
      <w:r>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67CD399F" w14:textId="2D7C4902" w:rsidR="001B29A1" w:rsidRDefault="001202BD"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4292D">
        <w:rPr>
          <w:szCs w:val="20"/>
        </w:rPr>
      </w:r>
      <w:r w:rsidR="0034292D">
        <w:rPr>
          <w:szCs w:val="20"/>
        </w:rPr>
        <w:fldChar w:fldCharType="separate"/>
      </w:r>
      <w:r>
        <w:rPr>
          <w:szCs w:val="20"/>
        </w:rPr>
        <w:fldChar w:fldCharType="end"/>
      </w:r>
      <w:r w:rsidR="001B29A1">
        <w:rPr>
          <w:szCs w:val="20"/>
        </w:rPr>
        <w:t xml:space="preserve"> </w:t>
      </w:r>
      <w:r w:rsidR="00282BE8" w:rsidRPr="00BA72CC">
        <w:rPr>
          <w:szCs w:val="20"/>
        </w:rPr>
        <w:t>In addition to (</w:t>
      </w:r>
      <w:proofErr w:type="gramStart"/>
      <w:r w:rsidR="00282BE8" w:rsidRPr="00BA72CC">
        <w:rPr>
          <w:szCs w:val="20"/>
        </w:rPr>
        <w:t>i.e.</w:t>
      </w:r>
      <w:proofErr w:type="gramEnd"/>
      <w:r w:rsidR="00282BE8" w:rsidRPr="00BA72CC">
        <w:rPr>
          <w:szCs w:val="20"/>
        </w:rPr>
        <w:t xml:space="preserve"> it is an add-on servic</w:t>
      </w:r>
      <w:r w:rsidR="00282BE8" w:rsidRPr="00796F58">
        <w:rPr>
          <w:szCs w:val="20"/>
        </w:rPr>
        <w:t>e)</w:t>
      </w:r>
      <w:r w:rsidR="001B29A1">
        <w:rPr>
          <w:szCs w:val="20"/>
        </w:rPr>
        <w:t xml:space="preserve"> </w:t>
      </w:r>
    </w:p>
    <w:p w14:paraId="47287003"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4292D">
        <w:rPr>
          <w:szCs w:val="20"/>
        </w:rPr>
      </w:r>
      <w:r w:rsidR="0034292D">
        <w:rPr>
          <w:szCs w:val="20"/>
        </w:rPr>
        <w:fldChar w:fldCharType="separate"/>
      </w:r>
      <w:r w:rsidRPr="00753C44">
        <w:rPr>
          <w:szCs w:val="20"/>
        </w:rPr>
        <w:fldChar w:fldCharType="end"/>
      </w:r>
      <w:r>
        <w:rPr>
          <w:szCs w:val="20"/>
        </w:rPr>
        <w:t xml:space="preserve"> </w:t>
      </w:r>
      <w:r w:rsidR="00282BE8" w:rsidRPr="00A76065">
        <w:rPr>
          <w:szCs w:val="20"/>
        </w:rPr>
        <w:t>Instead of (</w:t>
      </w:r>
      <w:proofErr w:type="gramStart"/>
      <w:r w:rsidR="00282BE8" w:rsidRPr="00A76065">
        <w:rPr>
          <w:szCs w:val="20"/>
        </w:rPr>
        <w:t>i.e.</w:t>
      </w:r>
      <w:proofErr w:type="gramEnd"/>
      <w:r w:rsidR="00282BE8" w:rsidRPr="00A76065">
        <w:rPr>
          <w:szCs w:val="20"/>
        </w:rPr>
        <w:t xml:space="preserve"> it is a replacement or alternative)</w:t>
      </w:r>
    </w:p>
    <w:p w14:paraId="755E0877" w14:textId="77777777" w:rsidR="00E70D86" w:rsidRPr="00154B00" w:rsidRDefault="00095B45" w:rsidP="00095B45">
      <w:pPr>
        <w:pStyle w:val="Heading2"/>
        <w:numPr>
          <w:ilvl w:val="0"/>
          <w:numId w:val="30"/>
        </w:numPr>
      </w:pPr>
      <w:r w:rsidRPr="00095B45">
        <w:t>If yes, please outline the extent to which the current service/comparator is expected to be substituted</w:t>
      </w:r>
    </w:p>
    <w:p w14:paraId="2AAF5B7A" w14:textId="2F6F9B80" w:rsidR="001B29A1" w:rsidRPr="00432D5F" w:rsidRDefault="00A76065" w:rsidP="00432D5F">
      <w:pPr>
        <w:ind w:left="426"/>
        <w:rPr>
          <w:szCs w:val="20"/>
        </w:rPr>
      </w:pPr>
      <w:r>
        <w:t xml:space="preserve">See the response to 36- in </w:t>
      </w:r>
      <w:r w:rsidR="006E7C3D">
        <w:t>most</w:t>
      </w:r>
      <w:r>
        <w:t xml:space="preserve"> patients the proposed medical service will be used in addition to current services and comparators however the sequence of utilisation will vary for different patients</w:t>
      </w:r>
    </w:p>
    <w:p w14:paraId="24551DD4" w14:textId="77777777" w:rsidR="00DF0D47" w:rsidRPr="00881F93" w:rsidRDefault="00095B45" w:rsidP="008F1188">
      <w:pPr>
        <w:pStyle w:val="Subtitle"/>
        <w:ind w:left="0"/>
      </w:pPr>
      <w:r w:rsidRPr="00095B45">
        <w:t xml:space="preserve">PART 6c </w:t>
      </w:r>
      <w:proofErr w:type="gramStart"/>
      <w:r w:rsidRPr="00095B45">
        <w:t>CONTINUED  –</w:t>
      </w:r>
      <w:proofErr w:type="gramEnd"/>
      <w:r w:rsidRPr="00095B45">
        <w:t xml:space="preserve"> INFORMATION ABOUT ALGORITHMS (CLINICAL MANAGEMENT PATHWAYS)</w:t>
      </w:r>
      <w:r w:rsidR="008D1A4B">
        <w:t>s</w:t>
      </w:r>
    </w:p>
    <w:p w14:paraId="706624EE" w14:textId="77777777"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 xml:space="preserve">). </w:t>
      </w:r>
    </w:p>
    <w:p w14:paraId="2BE83D65" w14:textId="649ADE89" w:rsidR="00432D5F" w:rsidRDefault="001F3714" w:rsidP="00432D5F">
      <w:pPr>
        <w:pStyle w:val="ListParagraph"/>
        <w:ind w:left="357"/>
        <w:contextualSpacing w:val="0"/>
      </w:pPr>
      <w:r>
        <w:t xml:space="preserve">As </w:t>
      </w:r>
      <w:r w:rsidR="00A9216A" w:rsidRPr="00193D3A">
        <w:rPr>
          <w:bCs/>
          <w:vertAlign w:val="superscript"/>
        </w:rPr>
        <w:t>177</w:t>
      </w:r>
      <w:r w:rsidR="00A9216A" w:rsidRPr="00193D3A">
        <w:rPr>
          <w:bCs/>
        </w:rPr>
        <w:t>Lutetium(</w:t>
      </w:r>
      <w:proofErr w:type="spellStart"/>
      <w:r w:rsidR="00A9216A" w:rsidRPr="00193D3A">
        <w:rPr>
          <w:bCs/>
        </w:rPr>
        <w:t>nca</w:t>
      </w:r>
      <w:proofErr w:type="spellEnd"/>
      <w:r w:rsidR="00A9216A" w:rsidRPr="00193D3A">
        <w:rPr>
          <w:bCs/>
        </w:rPr>
        <w:t xml:space="preserve">) </w:t>
      </w:r>
      <w:proofErr w:type="spellStart"/>
      <w:r w:rsidR="00A9216A" w:rsidRPr="00193D3A">
        <w:rPr>
          <w:bCs/>
        </w:rPr>
        <w:t>Octreotate</w:t>
      </w:r>
      <w:proofErr w:type="spellEnd"/>
      <w:r>
        <w:t xml:space="preserve"> treatment is already in use in Australia in multiple locations and has regulatory approval in the USA and European Union it is not helpful to consider “the landscape </w:t>
      </w:r>
      <w:r w:rsidRPr="00BA72CC">
        <w:rPr>
          <w:i/>
          <w:iCs/>
          <w:u w:val="single"/>
        </w:rPr>
        <w:t>before</w:t>
      </w:r>
      <w:r>
        <w:t xml:space="preserve"> the proposed service is introduced”.</w:t>
      </w:r>
    </w:p>
    <w:p w14:paraId="5B7EC8F6" w14:textId="22B2C3EE" w:rsidR="00DF667B" w:rsidRPr="001F3714" w:rsidRDefault="00ED7B28" w:rsidP="00432D5F">
      <w:pPr>
        <w:pStyle w:val="ListParagraph"/>
        <w:ind w:left="357"/>
        <w:contextualSpacing w:val="0"/>
      </w:pPr>
      <w:r>
        <w:t xml:space="preserve">As most patients will receive both </w:t>
      </w:r>
      <w:r w:rsidR="00A9216A" w:rsidRPr="00193D3A">
        <w:rPr>
          <w:bCs/>
          <w:vertAlign w:val="superscript"/>
        </w:rPr>
        <w:t>177</w:t>
      </w:r>
      <w:r w:rsidR="00A9216A" w:rsidRPr="00193D3A">
        <w:rPr>
          <w:bCs/>
        </w:rPr>
        <w:t>Lutetium(</w:t>
      </w:r>
      <w:proofErr w:type="spellStart"/>
      <w:r w:rsidR="00A9216A" w:rsidRPr="00193D3A">
        <w:rPr>
          <w:bCs/>
        </w:rPr>
        <w:t>nca</w:t>
      </w:r>
      <w:proofErr w:type="spellEnd"/>
      <w:r w:rsidR="00A9216A" w:rsidRPr="00193D3A">
        <w:rPr>
          <w:bCs/>
        </w:rPr>
        <w:t xml:space="preserve">) </w:t>
      </w:r>
      <w:proofErr w:type="spellStart"/>
      <w:r w:rsidR="00A9216A" w:rsidRPr="00193D3A">
        <w:rPr>
          <w:bCs/>
        </w:rPr>
        <w:t>Octreotate</w:t>
      </w:r>
      <w:proofErr w:type="spellEnd"/>
      <w:r w:rsidR="00A9216A">
        <w:rPr>
          <w:bCs/>
        </w:rPr>
        <w:t xml:space="preserve"> treatment </w:t>
      </w:r>
      <w:r>
        <w:t xml:space="preserve">and comparator treatments </w:t>
      </w:r>
      <w:proofErr w:type="gramStart"/>
      <w:r>
        <w:t>during the course of</w:t>
      </w:r>
      <w:proofErr w:type="gramEnd"/>
      <w:r>
        <w:t xml:space="preserve"> their advanced incurable malignancy, there will be little difference is healthcare resource utilisation. It is probable that patients whose management is guided by an experienced MDT will achieve better treatment outcomes with more efficient use of overall health care resources</w:t>
      </w:r>
      <w:r w:rsidR="00BA4B8C">
        <w:t>.</w:t>
      </w:r>
    </w:p>
    <w:p w14:paraId="58BE09B1" w14:textId="7CE9CE53" w:rsidR="007B3B74" w:rsidRDefault="001F1882" w:rsidP="00432D5F">
      <w:pPr>
        <w:pStyle w:val="ListParagraph"/>
        <w:ind w:left="357"/>
        <w:contextualSpacing w:val="0"/>
      </w:pPr>
      <w:r>
        <w:t xml:space="preserve">2 algorithms extracted from ESMO Clinical Practice Guidelines for diagnosis, treatment and follow-up of </w:t>
      </w:r>
      <w:proofErr w:type="spellStart"/>
      <w:r>
        <w:t>Gastropancreatic</w:t>
      </w:r>
      <w:proofErr w:type="spellEnd"/>
      <w:r>
        <w:t xml:space="preserve"> neuroendocrine neoplasms </w:t>
      </w:r>
      <w:r w:rsidR="00F31563">
        <w:t>[</w:t>
      </w:r>
      <w:r w:rsidR="009C46C9">
        <w:t xml:space="preserve">Pavel, M et al; </w:t>
      </w:r>
      <w:r>
        <w:t>doi.org/10.1016/j.annonc.2020.03.304</w:t>
      </w:r>
      <w:r w:rsidR="00F31563">
        <w:t xml:space="preserve"> (</w:t>
      </w:r>
      <w:r w:rsidR="009C46C9">
        <w:t>Open Archive</w:t>
      </w:r>
      <w:r w:rsidR="00F31563">
        <w:t>)]</w:t>
      </w:r>
      <w:r>
        <w:t xml:space="preserve"> have been </w:t>
      </w:r>
      <w:r w:rsidR="00BD1B8D">
        <w:t xml:space="preserve">extracted </w:t>
      </w:r>
      <w:r>
        <w:t>below to demonstrate</w:t>
      </w:r>
      <w:r w:rsidR="00ED7B28">
        <w:t xml:space="preserve"> </w:t>
      </w:r>
      <w:r>
        <w:t xml:space="preserve">how current </w:t>
      </w:r>
      <w:r w:rsidR="00ED7B28">
        <w:t xml:space="preserve">best practice guidance </w:t>
      </w:r>
      <w:r>
        <w:t xml:space="preserve">recommends the integration of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Pr>
          <w:bCs/>
        </w:rPr>
        <w:t xml:space="preserve"> treatment (PRRT)</w:t>
      </w:r>
      <w:r>
        <w:t xml:space="preserve"> </w:t>
      </w:r>
      <w:r w:rsidR="00ED7B28">
        <w:t>with other potentially effective treatments for patients with advanced NET and H</w:t>
      </w:r>
      <w:r w:rsidR="00BA4B8C">
        <w:t>-</w:t>
      </w:r>
      <w:r w:rsidR="00ED7B28">
        <w:t>SS</w:t>
      </w:r>
      <w:r w:rsidR="00BA4B8C">
        <w:t>T</w:t>
      </w:r>
      <w:r w:rsidR="00ED7B28">
        <w:t>R malignancies</w:t>
      </w:r>
      <w:r>
        <w:t xml:space="preserve"> and for patients with carcinoid syndrome.</w:t>
      </w:r>
      <w:r w:rsidR="007B3B74">
        <w:t xml:space="preserve"> </w:t>
      </w:r>
    </w:p>
    <w:p w14:paraId="267DD29B" w14:textId="4B12BD04" w:rsidR="007B3B74" w:rsidRDefault="007B3B74" w:rsidP="00432D5F">
      <w:pPr>
        <w:pStyle w:val="ListParagraph"/>
        <w:ind w:left="357"/>
        <w:contextualSpacing w:val="0"/>
      </w:pPr>
      <w:r>
        <w:t>The applicant contend</w:t>
      </w:r>
      <w:r w:rsidR="00461F4D">
        <w:t>s</w:t>
      </w:r>
      <w:r>
        <w:t xml:space="preserve"> that the best practice algorithms included here </w:t>
      </w:r>
      <w:r w:rsidR="00BA72CC">
        <w:t>illustrate well</w:t>
      </w:r>
      <w:r>
        <w:t xml:space="preserve"> the complexity of optimal management strategies for patients </w:t>
      </w:r>
      <w:r w:rsidR="00BA3E0F">
        <w:t xml:space="preserve">afflicted with advanced NET and H-SSTR malignancies </w:t>
      </w:r>
      <w:r>
        <w:t>who may exhibit a wide variety of individual and changing clinical circumstance</w:t>
      </w:r>
      <w:r w:rsidR="00BA3E0F">
        <w:t>s</w:t>
      </w:r>
      <w:r w:rsidR="00BA72CC">
        <w:t xml:space="preserve">, so </w:t>
      </w:r>
      <w:r>
        <w:t>emphasis</w:t>
      </w:r>
      <w:r w:rsidR="00BA72CC">
        <w:t>ing</w:t>
      </w:r>
      <w:r>
        <w:t xml:space="preserve"> the desirability of requiring MDT referral for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Pr>
          <w:bCs/>
        </w:rPr>
        <w:t xml:space="preserve"> treatment</w:t>
      </w:r>
      <w:r w:rsidR="00BA3E0F">
        <w:rPr>
          <w:bCs/>
        </w:rPr>
        <w:t>.</w:t>
      </w:r>
    </w:p>
    <w:p w14:paraId="771DDC1B" w14:textId="5C9EAE50" w:rsidR="001F1882" w:rsidRDefault="001F1882" w:rsidP="00ED7B28">
      <w:pPr>
        <w:pStyle w:val="ListParagraph"/>
        <w:ind w:left="360"/>
      </w:pPr>
    </w:p>
    <w:p w14:paraId="4E922388" w14:textId="77777777" w:rsidR="001F1882" w:rsidRPr="001F3714" w:rsidRDefault="001F1882" w:rsidP="00ED7B28">
      <w:pPr>
        <w:pStyle w:val="ListParagraph"/>
        <w:ind w:left="360"/>
      </w:pPr>
    </w:p>
    <w:p w14:paraId="3821652A" w14:textId="67AD540A" w:rsidR="00095B45" w:rsidRDefault="001F1882" w:rsidP="00432D5F">
      <w:pPr>
        <w:pStyle w:val="ListParagraph"/>
        <w:ind w:left="0"/>
        <w:jc w:val="center"/>
        <w:rPr>
          <w:b/>
          <w:szCs w:val="20"/>
        </w:rPr>
      </w:pPr>
      <w:r>
        <w:rPr>
          <w:b/>
          <w:noProof/>
          <w:szCs w:val="20"/>
        </w:rPr>
        <w:lastRenderedPageBreak/>
        <w:drawing>
          <wp:inline distT="0" distB="0" distL="0" distR="0" wp14:anchorId="528D9FFB" wp14:editId="55A0951E">
            <wp:extent cx="6154850" cy="6305550"/>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9167" cy="6309973"/>
                    </a:xfrm>
                    <a:prstGeom prst="rect">
                      <a:avLst/>
                    </a:prstGeom>
                  </pic:spPr>
                </pic:pic>
              </a:graphicData>
            </a:graphic>
          </wp:inline>
        </w:drawing>
      </w:r>
    </w:p>
    <w:p w14:paraId="69C12AE2" w14:textId="05FFF072" w:rsidR="007B3B74" w:rsidRPr="00432D5F" w:rsidRDefault="00432D5F" w:rsidP="00432D5F">
      <w:pPr>
        <w:ind w:left="720" w:hanging="578"/>
        <w:rPr>
          <w:b/>
          <w:szCs w:val="20"/>
        </w:rPr>
      </w:pPr>
      <w:r>
        <w:rPr>
          <w:b/>
          <w:szCs w:val="20"/>
        </w:rPr>
        <w:t xml:space="preserve">Source: </w:t>
      </w:r>
      <w:r>
        <w:t xml:space="preserve">ESMO Clinical Practice Guidelines for diagnosis, </w:t>
      </w:r>
      <w:proofErr w:type="gramStart"/>
      <w:r>
        <w:t>treatment</w:t>
      </w:r>
      <w:proofErr w:type="gramEnd"/>
      <w:r>
        <w:t xml:space="preserve"> and follow-up of </w:t>
      </w:r>
      <w:proofErr w:type="spellStart"/>
      <w:r>
        <w:t>Gastropancreatic</w:t>
      </w:r>
      <w:proofErr w:type="spellEnd"/>
      <w:r>
        <w:t xml:space="preserve"> neuroendocrine neoplasms [Pavel, M et al; doi.org/10.1016/j.annonc.2020.03.304 (Open Archive)]</w:t>
      </w:r>
    </w:p>
    <w:p w14:paraId="76839FC1" w14:textId="555647EA" w:rsidR="007B3B74" w:rsidRDefault="007B3B74" w:rsidP="00432D5F">
      <w:pPr>
        <w:pStyle w:val="ListParagraph"/>
        <w:ind w:left="0"/>
        <w:jc w:val="center"/>
        <w:rPr>
          <w:b/>
          <w:szCs w:val="20"/>
        </w:rPr>
      </w:pPr>
      <w:r>
        <w:rPr>
          <w:b/>
          <w:noProof/>
          <w:szCs w:val="20"/>
        </w:rPr>
        <w:lastRenderedPageBreak/>
        <w:drawing>
          <wp:inline distT="0" distB="0" distL="0" distR="0" wp14:anchorId="348D513A" wp14:editId="3A6BDAF5">
            <wp:extent cx="6002595" cy="5610225"/>
            <wp:effectExtent l="0" t="0" r="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pic:cNvPicPr/>
                  </pic:nvPicPr>
                  <pic:blipFill>
                    <a:blip r:embed="rId12">
                      <a:extLst>
                        <a:ext uri="{28A0092B-C50C-407E-A947-70E740481C1C}">
                          <a14:useLocalDpi xmlns:a14="http://schemas.microsoft.com/office/drawing/2010/main" val="0"/>
                        </a:ext>
                      </a:extLst>
                    </a:blip>
                    <a:stretch>
                      <a:fillRect/>
                    </a:stretch>
                  </pic:blipFill>
                  <pic:spPr>
                    <a:xfrm>
                      <a:off x="0" y="0"/>
                      <a:ext cx="6007305" cy="5614628"/>
                    </a:xfrm>
                    <a:prstGeom prst="rect">
                      <a:avLst/>
                    </a:prstGeom>
                  </pic:spPr>
                </pic:pic>
              </a:graphicData>
            </a:graphic>
          </wp:inline>
        </w:drawing>
      </w:r>
    </w:p>
    <w:p w14:paraId="47DFDDFF" w14:textId="45B08989" w:rsidR="00432D5F" w:rsidRDefault="00432D5F" w:rsidP="00432D5F">
      <w:pPr>
        <w:ind w:left="720" w:hanging="578"/>
      </w:pPr>
      <w:r>
        <w:rPr>
          <w:b/>
          <w:szCs w:val="20"/>
        </w:rPr>
        <w:t xml:space="preserve">Source: </w:t>
      </w:r>
      <w:r>
        <w:t xml:space="preserve">ESMO Clinical Practice Guidelines for diagnosis, </w:t>
      </w:r>
      <w:proofErr w:type="gramStart"/>
      <w:r>
        <w:t>treatment</w:t>
      </w:r>
      <w:proofErr w:type="gramEnd"/>
      <w:r>
        <w:t xml:space="preserve"> and follow-up of </w:t>
      </w:r>
      <w:proofErr w:type="spellStart"/>
      <w:r>
        <w:t>Gastropancreatic</w:t>
      </w:r>
      <w:proofErr w:type="spellEnd"/>
      <w:r>
        <w:t xml:space="preserve"> neuroendocrine neoplasms [Pavel, M et al; doi.org/10.1016/j.annonc.2020.03.304 (Open Archive)]</w:t>
      </w:r>
    </w:p>
    <w:p w14:paraId="20993572" w14:textId="77777777" w:rsidR="00432D5F" w:rsidRPr="00432D5F" w:rsidRDefault="00432D5F" w:rsidP="00432D5F">
      <w:pPr>
        <w:ind w:left="720" w:hanging="578"/>
        <w:rPr>
          <w:b/>
          <w:szCs w:val="20"/>
        </w:rPr>
      </w:pPr>
    </w:p>
    <w:p w14:paraId="7432C2D6" w14:textId="1B20CB79" w:rsidR="00095B45" w:rsidRDefault="00095B45" w:rsidP="00095B45">
      <w:pPr>
        <w:pStyle w:val="Heading2"/>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5A698FFD" w14:textId="1FC7F791" w:rsidR="0047363C" w:rsidRPr="0047363C" w:rsidRDefault="00ED7B28" w:rsidP="00FF0161">
      <w:pPr>
        <w:ind w:firstLine="360"/>
      </w:pPr>
      <w:r>
        <w:t>Please see response to 39.</w:t>
      </w:r>
    </w:p>
    <w:p w14:paraId="1EC5CDAE" w14:textId="77777777" w:rsidR="00095B45" w:rsidRPr="00095B45" w:rsidRDefault="00095B45" w:rsidP="008F1188">
      <w:pPr>
        <w:pStyle w:val="Subtitle"/>
        <w:ind w:left="0"/>
      </w:pPr>
      <w:r w:rsidRPr="00095B45">
        <w:t>PART 6d – INFORMATION ABOUT CLINICAL OUTCOMES</w:t>
      </w:r>
    </w:p>
    <w:p w14:paraId="25704DDA"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0675C2A" w14:textId="3BEB91F3" w:rsidR="004E3CC7" w:rsidRDefault="00BA7320" w:rsidP="001B29A1">
      <w:pPr>
        <w:ind w:left="426"/>
      </w:pPr>
      <w:r>
        <w:t>In suitable patients</w:t>
      </w:r>
      <w:r w:rsidR="00E22E14">
        <w:t xml:space="preserve"> </w:t>
      </w:r>
      <w:r w:rsidR="00A9216A" w:rsidRPr="00193D3A">
        <w:rPr>
          <w:bCs/>
          <w:vertAlign w:val="superscript"/>
        </w:rPr>
        <w:t>177</w:t>
      </w:r>
      <w:r w:rsidR="00A9216A" w:rsidRPr="00193D3A">
        <w:rPr>
          <w:bCs/>
        </w:rPr>
        <w:t>Lutetium(</w:t>
      </w:r>
      <w:proofErr w:type="spellStart"/>
      <w:r w:rsidR="00A9216A" w:rsidRPr="00193D3A">
        <w:rPr>
          <w:bCs/>
        </w:rPr>
        <w:t>nca</w:t>
      </w:r>
      <w:proofErr w:type="spellEnd"/>
      <w:r w:rsidR="00A9216A" w:rsidRPr="00193D3A">
        <w:rPr>
          <w:bCs/>
        </w:rPr>
        <w:t xml:space="preserve">) </w:t>
      </w:r>
      <w:proofErr w:type="spellStart"/>
      <w:r w:rsidR="00A9216A" w:rsidRPr="00193D3A">
        <w:rPr>
          <w:bCs/>
        </w:rPr>
        <w:t>Octreotate</w:t>
      </w:r>
      <w:proofErr w:type="spellEnd"/>
      <w:r w:rsidR="00A9216A">
        <w:rPr>
          <w:bCs/>
        </w:rPr>
        <w:t xml:space="preserve"> </w:t>
      </w:r>
      <w:r w:rsidR="00A9216A">
        <w:t>treatment</w:t>
      </w:r>
      <w:r w:rsidR="00855BE8">
        <w:t xml:space="preserve"> </w:t>
      </w:r>
      <w:r w:rsidR="00E22E14">
        <w:t>improves patient’s</w:t>
      </w:r>
      <w:r w:rsidR="00855BE8">
        <w:t xml:space="preserve"> quality of life </w:t>
      </w:r>
    </w:p>
    <w:p w14:paraId="2BC6F209" w14:textId="71E89181" w:rsidR="00BA7320" w:rsidRDefault="00BA7320" w:rsidP="00BA7320">
      <w:pPr>
        <w:ind w:left="426"/>
      </w:pPr>
      <w:r>
        <w:t xml:space="preserve">In suitable patients </w:t>
      </w:r>
      <w:r w:rsidR="001D18A2" w:rsidRPr="00193D3A">
        <w:rPr>
          <w:bCs/>
          <w:vertAlign w:val="superscript"/>
        </w:rPr>
        <w:t>177</w:t>
      </w:r>
      <w:r w:rsidR="001D18A2" w:rsidRPr="00193D3A">
        <w:rPr>
          <w:bCs/>
        </w:rPr>
        <w:t>Lutetium(</w:t>
      </w:r>
      <w:proofErr w:type="spellStart"/>
      <w:r w:rsidR="001D18A2" w:rsidRPr="00193D3A">
        <w:rPr>
          <w:bCs/>
        </w:rPr>
        <w:t>nca</w:t>
      </w:r>
      <w:proofErr w:type="spellEnd"/>
      <w:r w:rsidR="001D18A2" w:rsidRPr="00193D3A">
        <w:rPr>
          <w:bCs/>
        </w:rPr>
        <w:t xml:space="preserve">) </w:t>
      </w:r>
      <w:proofErr w:type="spellStart"/>
      <w:r w:rsidR="001D18A2" w:rsidRPr="00193D3A">
        <w:rPr>
          <w:bCs/>
        </w:rPr>
        <w:t>Octreotate</w:t>
      </w:r>
      <w:proofErr w:type="spellEnd"/>
      <w:r w:rsidR="001D18A2">
        <w:rPr>
          <w:bCs/>
        </w:rPr>
        <w:t xml:space="preserve"> </w:t>
      </w:r>
      <w:r w:rsidR="001D18A2">
        <w:t xml:space="preserve">treatment </w:t>
      </w:r>
      <w:r>
        <w:t xml:space="preserve">results in greater </w:t>
      </w:r>
      <w:r w:rsidR="00855BE8">
        <w:t>reduc</w:t>
      </w:r>
      <w:r>
        <w:t>tion of</w:t>
      </w:r>
      <w:r w:rsidR="00855BE8">
        <w:t xml:space="preserve"> morbidity related to excessive secretion of hormonal products </w:t>
      </w:r>
      <w:r>
        <w:t>than relevant comparator treatments</w:t>
      </w:r>
    </w:p>
    <w:p w14:paraId="02FC93D9" w14:textId="2B9440EA" w:rsidR="00855BE8" w:rsidRDefault="00BA7320" w:rsidP="001B29A1">
      <w:pPr>
        <w:ind w:left="426"/>
      </w:pPr>
      <w:r>
        <w:t xml:space="preserve">In suitable patients </w:t>
      </w:r>
      <w:r w:rsidR="00A9216A" w:rsidRPr="00193D3A">
        <w:rPr>
          <w:bCs/>
          <w:vertAlign w:val="superscript"/>
        </w:rPr>
        <w:t>177</w:t>
      </w:r>
      <w:r w:rsidR="00A9216A" w:rsidRPr="00193D3A">
        <w:rPr>
          <w:bCs/>
        </w:rPr>
        <w:t>Lutetium(</w:t>
      </w:r>
      <w:proofErr w:type="spellStart"/>
      <w:r w:rsidR="00A9216A" w:rsidRPr="00193D3A">
        <w:rPr>
          <w:bCs/>
        </w:rPr>
        <w:t>nca</w:t>
      </w:r>
      <w:proofErr w:type="spellEnd"/>
      <w:r w:rsidR="00A9216A" w:rsidRPr="00193D3A">
        <w:rPr>
          <w:bCs/>
        </w:rPr>
        <w:t xml:space="preserve">) </w:t>
      </w:r>
      <w:proofErr w:type="spellStart"/>
      <w:r w:rsidR="00A9216A" w:rsidRPr="00193D3A">
        <w:rPr>
          <w:bCs/>
        </w:rPr>
        <w:t>Octreotate</w:t>
      </w:r>
      <w:proofErr w:type="spellEnd"/>
      <w:r w:rsidR="00A9216A">
        <w:rPr>
          <w:bCs/>
        </w:rPr>
        <w:t xml:space="preserve"> </w:t>
      </w:r>
      <w:r w:rsidR="00A9216A">
        <w:t xml:space="preserve">treatment </w:t>
      </w:r>
      <w:r w:rsidR="00C14942">
        <w:t xml:space="preserve">results in improved </w:t>
      </w:r>
      <w:r w:rsidR="00A5334A">
        <w:t xml:space="preserve">progression free and overall survival </w:t>
      </w:r>
      <w:r w:rsidR="00C14942">
        <w:t>duration than relevant comparator treatments</w:t>
      </w:r>
    </w:p>
    <w:p w14:paraId="1D216E39" w14:textId="4D2E942C" w:rsidR="00A5334A" w:rsidRDefault="00A9216A" w:rsidP="001B29A1">
      <w:pPr>
        <w:ind w:left="426"/>
      </w:pP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Pr>
          <w:bCs/>
        </w:rPr>
        <w:t xml:space="preserve"> </w:t>
      </w:r>
      <w:r>
        <w:t xml:space="preserve">treatment </w:t>
      </w:r>
      <w:r w:rsidR="00C14942">
        <w:t xml:space="preserve">has less </w:t>
      </w:r>
      <w:r w:rsidR="00A5334A">
        <w:t>sever</w:t>
      </w:r>
      <w:r w:rsidR="00C14942">
        <w:t>e</w:t>
      </w:r>
      <w:r w:rsidR="00A5334A">
        <w:t xml:space="preserve"> and </w:t>
      </w:r>
      <w:r w:rsidR="00C14942">
        <w:t xml:space="preserve">less </w:t>
      </w:r>
      <w:r w:rsidR="00A5334A">
        <w:t>frequen</w:t>
      </w:r>
      <w:r w:rsidR="00C14942">
        <w:t>t</w:t>
      </w:r>
      <w:r w:rsidR="00A5334A">
        <w:t xml:space="preserve"> related treatment emergent adverse effects</w:t>
      </w:r>
      <w:r w:rsidR="00C14942">
        <w:t xml:space="preserve"> than relevant comparator treatments</w:t>
      </w:r>
    </w:p>
    <w:p w14:paraId="5F569AA7" w14:textId="7E145FD5" w:rsidR="00C14942" w:rsidRDefault="00A9216A" w:rsidP="001B29A1">
      <w:pPr>
        <w:ind w:left="426"/>
      </w:pPr>
      <w:r w:rsidRPr="00193D3A">
        <w:rPr>
          <w:bCs/>
          <w:vertAlign w:val="superscript"/>
        </w:rPr>
        <w:lastRenderedPageBreak/>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Pr>
          <w:bCs/>
        </w:rPr>
        <w:t xml:space="preserve"> </w:t>
      </w:r>
      <w:r>
        <w:t xml:space="preserve">treatment </w:t>
      </w:r>
      <w:r w:rsidR="00C14942">
        <w:t>does not increase kidney or other organ dysfunction at a greater rate than relevant comparator treatments</w:t>
      </w:r>
    </w:p>
    <w:p w14:paraId="12058EE5" w14:textId="272F74DD" w:rsidR="00A5334A" w:rsidRDefault="00A9216A" w:rsidP="001B29A1">
      <w:pPr>
        <w:ind w:left="426"/>
      </w:pP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Pr>
          <w:bCs/>
        </w:rPr>
        <w:t xml:space="preserve"> </w:t>
      </w:r>
      <w:r>
        <w:t xml:space="preserve">treatment </w:t>
      </w:r>
      <w:r w:rsidR="00A5334A">
        <w:t xml:space="preserve">results in a </w:t>
      </w:r>
      <w:r w:rsidR="00C14942">
        <w:t xml:space="preserve">greater incidence </w:t>
      </w:r>
      <w:r w:rsidR="00A5334A">
        <w:t>(2</w:t>
      </w:r>
      <w:r w:rsidR="00BA4B8C">
        <w:t>-3</w:t>
      </w:r>
      <w:r w:rsidR="00A5334A">
        <w:t xml:space="preserve">% incidence) </w:t>
      </w:r>
      <w:r w:rsidR="00E50371">
        <w:t xml:space="preserve">than relevant comparator treatments </w:t>
      </w:r>
      <w:r w:rsidR="00A5334A">
        <w:t xml:space="preserve">of </w:t>
      </w:r>
      <w:r w:rsidR="00BA7320">
        <w:t>myelodysplastic syndrome that may precede fatal blood dyscrasias</w:t>
      </w:r>
      <w:r w:rsidR="00C14942">
        <w:t xml:space="preserve"> </w:t>
      </w:r>
    </w:p>
    <w:p w14:paraId="7847AB65" w14:textId="77777777" w:rsidR="004E3CC7" w:rsidRDefault="0047363C" w:rsidP="00943A5E">
      <w:pPr>
        <w:pStyle w:val="Heading2"/>
      </w:pPr>
      <w:r w:rsidRPr="0047363C">
        <w:t>Please state what the overall clinical claim is</w:t>
      </w:r>
      <w:r>
        <w:t>:</w:t>
      </w:r>
    </w:p>
    <w:p w14:paraId="7087305C" w14:textId="6E2DD1D5" w:rsidR="0047363C" w:rsidRPr="0047363C" w:rsidRDefault="003D4FA6" w:rsidP="0047363C">
      <w:pPr>
        <w:ind w:left="426"/>
        <w:rPr>
          <w:noProof/>
        </w:rPr>
      </w:pPr>
      <w:r>
        <w:rPr>
          <w:noProof/>
        </w:rPr>
        <w:t xml:space="preserve">Compared to alternative active and supportive care strategies </w:t>
      </w:r>
      <w:r w:rsidR="0066286A" w:rsidRPr="00D00FB9">
        <w:rPr>
          <w:noProof/>
          <w:vertAlign w:val="superscript"/>
        </w:rPr>
        <w:t>177</w:t>
      </w:r>
      <w:r w:rsidR="0066286A">
        <w:rPr>
          <w:noProof/>
        </w:rPr>
        <w:t>Lu(nca)</w:t>
      </w:r>
      <w:r w:rsidR="00D01949">
        <w:rPr>
          <w:noProof/>
        </w:rPr>
        <w:t>o</w:t>
      </w:r>
      <w:r w:rsidR="0066286A">
        <w:rPr>
          <w:noProof/>
        </w:rPr>
        <w:t xml:space="preserve">ctreotate </w:t>
      </w:r>
      <w:r w:rsidR="00F93EE3">
        <w:rPr>
          <w:noProof/>
        </w:rPr>
        <w:t xml:space="preserve">treatment </w:t>
      </w:r>
      <w:r w:rsidR="00D75B24">
        <w:rPr>
          <w:noProof/>
        </w:rPr>
        <w:t xml:space="preserve">improves quality </w:t>
      </w:r>
      <w:r>
        <w:rPr>
          <w:noProof/>
        </w:rPr>
        <w:t xml:space="preserve">of life </w:t>
      </w:r>
      <w:r w:rsidR="00D75B24">
        <w:rPr>
          <w:noProof/>
        </w:rPr>
        <w:t xml:space="preserve">and extends the duration of life </w:t>
      </w:r>
      <w:r w:rsidR="00D01949">
        <w:rPr>
          <w:noProof/>
        </w:rPr>
        <w:t>i</w:t>
      </w:r>
      <w:r w:rsidR="0066286A">
        <w:rPr>
          <w:noProof/>
        </w:rPr>
        <w:t xml:space="preserve">n suitable patients </w:t>
      </w:r>
      <w:r w:rsidR="00D01949">
        <w:rPr>
          <w:noProof/>
        </w:rPr>
        <w:t xml:space="preserve">with </w:t>
      </w:r>
      <w:r w:rsidR="00A9216A">
        <w:rPr>
          <w:noProof/>
        </w:rPr>
        <w:t>H-SSTR</w:t>
      </w:r>
      <w:r>
        <w:rPr>
          <w:noProof/>
        </w:rPr>
        <w:t xml:space="preserve"> defined by </w:t>
      </w:r>
      <w:r w:rsidR="00F93EE3">
        <w:rPr>
          <w:noProof/>
        </w:rPr>
        <w:t>molecular imaging</w:t>
      </w:r>
      <w:r>
        <w:rPr>
          <w:noProof/>
        </w:rPr>
        <w:t>.</w:t>
      </w:r>
      <w:r w:rsidR="00F93EE3">
        <w:rPr>
          <w:noProof/>
        </w:rPr>
        <w:t xml:space="preserve"> </w:t>
      </w:r>
    </w:p>
    <w:p w14:paraId="4552AF9F" w14:textId="77777777" w:rsidR="003D4FA6" w:rsidRDefault="003D4FA6" w:rsidP="003D4FA6">
      <w:pPr>
        <w:pStyle w:val="Heading2"/>
        <w:numPr>
          <w:ilvl w:val="0"/>
          <w:numId w:val="0"/>
        </w:numPr>
        <w:ind w:left="360"/>
      </w:pPr>
    </w:p>
    <w:p w14:paraId="0D571E34" w14:textId="23A9D4BA"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00C16877">
        <w:t>s</w:t>
      </w:r>
      <w:r w:rsidRPr="00E6222F">
        <w:t>ervice/technology (versus the comparator)</w:t>
      </w:r>
      <w:r w:rsidR="00CD6981">
        <w:t>:</w:t>
      </w:r>
    </w:p>
    <w:p w14:paraId="15DD638A" w14:textId="77777777" w:rsidR="00376779" w:rsidRDefault="00376779" w:rsidP="00943A5E">
      <w:pPr>
        <w:ind w:left="360"/>
      </w:pPr>
      <w:r>
        <w:t xml:space="preserve">Quality of Life </w:t>
      </w:r>
    </w:p>
    <w:p w14:paraId="622E7034" w14:textId="717E9040" w:rsidR="00943A5E" w:rsidRDefault="0066286A" w:rsidP="00943A5E">
      <w:pPr>
        <w:ind w:left="360"/>
      </w:pPr>
      <w:r>
        <w:t xml:space="preserve">Symptomatic control </w:t>
      </w:r>
      <w:r w:rsidR="00376779">
        <w:t>of excess hormone secretion and bone pain</w:t>
      </w:r>
    </w:p>
    <w:p w14:paraId="625902B4" w14:textId="4F0F780E" w:rsidR="00057D14" w:rsidRDefault="00057D14" w:rsidP="00943A5E">
      <w:pPr>
        <w:ind w:left="360"/>
      </w:pPr>
      <w:r>
        <w:t xml:space="preserve">Survival </w:t>
      </w:r>
      <w:r w:rsidR="00D01949">
        <w:t xml:space="preserve">Duration </w:t>
      </w:r>
      <w:r>
        <w:t xml:space="preserve">(overall and progression free) </w:t>
      </w:r>
    </w:p>
    <w:p w14:paraId="38B6D947" w14:textId="227CE443" w:rsidR="0066286A" w:rsidRDefault="00D01949" w:rsidP="00943A5E">
      <w:pPr>
        <w:ind w:left="360"/>
      </w:pPr>
      <w:r>
        <w:t>B</w:t>
      </w:r>
      <w:r w:rsidR="0066286A">
        <w:t>iomarkers</w:t>
      </w:r>
      <w:r>
        <w:t xml:space="preserve"> relevant to patient important outcomes </w:t>
      </w:r>
      <w:r w:rsidR="000D3960">
        <w:t xml:space="preserve">including </w:t>
      </w:r>
      <w:r w:rsidR="0066286A">
        <w:t>Chromogranin A and specific hormones secreted to excess (insulin, gastrin, somatostatin, VIP, CARCINOID)</w:t>
      </w:r>
    </w:p>
    <w:p w14:paraId="40FE1A95" w14:textId="39D0B2E5" w:rsidR="00D01949" w:rsidRDefault="00D01949" w:rsidP="00943A5E">
      <w:pPr>
        <w:ind w:left="360"/>
      </w:pPr>
      <w:r>
        <w:t>Related Treatment Emergent Adverse Effects</w:t>
      </w:r>
    </w:p>
    <w:p w14:paraId="132F966C" w14:textId="5986A0B6" w:rsidR="0066286A" w:rsidRPr="00943A5E" w:rsidRDefault="0066286A" w:rsidP="00943A5E">
      <w:pPr>
        <w:ind w:left="360"/>
      </w:pPr>
    </w:p>
    <w:p w14:paraId="2A936763"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3F21B67"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05549E16" w14:textId="3F65D6F4" w:rsidR="003114FC" w:rsidRDefault="003114FC" w:rsidP="00AE1188">
      <w:pPr>
        <w:ind w:left="426"/>
        <w:rPr>
          <w:rFonts w:cstheme="minorHAnsi"/>
          <w:color w:val="1C1D1E"/>
          <w:shd w:val="clear" w:color="auto" w:fill="FFFFFF"/>
        </w:rPr>
      </w:pPr>
      <w:r>
        <w:t xml:space="preserve">Michael </w:t>
      </w:r>
      <w:r w:rsidRPr="003114FC">
        <w:rPr>
          <w:rFonts w:cstheme="minorHAnsi"/>
        </w:rPr>
        <w:t xml:space="preserve">et al </w:t>
      </w:r>
      <w:r w:rsidRPr="00461F4D">
        <w:rPr>
          <w:rFonts w:cstheme="minorHAnsi"/>
          <w:color w:val="1C1D1E"/>
          <w:shd w:val="clear" w:color="auto" w:fill="FFFFFF"/>
        </w:rPr>
        <w:t>identified all NET from the Victorian Cancer Registry over four time periods: 1982–1989, 1990–1999, 2000—2009, and 2010–2019. Data collected included primary tumo</w:t>
      </w:r>
      <w:r w:rsidR="00461F4D">
        <w:rPr>
          <w:rFonts w:cstheme="minorHAnsi"/>
          <w:color w:val="1C1D1E"/>
          <w:shd w:val="clear" w:color="auto" w:fill="FFFFFF"/>
        </w:rPr>
        <w:t>u</w:t>
      </w:r>
      <w:r w:rsidRPr="00461F4D">
        <w:rPr>
          <w:rFonts w:cstheme="minorHAnsi"/>
          <w:color w:val="1C1D1E"/>
          <w:shd w:val="clear" w:color="auto" w:fill="FFFFFF"/>
        </w:rPr>
        <w:t>r site, histological grade, gender, overall survival (OS), and place of residence. Incidence data were analy</w:t>
      </w:r>
      <w:r w:rsidR="00461F4D">
        <w:rPr>
          <w:rFonts w:cstheme="minorHAnsi"/>
          <w:color w:val="1C1D1E"/>
          <w:shd w:val="clear" w:color="auto" w:fill="FFFFFF"/>
        </w:rPr>
        <w:t>s</w:t>
      </w:r>
      <w:r w:rsidRPr="00461F4D">
        <w:rPr>
          <w:rFonts w:cstheme="minorHAnsi"/>
          <w:color w:val="1C1D1E"/>
          <w:shd w:val="clear" w:color="auto" w:fill="FFFFFF"/>
        </w:rPr>
        <w:t>ed with the generation of annual standardized rates (ASR). OS was assessed for the entire cohort and between geographical regions.</w:t>
      </w:r>
      <w:r>
        <w:rPr>
          <w:rFonts w:cstheme="minorHAnsi"/>
          <w:color w:val="1C1D1E"/>
          <w:shd w:val="clear" w:color="auto" w:fill="FFFFFF"/>
        </w:rPr>
        <w:t xml:space="preserve"> </w:t>
      </w:r>
    </w:p>
    <w:p w14:paraId="4B675911" w14:textId="49C6AE58" w:rsidR="003114FC" w:rsidRPr="003114FC" w:rsidRDefault="003114FC" w:rsidP="00AE1188">
      <w:pPr>
        <w:ind w:left="426"/>
        <w:rPr>
          <w:rFonts w:cstheme="minorHAnsi"/>
          <w:color w:val="1C1D1E"/>
          <w:shd w:val="clear" w:color="auto" w:fill="FFFFFF"/>
        </w:rPr>
      </w:pPr>
      <w:r w:rsidRPr="00461F4D">
        <w:rPr>
          <w:rFonts w:cstheme="minorHAnsi"/>
          <w:color w:val="1C1D1E"/>
          <w:shd w:val="clear" w:color="auto" w:fill="FFFFFF"/>
        </w:rPr>
        <w:t>The overall NET population (1982–2019) included 8,106 patients: over 60% grade 1/2 NENs, especially small bowel and colorectal. The number of new diagnoses increased over three-fold over time for the overall cohort and by tumoral categories. The ASR increased similarly, especially pancreatic NENs (4.3-fold) and differed between genders. The 5-year OS rates and median OS increased over time for the overall cohort: from 52% to 67% (</w:t>
      </w:r>
      <w:r w:rsidRPr="00461F4D">
        <w:rPr>
          <w:rFonts w:cstheme="minorHAnsi"/>
          <w:i/>
          <w:iCs/>
          <w:color w:val="1C1D1E"/>
          <w:shd w:val="clear" w:color="auto" w:fill="FFFFFF"/>
        </w:rPr>
        <w:t>p</w:t>
      </w:r>
      <w:r w:rsidRPr="00461F4D">
        <w:rPr>
          <w:rFonts w:cstheme="minorHAnsi"/>
          <w:color w:val="1C1D1E"/>
          <w:shd w:val="clear" w:color="auto" w:fill="FFFFFF"/>
        </w:rPr>
        <w:t> &lt; 0.001). OS was greater for NEN patients residing in major cities relative to regional/remote areas (</w:t>
      </w:r>
      <w:r w:rsidRPr="00461F4D">
        <w:rPr>
          <w:rFonts w:cstheme="minorHAnsi"/>
          <w:i/>
          <w:iCs/>
          <w:color w:val="1C1D1E"/>
          <w:shd w:val="clear" w:color="auto" w:fill="FFFFFF"/>
        </w:rPr>
        <w:t>p</w:t>
      </w:r>
      <w:r w:rsidRPr="00461F4D">
        <w:rPr>
          <w:rFonts w:cstheme="minorHAnsi"/>
          <w:color w:val="1C1D1E"/>
          <w:shd w:val="clear" w:color="auto" w:fill="FFFFFF"/>
        </w:rPr>
        <w:t> = 0.01).</w:t>
      </w:r>
    </w:p>
    <w:p w14:paraId="2A12217A" w14:textId="40F42170" w:rsidR="006C74B1" w:rsidRPr="00154B00" w:rsidRDefault="00EC51EE" w:rsidP="00AE1188">
      <w:pPr>
        <w:ind w:left="426"/>
        <w:rPr>
          <w:szCs w:val="20"/>
        </w:rPr>
      </w:pPr>
      <w:r>
        <w:t xml:space="preserve">See: </w:t>
      </w:r>
      <w:proofErr w:type="spellStart"/>
      <w:r w:rsidRPr="00EC51EE">
        <w:t>doi</w:t>
      </w:r>
      <w:proofErr w:type="spellEnd"/>
      <w:r w:rsidRPr="00EC51EE">
        <w:t>: 10.1111/ajco.13671.</w:t>
      </w:r>
      <w:r>
        <w:t xml:space="preserve"> </w:t>
      </w:r>
    </w:p>
    <w:p w14:paraId="149AFDE5"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190AF2FD" w14:textId="6DDBEB7B" w:rsidR="00382407" w:rsidRPr="00154B00" w:rsidRDefault="00EC4B4D" w:rsidP="00AE1188">
      <w:pPr>
        <w:ind w:left="426"/>
        <w:rPr>
          <w:szCs w:val="20"/>
        </w:rPr>
      </w:pPr>
      <w:r>
        <w:t>In most patients and induction course of 177Lu (</w:t>
      </w:r>
      <w:proofErr w:type="spellStart"/>
      <w:r>
        <w:t>nca</w:t>
      </w:r>
      <w:proofErr w:type="spellEnd"/>
      <w:r>
        <w:t xml:space="preserve">) </w:t>
      </w:r>
      <w:proofErr w:type="spellStart"/>
      <w:r>
        <w:t>Octreotate</w:t>
      </w:r>
      <w:proofErr w:type="spellEnd"/>
      <w:r>
        <w:t xml:space="preserve"> involves 4</w:t>
      </w:r>
      <w:r w:rsidR="00EC51EE">
        <w:t>-5</w:t>
      </w:r>
      <w:r>
        <w:t xml:space="preserve"> administrations 6-</w:t>
      </w:r>
      <w:r w:rsidR="00EC51EE">
        <w:t xml:space="preserve">12 weeks </w:t>
      </w:r>
      <w:r>
        <w:t>apart and this is the maximum number of services that would be usually administered to an individual patient in a single year</w:t>
      </w:r>
      <w:r w:rsidR="00EC51EE">
        <w:t>.</w:t>
      </w:r>
    </w:p>
    <w:p w14:paraId="5418A19C" w14:textId="77777777" w:rsidR="00382407" w:rsidRPr="00154B00" w:rsidRDefault="00382407" w:rsidP="00530204">
      <w:pPr>
        <w:pStyle w:val="Heading2"/>
      </w:pPr>
      <w:r w:rsidRPr="00154B00">
        <w:t>How many years would the proposed medical service</w:t>
      </w:r>
      <w:r w:rsidR="00FC1607">
        <w:t>/technology</w:t>
      </w:r>
      <w:r w:rsidRPr="00154B00">
        <w:t xml:space="preserve"> be required for the patient?</w:t>
      </w:r>
    </w:p>
    <w:p w14:paraId="2F835D9B" w14:textId="4A951D77" w:rsidR="003903D4" w:rsidRDefault="00EC4B4D" w:rsidP="00AE1188">
      <w:pPr>
        <w:ind w:left="426"/>
      </w:pPr>
      <w:r>
        <w:t xml:space="preserve">This is </w:t>
      </w:r>
      <w:r w:rsidR="00277363">
        <w:t xml:space="preserve">highly variable </w:t>
      </w:r>
      <w:r w:rsidR="003903D4">
        <w:t xml:space="preserve">in this heterogeneous disease and </w:t>
      </w:r>
      <w:r>
        <w:t>depend</w:t>
      </w:r>
      <w:r w:rsidR="003903D4">
        <w:t xml:space="preserve">s </w:t>
      </w:r>
      <w:proofErr w:type="gramStart"/>
      <w:r>
        <w:t>upon</w:t>
      </w:r>
      <w:r w:rsidR="00EC51EE">
        <w:t>;</w:t>
      </w:r>
      <w:proofErr w:type="gramEnd"/>
    </w:p>
    <w:p w14:paraId="7B9FF2C1" w14:textId="2E7754D9" w:rsidR="003903D4" w:rsidRDefault="00EC4B4D" w:rsidP="00AE1188">
      <w:pPr>
        <w:ind w:left="426"/>
      </w:pPr>
      <w:r>
        <w:t xml:space="preserve"> </w:t>
      </w:r>
      <w:r w:rsidR="00090F30">
        <w:t>T</w:t>
      </w:r>
      <w:r>
        <w:t xml:space="preserve">he individual patient response to the induction treatment </w:t>
      </w:r>
      <w:r w:rsidR="00277363">
        <w:t>cycle</w:t>
      </w:r>
    </w:p>
    <w:p w14:paraId="744D7002" w14:textId="0853B38F" w:rsidR="003903D4" w:rsidRDefault="00277363" w:rsidP="00AE1188">
      <w:pPr>
        <w:ind w:left="426"/>
      </w:pPr>
      <w:r>
        <w:t xml:space="preserve"> </w:t>
      </w:r>
      <w:r w:rsidR="00090F30">
        <w:t>T</w:t>
      </w:r>
      <w:r w:rsidR="00EC4B4D">
        <w:t xml:space="preserve">he </w:t>
      </w:r>
      <w:r w:rsidR="003903D4">
        <w:t>tumour grade and associated rate of tumour progression</w:t>
      </w:r>
    </w:p>
    <w:p w14:paraId="4FFCC55F" w14:textId="42F76B29" w:rsidR="00382407" w:rsidRDefault="00EC4B4D" w:rsidP="00AE1188">
      <w:pPr>
        <w:ind w:left="426"/>
      </w:pPr>
      <w:r>
        <w:t xml:space="preserve"> </w:t>
      </w:r>
      <w:r w:rsidR="00090F30">
        <w:t>T</w:t>
      </w:r>
      <w:r w:rsidR="003903D4">
        <w:t xml:space="preserve">he </w:t>
      </w:r>
      <w:r w:rsidR="00090F30">
        <w:t xml:space="preserve">uncommon </w:t>
      </w:r>
      <w:r w:rsidR="003903D4">
        <w:t xml:space="preserve">occurrence of treatment limiting adverse effects </w:t>
      </w:r>
    </w:p>
    <w:p w14:paraId="6A2B0E86" w14:textId="34006094" w:rsidR="003903D4" w:rsidRDefault="00090F30" w:rsidP="00AE1188">
      <w:pPr>
        <w:ind w:left="426"/>
      </w:pPr>
      <w:r>
        <w:t>T</w:t>
      </w:r>
      <w:r w:rsidR="003903D4">
        <w:t>he occurrence of tumour de-differentiation to forms that do not demonstrate high somatostatin receptor expression</w:t>
      </w:r>
    </w:p>
    <w:p w14:paraId="77CE3451" w14:textId="29EA70F7" w:rsidR="00AF23FC" w:rsidRDefault="00090F30" w:rsidP="00AE1188">
      <w:pPr>
        <w:ind w:left="426"/>
      </w:pPr>
      <w:r>
        <w:t>T</w:t>
      </w:r>
      <w:r w:rsidR="003903D4">
        <w:t>he severity and tempo of patient symptoms of pain or related to the effects of excess hormone production</w:t>
      </w:r>
      <w:r w:rsidR="00AF23FC">
        <w:t>.</w:t>
      </w:r>
    </w:p>
    <w:p w14:paraId="53CCB80A" w14:textId="148FC476" w:rsidR="003903D4" w:rsidRPr="00154B00" w:rsidRDefault="00AF23FC" w:rsidP="00D00FB9">
      <w:pPr>
        <w:ind w:left="360"/>
        <w:rPr>
          <w:b/>
          <w:szCs w:val="20"/>
        </w:rPr>
      </w:pPr>
      <w:r>
        <w:t xml:space="preserve">Some patients, particularly patients with G1 and G2 tumours who respond well to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Pr>
          <w:bCs/>
        </w:rPr>
        <w:t xml:space="preserve"> </w:t>
      </w:r>
      <w:r>
        <w:t xml:space="preserve">treatment, survive for over a decade when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Pr>
          <w:bCs/>
        </w:rPr>
        <w:t xml:space="preserve"> </w:t>
      </w:r>
      <w:r>
        <w:t>treatment is used optimally in combination with best supportive care and other active treatments such as where indicated.</w:t>
      </w:r>
    </w:p>
    <w:p w14:paraId="2F2CB656"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26FD9FC" w14:textId="24876FD0" w:rsidR="00AF23FC" w:rsidRDefault="00AF23FC" w:rsidP="00AF23FC">
      <w:pPr>
        <w:ind w:left="426"/>
      </w:pPr>
      <w:r w:rsidRPr="00AF23FC">
        <w:t xml:space="preserve">Data from Peter MacCallum Cancer Centre ENETS Centre of Excellence </w:t>
      </w:r>
      <w:r w:rsidR="00E64C79">
        <w:t xml:space="preserve">servicing predominantly </w:t>
      </w:r>
      <w:r w:rsidRPr="00AF23FC">
        <w:t>Victoria and Tasmania</w:t>
      </w:r>
      <w:r w:rsidR="00E64C79">
        <w:t xml:space="preserve"> </w:t>
      </w:r>
      <w:r w:rsidRPr="00AF23FC">
        <w:t>approximately 300 PRRT administrations were performed in 2019 and 2020, with slightly lower numbers in 2021 due to COVID-19 limitations on Tasmanian travel and travel restrictions.</w:t>
      </w:r>
    </w:p>
    <w:p w14:paraId="770AC96F" w14:textId="5035CE48" w:rsidR="00461F4D" w:rsidRDefault="00461F4D" w:rsidP="00AF23FC">
      <w:pPr>
        <w:ind w:left="426"/>
      </w:pPr>
      <w:r>
        <w:t xml:space="preserve">The administrations involved patients for induction </w:t>
      </w: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Pr>
          <w:bCs/>
        </w:rPr>
        <w:t xml:space="preserve"> </w:t>
      </w:r>
      <w:r>
        <w:t xml:space="preserve">treatment (approximately </w:t>
      </w:r>
      <w:r w:rsidR="00337EDE">
        <w:t>8</w:t>
      </w:r>
      <w:r>
        <w:t xml:space="preserve">0% receiving 4 administrations), re-treatment (approximately </w:t>
      </w:r>
      <w:r w:rsidR="00337EDE">
        <w:t>1</w:t>
      </w:r>
      <w:r>
        <w:t xml:space="preserve">0% receiving 2 administrations) and “maintenance” (approximately </w:t>
      </w:r>
      <w:r w:rsidR="00337EDE">
        <w:t>1</w:t>
      </w:r>
      <w:r>
        <w:t>0% receiving one admin</w:t>
      </w:r>
      <w:r w:rsidR="00E64C79">
        <w:t>i</w:t>
      </w:r>
      <w:r>
        <w:t>stration).</w:t>
      </w:r>
    </w:p>
    <w:p w14:paraId="034A7FD5" w14:textId="2ACA3D5C" w:rsidR="00461F4D" w:rsidRPr="00AF23FC" w:rsidRDefault="00461F4D" w:rsidP="00AF23FC">
      <w:pPr>
        <w:ind w:left="426"/>
      </w:pPr>
      <w:r>
        <w:t xml:space="preserve">It could be projected </w:t>
      </w:r>
      <w:proofErr w:type="gramStart"/>
      <w:r>
        <w:t>on the basis of</w:t>
      </w:r>
      <w:proofErr w:type="gramEnd"/>
      <w:r>
        <w:t xml:space="preserve"> this data that </w:t>
      </w:r>
      <w:r w:rsidR="00337EDE">
        <w:t>approximately 55 patients would utilise the proposed medical service in the first year of operation at established centres serving a population base of approximately 7 million people</w:t>
      </w:r>
      <w:r w:rsidR="00E64C79">
        <w:t>,</w:t>
      </w:r>
      <w:r w:rsidR="00337EDE">
        <w:t xml:space="preserve"> </w:t>
      </w:r>
      <w:r w:rsidR="00E64C79">
        <w:t>so</w:t>
      </w:r>
      <w:r w:rsidR="00337EDE">
        <w:t xml:space="preserve"> approximately 200 patients per year </w:t>
      </w:r>
      <w:r w:rsidR="00E64C79">
        <w:t xml:space="preserve">would be projected to </w:t>
      </w:r>
      <w:r w:rsidR="00337EDE">
        <w:t>utilis</w:t>
      </w:r>
      <w:r w:rsidR="00E64C79">
        <w:t>e</w:t>
      </w:r>
      <w:r w:rsidR="00337EDE">
        <w:t xml:space="preserve"> the proposed service when a network of suitable centres for </w:t>
      </w:r>
      <w:r w:rsidR="00E64C79">
        <w:t>treatment</w:t>
      </w:r>
      <w:r w:rsidR="00337EDE">
        <w:t xml:space="preserve"> was fully established across Australia. </w:t>
      </w:r>
      <w:r w:rsidR="00E64C79">
        <w:t>However, i</w:t>
      </w:r>
      <w:r w:rsidR="00337EDE">
        <w:t xml:space="preserve">t is unlikely that </w:t>
      </w:r>
      <w:r w:rsidR="00337EDE" w:rsidRPr="00E64C79">
        <w:rPr>
          <w:i/>
          <w:iCs/>
        </w:rPr>
        <w:t>in the first year of operation</w:t>
      </w:r>
      <w:r w:rsidR="00337EDE">
        <w:t xml:space="preserve"> this projected total number of patients who </w:t>
      </w:r>
      <w:r w:rsidR="00337EDE">
        <w:lastRenderedPageBreak/>
        <w:t xml:space="preserve">would ultimately utilise the service </w:t>
      </w:r>
      <w:r w:rsidR="00E64C79">
        <w:t>per</w:t>
      </w:r>
      <w:r w:rsidR="00337EDE">
        <w:t xml:space="preserve"> year would be reached</w:t>
      </w:r>
      <w:r w:rsidR="00E64C79">
        <w:t>, therefore</w:t>
      </w:r>
      <w:r w:rsidR="00337EDE">
        <w:t xml:space="preserve"> the applicant’s estimate is that 150 patients would u</w:t>
      </w:r>
      <w:r w:rsidR="00E64C79">
        <w:t xml:space="preserve">tilise the service </w:t>
      </w:r>
      <w:r w:rsidR="00337EDE">
        <w:t>in the first year of operation</w:t>
      </w:r>
      <w:r w:rsidR="00E64C79">
        <w:t>.</w:t>
      </w:r>
    </w:p>
    <w:p w14:paraId="615BDF80" w14:textId="380A4E1F" w:rsidR="00AE1188" w:rsidRPr="00154B00" w:rsidRDefault="00AE1188" w:rsidP="00AE1188">
      <w:pPr>
        <w:ind w:left="426"/>
        <w:rPr>
          <w:szCs w:val="20"/>
        </w:rPr>
      </w:pPr>
    </w:p>
    <w:p w14:paraId="1C9A1EAC"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5F9778E9" w14:textId="0112C604" w:rsidR="001B171D" w:rsidRPr="00154B00" w:rsidRDefault="00796F58" w:rsidP="00AE1188">
      <w:pPr>
        <w:ind w:left="426"/>
        <w:rPr>
          <w:szCs w:val="20"/>
        </w:rPr>
      </w:pPr>
      <w:r>
        <w:t xml:space="preserve">See response 47. </w:t>
      </w:r>
      <w:r w:rsidR="00AF23FC">
        <w:t xml:space="preserve">If the recommendation that access to the medical service is restricted to patients referred by a formally convened MDT with experience in management of NET patients, there is very little </w:t>
      </w:r>
      <w:r w:rsidR="0096474F">
        <w:t>risk of ‘leakage’ to populations not targeted by the service.</w:t>
      </w:r>
    </w:p>
    <w:p w14:paraId="510666F9" w14:textId="77777777" w:rsidR="003433D1" w:rsidRDefault="003433D1">
      <w:pPr>
        <w:rPr>
          <w:b/>
          <w:sz w:val="32"/>
          <w:szCs w:val="32"/>
        </w:rPr>
      </w:pPr>
      <w:r>
        <w:rPr>
          <w:b/>
          <w:sz w:val="32"/>
          <w:szCs w:val="32"/>
        </w:rPr>
        <w:br w:type="page"/>
      </w:r>
    </w:p>
    <w:p w14:paraId="7DA9409C"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61209EED"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B7DC67C" w14:textId="67AAF04C" w:rsidR="00951933" w:rsidRDefault="002D310B" w:rsidP="00AE1188">
      <w:pPr>
        <w:ind w:left="426"/>
        <w:rPr>
          <w:bCs/>
        </w:rPr>
      </w:pPr>
      <w:r>
        <w:t>The c</w:t>
      </w:r>
      <w:r w:rsidR="00BA5979">
        <w:t xml:space="preserve">ost of </w:t>
      </w:r>
      <w:r w:rsidR="00BA5979" w:rsidRPr="00193D3A">
        <w:rPr>
          <w:bCs/>
          <w:vertAlign w:val="superscript"/>
        </w:rPr>
        <w:t>177</w:t>
      </w:r>
      <w:r w:rsidR="00BA5979" w:rsidRPr="00193D3A">
        <w:rPr>
          <w:bCs/>
        </w:rPr>
        <w:t>Lutetium(</w:t>
      </w:r>
      <w:proofErr w:type="spellStart"/>
      <w:r w:rsidR="00BA5979" w:rsidRPr="00193D3A">
        <w:rPr>
          <w:bCs/>
        </w:rPr>
        <w:t>nca</w:t>
      </w:r>
      <w:proofErr w:type="spellEnd"/>
      <w:r w:rsidR="00BA5979" w:rsidRPr="00193D3A">
        <w:rPr>
          <w:bCs/>
        </w:rPr>
        <w:t xml:space="preserve">) </w:t>
      </w:r>
      <w:proofErr w:type="spellStart"/>
      <w:r w:rsidR="00BA5979" w:rsidRPr="00193D3A">
        <w:rPr>
          <w:bCs/>
        </w:rPr>
        <w:t>Octreotate</w:t>
      </w:r>
      <w:proofErr w:type="spellEnd"/>
      <w:r w:rsidR="00BA5979">
        <w:rPr>
          <w:bCs/>
        </w:rPr>
        <w:t xml:space="preserve"> </w:t>
      </w:r>
      <w:r w:rsidR="00896FD6">
        <w:rPr>
          <w:bCs/>
        </w:rPr>
        <w:t xml:space="preserve">supply from AMT </w:t>
      </w:r>
      <w:r w:rsidR="00BA5979">
        <w:rPr>
          <w:bCs/>
        </w:rPr>
        <w:t xml:space="preserve">is $8000 per 7.4 </w:t>
      </w:r>
      <w:proofErr w:type="spellStart"/>
      <w:r w:rsidR="00BA5979">
        <w:rPr>
          <w:bCs/>
        </w:rPr>
        <w:t>GBq</w:t>
      </w:r>
      <w:proofErr w:type="spellEnd"/>
      <w:r w:rsidR="00BA5979">
        <w:rPr>
          <w:bCs/>
        </w:rPr>
        <w:t xml:space="preserve"> </w:t>
      </w:r>
      <w:r w:rsidR="00D04696">
        <w:rPr>
          <w:bCs/>
        </w:rPr>
        <w:t xml:space="preserve">standard </w:t>
      </w:r>
      <w:r w:rsidR="00BA5979">
        <w:rPr>
          <w:bCs/>
        </w:rPr>
        <w:t>treatment dose</w:t>
      </w:r>
      <w:r w:rsidR="00D04696">
        <w:rPr>
          <w:bCs/>
        </w:rPr>
        <w:t>.</w:t>
      </w:r>
    </w:p>
    <w:p w14:paraId="7E82B59A" w14:textId="28A04AF6" w:rsidR="00D04696" w:rsidRDefault="00D04696" w:rsidP="00AE1188">
      <w:pPr>
        <w:ind w:left="426"/>
        <w:rPr>
          <w:bCs/>
        </w:rPr>
      </w:pPr>
      <w:r>
        <w:rPr>
          <w:bCs/>
        </w:rPr>
        <w:t xml:space="preserve">Other costs </w:t>
      </w:r>
      <w:r w:rsidR="002D310B">
        <w:rPr>
          <w:bCs/>
        </w:rPr>
        <w:t>related to</w:t>
      </w:r>
      <w:r>
        <w:rPr>
          <w:bCs/>
        </w:rPr>
        <w:t xml:space="preserve"> providing the proposed </w:t>
      </w:r>
      <w:r w:rsidR="002D310B">
        <w:rPr>
          <w:bCs/>
        </w:rPr>
        <w:t xml:space="preserve">medical </w:t>
      </w:r>
      <w:r>
        <w:rPr>
          <w:bCs/>
        </w:rPr>
        <w:t xml:space="preserve">service are identified in the attached Table and the applicants suggest that these services would be billed separately using existing or appropriately modified Item numbers that would allow the necessary associated services to be billed through the MBS. </w:t>
      </w:r>
    </w:p>
    <w:tbl>
      <w:tblPr>
        <w:tblStyle w:val="TableGrid"/>
        <w:tblW w:w="0" w:type="auto"/>
        <w:tblLook w:val="04A0" w:firstRow="1" w:lastRow="0" w:firstColumn="1" w:lastColumn="0" w:noHBand="0" w:noVBand="1"/>
      </w:tblPr>
      <w:tblGrid>
        <w:gridCol w:w="2252"/>
        <w:gridCol w:w="2252"/>
        <w:gridCol w:w="2253"/>
        <w:gridCol w:w="2253"/>
      </w:tblGrid>
      <w:tr w:rsidR="00D00FB9" w:rsidRPr="00C701D8" w14:paraId="59B219E5" w14:textId="77777777" w:rsidTr="00434B0F">
        <w:tc>
          <w:tcPr>
            <w:tcW w:w="2252" w:type="dxa"/>
          </w:tcPr>
          <w:p w14:paraId="67FB7BDC" w14:textId="77777777" w:rsidR="00D00FB9" w:rsidRPr="00A65EFD" w:rsidRDefault="00D00FB9" w:rsidP="00434B0F">
            <w:pPr>
              <w:jc w:val="center"/>
              <w:rPr>
                <w:rFonts w:cstheme="minorHAnsi"/>
                <w:b/>
                <w:bCs/>
                <w:szCs w:val="20"/>
              </w:rPr>
            </w:pPr>
            <w:r w:rsidRPr="00A65EFD">
              <w:rPr>
                <w:rFonts w:cstheme="minorHAnsi"/>
                <w:b/>
                <w:bCs/>
                <w:szCs w:val="20"/>
              </w:rPr>
              <w:t>Medical Service Type</w:t>
            </w:r>
          </w:p>
        </w:tc>
        <w:tc>
          <w:tcPr>
            <w:tcW w:w="2252" w:type="dxa"/>
          </w:tcPr>
          <w:p w14:paraId="35CB936B" w14:textId="77777777" w:rsidR="00D00FB9" w:rsidRPr="00A65EFD" w:rsidRDefault="00D00FB9" w:rsidP="00434B0F">
            <w:pPr>
              <w:jc w:val="center"/>
              <w:rPr>
                <w:rFonts w:cstheme="minorHAnsi"/>
                <w:b/>
                <w:bCs/>
                <w:szCs w:val="20"/>
              </w:rPr>
            </w:pPr>
            <w:r w:rsidRPr="00A65EFD">
              <w:rPr>
                <w:rFonts w:cstheme="minorHAnsi"/>
                <w:b/>
                <w:bCs/>
                <w:szCs w:val="20"/>
              </w:rPr>
              <w:t>Always required (Yes/No)</w:t>
            </w:r>
          </w:p>
        </w:tc>
        <w:tc>
          <w:tcPr>
            <w:tcW w:w="2253" w:type="dxa"/>
          </w:tcPr>
          <w:p w14:paraId="5DE34A4F" w14:textId="43251BB3" w:rsidR="00D00FB9" w:rsidRPr="00A65EFD" w:rsidRDefault="00D00FB9" w:rsidP="00434B0F">
            <w:pPr>
              <w:jc w:val="center"/>
              <w:rPr>
                <w:rFonts w:cstheme="minorHAnsi"/>
                <w:b/>
                <w:bCs/>
                <w:szCs w:val="20"/>
              </w:rPr>
            </w:pPr>
            <w:r w:rsidRPr="00A65EFD">
              <w:rPr>
                <w:rFonts w:cstheme="minorHAnsi"/>
                <w:b/>
                <w:bCs/>
                <w:szCs w:val="20"/>
              </w:rPr>
              <w:t>Aligned to existing Item number</w:t>
            </w:r>
          </w:p>
        </w:tc>
        <w:tc>
          <w:tcPr>
            <w:tcW w:w="2253" w:type="dxa"/>
          </w:tcPr>
          <w:p w14:paraId="73A69BC0" w14:textId="77777777" w:rsidR="00D00FB9" w:rsidRPr="00A65EFD" w:rsidRDefault="00D00FB9" w:rsidP="00434B0F">
            <w:pPr>
              <w:jc w:val="center"/>
              <w:rPr>
                <w:rFonts w:cstheme="minorHAnsi"/>
                <w:b/>
                <w:bCs/>
                <w:szCs w:val="20"/>
              </w:rPr>
            </w:pPr>
            <w:r w:rsidRPr="00A65EFD">
              <w:rPr>
                <w:rFonts w:cstheme="minorHAnsi"/>
                <w:b/>
                <w:bCs/>
                <w:szCs w:val="20"/>
              </w:rPr>
              <w:t>Cost</w:t>
            </w:r>
          </w:p>
        </w:tc>
      </w:tr>
      <w:tr w:rsidR="00D00FB9" w:rsidRPr="00C701D8" w14:paraId="1172A218" w14:textId="77777777" w:rsidTr="00434B0F">
        <w:tc>
          <w:tcPr>
            <w:tcW w:w="2252" w:type="dxa"/>
          </w:tcPr>
          <w:p w14:paraId="20985DDB" w14:textId="2EEE883E" w:rsidR="00D00FB9" w:rsidRPr="00C701D8" w:rsidRDefault="00D00FB9" w:rsidP="00434B0F">
            <w:pPr>
              <w:rPr>
                <w:rFonts w:cstheme="minorHAnsi"/>
                <w:szCs w:val="20"/>
              </w:rPr>
            </w:pPr>
            <w:r w:rsidRPr="00C701D8">
              <w:rPr>
                <w:rFonts w:cstheme="minorHAnsi"/>
                <w:bCs/>
                <w:szCs w:val="20"/>
                <w:vertAlign w:val="superscript"/>
              </w:rPr>
              <w:t>177</w:t>
            </w:r>
            <w:r w:rsidRPr="00C701D8">
              <w:rPr>
                <w:rFonts w:cstheme="minorHAnsi"/>
                <w:bCs/>
                <w:szCs w:val="20"/>
              </w:rPr>
              <w:t>Lutetium(</w:t>
            </w:r>
            <w:proofErr w:type="spellStart"/>
            <w:r w:rsidRPr="00C701D8">
              <w:rPr>
                <w:rFonts w:cstheme="minorHAnsi"/>
                <w:bCs/>
                <w:szCs w:val="20"/>
              </w:rPr>
              <w:t>nca</w:t>
            </w:r>
            <w:proofErr w:type="spellEnd"/>
            <w:r w:rsidRPr="00C701D8">
              <w:rPr>
                <w:rFonts w:cstheme="minorHAnsi"/>
                <w:bCs/>
                <w:szCs w:val="20"/>
              </w:rPr>
              <w:t xml:space="preserve">) </w:t>
            </w:r>
            <w:proofErr w:type="spellStart"/>
            <w:r w:rsidRPr="00C701D8">
              <w:rPr>
                <w:rFonts w:cstheme="minorHAnsi"/>
                <w:bCs/>
                <w:szCs w:val="20"/>
              </w:rPr>
              <w:t>Octreotate</w:t>
            </w:r>
            <w:proofErr w:type="spellEnd"/>
            <w:r w:rsidRPr="00C701D8">
              <w:rPr>
                <w:rFonts w:cstheme="minorHAnsi"/>
                <w:bCs/>
                <w:szCs w:val="20"/>
              </w:rPr>
              <w:t xml:space="preserve"> supply</w:t>
            </w:r>
            <w:r w:rsidR="00784792">
              <w:rPr>
                <w:rFonts w:cstheme="minorHAnsi"/>
                <w:bCs/>
                <w:szCs w:val="20"/>
              </w:rPr>
              <w:t xml:space="preserve"> costs</w:t>
            </w:r>
          </w:p>
        </w:tc>
        <w:tc>
          <w:tcPr>
            <w:tcW w:w="2252" w:type="dxa"/>
          </w:tcPr>
          <w:p w14:paraId="1055511C" w14:textId="77777777" w:rsidR="00D00FB9" w:rsidRPr="00C701D8" w:rsidRDefault="00D00FB9" w:rsidP="00434B0F">
            <w:pPr>
              <w:rPr>
                <w:rFonts w:cstheme="minorHAnsi"/>
                <w:szCs w:val="20"/>
              </w:rPr>
            </w:pPr>
            <w:r w:rsidRPr="00C701D8">
              <w:rPr>
                <w:rFonts w:cstheme="minorHAnsi"/>
                <w:szCs w:val="20"/>
              </w:rPr>
              <w:t>Yes</w:t>
            </w:r>
          </w:p>
        </w:tc>
        <w:tc>
          <w:tcPr>
            <w:tcW w:w="2253" w:type="dxa"/>
          </w:tcPr>
          <w:p w14:paraId="34155BA4" w14:textId="77777777" w:rsidR="00D00FB9" w:rsidRPr="00C701D8" w:rsidRDefault="00D00FB9" w:rsidP="00434B0F">
            <w:pPr>
              <w:rPr>
                <w:rFonts w:cstheme="minorHAnsi"/>
                <w:szCs w:val="20"/>
              </w:rPr>
            </w:pPr>
            <w:r w:rsidRPr="00C701D8">
              <w:rPr>
                <w:rFonts w:cstheme="minorHAnsi"/>
                <w:szCs w:val="20"/>
              </w:rPr>
              <w:t>No</w:t>
            </w:r>
          </w:p>
        </w:tc>
        <w:tc>
          <w:tcPr>
            <w:tcW w:w="2253" w:type="dxa"/>
          </w:tcPr>
          <w:p w14:paraId="32696C75" w14:textId="77777777" w:rsidR="00D00FB9" w:rsidRPr="00C701D8" w:rsidRDefault="00D00FB9" w:rsidP="00434B0F">
            <w:pPr>
              <w:rPr>
                <w:rFonts w:cstheme="minorHAnsi"/>
                <w:szCs w:val="20"/>
              </w:rPr>
            </w:pPr>
            <w:r w:rsidRPr="00C701D8">
              <w:rPr>
                <w:rFonts w:cstheme="minorHAnsi"/>
                <w:szCs w:val="20"/>
              </w:rPr>
              <w:t>$8000</w:t>
            </w:r>
          </w:p>
        </w:tc>
      </w:tr>
      <w:tr w:rsidR="00D00FB9" w:rsidRPr="00C701D8" w14:paraId="3AD0A7B0" w14:textId="77777777" w:rsidTr="00434B0F">
        <w:trPr>
          <w:trHeight w:val="434"/>
        </w:trPr>
        <w:tc>
          <w:tcPr>
            <w:tcW w:w="2252" w:type="dxa"/>
            <w:vMerge w:val="restart"/>
          </w:tcPr>
          <w:p w14:paraId="75C1212C" w14:textId="47BEFBA7" w:rsidR="00D00FB9" w:rsidRPr="00C701D8" w:rsidRDefault="00D00FB9" w:rsidP="00434B0F">
            <w:pPr>
              <w:rPr>
                <w:rFonts w:cstheme="minorHAnsi"/>
                <w:szCs w:val="20"/>
              </w:rPr>
            </w:pPr>
            <w:r w:rsidRPr="00C701D8">
              <w:rPr>
                <w:rFonts w:cstheme="minorHAnsi"/>
                <w:szCs w:val="20"/>
              </w:rPr>
              <w:t>Imaging to confirm H-SSTR pre-treatment</w:t>
            </w:r>
            <w:r w:rsidR="00784792">
              <w:rPr>
                <w:rFonts w:cstheme="minorHAnsi"/>
                <w:szCs w:val="20"/>
              </w:rPr>
              <w:t xml:space="preserve"> costs</w:t>
            </w:r>
          </w:p>
        </w:tc>
        <w:tc>
          <w:tcPr>
            <w:tcW w:w="2252" w:type="dxa"/>
            <w:vMerge w:val="restart"/>
          </w:tcPr>
          <w:p w14:paraId="0D228681" w14:textId="77777777" w:rsidR="00D00FB9" w:rsidRPr="00C701D8" w:rsidRDefault="00D00FB9" w:rsidP="00434B0F">
            <w:pPr>
              <w:rPr>
                <w:rFonts w:cstheme="minorHAnsi"/>
                <w:szCs w:val="20"/>
              </w:rPr>
            </w:pPr>
            <w:r w:rsidRPr="00C701D8">
              <w:rPr>
                <w:rFonts w:cstheme="minorHAnsi"/>
                <w:szCs w:val="20"/>
              </w:rPr>
              <w:t>Yes</w:t>
            </w:r>
          </w:p>
        </w:tc>
        <w:tc>
          <w:tcPr>
            <w:tcW w:w="2253" w:type="dxa"/>
          </w:tcPr>
          <w:p w14:paraId="008EBD89" w14:textId="032800F0" w:rsidR="00D00FB9" w:rsidRPr="00C701D8" w:rsidRDefault="00D00FB9" w:rsidP="00434B0F">
            <w:pPr>
              <w:rPr>
                <w:rFonts w:cstheme="minorHAnsi"/>
                <w:szCs w:val="20"/>
              </w:rPr>
            </w:pPr>
            <w:r w:rsidRPr="00C701D8">
              <w:rPr>
                <w:rFonts w:cstheme="minorHAnsi"/>
                <w:szCs w:val="20"/>
              </w:rPr>
              <w:t>61647/61505</w:t>
            </w:r>
            <w:r w:rsidR="00784792">
              <w:rPr>
                <w:rFonts w:cstheme="minorHAnsi"/>
                <w:szCs w:val="20"/>
              </w:rPr>
              <w:t>.</w:t>
            </w:r>
            <w:r>
              <w:rPr>
                <w:rFonts w:cstheme="minorHAnsi"/>
                <w:szCs w:val="20"/>
              </w:rPr>
              <w:t xml:space="preserve"> </w:t>
            </w:r>
            <w:r w:rsidR="00784792">
              <w:rPr>
                <w:rFonts w:cstheme="minorHAnsi"/>
                <w:szCs w:val="20"/>
              </w:rPr>
              <w:t>A</w:t>
            </w:r>
            <w:r>
              <w:rPr>
                <w:rFonts w:cstheme="minorHAnsi"/>
                <w:szCs w:val="20"/>
              </w:rPr>
              <w:t>lteration of Item descriptor</w:t>
            </w:r>
            <w:r w:rsidR="00784792">
              <w:rPr>
                <w:rFonts w:cstheme="minorHAnsi"/>
                <w:szCs w:val="20"/>
              </w:rPr>
              <w:t xml:space="preserve"> required</w:t>
            </w:r>
          </w:p>
        </w:tc>
        <w:tc>
          <w:tcPr>
            <w:tcW w:w="2253" w:type="dxa"/>
          </w:tcPr>
          <w:p w14:paraId="7F09ECDC" w14:textId="77777777" w:rsidR="00D00FB9" w:rsidRPr="00C701D8" w:rsidRDefault="00D00FB9" w:rsidP="00434B0F">
            <w:pPr>
              <w:rPr>
                <w:rFonts w:cstheme="minorHAnsi"/>
                <w:szCs w:val="20"/>
              </w:rPr>
            </w:pPr>
            <w:r w:rsidRPr="00C701D8">
              <w:rPr>
                <w:rFonts w:cstheme="minorHAnsi"/>
                <w:szCs w:val="20"/>
              </w:rPr>
              <w:t>$953/$100</w:t>
            </w:r>
          </w:p>
        </w:tc>
      </w:tr>
      <w:tr w:rsidR="00D00FB9" w:rsidRPr="00C701D8" w14:paraId="103A0E24" w14:textId="77777777" w:rsidTr="00434B0F">
        <w:trPr>
          <w:trHeight w:val="435"/>
        </w:trPr>
        <w:tc>
          <w:tcPr>
            <w:tcW w:w="2252" w:type="dxa"/>
            <w:vMerge/>
          </w:tcPr>
          <w:p w14:paraId="71BDE260" w14:textId="77777777" w:rsidR="00D00FB9" w:rsidRPr="00C701D8" w:rsidRDefault="00D00FB9" w:rsidP="00434B0F">
            <w:pPr>
              <w:rPr>
                <w:rFonts w:cstheme="minorHAnsi"/>
                <w:szCs w:val="20"/>
              </w:rPr>
            </w:pPr>
          </w:p>
        </w:tc>
        <w:tc>
          <w:tcPr>
            <w:tcW w:w="2252" w:type="dxa"/>
            <w:vMerge/>
          </w:tcPr>
          <w:p w14:paraId="1CA27C1B" w14:textId="77777777" w:rsidR="00D00FB9" w:rsidRPr="00C701D8" w:rsidRDefault="00D00FB9" w:rsidP="00434B0F">
            <w:pPr>
              <w:rPr>
                <w:rFonts w:cstheme="minorHAnsi"/>
                <w:szCs w:val="20"/>
              </w:rPr>
            </w:pPr>
          </w:p>
        </w:tc>
        <w:tc>
          <w:tcPr>
            <w:tcW w:w="2253" w:type="dxa"/>
          </w:tcPr>
          <w:p w14:paraId="207FDBC5" w14:textId="30B8A93E" w:rsidR="00D00FB9" w:rsidRPr="00C701D8" w:rsidRDefault="00D00FB9" w:rsidP="00434B0F">
            <w:pPr>
              <w:rPr>
                <w:rFonts w:cstheme="minorHAnsi"/>
                <w:szCs w:val="20"/>
              </w:rPr>
            </w:pPr>
            <w:r>
              <w:rPr>
                <w:rFonts w:cstheme="minorHAnsi"/>
                <w:szCs w:val="20"/>
              </w:rPr>
              <w:t>61369/61505</w:t>
            </w:r>
            <w:r w:rsidR="00784792">
              <w:rPr>
                <w:rFonts w:cstheme="minorHAnsi"/>
                <w:szCs w:val="20"/>
              </w:rPr>
              <w:t>.</w:t>
            </w:r>
            <w:r>
              <w:rPr>
                <w:rFonts w:cstheme="minorHAnsi"/>
                <w:szCs w:val="20"/>
              </w:rPr>
              <w:t xml:space="preserve"> </w:t>
            </w:r>
            <w:r w:rsidR="00784792">
              <w:rPr>
                <w:rFonts w:cstheme="minorHAnsi"/>
                <w:szCs w:val="20"/>
              </w:rPr>
              <w:t>Alteration of Item descriptor required</w:t>
            </w:r>
          </w:p>
        </w:tc>
        <w:tc>
          <w:tcPr>
            <w:tcW w:w="2253" w:type="dxa"/>
          </w:tcPr>
          <w:p w14:paraId="641EE4BD" w14:textId="77777777" w:rsidR="00D00FB9" w:rsidRPr="00C701D8" w:rsidRDefault="00D00FB9" w:rsidP="00434B0F">
            <w:pPr>
              <w:rPr>
                <w:rFonts w:cstheme="minorHAnsi"/>
                <w:szCs w:val="20"/>
              </w:rPr>
            </w:pPr>
            <w:r>
              <w:rPr>
                <w:rFonts w:cstheme="minorHAnsi"/>
                <w:szCs w:val="20"/>
              </w:rPr>
              <w:t>2015.75/100</w:t>
            </w:r>
          </w:p>
        </w:tc>
      </w:tr>
      <w:tr w:rsidR="00D00FB9" w:rsidRPr="00C701D8" w14:paraId="4B1FFC7A" w14:textId="77777777" w:rsidTr="00434B0F">
        <w:trPr>
          <w:trHeight w:val="435"/>
        </w:trPr>
        <w:tc>
          <w:tcPr>
            <w:tcW w:w="2252" w:type="dxa"/>
          </w:tcPr>
          <w:p w14:paraId="1E3D28A3" w14:textId="530FDD04" w:rsidR="00D00FB9" w:rsidRPr="00C701D8" w:rsidRDefault="00D00FB9" w:rsidP="00434B0F">
            <w:pPr>
              <w:rPr>
                <w:rFonts w:cstheme="minorHAnsi"/>
                <w:szCs w:val="20"/>
              </w:rPr>
            </w:pPr>
            <w:r w:rsidRPr="00C701D8">
              <w:rPr>
                <w:rFonts w:cstheme="minorHAnsi"/>
                <w:szCs w:val="20"/>
              </w:rPr>
              <w:t xml:space="preserve">FDG PET/CT imaging </w:t>
            </w:r>
            <w:r w:rsidR="00784792">
              <w:rPr>
                <w:rFonts w:cstheme="minorHAnsi"/>
                <w:szCs w:val="20"/>
              </w:rPr>
              <w:t>costs</w:t>
            </w:r>
          </w:p>
        </w:tc>
        <w:tc>
          <w:tcPr>
            <w:tcW w:w="2252" w:type="dxa"/>
          </w:tcPr>
          <w:p w14:paraId="2B4CB97A" w14:textId="77777777" w:rsidR="00D00FB9" w:rsidRPr="00C701D8" w:rsidRDefault="00D00FB9" w:rsidP="00434B0F">
            <w:pPr>
              <w:rPr>
                <w:rFonts w:cstheme="minorHAnsi"/>
                <w:szCs w:val="20"/>
              </w:rPr>
            </w:pPr>
            <w:r w:rsidRPr="00C701D8">
              <w:rPr>
                <w:rFonts w:cstheme="minorHAnsi"/>
                <w:szCs w:val="20"/>
              </w:rPr>
              <w:t xml:space="preserve">No. Mainly required for patients with G3 NET who may be otherwise suitable for </w:t>
            </w:r>
            <w:r w:rsidRPr="00C701D8">
              <w:rPr>
                <w:rFonts w:cstheme="minorHAnsi"/>
                <w:bCs/>
                <w:szCs w:val="20"/>
                <w:vertAlign w:val="superscript"/>
              </w:rPr>
              <w:t>177</w:t>
            </w:r>
            <w:r w:rsidRPr="00C701D8">
              <w:rPr>
                <w:rFonts w:cstheme="minorHAnsi"/>
                <w:bCs/>
                <w:szCs w:val="20"/>
              </w:rPr>
              <w:t>Lutetium(</w:t>
            </w:r>
            <w:proofErr w:type="spellStart"/>
            <w:r w:rsidRPr="00C701D8">
              <w:rPr>
                <w:rFonts w:cstheme="minorHAnsi"/>
                <w:bCs/>
                <w:szCs w:val="20"/>
              </w:rPr>
              <w:t>nca</w:t>
            </w:r>
            <w:proofErr w:type="spellEnd"/>
            <w:r w:rsidRPr="00C701D8">
              <w:rPr>
                <w:rFonts w:cstheme="minorHAnsi"/>
                <w:bCs/>
                <w:szCs w:val="20"/>
              </w:rPr>
              <w:t xml:space="preserve">) </w:t>
            </w:r>
            <w:proofErr w:type="spellStart"/>
            <w:r w:rsidRPr="00C701D8">
              <w:rPr>
                <w:rFonts w:cstheme="minorHAnsi"/>
                <w:bCs/>
                <w:szCs w:val="20"/>
              </w:rPr>
              <w:t>Octreotate</w:t>
            </w:r>
            <w:proofErr w:type="spellEnd"/>
            <w:r w:rsidRPr="00C701D8">
              <w:rPr>
                <w:rFonts w:cstheme="minorHAnsi"/>
                <w:bCs/>
                <w:szCs w:val="20"/>
              </w:rPr>
              <w:t xml:space="preserve"> treatment</w:t>
            </w:r>
          </w:p>
        </w:tc>
        <w:tc>
          <w:tcPr>
            <w:tcW w:w="2253" w:type="dxa"/>
          </w:tcPr>
          <w:p w14:paraId="39744301" w14:textId="77777777" w:rsidR="00D00FB9" w:rsidRPr="00C701D8" w:rsidRDefault="00D00FB9" w:rsidP="00434B0F">
            <w:pPr>
              <w:rPr>
                <w:rFonts w:cstheme="minorHAnsi"/>
                <w:szCs w:val="20"/>
              </w:rPr>
            </w:pPr>
            <w:r w:rsidRPr="00C701D8">
              <w:rPr>
                <w:rFonts w:cstheme="minorHAnsi"/>
                <w:szCs w:val="20"/>
              </w:rPr>
              <w:t>61598</w:t>
            </w:r>
            <w:r>
              <w:rPr>
                <w:rFonts w:cstheme="minorHAnsi"/>
                <w:szCs w:val="20"/>
              </w:rPr>
              <w:t xml:space="preserve"> (rare tumour type)</w:t>
            </w:r>
          </w:p>
        </w:tc>
        <w:tc>
          <w:tcPr>
            <w:tcW w:w="2253" w:type="dxa"/>
          </w:tcPr>
          <w:p w14:paraId="3C3B545B" w14:textId="77777777" w:rsidR="00D00FB9" w:rsidRPr="00C701D8" w:rsidRDefault="00D00FB9" w:rsidP="00434B0F">
            <w:pPr>
              <w:rPr>
                <w:rFonts w:cstheme="minorHAnsi"/>
                <w:szCs w:val="20"/>
              </w:rPr>
            </w:pPr>
            <w:r w:rsidRPr="00C701D8">
              <w:rPr>
                <w:rFonts w:cstheme="minorHAnsi"/>
                <w:szCs w:val="20"/>
              </w:rPr>
              <w:t>$953/$100</w:t>
            </w:r>
          </w:p>
        </w:tc>
      </w:tr>
      <w:tr w:rsidR="00D00FB9" w:rsidRPr="00C701D8" w14:paraId="3D684674" w14:textId="77777777" w:rsidTr="00434B0F">
        <w:trPr>
          <w:trHeight w:val="124"/>
        </w:trPr>
        <w:tc>
          <w:tcPr>
            <w:tcW w:w="2252" w:type="dxa"/>
            <w:vMerge w:val="restart"/>
          </w:tcPr>
          <w:p w14:paraId="2525B0DC" w14:textId="48973752" w:rsidR="00D00FB9" w:rsidRPr="00C701D8" w:rsidRDefault="00D00FB9" w:rsidP="00434B0F">
            <w:pPr>
              <w:rPr>
                <w:rFonts w:cstheme="minorHAnsi"/>
                <w:szCs w:val="20"/>
              </w:rPr>
            </w:pPr>
            <w:r w:rsidRPr="00C701D8">
              <w:rPr>
                <w:rFonts w:cstheme="minorHAnsi"/>
                <w:szCs w:val="20"/>
              </w:rPr>
              <w:t>Blood Tests required for suitability screening and in-treatment monitoring</w:t>
            </w:r>
            <w:r w:rsidR="00784792">
              <w:rPr>
                <w:rFonts w:cstheme="minorHAnsi"/>
                <w:szCs w:val="20"/>
              </w:rPr>
              <w:t xml:space="preserve"> costs</w:t>
            </w:r>
          </w:p>
        </w:tc>
        <w:tc>
          <w:tcPr>
            <w:tcW w:w="2252" w:type="dxa"/>
            <w:vMerge w:val="restart"/>
          </w:tcPr>
          <w:p w14:paraId="31FEA7E9" w14:textId="77777777" w:rsidR="00D00FB9" w:rsidRPr="00C701D8" w:rsidRDefault="00D00FB9" w:rsidP="00434B0F">
            <w:pPr>
              <w:rPr>
                <w:rFonts w:cstheme="minorHAnsi"/>
                <w:szCs w:val="20"/>
              </w:rPr>
            </w:pPr>
            <w:r w:rsidRPr="00C701D8">
              <w:rPr>
                <w:rFonts w:cstheme="minorHAnsi"/>
                <w:szCs w:val="20"/>
              </w:rPr>
              <w:t>Yes</w:t>
            </w:r>
            <w:r>
              <w:rPr>
                <w:rFonts w:cstheme="minorHAnsi"/>
                <w:szCs w:val="20"/>
              </w:rPr>
              <w:t xml:space="preserve">. Variable requirements depending on the type of NET </w:t>
            </w:r>
          </w:p>
        </w:tc>
        <w:tc>
          <w:tcPr>
            <w:tcW w:w="2253" w:type="dxa"/>
          </w:tcPr>
          <w:p w14:paraId="117C7422" w14:textId="77777777" w:rsidR="00D00FB9" w:rsidRPr="00C701D8" w:rsidRDefault="00D00FB9" w:rsidP="00434B0F">
            <w:pPr>
              <w:rPr>
                <w:rFonts w:cstheme="minorHAnsi"/>
                <w:szCs w:val="20"/>
              </w:rPr>
            </w:pPr>
            <w:r>
              <w:rPr>
                <w:rFonts w:cstheme="minorHAnsi"/>
                <w:szCs w:val="20"/>
              </w:rPr>
              <w:t>65070 (FBC)</w:t>
            </w:r>
          </w:p>
        </w:tc>
        <w:tc>
          <w:tcPr>
            <w:tcW w:w="2253" w:type="dxa"/>
          </w:tcPr>
          <w:p w14:paraId="6E7FF1B3" w14:textId="77777777" w:rsidR="00D00FB9" w:rsidRPr="00C701D8" w:rsidRDefault="00D00FB9" w:rsidP="00434B0F">
            <w:pPr>
              <w:rPr>
                <w:rFonts w:cstheme="minorHAnsi"/>
                <w:szCs w:val="20"/>
              </w:rPr>
            </w:pPr>
            <w:r>
              <w:rPr>
                <w:rFonts w:cstheme="minorHAnsi"/>
                <w:szCs w:val="20"/>
              </w:rPr>
              <w:t>$16.95</w:t>
            </w:r>
          </w:p>
        </w:tc>
      </w:tr>
      <w:tr w:rsidR="00D00FB9" w:rsidRPr="00C701D8" w14:paraId="7DF94F2D" w14:textId="77777777" w:rsidTr="00434B0F">
        <w:trPr>
          <w:trHeight w:val="123"/>
        </w:trPr>
        <w:tc>
          <w:tcPr>
            <w:tcW w:w="2252" w:type="dxa"/>
            <w:vMerge/>
          </w:tcPr>
          <w:p w14:paraId="6463B5AB" w14:textId="77777777" w:rsidR="00D00FB9" w:rsidRPr="00C701D8" w:rsidRDefault="00D00FB9" w:rsidP="00434B0F">
            <w:pPr>
              <w:rPr>
                <w:rFonts w:cstheme="minorHAnsi"/>
                <w:szCs w:val="20"/>
              </w:rPr>
            </w:pPr>
          </w:p>
        </w:tc>
        <w:tc>
          <w:tcPr>
            <w:tcW w:w="2252" w:type="dxa"/>
            <w:vMerge/>
          </w:tcPr>
          <w:p w14:paraId="603D3FAE" w14:textId="77777777" w:rsidR="00D00FB9" w:rsidRPr="00C701D8" w:rsidRDefault="00D00FB9" w:rsidP="00434B0F">
            <w:pPr>
              <w:rPr>
                <w:rFonts w:cstheme="minorHAnsi"/>
                <w:szCs w:val="20"/>
              </w:rPr>
            </w:pPr>
          </w:p>
        </w:tc>
        <w:tc>
          <w:tcPr>
            <w:tcW w:w="2253" w:type="dxa"/>
          </w:tcPr>
          <w:p w14:paraId="28C0D8E5" w14:textId="77777777" w:rsidR="00D00FB9" w:rsidRPr="00C701D8" w:rsidRDefault="00D00FB9" w:rsidP="00434B0F">
            <w:pPr>
              <w:rPr>
                <w:rFonts w:cstheme="minorHAnsi"/>
                <w:szCs w:val="20"/>
              </w:rPr>
            </w:pPr>
            <w:r>
              <w:rPr>
                <w:rFonts w:cstheme="minorHAnsi"/>
                <w:szCs w:val="20"/>
              </w:rPr>
              <w:t>66512 (Biochemistry)</w:t>
            </w:r>
          </w:p>
        </w:tc>
        <w:tc>
          <w:tcPr>
            <w:tcW w:w="2253" w:type="dxa"/>
          </w:tcPr>
          <w:p w14:paraId="094D8523" w14:textId="77777777" w:rsidR="00D00FB9" w:rsidRPr="00C701D8" w:rsidRDefault="00D00FB9" w:rsidP="00434B0F">
            <w:pPr>
              <w:rPr>
                <w:rFonts w:cstheme="minorHAnsi"/>
                <w:szCs w:val="20"/>
              </w:rPr>
            </w:pPr>
            <w:r>
              <w:rPr>
                <w:rFonts w:cstheme="minorHAnsi"/>
                <w:szCs w:val="20"/>
              </w:rPr>
              <w:t>$17.70</w:t>
            </w:r>
          </w:p>
        </w:tc>
      </w:tr>
      <w:tr w:rsidR="00D00FB9" w:rsidRPr="00C701D8" w14:paraId="6D4796CD" w14:textId="77777777" w:rsidTr="00434B0F">
        <w:trPr>
          <w:trHeight w:val="123"/>
        </w:trPr>
        <w:tc>
          <w:tcPr>
            <w:tcW w:w="2252" w:type="dxa"/>
            <w:vMerge/>
          </w:tcPr>
          <w:p w14:paraId="605F6BC7" w14:textId="77777777" w:rsidR="00D00FB9" w:rsidRPr="00C701D8" w:rsidRDefault="00D00FB9" w:rsidP="00434B0F">
            <w:pPr>
              <w:rPr>
                <w:rFonts w:cstheme="minorHAnsi"/>
                <w:szCs w:val="20"/>
              </w:rPr>
            </w:pPr>
          </w:p>
        </w:tc>
        <w:tc>
          <w:tcPr>
            <w:tcW w:w="2252" w:type="dxa"/>
            <w:vMerge/>
          </w:tcPr>
          <w:p w14:paraId="47B6AA01" w14:textId="77777777" w:rsidR="00D00FB9" w:rsidRPr="00C701D8" w:rsidRDefault="00D00FB9" w:rsidP="00434B0F">
            <w:pPr>
              <w:rPr>
                <w:rFonts w:cstheme="minorHAnsi"/>
                <w:szCs w:val="20"/>
              </w:rPr>
            </w:pPr>
          </w:p>
        </w:tc>
        <w:tc>
          <w:tcPr>
            <w:tcW w:w="2253" w:type="dxa"/>
          </w:tcPr>
          <w:p w14:paraId="45A4B3BE" w14:textId="77777777" w:rsidR="00D00FB9" w:rsidRPr="00C701D8" w:rsidRDefault="00D00FB9" w:rsidP="00434B0F">
            <w:pPr>
              <w:rPr>
                <w:rFonts w:cstheme="minorHAnsi"/>
                <w:szCs w:val="20"/>
              </w:rPr>
            </w:pPr>
            <w:r>
              <w:rPr>
                <w:rFonts w:cstheme="minorHAnsi"/>
                <w:szCs w:val="20"/>
              </w:rPr>
              <w:t>66779 (5HIAA, adrenaline etc)</w:t>
            </w:r>
          </w:p>
        </w:tc>
        <w:tc>
          <w:tcPr>
            <w:tcW w:w="2253" w:type="dxa"/>
          </w:tcPr>
          <w:p w14:paraId="5A904F85" w14:textId="77777777" w:rsidR="00D00FB9" w:rsidRPr="00C701D8" w:rsidRDefault="00D00FB9" w:rsidP="00434B0F">
            <w:pPr>
              <w:rPr>
                <w:rFonts w:cstheme="minorHAnsi"/>
                <w:szCs w:val="20"/>
              </w:rPr>
            </w:pPr>
            <w:r>
              <w:rPr>
                <w:rFonts w:cstheme="minorHAnsi"/>
                <w:szCs w:val="20"/>
              </w:rPr>
              <w:t>$39.95</w:t>
            </w:r>
          </w:p>
        </w:tc>
      </w:tr>
      <w:tr w:rsidR="00D00FB9" w:rsidRPr="00C701D8" w14:paraId="312383C2" w14:textId="77777777" w:rsidTr="00434B0F">
        <w:trPr>
          <w:trHeight w:val="123"/>
        </w:trPr>
        <w:tc>
          <w:tcPr>
            <w:tcW w:w="2252" w:type="dxa"/>
            <w:vMerge/>
          </w:tcPr>
          <w:p w14:paraId="6E712F7B" w14:textId="77777777" w:rsidR="00D00FB9" w:rsidRPr="00C701D8" w:rsidRDefault="00D00FB9" w:rsidP="00434B0F">
            <w:pPr>
              <w:rPr>
                <w:rFonts w:cstheme="minorHAnsi"/>
                <w:szCs w:val="20"/>
              </w:rPr>
            </w:pPr>
          </w:p>
        </w:tc>
        <w:tc>
          <w:tcPr>
            <w:tcW w:w="2252" w:type="dxa"/>
            <w:vMerge/>
          </w:tcPr>
          <w:p w14:paraId="07376903" w14:textId="77777777" w:rsidR="00D00FB9" w:rsidRPr="00C701D8" w:rsidRDefault="00D00FB9" w:rsidP="00434B0F">
            <w:pPr>
              <w:rPr>
                <w:rFonts w:cstheme="minorHAnsi"/>
                <w:szCs w:val="20"/>
              </w:rPr>
            </w:pPr>
          </w:p>
        </w:tc>
        <w:tc>
          <w:tcPr>
            <w:tcW w:w="2253" w:type="dxa"/>
          </w:tcPr>
          <w:p w14:paraId="73C45E25" w14:textId="720C9C69" w:rsidR="00D00FB9" w:rsidRPr="00C701D8" w:rsidRDefault="00D00FB9" w:rsidP="00434B0F">
            <w:pPr>
              <w:rPr>
                <w:rFonts w:cstheme="minorHAnsi"/>
                <w:szCs w:val="20"/>
              </w:rPr>
            </w:pPr>
            <w:r>
              <w:rPr>
                <w:rFonts w:cstheme="minorHAnsi"/>
                <w:szCs w:val="20"/>
              </w:rPr>
              <w:t>No</w:t>
            </w:r>
            <w:r w:rsidR="00784792">
              <w:rPr>
                <w:rFonts w:cstheme="minorHAnsi"/>
                <w:szCs w:val="20"/>
              </w:rPr>
              <w:t>. C</w:t>
            </w:r>
            <w:r>
              <w:rPr>
                <w:rFonts w:cstheme="minorHAnsi"/>
                <w:szCs w:val="20"/>
              </w:rPr>
              <w:t>hromogranin A</w:t>
            </w:r>
          </w:p>
        </w:tc>
        <w:tc>
          <w:tcPr>
            <w:tcW w:w="2253" w:type="dxa"/>
          </w:tcPr>
          <w:p w14:paraId="4F5CAB46" w14:textId="77777777" w:rsidR="00D00FB9" w:rsidRPr="00C701D8" w:rsidRDefault="00D00FB9" w:rsidP="00434B0F">
            <w:pPr>
              <w:rPr>
                <w:rFonts w:cstheme="minorHAnsi"/>
                <w:szCs w:val="20"/>
              </w:rPr>
            </w:pPr>
          </w:p>
        </w:tc>
      </w:tr>
      <w:tr w:rsidR="00D00FB9" w:rsidRPr="00C701D8" w14:paraId="35D82A0B" w14:textId="77777777" w:rsidTr="00434B0F">
        <w:tc>
          <w:tcPr>
            <w:tcW w:w="2252" w:type="dxa"/>
          </w:tcPr>
          <w:p w14:paraId="3A826F76" w14:textId="4CF29178" w:rsidR="00D00FB9" w:rsidRPr="00C701D8" w:rsidRDefault="00D00FB9" w:rsidP="00434B0F">
            <w:pPr>
              <w:rPr>
                <w:rFonts w:cstheme="minorHAnsi"/>
                <w:szCs w:val="20"/>
              </w:rPr>
            </w:pPr>
            <w:proofErr w:type="spellStart"/>
            <w:r w:rsidRPr="00C701D8">
              <w:rPr>
                <w:rFonts w:cstheme="minorHAnsi"/>
                <w:szCs w:val="20"/>
              </w:rPr>
              <w:t>Theranostic</w:t>
            </w:r>
            <w:proofErr w:type="spellEnd"/>
            <w:r w:rsidRPr="00C701D8">
              <w:rPr>
                <w:rFonts w:cstheme="minorHAnsi"/>
                <w:szCs w:val="20"/>
              </w:rPr>
              <w:t xml:space="preserve"> Specialist Consult </w:t>
            </w:r>
            <w:proofErr w:type="spellStart"/>
            <w:r w:rsidRPr="00C701D8">
              <w:rPr>
                <w:rFonts w:cstheme="minorHAnsi"/>
                <w:szCs w:val="20"/>
              </w:rPr>
              <w:t>ation</w:t>
            </w:r>
            <w:proofErr w:type="spellEnd"/>
            <w:r w:rsidRPr="00C701D8">
              <w:rPr>
                <w:rFonts w:cstheme="minorHAnsi"/>
                <w:szCs w:val="20"/>
              </w:rPr>
              <w:t xml:space="preserve"> pre-treatment</w:t>
            </w:r>
            <w:r w:rsidR="00784792">
              <w:rPr>
                <w:rFonts w:cstheme="minorHAnsi"/>
                <w:szCs w:val="20"/>
              </w:rPr>
              <w:t xml:space="preserve"> cost</w:t>
            </w:r>
          </w:p>
        </w:tc>
        <w:tc>
          <w:tcPr>
            <w:tcW w:w="2252" w:type="dxa"/>
          </w:tcPr>
          <w:p w14:paraId="38FACE5F" w14:textId="77777777" w:rsidR="00D00FB9" w:rsidRPr="00C701D8" w:rsidRDefault="00D00FB9" w:rsidP="00434B0F">
            <w:pPr>
              <w:rPr>
                <w:rFonts w:cstheme="minorHAnsi"/>
                <w:szCs w:val="20"/>
              </w:rPr>
            </w:pPr>
            <w:r w:rsidRPr="00C701D8">
              <w:rPr>
                <w:rFonts w:cstheme="minorHAnsi"/>
                <w:szCs w:val="20"/>
              </w:rPr>
              <w:t>Yes</w:t>
            </w:r>
          </w:p>
        </w:tc>
        <w:tc>
          <w:tcPr>
            <w:tcW w:w="2253" w:type="dxa"/>
          </w:tcPr>
          <w:p w14:paraId="08CBD773" w14:textId="77777777" w:rsidR="00D00FB9" w:rsidRPr="00C701D8" w:rsidRDefault="00D00FB9" w:rsidP="00434B0F">
            <w:pPr>
              <w:rPr>
                <w:rFonts w:cstheme="minorHAnsi"/>
                <w:szCs w:val="20"/>
              </w:rPr>
            </w:pPr>
            <w:r w:rsidRPr="00C701D8">
              <w:rPr>
                <w:rFonts w:cstheme="minorHAnsi"/>
                <w:szCs w:val="20"/>
              </w:rPr>
              <w:t>110</w:t>
            </w:r>
          </w:p>
        </w:tc>
        <w:tc>
          <w:tcPr>
            <w:tcW w:w="2253" w:type="dxa"/>
          </w:tcPr>
          <w:p w14:paraId="0F150E74" w14:textId="77777777" w:rsidR="00D00FB9" w:rsidRPr="00C701D8" w:rsidRDefault="00D00FB9" w:rsidP="00434B0F">
            <w:pPr>
              <w:rPr>
                <w:rFonts w:cstheme="minorHAnsi"/>
                <w:szCs w:val="20"/>
              </w:rPr>
            </w:pPr>
            <w:r w:rsidRPr="00C701D8">
              <w:rPr>
                <w:rFonts w:cstheme="minorHAnsi"/>
                <w:szCs w:val="20"/>
              </w:rPr>
              <w:t>$161.90</w:t>
            </w:r>
          </w:p>
        </w:tc>
      </w:tr>
      <w:tr w:rsidR="00D00FB9" w:rsidRPr="00C701D8" w14:paraId="4984E13E" w14:textId="77777777" w:rsidTr="00434B0F">
        <w:trPr>
          <w:trHeight w:val="327"/>
        </w:trPr>
        <w:tc>
          <w:tcPr>
            <w:tcW w:w="2252" w:type="dxa"/>
            <w:vMerge w:val="restart"/>
          </w:tcPr>
          <w:p w14:paraId="40D1C0C9" w14:textId="560EE784" w:rsidR="00D00FB9" w:rsidRPr="00C701D8" w:rsidRDefault="00D00FB9" w:rsidP="00434B0F">
            <w:pPr>
              <w:rPr>
                <w:rFonts w:cstheme="minorHAnsi"/>
                <w:szCs w:val="20"/>
              </w:rPr>
            </w:pPr>
            <w:r w:rsidRPr="00C701D8">
              <w:rPr>
                <w:rFonts w:cstheme="minorHAnsi"/>
                <w:szCs w:val="20"/>
              </w:rPr>
              <w:t xml:space="preserve">Attendance at specialist </w:t>
            </w:r>
            <w:proofErr w:type="spellStart"/>
            <w:r w:rsidRPr="00C701D8">
              <w:rPr>
                <w:rFonts w:cstheme="minorHAnsi"/>
                <w:szCs w:val="20"/>
              </w:rPr>
              <w:t>theranostic</w:t>
            </w:r>
            <w:proofErr w:type="spellEnd"/>
            <w:r w:rsidRPr="00C701D8">
              <w:rPr>
                <w:rFonts w:cstheme="minorHAnsi"/>
                <w:szCs w:val="20"/>
              </w:rPr>
              <w:t xml:space="preserve"> centre for </w:t>
            </w:r>
            <w:r w:rsidRPr="00C701D8">
              <w:rPr>
                <w:rFonts w:cstheme="minorHAnsi"/>
                <w:bCs/>
                <w:szCs w:val="20"/>
                <w:vertAlign w:val="superscript"/>
              </w:rPr>
              <w:t>177</w:t>
            </w:r>
            <w:r w:rsidRPr="00C701D8">
              <w:rPr>
                <w:rFonts w:cstheme="minorHAnsi"/>
                <w:bCs/>
                <w:szCs w:val="20"/>
              </w:rPr>
              <w:t>Lutetium(</w:t>
            </w:r>
            <w:proofErr w:type="spellStart"/>
            <w:r w:rsidRPr="00C701D8">
              <w:rPr>
                <w:rFonts w:cstheme="minorHAnsi"/>
                <w:bCs/>
                <w:szCs w:val="20"/>
              </w:rPr>
              <w:t>nca</w:t>
            </w:r>
            <w:proofErr w:type="spellEnd"/>
            <w:r w:rsidRPr="00C701D8">
              <w:rPr>
                <w:rFonts w:cstheme="minorHAnsi"/>
                <w:bCs/>
                <w:szCs w:val="20"/>
              </w:rPr>
              <w:t xml:space="preserve">) </w:t>
            </w:r>
            <w:proofErr w:type="spellStart"/>
            <w:r w:rsidRPr="00C701D8">
              <w:rPr>
                <w:rFonts w:cstheme="minorHAnsi"/>
                <w:bCs/>
                <w:szCs w:val="20"/>
              </w:rPr>
              <w:t>Octreotate</w:t>
            </w:r>
            <w:proofErr w:type="spellEnd"/>
            <w:r w:rsidR="00784792">
              <w:rPr>
                <w:rFonts w:cstheme="minorHAnsi"/>
                <w:bCs/>
                <w:szCs w:val="20"/>
              </w:rPr>
              <w:t xml:space="preserve"> cost</w:t>
            </w:r>
          </w:p>
        </w:tc>
        <w:tc>
          <w:tcPr>
            <w:tcW w:w="2252" w:type="dxa"/>
            <w:vMerge w:val="restart"/>
          </w:tcPr>
          <w:p w14:paraId="49DDC239" w14:textId="77777777" w:rsidR="00D00FB9" w:rsidRPr="00C701D8" w:rsidRDefault="00D00FB9" w:rsidP="00434B0F">
            <w:pPr>
              <w:rPr>
                <w:rFonts w:cstheme="minorHAnsi"/>
                <w:szCs w:val="20"/>
              </w:rPr>
            </w:pPr>
            <w:r w:rsidRPr="00C701D8">
              <w:rPr>
                <w:rFonts w:cstheme="minorHAnsi"/>
                <w:szCs w:val="20"/>
              </w:rPr>
              <w:t>Yes</w:t>
            </w:r>
          </w:p>
        </w:tc>
        <w:tc>
          <w:tcPr>
            <w:tcW w:w="2253" w:type="dxa"/>
          </w:tcPr>
          <w:p w14:paraId="5B70F16D" w14:textId="7603E55D" w:rsidR="00D00FB9" w:rsidRPr="00C701D8" w:rsidRDefault="00D00FB9" w:rsidP="00434B0F">
            <w:pPr>
              <w:rPr>
                <w:rFonts w:cstheme="minorHAnsi"/>
                <w:szCs w:val="20"/>
              </w:rPr>
            </w:pPr>
            <w:r>
              <w:rPr>
                <w:rFonts w:cstheme="minorHAnsi"/>
                <w:szCs w:val="20"/>
              </w:rPr>
              <w:t>13950</w:t>
            </w:r>
            <w:r w:rsidR="00784792">
              <w:rPr>
                <w:rFonts w:cstheme="minorHAnsi"/>
                <w:szCs w:val="20"/>
              </w:rPr>
              <w:t>.</w:t>
            </w:r>
            <w:r>
              <w:rPr>
                <w:rFonts w:cstheme="minorHAnsi"/>
                <w:szCs w:val="20"/>
              </w:rPr>
              <w:t xml:space="preserve"> </w:t>
            </w:r>
            <w:r w:rsidR="00784792">
              <w:rPr>
                <w:rFonts w:cstheme="minorHAnsi"/>
                <w:szCs w:val="20"/>
              </w:rPr>
              <w:t>Alteration of Item descriptor required</w:t>
            </w:r>
          </w:p>
        </w:tc>
        <w:tc>
          <w:tcPr>
            <w:tcW w:w="2253" w:type="dxa"/>
          </w:tcPr>
          <w:p w14:paraId="16EAD1F2" w14:textId="77777777" w:rsidR="00D00FB9" w:rsidRPr="00C701D8" w:rsidRDefault="00D00FB9" w:rsidP="00434B0F">
            <w:pPr>
              <w:rPr>
                <w:rFonts w:cstheme="minorHAnsi"/>
                <w:szCs w:val="20"/>
              </w:rPr>
            </w:pPr>
            <w:r>
              <w:rPr>
                <w:rFonts w:cstheme="minorHAnsi"/>
                <w:szCs w:val="20"/>
              </w:rPr>
              <w:t>$114.20</w:t>
            </w:r>
          </w:p>
        </w:tc>
      </w:tr>
      <w:tr w:rsidR="00D00FB9" w:rsidRPr="00C701D8" w14:paraId="44539B54" w14:textId="77777777" w:rsidTr="00434B0F">
        <w:trPr>
          <w:trHeight w:val="326"/>
        </w:trPr>
        <w:tc>
          <w:tcPr>
            <w:tcW w:w="2252" w:type="dxa"/>
            <w:vMerge/>
          </w:tcPr>
          <w:p w14:paraId="09C1E76F" w14:textId="77777777" w:rsidR="00D00FB9" w:rsidRPr="00C701D8" w:rsidRDefault="00D00FB9" w:rsidP="00434B0F">
            <w:pPr>
              <w:rPr>
                <w:rFonts w:cstheme="minorHAnsi"/>
                <w:szCs w:val="20"/>
              </w:rPr>
            </w:pPr>
          </w:p>
        </w:tc>
        <w:tc>
          <w:tcPr>
            <w:tcW w:w="2252" w:type="dxa"/>
            <w:vMerge/>
          </w:tcPr>
          <w:p w14:paraId="6ED853FB" w14:textId="77777777" w:rsidR="00D00FB9" w:rsidRPr="00C701D8" w:rsidRDefault="00D00FB9" w:rsidP="00434B0F">
            <w:pPr>
              <w:rPr>
                <w:rFonts w:cstheme="minorHAnsi"/>
                <w:szCs w:val="20"/>
              </w:rPr>
            </w:pPr>
          </w:p>
        </w:tc>
        <w:tc>
          <w:tcPr>
            <w:tcW w:w="2253" w:type="dxa"/>
          </w:tcPr>
          <w:p w14:paraId="7C1AA909" w14:textId="77777777" w:rsidR="00D00FB9" w:rsidRDefault="00D00FB9" w:rsidP="00434B0F">
            <w:pPr>
              <w:rPr>
                <w:rFonts w:cstheme="minorHAnsi"/>
                <w:szCs w:val="20"/>
              </w:rPr>
            </w:pPr>
          </w:p>
        </w:tc>
        <w:tc>
          <w:tcPr>
            <w:tcW w:w="2253" w:type="dxa"/>
          </w:tcPr>
          <w:p w14:paraId="25D3AAFE" w14:textId="77777777" w:rsidR="00D00FB9" w:rsidRDefault="00D00FB9" w:rsidP="00434B0F">
            <w:pPr>
              <w:rPr>
                <w:rFonts w:cstheme="minorHAnsi"/>
                <w:szCs w:val="20"/>
              </w:rPr>
            </w:pPr>
          </w:p>
        </w:tc>
      </w:tr>
      <w:tr w:rsidR="00784792" w:rsidRPr="00C701D8" w14:paraId="0076F272" w14:textId="77777777" w:rsidTr="00434B0F">
        <w:tc>
          <w:tcPr>
            <w:tcW w:w="2252" w:type="dxa"/>
          </w:tcPr>
          <w:p w14:paraId="59EC709A" w14:textId="3CE5F17D" w:rsidR="00784792" w:rsidRPr="00C701D8" w:rsidRDefault="00784792" w:rsidP="00434B0F">
            <w:pPr>
              <w:rPr>
                <w:rFonts w:cstheme="minorHAnsi"/>
                <w:szCs w:val="20"/>
              </w:rPr>
            </w:pPr>
            <w:r>
              <w:rPr>
                <w:rFonts w:cstheme="minorHAnsi"/>
                <w:szCs w:val="20"/>
              </w:rPr>
              <w:t>Non-admitted patient facility cost</w:t>
            </w:r>
          </w:p>
        </w:tc>
        <w:tc>
          <w:tcPr>
            <w:tcW w:w="2252" w:type="dxa"/>
          </w:tcPr>
          <w:p w14:paraId="5EA89B89" w14:textId="1B7BDE68" w:rsidR="00784792" w:rsidRPr="00C701D8" w:rsidRDefault="00784792" w:rsidP="00434B0F">
            <w:pPr>
              <w:rPr>
                <w:rFonts w:cstheme="minorHAnsi"/>
                <w:szCs w:val="20"/>
              </w:rPr>
            </w:pPr>
            <w:r>
              <w:rPr>
                <w:rFonts w:cstheme="minorHAnsi"/>
                <w:szCs w:val="20"/>
              </w:rPr>
              <w:t>Yes</w:t>
            </w:r>
          </w:p>
        </w:tc>
        <w:tc>
          <w:tcPr>
            <w:tcW w:w="2253" w:type="dxa"/>
          </w:tcPr>
          <w:p w14:paraId="0563BD93" w14:textId="3A7BED02" w:rsidR="00784792" w:rsidRPr="00C701D8" w:rsidRDefault="00784792" w:rsidP="00434B0F">
            <w:pPr>
              <w:rPr>
                <w:rFonts w:cstheme="minorHAnsi"/>
                <w:szCs w:val="20"/>
              </w:rPr>
            </w:pPr>
            <w:r>
              <w:rPr>
                <w:rFonts w:cstheme="minorHAnsi"/>
                <w:szCs w:val="20"/>
              </w:rPr>
              <w:t>Yes. Alteration of Item descriptor required</w:t>
            </w:r>
          </w:p>
        </w:tc>
        <w:tc>
          <w:tcPr>
            <w:tcW w:w="2253" w:type="dxa"/>
          </w:tcPr>
          <w:p w14:paraId="5E6C6BF8" w14:textId="77777777" w:rsidR="00784792" w:rsidRPr="00C701D8" w:rsidRDefault="00784792" w:rsidP="00434B0F">
            <w:pPr>
              <w:rPr>
                <w:rFonts w:cstheme="minorHAnsi"/>
                <w:szCs w:val="20"/>
              </w:rPr>
            </w:pPr>
          </w:p>
        </w:tc>
      </w:tr>
      <w:tr w:rsidR="00D00FB9" w:rsidRPr="00C701D8" w14:paraId="10730CD0" w14:textId="77777777" w:rsidTr="00434B0F">
        <w:tc>
          <w:tcPr>
            <w:tcW w:w="2252" w:type="dxa"/>
          </w:tcPr>
          <w:p w14:paraId="567AC32D" w14:textId="32CCD02F" w:rsidR="00D00FB9" w:rsidRPr="00C701D8" w:rsidRDefault="00D00FB9" w:rsidP="00434B0F">
            <w:pPr>
              <w:rPr>
                <w:rFonts w:cstheme="minorHAnsi"/>
                <w:szCs w:val="20"/>
              </w:rPr>
            </w:pPr>
            <w:r w:rsidRPr="00C701D8">
              <w:rPr>
                <w:rFonts w:cstheme="minorHAnsi"/>
                <w:szCs w:val="20"/>
              </w:rPr>
              <w:t>Amino Acid Infusion supply</w:t>
            </w:r>
            <w:r w:rsidR="00784792">
              <w:rPr>
                <w:rFonts w:cstheme="minorHAnsi"/>
                <w:szCs w:val="20"/>
              </w:rPr>
              <w:t xml:space="preserve"> cost</w:t>
            </w:r>
          </w:p>
        </w:tc>
        <w:tc>
          <w:tcPr>
            <w:tcW w:w="2252" w:type="dxa"/>
          </w:tcPr>
          <w:p w14:paraId="3E9E7123" w14:textId="77777777" w:rsidR="00D00FB9" w:rsidRPr="00C701D8" w:rsidRDefault="00D00FB9" w:rsidP="00434B0F">
            <w:pPr>
              <w:rPr>
                <w:rFonts w:cstheme="minorHAnsi"/>
                <w:szCs w:val="20"/>
              </w:rPr>
            </w:pPr>
            <w:r w:rsidRPr="00C701D8">
              <w:rPr>
                <w:rFonts w:cstheme="minorHAnsi"/>
                <w:szCs w:val="20"/>
              </w:rPr>
              <w:t>Yes</w:t>
            </w:r>
          </w:p>
        </w:tc>
        <w:tc>
          <w:tcPr>
            <w:tcW w:w="2253" w:type="dxa"/>
          </w:tcPr>
          <w:p w14:paraId="5F6712BF" w14:textId="65E0684C" w:rsidR="00D00FB9" w:rsidRPr="00C701D8" w:rsidRDefault="00784792" w:rsidP="00434B0F">
            <w:pPr>
              <w:rPr>
                <w:rFonts w:cstheme="minorHAnsi"/>
                <w:szCs w:val="20"/>
              </w:rPr>
            </w:pPr>
            <w:r>
              <w:rPr>
                <w:rFonts w:cstheme="minorHAnsi"/>
                <w:szCs w:val="20"/>
              </w:rPr>
              <w:t xml:space="preserve">No. </w:t>
            </w:r>
          </w:p>
        </w:tc>
        <w:tc>
          <w:tcPr>
            <w:tcW w:w="2253" w:type="dxa"/>
          </w:tcPr>
          <w:p w14:paraId="10470AB9" w14:textId="77777777" w:rsidR="00D00FB9" w:rsidRPr="00C701D8" w:rsidRDefault="00D00FB9" w:rsidP="00434B0F">
            <w:pPr>
              <w:rPr>
                <w:rFonts w:cstheme="minorHAnsi"/>
                <w:szCs w:val="20"/>
              </w:rPr>
            </w:pPr>
          </w:p>
        </w:tc>
      </w:tr>
      <w:tr w:rsidR="00D00FB9" w:rsidRPr="00C701D8" w14:paraId="6E9E885A" w14:textId="77777777" w:rsidTr="00434B0F">
        <w:tc>
          <w:tcPr>
            <w:tcW w:w="2252" w:type="dxa"/>
          </w:tcPr>
          <w:p w14:paraId="28BF447B" w14:textId="4BDA89DC" w:rsidR="00D00FB9" w:rsidRPr="00C701D8" w:rsidRDefault="00D00FB9" w:rsidP="00434B0F">
            <w:pPr>
              <w:rPr>
                <w:rFonts w:cstheme="minorHAnsi"/>
                <w:szCs w:val="20"/>
              </w:rPr>
            </w:pPr>
            <w:r w:rsidRPr="00C701D8">
              <w:rPr>
                <w:rFonts w:cstheme="minorHAnsi"/>
                <w:szCs w:val="20"/>
              </w:rPr>
              <w:lastRenderedPageBreak/>
              <w:t xml:space="preserve">SPECT/CT post </w:t>
            </w:r>
            <w:r w:rsidRPr="00C701D8">
              <w:rPr>
                <w:rFonts w:cstheme="minorHAnsi"/>
                <w:bCs/>
                <w:szCs w:val="20"/>
                <w:vertAlign w:val="superscript"/>
              </w:rPr>
              <w:t>177</w:t>
            </w:r>
            <w:r w:rsidRPr="00C701D8">
              <w:rPr>
                <w:rFonts w:cstheme="minorHAnsi"/>
                <w:bCs/>
                <w:szCs w:val="20"/>
              </w:rPr>
              <w:t>Lutetium(</w:t>
            </w:r>
            <w:proofErr w:type="spellStart"/>
            <w:r w:rsidRPr="00C701D8">
              <w:rPr>
                <w:rFonts w:cstheme="minorHAnsi"/>
                <w:bCs/>
                <w:szCs w:val="20"/>
              </w:rPr>
              <w:t>nca</w:t>
            </w:r>
            <w:proofErr w:type="spellEnd"/>
            <w:r w:rsidRPr="00C701D8">
              <w:rPr>
                <w:rFonts w:cstheme="minorHAnsi"/>
                <w:bCs/>
                <w:szCs w:val="20"/>
              </w:rPr>
              <w:t xml:space="preserve">) </w:t>
            </w:r>
            <w:proofErr w:type="spellStart"/>
            <w:r w:rsidRPr="00C701D8">
              <w:rPr>
                <w:rFonts w:cstheme="minorHAnsi"/>
                <w:bCs/>
                <w:szCs w:val="20"/>
              </w:rPr>
              <w:t>Octreotate</w:t>
            </w:r>
            <w:proofErr w:type="spellEnd"/>
            <w:r w:rsidRPr="00C701D8">
              <w:rPr>
                <w:rFonts w:cstheme="minorHAnsi"/>
                <w:bCs/>
                <w:szCs w:val="20"/>
              </w:rPr>
              <w:t xml:space="preserve"> administration</w:t>
            </w:r>
            <w:r w:rsidR="00784792">
              <w:rPr>
                <w:rFonts w:cstheme="minorHAnsi"/>
                <w:bCs/>
                <w:szCs w:val="20"/>
              </w:rPr>
              <w:t xml:space="preserve"> cost</w:t>
            </w:r>
          </w:p>
        </w:tc>
        <w:tc>
          <w:tcPr>
            <w:tcW w:w="2252" w:type="dxa"/>
          </w:tcPr>
          <w:p w14:paraId="4CB2F002" w14:textId="4B834831" w:rsidR="00D00FB9" w:rsidRPr="00C701D8" w:rsidRDefault="00D00FB9" w:rsidP="00434B0F">
            <w:pPr>
              <w:rPr>
                <w:rFonts w:cstheme="minorHAnsi"/>
                <w:szCs w:val="20"/>
              </w:rPr>
            </w:pPr>
            <w:r w:rsidRPr="00C701D8">
              <w:rPr>
                <w:rFonts w:cstheme="minorHAnsi"/>
                <w:szCs w:val="20"/>
              </w:rPr>
              <w:t>No</w:t>
            </w:r>
            <w:r w:rsidR="00784792">
              <w:rPr>
                <w:rFonts w:cstheme="minorHAnsi"/>
                <w:szCs w:val="20"/>
              </w:rPr>
              <w:t>. R</w:t>
            </w:r>
            <w:r w:rsidRPr="00C701D8">
              <w:rPr>
                <w:rFonts w:cstheme="minorHAnsi"/>
                <w:szCs w:val="20"/>
              </w:rPr>
              <w:t xml:space="preserve">ecommended after second </w:t>
            </w:r>
            <w:r w:rsidRPr="00C701D8">
              <w:rPr>
                <w:rFonts w:cstheme="minorHAnsi"/>
                <w:bCs/>
                <w:szCs w:val="20"/>
                <w:vertAlign w:val="superscript"/>
              </w:rPr>
              <w:t>177</w:t>
            </w:r>
            <w:r w:rsidRPr="00C701D8">
              <w:rPr>
                <w:rFonts w:cstheme="minorHAnsi"/>
                <w:bCs/>
                <w:szCs w:val="20"/>
              </w:rPr>
              <w:t>Lutetium(</w:t>
            </w:r>
            <w:proofErr w:type="spellStart"/>
            <w:r w:rsidRPr="00C701D8">
              <w:rPr>
                <w:rFonts w:cstheme="minorHAnsi"/>
                <w:bCs/>
                <w:szCs w:val="20"/>
              </w:rPr>
              <w:t>nca</w:t>
            </w:r>
            <w:proofErr w:type="spellEnd"/>
            <w:r w:rsidRPr="00C701D8">
              <w:rPr>
                <w:rFonts w:cstheme="minorHAnsi"/>
                <w:bCs/>
                <w:szCs w:val="20"/>
              </w:rPr>
              <w:t xml:space="preserve">) </w:t>
            </w:r>
            <w:proofErr w:type="spellStart"/>
            <w:r w:rsidRPr="00C701D8">
              <w:rPr>
                <w:rFonts w:cstheme="minorHAnsi"/>
                <w:bCs/>
                <w:szCs w:val="20"/>
              </w:rPr>
              <w:t>Octreotate</w:t>
            </w:r>
            <w:proofErr w:type="spellEnd"/>
            <w:r w:rsidRPr="00C701D8">
              <w:rPr>
                <w:rFonts w:cstheme="minorHAnsi"/>
                <w:bCs/>
                <w:szCs w:val="20"/>
              </w:rPr>
              <w:t xml:space="preserve"> administration to identify hyper-responders</w:t>
            </w:r>
          </w:p>
        </w:tc>
        <w:tc>
          <w:tcPr>
            <w:tcW w:w="2253" w:type="dxa"/>
          </w:tcPr>
          <w:p w14:paraId="07AE67F4" w14:textId="02954E2E" w:rsidR="00D00FB9" w:rsidRPr="00C701D8" w:rsidRDefault="00D00FB9" w:rsidP="00434B0F">
            <w:pPr>
              <w:rPr>
                <w:rFonts w:cstheme="minorHAnsi"/>
                <w:szCs w:val="20"/>
              </w:rPr>
            </w:pPr>
            <w:r w:rsidRPr="00C701D8">
              <w:rPr>
                <w:rFonts w:cstheme="minorHAnsi"/>
                <w:szCs w:val="20"/>
              </w:rPr>
              <w:t>61642/61505</w:t>
            </w:r>
            <w:r w:rsidR="00784792">
              <w:rPr>
                <w:rFonts w:cstheme="minorHAnsi"/>
                <w:szCs w:val="20"/>
              </w:rPr>
              <w:t>.</w:t>
            </w:r>
            <w:r>
              <w:rPr>
                <w:rFonts w:cstheme="minorHAnsi"/>
                <w:szCs w:val="20"/>
              </w:rPr>
              <w:t xml:space="preserve"> </w:t>
            </w:r>
            <w:r w:rsidR="00784792">
              <w:rPr>
                <w:rFonts w:cstheme="minorHAnsi"/>
                <w:szCs w:val="20"/>
              </w:rPr>
              <w:t>Alteration of Item descriptor required</w:t>
            </w:r>
          </w:p>
        </w:tc>
        <w:tc>
          <w:tcPr>
            <w:tcW w:w="2253" w:type="dxa"/>
          </w:tcPr>
          <w:p w14:paraId="48D6AC58" w14:textId="77777777" w:rsidR="00D00FB9" w:rsidRPr="00C701D8" w:rsidRDefault="00D00FB9" w:rsidP="00434B0F">
            <w:pPr>
              <w:rPr>
                <w:rFonts w:cstheme="minorHAnsi"/>
                <w:szCs w:val="20"/>
              </w:rPr>
            </w:pPr>
            <w:r w:rsidRPr="00C701D8">
              <w:rPr>
                <w:rFonts w:cstheme="minorHAnsi"/>
                <w:szCs w:val="20"/>
              </w:rPr>
              <w:t>$129/$100</w:t>
            </w:r>
          </w:p>
        </w:tc>
      </w:tr>
      <w:tr w:rsidR="00D00FB9" w:rsidRPr="00C701D8" w14:paraId="4FA8BC76" w14:textId="77777777" w:rsidTr="00434B0F">
        <w:trPr>
          <w:trHeight w:val="505"/>
        </w:trPr>
        <w:tc>
          <w:tcPr>
            <w:tcW w:w="2252" w:type="dxa"/>
            <w:vMerge w:val="restart"/>
          </w:tcPr>
          <w:p w14:paraId="52E1E379" w14:textId="0CF2F75C" w:rsidR="00D00FB9" w:rsidRPr="00C701D8" w:rsidRDefault="00D00FB9" w:rsidP="00434B0F">
            <w:pPr>
              <w:rPr>
                <w:rFonts w:cstheme="minorHAnsi"/>
                <w:szCs w:val="20"/>
              </w:rPr>
            </w:pPr>
            <w:r w:rsidRPr="00C701D8">
              <w:rPr>
                <w:rFonts w:cstheme="minorHAnsi"/>
                <w:szCs w:val="20"/>
              </w:rPr>
              <w:t xml:space="preserve">Imaging to assess response to </w:t>
            </w:r>
            <w:r w:rsidRPr="00C701D8">
              <w:rPr>
                <w:rFonts w:cstheme="minorHAnsi"/>
                <w:bCs/>
                <w:szCs w:val="20"/>
                <w:vertAlign w:val="superscript"/>
              </w:rPr>
              <w:t>177</w:t>
            </w:r>
            <w:r w:rsidRPr="00C701D8">
              <w:rPr>
                <w:rFonts w:cstheme="minorHAnsi"/>
                <w:bCs/>
                <w:szCs w:val="20"/>
              </w:rPr>
              <w:t>Lutetium(</w:t>
            </w:r>
            <w:proofErr w:type="spellStart"/>
            <w:r w:rsidRPr="00C701D8">
              <w:rPr>
                <w:rFonts w:cstheme="minorHAnsi"/>
                <w:bCs/>
                <w:szCs w:val="20"/>
              </w:rPr>
              <w:t>nca</w:t>
            </w:r>
            <w:proofErr w:type="spellEnd"/>
            <w:r w:rsidRPr="00C701D8">
              <w:rPr>
                <w:rFonts w:cstheme="minorHAnsi"/>
                <w:bCs/>
                <w:szCs w:val="20"/>
              </w:rPr>
              <w:t xml:space="preserve">) </w:t>
            </w:r>
            <w:proofErr w:type="spellStart"/>
            <w:r w:rsidRPr="00C701D8">
              <w:rPr>
                <w:rFonts w:cstheme="minorHAnsi"/>
                <w:bCs/>
                <w:szCs w:val="20"/>
              </w:rPr>
              <w:t>Octreotate</w:t>
            </w:r>
            <w:proofErr w:type="spellEnd"/>
            <w:r w:rsidRPr="00C701D8">
              <w:rPr>
                <w:rFonts w:cstheme="minorHAnsi"/>
                <w:bCs/>
                <w:szCs w:val="20"/>
              </w:rPr>
              <w:t xml:space="preserve"> treatment</w:t>
            </w:r>
            <w:r w:rsidR="00784792">
              <w:rPr>
                <w:rFonts w:cstheme="minorHAnsi"/>
                <w:bCs/>
                <w:szCs w:val="20"/>
              </w:rPr>
              <w:t xml:space="preserve"> cost</w:t>
            </w:r>
          </w:p>
        </w:tc>
        <w:tc>
          <w:tcPr>
            <w:tcW w:w="2252" w:type="dxa"/>
            <w:vMerge w:val="restart"/>
          </w:tcPr>
          <w:p w14:paraId="3EE07FAF" w14:textId="77777777" w:rsidR="00D00FB9" w:rsidRPr="00C701D8" w:rsidRDefault="00D00FB9" w:rsidP="00434B0F">
            <w:pPr>
              <w:rPr>
                <w:rFonts w:cstheme="minorHAnsi"/>
                <w:szCs w:val="20"/>
              </w:rPr>
            </w:pPr>
            <w:r w:rsidRPr="00C701D8">
              <w:rPr>
                <w:rFonts w:cstheme="minorHAnsi"/>
                <w:szCs w:val="20"/>
              </w:rPr>
              <w:t xml:space="preserve">Yes. Not all modalities are required in every patient. Most commonly Items 61647/61505 and/or </w:t>
            </w:r>
            <w:r>
              <w:rPr>
                <w:rFonts w:cstheme="minorHAnsi"/>
                <w:szCs w:val="20"/>
              </w:rPr>
              <w:t xml:space="preserve">56807 are </w:t>
            </w:r>
            <w:r w:rsidRPr="00C701D8">
              <w:rPr>
                <w:rFonts w:cstheme="minorHAnsi"/>
                <w:szCs w:val="20"/>
              </w:rPr>
              <w:t>applied</w:t>
            </w:r>
          </w:p>
        </w:tc>
        <w:tc>
          <w:tcPr>
            <w:tcW w:w="2253" w:type="dxa"/>
          </w:tcPr>
          <w:p w14:paraId="458F378A" w14:textId="77777777" w:rsidR="00D00FB9" w:rsidRPr="00C701D8" w:rsidRDefault="00D00FB9" w:rsidP="00434B0F">
            <w:pPr>
              <w:rPr>
                <w:rFonts w:cstheme="minorHAnsi"/>
                <w:szCs w:val="20"/>
              </w:rPr>
            </w:pPr>
            <w:r w:rsidRPr="00C701D8">
              <w:rPr>
                <w:rFonts w:cstheme="minorHAnsi"/>
                <w:szCs w:val="20"/>
              </w:rPr>
              <w:t>61647/61505</w:t>
            </w:r>
            <w:r>
              <w:rPr>
                <w:rFonts w:cstheme="minorHAnsi"/>
                <w:szCs w:val="20"/>
              </w:rPr>
              <w:t xml:space="preserve"> </w:t>
            </w:r>
            <w:r w:rsidRPr="0052100F">
              <w:rPr>
                <w:rFonts w:cstheme="minorHAnsi"/>
                <w:szCs w:val="20"/>
              </w:rPr>
              <w:t>with alteration of Item descriptor</w:t>
            </w:r>
          </w:p>
        </w:tc>
        <w:tc>
          <w:tcPr>
            <w:tcW w:w="2253" w:type="dxa"/>
          </w:tcPr>
          <w:p w14:paraId="2252703E" w14:textId="77777777" w:rsidR="00D00FB9" w:rsidRPr="00C701D8" w:rsidRDefault="00D00FB9" w:rsidP="00434B0F">
            <w:pPr>
              <w:rPr>
                <w:rFonts w:cstheme="minorHAnsi"/>
                <w:szCs w:val="20"/>
              </w:rPr>
            </w:pPr>
            <w:r w:rsidRPr="00C701D8">
              <w:rPr>
                <w:rFonts w:cstheme="minorHAnsi"/>
                <w:szCs w:val="20"/>
              </w:rPr>
              <w:t>$953/$100</w:t>
            </w:r>
          </w:p>
        </w:tc>
      </w:tr>
      <w:tr w:rsidR="00D00FB9" w:rsidRPr="00C701D8" w14:paraId="55657BF2" w14:textId="77777777" w:rsidTr="00434B0F">
        <w:trPr>
          <w:trHeight w:val="505"/>
        </w:trPr>
        <w:tc>
          <w:tcPr>
            <w:tcW w:w="2252" w:type="dxa"/>
            <w:vMerge/>
          </w:tcPr>
          <w:p w14:paraId="1752CEB7" w14:textId="77777777" w:rsidR="00D00FB9" w:rsidRPr="00C701D8" w:rsidRDefault="00D00FB9" w:rsidP="00434B0F">
            <w:pPr>
              <w:rPr>
                <w:rFonts w:cstheme="minorHAnsi"/>
                <w:szCs w:val="20"/>
              </w:rPr>
            </w:pPr>
          </w:p>
        </w:tc>
        <w:tc>
          <w:tcPr>
            <w:tcW w:w="2252" w:type="dxa"/>
            <w:vMerge/>
          </w:tcPr>
          <w:p w14:paraId="5ED0FFC5" w14:textId="77777777" w:rsidR="00D00FB9" w:rsidRPr="00C701D8" w:rsidRDefault="00D00FB9" w:rsidP="00434B0F">
            <w:pPr>
              <w:rPr>
                <w:rFonts w:cstheme="minorHAnsi"/>
                <w:szCs w:val="20"/>
              </w:rPr>
            </w:pPr>
          </w:p>
        </w:tc>
        <w:tc>
          <w:tcPr>
            <w:tcW w:w="2253" w:type="dxa"/>
          </w:tcPr>
          <w:p w14:paraId="12F118BD" w14:textId="77777777" w:rsidR="00D00FB9" w:rsidRPr="00C701D8" w:rsidRDefault="00D00FB9" w:rsidP="00434B0F">
            <w:pPr>
              <w:rPr>
                <w:rFonts w:cstheme="minorHAnsi"/>
                <w:szCs w:val="20"/>
              </w:rPr>
            </w:pPr>
            <w:r>
              <w:rPr>
                <w:rFonts w:cstheme="minorHAnsi"/>
                <w:szCs w:val="20"/>
              </w:rPr>
              <w:t>61369/61505 with alteration of Item descriptor</w:t>
            </w:r>
          </w:p>
        </w:tc>
        <w:tc>
          <w:tcPr>
            <w:tcW w:w="2253" w:type="dxa"/>
          </w:tcPr>
          <w:p w14:paraId="464EBAEA" w14:textId="77777777" w:rsidR="00D00FB9" w:rsidRPr="00C701D8" w:rsidRDefault="00D00FB9" w:rsidP="00434B0F">
            <w:pPr>
              <w:rPr>
                <w:rFonts w:cstheme="minorHAnsi"/>
                <w:szCs w:val="20"/>
              </w:rPr>
            </w:pPr>
            <w:r>
              <w:rPr>
                <w:rFonts w:cstheme="minorHAnsi"/>
                <w:szCs w:val="20"/>
              </w:rPr>
              <w:t>2015.75/100</w:t>
            </w:r>
          </w:p>
        </w:tc>
      </w:tr>
      <w:tr w:rsidR="00D00FB9" w:rsidRPr="00C701D8" w14:paraId="03B2C307" w14:textId="77777777" w:rsidTr="00434B0F">
        <w:trPr>
          <w:trHeight w:val="505"/>
        </w:trPr>
        <w:tc>
          <w:tcPr>
            <w:tcW w:w="2252" w:type="dxa"/>
            <w:vMerge/>
          </w:tcPr>
          <w:p w14:paraId="3150E40F" w14:textId="77777777" w:rsidR="00D00FB9" w:rsidRPr="00C701D8" w:rsidRDefault="00D00FB9" w:rsidP="00434B0F">
            <w:pPr>
              <w:rPr>
                <w:rFonts w:cstheme="minorHAnsi"/>
                <w:szCs w:val="20"/>
              </w:rPr>
            </w:pPr>
          </w:p>
        </w:tc>
        <w:tc>
          <w:tcPr>
            <w:tcW w:w="2252" w:type="dxa"/>
            <w:vMerge/>
          </w:tcPr>
          <w:p w14:paraId="0749D192" w14:textId="77777777" w:rsidR="00D00FB9" w:rsidRPr="00C701D8" w:rsidRDefault="00D00FB9" w:rsidP="00434B0F">
            <w:pPr>
              <w:rPr>
                <w:rFonts w:cstheme="minorHAnsi"/>
                <w:szCs w:val="20"/>
              </w:rPr>
            </w:pPr>
          </w:p>
        </w:tc>
        <w:tc>
          <w:tcPr>
            <w:tcW w:w="2253" w:type="dxa"/>
          </w:tcPr>
          <w:p w14:paraId="35F97168" w14:textId="77777777" w:rsidR="00D00FB9" w:rsidRPr="00C701D8" w:rsidRDefault="00D00FB9" w:rsidP="00434B0F">
            <w:pPr>
              <w:rPr>
                <w:rFonts w:cstheme="minorHAnsi"/>
                <w:szCs w:val="20"/>
              </w:rPr>
            </w:pPr>
            <w:r>
              <w:rPr>
                <w:rFonts w:cstheme="minorHAnsi"/>
                <w:szCs w:val="20"/>
              </w:rPr>
              <w:t>56807</w:t>
            </w:r>
          </w:p>
        </w:tc>
        <w:tc>
          <w:tcPr>
            <w:tcW w:w="2253" w:type="dxa"/>
          </w:tcPr>
          <w:p w14:paraId="3D80726E" w14:textId="77777777" w:rsidR="00D00FB9" w:rsidRPr="00C701D8" w:rsidRDefault="00D00FB9" w:rsidP="00434B0F">
            <w:pPr>
              <w:rPr>
                <w:rFonts w:cstheme="minorHAnsi"/>
                <w:szCs w:val="20"/>
              </w:rPr>
            </w:pPr>
            <w:r>
              <w:rPr>
                <w:rFonts w:cstheme="minorHAnsi"/>
                <w:szCs w:val="20"/>
              </w:rPr>
              <w:t>$582.70</w:t>
            </w:r>
          </w:p>
        </w:tc>
      </w:tr>
      <w:tr w:rsidR="00D00FB9" w:rsidRPr="00C701D8" w14:paraId="22354EC5" w14:textId="77777777" w:rsidTr="00434B0F">
        <w:trPr>
          <w:trHeight w:val="506"/>
        </w:trPr>
        <w:tc>
          <w:tcPr>
            <w:tcW w:w="2252" w:type="dxa"/>
            <w:vMerge/>
          </w:tcPr>
          <w:p w14:paraId="7BF08795" w14:textId="77777777" w:rsidR="00D00FB9" w:rsidRPr="00C701D8" w:rsidRDefault="00D00FB9" w:rsidP="00434B0F">
            <w:pPr>
              <w:rPr>
                <w:rFonts w:cstheme="minorHAnsi"/>
                <w:szCs w:val="20"/>
              </w:rPr>
            </w:pPr>
          </w:p>
        </w:tc>
        <w:tc>
          <w:tcPr>
            <w:tcW w:w="2252" w:type="dxa"/>
            <w:vMerge/>
          </w:tcPr>
          <w:p w14:paraId="558E4721" w14:textId="77777777" w:rsidR="00D00FB9" w:rsidRPr="00C701D8" w:rsidRDefault="00D00FB9" w:rsidP="00434B0F">
            <w:pPr>
              <w:rPr>
                <w:rFonts w:cstheme="minorHAnsi"/>
                <w:szCs w:val="20"/>
              </w:rPr>
            </w:pPr>
          </w:p>
        </w:tc>
        <w:tc>
          <w:tcPr>
            <w:tcW w:w="2253" w:type="dxa"/>
          </w:tcPr>
          <w:p w14:paraId="4E4B9B53" w14:textId="77777777" w:rsidR="00D00FB9" w:rsidRPr="00C701D8" w:rsidRDefault="00D00FB9" w:rsidP="00434B0F">
            <w:pPr>
              <w:rPr>
                <w:rFonts w:cstheme="minorHAnsi"/>
                <w:szCs w:val="20"/>
              </w:rPr>
            </w:pPr>
            <w:r>
              <w:rPr>
                <w:rFonts w:cstheme="minorHAnsi"/>
                <w:szCs w:val="20"/>
              </w:rPr>
              <w:t>63546</w:t>
            </w:r>
          </w:p>
        </w:tc>
        <w:tc>
          <w:tcPr>
            <w:tcW w:w="2253" w:type="dxa"/>
          </w:tcPr>
          <w:p w14:paraId="45928CEE" w14:textId="77777777" w:rsidR="00D00FB9" w:rsidRPr="00C701D8" w:rsidRDefault="00D00FB9" w:rsidP="00434B0F">
            <w:pPr>
              <w:rPr>
                <w:rFonts w:cstheme="minorHAnsi"/>
                <w:szCs w:val="20"/>
              </w:rPr>
            </w:pPr>
            <w:r>
              <w:rPr>
                <w:rFonts w:cstheme="minorHAnsi"/>
                <w:szCs w:val="20"/>
              </w:rPr>
              <w:t>$558.80</w:t>
            </w:r>
          </w:p>
        </w:tc>
      </w:tr>
      <w:tr w:rsidR="00D00FB9" w:rsidRPr="00C701D8" w14:paraId="7DA1EA12" w14:textId="77777777" w:rsidTr="00434B0F">
        <w:trPr>
          <w:trHeight w:val="506"/>
        </w:trPr>
        <w:tc>
          <w:tcPr>
            <w:tcW w:w="2252" w:type="dxa"/>
          </w:tcPr>
          <w:p w14:paraId="721B99E7" w14:textId="439D335C" w:rsidR="00D00FB9" w:rsidRPr="00C701D8" w:rsidRDefault="00D00FB9" w:rsidP="00434B0F">
            <w:pPr>
              <w:rPr>
                <w:rFonts w:cstheme="minorHAnsi"/>
                <w:szCs w:val="20"/>
              </w:rPr>
            </w:pPr>
            <w:proofErr w:type="spellStart"/>
            <w:r w:rsidRPr="00C701D8">
              <w:rPr>
                <w:rFonts w:cstheme="minorHAnsi"/>
                <w:szCs w:val="20"/>
              </w:rPr>
              <w:t>Theranostic</w:t>
            </w:r>
            <w:proofErr w:type="spellEnd"/>
            <w:r w:rsidRPr="00C701D8">
              <w:rPr>
                <w:rFonts w:cstheme="minorHAnsi"/>
                <w:szCs w:val="20"/>
              </w:rPr>
              <w:t xml:space="preserve"> specialist consultation post-treatment cycle completion</w:t>
            </w:r>
            <w:r w:rsidR="00784792">
              <w:rPr>
                <w:rFonts w:cstheme="minorHAnsi"/>
                <w:szCs w:val="20"/>
              </w:rPr>
              <w:t xml:space="preserve"> cost</w:t>
            </w:r>
          </w:p>
        </w:tc>
        <w:tc>
          <w:tcPr>
            <w:tcW w:w="2252" w:type="dxa"/>
          </w:tcPr>
          <w:p w14:paraId="27EC37EB" w14:textId="77777777" w:rsidR="00D00FB9" w:rsidRPr="00C701D8" w:rsidRDefault="00D00FB9" w:rsidP="00434B0F">
            <w:pPr>
              <w:rPr>
                <w:rFonts w:cstheme="minorHAnsi"/>
                <w:szCs w:val="20"/>
              </w:rPr>
            </w:pPr>
            <w:r w:rsidRPr="00C701D8">
              <w:rPr>
                <w:rFonts w:cstheme="minorHAnsi"/>
                <w:szCs w:val="20"/>
              </w:rPr>
              <w:t>Yes</w:t>
            </w:r>
          </w:p>
        </w:tc>
        <w:tc>
          <w:tcPr>
            <w:tcW w:w="2253" w:type="dxa"/>
          </w:tcPr>
          <w:p w14:paraId="2C29F5BC" w14:textId="77777777" w:rsidR="00D00FB9" w:rsidRPr="00C701D8" w:rsidRDefault="00D00FB9" w:rsidP="00434B0F">
            <w:pPr>
              <w:rPr>
                <w:rFonts w:cstheme="minorHAnsi"/>
                <w:szCs w:val="20"/>
              </w:rPr>
            </w:pPr>
            <w:r>
              <w:rPr>
                <w:rFonts w:cstheme="minorHAnsi"/>
                <w:szCs w:val="20"/>
              </w:rPr>
              <w:t>105</w:t>
            </w:r>
          </w:p>
        </w:tc>
        <w:tc>
          <w:tcPr>
            <w:tcW w:w="2253" w:type="dxa"/>
          </w:tcPr>
          <w:p w14:paraId="60C4EC16" w14:textId="77777777" w:rsidR="00D00FB9" w:rsidRPr="00C701D8" w:rsidRDefault="00D00FB9" w:rsidP="00434B0F">
            <w:pPr>
              <w:rPr>
                <w:rFonts w:cstheme="minorHAnsi"/>
                <w:szCs w:val="20"/>
              </w:rPr>
            </w:pPr>
            <w:r>
              <w:rPr>
                <w:rFonts w:cstheme="minorHAnsi"/>
                <w:szCs w:val="20"/>
              </w:rPr>
              <w:t>$46.15</w:t>
            </w:r>
          </w:p>
        </w:tc>
      </w:tr>
    </w:tbl>
    <w:p w14:paraId="479DABD3" w14:textId="77777777" w:rsidR="00D00FB9" w:rsidRPr="00C701D8" w:rsidRDefault="00D00FB9" w:rsidP="00D00FB9">
      <w:pPr>
        <w:rPr>
          <w:rFonts w:cstheme="minorHAnsi"/>
          <w:szCs w:val="20"/>
        </w:rPr>
      </w:pPr>
    </w:p>
    <w:p w14:paraId="63345B76"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6AA5A497" w14:textId="29E3A9A8" w:rsidR="00951933" w:rsidRDefault="00127244" w:rsidP="00AE1188">
      <w:pPr>
        <w:ind w:left="426"/>
        <w:rPr>
          <w:b/>
          <w:szCs w:val="20"/>
        </w:rPr>
      </w:pPr>
      <w:r>
        <w:t>6-</w:t>
      </w:r>
      <w:r w:rsidR="00C163E8">
        <w:t>8 hours</w:t>
      </w:r>
      <w:r w:rsidR="00AC69D6">
        <w:t xml:space="preserve"> for </w:t>
      </w:r>
      <w:r>
        <w:t xml:space="preserve">each </w:t>
      </w:r>
      <w:r w:rsidR="00AC69D6">
        <w:t>treatment administration</w:t>
      </w:r>
      <w:r>
        <w:t xml:space="preserve"> </w:t>
      </w:r>
    </w:p>
    <w:p w14:paraId="6FA8362E" w14:textId="77777777" w:rsidR="00D269F6" w:rsidRPr="00D269F6" w:rsidRDefault="00D269F6" w:rsidP="00D269F6">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07637D17" w14:textId="16D06AE5" w:rsidR="00AE1188" w:rsidRPr="00AE1188" w:rsidRDefault="00AE1188" w:rsidP="00AD3EAB">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Category</w:t>
      </w:r>
      <w:r w:rsidR="00796F58">
        <w:rPr>
          <w:szCs w:val="20"/>
        </w:rPr>
        <w:t xml:space="preserve"> T3-Therapeutic Nuclear Medicine</w:t>
      </w:r>
      <w:r w:rsidRPr="00AE1188">
        <w:rPr>
          <w:szCs w:val="20"/>
        </w:rPr>
        <w:t xml:space="preserve"> </w:t>
      </w:r>
    </w:p>
    <w:p w14:paraId="3D174E8A" w14:textId="77777777" w:rsidR="002D310B" w:rsidRDefault="002D310B" w:rsidP="00AE1188">
      <w:pPr>
        <w:pBdr>
          <w:top w:val="single" w:sz="4" w:space="1" w:color="auto"/>
          <w:left w:val="single" w:sz="4" w:space="4" w:color="auto"/>
          <w:bottom w:val="single" w:sz="4" w:space="1" w:color="auto"/>
          <w:right w:val="single" w:sz="4" w:space="4" w:color="auto"/>
        </w:pBdr>
        <w:rPr>
          <w:bCs/>
        </w:rPr>
      </w:pPr>
      <w:r>
        <w:rPr>
          <w:bCs/>
        </w:rPr>
        <w:t>Item 16020</w:t>
      </w:r>
    </w:p>
    <w:p w14:paraId="0EC28FCF" w14:textId="2A180261" w:rsidR="00AE1188" w:rsidRPr="00AE1188" w:rsidRDefault="001D18A2" w:rsidP="00AE1188">
      <w:pPr>
        <w:pBdr>
          <w:top w:val="single" w:sz="4" w:space="1" w:color="auto"/>
          <w:left w:val="single" w:sz="4" w:space="4" w:color="auto"/>
          <w:bottom w:val="single" w:sz="4" w:space="1" w:color="auto"/>
          <w:right w:val="single" w:sz="4" w:space="4" w:color="auto"/>
        </w:pBdr>
        <w:rPr>
          <w:szCs w:val="20"/>
        </w:rPr>
      </w:pPr>
      <w:r w:rsidRPr="00193D3A">
        <w:rPr>
          <w:bCs/>
          <w:vertAlign w:val="superscript"/>
        </w:rPr>
        <w:t>177</w:t>
      </w:r>
      <w:r w:rsidRPr="00193D3A">
        <w:rPr>
          <w:bCs/>
        </w:rPr>
        <w:t>Lutetium(</w:t>
      </w:r>
      <w:proofErr w:type="spellStart"/>
      <w:r w:rsidRPr="00193D3A">
        <w:rPr>
          <w:bCs/>
        </w:rPr>
        <w:t>nca</w:t>
      </w:r>
      <w:proofErr w:type="spellEnd"/>
      <w:r w:rsidRPr="00193D3A">
        <w:rPr>
          <w:bCs/>
        </w:rPr>
        <w:t xml:space="preserve">) </w:t>
      </w:r>
      <w:proofErr w:type="spellStart"/>
      <w:r w:rsidRPr="00193D3A">
        <w:rPr>
          <w:bCs/>
        </w:rPr>
        <w:t>Octreotate</w:t>
      </w:r>
      <w:proofErr w:type="spellEnd"/>
      <w:r>
        <w:rPr>
          <w:bCs/>
        </w:rPr>
        <w:t xml:space="preserve"> </w:t>
      </w:r>
      <w:r>
        <w:t>treatment</w:t>
      </w:r>
      <w:r w:rsidR="00127244">
        <w:rPr>
          <w:szCs w:val="20"/>
        </w:rPr>
        <w:t xml:space="preserve"> for patients with advanced Neuroendocrine Tumour and other High Somatostatin Receptor expressing tumours </w:t>
      </w:r>
      <w:r w:rsidR="00784792">
        <w:rPr>
          <w:szCs w:val="20"/>
        </w:rPr>
        <w:t xml:space="preserve">when </w:t>
      </w:r>
      <w:r w:rsidR="00127244">
        <w:rPr>
          <w:szCs w:val="20"/>
        </w:rPr>
        <w:t xml:space="preserve">recommended by </w:t>
      </w:r>
      <w:r w:rsidR="00F7715B">
        <w:rPr>
          <w:szCs w:val="20"/>
        </w:rPr>
        <w:t xml:space="preserve">an experienced Multidisciplinary Team </w:t>
      </w:r>
    </w:p>
    <w:p w14:paraId="5913B15E" w14:textId="769B06D2" w:rsidR="00AE1188" w:rsidRPr="00AD3EAB" w:rsidRDefault="00AE1188" w:rsidP="00AE1188">
      <w:pPr>
        <w:pBdr>
          <w:top w:val="single" w:sz="4" w:space="1" w:color="auto"/>
          <w:left w:val="single" w:sz="4" w:space="4" w:color="auto"/>
          <w:bottom w:val="single" w:sz="4" w:space="1" w:color="auto"/>
          <w:right w:val="single" w:sz="4" w:space="4" w:color="auto"/>
        </w:pBdr>
        <w:rPr>
          <w:color w:val="000000" w:themeColor="text1"/>
          <w:szCs w:val="20"/>
        </w:rPr>
      </w:pPr>
      <w:r w:rsidRPr="00AD3EAB">
        <w:rPr>
          <w:color w:val="000000" w:themeColor="text1"/>
          <w:szCs w:val="20"/>
        </w:rPr>
        <w:t>Fee:  $</w:t>
      </w:r>
      <w:r w:rsidR="001D18A2" w:rsidRPr="00D00FB9">
        <w:rPr>
          <w:color w:val="000000" w:themeColor="text1"/>
        </w:rPr>
        <w:t>8</w:t>
      </w:r>
      <w:r w:rsidR="00CD1550" w:rsidRPr="00AD3EAB">
        <w:rPr>
          <w:color w:val="000000" w:themeColor="text1"/>
        </w:rPr>
        <w:t xml:space="preserve">,000  </w:t>
      </w:r>
    </w:p>
    <w:p w14:paraId="638853B0" w14:textId="77777777" w:rsidR="00D269F6" w:rsidRPr="00D269F6" w:rsidRDefault="00D269F6" w:rsidP="00D269F6">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1C01A136" w14:textId="5757A87E" w:rsidR="00282B37" w:rsidRDefault="008F1188" w:rsidP="008F1188">
      <w:pPr>
        <w:ind w:left="360"/>
        <w:rPr>
          <w:szCs w:val="20"/>
        </w:rPr>
      </w:pPr>
      <w:r>
        <w:rPr>
          <w:szCs w:val="20"/>
        </w:rPr>
        <w:t>N/A</w:t>
      </w:r>
    </w:p>
    <w:sectPr w:rsidR="00282B3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0C20" w14:textId="77777777" w:rsidR="00B53E72" w:rsidRDefault="00B53E72" w:rsidP="00CF2DFA">
      <w:pPr>
        <w:spacing w:after="0"/>
      </w:pPr>
      <w:r>
        <w:separator/>
      </w:r>
    </w:p>
  </w:endnote>
  <w:endnote w:type="continuationSeparator" w:id="0">
    <w:p w14:paraId="6225F694" w14:textId="77777777" w:rsidR="00B53E72" w:rsidRDefault="00B53E7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DB14B9B" w14:textId="77777777" w:rsidR="008D1A4B" w:rsidRDefault="008D1A4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85937"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5AE4343" w14:textId="77777777" w:rsidR="008D1A4B" w:rsidRPr="003F7CB9" w:rsidRDefault="008D1A4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0EC3" w14:textId="77777777" w:rsidR="00B53E72" w:rsidRDefault="00B53E72" w:rsidP="00CF2DFA">
      <w:pPr>
        <w:spacing w:after="0"/>
      </w:pPr>
      <w:r>
        <w:separator/>
      </w:r>
    </w:p>
  </w:footnote>
  <w:footnote w:type="continuationSeparator" w:id="0">
    <w:p w14:paraId="4E6E8B00" w14:textId="77777777" w:rsidR="00B53E72" w:rsidRDefault="00B53E72"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2B9101C"/>
    <w:multiLevelType w:val="hybridMultilevel"/>
    <w:tmpl w:val="5660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DF20AE"/>
    <w:multiLevelType w:val="multilevel"/>
    <w:tmpl w:val="FF445B40"/>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2616B"/>
    <w:multiLevelType w:val="hybridMultilevel"/>
    <w:tmpl w:val="8FFC4A3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68819CD"/>
    <w:multiLevelType w:val="hybridMultilevel"/>
    <w:tmpl w:val="FF445B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332D75DC"/>
    <w:multiLevelType w:val="hybridMultilevel"/>
    <w:tmpl w:val="B0BA7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4D3A6D0B"/>
    <w:multiLevelType w:val="hybridMultilevel"/>
    <w:tmpl w:val="CA90942E"/>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17"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CE7C28"/>
    <w:multiLevelType w:val="hybridMultilevel"/>
    <w:tmpl w:val="C88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C14EA"/>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2707EE"/>
    <w:multiLevelType w:val="hybridMultilevel"/>
    <w:tmpl w:val="975AF2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A8179F"/>
    <w:multiLevelType w:val="hybridMultilevel"/>
    <w:tmpl w:val="B726A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2042E0"/>
    <w:multiLevelType w:val="hybridMultilevel"/>
    <w:tmpl w:val="B2D6702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17"/>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13"/>
  </w:num>
  <w:num w:numId="4">
    <w:abstractNumId w:val="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4"/>
  </w:num>
  <w:num w:numId="26">
    <w:abstractNumId w:val="6"/>
  </w:num>
  <w:num w:numId="27">
    <w:abstractNumId w:val="19"/>
  </w:num>
  <w:num w:numId="28">
    <w:abstractNumId w:val="14"/>
  </w:num>
  <w:num w:numId="29">
    <w:abstractNumId w:val="27"/>
  </w:num>
  <w:num w:numId="30">
    <w:abstractNumId w:val="4"/>
  </w:num>
  <w:num w:numId="31">
    <w:abstractNumId w:val="21"/>
  </w:num>
  <w:num w:numId="32">
    <w:abstractNumId w:val="10"/>
  </w:num>
  <w:num w:numId="33">
    <w:abstractNumId w:val="20"/>
  </w:num>
  <w:num w:numId="34">
    <w:abstractNumId w:val="8"/>
  </w:num>
  <w:num w:numId="35">
    <w:abstractNumId w:val="15"/>
  </w:num>
  <w:num w:numId="36">
    <w:abstractNumId w:val="0"/>
  </w:num>
  <w:num w:numId="37">
    <w:abstractNumId w:val="17"/>
  </w:num>
  <w:num w:numId="38">
    <w:abstractNumId w:val="17"/>
  </w:num>
  <w:num w:numId="39">
    <w:abstractNumId w:val="17"/>
  </w:num>
  <w:num w:numId="40">
    <w:abstractNumId w:val="17"/>
  </w:num>
  <w:num w:numId="41">
    <w:abstractNumId w:val="17"/>
  </w:num>
  <w:num w:numId="42">
    <w:abstractNumId w:val="23"/>
  </w:num>
  <w:num w:numId="43">
    <w:abstractNumId w:val="5"/>
  </w:num>
  <w:num w:numId="44">
    <w:abstractNumId w:val="1"/>
  </w:num>
  <w:num w:numId="45">
    <w:abstractNumId w:val="22"/>
  </w:num>
  <w:num w:numId="46">
    <w:abstractNumId w:val="25"/>
  </w:num>
  <w:num w:numId="47">
    <w:abstractNumId w:val="16"/>
  </w:num>
  <w:num w:numId="48">
    <w:abstractNumId w:val="26"/>
  </w:num>
  <w:num w:numId="49">
    <w:abstractNumId w:val="29"/>
  </w:num>
  <w:num w:numId="50">
    <w:abstractNumId w:val="12"/>
  </w:num>
  <w:num w:numId="51">
    <w:abstractNumId w:val="9"/>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110DC"/>
    <w:rsid w:val="00012943"/>
    <w:rsid w:val="000158AA"/>
    <w:rsid w:val="000159B9"/>
    <w:rsid w:val="00016B6E"/>
    <w:rsid w:val="00023E21"/>
    <w:rsid w:val="00025ABC"/>
    <w:rsid w:val="00026412"/>
    <w:rsid w:val="00026E73"/>
    <w:rsid w:val="00031F6F"/>
    <w:rsid w:val="00034D6E"/>
    <w:rsid w:val="00040EA9"/>
    <w:rsid w:val="000449F5"/>
    <w:rsid w:val="00046CD8"/>
    <w:rsid w:val="00047BA0"/>
    <w:rsid w:val="0005089D"/>
    <w:rsid w:val="00050B63"/>
    <w:rsid w:val="000525BC"/>
    <w:rsid w:val="000532CE"/>
    <w:rsid w:val="00055FC7"/>
    <w:rsid w:val="00056D02"/>
    <w:rsid w:val="0005740D"/>
    <w:rsid w:val="00057D14"/>
    <w:rsid w:val="000652FF"/>
    <w:rsid w:val="00073222"/>
    <w:rsid w:val="000770BA"/>
    <w:rsid w:val="00080881"/>
    <w:rsid w:val="00082B62"/>
    <w:rsid w:val="0008323F"/>
    <w:rsid w:val="000847C2"/>
    <w:rsid w:val="0009062C"/>
    <w:rsid w:val="00090F30"/>
    <w:rsid w:val="00092580"/>
    <w:rsid w:val="00093F22"/>
    <w:rsid w:val="000955E7"/>
    <w:rsid w:val="00095B45"/>
    <w:rsid w:val="000A0FCC"/>
    <w:rsid w:val="000A110D"/>
    <w:rsid w:val="000A478F"/>
    <w:rsid w:val="000A4ADF"/>
    <w:rsid w:val="000A5ABC"/>
    <w:rsid w:val="000A5B32"/>
    <w:rsid w:val="000B2BC2"/>
    <w:rsid w:val="000B2EB5"/>
    <w:rsid w:val="000B3CD0"/>
    <w:rsid w:val="000C2FA8"/>
    <w:rsid w:val="000C54F1"/>
    <w:rsid w:val="000D066E"/>
    <w:rsid w:val="000D0831"/>
    <w:rsid w:val="000D13DE"/>
    <w:rsid w:val="000D3960"/>
    <w:rsid w:val="000D5131"/>
    <w:rsid w:val="000D7611"/>
    <w:rsid w:val="000E20FE"/>
    <w:rsid w:val="000E2E02"/>
    <w:rsid w:val="000E3411"/>
    <w:rsid w:val="000E47E7"/>
    <w:rsid w:val="000E5439"/>
    <w:rsid w:val="000E6DCD"/>
    <w:rsid w:val="000E700B"/>
    <w:rsid w:val="000F0C82"/>
    <w:rsid w:val="000F18B6"/>
    <w:rsid w:val="000F3129"/>
    <w:rsid w:val="000F31FD"/>
    <w:rsid w:val="000F3873"/>
    <w:rsid w:val="000F4A7F"/>
    <w:rsid w:val="000F6A24"/>
    <w:rsid w:val="00102686"/>
    <w:rsid w:val="00102AE0"/>
    <w:rsid w:val="0011036E"/>
    <w:rsid w:val="001130B0"/>
    <w:rsid w:val="0011369B"/>
    <w:rsid w:val="001144E9"/>
    <w:rsid w:val="0011742E"/>
    <w:rsid w:val="001202BD"/>
    <w:rsid w:val="001218E6"/>
    <w:rsid w:val="00123D10"/>
    <w:rsid w:val="0012430D"/>
    <w:rsid w:val="00124809"/>
    <w:rsid w:val="00126B33"/>
    <w:rsid w:val="00127244"/>
    <w:rsid w:val="00131837"/>
    <w:rsid w:val="00143BB3"/>
    <w:rsid w:val="00146A10"/>
    <w:rsid w:val="00147079"/>
    <w:rsid w:val="00154B00"/>
    <w:rsid w:val="00155C43"/>
    <w:rsid w:val="001609F8"/>
    <w:rsid w:val="00162E8F"/>
    <w:rsid w:val="001644E9"/>
    <w:rsid w:val="00171BC9"/>
    <w:rsid w:val="00173897"/>
    <w:rsid w:val="00173F79"/>
    <w:rsid w:val="00176620"/>
    <w:rsid w:val="001845D9"/>
    <w:rsid w:val="0018630F"/>
    <w:rsid w:val="001900FF"/>
    <w:rsid w:val="001906CD"/>
    <w:rsid w:val="00191B99"/>
    <w:rsid w:val="00193D3A"/>
    <w:rsid w:val="0019694B"/>
    <w:rsid w:val="00197D29"/>
    <w:rsid w:val="001A02E3"/>
    <w:rsid w:val="001A1ADF"/>
    <w:rsid w:val="001A365C"/>
    <w:rsid w:val="001B171D"/>
    <w:rsid w:val="001B1D1B"/>
    <w:rsid w:val="001B29A1"/>
    <w:rsid w:val="001B3FE0"/>
    <w:rsid w:val="001B4F43"/>
    <w:rsid w:val="001B5169"/>
    <w:rsid w:val="001B53EA"/>
    <w:rsid w:val="001B6164"/>
    <w:rsid w:val="001C579F"/>
    <w:rsid w:val="001D04E5"/>
    <w:rsid w:val="001D18A2"/>
    <w:rsid w:val="001D3BC6"/>
    <w:rsid w:val="001D77ED"/>
    <w:rsid w:val="001E1180"/>
    <w:rsid w:val="001E158E"/>
    <w:rsid w:val="001E23EA"/>
    <w:rsid w:val="001E6919"/>
    <w:rsid w:val="001E6958"/>
    <w:rsid w:val="001F1882"/>
    <w:rsid w:val="001F3714"/>
    <w:rsid w:val="001F3A2A"/>
    <w:rsid w:val="00201924"/>
    <w:rsid w:val="00202473"/>
    <w:rsid w:val="002053F2"/>
    <w:rsid w:val="00206D63"/>
    <w:rsid w:val="0021185D"/>
    <w:rsid w:val="002244D7"/>
    <w:rsid w:val="00226777"/>
    <w:rsid w:val="002311EB"/>
    <w:rsid w:val="00235BD1"/>
    <w:rsid w:val="00242B0E"/>
    <w:rsid w:val="002433AF"/>
    <w:rsid w:val="00247DF0"/>
    <w:rsid w:val="00250067"/>
    <w:rsid w:val="00254813"/>
    <w:rsid w:val="00256D94"/>
    <w:rsid w:val="00257FF2"/>
    <w:rsid w:val="00263920"/>
    <w:rsid w:val="00265822"/>
    <w:rsid w:val="002665D7"/>
    <w:rsid w:val="0027105F"/>
    <w:rsid w:val="002711FB"/>
    <w:rsid w:val="00277363"/>
    <w:rsid w:val="00282B37"/>
    <w:rsid w:val="00282BE8"/>
    <w:rsid w:val="00283318"/>
    <w:rsid w:val="00284853"/>
    <w:rsid w:val="00285525"/>
    <w:rsid w:val="0029407B"/>
    <w:rsid w:val="002941FB"/>
    <w:rsid w:val="00294CD8"/>
    <w:rsid w:val="00296405"/>
    <w:rsid w:val="002A0235"/>
    <w:rsid w:val="002A2076"/>
    <w:rsid w:val="002A270B"/>
    <w:rsid w:val="002A50FD"/>
    <w:rsid w:val="002A6753"/>
    <w:rsid w:val="002B1304"/>
    <w:rsid w:val="002B28D7"/>
    <w:rsid w:val="002B68FA"/>
    <w:rsid w:val="002B7EB6"/>
    <w:rsid w:val="002C0B61"/>
    <w:rsid w:val="002C15E6"/>
    <w:rsid w:val="002C247D"/>
    <w:rsid w:val="002C3345"/>
    <w:rsid w:val="002C3623"/>
    <w:rsid w:val="002C6EDE"/>
    <w:rsid w:val="002D310B"/>
    <w:rsid w:val="002D409A"/>
    <w:rsid w:val="002D4C99"/>
    <w:rsid w:val="002E52B3"/>
    <w:rsid w:val="002F07B8"/>
    <w:rsid w:val="002F30E7"/>
    <w:rsid w:val="002F6D7F"/>
    <w:rsid w:val="00300EEB"/>
    <w:rsid w:val="003013A9"/>
    <w:rsid w:val="00301958"/>
    <w:rsid w:val="003020B5"/>
    <w:rsid w:val="003027BB"/>
    <w:rsid w:val="00302806"/>
    <w:rsid w:val="00310A10"/>
    <w:rsid w:val="003114FC"/>
    <w:rsid w:val="00321278"/>
    <w:rsid w:val="003217F7"/>
    <w:rsid w:val="00327D25"/>
    <w:rsid w:val="003319A7"/>
    <w:rsid w:val="00334FE3"/>
    <w:rsid w:val="00337EDE"/>
    <w:rsid w:val="00341CB5"/>
    <w:rsid w:val="003421AE"/>
    <w:rsid w:val="003433D1"/>
    <w:rsid w:val="00344B24"/>
    <w:rsid w:val="003456B9"/>
    <w:rsid w:val="00345C97"/>
    <w:rsid w:val="0035067D"/>
    <w:rsid w:val="0035375F"/>
    <w:rsid w:val="00353A16"/>
    <w:rsid w:val="003551BE"/>
    <w:rsid w:val="0035776D"/>
    <w:rsid w:val="00357E2B"/>
    <w:rsid w:val="00364FD9"/>
    <w:rsid w:val="00367C1B"/>
    <w:rsid w:val="00376779"/>
    <w:rsid w:val="00376B61"/>
    <w:rsid w:val="00382407"/>
    <w:rsid w:val="00382EA3"/>
    <w:rsid w:val="00385EF9"/>
    <w:rsid w:val="00386A64"/>
    <w:rsid w:val="00386FA1"/>
    <w:rsid w:val="00387060"/>
    <w:rsid w:val="00390142"/>
    <w:rsid w:val="003903D4"/>
    <w:rsid w:val="003904AC"/>
    <w:rsid w:val="00392F00"/>
    <w:rsid w:val="00397377"/>
    <w:rsid w:val="003A1EB7"/>
    <w:rsid w:val="003A22DE"/>
    <w:rsid w:val="003A2860"/>
    <w:rsid w:val="003A3C35"/>
    <w:rsid w:val="003A7D30"/>
    <w:rsid w:val="003B2CAA"/>
    <w:rsid w:val="003B398F"/>
    <w:rsid w:val="003B3C5C"/>
    <w:rsid w:val="003B52CA"/>
    <w:rsid w:val="003B605D"/>
    <w:rsid w:val="003B6E6F"/>
    <w:rsid w:val="003C02EF"/>
    <w:rsid w:val="003C47CA"/>
    <w:rsid w:val="003D2016"/>
    <w:rsid w:val="003D4FA6"/>
    <w:rsid w:val="003D514A"/>
    <w:rsid w:val="003D6DE1"/>
    <w:rsid w:val="003D795C"/>
    <w:rsid w:val="003E1810"/>
    <w:rsid w:val="003E30FB"/>
    <w:rsid w:val="003F0D6D"/>
    <w:rsid w:val="003F2711"/>
    <w:rsid w:val="003F6C70"/>
    <w:rsid w:val="003F7CB9"/>
    <w:rsid w:val="00403333"/>
    <w:rsid w:val="00403CA4"/>
    <w:rsid w:val="00404AD3"/>
    <w:rsid w:val="004051A5"/>
    <w:rsid w:val="00411735"/>
    <w:rsid w:val="00411855"/>
    <w:rsid w:val="00415C74"/>
    <w:rsid w:val="0042140F"/>
    <w:rsid w:val="00425F23"/>
    <w:rsid w:val="00432AD3"/>
    <w:rsid w:val="00432D5F"/>
    <w:rsid w:val="00432F4F"/>
    <w:rsid w:val="0043654D"/>
    <w:rsid w:val="00437F60"/>
    <w:rsid w:val="00440654"/>
    <w:rsid w:val="004426BE"/>
    <w:rsid w:val="00451840"/>
    <w:rsid w:val="00460C9A"/>
    <w:rsid w:val="00461F4D"/>
    <w:rsid w:val="00464915"/>
    <w:rsid w:val="00464924"/>
    <w:rsid w:val="00467726"/>
    <w:rsid w:val="0047363C"/>
    <w:rsid w:val="0047581D"/>
    <w:rsid w:val="00480289"/>
    <w:rsid w:val="00481279"/>
    <w:rsid w:val="00483368"/>
    <w:rsid w:val="004916D4"/>
    <w:rsid w:val="00492264"/>
    <w:rsid w:val="00494011"/>
    <w:rsid w:val="00497821"/>
    <w:rsid w:val="004A0BF4"/>
    <w:rsid w:val="004A263B"/>
    <w:rsid w:val="004A5AF1"/>
    <w:rsid w:val="004A5BE8"/>
    <w:rsid w:val="004B30AF"/>
    <w:rsid w:val="004B362D"/>
    <w:rsid w:val="004B592C"/>
    <w:rsid w:val="004B68AE"/>
    <w:rsid w:val="004C2308"/>
    <w:rsid w:val="004C2B1C"/>
    <w:rsid w:val="004C325D"/>
    <w:rsid w:val="004C35B0"/>
    <w:rsid w:val="004C3713"/>
    <w:rsid w:val="004C49EF"/>
    <w:rsid w:val="004C4A19"/>
    <w:rsid w:val="004C5570"/>
    <w:rsid w:val="004D00C9"/>
    <w:rsid w:val="004E0343"/>
    <w:rsid w:val="004E16F5"/>
    <w:rsid w:val="004E3A98"/>
    <w:rsid w:val="004E3CC7"/>
    <w:rsid w:val="004E5B69"/>
    <w:rsid w:val="004F2A87"/>
    <w:rsid w:val="00507C56"/>
    <w:rsid w:val="00510E49"/>
    <w:rsid w:val="00515D40"/>
    <w:rsid w:val="0052344E"/>
    <w:rsid w:val="00526478"/>
    <w:rsid w:val="005272F8"/>
    <w:rsid w:val="00530204"/>
    <w:rsid w:val="00530AD0"/>
    <w:rsid w:val="00531C7F"/>
    <w:rsid w:val="00534C5F"/>
    <w:rsid w:val="005353C9"/>
    <w:rsid w:val="005370BD"/>
    <w:rsid w:val="00540257"/>
    <w:rsid w:val="00540572"/>
    <w:rsid w:val="0054192F"/>
    <w:rsid w:val="005445F3"/>
    <w:rsid w:val="00544867"/>
    <w:rsid w:val="00544EB3"/>
    <w:rsid w:val="0054594B"/>
    <w:rsid w:val="00545951"/>
    <w:rsid w:val="005463C6"/>
    <w:rsid w:val="00546C97"/>
    <w:rsid w:val="0054749B"/>
    <w:rsid w:val="00551CC6"/>
    <w:rsid w:val="00554403"/>
    <w:rsid w:val="00554E7A"/>
    <w:rsid w:val="00556093"/>
    <w:rsid w:val="0056015F"/>
    <w:rsid w:val="00560541"/>
    <w:rsid w:val="00562BBE"/>
    <w:rsid w:val="005645FE"/>
    <w:rsid w:val="005672D0"/>
    <w:rsid w:val="00572CEB"/>
    <w:rsid w:val="00572DCE"/>
    <w:rsid w:val="00576675"/>
    <w:rsid w:val="005768FE"/>
    <w:rsid w:val="00581BF6"/>
    <w:rsid w:val="005834C9"/>
    <w:rsid w:val="00583ACA"/>
    <w:rsid w:val="00587369"/>
    <w:rsid w:val="005906BF"/>
    <w:rsid w:val="00591840"/>
    <w:rsid w:val="005A20E4"/>
    <w:rsid w:val="005A58BA"/>
    <w:rsid w:val="005A5CF8"/>
    <w:rsid w:val="005A5D30"/>
    <w:rsid w:val="005A6AB9"/>
    <w:rsid w:val="005A7F7A"/>
    <w:rsid w:val="005B713B"/>
    <w:rsid w:val="005C333E"/>
    <w:rsid w:val="005C3AE7"/>
    <w:rsid w:val="005D0677"/>
    <w:rsid w:val="005D49C1"/>
    <w:rsid w:val="005D64AD"/>
    <w:rsid w:val="005E143B"/>
    <w:rsid w:val="005E294C"/>
    <w:rsid w:val="005E2BE2"/>
    <w:rsid w:val="005E2CE3"/>
    <w:rsid w:val="005E62EB"/>
    <w:rsid w:val="005E7FD7"/>
    <w:rsid w:val="005F3F07"/>
    <w:rsid w:val="005F4586"/>
    <w:rsid w:val="00600E8A"/>
    <w:rsid w:val="00603D04"/>
    <w:rsid w:val="00606857"/>
    <w:rsid w:val="006079C4"/>
    <w:rsid w:val="006116A2"/>
    <w:rsid w:val="00615F42"/>
    <w:rsid w:val="006258C2"/>
    <w:rsid w:val="00626365"/>
    <w:rsid w:val="00627289"/>
    <w:rsid w:val="00630A5B"/>
    <w:rsid w:val="00630E22"/>
    <w:rsid w:val="006344D5"/>
    <w:rsid w:val="00636F48"/>
    <w:rsid w:val="0064168C"/>
    <w:rsid w:val="00643755"/>
    <w:rsid w:val="00657B46"/>
    <w:rsid w:val="0066286A"/>
    <w:rsid w:val="00663A1B"/>
    <w:rsid w:val="00663BD4"/>
    <w:rsid w:val="00673FD9"/>
    <w:rsid w:val="006764EC"/>
    <w:rsid w:val="00681960"/>
    <w:rsid w:val="006822C7"/>
    <w:rsid w:val="006835FE"/>
    <w:rsid w:val="006838F3"/>
    <w:rsid w:val="00683DB7"/>
    <w:rsid w:val="00692C90"/>
    <w:rsid w:val="00693815"/>
    <w:rsid w:val="00693BFD"/>
    <w:rsid w:val="00695065"/>
    <w:rsid w:val="006A1038"/>
    <w:rsid w:val="006A57B2"/>
    <w:rsid w:val="006A649A"/>
    <w:rsid w:val="006B1229"/>
    <w:rsid w:val="006B1B49"/>
    <w:rsid w:val="006B6390"/>
    <w:rsid w:val="006C0356"/>
    <w:rsid w:val="006C0843"/>
    <w:rsid w:val="006C74B1"/>
    <w:rsid w:val="006D19E8"/>
    <w:rsid w:val="006D7137"/>
    <w:rsid w:val="006E57AA"/>
    <w:rsid w:val="006E7C3D"/>
    <w:rsid w:val="006F20CF"/>
    <w:rsid w:val="006F38ED"/>
    <w:rsid w:val="006F3FAB"/>
    <w:rsid w:val="007006A7"/>
    <w:rsid w:val="007008A2"/>
    <w:rsid w:val="0070256F"/>
    <w:rsid w:val="00704082"/>
    <w:rsid w:val="00707D4D"/>
    <w:rsid w:val="00711803"/>
    <w:rsid w:val="00715A48"/>
    <w:rsid w:val="00716E38"/>
    <w:rsid w:val="00717D26"/>
    <w:rsid w:val="00723446"/>
    <w:rsid w:val="00723503"/>
    <w:rsid w:val="007244D5"/>
    <w:rsid w:val="00725E3D"/>
    <w:rsid w:val="00730C04"/>
    <w:rsid w:val="00731BE7"/>
    <w:rsid w:val="007342DF"/>
    <w:rsid w:val="007357A1"/>
    <w:rsid w:val="0073597B"/>
    <w:rsid w:val="007378F6"/>
    <w:rsid w:val="00741AF8"/>
    <w:rsid w:val="0074545D"/>
    <w:rsid w:val="00747D4E"/>
    <w:rsid w:val="007522E3"/>
    <w:rsid w:val="0075335B"/>
    <w:rsid w:val="00753C44"/>
    <w:rsid w:val="00754383"/>
    <w:rsid w:val="0075496C"/>
    <w:rsid w:val="007564D1"/>
    <w:rsid w:val="00756F44"/>
    <w:rsid w:val="00757232"/>
    <w:rsid w:val="00760679"/>
    <w:rsid w:val="00760F0B"/>
    <w:rsid w:val="00762BBE"/>
    <w:rsid w:val="00763628"/>
    <w:rsid w:val="00767760"/>
    <w:rsid w:val="00767E99"/>
    <w:rsid w:val="00770A3A"/>
    <w:rsid w:val="00770CF2"/>
    <w:rsid w:val="00772925"/>
    <w:rsid w:val="00772E62"/>
    <w:rsid w:val="00775A6A"/>
    <w:rsid w:val="007767B0"/>
    <w:rsid w:val="0077789B"/>
    <w:rsid w:val="00780D29"/>
    <w:rsid w:val="00784792"/>
    <w:rsid w:val="00785937"/>
    <w:rsid w:val="007903F0"/>
    <w:rsid w:val="00791C8D"/>
    <w:rsid w:val="0079354C"/>
    <w:rsid w:val="00793FFD"/>
    <w:rsid w:val="00794181"/>
    <w:rsid w:val="00794976"/>
    <w:rsid w:val="00796F58"/>
    <w:rsid w:val="00797D14"/>
    <w:rsid w:val="00797E56"/>
    <w:rsid w:val="007A086E"/>
    <w:rsid w:val="007A7F6F"/>
    <w:rsid w:val="007B1A02"/>
    <w:rsid w:val="007B3B74"/>
    <w:rsid w:val="007B4C76"/>
    <w:rsid w:val="007B5071"/>
    <w:rsid w:val="007C2260"/>
    <w:rsid w:val="007C3BBD"/>
    <w:rsid w:val="007D1E52"/>
    <w:rsid w:val="007D2358"/>
    <w:rsid w:val="007E0C4D"/>
    <w:rsid w:val="007E39E4"/>
    <w:rsid w:val="007E4757"/>
    <w:rsid w:val="007E6FB3"/>
    <w:rsid w:val="007F21B4"/>
    <w:rsid w:val="007F4E59"/>
    <w:rsid w:val="007F6BDF"/>
    <w:rsid w:val="007F78DD"/>
    <w:rsid w:val="00802553"/>
    <w:rsid w:val="00803EAB"/>
    <w:rsid w:val="008046B5"/>
    <w:rsid w:val="00810224"/>
    <w:rsid w:val="008127C0"/>
    <w:rsid w:val="00812EDD"/>
    <w:rsid w:val="008139C5"/>
    <w:rsid w:val="0081650F"/>
    <w:rsid w:val="00816B8B"/>
    <w:rsid w:val="00832B31"/>
    <w:rsid w:val="00833E8F"/>
    <w:rsid w:val="0083553C"/>
    <w:rsid w:val="008403E0"/>
    <w:rsid w:val="00845AB2"/>
    <w:rsid w:val="0084657B"/>
    <w:rsid w:val="00855944"/>
    <w:rsid w:val="00855BE8"/>
    <w:rsid w:val="00860336"/>
    <w:rsid w:val="008644C3"/>
    <w:rsid w:val="00864A18"/>
    <w:rsid w:val="00870833"/>
    <w:rsid w:val="00873AC7"/>
    <w:rsid w:val="00874571"/>
    <w:rsid w:val="00881F93"/>
    <w:rsid w:val="00882CB5"/>
    <w:rsid w:val="00883641"/>
    <w:rsid w:val="008839CE"/>
    <w:rsid w:val="00884E69"/>
    <w:rsid w:val="00885EF1"/>
    <w:rsid w:val="00890082"/>
    <w:rsid w:val="008940AF"/>
    <w:rsid w:val="00894F04"/>
    <w:rsid w:val="00896FD6"/>
    <w:rsid w:val="008979D5"/>
    <w:rsid w:val="008A48D2"/>
    <w:rsid w:val="008A7423"/>
    <w:rsid w:val="008B1C96"/>
    <w:rsid w:val="008B2610"/>
    <w:rsid w:val="008B471D"/>
    <w:rsid w:val="008B49E4"/>
    <w:rsid w:val="008B729C"/>
    <w:rsid w:val="008C0F95"/>
    <w:rsid w:val="008C251B"/>
    <w:rsid w:val="008C3566"/>
    <w:rsid w:val="008C4406"/>
    <w:rsid w:val="008C4A93"/>
    <w:rsid w:val="008C4AD8"/>
    <w:rsid w:val="008D1A4B"/>
    <w:rsid w:val="008D73E6"/>
    <w:rsid w:val="008E04E9"/>
    <w:rsid w:val="008E0E49"/>
    <w:rsid w:val="008E35FD"/>
    <w:rsid w:val="008E6227"/>
    <w:rsid w:val="008E78B9"/>
    <w:rsid w:val="008F1188"/>
    <w:rsid w:val="008F3308"/>
    <w:rsid w:val="008F41F2"/>
    <w:rsid w:val="008F5A53"/>
    <w:rsid w:val="00901F1C"/>
    <w:rsid w:val="00902912"/>
    <w:rsid w:val="00902B61"/>
    <w:rsid w:val="0090543D"/>
    <w:rsid w:val="009056C5"/>
    <w:rsid w:val="00917DD5"/>
    <w:rsid w:val="00917DEB"/>
    <w:rsid w:val="00920294"/>
    <w:rsid w:val="00923920"/>
    <w:rsid w:val="009262F2"/>
    <w:rsid w:val="00937791"/>
    <w:rsid w:val="00937A46"/>
    <w:rsid w:val="009410DF"/>
    <w:rsid w:val="0094303B"/>
    <w:rsid w:val="00943A5E"/>
    <w:rsid w:val="00943E95"/>
    <w:rsid w:val="00950F45"/>
    <w:rsid w:val="00951823"/>
    <w:rsid w:val="00951933"/>
    <w:rsid w:val="00952F71"/>
    <w:rsid w:val="00954343"/>
    <w:rsid w:val="00955271"/>
    <w:rsid w:val="00963C9C"/>
    <w:rsid w:val="0096474F"/>
    <w:rsid w:val="00965B6B"/>
    <w:rsid w:val="0096605E"/>
    <w:rsid w:val="00971EDB"/>
    <w:rsid w:val="00974D50"/>
    <w:rsid w:val="0098558D"/>
    <w:rsid w:val="009874F4"/>
    <w:rsid w:val="00987ABE"/>
    <w:rsid w:val="00991EE4"/>
    <w:rsid w:val="009939DC"/>
    <w:rsid w:val="00993B9C"/>
    <w:rsid w:val="00994165"/>
    <w:rsid w:val="00995F04"/>
    <w:rsid w:val="00996F42"/>
    <w:rsid w:val="009A16AE"/>
    <w:rsid w:val="009A3842"/>
    <w:rsid w:val="009A5961"/>
    <w:rsid w:val="009B1F31"/>
    <w:rsid w:val="009B30EA"/>
    <w:rsid w:val="009B4E1E"/>
    <w:rsid w:val="009B6FEF"/>
    <w:rsid w:val="009C03FB"/>
    <w:rsid w:val="009C46C9"/>
    <w:rsid w:val="009C47DD"/>
    <w:rsid w:val="009C4B4F"/>
    <w:rsid w:val="009C5961"/>
    <w:rsid w:val="009D01D8"/>
    <w:rsid w:val="009D2974"/>
    <w:rsid w:val="009E26CB"/>
    <w:rsid w:val="009E290D"/>
    <w:rsid w:val="009E5A03"/>
    <w:rsid w:val="009E5EEE"/>
    <w:rsid w:val="009E67A0"/>
    <w:rsid w:val="009F0C02"/>
    <w:rsid w:val="009F10D8"/>
    <w:rsid w:val="009F5758"/>
    <w:rsid w:val="00A01299"/>
    <w:rsid w:val="00A0283F"/>
    <w:rsid w:val="00A04323"/>
    <w:rsid w:val="00A04F4A"/>
    <w:rsid w:val="00A053FB"/>
    <w:rsid w:val="00A06E84"/>
    <w:rsid w:val="00A11B7B"/>
    <w:rsid w:val="00A11DBE"/>
    <w:rsid w:val="00A14900"/>
    <w:rsid w:val="00A15C46"/>
    <w:rsid w:val="00A1796B"/>
    <w:rsid w:val="00A21AD0"/>
    <w:rsid w:val="00A26343"/>
    <w:rsid w:val="00A3229D"/>
    <w:rsid w:val="00A36B38"/>
    <w:rsid w:val="00A37962"/>
    <w:rsid w:val="00A37CCA"/>
    <w:rsid w:val="00A408B5"/>
    <w:rsid w:val="00A445A4"/>
    <w:rsid w:val="00A47DA2"/>
    <w:rsid w:val="00A529E2"/>
    <w:rsid w:val="00A5334A"/>
    <w:rsid w:val="00A538CC"/>
    <w:rsid w:val="00A539F8"/>
    <w:rsid w:val="00A559CF"/>
    <w:rsid w:val="00A601E4"/>
    <w:rsid w:val="00A61C88"/>
    <w:rsid w:val="00A6491A"/>
    <w:rsid w:val="00A6594E"/>
    <w:rsid w:val="00A70EE0"/>
    <w:rsid w:val="00A727B6"/>
    <w:rsid w:val="00A75D46"/>
    <w:rsid w:val="00A76065"/>
    <w:rsid w:val="00A80C96"/>
    <w:rsid w:val="00A81CC6"/>
    <w:rsid w:val="00A83EC6"/>
    <w:rsid w:val="00A86997"/>
    <w:rsid w:val="00A872E8"/>
    <w:rsid w:val="00A8732C"/>
    <w:rsid w:val="00A9062D"/>
    <w:rsid w:val="00A91C57"/>
    <w:rsid w:val="00A9216A"/>
    <w:rsid w:val="00A93F58"/>
    <w:rsid w:val="00A96329"/>
    <w:rsid w:val="00AA134B"/>
    <w:rsid w:val="00AA2CFE"/>
    <w:rsid w:val="00AA2DA9"/>
    <w:rsid w:val="00AA318F"/>
    <w:rsid w:val="00AA5FDA"/>
    <w:rsid w:val="00AA6291"/>
    <w:rsid w:val="00AB22B9"/>
    <w:rsid w:val="00AB559B"/>
    <w:rsid w:val="00AC0C91"/>
    <w:rsid w:val="00AC69D6"/>
    <w:rsid w:val="00AD2E85"/>
    <w:rsid w:val="00AD37D4"/>
    <w:rsid w:val="00AD38C4"/>
    <w:rsid w:val="00AD3EAB"/>
    <w:rsid w:val="00AD4983"/>
    <w:rsid w:val="00AD4B4C"/>
    <w:rsid w:val="00AD7500"/>
    <w:rsid w:val="00AD7986"/>
    <w:rsid w:val="00AE1075"/>
    <w:rsid w:val="00AE1188"/>
    <w:rsid w:val="00AE4413"/>
    <w:rsid w:val="00AE7014"/>
    <w:rsid w:val="00AE738C"/>
    <w:rsid w:val="00AE7BD7"/>
    <w:rsid w:val="00AF1046"/>
    <w:rsid w:val="00AF23FC"/>
    <w:rsid w:val="00AF4466"/>
    <w:rsid w:val="00AF5D1E"/>
    <w:rsid w:val="00B00550"/>
    <w:rsid w:val="00B040A9"/>
    <w:rsid w:val="00B10FB9"/>
    <w:rsid w:val="00B1711E"/>
    <w:rsid w:val="00B17CBE"/>
    <w:rsid w:val="00B17E26"/>
    <w:rsid w:val="00B231A4"/>
    <w:rsid w:val="00B23805"/>
    <w:rsid w:val="00B25D20"/>
    <w:rsid w:val="00B31C99"/>
    <w:rsid w:val="00B35FE4"/>
    <w:rsid w:val="00B4095B"/>
    <w:rsid w:val="00B42552"/>
    <w:rsid w:val="00B45CA5"/>
    <w:rsid w:val="00B53BA6"/>
    <w:rsid w:val="00B53E72"/>
    <w:rsid w:val="00B55175"/>
    <w:rsid w:val="00B5731D"/>
    <w:rsid w:val="00B6378B"/>
    <w:rsid w:val="00B63E3A"/>
    <w:rsid w:val="00B650E4"/>
    <w:rsid w:val="00B75965"/>
    <w:rsid w:val="00B771AD"/>
    <w:rsid w:val="00B80335"/>
    <w:rsid w:val="00B814CB"/>
    <w:rsid w:val="00B85069"/>
    <w:rsid w:val="00B86352"/>
    <w:rsid w:val="00B940D2"/>
    <w:rsid w:val="00B94F70"/>
    <w:rsid w:val="00B95402"/>
    <w:rsid w:val="00B97A5B"/>
    <w:rsid w:val="00BA0CF8"/>
    <w:rsid w:val="00BA119E"/>
    <w:rsid w:val="00BA1ADF"/>
    <w:rsid w:val="00BA3E0F"/>
    <w:rsid w:val="00BA4B8C"/>
    <w:rsid w:val="00BA51FC"/>
    <w:rsid w:val="00BA5979"/>
    <w:rsid w:val="00BA72CC"/>
    <w:rsid w:val="00BA72E3"/>
    <w:rsid w:val="00BA7320"/>
    <w:rsid w:val="00BB003A"/>
    <w:rsid w:val="00BB3358"/>
    <w:rsid w:val="00BB3382"/>
    <w:rsid w:val="00BB3643"/>
    <w:rsid w:val="00BB5167"/>
    <w:rsid w:val="00BC3DA0"/>
    <w:rsid w:val="00BC4219"/>
    <w:rsid w:val="00BC424B"/>
    <w:rsid w:val="00BC5F2F"/>
    <w:rsid w:val="00BD0717"/>
    <w:rsid w:val="00BD1ADB"/>
    <w:rsid w:val="00BD1B8D"/>
    <w:rsid w:val="00BD55BC"/>
    <w:rsid w:val="00BD5857"/>
    <w:rsid w:val="00BE0FDE"/>
    <w:rsid w:val="00BE2E82"/>
    <w:rsid w:val="00BE42F2"/>
    <w:rsid w:val="00BE44D0"/>
    <w:rsid w:val="00BE7CDC"/>
    <w:rsid w:val="00BF6497"/>
    <w:rsid w:val="00BF6AC5"/>
    <w:rsid w:val="00C01121"/>
    <w:rsid w:val="00C022CF"/>
    <w:rsid w:val="00C030A5"/>
    <w:rsid w:val="00C05A45"/>
    <w:rsid w:val="00C0796F"/>
    <w:rsid w:val="00C11664"/>
    <w:rsid w:val="00C11B34"/>
    <w:rsid w:val="00C11CA4"/>
    <w:rsid w:val="00C12379"/>
    <w:rsid w:val="00C12C5C"/>
    <w:rsid w:val="00C14942"/>
    <w:rsid w:val="00C163E8"/>
    <w:rsid w:val="00C16877"/>
    <w:rsid w:val="00C171FB"/>
    <w:rsid w:val="00C177D1"/>
    <w:rsid w:val="00C209C2"/>
    <w:rsid w:val="00C2267F"/>
    <w:rsid w:val="00C22AD8"/>
    <w:rsid w:val="00C22FCC"/>
    <w:rsid w:val="00C26D14"/>
    <w:rsid w:val="00C341A4"/>
    <w:rsid w:val="00C3557E"/>
    <w:rsid w:val="00C3594B"/>
    <w:rsid w:val="00C43102"/>
    <w:rsid w:val="00C4696B"/>
    <w:rsid w:val="00C50513"/>
    <w:rsid w:val="00C54503"/>
    <w:rsid w:val="00C5746A"/>
    <w:rsid w:val="00C63055"/>
    <w:rsid w:val="00C66AEE"/>
    <w:rsid w:val="00C73906"/>
    <w:rsid w:val="00C73B62"/>
    <w:rsid w:val="00C75BCE"/>
    <w:rsid w:val="00C765DD"/>
    <w:rsid w:val="00C776B1"/>
    <w:rsid w:val="00C815FE"/>
    <w:rsid w:val="00C81FA0"/>
    <w:rsid w:val="00C845CC"/>
    <w:rsid w:val="00C847AE"/>
    <w:rsid w:val="00C90AB4"/>
    <w:rsid w:val="00CA04C6"/>
    <w:rsid w:val="00CA26DD"/>
    <w:rsid w:val="00CB020A"/>
    <w:rsid w:val="00CB12EC"/>
    <w:rsid w:val="00CC09D7"/>
    <w:rsid w:val="00CC12B8"/>
    <w:rsid w:val="00CC287D"/>
    <w:rsid w:val="00CC546A"/>
    <w:rsid w:val="00CC5AB1"/>
    <w:rsid w:val="00CD1550"/>
    <w:rsid w:val="00CD22E3"/>
    <w:rsid w:val="00CD2D73"/>
    <w:rsid w:val="00CD4E44"/>
    <w:rsid w:val="00CD5AE4"/>
    <w:rsid w:val="00CD6981"/>
    <w:rsid w:val="00CD7A7D"/>
    <w:rsid w:val="00CE0F9E"/>
    <w:rsid w:val="00CE337E"/>
    <w:rsid w:val="00CF2D8E"/>
    <w:rsid w:val="00CF2DFA"/>
    <w:rsid w:val="00CF5AD8"/>
    <w:rsid w:val="00D00122"/>
    <w:rsid w:val="00D00939"/>
    <w:rsid w:val="00D00FB9"/>
    <w:rsid w:val="00D01949"/>
    <w:rsid w:val="00D01D2A"/>
    <w:rsid w:val="00D02428"/>
    <w:rsid w:val="00D04696"/>
    <w:rsid w:val="00D0773F"/>
    <w:rsid w:val="00D07881"/>
    <w:rsid w:val="00D10B47"/>
    <w:rsid w:val="00D11E38"/>
    <w:rsid w:val="00D11EB1"/>
    <w:rsid w:val="00D14CD0"/>
    <w:rsid w:val="00D16409"/>
    <w:rsid w:val="00D17F17"/>
    <w:rsid w:val="00D2196F"/>
    <w:rsid w:val="00D23597"/>
    <w:rsid w:val="00D2442D"/>
    <w:rsid w:val="00D269F6"/>
    <w:rsid w:val="00D305BE"/>
    <w:rsid w:val="00D30BDC"/>
    <w:rsid w:val="00D30F4A"/>
    <w:rsid w:val="00D42DF6"/>
    <w:rsid w:val="00D44919"/>
    <w:rsid w:val="00D451EB"/>
    <w:rsid w:val="00D46569"/>
    <w:rsid w:val="00D56765"/>
    <w:rsid w:val="00D57D0A"/>
    <w:rsid w:val="00D57F88"/>
    <w:rsid w:val="00D65FBA"/>
    <w:rsid w:val="00D7061F"/>
    <w:rsid w:val="00D70FDA"/>
    <w:rsid w:val="00D7105C"/>
    <w:rsid w:val="00D73646"/>
    <w:rsid w:val="00D74D2C"/>
    <w:rsid w:val="00D75B24"/>
    <w:rsid w:val="00D76B05"/>
    <w:rsid w:val="00D777B4"/>
    <w:rsid w:val="00D77A90"/>
    <w:rsid w:val="00D82D44"/>
    <w:rsid w:val="00D8360B"/>
    <w:rsid w:val="00D85026"/>
    <w:rsid w:val="00D85676"/>
    <w:rsid w:val="00D86802"/>
    <w:rsid w:val="00D90EFD"/>
    <w:rsid w:val="00D9467E"/>
    <w:rsid w:val="00D96ADA"/>
    <w:rsid w:val="00DA25F5"/>
    <w:rsid w:val="00DA2886"/>
    <w:rsid w:val="00DA5E50"/>
    <w:rsid w:val="00DA7D0C"/>
    <w:rsid w:val="00DB311C"/>
    <w:rsid w:val="00DB432D"/>
    <w:rsid w:val="00DB519B"/>
    <w:rsid w:val="00DC0CB3"/>
    <w:rsid w:val="00DC3FAD"/>
    <w:rsid w:val="00DC45F9"/>
    <w:rsid w:val="00DC60D9"/>
    <w:rsid w:val="00DC6652"/>
    <w:rsid w:val="00DC7694"/>
    <w:rsid w:val="00DC7CEB"/>
    <w:rsid w:val="00DC7FBE"/>
    <w:rsid w:val="00DD130E"/>
    <w:rsid w:val="00DD308E"/>
    <w:rsid w:val="00DE0DC7"/>
    <w:rsid w:val="00DE23FE"/>
    <w:rsid w:val="00DE251E"/>
    <w:rsid w:val="00DE4F70"/>
    <w:rsid w:val="00DF0C51"/>
    <w:rsid w:val="00DF0D47"/>
    <w:rsid w:val="00DF1652"/>
    <w:rsid w:val="00DF667B"/>
    <w:rsid w:val="00DF6BA5"/>
    <w:rsid w:val="00DF6D37"/>
    <w:rsid w:val="00E048ED"/>
    <w:rsid w:val="00E04FB3"/>
    <w:rsid w:val="00E058F2"/>
    <w:rsid w:val="00E05D9C"/>
    <w:rsid w:val="00E06102"/>
    <w:rsid w:val="00E14CD5"/>
    <w:rsid w:val="00E14DFE"/>
    <w:rsid w:val="00E228B8"/>
    <w:rsid w:val="00E22E14"/>
    <w:rsid w:val="00E22FAE"/>
    <w:rsid w:val="00E23E71"/>
    <w:rsid w:val="00E24623"/>
    <w:rsid w:val="00E26186"/>
    <w:rsid w:val="00E30F19"/>
    <w:rsid w:val="00E33C4A"/>
    <w:rsid w:val="00E35017"/>
    <w:rsid w:val="00E357B9"/>
    <w:rsid w:val="00E4321E"/>
    <w:rsid w:val="00E43B3D"/>
    <w:rsid w:val="00E44522"/>
    <w:rsid w:val="00E44B80"/>
    <w:rsid w:val="00E46F6B"/>
    <w:rsid w:val="00E471C6"/>
    <w:rsid w:val="00E47623"/>
    <w:rsid w:val="00E50371"/>
    <w:rsid w:val="00E506BE"/>
    <w:rsid w:val="00E50C9D"/>
    <w:rsid w:val="00E55359"/>
    <w:rsid w:val="00E60529"/>
    <w:rsid w:val="00E6222F"/>
    <w:rsid w:val="00E641EF"/>
    <w:rsid w:val="00E64C79"/>
    <w:rsid w:val="00E65AF6"/>
    <w:rsid w:val="00E70D86"/>
    <w:rsid w:val="00E73861"/>
    <w:rsid w:val="00E7628E"/>
    <w:rsid w:val="00E82F54"/>
    <w:rsid w:val="00E838D7"/>
    <w:rsid w:val="00E84938"/>
    <w:rsid w:val="00E85138"/>
    <w:rsid w:val="00E8649B"/>
    <w:rsid w:val="00E871CD"/>
    <w:rsid w:val="00E878BC"/>
    <w:rsid w:val="00E90990"/>
    <w:rsid w:val="00E958DB"/>
    <w:rsid w:val="00E95D3D"/>
    <w:rsid w:val="00E95FE2"/>
    <w:rsid w:val="00E9755E"/>
    <w:rsid w:val="00EA0E25"/>
    <w:rsid w:val="00EA173C"/>
    <w:rsid w:val="00EB1BC0"/>
    <w:rsid w:val="00EC127A"/>
    <w:rsid w:val="00EC1FF9"/>
    <w:rsid w:val="00EC2737"/>
    <w:rsid w:val="00EC47AF"/>
    <w:rsid w:val="00EC4B4D"/>
    <w:rsid w:val="00EC51EE"/>
    <w:rsid w:val="00ED1110"/>
    <w:rsid w:val="00ED1FDA"/>
    <w:rsid w:val="00ED2637"/>
    <w:rsid w:val="00ED3C10"/>
    <w:rsid w:val="00ED3F92"/>
    <w:rsid w:val="00ED5077"/>
    <w:rsid w:val="00ED5748"/>
    <w:rsid w:val="00ED5C4B"/>
    <w:rsid w:val="00ED7B28"/>
    <w:rsid w:val="00EE0F7D"/>
    <w:rsid w:val="00EE2716"/>
    <w:rsid w:val="00EE279D"/>
    <w:rsid w:val="00EE3DCB"/>
    <w:rsid w:val="00EE6450"/>
    <w:rsid w:val="00EF2B71"/>
    <w:rsid w:val="00EF6A3E"/>
    <w:rsid w:val="00F01C2C"/>
    <w:rsid w:val="00F10ED8"/>
    <w:rsid w:val="00F14DB0"/>
    <w:rsid w:val="00F2206E"/>
    <w:rsid w:val="00F222BE"/>
    <w:rsid w:val="00F23287"/>
    <w:rsid w:val="00F24179"/>
    <w:rsid w:val="00F24FD6"/>
    <w:rsid w:val="00F301F1"/>
    <w:rsid w:val="00F30C22"/>
    <w:rsid w:val="00F31251"/>
    <w:rsid w:val="00F31563"/>
    <w:rsid w:val="00F33F1A"/>
    <w:rsid w:val="00F357D5"/>
    <w:rsid w:val="00F36916"/>
    <w:rsid w:val="00F52C4E"/>
    <w:rsid w:val="00F547F7"/>
    <w:rsid w:val="00F54CCF"/>
    <w:rsid w:val="00F61D7A"/>
    <w:rsid w:val="00F637B3"/>
    <w:rsid w:val="00F66CF7"/>
    <w:rsid w:val="00F67BCB"/>
    <w:rsid w:val="00F67DA4"/>
    <w:rsid w:val="00F67E53"/>
    <w:rsid w:val="00F70DF3"/>
    <w:rsid w:val="00F714EC"/>
    <w:rsid w:val="00F74BD5"/>
    <w:rsid w:val="00F7715B"/>
    <w:rsid w:val="00F77C57"/>
    <w:rsid w:val="00F813C7"/>
    <w:rsid w:val="00F83566"/>
    <w:rsid w:val="00F83A9D"/>
    <w:rsid w:val="00F87392"/>
    <w:rsid w:val="00F906B5"/>
    <w:rsid w:val="00F93784"/>
    <w:rsid w:val="00F93AC9"/>
    <w:rsid w:val="00F93EE3"/>
    <w:rsid w:val="00F9570B"/>
    <w:rsid w:val="00F971CC"/>
    <w:rsid w:val="00FA1481"/>
    <w:rsid w:val="00FA1EF2"/>
    <w:rsid w:val="00FA2CAA"/>
    <w:rsid w:val="00FA3DA1"/>
    <w:rsid w:val="00FA63F4"/>
    <w:rsid w:val="00FA6554"/>
    <w:rsid w:val="00FC1607"/>
    <w:rsid w:val="00FC6D02"/>
    <w:rsid w:val="00FD0852"/>
    <w:rsid w:val="00FD26F1"/>
    <w:rsid w:val="00FE16C1"/>
    <w:rsid w:val="00FE19FF"/>
    <w:rsid w:val="00FE247E"/>
    <w:rsid w:val="00FE32E9"/>
    <w:rsid w:val="00FE33A6"/>
    <w:rsid w:val="00FE5452"/>
    <w:rsid w:val="00FF00DE"/>
    <w:rsid w:val="00FF0161"/>
    <w:rsid w:val="00FF23B8"/>
    <w:rsid w:val="00FF4EC3"/>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207E"/>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D5F"/>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NormalWeb">
    <w:name w:val="Normal (Web)"/>
    <w:basedOn w:val="Normal"/>
    <w:uiPriority w:val="99"/>
    <w:semiHidden/>
    <w:unhideWhenUsed/>
    <w:rsid w:val="00845AB2"/>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556093"/>
    <w:pPr>
      <w:spacing w:after="0" w:line="240" w:lineRule="auto"/>
    </w:pPr>
    <w:rPr>
      <w:sz w:val="20"/>
    </w:rPr>
  </w:style>
  <w:style w:type="numbering" w:customStyle="1" w:styleId="CurrentList1">
    <w:name w:val="Current List1"/>
    <w:uiPriority w:val="99"/>
    <w:rsid w:val="00040EA9"/>
    <w:pPr>
      <w:numPr>
        <w:numId w:val="52"/>
      </w:numPr>
    </w:pPr>
  </w:style>
  <w:style w:type="character" w:styleId="FollowedHyperlink">
    <w:name w:val="FollowedHyperlink"/>
    <w:basedOn w:val="DefaultParagraphFont"/>
    <w:uiPriority w:val="99"/>
    <w:semiHidden/>
    <w:unhideWhenUsed/>
    <w:rsid w:val="004C2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642">
      <w:bodyDiv w:val="1"/>
      <w:marLeft w:val="0"/>
      <w:marRight w:val="0"/>
      <w:marTop w:val="0"/>
      <w:marBottom w:val="0"/>
      <w:divBdr>
        <w:top w:val="none" w:sz="0" w:space="0" w:color="auto"/>
        <w:left w:val="none" w:sz="0" w:space="0" w:color="auto"/>
        <w:bottom w:val="none" w:sz="0" w:space="0" w:color="auto"/>
        <w:right w:val="none" w:sz="0" w:space="0" w:color="auto"/>
      </w:divBdr>
    </w:div>
    <w:div w:id="36399914">
      <w:bodyDiv w:val="1"/>
      <w:marLeft w:val="0"/>
      <w:marRight w:val="0"/>
      <w:marTop w:val="0"/>
      <w:marBottom w:val="0"/>
      <w:divBdr>
        <w:top w:val="none" w:sz="0" w:space="0" w:color="auto"/>
        <w:left w:val="none" w:sz="0" w:space="0" w:color="auto"/>
        <w:bottom w:val="none" w:sz="0" w:space="0" w:color="auto"/>
        <w:right w:val="none" w:sz="0" w:space="0" w:color="auto"/>
      </w:divBdr>
      <w:divsChild>
        <w:div w:id="1447429013">
          <w:marLeft w:val="0"/>
          <w:marRight w:val="0"/>
          <w:marTop w:val="0"/>
          <w:marBottom w:val="0"/>
          <w:divBdr>
            <w:top w:val="none" w:sz="0" w:space="0" w:color="auto"/>
            <w:left w:val="none" w:sz="0" w:space="0" w:color="auto"/>
            <w:bottom w:val="none" w:sz="0" w:space="0" w:color="auto"/>
            <w:right w:val="none" w:sz="0" w:space="0" w:color="auto"/>
          </w:divBdr>
          <w:divsChild>
            <w:div w:id="638148126">
              <w:marLeft w:val="0"/>
              <w:marRight w:val="0"/>
              <w:marTop w:val="0"/>
              <w:marBottom w:val="0"/>
              <w:divBdr>
                <w:top w:val="none" w:sz="0" w:space="0" w:color="auto"/>
                <w:left w:val="none" w:sz="0" w:space="0" w:color="auto"/>
                <w:bottom w:val="none" w:sz="0" w:space="0" w:color="auto"/>
                <w:right w:val="none" w:sz="0" w:space="0" w:color="auto"/>
              </w:divBdr>
              <w:divsChild>
                <w:div w:id="2983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2021">
      <w:bodyDiv w:val="1"/>
      <w:marLeft w:val="0"/>
      <w:marRight w:val="0"/>
      <w:marTop w:val="0"/>
      <w:marBottom w:val="0"/>
      <w:divBdr>
        <w:top w:val="none" w:sz="0" w:space="0" w:color="auto"/>
        <w:left w:val="none" w:sz="0" w:space="0" w:color="auto"/>
        <w:bottom w:val="none" w:sz="0" w:space="0" w:color="auto"/>
        <w:right w:val="none" w:sz="0" w:space="0" w:color="auto"/>
      </w:divBdr>
    </w:div>
    <w:div w:id="119496705">
      <w:bodyDiv w:val="1"/>
      <w:marLeft w:val="0"/>
      <w:marRight w:val="0"/>
      <w:marTop w:val="0"/>
      <w:marBottom w:val="0"/>
      <w:divBdr>
        <w:top w:val="none" w:sz="0" w:space="0" w:color="auto"/>
        <w:left w:val="none" w:sz="0" w:space="0" w:color="auto"/>
        <w:bottom w:val="none" w:sz="0" w:space="0" w:color="auto"/>
        <w:right w:val="none" w:sz="0" w:space="0" w:color="auto"/>
      </w:divBdr>
    </w:div>
    <w:div w:id="148252867">
      <w:bodyDiv w:val="1"/>
      <w:marLeft w:val="0"/>
      <w:marRight w:val="0"/>
      <w:marTop w:val="0"/>
      <w:marBottom w:val="0"/>
      <w:divBdr>
        <w:top w:val="none" w:sz="0" w:space="0" w:color="auto"/>
        <w:left w:val="none" w:sz="0" w:space="0" w:color="auto"/>
        <w:bottom w:val="none" w:sz="0" w:space="0" w:color="auto"/>
        <w:right w:val="none" w:sz="0" w:space="0" w:color="auto"/>
      </w:divBdr>
      <w:divsChild>
        <w:div w:id="885024702">
          <w:marLeft w:val="0"/>
          <w:marRight w:val="0"/>
          <w:marTop w:val="0"/>
          <w:marBottom w:val="0"/>
          <w:divBdr>
            <w:top w:val="none" w:sz="0" w:space="0" w:color="auto"/>
            <w:left w:val="none" w:sz="0" w:space="0" w:color="auto"/>
            <w:bottom w:val="none" w:sz="0" w:space="0" w:color="auto"/>
            <w:right w:val="none" w:sz="0" w:space="0" w:color="auto"/>
          </w:divBdr>
          <w:divsChild>
            <w:div w:id="1317152689">
              <w:marLeft w:val="0"/>
              <w:marRight w:val="0"/>
              <w:marTop w:val="0"/>
              <w:marBottom w:val="0"/>
              <w:divBdr>
                <w:top w:val="none" w:sz="0" w:space="0" w:color="auto"/>
                <w:left w:val="none" w:sz="0" w:space="0" w:color="auto"/>
                <w:bottom w:val="none" w:sz="0" w:space="0" w:color="auto"/>
                <w:right w:val="none" w:sz="0" w:space="0" w:color="auto"/>
              </w:divBdr>
              <w:divsChild>
                <w:div w:id="18548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4370">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71199361">
      <w:bodyDiv w:val="1"/>
      <w:marLeft w:val="0"/>
      <w:marRight w:val="0"/>
      <w:marTop w:val="0"/>
      <w:marBottom w:val="0"/>
      <w:divBdr>
        <w:top w:val="none" w:sz="0" w:space="0" w:color="auto"/>
        <w:left w:val="none" w:sz="0" w:space="0" w:color="auto"/>
        <w:bottom w:val="none" w:sz="0" w:space="0" w:color="auto"/>
        <w:right w:val="none" w:sz="0" w:space="0" w:color="auto"/>
      </w:divBdr>
    </w:div>
    <w:div w:id="375665100">
      <w:bodyDiv w:val="1"/>
      <w:marLeft w:val="0"/>
      <w:marRight w:val="0"/>
      <w:marTop w:val="0"/>
      <w:marBottom w:val="0"/>
      <w:divBdr>
        <w:top w:val="none" w:sz="0" w:space="0" w:color="auto"/>
        <w:left w:val="none" w:sz="0" w:space="0" w:color="auto"/>
        <w:bottom w:val="none" w:sz="0" w:space="0" w:color="auto"/>
        <w:right w:val="none" w:sz="0" w:space="0" w:color="auto"/>
      </w:divBdr>
      <w:divsChild>
        <w:div w:id="141778988">
          <w:marLeft w:val="0"/>
          <w:marRight w:val="0"/>
          <w:marTop w:val="0"/>
          <w:marBottom w:val="0"/>
          <w:divBdr>
            <w:top w:val="none" w:sz="0" w:space="0" w:color="auto"/>
            <w:left w:val="none" w:sz="0" w:space="0" w:color="auto"/>
            <w:bottom w:val="none" w:sz="0" w:space="0" w:color="auto"/>
            <w:right w:val="none" w:sz="0" w:space="0" w:color="auto"/>
          </w:divBdr>
          <w:divsChild>
            <w:div w:id="255478162">
              <w:marLeft w:val="0"/>
              <w:marRight w:val="0"/>
              <w:marTop w:val="0"/>
              <w:marBottom w:val="0"/>
              <w:divBdr>
                <w:top w:val="none" w:sz="0" w:space="0" w:color="auto"/>
                <w:left w:val="none" w:sz="0" w:space="0" w:color="auto"/>
                <w:bottom w:val="none" w:sz="0" w:space="0" w:color="auto"/>
                <w:right w:val="none" w:sz="0" w:space="0" w:color="auto"/>
              </w:divBdr>
              <w:divsChild>
                <w:div w:id="848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1833">
      <w:bodyDiv w:val="1"/>
      <w:marLeft w:val="0"/>
      <w:marRight w:val="0"/>
      <w:marTop w:val="0"/>
      <w:marBottom w:val="0"/>
      <w:divBdr>
        <w:top w:val="none" w:sz="0" w:space="0" w:color="auto"/>
        <w:left w:val="none" w:sz="0" w:space="0" w:color="auto"/>
        <w:bottom w:val="none" w:sz="0" w:space="0" w:color="auto"/>
        <w:right w:val="none" w:sz="0" w:space="0" w:color="auto"/>
      </w:divBdr>
      <w:divsChild>
        <w:div w:id="6176866">
          <w:marLeft w:val="0"/>
          <w:marRight w:val="0"/>
          <w:marTop w:val="0"/>
          <w:marBottom w:val="0"/>
          <w:divBdr>
            <w:top w:val="none" w:sz="0" w:space="0" w:color="auto"/>
            <w:left w:val="none" w:sz="0" w:space="0" w:color="auto"/>
            <w:bottom w:val="none" w:sz="0" w:space="0" w:color="auto"/>
            <w:right w:val="none" w:sz="0" w:space="0" w:color="auto"/>
          </w:divBdr>
          <w:divsChild>
            <w:div w:id="13460410">
              <w:marLeft w:val="0"/>
              <w:marRight w:val="0"/>
              <w:marTop w:val="0"/>
              <w:marBottom w:val="0"/>
              <w:divBdr>
                <w:top w:val="none" w:sz="0" w:space="0" w:color="auto"/>
                <w:left w:val="none" w:sz="0" w:space="0" w:color="auto"/>
                <w:bottom w:val="none" w:sz="0" w:space="0" w:color="auto"/>
                <w:right w:val="none" w:sz="0" w:space="0" w:color="auto"/>
              </w:divBdr>
              <w:divsChild>
                <w:div w:id="16688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79535">
      <w:bodyDiv w:val="1"/>
      <w:marLeft w:val="0"/>
      <w:marRight w:val="0"/>
      <w:marTop w:val="0"/>
      <w:marBottom w:val="0"/>
      <w:divBdr>
        <w:top w:val="none" w:sz="0" w:space="0" w:color="auto"/>
        <w:left w:val="none" w:sz="0" w:space="0" w:color="auto"/>
        <w:bottom w:val="none" w:sz="0" w:space="0" w:color="auto"/>
        <w:right w:val="none" w:sz="0" w:space="0" w:color="auto"/>
      </w:divBdr>
    </w:div>
    <w:div w:id="469519447">
      <w:bodyDiv w:val="1"/>
      <w:marLeft w:val="0"/>
      <w:marRight w:val="0"/>
      <w:marTop w:val="0"/>
      <w:marBottom w:val="0"/>
      <w:divBdr>
        <w:top w:val="none" w:sz="0" w:space="0" w:color="auto"/>
        <w:left w:val="none" w:sz="0" w:space="0" w:color="auto"/>
        <w:bottom w:val="none" w:sz="0" w:space="0" w:color="auto"/>
        <w:right w:val="none" w:sz="0" w:space="0" w:color="auto"/>
      </w:divBdr>
    </w:div>
    <w:div w:id="491917540">
      <w:bodyDiv w:val="1"/>
      <w:marLeft w:val="0"/>
      <w:marRight w:val="0"/>
      <w:marTop w:val="0"/>
      <w:marBottom w:val="0"/>
      <w:divBdr>
        <w:top w:val="none" w:sz="0" w:space="0" w:color="auto"/>
        <w:left w:val="none" w:sz="0" w:space="0" w:color="auto"/>
        <w:bottom w:val="none" w:sz="0" w:space="0" w:color="auto"/>
        <w:right w:val="none" w:sz="0" w:space="0" w:color="auto"/>
      </w:divBdr>
    </w:div>
    <w:div w:id="533662180">
      <w:bodyDiv w:val="1"/>
      <w:marLeft w:val="0"/>
      <w:marRight w:val="0"/>
      <w:marTop w:val="0"/>
      <w:marBottom w:val="0"/>
      <w:divBdr>
        <w:top w:val="none" w:sz="0" w:space="0" w:color="auto"/>
        <w:left w:val="none" w:sz="0" w:space="0" w:color="auto"/>
        <w:bottom w:val="none" w:sz="0" w:space="0" w:color="auto"/>
        <w:right w:val="none" w:sz="0" w:space="0" w:color="auto"/>
      </w:divBdr>
    </w:div>
    <w:div w:id="587152404">
      <w:bodyDiv w:val="1"/>
      <w:marLeft w:val="0"/>
      <w:marRight w:val="0"/>
      <w:marTop w:val="0"/>
      <w:marBottom w:val="0"/>
      <w:divBdr>
        <w:top w:val="none" w:sz="0" w:space="0" w:color="auto"/>
        <w:left w:val="none" w:sz="0" w:space="0" w:color="auto"/>
        <w:bottom w:val="none" w:sz="0" w:space="0" w:color="auto"/>
        <w:right w:val="none" w:sz="0" w:space="0" w:color="auto"/>
      </w:divBdr>
      <w:divsChild>
        <w:div w:id="1444619024">
          <w:marLeft w:val="0"/>
          <w:marRight w:val="0"/>
          <w:marTop w:val="0"/>
          <w:marBottom w:val="0"/>
          <w:divBdr>
            <w:top w:val="none" w:sz="0" w:space="0" w:color="auto"/>
            <w:left w:val="none" w:sz="0" w:space="0" w:color="auto"/>
            <w:bottom w:val="none" w:sz="0" w:space="0" w:color="auto"/>
            <w:right w:val="none" w:sz="0" w:space="0" w:color="auto"/>
          </w:divBdr>
          <w:divsChild>
            <w:div w:id="1964187859">
              <w:marLeft w:val="0"/>
              <w:marRight w:val="0"/>
              <w:marTop w:val="0"/>
              <w:marBottom w:val="0"/>
              <w:divBdr>
                <w:top w:val="none" w:sz="0" w:space="0" w:color="auto"/>
                <w:left w:val="none" w:sz="0" w:space="0" w:color="auto"/>
                <w:bottom w:val="none" w:sz="0" w:space="0" w:color="auto"/>
                <w:right w:val="none" w:sz="0" w:space="0" w:color="auto"/>
              </w:divBdr>
              <w:divsChild>
                <w:div w:id="17163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0082">
      <w:bodyDiv w:val="1"/>
      <w:marLeft w:val="0"/>
      <w:marRight w:val="0"/>
      <w:marTop w:val="0"/>
      <w:marBottom w:val="0"/>
      <w:divBdr>
        <w:top w:val="none" w:sz="0" w:space="0" w:color="auto"/>
        <w:left w:val="none" w:sz="0" w:space="0" w:color="auto"/>
        <w:bottom w:val="none" w:sz="0" w:space="0" w:color="auto"/>
        <w:right w:val="none" w:sz="0" w:space="0" w:color="auto"/>
      </w:divBdr>
      <w:divsChild>
        <w:div w:id="1383090133">
          <w:marLeft w:val="0"/>
          <w:marRight w:val="0"/>
          <w:marTop w:val="0"/>
          <w:marBottom w:val="0"/>
          <w:divBdr>
            <w:top w:val="none" w:sz="0" w:space="0" w:color="auto"/>
            <w:left w:val="none" w:sz="0" w:space="0" w:color="auto"/>
            <w:bottom w:val="none" w:sz="0" w:space="0" w:color="auto"/>
            <w:right w:val="none" w:sz="0" w:space="0" w:color="auto"/>
          </w:divBdr>
          <w:divsChild>
            <w:div w:id="920453152">
              <w:marLeft w:val="0"/>
              <w:marRight w:val="0"/>
              <w:marTop w:val="0"/>
              <w:marBottom w:val="0"/>
              <w:divBdr>
                <w:top w:val="none" w:sz="0" w:space="0" w:color="auto"/>
                <w:left w:val="none" w:sz="0" w:space="0" w:color="auto"/>
                <w:bottom w:val="none" w:sz="0" w:space="0" w:color="auto"/>
                <w:right w:val="none" w:sz="0" w:space="0" w:color="auto"/>
              </w:divBdr>
              <w:divsChild>
                <w:div w:id="1448769819">
                  <w:marLeft w:val="0"/>
                  <w:marRight w:val="0"/>
                  <w:marTop w:val="0"/>
                  <w:marBottom w:val="0"/>
                  <w:divBdr>
                    <w:top w:val="none" w:sz="0" w:space="0" w:color="auto"/>
                    <w:left w:val="none" w:sz="0" w:space="0" w:color="auto"/>
                    <w:bottom w:val="none" w:sz="0" w:space="0" w:color="auto"/>
                    <w:right w:val="none" w:sz="0" w:space="0" w:color="auto"/>
                  </w:divBdr>
                  <w:divsChild>
                    <w:div w:id="1856457468">
                      <w:marLeft w:val="0"/>
                      <w:marRight w:val="0"/>
                      <w:marTop w:val="0"/>
                      <w:marBottom w:val="0"/>
                      <w:divBdr>
                        <w:top w:val="none" w:sz="0" w:space="0" w:color="auto"/>
                        <w:left w:val="none" w:sz="0" w:space="0" w:color="auto"/>
                        <w:bottom w:val="none" w:sz="0" w:space="0" w:color="auto"/>
                        <w:right w:val="none" w:sz="0" w:space="0" w:color="auto"/>
                      </w:divBdr>
                      <w:divsChild>
                        <w:div w:id="1399475258">
                          <w:marLeft w:val="0"/>
                          <w:marRight w:val="0"/>
                          <w:marTop w:val="0"/>
                          <w:marBottom w:val="0"/>
                          <w:divBdr>
                            <w:top w:val="none" w:sz="0" w:space="0" w:color="auto"/>
                            <w:left w:val="none" w:sz="0" w:space="0" w:color="auto"/>
                            <w:bottom w:val="none" w:sz="0" w:space="0" w:color="auto"/>
                            <w:right w:val="none" w:sz="0" w:space="0" w:color="auto"/>
                          </w:divBdr>
                          <w:divsChild>
                            <w:div w:id="151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358454">
          <w:marLeft w:val="0"/>
          <w:marRight w:val="0"/>
          <w:marTop w:val="0"/>
          <w:marBottom w:val="0"/>
          <w:divBdr>
            <w:top w:val="none" w:sz="0" w:space="0" w:color="auto"/>
            <w:left w:val="none" w:sz="0" w:space="0" w:color="auto"/>
            <w:bottom w:val="none" w:sz="0" w:space="0" w:color="auto"/>
            <w:right w:val="none" w:sz="0" w:space="0" w:color="auto"/>
          </w:divBdr>
          <w:divsChild>
            <w:div w:id="1768845369">
              <w:marLeft w:val="0"/>
              <w:marRight w:val="0"/>
              <w:marTop w:val="0"/>
              <w:marBottom w:val="0"/>
              <w:divBdr>
                <w:top w:val="none" w:sz="0" w:space="0" w:color="auto"/>
                <w:left w:val="none" w:sz="0" w:space="0" w:color="auto"/>
                <w:bottom w:val="none" w:sz="0" w:space="0" w:color="auto"/>
                <w:right w:val="none" w:sz="0" w:space="0" w:color="auto"/>
              </w:divBdr>
              <w:divsChild>
                <w:div w:id="1631747741">
                  <w:marLeft w:val="0"/>
                  <w:marRight w:val="0"/>
                  <w:marTop w:val="0"/>
                  <w:marBottom w:val="0"/>
                  <w:divBdr>
                    <w:top w:val="none" w:sz="0" w:space="0" w:color="auto"/>
                    <w:left w:val="none" w:sz="0" w:space="0" w:color="auto"/>
                    <w:bottom w:val="none" w:sz="0" w:space="0" w:color="auto"/>
                    <w:right w:val="none" w:sz="0" w:space="0" w:color="auto"/>
                  </w:divBdr>
                  <w:divsChild>
                    <w:div w:id="2080516191">
                      <w:marLeft w:val="0"/>
                      <w:marRight w:val="0"/>
                      <w:marTop w:val="0"/>
                      <w:marBottom w:val="0"/>
                      <w:divBdr>
                        <w:top w:val="none" w:sz="0" w:space="0" w:color="auto"/>
                        <w:left w:val="none" w:sz="0" w:space="0" w:color="auto"/>
                        <w:bottom w:val="none" w:sz="0" w:space="0" w:color="auto"/>
                        <w:right w:val="none" w:sz="0" w:space="0" w:color="auto"/>
                      </w:divBdr>
                      <w:divsChild>
                        <w:div w:id="433864671">
                          <w:marLeft w:val="0"/>
                          <w:marRight w:val="0"/>
                          <w:marTop w:val="0"/>
                          <w:marBottom w:val="0"/>
                          <w:divBdr>
                            <w:top w:val="none" w:sz="0" w:space="0" w:color="auto"/>
                            <w:left w:val="none" w:sz="0" w:space="0" w:color="auto"/>
                            <w:bottom w:val="none" w:sz="0" w:space="0" w:color="auto"/>
                            <w:right w:val="none" w:sz="0" w:space="0" w:color="auto"/>
                          </w:divBdr>
                          <w:divsChild>
                            <w:div w:id="16529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383689">
      <w:bodyDiv w:val="1"/>
      <w:marLeft w:val="0"/>
      <w:marRight w:val="0"/>
      <w:marTop w:val="0"/>
      <w:marBottom w:val="0"/>
      <w:divBdr>
        <w:top w:val="none" w:sz="0" w:space="0" w:color="auto"/>
        <w:left w:val="none" w:sz="0" w:space="0" w:color="auto"/>
        <w:bottom w:val="none" w:sz="0" w:space="0" w:color="auto"/>
        <w:right w:val="none" w:sz="0" w:space="0" w:color="auto"/>
      </w:divBdr>
      <w:divsChild>
        <w:div w:id="794326428">
          <w:marLeft w:val="0"/>
          <w:marRight w:val="0"/>
          <w:marTop w:val="0"/>
          <w:marBottom w:val="0"/>
          <w:divBdr>
            <w:top w:val="none" w:sz="0" w:space="0" w:color="auto"/>
            <w:left w:val="none" w:sz="0" w:space="0" w:color="auto"/>
            <w:bottom w:val="none" w:sz="0" w:space="0" w:color="auto"/>
            <w:right w:val="none" w:sz="0" w:space="0" w:color="auto"/>
          </w:divBdr>
          <w:divsChild>
            <w:div w:id="1364601353">
              <w:marLeft w:val="0"/>
              <w:marRight w:val="0"/>
              <w:marTop w:val="0"/>
              <w:marBottom w:val="0"/>
              <w:divBdr>
                <w:top w:val="none" w:sz="0" w:space="0" w:color="auto"/>
                <w:left w:val="none" w:sz="0" w:space="0" w:color="auto"/>
                <w:bottom w:val="none" w:sz="0" w:space="0" w:color="auto"/>
                <w:right w:val="none" w:sz="0" w:space="0" w:color="auto"/>
              </w:divBdr>
              <w:divsChild>
                <w:div w:id="13650811">
                  <w:marLeft w:val="0"/>
                  <w:marRight w:val="0"/>
                  <w:marTop w:val="0"/>
                  <w:marBottom w:val="0"/>
                  <w:divBdr>
                    <w:top w:val="none" w:sz="0" w:space="0" w:color="auto"/>
                    <w:left w:val="none" w:sz="0" w:space="0" w:color="auto"/>
                    <w:bottom w:val="none" w:sz="0" w:space="0" w:color="auto"/>
                    <w:right w:val="none" w:sz="0" w:space="0" w:color="auto"/>
                  </w:divBdr>
                  <w:divsChild>
                    <w:div w:id="1542130639">
                      <w:marLeft w:val="0"/>
                      <w:marRight w:val="0"/>
                      <w:marTop w:val="0"/>
                      <w:marBottom w:val="0"/>
                      <w:divBdr>
                        <w:top w:val="none" w:sz="0" w:space="0" w:color="auto"/>
                        <w:left w:val="none" w:sz="0" w:space="0" w:color="auto"/>
                        <w:bottom w:val="none" w:sz="0" w:space="0" w:color="auto"/>
                        <w:right w:val="none" w:sz="0" w:space="0" w:color="auto"/>
                      </w:divBdr>
                      <w:divsChild>
                        <w:div w:id="1176043722">
                          <w:marLeft w:val="0"/>
                          <w:marRight w:val="0"/>
                          <w:marTop w:val="0"/>
                          <w:marBottom w:val="0"/>
                          <w:divBdr>
                            <w:top w:val="none" w:sz="0" w:space="0" w:color="auto"/>
                            <w:left w:val="none" w:sz="0" w:space="0" w:color="auto"/>
                            <w:bottom w:val="none" w:sz="0" w:space="0" w:color="auto"/>
                            <w:right w:val="none" w:sz="0" w:space="0" w:color="auto"/>
                          </w:divBdr>
                          <w:divsChild>
                            <w:div w:id="19632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72660">
          <w:marLeft w:val="0"/>
          <w:marRight w:val="0"/>
          <w:marTop w:val="0"/>
          <w:marBottom w:val="0"/>
          <w:divBdr>
            <w:top w:val="none" w:sz="0" w:space="0" w:color="auto"/>
            <w:left w:val="none" w:sz="0" w:space="0" w:color="auto"/>
            <w:bottom w:val="none" w:sz="0" w:space="0" w:color="auto"/>
            <w:right w:val="none" w:sz="0" w:space="0" w:color="auto"/>
          </w:divBdr>
          <w:divsChild>
            <w:div w:id="2010907463">
              <w:marLeft w:val="0"/>
              <w:marRight w:val="0"/>
              <w:marTop w:val="0"/>
              <w:marBottom w:val="0"/>
              <w:divBdr>
                <w:top w:val="none" w:sz="0" w:space="0" w:color="auto"/>
                <w:left w:val="none" w:sz="0" w:space="0" w:color="auto"/>
                <w:bottom w:val="none" w:sz="0" w:space="0" w:color="auto"/>
                <w:right w:val="none" w:sz="0" w:space="0" w:color="auto"/>
              </w:divBdr>
              <w:divsChild>
                <w:div w:id="1850172553">
                  <w:marLeft w:val="0"/>
                  <w:marRight w:val="0"/>
                  <w:marTop w:val="0"/>
                  <w:marBottom w:val="0"/>
                  <w:divBdr>
                    <w:top w:val="none" w:sz="0" w:space="0" w:color="auto"/>
                    <w:left w:val="none" w:sz="0" w:space="0" w:color="auto"/>
                    <w:bottom w:val="none" w:sz="0" w:space="0" w:color="auto"/>
                    <w:right w:val="none" w:sz="0" w:space="0" w:color="auto"/>
                  </w:divBdr>
                  <w:divsChild>
                    <w:div w:id="1353338982">
                      <w:marLeft w:val="0"/>
                      <w:marRight w:val="0"/>
                      <w:marTop w:val="0"/>
                      <w:marBottom w:val="0"/>
                      <w:divBdr>
                        <w:top w:val="none" w:sz="0" w:space="0" w:color="auto"/>
                        <w:left w:val="none" w:sz="0" w:space="0" w:color="auto"/>
                        <w:bottom w:val="none" w:sz="0" w:space="0" w:color="auto"/>
                        <w:right w:val="none" w:sz="0" w:space="0" w:color="auto"/>
                      </w:divBdr>
                      <w:divsChild>
                        <w:div w:id="554201271">
                          <w:marLeft w:val="0"/>
                          <w:marRight w:val="0"/>
                          <w:marTop w:val="0"/>
                          <w:marBottom w:val="0"/>
                          <w:divBdr>
                            <w:top w:val="none" w:sz="0" w:space="0" w:color="auto"/>
                            <w:left w:val="none" w:sz="0" w:space="0" w:color="auto"/>
                            <w:bottom w:val="none" w:sz="0" w:space="0" w:color="auto"/>
                            <w:right w:val="none" w:sz="0" w:space="0" w:color="auto"/>
                          </w:divBdr>
                          <w:divsChild>
                            <w:div w:id="20468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811303">
      <w:bodyDiv w:val="1"/>
      <w:marLeft w:val="0"/>
      <w:marRight w:val="0"/>
      <w:marTop w:val="0"/>
      <w:marBottom w:val="0"/>
      <w:divBdr>
        <w:top w:val="none" w:sz="0" w:space="0" w:color="auto"/>
        <w:left w:val="none" w:sz="0" w:space="0" w:color="auto"/>
        <w:bottom w:val="none" w:sz="0" w:space="0" w:color="auto"/>
        <w:right w:val="none" w:sz="0" w:space="0" w:color="auto"/>
      </w:divBdr>
      <w:divsChild>
        <w:div w:id="434134787">
          <w:marLeft w:val="0"/>
          <w:marRight w:val="0"/>
          <w:marTop w:val="0"/>
          <w:marBottom w:val="0"/>
          <w:divBdr>
            <w:top w:val="none" w:sz="0" w:space="0" w:color="auto"/>
            <w:left w:val="none" w:sz="0" w:space="0" w:color="auto"/>
            <w:bottom w:val="none" w:sz="0" w:space="0" w:color="auto"/>
            <w:right w:val="none" w:sz="0" w:space="0" w:color="auto"/>
          </w:divBdr>
          <w:divsChild>
            <w:div w:id="569927257">
              <w:marLeft w:val="0"/>
              <w:marRight w:val="0"/>
              <w:marTop w:val="0"/>
              <w:marBottom w:val="0"/>
              <w:divBdr>
                <w:top w:val="none" w:sz="0" w:space="0" w:color="auto"/>
                <w:left w:val="none" w:sz="0" w:space="0" w:color="auto"/>
                <w:bottom w:val="none" w:sz="0" w:space="0" w:color="auto"/>
                <w:right w:val="none" w:sz="0" w:space="0" w:color="auto"/>
              </w:divBdr>
              <w:divsChild>
                <w:div w:id="13354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41782">
      <w:bodyDiv w:val="1"/>
      <w:marLeft w:val="0"/>
      <w:marRight w:val="0"/>
      <w:marTop w:val="0"/>
      <w:marBottom w:val="0"/>
      <w:divBdr>
        <w:top w:val="none" w:sz="0" w:space="0" w:color="auto"/>
        <w:left w:val="none" w:sz="0" w:space="0" w:color="auto"/>
        <w:bottom w:val="none" w:sz="0" w:space="0" w:color="auto"/>
        <w:right w:val="none" w:sz="0" w:space="0" w:color="auto"/>
      </w:divBdr>
    </w:div>
    <w:div w:id="978191525">
      <w:bodyDiv w:val="1"/>
      <w:marLeft w:val="0"/>
      <w:marRight w:val="0"/>
      <w:marTop w:val="0"/>
      <w:marBottom w:val="0"/>
      <w:divBdr>
        <w:top w:val="none" w:sz="0" w:space="0" w:color="auto"/>
        <w:left w:val="none" w:sz="0" w:space="0" w:color="auto"/>
        <w:bottom w:val="none" w:sz="0" w:space="0" w:color="auto"/>
        <w:right w:val="none" w:sz="0" w:space="0" w:color="auto"/>
      </w:divBdr>
      <w:divsChild>
        <w:div w:id="156073364">
          <w:marLeft w:val="0"/>
          <w:marRight w:val="0"/>
          <w:marTop w:val="0"/>
          <w:marBottom w:val="0"/>
          <w:divBdr>
            <w:top w:val="none" w:sz="0" w:space="0" w:color="auto"/>
            <w:left w:val="none" w:sz="0" w:space="0" w:color="auto"/>
            <w:bottom w:val="none" w:sz="0" w:space="0" w:color="auto"/>
            <w:right w:val="none" w:sz="0" w:space="0" w:color="auto"/>
          </w:divBdr>
          <w:divsChild>
            <w:div w:id="586620350">
              <w:marLeft w:val="0"/>
              <w:marRight w:val="0"/>
              <w:marTop w:val="0"/>
              <w:marBottom w:val="0"/>
              <w:divBdr>
                <w:top w:val="none" w:sz="0" w:space="0" w:color="auto"/>
                <w:left w:val="none" w:sz="0" w:space="0" w:color="auto"/>
                <w:bottom w:val="none" w:sz="0" w:space="0" w:color="auto"/>
                <w:right w:val="none" w:sz="0" w:space="0" w:color="auto"/>
              </w:divBdr>
              <w:divsChild>
                <w:div w:id="19198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3101">
      <w:bodyDiv w:val="1"/>
      <w:marLeft w:val="0"/>
      <w:marRight w:val="0"/>
      <w:marTop w:val="0"/>
      <w:marBottom w:val="0"/>
      <w:divBdr>
        <w:top w:val="none" w:sz="0" w:space="0" w:color="auto"/>
        <w:left w:val="none" w:sz="0" w:space="0" w:color="auto"/>
        <w:bottom w:val="none" w:sz="0" w:space="0" w:color="auto"/>
        <w:right w:val="none" w:sz="0" w:space="0" w:color="auto"/>
      </w:divBdr>
      <w:divsChild>
        <w:div w:id="1268582906">
          <w:marLeft w:val="0"/>
          <w:marRight w:val="0"/>
          <w:marTop w:val="0"/>
          <w:marBottom w:val="0"/>
          <w:divBdr>
            <w:top w:val="none" w:sz="0" w:space="0" w:color="auto"/>
            <w:left w:val="none" w:sz="0" w:space="0" w:color="auto"/>
            <w:bottom w:val="none" w:sz="0" w:space="0" w:color="auto"/>
            <w:right w:val="none" w:sz="0" w:space="0" w:color="auto"/>
          </w:divBdr>
          <w:divsChild>
            <w:div w:id="1013532562">
              <w:marLeft w:val="0"/>
              <w:marRight w:val="0"/>
              <w:marTop w:val="0"/>
              <w:marBottom w:val="0"/>
              <w:divBdr>
                <w:top w:val="none" w:sz="0" w:space="0" w:color="auto"/>
                <w:left w:val="none" w:sz="0" w:space="0" w:color="auto"/>
                <w:bottom w:val="none" w:sz="0" w:space="0" w:color="auto"/>
                <w:right w:val="none" w:sz="0" w:space="0" w:color="auto"/>
              </w:divBdr>
              <w:divsChild>
                <w:div w:id="1850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60353">
      <w:bodyDiv w:val="1"/>
      <w:marLeft w:val="0"/>
      <w:marRight w:val="0"/>
      <w:marTop w:val="0"/>
      <w:marBottom w:val="0"/>
      <w:divBdr>
        <w:top w:val="none" w:sz="0" w:space="0" w:color="auto"/>
        <w:left w:val="none" w:sz="0" w:space="0" w:color="auto"/>
        <w:bottom w:val="none" w:sz="0" w:space="0" w:color="auto"/>
        <w:right w:val="none" w:sz="0" w:space="0" w:color="auto"/>
      </w:divBdr>
    </w:div>
    <w:div w:id="1147553069">
      <w:bodyDiv w:val="1"/>
      <w:marLeft w:val="0"/>
      <w:marRight w:val="0"/>
      <w:marTop w:val="0"/>
      <w:marBottom w:val="0"/>
      <w:divBdr>
        <w:top w:val="none" w:sz="0" w:space="0" w:color="auto"/>
        <w:left w:val="none" w:sz="0" w:space="0" w:color="auto"/>
        <w:bottom w:val="none" w:sz="0" w:space="0" w:color="auto"/>
        <w:right w:val="none" w:sz="0" w:space="0" w:color="auto"/>
      </w:divBdr>
      <w:divsChild>
        <w:div w:id="1241021551">
          <w:marLeft w:val="0"/>
          <w:marRight w:val="0"/>
          <w:marTop w:val="0"/>
          <w:marBottom w:val="0"/>
          <w:divBdr>
            <w:top w:val="none" w:sz="0" w:space="0" w:color="auto"/>
            <w:left w:val="none" w:sz="0" w:space="0" w:color="auto"/>
            <w:bottom w:val="none" w:sz="0" w:space="0" w:color="auto"/>
            <w:right w:val="none" w:sz="0" w:space="0" w:color="auto"/>
          </w:divBdr>
          <w:divsChild>
            <w:div w:id="233010680">
              <w:marLeft w:val="0"/>
              <w:marRight w:val="0"/>
              <w:marTop w:val="0"/>
              <w:marBottom w:val="0"/>
              <w:divBdr>
                <w:top w:val="none" w:sz="0" w:space="0" w:color="auto"/>
                <w:left w:val="none" w:sz="0" w:space="0" w:color="auto"/>
                <w:bottom w:val="none" w:sz="0" w:space="0" w:color="auto"/>
                <w:right w:val="none" w:sz="0" w:space="0" w:color="auto"/>
              </w:divBdr>
              <w:divsChild>
                <w:div w:id="364988698">
                  <w:marLeft w:val="0"/>
                  <w:marRight w:val="0"/>
                  <w:marTop w:val="0"/>
                  <w:marBottom w:val="0"/>
                  <w:divBdr>
                    <w:top w:val="none" w:sz="0" w:space="0" w:color="auto"/>
                    <w:left w:val="none" w:sz="0" w:space="0" w:color="auto"/>
                    <w:bottom w:val="none" w:sz="0" w:space="0" w:color="auto"/>
                    <w:right w:val="none" w:sz="0" w:space="0" w:color="auto"/>
                  </w:divBdr>
                  <w:divsChild>
                    <w:div w:id="1561937058">
                      <w:marLeft w:val="0"/>
                      <w:marRight w:val="0"/>
                      <w:marTop w:val="0"/>
                      <w:marBottom w:val="0"/>
                      <w:divBdr>
                        <w:top w:val="none" w:sz="0" w:space="0" w:color="auto"/>
                        <w:left w:val="none" w:sz="0" w:space="0" w:color="auto"/>
                        <w:bottom w:val="none" w:sz="0" w:space="0" w:color="auto"/>
                        <w:right w:val="none" w:sz="0" w:space="0" w:color="auto"/>
                      </w:divBdr>
                      <w:divsChild>
                        <w:div w:id="971062615">
                          <w:marLeft w:val="0"/>
                          <w:marRight w:val="0"/>
                          <w:marTop w:val="0"/>
                          <w:marBottom w:val="0"/>
                          <w:divBdr>
                            <w:top w:val="none" w:sz="0" w:space="0" w:color="auto"/>
                            <w:left w:val="none" w:sz="0" w:space="0" w:color="auto"/>
                            <w:bottom w:val="none" w:sz="0" w:space="0" w:color="auto"/>
                            <w:right w:val="none" w:sz="0" w:space="0" w:color="auto"/>
                          </w:divBdr>
                          <w:divsChild>
                            <w:div w:id="4796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23127">
          <w:marLeft w:val="0"/>
          <w:marRight w:val="0"/>
          <w:marTop w:val="0"/>
          <w:marBottom w:val="0"/>
          <w:divBdr>
            <w:top w:val="none" w:sz="0" w:space="0" w:color="auto"/>
            <w:left w:val="none" w:sz="0" w:space="0" w:color="auto"/>
            <w:bottom w:val="none" w:sz="0" w:space="0" w:color="auto"/>
            <w:right w:val="none" w:sz="0" w:space="0" w:color="auto"/>
          </w:divBdr>
          <w:divsChild>
            <w:div w:id="731585705">
              <w:marLeft w:val="0"/>
              <w:marRight w:val="0"/>
              <w:marTop w:val="0"/>
              <w:marBottom w:val="0"/>
              <w:divBdr>
                <w:top w:val="none" w:sz="0" w:space="0" w:color="auto"/>
                <w:left w:val="none" w:sz="0" w:space="0" w:color="auto"/>
                <w:bottom w:val="none" w:sz="0" w:space="0" w:color="auto"/>
                <w:right w:val="none" w:sz="0" w:space="0" w:color="auto"/>
              </w:divBdr>
              <w:divsChild>
                <w:div w:id="778064272">
                  <w:marLeft w:val="0"/>
                  <w:marRight w:val="0"/>
                  <w:marTop w:val="0"/>
                  <w:marBottom w:val="0"/>
                  <w:divBdr>
                    <w:top w:val="none" w:sz="0" w:space="0" w:color="auto"/>
                    <w:left w:val="none" w:sz="0" w:space="0" w:color="auto"/>
                    <w:bottom w:val="none" w:sz="0" w:space="0" w:color="auto"/>
                    <w:right w:val="none" w:sz="0" w:space="0" w:color="auto"/>
                  </w:divBdr>
                  <w:divsChild>
                    <w:div w:id="1581058967">
                      <w:marLeft w:val="0"/>
                      <w:marRight w:val="0"/>
                      <w:marTop w:val="0"/>
                      <w:marBottom w:val="0"/>
                      <w:divBdr>
                        <w:top w:val="none" w:sz="0" w:space="0" w:color="auto"/>
                        <w:left w:val="none" w:sz="0" w:space="0" w:color="auto"/>
                        <w:bottom w:val="none" w:sz="0" w:space="0" w:color="auto"/>
                        <w:right w:val="none" w:sz="0" w:space="0" w:color="auto"/>
                      </w:divBdr>
                      <w:divsChild>
                        <w:div w:id="1010528646">
                          <w:marLeft w:val="0"/>
                          <w:marRight w:val="0"/>
                          <w:marTop w:val="0"/>
                          <w:marBottom w:val="0"/>
                          <w:divBdr>
                            <w:top w:val="none" w:sz="0" w:space="0" w:color="auto"/>
                            <w:left w:val="none" w:sz="0" w:space="0" w:color="auto"/>
                            <w:bottom w:val="none" w:sz="0" w:space="0" w:color="auto"/>
                            <w:right w:val="none" w:sz="0" w:space="0" w:color="auto"/>
                          </w:divBdr>
                          <w:divsChild>
                            <w:div w:id="16178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23763">
      <w:bodyDiv w:val="1"/>
      <w:marLeft w:val="0"/>
      <w:marRight w:val="0"/>
      <w:marTop w:val="0"/>
      <w:marBottom w:val="0"/>
      <w:divBdr>
        <w:top w:val="none" w:sz="0" w:space="0" w:color="auto"/>
        <w:left w:val="none" w:sz="0" w:space="0" w:color="auto"/>
        <w:bottom w:val="none" w:sz="0" w:space="0" w:color="auto"/>
        <w:right w:val="none" w:sz="0" w:space="0" w:color="auto"/>
      </w:divBdr>
      <w:divsChild>
        <w:div w:id="1242645197">
          <w:marLeft w:val="0"/>
          <w:marRight w:val="0"/>
          <w:marTop w:val="0"/>
          <w:marBottom w:val="0"/>
          <w:divBdr>
            <w:top w:val="none" w:sz="0" w:space="0" w:color="auto"/>
            <w:left w:val="none" w:sz="0" w:space="0" w:color="auto"/>
            <w:bottom w:val="none" w:sz="0" w:space="0" w:color="auto"/>
            <w:right w:val="none" w:sz="0" w:space="0" w:color="auto"/>
          </w:divBdr>
          <w:divsChild>
            <w:div w:id="1564483711">
              <w:marLeft w:val="0"/>
              <w:marRight w:val="0"/>
              <w:marTop w:val="0"/>
              <w:marBottom w:val="0"/>
              <w:divBdr>
                <w:top w:val="none" w:sz="0" w:space="0" w:color="auto"/>
                <w:left w:val="none" w:sz="0" w:space="0" w:color="auto"/>
                <w:bottom w:val="none" w:sz="0" w:space="0" w:color="auto"/>
                <w:right w:val="none" w:sz="0" w:space="0" w:color="auto"/>
              </w:divBdr>
              <w:divsChild>
                <w:div w:id="16036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8964">
      <w:bodyDiv w:val="1"/>
      <w:marLeft w:val="0"/>
      <w:marRight w:val="0"/>
      <w:marTop w:val="0"/>
      <w:marBottom w:val="0"/>
      <w:divBdr>
        <w:top w:val="none" w:sz="0" w:space="0" w:color="auto"/>
        <w:left w:val="none" w:sz="0" w:space="0" w:color="auto"/>
        <w:bottom w:val="none" w:sz="0" w:space="0" w:color="auto"/>
        <w:right w:val="none" w:sz="0" w:space="0" w:color="auto"/>
      </w:divBdr>
    </w:div>
    <w:div w:id="1268974206">
      <w:bodyDiv w:val="1"/>
      <w:marLeft w:val="0"/>
      <w:marRight w:val="0"/>
      <w:marTop w:val="0"/>
      <w:marBottom w:val="0"/>
      <w:divBdr>
        <w:top w:val="none" w:sz="0" w:space="0" w:color="auto"/>
        <w:left w:val="none" w:sz="0" w:space="0" w:color="auto"/>
        <w:bottom w:val="none" w:sz="0" w:space="0" w:color="auto"/>
        <w:right w:val="none" w:sz="0" w:space="0" w:color="auto"/>
      </w:divBdr>
      <w:divsChild>
        <w:div w:id="1835993377">
          <w:marLeft w:val="0"/>
          <w:marRight w:val="0"/>
          <w:marTop w:val="0"/>
          <w:marBottom w:val="0"/>
          <w:divBdr>
            <w:top w:val="none" w:sz="0" w:space="0" w:color="auto"/>
            <w:left w:val="none" w:sz="0" w:space="0" w:color="auto"/>
            <w:bottom w:val="none" w:sz="0" w:space="0" w:color="auto"/>
            <w:right w:val="none" w:sz="0" w:space="0" w:color="auto"/>
          </w:divBdr>
          <w:divsChild>
            <w:div w:id="301734279">
              <w:marLeft w:val="0"/>
              <w:marRight w:val="0"/>
              <w:marTop w:val="0"/>
              <w:marBottom w:val="0"/>
              <w:divBdr>
                <w:top w:val="none" w:sz="0" w:space="0" w:color="auto"/>
                <w:left w:val="none" w:sz="0" w:space="0" w:color="auto"/>
                <w:bottom w:val="none" w:sz="0" w:space="0" w:color="auto"/>
                <w:right w:val="none" w:sz="0" w:space="0" w:color="auto"/>
              </w:divBdr>
              <w:divsChild>
                <w:div w:id="11686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9359">
      <w:bodyDiv w:val="1"/>
      <w:marLeft w:val="0"/>
      <w:marRight w:val="0"/>
      <w:marTop w:val="0"/>
      <w:marBottom w:val="0"/>
      <w:divBdr>
        <w:top w:val="none" w:sz="0" w:space="0" w:color="auto"/>
        <w:left w:val="none" w:sz="0" w:space="0" w:color="auto"/>
        <w:bottom w:val="none" w:sz="0" w:space="0" w:color="auto"/>
        <w:right w:val="none" w:sz="0" w:space="0" w:color="auto"/>
      </w:divBdr>
    </w:div>
    <w:div w:id="1490292983">
      <w:bodyDiv w:val="1"/>
      <w:marLeft w:val="0"/>
      <w:marRight w:val="0"/>
      <w:marTop w:val="0"/>
      <w:marBottom w:val="0"/>
      <w:divBdr>
        <w:top w:val="none" w:sz="0" w:space="0" w:color="auto"/>
        <w:left w:val="none" w:sz="0" w:space="0" w:color="auto"/>
        <w:bottom w:val="none" w:sz="0" w:space="0" w:color="auto"/>
        <w:right w:val="none" w:sz="0" w:space="0" w:color="auto"/>
      </w:divBdr>
    </w:div>
    <w:div w:id="1546287188">
      <w:bodyDiv w:val="1"/>
      <w:marLeft w:val="0"/>
      <w:marRight w:val="0"/>
      <w:marTop w:val="0"/>
      <w:marBottom w:val="0"/>
      <w:divBdr>
        <w:top w:val="none" w:sz="0" w:space="0" w:color="auto"/>
        <w:left w:val="none" w:sz="0" w:space="0" w:color="auto"/>
        <w:bottom w:val="none" w:sz="0" w:space="0" w:color="auto"/>
        <w:right w:val="none" w:sz="0" w:space="0" w:color="auto"/>
      </w:divBdr>
      <w:divsChild>
        <w:div w:id="1579368989">
          <w:marLeft w:val="0"/>
          <w:marRight w:val="0"/>
          <w:marTop w:val="0"/>
          <w:marBottom w:val="0"/>
          <w:divBdr>
            <w:top w:val="none" w:sz="0" w:space="0" w:color="auto"/>
            <w:left w:val="none" w:sz="0" w:space="0" w:color="auto"/>
            <w:bottom w:val="none" w:sz="0" w:space="0" w:color="auto"/>
            <w:right w:val="none" w:sz="0" w:space="0" w:color="auto"/>
          </w:divBdr>
          <w:divsChild>
            <w:div w:id="1836452377">
              <w:marLeft w:val="0"/>
              <w:marRight w:val="0"/>
              <w:marTop w:val="0"/>
              <w:marBottom w:val="0"/>
              <w:divBdr>
                <w:top w:val="none" w:sz="0" w:space="0" w:color="auto"/>
                <w:left w:val="none" w:sz="0" w:space="0" w:color="auto"/>
                <w:bottom w:val="none" w:sz="0" w:space="0" w:color="auto"/>
                <w:right w:val="none" w:sz="0" w:space="0" w:color="auto"/>
              </w:divBdr>
              <w:divsChild>
                <w:div w:id="20115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7057">
      <w:bodyDiv w:val="1"/>
      <w:marLeft w:val="0"/>
      <w:marRight w:val="0"/>
      <w:marTop w:val="0"/>
      <w:marBottom w:val="0"/>
      <w:divBdr>
        <w:top w:val="none" w:sz="0" w:space="0" w:color="auto"/>
        <w:left w:val="none" w:sz="0" w:space="0" w:color="auto"/>
        <w:bottom w:val="none" w:sz="0" w:space="0" w:color="auto"/>
        <w:right w:val="none" w:sz="0" w:space="0" w:color="auto"/>
      </w:divBdr>
      <w:divsChild>
        <w:div w:id="682518628">
          <w:marLeft w:val="0"/>
          <w:marRight w:val="0"/>
          <w:marTop w:val="0"/>
          <w:marBottom w:val="0"/>
          <w:divBdr>
            <w:top w:val="none" w:sz="0" w:space="0" w:color="auto"/>
            <w:left w:val="none" w:sz="0" w:space="0" w:color="auto"/>
            <w:bottom w:val="none" w:sz="0" w:space="0" w:color="auto"/>
            <w:right w:val="none" w:sz="0" w:space="0" w:color="auto"/>
          </w:divBdr>
          <w:divsChild>
            <w:div w:id="746656800">
              <w:marLeft w:val="0"/>
              <w:marRight w:val="0"/>
              <w:marTop w:val="0"/>
              <w:marBottom w:val="0"/>
              <w:divBdr>
                <w:top w:val="none" w:sz="0" w:space="0" w:color="auto"/>
                <w:left w:val="none" w:sz="0" w:space="0" w:color="auto"/>
                <w:bottom w:val="none" w:sz="0" w:space="0" w:color="auto"/>
                <w:right w:val="none" w:sz="0" w:space="0" w:color="auto"/>
              </w:divBdr>
              <w:divsChild>
                <w:div w:id="313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9770">
      <w:bodyDiv w:val="1"/>
      <w:marLeft w:val="0"/>
      <w:marRight w:val="0"/>
      <w:marTop w:val="0"/>
      <w:marBottom w:val="0"/>
      <w:divBdr>
        <w:top w:val="none" w:sz="0" w:space="0" w:color="auto"/>
        <w:left w:val="none" w:sz="0" w:space="0" w:color="auto"/>
        <w:bottom w:val="none" w:sz="0" w:space="0" w:color="auto"/>
        <w:right w:val="none" w:sz="0" w:space="0" w:color="auto"/>
      </w:divBdr>
    </w:div>
    <w:div w:id="1672102410">
      <w:bodyDiv w:val="1"/>
      <w:marLeft w:val="0"/>
      <w:marRight w:val="0"/>
      <w:marTop w:val="0"/>
      <w:marBottom w:val="0"/>
      <w:divBdr>
        <w:top w:val="none" w:sz="0" w:space="0" w:color="auto"/>
        <w:left w:val="none" w:sz="0" w:space="0" w:color="auto"/>
        <w:bottom w:val="none" w:sz="0" w:space="0" w:color="auto"/>
        <w:right w:val="none" w:sz="0" w:space="0" w:color="auto"/>
      </w:divBdr>
    </w:div>
    <w:div w:id="1705518749">
      <w:bodyDiv w:val="1"/>
      <w:marLeft w:val="0"/>
      <w:marRight w:val="0"/>
      <w:marTop w:val="0"/>
      <w:marBottom w:val="0"/>
      <w:divBdr>
        <w:top w:val="none" w:sz="0" w:space="0" w:color="auto"/>
        <w:left w:val="none" w:sz="0" w:space="0" w:color="auto"/>
        <w:bottom w:val="none" w:sz="0" w:space="0" w:color="auto"/>
        <w:right w:val="none" w:sz="0" w:space="0" w:color="auto"/>
      </w:divBdr>
    </w:div>
    <w:div w:id="1835338084">
      <w:bodyDiv w:val="1"/>
      <w:marLeft w:val="0"/>
      <w:marRight w:val="0"/>
      <w:marTop w:val="0"/>
      <w:marBottom w:val="0"/>
      <w:divBdr>
        <w:top w:val="none" w:sz="0" w:space="0" w:color="auto"/>
        <w:left w:val="none" w:sz="0" w:space="0" w:color="auto"/>
        <w:bottom w:val="none" w:sz="0" w:space="0" w:color="auto"/>
        <w:right w:val="none" w:sz="0" w:space="0" w:color="auto"/>
      </w:divBdr>
    </w:div>
    <w:div w:id="1886675073">
      <w:bodyDiv w:val="1"/>
      <w:marLeft w:val="0"/>
      <w:marRight w:val="0"/>
      <w:marTop w:val="0"/>
      <w:marBottom w:val="0"/>
      <w:divBdr>
        <w:top w:val="none" w:sz="0" w:space="0" w:color="auto"/>
        <w:left w:val="none" w:sz="0" w:space="0" w:color="auto"/>
        <w:bottom w:val="none" w:sz="0" w:space="0" w:color="auto"/>
        <w:right w:val="none" w:sz="0" w:space="0" w:color="auto"/>
      </w:divBdr>
    </w:div>
    <w:div w:id="1918174322">
      <w:bodyDiv w:val="1"/>
      <w:marLeft w:val="0"/>
      <w:marRight w:val="0"/>
      <w:marTop w:val="0"/>
      <w:marBottom w:val="0"/>
      <w:divBdr>
        <w:top w:val="none" w:sz="0" w:space="0" w:color="auto"/>
        <w:left w:val="none" w:sz="0" w:space="0" w:color="auto"/>
        <w:bottom w:val="none" w:sz="0" w:space="0" w:color="auto"/>
        <w:right w:val="none" w:sz="0" w:space="0" w:color="auto"/>
      </w:divBdr>
      <w:divsChild>
        <w:div w:id="1287930894">
          <w:marLeft w:val="0"/>
          <w:marRight w:val="0"/>
          <w:marTop w:val="0"/>
          <w:marBottom w:val="0"/>
          <w:divBdr>
            <w:top w:val="none" w:sz="0" w:space="0" w:color="auto"/>
            <w:left w:val="none" w:sz="0" w:space="0" w:color="auto"/>
            <w:bottom w:val="none" w:sz="0" w:space="0" w:color="auto"/>
            <w:right w:val="none" w:sz="0" w:space="0" w:color="auto"/>
          </w:divBdr>
          <w:divsChild>
            <w:div w:id="905645155">
              <w:marLeft w:val="0"/>
              <w:marRight w:val="0"/>
              <w:marTop w:val="0"/>
              <w:marBottom w:val="0"/>
              <w:divBdr>
                <w:top w:val="none" w:sz="0" w:space="0" w:color="auto"/>
                <w:left w:val="none" w:sz="0" w:space="0" w:color="auto"/>
                <w:bottom w:val="none" w:sz="0" w:space="0" w:color="auto"/>
                <w:right w:val="none" w:sz="0" w:space="0" w:color="auto"/>
              </w:divBdr>
              <w:divsChild>
                <w:div w:id="17591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5691">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sChild>
        <w:div w:id="843400016">
          <w:marLeft w:val="0"/>
          <w:marRight w:val="0"/>
          <w:marTop w:val="0"/>
          <w:marBottom w:val="0"/>
          <w:divBdr>
            <w:top w:val="none" w:sz="0" w:space="0" w:color="auto"/>
            <w:left w:val="none" w:sz="0" w:space="0" w:color="auto"/>
            <w:bottom w:val="none" w:sz="0" w:space="0" w:color="auto"/>
            <w:right w:val="none" w:sz="0" w:space="0" w:color="auto"/>
          </w:divBdr>
          <w:divsChild>
            <w:div w:id="227300496">
              <w:marLeft w:val="0"/>
              <w:marRight w:val="0"/>
              <w:marTop w:val="0"/>
              <w:marBottom w:val="0"/>
              <w:divBdr>
                <w:top w:val="none" w:sz="0" w:space="0" w:color="auto"/>
                <w:left w:val="none" w:sz="0" w:space="0" w:color="auto"/>
                <w:bottom w:val="none" w:sz="0" w:space="0" w:color="auto"/>
                <w:right w:val="none" w:sz="0" w:space="0" w:color="auto"/>
              </w:divBdr>
              <w:divsChild>
                <w:div w:id="7596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0546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12822307">
      <w:bodyDiv w:val="1"/>
      <w:marLeft w:val="0"/>
      <w:marRight w:val="0"/>
      <w:marTop w:val="0"/>
      <w:marBottom w:val="0"/>
      <w:divBdr>
        <w:top w:val="none" w:sz="0" w:space="0" w:color="auto"/>
        <w:left w:val="none" w:sz="0" w:space="0" w:color="auto"/>
        <w:bottom w:val="none" w:sz="0" w:space="0" w:color="auto"/>
        <w:right w:val="none" w:sz="0" w:space="0" w:color="auto"/>
      </w:divBdr>
      <w:divsChild>
        <w:div w:id="1258905186">
          <w:marLeft w:val="0"/>
          <w:marRight w:val="0"/>
          <w:marTop w:val="0"/>
          <w:marBottom w:val="0"/>
          <w:divBdr>
            <w:top w:val="none" w:sz="0" w:space="0" w:color="auto"/>
            <w:left w:val="none" w:sz="0" w:space="0" w:color="auto"/>
            <w:bottom w:val="none" w:sz="0" w:space="0" w:color="auto"/>
            <w:right w:val="none" w:sz="0" w:space="0" w:color="auto"/>
          </w:divBdr>
          <w:divsChild>
            <w:div w:id="1275790165">
              <w:marLeft w:val="0"/>
              <w:marRight w:val="0"/>
              <w:marTop w:val="0"/>
              <w:marBottom w:val="0"/>
              <w:divBdr>
                <w:top w:val="none" w:sz="0" w:space="0" w:color="auto"/>
                <w:left w:val="none" w:sz="0" w:space="0" w:color="auto"/>
                <w:bottom w:val="none" w:sz="0" w:space="0" w:color="auto"/>
                <w:right w:val="none" w:sz="0" w:space="0" w:color="auto"/>
              </w:divBdr>
              <w:divsChild>
                <w:div w:id="17814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10155</Words>
  <Characters>57889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67909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Maynard Gold</cp:lastModifiedBy>
  <cp:revision>2</cp:revision>
  <cp:lastPrinted>2021-05-10T01:34:00Z</cp:lastPrinted>
  <dcterms:created xsi:type="dcterms:W3CDTF">2023-01-09T07:19:00Z</dcterms:created>
  <dcterms:modified xsi:type="dcterms:W3CDTF">2023-01-09T07:19:00Z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