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45E8D" w14:textId="77777777" w:rsidR="0044715D" w:rsidRPr="00522BC9" w:rsidRDefault="0044715D" w:rsidP="0044715D">
      <w:pPr>
        <w:spacing w:before="120" w:after="120" w:line="312" w:lineRule="auto"/>
        <w:jc w:val="center"/>
      </w:pPr>
      <w:bookmarkStart w:id="0" w:name="_Toc403747457"/>
      <w:bookmarkStart w:id="1" w:name="_Toc412039297"/>
      <w:r w:rsidRPr="00522BC9">
        <w:rPr>
          <w:b/>
          <w:noProof/>
          <w:lang w:eastAsia="en-AU"/>
        </w:rPr>
        <w:drawing>
          <wp:inline distT="0" distB="0" distL="0" distR="0" wp14:anchorId="76758231" wp14:editId="003ED283">
            <wp:extent cx="1889760" cy="1226820"/>
            <wp:effectExtent l="0" t="0" r="0" b="0"/>
            <wp:docPr id="1" name="Picture 2" title="Department of H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06DC1B99" w14:textId="77777777" w:rsidR="00303C94" w:rsidRPr="00522BC9" w:rsidRDefault="00303C94" w:rsidP="00F4622B">
      <w:pPr>
        <w:pStyle w:val="Heading10"/>
        <w:jc w:val="center"/>
        <w:rPr>
          <w:sz w:val="40"/>
          <w:szCs w:val="120"/>
        </w:rPr>
      </w:pPr>
      <w:bookmarkStart w:id="2" w:name="_GoBack"/>
      <w:bookmarkEnd w:id="2"/>
    </w:p>
    <w:p w14:paraId="451B5DED" w14:textId="77777777" w:rsidR="0044715D" w:rsidRPr="00522BC9" w:rsidRDefault="005F4D2F" w:rsidP="00A601AC">
      <w:pPr>
        <w:pStyle w:val="Heading10"/>
        <w:jc w:val="center"/>
        <w:rPr>
          <w:sz w:val="48"/>
          <w:szCs w:val="48"/>
        </w:rPr>
      </w:pPr>
      <w:r w:rsidRPr="00522BC9">
        <w:rPr>
          <w:sz w:val="48"/>
          <w:szCs w:val="48"/>
        </w:rPr>
        <w:t xml:space="preserve">Application </w:t>
      </w:r>
      <w:r w:rsidR="00805592" w:rsidRPr="00522BC9">
        <w:rPr>
          <w:sz w:val="48"/>
          <w:szCs w:val="48"/>
        </w:rPr>
        <w:t>1506</w:t>
      </w:r>
      <w:r w:rsidR="00303C94" w:rsidRPr="00522BC9">
        <w:rPr>
          <w:sz w:val="48"/>
          <w:szCs w:val="48"/>
        </w:rPr>
        <w:t>:</w:t>
      </w:r>
    </w:p>
    <w:p w14:paraId="45EF206B" w14:textId="77777777" w:rsidR="00303C94" w:rsidRPr="00522BC9" w:rsidRDefault="00805592" w:rsidP="00A601AC">
      <w:pPr>
        <w:pStyle w:val="Heading10"/>
        <w:jc w:val="center"/>
        <w:rPr>
          <w:sz w:val="44"/>
          <w:szCs w:val="48"/>
        </w:rPr>
      </w:pPr>
      <w:r w:rsidRPr="00522BC9">
        <w:rPr>
          <w:color w:val="548DD4"/>
          <w:sz w:val="44"/>
          <w:szCs w:val="48"/>
        </w:rPr>
        <w:t xml:space="preserve">Programmed cell death ligand 1 (PD-L1) testing to determine PBS access to </w:t>
      </w:r>
      <w:proofErr w:type="spellStart"/>
      <w:r w:rsidRPr="00522BC9">
        <w:rPr>
          <w:color w:val="548DD4"/>
          <w:sz w:val="44"/>
          <w:szCs w:val="48"/>
        </w:rPr>
        <w:t>durvalumab</w:t>
      </w:r>
      <w:proofErr w:type="spellEnd"/>
      <w:r w:rsidRPr="00522BC9">
        <w:rPr>
          <w:color w:val="548DD4"/>
          <w:sz w:val="44"/>
          <w:szCs w:val="48"/>
        </w:rPr>
        <w:t xml:space="preserve"> or </w:t>
      </w:r>
      <w:proofErr w:type="spellStart"/>
      <w:r w:rsidRPr="00522BC9">
        <w:rPr>
          <w:color w:val="548DD4"/>
          <w:sz w:val="44"/>
          <w:szCs w:val="48"/>
        </w:rPr>
        <w:t>durvalumab</w:t>
      </w:r>
      <w:proofErr w:type="spellEnd"/>
      <w:r w:rsidRPr="00522BC9">
        <w:rPr>
          <w:color w:val="548DD4"/>
          <w:sz w:val="44"/>
          <w:szCs w:val="48"/>
        </w:rPr>
        <w:t>/</w:t>
      </w:r>
      <w:proofErr w:type="spellStart"/>
      <w:r w:rsidRPr="00522BC9">
        <w:rPr>
          <w:color w:val="548DD4"/>
          <w:sz w:val="44"/>
          <w:szCs w:val="48"/>
        </w:rPr>
        <w:t>tremelimumab</w:t>
      </w:r>
      <w:proofErr w:type="spellEnd"/>
      <w:r w:rsidRPr="00522BC9">
        <w:rPr>
          <w:color w:val="548DD4"/>
          <w:sz w:val="44"/>
          <w:szCs w:val="48"/>
        </w:rPr>
        <w:t xml:space="preserve"> as 1st line therapy for patients with unresectable Stage IV urothelial cancer</w:t>
      </w:r>
    </w:p>
    <w:p w14:paraId="01BB821D" w14:textId="77777777" w:rsidR="0044715D" w:rsidRPr="00522BC9" w:rsidRDefault="0044715D" w:rsidP="00F4622B">
      <w:pPr>
        <w:pStyle w:val="Heading10"/>
        <w:tabs>
          <w:tab w:val="left" w:pos="5613"/>
        </w:tabs>
        <w:jc w:val="center"/>
        <w:rPr>
          <w:szCs w:val="72"/>
        </w:rPr>
      </w:pPr>
    </w:p>
    <w:p w14:paraId="117B52D4" w14:textId="77777777" w:rsidR="00D46C89" w:rsidRPr="00522BC9" w:rsidRDefault="00D46C89" w:rsidP="003D699E">
      <w:pPr>
        <w:pStyle w:val="Heading10"/>
        <w:jc w:val="center"/>
        <w:rPr>
          <w:sz w:val="72"/>
          <w:szCs w:val="72"/>
        </w:rPr>
      </w:pPr>
      <w:r w:rsidRPr="00522BC9">
        <w:rPr>
          <w:sz w:val="72"/>
          <w:szCs w:val="72"/>
        </w:rPr>
        <w:t>PICO Confirmation</w:t>
      </w:r>
    </w:p>
    <w:p w14:paraId="43253CA6" w14:textId="388828FC" w:rsidR="003D699E" w:rsidRPr="00522BC9" w:rsidRDefault="003D699E" w:rsidP="00382875">
      <w:pPr>
        <w:spacing w:before="180"/>
        <w:jc w:val="center"/>
        <w:rPr>
          <w:rFonts w:ascii="Arial" w:hAnsi="Arial" w:cs="Arial"/>
          <w:b/>
          <w:sz w:val="32"/>
          <w:szCs w:val="32"/>
        </w:rPr>
      </w:pPr>
      <w:r w:rsidRPr="00522BC9">
        <w:rPr>
          <w:rFonts w:ascii="Arial" w:hAnsi="Arial" w:cs="Arial"/>
          <w:b/>
          <w:sz w:val="32"/>
          <w:szCs w:val="32"/>
        </w:rPr>
        <w:t>(</w:t>
      </w:r>
      <w:r w:rsidR="005A4651">
        <w:rPr>
          <w:rFonts w:ascii="Arial" w:hAnsi="Arial" w:cs="Arial"/>
          <w:b/>
          <w:sz w:val="32"/>
          <w:szCs w:val="32"/>
        </w:rPr>
        <w:t>T</w:t>
      </w:r>
      <w:r w:rsidR="00382875" w:rsidRPr="00522BC9">
        <w:rPr>
          <w:rFonts w:ascii="Arial" w:hAnsi="Arial" w:cs="Arial"/>
          <w:b/>
          <w:sz w:val="32"/>
          <w:szCs w:val="32"/>
        </w:rPr>
        <w:t>o guide a new application to MSAC</w:t>
      </w:r>
      <w:r w:rsidRPr="00522BC9">
        <w:rPr>
          <w:rFonts w:ascii="Arial" w:hAnsi="Arial" w:cs="Arial"/>
          <w:b/>
          <w:sz w:val="32"/>
          <w:szCs w:val="32"/>
        </w:rPr>
        <w:t>)</w:t>
      </w:r>
    </w:p>
    <w:p w14:paraId="06948E8A" w14:textId="77777777" w:rsidR="00EE7A1F" w:rsidRPr="00522BC9" w:rsidRDefault="00EE7A1F" w:rsidP="00EE7A1F">
      <w:pPr>
        <w:spacing w:before="180"/>
        <w:jc w:val="center"/>
        <w:rPr>
          <w:rFonts w:ascii="Arial" w:hAnsi="Arial" w:cs="Arial"/>
          <w:b/>
          <w:sz w:val="32"/>
          <w:szCs w:val="32"/>
        </w:rPr>
      </w:pPr>
      <w:r w:rsidRPr="00522BC9">
        <w:rPr>
          <w:rFonts w:ascii="Arial" w:hAnsi="Arial" w:cs="Arial"/>
          <w:b/>
          <w:sz w:val="32"/>
          <w:szCs w:val="32"/>
        </w:rPr>
        <w:t xml:space="preserve">(Version </w:t>
      </w:r>
      <w:r w:rsidR="005C7B58" w:rsidRPr="00522BC9">
        <w:rPr>
          <w:rFonts w:ascii="Arial" w:hAnsi="Arial" w:cs="Arial"/>
          <w:b/>
          <w:sz w:val="32"/>
          <w:szCs w:val="32"/>
        </w:rPr>
        <w:t>1</w:t>
      </w:r>
      <w:r w:rsidRPr="00522BC9">
        <w:rPr>
          <w:rFonts w:ascii="Arial" w:hAnsi="Arial" w:cs="Arial"/>
          <w:b/>
          <w:sz w:val="32"/>
          <w:szCs w:val="32"/>
        </w:rPr>
        <w:t>.</w:t>
      </w:r>
      <w:r w:rsidR="005C7B58" w:rsidRPr="00522BC9">
        <w:rPr>
          <w:rFonts w:ascii="Arial" w:hAnsi="Arial" w:cs="Arial"/>
          <w:b/>
          <w:sz w:val="32"/>
          <w:szCs w:val="32"/>
        </w:rPr>
        <w:t>0</w:t>
      </w:r>
      <w:r w:rsidRPr="00522BC9">
        <w:rPr>
          <w:rFonts w:ascii="Arial" w:hAnsi="Arial" w:cs="Arial"/>
          <w:b/>
          <w:sz w:val="32"/>
          <w:szCs w:val="32"/>
        </w:rPr>
        <w:t>)</w:t>
      </w:r>
    </w:p>
    <w:p w14:paraId="0C2CFCA2" w14:textId="77777777" w:rsidR="00EE7A1F" w:rsidRPr="00522BC9" w:rsidRDefault="00EE7A1F" w:rsidP="00382875">
      <w:pPr>
        <w:spacing w:before="180"/>
        <w:jc w:val="center"/>
        <w:rPr>
          <w:rFonts w:ascii="Arial" w:hAnsi="Arial" w:cs="Arial"/>
          <w:b/>
          <w:sz w:val="32"/>
          <w:szCs w:val="32"/>
        </w:rPr>
      </w:pPr>
    </w:p>
    <w:p w14:paraId="05B0B6D6" w14:textId="5A990FE1" w:rsidR="007E7E23" w:rsidRPr="00522BC9" w:rsidRDefault="007E7E23" w:rsidP="00032FA4">
      <w:pPr>
        <w:spacing w:after="0"/>
        <w:jc w:val="both"/>
        <w:rPr>
          <w:sz w:val="20"/>
          <w:szCs w:val="20"/>
        </w:rPr>
      </w:pPr>
      <w:r w:rsidRPr="00522BC9">
        <w:rPr>
          <w:sz w:val="20"/>
          <w:szCs w:val="20"/>
        </w:rPr>
        <w:br w:type="page"/>
      </w:r>
    </w:p>
    <w:p w14:paraId="4BD1C9F3" w14:textId="03D556ED" w:rsidR="00F12E59" w:rsidRPr="00522BC9" w:rsidRDefault="0044715D" w:rsidP="0044715D">
      <w:pPr>
        <w:pStyle w:val="Heading2"/>
        <w:spacing w:line="240" w:lineRule="auto"/>
        <w:jc w:val="both"/>
        <w:rPr>
          <w:b w:val="0"/>
          <w:i w:val="0"/>
          <w:u w:val="none"/>
        </w:rPr>
      </w:pPr>
      <w:r w:rsidRPr="00C0789F">
        <w:rPr>
          <w:i w:val="0"/>
          <w:color w:val="548DD4"/>
          <w:u w:val="none"/>
        </w:rPr>
        <w:lastRenderedPageBreak/>
        <w:t>Summary of PICO</w:t>
      </w:r>
      <w:r w:rsidR="00A84A56" w:rsidRPr="00C0789F">
        <w:rPr>
          <w:i w:val="0"/>
          <w:color w:val="548DD4"/>
          <w:u w:val="none"/>
        </w:rPr>
        <w:t>/PPICO</w:t>
      </w:r>
      <w:r w:rsidRPr="00C0789F">
        <w:rPr>
          <w:i w:val="0"/>
          <w:color w:val="548DD4"/>
          <w:u w:val="none"/>
        </w:rPr>
        <w:t xml:space="preserve"> criteria</w:t>
      </w:r>
      <w:bookmarkEnd w:id="0"/>
      <w:bookmarkEnd w:id="1"/>
      <w:r w:rsidR="00F12E59" w:rsidRPr="00C0789F">
        <w:rPr>
          <w:i w:val="0"/>
          <w:color w:val="548DD4"/>
          <w:u w:val="none"/>
        </w:rPr>
        <w:t xml:space="preserve"> to define the question(s) to be addressed in an Assessment Report to the Medical Services Advisory Committee (MSAC)</w:t>
      </w:r>
    </w:p>
    <w:tbl>
      <w:tblPr>
        <w:tblW w:w="512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384"/>
        <w:gridCol w:w="8080"/>
      </w:tblGrid>
      <w:tr w:rsidR="0044715D" w:rsidRPr="00C0789F" w14:paraId="4A90E8C2" w14:textId="77777777" w:rsidTr="0012329C">
        <w:trPr>
          <w:tblHeader/>
        </w:trPr>
        <w:tc>
          <w:tcPr>
            <w:tcW w:w="731" w:type="pct"/>
            <w:tcBorders>
              <w:top w:val="single" w:sz="4" w:space="0" w:color="auto"/>
              <w:left w:val="single" w:sz="4" w:space="0" w:color="auto"/>
              <w:bottom w:val="single" w:sz="4" w:space="0" w:color="auto"/>
              <w:right w:val="single" w:sz="4" w:space="0" w:color="auto"/>
            </w:tcBorders>
            <w:shd w:val="clear" w:color="auto" w:fill="D9D9D9"/>
          </w:tcPr>
          <w:p w14:paraId="4A3D576E" w14:textId="77777777" w:rsidR="0044715D" w:rsidRPr="00522BC9" w:rsidRDefault="00A84A56" w:rsidP="00F12E59">
            <w:pPr>
              <w:spacing w:before="20" w:after="20" w:line="240" w:lineRule="auto"/>
              <w:rPr>
                <w:b/>
              </w:rPr>
            </w:pPr>
            <w:r w:rsidRPr="00522BC9">
              <w:rPr>
                <w:b/>
              </w:rPr>
              <w:t>Component</w:t>
            </w:r>
          </w:p>
        </w:tc>
        <w:tc>
          <w:tcPr>
            <w:tcW w:w="4269" w:type="pct"/>
            <w:tcBorders>
              <w:top w:val="single" w:sz="4" w:space="0" w:color="auto"/>
              <w:left w:val="single" w:sz="4" w:space="0" w:color="auto"/>
              <w:bottom w:val="single" w:sz="4" w:space="0" w:color="auto"/>
              <w:right w:val="single" w:sz="4" w:space="0" w:color="auto"/>
            </w:tcBorders>
            <w:shd w:val="clear" w:color="auto" w:fill="D9D9D9"/>
          </w:tcPr>
          <w:p w14:paraId="2E4FE856" w14:textId="77777777" w:rsidR="0044715D" w:rsidRPr="00C0789F" w:rsidRDefault="0044715D" w:rsidP="00805592">
            <w:pPr>
              <w:spacing w:before="20" w:after="20" w:line="240" w:lineRule="auto"/>
              <w:jc w:val="both"/>
              <w:rPr>
                <w:b/>
              </w:rPr>
            </w:pPr>
            <w:r w:rsidRPr="00C0789F">
              <w:rPr>
                <w:b/>
              </w:rPr>
              <w:t>Description</w:t>
            </w:r>
          </w:p>
        </w:tc>
      </w:tr>
      <w:tr w:rsidR="0044715D" w:rsidRPr="00C0789F" w14:paraId="649B505D" w14:textId="77777777" w:rsidTr="0012329C">
        <w:tc>
          <w:tcPr>
            <w:tcW w:w="731" w:type="pct"/>
            <w:tcBorders>
              <w:top w:val="single" w:sz="4" w:space="0" w:color="auto"/>
              <w:left w:val="single" w:sz="4" w:space="0" w:color="auto"/>
              <w:bottom w:val="single" w:sz="4" w:space="0" w:color="auto"/>
              <w:right w:val="single" w:sz="4" w:space="0" w:color="auto"/>
            </w:tcBorders>
          </w:tcPr>
          <w:p w14:paraId="343E3930" w14:textId="77777777" w:rsidR="0044715D" w:rsidRPr="00C0789F" w:rsidRDefault="0044715D" w:rsidP="00F12E59">
            <w:pPr>
              <w:spacing w:before="20" w:after="20" w:line="240" w:lineRule="auto"/>
              <w:rPr>
                <w:rFonts w:cs="Arial"/>
              </w:rPr>
            </w:pPr>
            <w:r w:rsidRPr="00C0789F">
              <w:rPr>
                <w:rFonts w:cs="Arial"/>
              </w:rPr>
              <w:t>Patients</w:t>
            </w:r>
          </w:p>
        </w:tc>
        <w:tc>
          <w:tcPr>
            <w:tcW w:w="4269" w:type="pct"/>
            <w:tcBorders>
              <w:top w:val="single" w:sz="4" w:space="0" w:color="auto"/>
              <w:left w:val="single" w:sz="4" w:space="0" w:color="auto"/>
              <w:bottom w:val="single" w:sz="4" w:space="0" w:color="auto"/>
              <w:right w:val="single" w:sz="4" w:space="0" w:color="auto"/>
            </w:tcBorders>
          </w:tcPr>
          <w:p w14:paraId="5224B0B1" w14:textId="72B4827C" w:rsidR="00B2000C" w:rsidRPr="00C0789F" w:rsidRDefault="00E71F3C" w:rsidP="00E71F3C">
            <w:r w:rsidRPr="00C0789F">
              <w:rPr>
                <w:b/>
              </w:rPr>
              <w:t>Test and Drug</w:t>
            </w:r>
            <w:r w:rsidR="00B018A0" w:rsidRPr="00C0789F">
              <w:rPr>
                <w:b/>
              </w:rPr>
              <w:t>:</w:t>
            </w:r>
            <w:r w:rsidR="00B018A0" w:rsidRPr="00C0789F">
              <w:t xml:space="preserve"> </w:t>
            </w:r>
            <w:r w:rsidR="0059669E" w:rsidRPr="00C0789F">
              <w:t xml:space="preserve">Patients with unresectable </w:t>
            </w:r>
            <w:r w:rsidR="00727C4B" w:rsidRPr="00C0789F">
              <w:t>s</w:t>
            </w:r>
            <w:r w:rsidR="0059669E" w:rsidRPr="00C0789F">
              <w:t xml:space="preserve">tage IV urothelial cancer, previously untreated for Stage IV disease </w:t>
            </w:r>
          </w:p>
        </w:tc>
      </w:tr>
      <w:tr w:rsidR="00A44AB6" w:rsidRPr="00C0789F" w14:paraId="4AC1BE32" w14:textId="77777777" w:rsidTr="0012329C">
        <w:tc>
          <w:tcPr>
            <w:tcW w:w="731" w:type="pct"/>
            <w:tcBorders>
              <w:top w:val="single" w:sz="4" w:space="0" w:color="auto"/>
              <w:left w:val="single" w:sz="4" w:space="0" w:color="auto"/>
              <w:right w:val="single" w:sz="4" w:space="0" w:color="auto"/>
            </w:tcBorders>
          </w:tcPr>
          <w:p w14:paraId="47A04AD0" w14:textId="4CA34F21" w:rsidR="00A44AB6" w:rsidRPr="00C0789F" w:rsidRDefault="00A44AB6" w:rsidP="0012329C">
            <w:pPr>
              <w:spacing w:before="20" w:after="20" w:line="240" w:lineRule="auto"/>
              <w:rPr>
                <w:rFonts w:cs="Arial"/>
              </w:rPr>
            </w:pPr>
            <w:r w:rsidRPr="00C0789F">
              <w:rPr>
                <w:rFonts w:cs="Arial"/>
              </w:rPr>
              <w:t>Prior tests</w:t>
            </w:r>
          </w:p>
        </w:tc>
        <w:tc>
          <w:tcPr>
            <w:tcW w:w="4269" w:type="pct"/>
            <w:tcBorders>
              <w:top w:val="single" w:sz="4" w:space="0" w:color="auto"/>
              <w:left w:val="single" w:sz="4" w:space="0" w:color="auto"/>
              <w:bottom w:val="single" w:sz="4" w:space="0" w:color="auto"/>
              <w:right w:val="single" w:sz="4" w:space="0" w:color="auto"/>
            </w:tcBorders>
          </w:tcPr>
          <w:p w14:paraId="6B62DCE9" w14:textId="7A8E4061" w:rsidR="00B2000C" w:rsidRPr="00C0789F" w:rsidRDefault="00B2000C" w:rsidP="00660582">
            <w:r w:rsidRPr="00C0789F">
              <w:rPr>
                <w:rFonts w:cs="Arial"/>
              </w:rPr>
              <w:t xml:space="preserve">Routine </w:t>
            </w:r>
            <w:r w:rsidR="00660582" w:rsidRPr="00C0789F">
              <w:rPr>
                <w:rFonts w:cs="Arial"/>
              </w:rPr>
              <w:t>imaging</w:t>
            </w:r>
            <w:r w:rsidRPr="00C0789F">
              <w:rPr>
                <w:rFonts w:cs="Arial"/>
              </w:rPr>
              <w:t>, cytology</w:t>
            </w:r>
            <w:r w:rsidR="00660582" w:rsidRPr="00C0789F">
              <w:rPr>
                <w:rFonts w:cs="Arial"/>
              </w:rPr>
              <w:t>, cystoscopy</w:t>
            </w:r>
            <w:r w:rsidRPr="00C0789F">
              <w:rPr>
                <w:rFonts w:cs="Arial"/>
              </w:rPr>
              <w:t xml:space="preserve"> and </w:t>
            </w:r>
            <w:r w:rsidR="00660582" w:rsidRPr="00C0789F">
              <w:rPr>
                <w:rFonts w:cs="Arial"/>
              </w:rPr>
              <w:t>histology work-up</w:t>
            </w:r>
            <w:r w:rsidRPr="00C0789F">
              <w:rPr>
                <w:rFonts w:cs="Arial"/>
              </w:rPr>
              <w:t xml:space="preserve"> to confirm diagnosis of </w:t>
            </w:r>
            <w:r w:rsidRPr="00C0789F">
              <w:t xml:space="preserve">unresectable Stage IV urothelial cancer.  </w:t>
            </w:r>
          </w:p>
        </w:tc>
      </w:tr>
      <w:tr w:rsidR="00A44AB6" w:rsidRPr="00C0789F" w14:paraId="4789DCF0" w14:textId="77777777" w:rsidTr="0012329C">
        <w:tc>
          <w:tcPr>
            <w:tcW w:w="731" w:type="pct"/>
            <w:tcBorders>
              <w:left w:val="single" w:sz="4" w:space="0" w:color="auto"/>
              <w:right w:val="single" w:sz="4" w:space="0" w:color="auto"/>
            </w:tcBorders>
          </w:tcPr>
          <w:p w14:paraId="05AA5F35" w14:textId="77777777" w:rsidR="00A44AB6" w:rsidRPr="00C0789F" w:rsidRDefault="00A44AB6" w:rsidP="00411899">
            <w:pPr>
              <w:spacing w:before="20" w:after="20" w:line="240" w:lineRule="auto"/>
              <w:rPr>
                <w:rFonts w:cs="Arial"/>
              </w:rPr>
            </w:pPr>
            <w:r w:rsidRPr="00C0789F">
              <w:rPr>
                <w:rFonts w:cs="Arial"/>
              </w:rPr>
              <w:t>Intervention</w:t>
            </w:r>
          </w:p>
        </w:tc>
        <w:tc>
          <w:tcPr>
            <w:tcW w:w="4269" w:type="pct"/>
            <w:tcBorders>
              <w:top w:val="single" w:sz="4" w:space="0" w:color="auto"/>
              <w:left w:val="single" w:sz="4" w:space="0" w:color="auto"/>
              <w:bottom w:val="single" w:sz="4" w:space="0" w:color="auto"/>
              <w:right w:val="single" w:sz="4" w:space="0" w:color="auto"/>
            </w:tcBorders>
          </w:tcPr>
          <w:p w14:paraId="74131BF7" w14:textId="3E48CD1D" w:rsidR="00A44AB6" w:rsidRPr="00C0789F" w:rsidRDefault="00B018A0" w:rsidP="00411899">
            <w:r w:rsidRPr="00C0789F">
              <w:rPr>
                <w:b/>
              </w:rPr>
              <w:t>Test:</w:t>
            </w:r>
            <w:r w:rsidRPr="00C0789F">
              <w:t xml:space="preserve">  </w:t>
            </w:r>
            <w:r w:rsidR="00A44AB6" w:rsidRPr="00C0789F">
              <w:t>Imm</w:t>
            </w:r>
            <w:r w:rsidR="00AC7CC9" w:rsidRPr="00C0789F">
              <w:t>unohistochemistry (IHC)</w:t>
            </w:r>
            <w:r w:rsidR="00A44AB6" w:rsidRPr="00C0789F">
              <w:t xml:space="preserve"> </w:t>
            </w:r>
            <w:r w:rsidR="009F18B3" w:rsidRPr="00C0789F">
              <w:t>assay</w:t>
            </w:r>
            <w:r w:rsidR="00A44AB6" w:rsidRPr="00C0789F">
              <w:t xml:space="preserve"> </w:t>
            </w:r>
            <w:r w:rsidR="001E7166" w:rsidRPr="00C0789F">
              <w:t xml:space="preserve">to </w:t>
            </w:r>
            <w:r w:rsidR="00AC7CC9" w:rsidRPr="00C0789F">
              <w:t>determine</w:t>
            </w:r>
            <w:r w:rsidR="00990F52" w:rsidRPr="00C0789F">
              <w:t xml:space="preserve"> </w:t>
            </w:r>
            <w:r w:rsidR="001E7166" w:rsidRPr="00C0789F">
              <w:t>high PD-L1 expression</w:t>
            </w:r>
            <w:r w:rsidR="00990F52" w:rsidRPr="00C0789F">
              <w:t xml:space="preserve"> versus low PD-L1 expression</w:t>
            </w:r>
            <w:r w:rsidR="00AC7CC9" w:rsidRPr="00C0789F">
              <w:t xml:space="preserve"> in tumour tissue</w:t>
            </w:r>
            <w:r w:rsidR="00A44AB6" w:rsidRPr="00C0789F">
              <w:t xml:space="preserve">. </w:t>
            </w:r>
          </w:p>
          <w:p w14:paraId="17371453" w14:textId="668A8F56" w:rsidR="00B018A0" w:rsidRPr="00C0789F" w:rsidRDefault="00B018A0" w:rsidP="00E71F3C">
            <w:pPr>
              <w:spacing w:after="0"/>
            </w:pPr>
            <w:r w:rsidRPr="00C0789F">
              <w:rPr>
                <w:b/>
              </w:rPr>
              <w:t>Drug(s)</w:t>
            </w:r>
            <w:r w:rsidRPr="00C0789F">
              <w:t>:</w:t>
            </w:r>
          </w:p>
          <w:p w14:paraId="6CA9B626" w14:textId="1429671C" w:rsidR="00B018A0" w:rsidRPr="00C0789F" w:rsidRDefault="00B018A0" w:rsidP="00B018A0">
            <w:pPr>
              <w:pStyle w:val="ListParagraph"/>
              <w:numPr>
                <w:ilvl w:val="0"/>
                <w:numId w:val="22"/>
              </w:numPr>
            </w:pPr>
            <w:proofErr w:type="spellStart"/>
            <w:r w:rsidRPr="00C0789F">
              <w:t>D</w:t>
            </w:r>
            <w:r w:rsidR="00990F52" w:rsidRPr="00C0789F">
              <w:t>urvalum</w:t>
            </w:r>
            <w:r w:rsidR="00AC7CC9" w:rsidRPr="00C0789F">
              <w:t>a</w:t>
            </w:r>
            <w:r w:rsidR="00990F52" w:rsidRPr="00C0789F">
              <w:t>b</w:t>
            </w:r>
            <w:proofErr w:type="spellEnd"/>
            <w:r w:rsidR="00990F52" w:rsidRPr="00C0789F">
              <w:t xml:space="preserve"> monotherapy</w:t>
            </w:r>
            <w:r w:rsidR="00AC7CC9" w:rsidRPr="00C0789F">
              <w:t xml:space="preserve"> </w:t>
            </w:r>
            <w:r w:rsidR="00285955" w:rsidRPr="00C0789F">
              <w:t xml:space="preserve">(high PD-L1 patients) </w:t>
            </w:r>
            <w:r w:rsidR="00AC7CC9" w:rsidRPr="00C0789F">
              <w:t>or</w:t>
            </w:r>
            <w:r w:rsidRPr="00C0789F">
              <w:t>;</w:t>
            </w:r>
          </w:p>
          <w:p w14:paraId="573BEA63" w14:textId="7E174DD0" w:rsidR="00A44AB6" w:rsidRPr="00C0789F" w:rsidRDefault="00B018A0" w:rsidP="00B018A0">
            <w:pPr>
              <w:pStyle w:val="ListParagraph"/>
              <w:numPr>
                <w:ilvl w:val="0"/>
                <w:numId w:val="22"/>
              </w:numPr>
            </w:pPr>
            <w:proofErr w:type="spellStart"/>
            <w:r w:rsidRPr="00C0789F">
              <w:t>D</w:t>
            </w:r>
            <w:r w:rsidR="00990F52" w:rsidRPr="00C0789F">
              <w:t>urvalumab</w:t>
            </w:r>
            <w:proofErr w:type="spellEnd"/>
            <w:r w:rsidR="00990F52" w:rsidRPr="00C0789F">
              <w:t xml:space="preserve"> +</w:t>
            </w:r>
            <w:r w:rsidR="00A44AB6" w:rsidRPr="00C0789F">
              <w:t xml:space="preserve"> </w:t>
            </w:r>
            <w:proofErr w:type="spellStart"/>
            <w:r w:rsidR="00A44AB6" w:rsidRPr="00C0789F">
              <w:t>t</w:t>
            </w:r>
            <w:r w:rsidR="00990F52" w:rsidRPr="00C0789F">
              <w:t>remelimumab</w:t>
            </w:r>
            <w:proofErr w:type="spellEnd"/>
            <w:r w:rsidR="00990F52" w:rsidRPr="00C0789F">
              <w:t xml:space="preserve"> combination</w:t>
            </w:r>
            <w:r w:rsidR="00AC7CC9" w:rsidRPr="00C0789F">
              <w:t xml:space="preserve"> therapy</w:t>
            </w:r>
            <w:r w:rsidR="00285955" w:rsidRPr="00C0789F">
              <w:t xml:space="preserve"> (</w:t>
            </w:r>
            <w:r w:rsidRPr="00C0789F">
              <w:t>low/</w:t>
            </w:r>
            <w:r w:rsidR="00285955" w:rsidRPr="00C0789F">
              <w:t>no PD-L1 patients)</w:t>
            </w:r>
            <w:r w:rsidR="00A44AB6" w:rsidRPr="00C0789F">
              <w:t xml:space="preserve">. </w:t>
            </w:r>
          </w:p>
          <w:p w14:paraId="0BF251CE" w14:textId="1444F7D3" w:rsidR="00B018A0" w:rsidRPr="00C0789F" w:rsidRDefault="00B018A0" w:rsidP="00B018A0">
            <w:pPr>
              <w:spacing w:after="0"/>
              <w:rPr>
                <w:b/>
              </w:rPr>
            </w:pPr>
            <w:r w:rsidRPr="00C0789F">
              <w:rPr>
                <w:b/>
              </w:rPr>
              <w:t>Co-dependence</w:t>
            </w:r>
            <w:r w:rsidR="00E71F3C" w:rsidRPr="00C0789F">
              <w:rPr>
                <w:b/>
              </w:rPr>
              <w:t xml:space="preserve">: </w:t>
            </w:r>
            <w:r w:rsidRPr="00C0789F">
              <w:t xml:space="preserve">Access to </w:t>
            </w:r>
            <w:proofErr w:type="spellStart"/>
            <w:r w:rsidRPr="00C0789F">
              <w:t>durvalumab</w:t>
            </w:r>
            <w:proofErr w:type="spellEnd"/>
            <w:r w:rsidRPr="00C0789F">
              <w:t xml:space="preserve"> or </w:t>
            </w:r>
            <w:proofErr w:type="spellStart"/>
            <w:r w:rsidRPr="00C0789F">
              <w:t>durvalumab</w:t>
            </w:r>
            <w:proofErr w:type="spellEnd"/>
            <w:r w:rsidRPr="00C0789F">
              <w:t xml:space="preserve"> + </w:t>
            </w:r>
            <w:proofErr w:type="spellStart"/>
            <w:r w:rsidRPr="00C0789F">
              <w:t>tremelimumab</w:t>
            </w:r>
            <w:proofErr w:type="spellEnd"/>
            <w:r w:rsidRPr="00C0789F">
              <w:t xml:space="preserve"> in patients who fulfil the PBS requirements </w:t>
            </w:r>
            <w:r w:rsidR="00F106F7" w:rsidRPr="00C0789F">
              <w:t>for</w:t>
            </w:r>
            <w:r w:rsidRPr="00C0789F">
              <w:t xml:space="preserve"> PD-L1 status, determined by PD-L1 IHC testing.  </w:t>
            </w:r>
          </w:p>
          <w:p w14:paraId="1C24B6EA" w14:textId="51D2FCCB" w:rsidR="00660582" w:rsidRPr="00C0789F" w:rsidRDefault="00B018A0" w:rsidP="00F106F7">
            <w:r w:rsidRPr="00C0789F">
              <w:rPr>
                <w:b/>
              </w:rPr>
              <w:t>Supplementary comparison</w:t>
            </w:r>
            <w:r w:rsidRPr="00C0789F">
              <w:t xml:space="preserve">: PD-L1 testing + </w:t>
            </w:r>
            <w:proofErr w:type="spellStart"/>
            <w:r w:rsidRPr="00C0789F">
              <w:t>durvalumab</w:t>
            </w:r>
            <w:proofErr w:type="spellEnd"/>
            <w:r w:rsidRPr="00C0789F">
              <w:t xml:space="preserve"> in those with high </w:t>
            </w:r>
            <w:r w:rsidR="00F106F7" w:rsidRPr="00C0789F">
              <w:t>PD-L1</w:t>
            </w:r>
            <w:r w:rsidRPr="00C0789F">
              <w:t>.</w:t>
            </w:r>
          </w:p>
        </w:tc>
      </w:tr>
      <w:tr w:rsidR="00366030" w:rsidRPr="00C0789F" w14:paraId="4507D8A0" w14:textId="77777777" w:rsidTr="0012329C">
        <w:tc>
          <w:tcPr>
            <w:tcW w:w="731" w:type="pct"/>
            <w:tcBorders>
              <w:left w:val="single" w:sz="4" w:space="0" w:color="auto"/>
              <w:right w:val="single" w:sz="4" w:space="0" w:color="auto"/>
            </w:tcBorders>
          </w:tcPr>
          <w:p w14:paraId="0EEDCA4B" w14:textId="45BDBCD3" w:rsidR="00366030" w:rsidRPr="00C0789F" w:rsidRDefault="00366030" w:rsidP="00366030">
            <w:pPr>
              <w:spacing w:before="20" w:after="20" w:line="240" w:lineRule="auto"/>
              <w:rPr>
                <w:rFonts w:cs="Arial"/>
              </w:rPr>
            </w:pPr>
            <w:r w:rsidRPr="00C0789F">
              <w:rPr>
                <w:rFonts w:cs="Arial"/>
              </w:rPr>
              <w:t>Comparator</w:t>
            </w:r>
          </w:p>
        </w:tc>
        <w:tc>
          <w:tcPr>
            <w:tcW w:w="4269" w:type="pct"/>
            <w:tcBorders>
              <w:top w:val="single" w:sz="4" w:space="0" w:color="auto"/>
              <w:left w:val="single" w:sz="4" w:space="0" w:color="auto"/>
              <w:bottom w:val="single" w:sz="4" w:space="0" w:color="auto"/>
              <w:right w:val="single" w:sz="4" w:space="0" w:color="auto"/>
            </w:tcBorders>
          </w:tcPr>
          <w:p w14:paraId="3E035744" w14:textId="77777777" w:rsidR="00BB74C3" w:rsidRPr="00C0789F" w:rsidRDefault="00BB74C3" w:rsidP="00366030">
            <w:pPr>
              <w:rPr>
                <w:rFonts w:cs="Arial"/>
              </w:rPr>
            </w:pPr>
            <w:r w:rsidRPr="00C0789F">
              <w:rPr>
                <w:rFonts w:cs="Arial"/>
                <w:b/>
              </w:rPr>
              <w:t xml:space="preserve">Test: </w:t>
            </w:r>
            <w:r w:rsidR="00660582" w:rsidRPr="00C0789F">
              <w:rPr>
                <w:rFonts w:cs="Arial"/>
              </w:rPr>
              <w:t>No PD-L1 testing</w:t>
            </w:r>
          </w:p>
          <w:p w14:paraId="53765053" w14:textId="0701F68F" w:rsidR="00366030" w:rsidRPr="00C0789F" w:rsidRDefault="00BB74C3" w:rsidP="00366030">
            <w:r w:rsidRPr="00C0789F">
              <w:rPr>
                <w:rFonts w:cs="Arial"/>
                <w:b/>
              </w:rPr>
              <w:t xml:space="preserve">Drug(s): </w:t>
            </w:r>
            <w:r w:rsidR="00660582" w:rsidRPr="00C0789F">
              <w:rPr>
                <w:rFonts w:cs="Arial"/>
              </w:rPr>
              <w:t xml:space="preserve">standard of care, which is </w:t>
            </w:r>
            <w:r w:rsidR="00AC7CC9" w:rsidRPr="00C0789F">
              <w:rPr>
                <w:rFonts w:cs="Arial"/>
              </w:rPr>
              <w:t>platinum-based chemotherapy</w:t>
            </w:r>
            <w:r w:rsidR="00660582" w:rsidRPr="00C0789F">
              <w:rPr>
                <w:rFonts w:cs="Arial"/>
              </w:rPr>
              <w:t xml:space="preserve"> (</w:t>
            </w:r>
            <w:proofErr w:type="gramStart"/>
            <w:r w:rsidR="00660582" w:rsidRPr="00C0789F">
              <w:rPr>
                <w:rFonts w:cs="Arial"/>
              </w:rPr>
              <w:t>either cisplatin</w:t>
            </w:r>
            <w:proofErr w:type="gramEnd"/>
            <w:r w:rsidR="00660582" w:rsidRPr="00C0789F">
              <w:rPr>
                <w:rFonts w:cs="Arial"/>
              </w:rPr>
              <w:t xml:space="preserve"> + gemcitabine or carboplatin + gemcitabine depending on suitability </w:t>
            </w:r>
            <w:r w:rsidR="00F106F7" w:rsidRPr="00C0789F">
              <w:rPr>
                <w:rFonts w:cs="Arial"/>
              </w:rPr>
              <w:t xml:space="preserve">for </w:t>
            </w:r>
            <w:r w:rsidR="00660582" w:rsidRPr="00C0789F">
              <w:rPr>
                <w:rFonts w:cs="Arial"/>
              </w:rPr>
              <w:t>cisplatin)</w:t>
            </w:r>
            <w:r w:rsidR="00814ECA" w:rsidRPr="00C0789F">
              <w:rPr>
                <w:rFonts w:cs="Arial"/>
              </w:rPr>
              <w:t>.</w:t>
            </w:r>
          </w:p>
          <w:p w14:paraId="7CF45904" w14:textId="206FC3A3" w:rsidR="00F5742D" w:rsidRPr="00C0789F" w:rsidRDefault="00CA529E" w:rsidP="0012329C">
            <w:r>
              <w:rPr>
                <w:b/>
              </w:rPr>
              <w:t>Near</w:t>
            </w:r>
            <w:r w:rsidRPr="00C0789F">
              <w:rPr>
                <w:b/>
              </w:rPr>
              <w:t xml:space="preserve"> </w:t>
            </w:r>
            <w:r w:rsidR="00685060" w:rsidRPr="00C0789F">
              <w:rPr>
                <w:b/>
              </w:rPr>
              <w:t>comparator</w:t>
            </w:r>
            <w:r w:rsidR="00685060" w:rsidRPr="00C0789F">
              <w:t>: PD-L1 testing + pembrolizumab</w:t>
            </w:r>
            <w:r w:rsidR="00AC7CC9" w:rsidRPr="00C0789F">
              <w:t xml:space="preserve"> </w:t>
            </w:r>
            <w:r w:rsidR="00660582" w:rsidRPr="00C0789F">
              <w:t xml:space="preserve">in high PD-L1 </w:t>
            </w:r>
            <w:r w:rsidR="0012329C" w:rsidRPr="00C0789F">
              <w:t>patients</w:t>
            </w:r>
            <w:r w:rsidR="00AC7CC9" w:rsidRPr="00C0789F">
              <w:t>.</w:t>
            </w:r>
          </w:p>
        </w:tc>
      </w:tr>
      <w:tr w:rsidR="00A44AB6" w:rsidRPr="00C0789F" w14:paraId="1873CA56" w14:textId="77777777" w:rsidTr="0012329C">
        <w:tc>
          <w:tcPr>
            <w:tcW w:w="731" w:type="pct"/>
            <w:tcBorders>
              <w:left w:val="single" w:sz="4" w:space="0" w:color="auto"/>
              <w:bottom w:val="single" w:sz="4" w:space="0" w:color="auto"/>
              <w:right w:val="single" w:sz="4" w:space="0" w:color="auto"/>
            </w:tcBorders>
          </w:tcPr>
          <w:p w14:paraId="590E5ACC" w14:textId="77777777" w:rsidR="00A44AB6" w:rsidRPr="00C0789F" w:rsidRDefault="00A44AB6" w:rsidP="00F12E59">
            <w:pPr>
              <w:spacing w:before="20" w:after="20" w:line="240" w:lineRule="auto"/>
              <w:rPr>
                <w:rFonts w:cs="Arial"/>
              </w:rPr>
            </w:pPr>
            <w:r w:rsidRPr="00C0789F">
              <w:rPr>
                <w:rFonts w:cs="Arial"/>
              </w:rPr>
              <w:t>Outcomes</w:t>
            </w:r>
          </w:p>
        </w:tc>
        <w:tc>
          <w:tcPr>
            <w:tcW w:w="4269" w:type="pct"/>
            <w:tcBorders>
              <w:top w:val="single" w:sz="4" w:space="0" w:color="auto"/>
              <w:left w:val="single" w:sz="4" w:space="0" w:color="auto"/>
              <w:bottom w:val="single" w:sz="4" w:space="0" w:color="auto"/>
              <w:right w:val="single" w:sz="4" w:space="0" w:color="auto"/>
            </w:tcBorders>
          </w:tcPr>
          <w:p w14:paraId="707C0988" w14:textId="6272A843" w:rsidR="00E71F3C" w:rsidRPr="00C0789F" w:rsidRDefault="00E71F3C" w:rsidP="00E71F3C">
            <w:pPr>
              <w:spacing w:after="0"/>
            </w:pPr>
            <w:r w:rsidRPr="00C0789F">
              <w:t>TEST OUTCOMES</w:t>
            </w:r>
            <w:r w:rsidR="00F106F7" w:rsidRPr="00C0789F">
              <w:t xml:space="preserve"> –</w:t>
            </w:r>
            <w:r w:rsidR="0012329C" w:rsidRPr="00C0789F">
              <w:t xml:space="preserve"> in brief (see Outcomes section for details)</w:t>
            </w:r>
          </w:p>
          <w:p w14:paraId="6186A3E9" w14:textId="77777777" w:rsidR="00E71F3C" w:rsidRPr="00C0789F" w:rsidRDefault="00E71F3C" w:rsidP="00E71F3C">
            <w:pPr>
              <w:spacing w:after="0"/>
            </w:pPr>
            <w:r w:rsidRPr="00C0789F">
              <w:t>Safety</w:t>
            </w:r>
          </w:p>
          <w:p w14:paraId="0A177F3E" w14:textId="77777777" w:rsidR="00E71F3C" w:rsidRPr="00C0789F" w:rsidRDefault="00E71F3C" w:rsidP="00E71F3C">
            <w:pPr>
              <w:spacing w:after="0"/>
            </w:pPr>
            <w:r w:rsidRPr="00C0789F">
              <w:t>Clinical Effectiveness</w:t>
            </w:r>
          </w:p>
          <w:p w14:paraId="42791EFA" w14:textId="7D40D6D7" w:rsidR="00E71F3C" w:rsidRPr="00C0789F" w:rsidRDefault="00E71F3C" w:rsidP="00E71F3C">
            <w:pPr>
              <w:spacing w:after="0"/>
            </w:pPr>
            <w:r w:rsidRPr="00C0789F">
              <w:t>Trial based (evidentiary standard) PD-L1 I</w:t>
            </w:r>
            <w:r w:rsidR="0012329C" w:rsidRPr="00C0789F">
              <w:t>HC assay analytical performance</w:t>
            </w:r>
          </w:p>
          <w:p w14:paraId="3D158B8A" w14:textId="1C652495" w:rsidR="00E71F3C" w:rsidRPr="00C0789F" w:rsidRDefault="00E71F3C" w:rsidP="00E71F3C">
            <w:pPr>
              <w:spacing w:after="0"/>
            </w:pPr>
            <w:r w:rsidRPr="00C0789F">
              <w:t>Comparative perfor</w:t>
            </w:r>
            <w:r w:rsidR="0012329C" w:rsidRPr="00C0789F">
              <w:t>mance of PD-L1 testing methods</w:t>
            </w:r>
          </w:p>
          <w:p w14:paraId="7E96FE6D" w14:textId="58FB8092" w:rsidR="00E71F3C" w:rsidRPr="00C0789F" w:rsidRDefault="0012329C" w:rsidP="00E71F3C">
            <w:pPr>
              <w:spacing w:after="0"/>
            </w:pPr>
            <w:r w:rsidRPr="00C0789F">
              <w:t>Clinical utility of test</w:t>
            </w:r>
          </w:p>
          <w:p w14:paraId="3FD22F5A" w14:textId="330740D8" w:rsidR="00E71F3C" w:rsidRPr="00C0789F" w:rsidRDefault="00E71F3C" w:rsidP="00E71F3C">
            <w:pPr>
              <w:spacing w:after="0"/>
            </w:pPr>
            <w:r w:rsidRPr="00C0789F">
              <w:t>Ot</w:t>
            </w:r>
            <w:r w:rsidR="0012329C" w:rsidRPr="00C0789F">
              <w:t>her test-related considerations</w:t>
            </w:r>
          </w:p>
          <w:p w14:paraId="08C3AEEB" w14:textId="6581BECD" w:rsidR="00E71F3C" w:rsidRPr="00522BC9" w:rsidRDefault="00E71F3C" w:rsidP="00E71F3C">
            <w:pPr>
              <w:spacing w:after="0"/>
            </w:pPr>
          </w:p>
          <w:p w14:paraId="69AE74D5" w14:textId="1E097C9E" w:rsidR="00E71F3C" w:rsidRPr="00C0789F" w:rsidRDefault="00E71F3C" w:rsidP="00E71F3C">
            <w:pPr>
              <w:spacing w:after="0"/>
            </w:pPr>
            <w:r w:rsidRPr="00522BC9">
              <w:t>DRUG OUTCOMES</w:t>
            </w:r>
            <w:r w:rsidR="0012329C" w:rsidRPr="00522BC9">
              <w:t xml:space="preserve"> – in brief (see Outcomes section for details)</w:t>
            </w:r>
          </w:p>
          <w:p w14:paraId="64C4F5E1" w14:textId="77777777" w:rsidR="00E71F3C" w:rsidRPr="00C0789F" w:rsidRDefault="00E71F3C" w:rsidP="00E71F3C">
            <w:pPr>
              <w:spacing w:after="0"/>
            </w:pPr>
            <w:r w:rsidRPr="00C0789F">
              <w:t>Safety</w:t>
            </w:r>
          </w:p>
          <w:p w14:paraId="2AC27C1D" w14:textId="77777777" w:rsidR="00E71F3C" w:rsidRPr="00C0789F" w:rsidRDefault="00E71F3C" w:rsidP="00E71F3C">
            <w:pPr>
              <w:spacing w:after="0"/>
            </w:pPr>
            <w:r w:rsidRPr="00C0789F">
              <w:t>Clinical Effectiveness</w:t>
            </w:r>
          </w:p>
          <w:p w14:paraId="11EEC93B" w14:textId="4385E06B" w:rsidR="00E71F3C" w:rsidRPr="00C0789F" w:rsidRDefault="0012329C" w:rsidP="00E71F3C">
            <w:pPr>
              <w:spacing w:after="0"/>
            </w:pPr>
            <w:r w:rsidRPr="00C0789F">
              <w:t>Co-primary outcomes</w:t>
            </w:r>
          </w:p>
          <w:p w14:paraId="079064F1" w14:textId="01FF4BA1" w:rsidR="00E71F3C" w:rsidRPr="00C0789F" w:rsidRDefault="00E71F3C" w:rsidP="00E71F3C">
            <w:pPr>
              <w:spacing w:after="0"/>
            </w:pPr>
            <w:r w:rsidRPr="00C0789F">
              <w:t>Secondary outcomes</w:t>
            </w:r>
          </w:p>
          <w:p w14:paraId="7953A1D1" w14:textId="720584C3" w:rsidR="00E71F3C" w:rsidRPr="00C0789F" w:rsidRDefault="0012329C" w:rsidP="00E71F3C">
            <w:pPr>
              <w:spacing w:after="0"/>
            </w:pPr>
            <w:r w:rsidRPr="00C0789F">
              <w:t>Exploratory outcomes</w:t>
            </w:r>
          </w:p>
        </w:tc>
      </w:tr>
    </w:tbl>
    <w:p w14:paraId="2E2AEC76" w14:textId="77777777" w:rsidR="00F106F7" w:rsidRPr="00C0789F" w:rsidRDefault="00F106F7">
      <w:pPr>
        <w:rPr>
          <w:rFonts w:eastAsia="MS Gothic"/>
          <w:b/>
          <w:bCs/>
          <w:color w:val="548DD4"/>
          <w:szCs w:val="26"/>
          <w:u w:val="single"/>
        </w:rPr>
      </w:pPr>
    </w:p>
    <w:p w14:paraId="25B4F1A7" w14:textId="77777777" w:rsidR="00F12E59" w:rsidRPr="00C0789F" w:rsidRDefault="00F12E59">
      <w:pPr>
        <w:rPr>
          <w:rFonts w:eastAsia="MS Gothic"/>
          <w:b/>
          <w:bCs/>
          <w:color w:val="548DD4"/>
          <w:szCs w:val="26"/>
          <w:u w:val="single"/>
        </w:rPr>
      </w:pPr>
      <w:r w:rsidRPr="00C0789F">
        <w:rPr>
          <w:rFonts w:eastAsia="MS Gothic"/>
          <w:b/>
          <w:bCs/>
          <w:color w:val="548DD4"/>
          <w:szCs w:val="26"/>
          <w:u w:val="single"/>
        </w:rPr>
        <w:br w:type="page"/>
      </w:r>
    </w:p>
    <w:p w14:paraId="29A76C29" w14:textId="2A746E9B" w:rsidR="007F4E20" w:rsidRPr="00522BC9" w:rsidRDefault="00E364F7">
      <w:pPr>
        <w:rPr>
          <w:rFonts w:eastAsia="MS Gothic"/>
          <w:bCs/>
          <w:color w:val="548DD4"/>
          <w:szCs w:val="26"/>
        </w:rPr>
      </w:pPr>
      <w:r w:rsidRPr="00C0789F">
        <w:rPr>
          <w:rFonts w:eastAsia="MS Gothic"/>
          <w:b/>
          <w:bCs/>
          <w:color w:val="548DD4"/>
          <w:szCs w:val="26"/>
          <w:u w:val="single"/>
        </w:rPr>
        <w:lastRenderedPageBreak/>
        <w:t>PICO</w:t>
      </w:r>
      <w:r w:rsidR="00953ED7" w:rsidRPr="00C0789F">
        <w:rPr>
          <w:rFonts w:eastAsia="MS Gothic"/>
          <w:b/>
          <w:bCs/>
          <w:color w:val="548DD4"/>
          <w:szCs w:val="26"/>
          <w:u w:val="single"/>
        </w:rPr>
        <w:t xml:space="preserve"> or PPICO</w:t>
      </w:r>
      <w:r w:rsidRPr="00C0789F">
        <w:rPr>
          <w:rFonts w:eastAsia="MS Gothic"/>
          <w:b/>
          <w:bCs/>
          <w:color w:val="548DD4"/>
          <w:szCs w:val="26"/>
          <w:u w:val="single"/>
        </w:rPr>
        <w:t xml:space="preserve"> rationale</w:t>
      </w:r>
      <w:r w:rsidR="006D1643" w:rsidRPr="00C0789F">
        <w:rPr>
          <w:rFonts w:eastAsia="MS Gothic"/>
          <w:b/>
          <w:bCs/>
          <w:color w:val="548DD4"/>
          <w:szCs w:val="26"/>
          <w:u w:val="single"/>
        </w:rPr>
        <w:t xml:space="preserve"> for therapeutic </w:t>
      </w:r>
      <w:r w:rsidR="00B45971" w:rsidRPr="00C0789F">
        <w:rPr>
          <w:rFonts w:eastAsia="MS Gothic"/>
          <w:b/>
          <w:bCs/>
          <w:color w:val="548DD4"/>
          <w:szCs w:val="26"/>
          <w:u w:val="single"/>
        </w:rPr>
        <w:t xml:space="preserve">and investigative </w:t>
      </w:r>
      <w:r w:rsidR="00BA63AA" w:rsidRPr="00C0789F">
        <w:rPr>
          <w:rFonts w:eastAsia="MS Gothic"/>
          <w:b/>
          <w:bCs/>
          <w:color w:val="548DD4"/>
          <w:szCs w:val="26"/>
          <w:u w:val="single"/>
        </w:rPr>
        <w:t>medical services only</w:t>
      </w:r>
      <w:r w:rsidR="00F106F7" w:rsidRPr="00522BC9">
        <w:rPr>
          <w:rStyle w:val="FootnoteReference"/>
          <w:color w:val="548DD4"/>
        </w:rPr>
        <w:footnoteReference w:id="2"/>
      </w:r>
    </w:p>
    <w:p w14:paraId="43EE6EA4" w14:textId="20BCD395" w:rsidR="00464288" w:rsidRPr="00522BC9" w:rsidRDefault="00464288" w:rsidP="00464288">
      <w:pPr>
        <w:rPr>
          <w:b/>
        </w:rPr>
      </w:pPr>
      <w:r w:rsidRPr="00522BC9">
        <w:rPr>
          <w:b/>
        </w:rPr>
        <w:t>Research Questions</w:t>
      </w:r>
    </w:p>
    <w:p w14:paraId="7764797C" w14:textId="6092A16F" w:rsidR="00464288" w:rsidRPr="00C0789F" w:rsidRDefault="00464288" w:rsidP="00464288">
      <w:r w:rsidRPr="00C0789F">
        <w:t xml:space="preserve">What is the safety, effectiveness, and cost-effectiveness of IHC PD-L1 testing for determining access to </w:t>
      </w:r>
      <w:proofErr w:type="spellStart"/>
      <w:r w:rsidRPr="00C0789F">
        <w:t>durvalumab</w:t>
      </w:r>
      <w:proofErr w:type="spellEnd"/>
      <w:r w:rsidRPr="00C0789F">
        <w:t xml:space="preserve"> monotherapy or </w:t>
      </w:r>
      <w:proofErr w:type="spellStart"/>
      <w:r w:rsidRPr="00C0789F">
        <w:t>durvalumab</w:t>
      </w:r>
      <w:proofErr w:type="spellEnd"/>
      <w:r w:rsidRPr="00C0789F">
        <w:t xml:space="preserve"> + </w:t>
      </w:r>
      <w:proofErr w:type="spellStart"/>
      <w:r w:rsidRPr="00C0789F">
        <w:t>tremelimumab</w:t>
      </w:r>
      <w:proofErr w:type="spellEnd"/>
      <w:r w:rsidRPr="00C0789F">
        <w:t xml:space="preserve"> combination therapy, as first line treatment, in patients with unresectable stage IV urothelial cancer, compared with no testing and standard of care (platinum-based chemotherapy)?</w:t>
      </w:r>
    </w:p>
    <w:p w14:paraId="3D52DE3B" w14:textId="77777777" w:rsidR="00E233E6" w:rsidRPr="00C0789F" w:rsidRDefault="00E233E6" w:rsidP="00FC17A9">
      <w:r w:rsidRPr="00C0789F">
        <w:t xml:space="preserve">What </w:t>
      </w:r>
      <w:proofErr w:type="gramStart"/>
      <w:r w:rsidRPr="00C0789F">
        <w:t>is</w:t>
      </w:r>
      <w:proofErr w:type="gramEnd"/>
      <w:r w:rsidRPr="00C0789F">
        <w:t xml:space="preserve"> the safety, effectiveness, and cost-effectiveness of no PD-L1 testing and </w:t>
      </w:r>
      <w:proofErr w:type="spellStart"/>
      <w:r w:rsidRPr="00C0789F">
        <w:t>durvalumab</w:t>
      </w:r>
      <w:proofErr w:type="spellEnd"/>
      <w:r w:rsidRPr="00C0789F">
        <w:t xml:space="preserve"> monotherapy or </w:t>
      </w:r>
      <w:proofErr w:type="spellStart"/>
      <w:r w:rsidRPr="00C0789F">
        <w:t>durvalumab</w:t>
      </w:r>
      <w:proofErr w:type="spellEnd"/>
      <w:r w:rsidRPr="00C0789F">
        <w:t xml:space="preserve"> + </w:t>
      </w:r>
      <w:proofErr w:type="spellStart"/>
      <w:r w:rsidRPr="00C0789F">
        <w:t>tremelimumab</w:t>
      </w:r>
      <w:proofErr w:type="spellEnd"/>
      <w:r w:rsidRPr="00C0789F">
        <w:t xml:space="preserve"> combination therapy, as first line treatment, compared to no testing and standard of care in patients with unresectable stage IV urothelial cancer?  </w:t>
      </w:r>
    </w:p>
    <w:p w14:paraId="4AB5C228" w14:textId="2F244D89" w:rsidR="00FC17A9" w:rsidRPr="00C0789F" w:rsidRDefault="00FC17A9" w:rsidP="00FC17A9">
      <w:r w:rsidRPr="00C0789F">
        <w:t>Also:</w:t>
      </w:r>
    </w:p>
    <w:p w14:paraId="618B9E08" w14:textId="3650A185" w:rsidR="00FC17A9" w:rsidRPr="00C0789F" w:rsidRDefault="00FC17A9" w:rsidP="00FC17A9">
      <w:r w:rsidRPr="00C0789F">
        <w:t>Does the PD-L1 test result predict</w:t>
      </w:r>
      <w:r w:rsidR="00E233E6" w:rsidRPr="00C0789F">
        <w:t xml:space="preserve"> a treatment effect</w:t>
      </w:r>
      <w:r w:rsidRPr="00C0789F">
        <w:t xml:space="preserve"> modification with these particular PD-1 inhibitors (</w:t>
      </w:r>
      <w:proofErr w:type="spellStart"/>
      <w:r w:rsidRPr="00C0789F">
        <w:t>durvalumab</w:t>
      </w:r>
      <w:proofErr w:type="spellEnd"/>
      <w:r w:rsidRPr="00C0789F">
        <w:t xml:space="preserve"> and/or </w:t>
      </w:r>
      <w:proofErr w:type="spellStart"/>
      <w:r w:rsidRPr="00C0789F">
        <w:t>durvalumab</w:t>
      </w:r>
      <w:proofErr w:type="spellEnd"/>
      <w:r w:rsidRPr="00C0789F">
        <w:t xml:space="preserve"> + </w:t>
      </w:r>
      <w:proofErr w:type="spellStart"/>
      <w:proofErr w:type="gramStart"/>
      <w:r w:rsidRPr="00C0789F">
        <w:t>tremelimumab</w:t>
      </w:r>
      <w:proofErr w:type="spellEnd"/>
      <w:proofErr w:type="gramEnd"/>
      <w:r w:rsidRPr="00C0789F">
        <w:t>)</w:t>
      </w:r>
    </w:p>
    <w:p w14:paraId="070DC277" w14:textId="7FFFA35E" w:rsidR="00464288" w:rsidRPr="00C0789F" w:rsidRDefault="00FC17A9" w:rsidP="00464288">
      <w:r w:rsidRPr="00C0789F">
        <w:t>What are the analytical performance characteristics of the proposed PD-L1 test in the applicant’s clinical trial? How will this translate to Australian pathology practice?</w:t>
      </w:r>
    </w:p>
    <w:p w14:paraId="5338517D" w14:textId="77777777" w:rsidR="00FA34D8" w:rsidRPr="00C0789F" w:rsidRDefault="00FA34D8" w:rsidP="00FA34D8">
      <w:r w:rsidRPr="00C0789F">
        <w:t>Is the PD-L1 test safe in the test-eligible population compared with no testing?</w:t>
      </w:r>
    </w:p>
    <w:p w14:paraId="55A92545" w14:textId="0EDBFC37" w:rsidR="00FC17A9" w:rsidRPr="00C0789F" w:rsidRDefault="00FC17A9" w:rsidP="00464288">
      <w:r w:rsidRPr="00C0789F">
        <w:t xml:space="preserve">What are the consequences for patients with false low PD-L1 or false high PD-L1 results receiving the incorrect treatment? </w:t>
      </w:r>
    </w:p>
    <w:p w14:paraId="2621AF23" w14:textId="1D430C40" w:rsidR="00FC17A9" w:rsidRPr="00C0789F" w:rsidRDefault="00FC17A9" w:rsidP="00464288">
      <w:r w:rsidRPr="00C0789F">
        <w:t>Is the difference in PD-L1 status based on this test associated with any difference in prognosis, irrespective of treatment given?</w:t>
      </w:r>
    </w:p>
    <w:p w14:paraId="2D17715B" w14:textId="77777777" w:rsidR="00464288" w:rsidRPr="00C0789F" w:rsidRDefault="00464288" w:rsidP="00464288">
      <w:pPr>
        <w:rPr>
          <w:b/>
        </w:rPr>
      </w:pPr>
      <w:r w:rsidRPr="00C0789F">
        <w:rPr>
          <w:b/>
        </w:rPr>
        <w:t>Population</w:t>
      </w:r>
    </w:p>
    <w:p w14:paraId="232D0FEA" w14:textId="6423087B" w:rsidR="00617495" w:rsidRPr="00522BC9" w:rsidRDefault="00727C4B" w:rsidP="00617495">
      <w:r w:rsidRPr="00C0789F">
        <w:t xml:space="preserve">The applicant </w:t>
      </w:r>
      <w:r w:rsidR="00285955" w:rsidRPr="00C0789F">
        <w:t>propose</w:t>
      </w:r>
      <w:r w:rsidR="00260D0D" w:rsidRPr="00C0789F">
        <w:t>s</w:t>
      </w:r>
      <w:r w:rsidR="00285955" w:rsidRPr="00C0789F">
        <w:t xml:space="preserve"> </w:t>
      </w:r>
      <w:r w:rsidRPr="00C0789F">
        <w:t>patients with unresect</w:t>
      </w:r>
      <w:r w:rsidR="00285955" w:rsidRPr="00C0789F">
        <w:t>able Stage IV urothelial cancer</w:t>
      </w:r>
      <w:r w:rsidR="00260D0D" w:rsidRPr="00C0789F">
        <w:t>, for treatment</w:t>
      </w:r>
      <w:r w:rsidR="00285955" w:rsidRPr="00C0789F">
        <w:t xml:space="preserve"> </w:t>
      </w:r>
      <w:r w:rsidRPr="00C0789F">
        <w:t xml:space="preserve">with </w:t>
      </w:r>
      <w:r w:rsidR="00285955" w:rsidRPr="00C0789F">
        <w:t>PBS</w:t>
      </w:r>
      <w:r w:rsidRPr="00C0789F">
        <w:t xml:space="preserve"> </w:t>
      </w:r>
      <w:proofErr w:type="spellStart"/>
      <w:r w:rsidRPr="00C0789F">
        <w:t>durvalumab</w:t>
      </w:r>
      <w:proofErr w:type="spellEnd"/>
      <w:r w:rsidR="00D817BF" w:rsidRPr="00C0789F">
        <w:t xml:space="preserve">, or </w:t>
      </w:r>
      <w:r w:rsidR="00285955" w:rsidRPr="00C0789F">
        <w:t xml:space="preserve">PBS </w:t>
      </w:r>
      <w:proofErr w:type="spellStart"/>
      <w:r w:rsidR="00D817BF" w:rsidRPr="00C0789F">
        <w:t>durvalumab</w:t>
      </w:r>
      <w:proofErr w:type="spellEnd"/>
      <w:r w:rsidRPr="00C0789F">
        <w:t xml:space="preserve"> </w:t>
      </w:r>
      <w:r w:rsidR="00285955" w:rsidRPr="00C0789F">
        <w:t>+</w:t>
      </w:r>
      <w:r w:rsidRPr="00C0789F">
        <w:t xml:space="preserve"> </w:t>
      </w:r>
      <w:proofErr w:type="spellStart"/>
      <w:r w:rsidRPr="00C0789F">
        <w:t>tremelimumab</w:t>
      </w:r>
      <w:proofErr w:type="spellEnd"/>
      <w:r w:rsidR="00D817BF" w:rsidRPr="00C0789F">
        <w:t>,</w:t>
      </w:r>
      <w:r w:rsidRPr="00C0789F">
        <w:t xml:space="preserve"> </w:t>
      </w:r>
      <w:r w:rsidR="00285955" w:rsidRPr="00C0789F">
        <w:t>as</w:t>
      </w:r>
      <w:r w:rsidRPr="00C0789F">
        <w:t xml:space="preserve"> first line therapy.  </w:t>
      </w:r>
      <w:r w:rsidR="00617495" w:rsidRPr="00C0789F">
        <w:t>Thus the population is “Patients with unresectable stage IV urothelial cancer, previously untreated for Stage IV disease”</w:t>
      </w:r>
      <w:r w:rsidR="00617495" w:rsidRPr="00522BC9">
        <w:t xml:space="preserve">.  </w:t>
      </w:r>
    </w:p>
    <w:p w14:paraId="12C84B7E" w14:textId="2B71B106" w:rsidR="00053CBE" w:rsidRPr="00C0789F" w:rsidRDefault="0042272E" w:rsidP="0042272E">
      <w:r w:rsidRPr="00522BC9">
        <w:t xml:space="preserve">This is the same indication </w:t>
      </w:r>
      <w:r w:rsidR="00AC7CC9" w:rsidRPr="00522BC9">
        <w:t>that</w:t>
      </w:r>
      <w:r w:rsidRPr="00522BC9">
        <w:t xml:space="preserve"> will be sought </w:t>
      </w:r>
      <w:r w:rsidR="00285955" w:rsidRPr="00522BC9">
        <w:t>from</w:t>
      </w:r>
      <w:r w:rsidRPr="00522BC9">
        <w:t xml:space="preserve"> the Therapeutic Goods Administration</w:t>
      </w:r>
      <w:r w:rsidR="00A42357" w:rsidRPr="00522BC9">
        <w:t xml:space="preserve"> (TGA)</w:t>
      </w:r>
      <w:r w:rsidRPr="00522BC9">
        <w:t xml:space="preserve"> (May 2018 lodgement planned). </w:t>
      </w:r>
      <w:r w:rsidRPr="00C0789F">
        <w:t xml:space="preserve"> </w:t>
      </w:r>
      <w:r w:rsidR="00BC0B53" w:rsidRPr="00C0789F">
        <w:t xml:space="preserve">Elsewhere, AstraZeneca </w:t>
      </w:r>
      <w:r w:rsidR="00617495" w:rsidRPr="00C0789F">
        <w:t>recently</w:t>
      </w:r>
      <w:r w:rsidR="00BC0B53" w:rsidRPr="00C0789F">
        <w:t xml:space="preserve"> received regulatory approval from the United States Food and Drug Administration</w:t>
      </w:r>
      <w:r w:rsidR="00A42357" w:rsidRPr="00C0789F">
        <w:t xml:space="preserve"> (FDA)</w:t>
      </w:r>
      <w:r w:rsidR="00BC0B53" w:rsidRPr="00C0789F">
        <w:t xml:space="preserve"> for </w:t>
      </w:r>
      <w:proofErr w:type="spellStart"/>
      <w:r w:rsidR="00BC0B53" w:rsidRPr="00C0789F">
        <w:t>durvalumab</w:t>
      </w:r>
      <w:proofErr w:type="spellEnd"/>
      <w:r w:rsidR="00BC0B53" w:rsidRPr="00C0789F">
        <w:t xml:space="preserve"> monotherapy</w:t>
      </w:r>
      <w:r w:rsidR="009F64A1" w:rsidRPr="00C0789F">
        <w:t>,</w:t>
      </w:r>
      <w:r w:rsidR="00BC0B53" w:rsidRPr="00C0789F">
        <w:t xml:space="preserve"> </w:t>
      </w:r>
      <w:r w:rsidR="00617495" w:rsidRPr="00C0789F">
        <w:t>for later</w:t>
      </w:r>
      <w:r w:rsidR="00BC0B53" w:rsidRPr="00C0789F">
        <w:t xml:space="preserve"> line treatment </w:t>
      </w:r>
      <w:r w:rsidR="00617495" w:rsidRPr="00C0789F">
        <w:t xml:space="preserve">in the broader population </w:t>
      </w:r>
      <w:r w:rsidR="00BC0B53" w:rsidRPr="00C0789F">
        <w:t>of “patients with locally advanced or metastatic urothelial carcinoma” (1 May 2017)</w:t>
      </w:r>
      <w:r w:rsidR="00FB23BC" w:rsidRPr="00C0789F">
        <w:t>, though this is a breakthrough therapy designation/accelerated approval based on limited clinical data</w:t>
      </w:r>
      <w:r w:rsidR="00BC0B53" w:rsidRPr="00C0789F">
        <w:rPr>
          <w:rStyle w:val="FootnoteReference"/>
        </w:rPr>
        <w:footnoteReference w:id="3"/>
      </w:r>
      <w:r w:rsidR="00BC0B53" w:rsidRPr="00522BC9">
        <w:t>.</w:t>
      </w:r>
      <w:r w:rsidR="00BC0B53" w:rsidRPr="00C0789F">
        <w:t xml:space="preserve">  </w:t>
      </w:r>
      <w:r w:rsidR="00053CBE" w:rsidRPr="00C0789F">
        <w:t>The sponsor’s TGA sub</w:t>
      </w:r>
      <w:r w:rsidR="00E05D99" w:rsidRPr="00C0789F">
        <w:t xml:space="preserve">mission (and to PBAC/MSAC) will be based on </w:t>
      </w:r>
      <w:r w:rsidR="00285955" w:rsidRPr="00C0789F">
        <w:t>a different and</w:t>
      </w:r>
      <w:r w:rsidR="00E05D99" w:rsidRPr="00C0789F">
        <w:t xml:space="preserve"> more recent </w:t>
      </w:r>
      <w:r w:rsidR="00AC7CC9" w:rsidRPr="00C0789F">
        <w:t xml:space="preserve">Phase III </w:t>
      </w:r>
      <w:r w:rsidR="00285955" w:rsidRPr="00C0789F">
        <w:t>‘</w:t>
      </w:r>
      <w:r w:rsidR="00E05D99" w:rsidRPr="00C0789F">
        <w:t>DANUBE</w:t>
      </w:r>
      <w:r w:rsidR="00285955" w:rsidRPr="00C0789F">
        <w:t>’</w:t>
      </w:r>
      <w:r w:rsidR="00E05D99" w:rsidRPr="00C0789F">
        <w:t xml:space="preserve"> clinical trial (NCT02516241).  </w:t>
      </w:r>
    </w:p>
    <w:p w14:paraId="2904DF31" w14:textId="7523300D" w:rsidR="00DE3177" w:rsidRPr="00522BC9" w:rsidRDefault="00DE3177" w:rsidP="00DE3177">
      <w:r w:rsidRPr="00C0789F">
        <w:lastRenderedPageBreak/>
        <w:t>The PASC recall</w:t>
      </w:r>
      <w:r w:rsidR="00522BC9">
        <w:t>ed</w:t>
      </w:r>
      <w:r w:rsidRPr="00522BC9">
        <w:t xml:space="preserve"> that applications 1445</w:t>
      </w:r>
      <w:r w:rsidR="00522BC9">
        <w:t>,</w:t>
      </w:r>
      <w:r w:rsidRPr="00522BC9">
        <w:t xml:space="preserve"> 1457</w:t>
      </w:r>
      <w:r w:rsidR="00522BC9">
        <w:t xml:space="preserve"> and 1440.1</w:t>
      </w:r>
      <w:r w:rsidRPr="00522BC9">
        <w:t xml:space="preserve"> sought MSAC consideration of PD-L1 testing (for pembrolizumab treatment) in similar </w:t>
      </w:r>
      <w:r w:rsidR="00F5742D" w:rsidRPr="00522BC9">
        <w:t>indications</w:t>
      </w:r>
      <w:r w:rsidRPr="00522BC9">
        <w:t xml:space="preserve"> – the final populations ratified by PASC were:</w:t>
      </w:r>
    </w:p>
    <w:p w14:paraId="3AF31A0A" w14:textId="31EEAD7D" w:rsidR="00DE3177" w:rsidRPr="00522BC9" w:rsidRDefault="00DE3177" w:rsidP="00DE3177">
      <w:pPr>
        <w:pStyle w:val="ListParagraph"/>
        <w:numPr>
          <w:ilvl w:val="0"/>
          <w:numId w:val="10"/>
        </w:numPr>
      </w:pPr>
      <w:r w:rsidRPr="00522BC9">
        <w:t>Application 1457: Patients with locally advanced or metastatic urothelial cancer who are ineligible for cisplatin‐based therapy (that is, stage</w:t>
      </w:r>
      <w:r w:rsidR="00EB3B7C" w:rsidRPr="00522BC9">
        <w:t xml:space="preserve"> </w:t>
      </w:r>
      <w:proofErr w:type="spellStart"/>
      <w:r w:rsidR="00EB3B7C" w:rsidRPr="00522BC9">
        <w:t>IIIb</w:t>
      </w:r>
      <w:proofErr w:type="spellEnd"/>
      <w:r w:rsidR="00EB3B7C" w:rsidRPr="00522BC9">
        <w:t xml:space="preserve"> or</w:t>
      </w:r>
      <w:r w:rsidRPr="00522BC9">
        <w:t xml:space="preserve"> IV disease ineligible for cisplatin, first line treatment)</w:t>
      </w:r>
      <w:r w:rsidR="00522BC9">
        <w:t xml:space="preserve">.  </w:t>
      </w:r>
      <w:r w:rsidR="00C0789F">
        <w:rPr>
          <w:i/>
        </w:rPr>
        <w:t>PASC considered t</w:t>
      </w:r>
      <w:r w:rsidR="00522BC9" w:rsidRPr="00522BC9">
        <w:rPr>
          <w:i/>
        </w:rPr>
        <w:t>his is a near comparator, noting differences in PD-L1 scoring methodology and expression cut-off levels</w:t>
      </w:r>
      <w:r w:rsidR="00522BC9">
        <w:rPr>
          <w:i/>
        </w:rPr>
        <w:t xml:space="preserve"> that yield a positive test result</w:t>
      </w:r>
      <w:r w:rsidR="00522BC9" w:rsidRPr="00522BC9">
        <w:rPr>
          <w:i/>
        </w:rPr>
        <w:t xml:space="preserve">.  </w:t>
      </w:r>
    </w:p>
    <w:p w14:paraId="1B3AD72A" w14:textId="6F0DBC9F" w:rsidR="00DE3177" w:rsidRPr="00C0789F" w:rsidRDefault="00DE3177" w:rsidP="00DE3177">
      <w:pPr>
        <w:pStyle w:val="ListParagraph"/>
        <w:numPr>
          <w:ilvl w:val="0"/>
          <w:numId w:val="10"/>
        </w:numPr>
      </w:pPr>
      <w:r w:rsidRPr="00522BC9">
        <w:t xml:space="preserve">Application 1445: Patients with metastatic or locally advanced/unresectable bladder cancer that has recurred or progressed following platinum-based chemotherapy (that is, stage </w:t>
      </w:r>
      <w:proofErr w:type="spellStart"/>
      <w:r w:rsidRPr="00522BC9">
        <w:t>IIIb</w:t>
      </w:r>
      <w:proofErr w:type="spellEnd"/>
      <w:r w:rsidRPr="00522BC9">
        <w:t xml:space="preserve"> unresectable disease and stage IV disease, second line treatment)</w:t>
      </w:r>
      <w:r w:rsidR="00522BC9">
        <w:t xml:space="preserve">.  </w:t>
      </w:r>
      <w:r w:rsidR="00522BC9" w:rsidRPr="00522BC9">
        <w:rPr>
          <w:i/>
        </w:rPr>
        <w:t xml:space="preserve">This application is now inactive – pembrolizumab in </w:t>
      </w:r>
      <w:r w:rsidR="00C0789F">
        <w:rPr>
          <w:i/>
        </w:rPr>
        <w:t>that</w:t>
      </w:r>
      <w:r w:rsidR="00522BC9" w:rsidRPr="00522BC9">
        <w:rPr>
          <w:i/>
        </w:rPr>
        <w:t xml:space="preserve"> indication </w:t>
      </w:r>
      <w:r w:rsidR="00522BC9">
        <w:rPr>
          <w:i/>
        </w:rPr>
        <w:t xml:space="preserve">was considered at </w:t>
      </w:r>
      <w:r w:rsidR="00C0789F">
        <w:rPr>
          <w:i/>
        </w:rPr>
        <w:t>the PBAC</w:t>
      </w:r>
      <w:r w:rsidR="00522BC9" w:rsidRPr="00522BC9">
        <w:rPr>
          <w:i/>
        </w:rPr>
        <w:t xml:space="preserve"> November 2017 meeting without including a requirement for the PD-L1 test.  </w:t>
      </w:r>
    </w:p>
    <w:p w14:paraId="2C826C4D" w14:textId="38FBA42A" w:rsidR="00C0789F" w:rsidRPr="00522BC9" w:rsidRDefault="00C0789F" w:rsidP="00DE3177">
      <w:pPr>
        <w:pStyle w:val="ListParagraph"/>
        <w:numPr>
          <w:ilvl w:val="0"/>
          <w:numId w:val="10"/>
        </w:numPr>
      </w:pPr>
      <w:r>
        <w:rPr>
          <w:i/>
        </w:rPr>
        <w:t xml:space="preserve">Application 1440.1: PD-L1 testing for access to pembrolizumab in treatment naïve patients with locally advanced or metastatic non-small cell lung cancer.  Although a different population, PASC noted that the outcome of this application, should it lead to listing of a PD-L1 test item, could potentially enable future submissions to proceed as streamlined applications to MSAC.  </w:t>
      </w:r>
    </w:p>
    <w:p w14:paraId="5E1044CE" w14:textId="13078EEF" w:rsidR="00D71A33" w:rsidRPr="00522BC9" w:rsidRDefault="00D71A33" w:rsidP="004F2D44">
      <w:pPr>
        <w:spacing w:before="120" w:after="120"/>
      </w:pPr>
      <w:r w:rsidRPr="00522BC9">
        <w:t xml:space="preserve">Application 1457 refers to </w:t>
      </w:r>
      <w:r w:rsidR="00EB3B7C" w:rsidRPr="00522BC9">
        <w:t xml:space="preserve">locally advanced or </w:t>
      </w:r>
      <w:r w:rsidRPr="00522BC9">
        <w:t>metastatic disease, whereas this application refers to stage IV.</w:t>
      </w:r>
      <w:r w:rsidR="00F106F7" w:rsidRPr="00522BC9">
        <w:t xml:space="preserve"> </w:t>
      </w:r>
      <w:r w:rsidR="00E233E6" w:rsidRPr="00522BC9">
        <w:t xml:space="preserve">Regarding terminology, </w:t>
      </w:r>
      <w:r w:rsidR="00F106F7" w:rsidRPr="00522BC9">
        <w:t>Stage IV disease is interchangeable with ‘metastatic’</w:t>
      </w:r>
      <w:r w:rsidR="00DF013C" w:rsidRPr="00522BC9">
        <w:rPr>
          <w:rStyle w:val="FootnoteReference"/>
        </w:rPr>
        <w:footnoteReference w:id="4"/>
      </w:r>
      <w:r w:rsidR="00F106F7" w:rsidRPr="00522BC9">
        <w:t xml:space="preserve">.  </w:t>
      </w:r>
      <w:r w:rsidR="005178E7" w:rsidRPr="00522BC9">
        <w:t xml:space="preserve">Note that Stage III disease can still include spread to nearby organs such as prostate and vagina.  </w:t>
      </w:r>
    </w:p>
    <w:p w14:paraId="388E6B7D" w14:textId="77777777" w:rsidR="004F2D44" w:rsidRPr="00522BC9" w:rsidRDefault="004F2D44" w:rsidP="004F2D44">
      <w:pPr>
        <w:spacing w:before="120" w:after="120"/>
        <w:rPr>
          <w:u w:val="single"/>
        </w:rPr>
      </w:pPr>
      <w:r w:rsidRPr="00522BC9">
        <w:rPr>
          <w:u w:val="single"/>
        </w:rPr>
        <w:t>Reference to ‘unresectable’</w:t>
      </w:r>
    </w:p>
    <w:p w14:paraId="159498E6" w14:textId="533DB277" w:rsidR="00122E0D" w:rsidRPr="00522BC9" w:rsidRDefault="00285955" w:rsidP="00356492">
      <w:r w:rsidRPr="00522BC9">
        <w:t>The population “patients</w:t>
      </w:r>
      <w:r w:rsidR="00D817BF" w:rsidRPr="00522BC9">
        <w:t xml:space="preserve"> wit</w:t>
      </w:r>
      <w:r w:rsidRPr="00522BC9">
        <w:t xml:space="preserve">h </w:t>
      </w:r>
      <w:r w:rsidR="00D817BF" w:rsidRPr="00522BC9">
        <w:t>unresectable Stage IV urothelial cancer”</w:t>
      </w:r>
      <w:r w:rsidR="00F06E0E" w:rsidRPr="00522BC9">
        <w:t xml:space="preserve"> </w:t>
      </w:r>
      <w:r w:rsidRPr="00522BC9">
        <w:t>is the same as</w:t>
      </w:r>
      <w:r w:rsidR="00F06E0E" w:rsidRPr="00522BC9">
        <w:t xml:space="preserve"> </w:t>
      </w:r>
      <w:r w:rsidR="00260D0D" w:rsidRPr="00522BC9">
        <w:t>for</w:t>
      </w:r>
      <w:r w:rsidR="00F06E0E" w:rsidRPr="00522BC9">
        <w:t xml:space="preserve"> the pivotal DANUBE trial.  The Department advise</w:t>
      </w:r>
      <w:r w:rsidR="00260D0D" w:rsidRPr="00522BC9">
        <w:t>s</w:t>
      </w:r>
      <w:r w:rsidR="00F06E0E" w:rsidRPr="00522BC9">
        <w:t xml:space="preserve"> that this qualifier should remain a part of the population</w:t>
      </w:r>
      <w:r w:rsidR="00E50C34" w:rsidRPr="00522BC9">
        <w:t>.  A</w:t>
      </w:r>
      <w:r w:rsidR="00F06E0E" w:rsidRPr="00522BC9">
        <w:t xml:space="preserve"> </w:t>
      </w:r>
      <w:r w:rsidR="009539DF" w:rsidRPr="00522BC9">
        <w:t>small pro</w:t>
      </w:r>
      <w:r w:rsidR="00F06E0E" w:rsidRPr="00522BC9">
        <w:t>portion</w:t>
      </w:r>
      <w:r w:rsidR="00122E0D" w:rsidRPr="00522BC9">
        <w:t xml:space="preserve"> </w:t>
      </w:r>
      <w:r w:rsidR="00F06E0E" w:rsidRPr="00522BC9">
        <w:t>of</w:t>
      </w:r>
      <w:r w:rsidR="00D817BF" w:rsidRPr="00522BC9">
        <w:t xml:space="preserve"> stage IV </w:t>
      </w:r>
      <w:r w:rsidR="00F06E0E" w:rsidRPr="00522BC9">
        <w:t xml:space="preserve">patients </w:t>
      </w:r>
      <w:r w:rsidR="009539DF" w:rsidRPr="00522BC9">
        <w:t xml:space="preserve">with </w:t>
      </w:r>
      <w:proofErr w:type="spellStart"/>
      <w:r w:rsidR="009539DF" w:rsidRPr="00522BC9">
        <w:t>oligometastatic</w:t>
      </w:r>
      <w:proofErr w:type="spellEnd"/>
      <w:r w:rsidR="009539DF" w:rsidRPr="00522BC9">
        <w:t xml:space="preserve"> lung disease (only) may</w:t>
      </w:r>
      <w:r w:rsidR="00F06E0E" w:rsidRPr="00522BC9">
        <w:t xml:space="preserve"> be eligible for </w:t>
      </w:r>
      <w:r w:rsidR="009539DF" w:rsidRPr="00522BC9">
        <w:t xml:space="preserve">potentially curative pulmonary </w:t>
      </w:r>
      <w:r w:rsidR="00F06E0E" w:rsidRPr="00522BC9">
        <w:t>resection</w:t>
      </w:r>
      <w:r w:rsidR="00D817BF" w:rsidRPr="00522BC9">
        <w:t>.</w:t>
      </w:r>
      <w:r w:rsidR="00F06E0E" w:rsidRPr="00522BC9">
        <w:t xml:space="preserve"> </w:t>
      </w:r>
      <w:r w:rsidR="00122E0D" w:rsidRPr="00522BC9">
        <w:t xml:space="preserve">An estimate of the portion such patients represent should be included in the Submission Based Assessment </w:t>
      </w:r>
      <w:r w:rsidR="00AC7CC9" w:rsidRPr="00522BC9">
        <w:t xml:space="preserve">(SBA) </w:t>
      </w:r>
      <w:r w:rsidR="00122E0D" w:rsidRPr="00522BC9">
        <w:t xml:space="preserve">to inform utilisation estimates.  </w:t>
      </w:r>
    </w:p>
    <w:p w14:paraId="57F2F4A2" w14:textId="38D4B0A4" w:rsidR="00E50C34" w:rsidRPr="00522BC9" w:rsidRDefault="00E50C34" w:rsidP="00356492">
      <w:pPr>
        <w:rPr>
          <w:highlight w:val="yellow"/>
        </w:rPr>
      </w:pPr>
      <w:r w:rsidRPr="00522BC9">
        <w:t xml:space="preserve">PASC should note the difference </w:t>
      </w:r>
      <w:r w:rsidR="00A42357" w:rsidRPr="00522BC9">
        <w:t>with</w:t>
      </w:r>
      <w:r w:rsidRPr="00522BC9">
        <w:t xml:space="preserve"> application 1457, in which the qualifier ‘unresectable’ was dropped from the population in</w:t>
      </w:r>
      <w:r w:rsidR="00122E0D" w:rsidRPr="00522BC9">
        <w:t xml:space="preserve"> the</w:t>
      </w:r>
      <w:r w:rsidRPr="00522BC9">
        <w:t xml:space="preserve"> final PICO</w:t>
      </w:r>
      <w:r w:rsidR="00A42357" w:rsidRPr="00522BC9">
        <w:t xml:space="preserve"> Confirmation</w:t>
      </w:r>
      <w:r w:rsidRPr="00522BC9">
        <w:t xml:space="preserve">.  </w:t>
      </w:r>
    </w:p>
    <w:p w14:paraId="10D5590D" w14:textId="77777777" w:rsidR="00356492" w:rsidRPr="00522BC9" w:rsidRDefault="00356492" w:rsidP="00D71A33">
      <w:pPr>
        <w:keepNext/>
        <w:spacing w:before="120" w:after="120"/>
        <w:rPr>
          <w:u w:val="single"/>
        </w:rPr>
      </w:pPr>
      <w:r w:rsidRPr="00522BC9">
        <w:rPr>
          <w:u w:val="single"/>
        </w:rPr>
        <w:t>Urothelial versus bladder cancer</w:t>
      </w:r>
    </w:p>
    <w:p w14:paraId="525A981C" w14:textId="0B9BDCA9" w:rsidR="003167D3" w:rsidRPr="00C0789F" w:rsidRDefault="00FB23BC" w:rsidP="00BF529C">
      <w:pPr>
        <w:keepNext/>
        <w:spacing w:before="120" w:after="120"/>
      </w:pPr>
      <w:r w:rsidRPr="00522BC9">
        <w:t>Urothelial cancer and bladder cancer are overlapping</w:t>
      </w:r>
      <w:r w:rsidR="00757072" w:rsidRPr="00522BC9">
        <w:t xml:space="preserve"> – </w:t>
      </w:r>
      <w:r w:rsidR="002051E2" w:rsidRPr="00522BC9">
        <w:t xml:space="preserve">but not identical </w:t>
      </w:r>
      <w:r w:rsidR="00757072" w:rsidRPr="00522BC9">
        <w:t xml:space="preserve">– </w:t>
      </w:r>
      <w:r w:rsidR="002051E2" w:rsidRPr="00522BC9">
        <w:t>terms</w:t>
      </w:r>
      <w:r w:rsidRPr="00522BC9">
        <w:t>. Bladder cancer includes some non-urothelial tumours</w:t>
      </w:r>
      <w:r w:rsidR="00260D0D" w:rsidRPr="00522BC9">
        <w:t>. According to the Urological Society of Australia and New Zealand (USANZ), 90% of bladder cancers are urothelial (</w:t>
      </w:r>
      <w:r w:rsidR="002051E2" w:rsidRPr="00522BC9">
        <w:t>transitional cell carcinoma</w:t>
      </w:r>
      <w:r w:rsidR="00260D0D" w:rsidRPr="00522BC9">
        <w:t>)</w:t>
      </w:r>
      <w:r w:rsidR="00260D0D" w:rsidRPr="00C0789F">
        <w:rPr>
          <w:rStyle w:val="FootnoteReference"/>
        </w:rPr>
        <w:footnoteReference w:id="5"/>
      </w:r>
      <w:r w:rsidR="00260D0D" w:rsidRPr="00C0789F">
        <w:t>.  The remaining 10% are</w:t>
      </w:r>
      <w:r w:rsidR="00032FA4" w:rsidRPr="00C0789F">
        <w:t xml:space="preserve"> mostly</w:t>
      </w:r>
      <w:r w:rsidR="00260D0D" w:rsidRPr="00C0789F">
        <w:t xml:space="preserve"> squamous cell carcinomas and adenocarcinomas, for which t</w:t>
      </w:r>
      <w:r w:rsidR="00E63D0B" w:rsidRPr="00C0789F">
        <w:t>reatment options are different</w:t>
      </w:r>
      <w:r w:rsidR="00E63D0B" w:rsidRPr="00C0789F">
        <w:rPr>
          <w:rStyle w:val="FootnoteReference"/>
        </w:rPr>
        <w:footnoteReference w:id="6"/>
      </w:r>
      <w:r w:rsidR="00260D0D" w:rsidRPr="00C0789F">
        <w:t>. Histological assessment of patients with bladder cancer to differentiate between urothelial cancer</w:t>
      </w:r>
      <w:r w:rsidR="00920EA5" w:rsidRPr="00C0789F">
        <w:t xml:space="preserve"> </w:t>
      </w:r>
      <w:r w:rsidR="00260D0D" w:rsidRPr="00C0789F">
        <w:t>and other types is part of the standard diagnostic work-up. C</w:t>
      </w:r>
      <w:r w:rsidRPr="00C0789F">
        <w:t>onversely, urothelial cancers include those</w:t>
      </w:r>
      <w:r w:rsidR="00260D0D" w:rsidRPr="00C0789F">
        <w:t xml:space="preserve"> </w:t>
      </w:r>
      <w:r w:rsidR="00BF529C" w:rsidRPr="00C0789F">
        <w:t xml:space="preserve">arising </w:t>
      </w:r>
      <w:r w:rsidR="00260D0D" w:rsidRPr="00C0789F">
        <w:t>outside the bladder</w:t>
      </w:r>
      <w:r w:rsidR="00BF529C" w:rsidRPr="00C0789F">
        <w:t xml:space="preserve">, </w:t>
      </w:r>
      <w:r w:rsidRPr="00C0789F">
        <w:t>f</w:t>
      </w:r>
      <w:r w:rsidR="00757072" w:rsidRPr="00C0789F">
        <w:t>rom</w:t>
      </w:r>
      <w:r w:rsidRPr="00C0789F">
        <w:t xml:space="preserve"> the renal pelvis, ureter</w:t>
      </w:r>
      <w:r w:rsidR="00757072" w:rsidRPr="00C0789F">
        <w:t>s</w:t>
      </w:r>
      <w:r w:rsidR="00BF529C" w:rsidRPr="00C0789F">
        <w:t xml:space="preserve"> or </w:t>
      </w:r>
      <w:r w:rsidRPr="00C0789F">
        <w:t xml:space="preserve">urethra. </w:t>
      </w:r>
      <w:r w:rsidR="003167D3" w:rsidRPr="00C0789F">
        <w:t xml:space="preserve">The terms </w:t>
      </w:r>
      <w:r w:rsidR="00761E12" w:rsidRPr="00C0789F">
        <w:t>‘</w:t>
      </w:r>
      <w:r w:rsidR="003167D3" w:rsidRPr="00C0789F">
        <w:t>urothelial cancer</w:t>
      </w:r>
      <w:r w:rsidR="00761E12" w:rsidRPr="00C0789F">
        <w:t>’</w:t>
      </w:r>
      <w:r w:rsidR="003167D3" w:rsidRPr="00C0789F">
        <w:t xml:space="preserve"> and </w:t>
      </w:r>
      <w:r w:rsidR="00761E12" w:rsidRPr="00C0789F">
        <w:t>‘</w:t>
      </w:r>
      <w:r w:rsidR="003167D3" w:rsidRPr="00C0789F">
        <w:t>transitional cell carcinoma</w:t>
      </w:r>
      <w:r w:rsidR="00920EA5" w:rsidRPr="00C0789F">
        <w:t xml:space="preserve"> </w:t>
      </w:r>
      <w:r w:rsidR="003167D3" w:rsidRPr="00C0789F">
        <w:t xml:space="preserve">of the </w:t>
      </w:r>
      <w:proofErr w:type="spellStart"/>
      <w:r w:rsidR="00920EA5" w:rsidRPr="00C0789F">
        <w:t>urothelium</w:t>
      </w:r>
      <w:proofErr w:type="spellEnd"/>
      <w:r w:rsidR="00920EA5" w:rsidRPr="00C0789F">
        <w:t>’</w:t>
      </w:r>
      <w:r w:rsidR="003167D3" w:rsidRPr="00C0789F">
        <w:t xml:space="preserve"> are interchangeable.</w:t>
      </w:r>
      <w:r w:rsidR="00C0789F">
        <w:t xml:space="preserve">  </w:t>
      </w:r>
      <w:r w:rsidR="00C0789F" w:rsidRPr="00C0789F">
        <w:rPr>
          <w:i/>
        </w:rPr>
        <w:lastRenderedPageBreak/>
        <w:t xml:space="preserve">Eligible patients would also include those whose tumours have mixed transitional/non-transitional cell histology.  </w:t>
      </w:r>
    </w:p>
    <w:p w14:paraId="2CDD7A56" w14:textId="588CDA20" w:rsidR="00E83705" w:rsidRPr="00522BC9" w:rsidRDefault="00E83705" w:rsidP="00E83705">
      <w:r w:rsidRPr="00522BC9">
        <w:t>The applicant</w:t>
      </w:r>
      <w:r w:rsidR="00A42357" w:rsidRPr="00522BC9">
        <w:t xml:space="preserve"> has conducted all clinical studies for this treatment in patients with</w:t>
      </w:r>
      <w:r w:rsidRPr="00522BC9">
        <w:t xml:space="preserve"> urothelial cancer. </w:t>
      </w:r>
      <w:r w:rsidR="00A42357" w:rsidRPr="00C0789F">
        <w:t>Using th</w:t>
      </w:r>
      <w:r w:rsidR="00B607EE" w:rsidRPr="00C0789F">
        <w:t>is</w:t>
      </w:r>
      <w:r w:rsidR="00A42357" w:rsidRPr="00C0789F">
        <w:t xml:space="preserve"> tumour type</w:t>
      </w:r>
      <w:r w:rsidRPr="00C0789F">
        <w:t xml:space="preserve"> </w:t>
      </w:r>
      <w:r w:rsidR="00A42357" w:rsidRPr="00C0789F">
        <w:t xml:space="preserve">to define the </w:t>
      </w:r>
      <w:r w:rsidR="00B607EE" w:rsidRPr="00C0789F">
        <w:t xml:space="preserve">treatment </w:t>
      </w:r>
      <w:r w:rsidR="00A42357" w:rsidRPr="00C0789F">
        <w:t xml:space="preserve">population will </w:t>
      </w:r>
      <w:r w:rsidRPr="00C0789F">
        <w:t xml:space="preserve">ensure </w:t>
      </w:r>
      <w:r w:rsidR="00285955" w:rsidRPr="00C0789F">
        <w:t>access for</w:t>
      </w:r>
      <w:r w:rsidRPr="00C0789F">
        <w:t xml:space="preserve"> </w:t>
      </w:r>
      <w:r w:rsidR="00285955" w:rsidRPr="00C0789F">
        <w:t xml:space="preserve">patients </w:t>
      </w:r>
      <w:r w:rsidR="00B607EE" w:rsidRPr="00C0789F">
        <w:t xml:space="preserve">with cancers arising from other urothelial sites </w:t>
      </w:r>
      <w:proofErr w:type="gramStart"/>
      <w:r w:rsidR="00B607EE" w:rsidRPr="00C0789F">
        <w:t>who</w:t>
      </w:r>
      <w:proofErr w:type="gramEnd"/>
      <w:r w:rsidR="00B607EE" w:rsidRPr="00C0789F">
        <w:t xml:space="preserve"> might </w:t>
      </w:r>
      <w:r w:rsidRPr="00C0789F">
        <w:t xml:space="preserve">be excluded </w:t>
      </w:r>
      <w:r w:rsidR="00B607EE" w:rsidRPr="00C0789F">
        <w:t>from therapy if the</w:t>
      </w:r>
      <w:r w:rsidRPr="00C0789F">
        <w:t xml:space="preserve"> population </w:t>
      </w:r>
      <w:r w:rsidR="00B607EE" w:rsidRPr="00C0789F">
        <w:t xml:space="preserve">were limited </w:t>
      </w:r>
      <w:r w:rsidRPr="00C0789F">
        <w:t>to bladder cancer only.</w:t>
      </w:r>
      <w:r w:rsidR="00A42357" w:rsidRPr="00C0789F">
        <w:t xml:space="preserve"> </w:t>
      </w:r>
      <w:r w:rsidR="00E63D0B" w:rsidRPr="00C0789F">
        <w:t>Given that</w:t>
      </w:r>
      <w:r w:rsidR="00A42357" w:rsidRPr="00C0789F">
        <w:t xml:space="preserve"> </w:t>
      </w:r>
      <w:r w:rsidRPr="00C0789F">
        <w:t>non-urothelial bladder cancers are treated differently,</w:t>
      </w:r>
      <w:r w:rsidR="00A42357" w:rsidRPr="00C0789F">
        <w:t xml:space="preserve"> </w:t>
      </w:r>
      <w:r w:rsidRPr="00C0789F">
        <w:t xml:space="preserve">these patients </w:t>
      </w:r>
      <w:r w:rsidR="00DB0B69" w:rsidRPr="00C0789F">
        <w:t>will</w:t>
      </w:r>
      <w:r w:rsidRPr="00C0789F">
        <w:t xml:space="preserve"> not be denied treatment by specifying </w:t>
      </w:r>
      <w:r w:rsidR="002C35D9" w:rsidRPr="00C0789F">
        <w:t>‘</w:t>
      </w:r>
      <w:r w:rsidRPr="00C0789F">
        <w:t xml:space="preserve">urothelial </w:t>
      </w:r>
      <w:r w:rsidR="00A42357" w:rsidRPr="00C0789F">
        <w:t>cancer</w:t>
      </w:r>
      <w:r w:rsidR="002C35D9" w:rsidRPr="00C0789F">
        <w:t>’</w:t>
      </w:r>
      <w:r w:rsidR="00A42357" w:rsidRPr="00C0789F">
        <w:t xml:space="preserve"> rather than</w:t>
      </w:r>
      <w:r w:rsidRPr="00C0789F">
        <w:t xml:space="preserve"> bladder</w:t>
      </w:r>
      <w:r w:rsidR="00A42357" w:rsidRPr="00C0789F">
        <w:t xml:space="preserve"> cancer</w:t>
      </w:r>
      <w:r w:rsidRPr="00C0789F">
        <w:t>.</w:t>
      </w:r>
    </w:p>
    <w:p w14:paraId="3C654F28" w14:textId="3269DF3B" w:rsidR="003A10D9" w:rsidRPr="00C0789F" w:rsidRDefault="00E83705" w:rsidP="00727C4B">
      <w:r w:rsidRPr="00C0789F">
        <w:t>T</w:t>
      </w:r>
      <w:r w:rsidR="00200525" w:rsidRPr="00C0789F">
        <w:t>he A</w:t>
      </w:r>
      <w:r w:rsidR="00356492" w:rsidRPr="00C0789F">
        <w:t xml:space="preserve">ustralian </w:t>
      </w:r>
      <w:r w:rsidR="00200525" w:rsidRPr="00C0789F">
        <w:t>I</w:t>
      </w:r>
      <w:r w:rsidR="00356492" w:rsidRPr="00C0789F">
        <w:t xml:space="preserve">nstitute of </w:t>
      </w:r>
      <w:r w:rsidR="00200525" w:rsidRPr="00C0789F">
        <w:t>H</w:t>
      </w:r>
      <w:r w:rsidR="00356492" w:rsidRPr="00C0789F">
        <w:t xml:space="preserve">ealth and </w:t>
      </w:r>
      <w:r w:rsidR="00200525" w:rsidRPr="00C0789F">
        <w:t>W</w:t>
      </w:r>
      <w:r w:rsidRPr="00C0789F">
        <w:t>elfare (</w:t>
      </w:r>
      <w:r w:rsidR="00356492" w:rsidRPr="00C0789F">
        <w:t>AIHW</w:t>
      </w:r>
      <w:r w:rsidR="00200525" w:rsidRPr="00C0789F">
        <w:t xml:space="preserve">) </w:t>
      </w:r>
      <w:r w:rsidR="00696D89" w:rsidRPr="00C0789F">
        <w:t>reports</w:t>
      </w:r>
      <w:r w:rsidR="00200525" w:rsidRPr="00C0789F">
        <w:t xml:space="preserve"> bladder cance</w:t>
      </w:r>
      <w:r w:rsidRPr="00C0789F">
        <w:t>r</w:t>
      </w:r>
      <w:r w:rsidR="00696D89" w:rsidRPr="00C0789F">
        <w:t xml:space="preserve"> statistics but not </w:t>
      </w:r>
      <w:r w:rsidR="00850EB1" w:rsidRPr="00C0789F">
        <w:t>urothelial cancers of the re</w:t>
      </w:r>
      <w:r w:rsidR="00761E12" w:rsidRPr="00C0789F">
        <w:t>nal pelvis, ureter and urethra</w:t>
      </w:r>
      <w:r w:rsidR="00A42357" w:rsidRPr="00C0789F">
        <w:t>. T</w:t>
      </w:r>
      <w:r w:rsidRPr="00C0789F">
        <w:t xml:space="preserve">here are few data that describe the incidence </w:t>
      </w:r>
      <w:r w:rsidR="00850EB1" w:rsidRPr="00C0789F">
        <w:t xml:space="preserve">these </w:t>
      </w:r>
      <w:proofErr w:type="gramStart"/>
      <w:r w:rsidR="00850EB1" w:rsidRPr="00C0789F">
        <w:t>tumours</w:t>
      </w:r>
      <w:r w:rsidR="00694DC5" w:rsidRPr="00C0789F">
        <w:t>,</w:t>
      </w:r>
      <w:proofErr w:type="gramEnd"/>
      <w:r w:rsidR="00694DC5" w:rsidRPr="00C0789F">
        <w:t xml:space="preserve"> though they are expected to be rare (transitional cell carcinoma of the renal pelvis may also be reported as renal </w:t>
      </w:r>
      <w:r w:rsidR="00032FA4" w:rsidRPr="00C0789F">
        <w:t>tumours</w:t>
      </w:r>
      <w:r w:rsidR="00694DC5" w:rsidRPr="00C0789F">
        <w:t>)</w:t>
      </w:r>
      <w:r w:rsidR="00200525" w:rsidRPr="00C0789F">
        <w:t xml:space="preserve">.  </w:t>
      </w:r>
    </w:p>
    <w:p w14:paraId="420D5601" w14:textId="14A934EA" w:rsidR="0011681C" w:rsidRPr="00C0789F" w:rsidRDefault="0011681C" w:rsidP="005D2403">
      <w:pPr>
        <w:rPr>
          <w:u w:val="single"/>
        </w:rPr>
      </w:pPr>
      <w:r w:rsidRPr="00C0789F">
        <w:rPr>
          <w:u w:val="single"/>
        </w:rPr>
        <w:t>Other Factors</w:t>
      </w:r>
    </w:p>
    <w:p w14:paraId="305D89FF" w14:textId="30D49E13" w:rsidR="000009B5" w:rsidRPr="00C0789F" w:rsidRDefault="00A05573" w:rsidP="005D2403">
      <w:r w:rsidRPr="00C0789F">
        <w:t>A brief survey of available guidelines</w:t>
      </w:r>
      <w:r w:rsidR="001F2C27" w:rsidRPr="00C0789F">
        <w:t>,</w:t>
      </w:r>
      <w:r w:rsidR="00920EA5" w:rsidRPr="00C0789F">
        <w:t xml:space="preserve"> both local</w:t>
      </w:r>
      <w:r w:rsidR="00920EA5" w:rsidRPr="00C0789F">
        <w:rPr>
          <w:rStyle w:val="FootnoteReference"/>
        </w:rPr>
        <w:footnoteReference w:id="7"/>
      </w:r>
      <w:r w:rsidR="00920EA5" w:rsidRPr="00C0789F">
        <w:t xml:space="preserve"> and international</w:t>
      </w:r>
      <w:r w:rsidR="000D7264" w:rsidRPr="00C0789F">
        <w:rPr>
          <w:rStyle w:val="FootnoteReference"/>
        </w:rPr>
        <w:footnoteReference w:id="8"/>
      </w:r>
      <w:r w:rsidR="001F2C27" w:rsidRPr="00C0789F">
        <w:t>,</w:t>
      </w:r>
      <w:r w:rsidRPr="00C0789F">
        <w:t xml:space="preserve"> </w:t>
      </w:r>
      <w:r w:rsidR="00607382" w:rsidRPr="00C0789F">
        <w:t>indicates</w:t>
      </w:r>
      <w:r w:rsidR="00200525" w:rsidRPr="00C0789F">
        <w:t xml:space="preserve"> </w:t>
      </w:r>
      <w:r w:rsidRPr="00C0789F">
        <w:t>clinical practice i</w:t>
      </w:r>
      <w:r w:rsidR="00696D89" w:rsidRPr="00C0789F">
        <w:t>s to differentiate according to</w:t>
      </w:r>
      <w:r w:rsidRPr="00C0789F">
        <w:t xml:space="preserve"> non-muscle invasive versus muscle invasive disease.</w:t>
      </w:r>
      <w:r w:rsidR="00200525" w:rsidRPr="00C0789F">
        <w:t xml:space="preserve"> </w:t>
      </w:r>
      <w:r w:rsidR="0062703C" w:rsidRPr="00C0789F">
        <w:t>T</w:t>
      </w:r>
      <w:r w:rsidR="000009B5" w:rsidRPr="00C0789F">
        <w:t>he DANUBE trial will report on invasive versus non-invasive disease</w:t>
      </w:r>
      <w:r w:rsidR="007173C6" w:rsidRPr="00C0789F">
        <w:t xml:space="preserve"> status as an </w:t>
      </w:r>
      <w:r w:rsidR="000009B5" w:rsidRPr="00C0789F">
        <w:t>assessment</w:t>
      </w:r>
      <w:r w:rsidR="007173C6" w:rsidRPr="00C0789F">
        <w:t xml:space="preserve"> at baseline</w:t>
      </w:r>
      <w:r w:rsidR="00696D89" w:rsidRPr="00C0789F">
        <w:t xml:space="preserve"> (</w:t>
      </w:r>
      <w:r w:rsidR="00C04385" w:rsidRPr="00C0789F">
        <w:t>t</w:t>
      </w:r>
      <w:r w:rsidR="00285955" w:rsidRPr="00C0789F">
        <w:t>he SBA</w:t>
      </w:r>
      <w:r w:rsidR="00C04385" w:rsidRPr="00C0789F">
        <w:t xml:space="preserve"> should state the proportions of type</w:t>
      </w:r>
      <w:r w:rsidR="00696D89" w:rsidRPr="00C0789F">
        <w:t>)</w:t>
      </w:r>
      <w:r w:rsidR="00A13F70" w:rsidRPr="00C0789F">
        <w:t>.  The</w:t>
      </w:r>
      <w:r w:rsidR="007173C6" w:rsidRPr="00C0789F">
        <w:t xml:space="preserve"> majority of</w:t>
      </w:r>
      <w:r w:rsidR="00A42357" w:rsidRPr="00C0789F">
        <w:t>,</w:t>
      </w:r>
      <w:r w:rsidR="007173C6" w:rsidRPr="00C0789F">
        <w:t xml:space="preserve"> if not all</w:t>
      </w:r>
      <w:r w:rsidR="00A42357" w:rsidRPr="00C0789F">
        <w:t>,</w:t>
      </w:r>
      <w:r w:rsidR="007173C6" w:rsidRPr="00C0789F">
        <w:t xml:space="preserve"> patients with stage IV disease are likely to have muscle invasive tumours.</w:t>
      </w:r>
      <w:r w:rsidR="000009B5" w:rsidRPr="00C0789F">
        <w:t xml:space="preserve">  </w:t>
      </w:r>
    </w:p>
    <w:p w14:paraId="08A99DEB" w14:textId="25A2E5AE" w:rsidR="0011681C" w:rsidRPr="00522BC9" w:rsidRDefault="00B10C73" w:rsidP="0011681C">
      <w:r w:rsidRPr="00522BC9">
        <w:t>The applicant states that</w:t>
      </w:r>
      <w:r w:rsidR="0011681C" w:rsidRPr="00522BC9">
        <w:t xml:space="preserve"> only </w:t>
      </w:r>
      <w:r w:rsidRPr="00522BC9">
        <w:t>patients</w:t>
      </w:r>
      <w:r w:rsidR="0011681C" w:rsidRPr="00522BC9">
        <w:t xml:space="preserve"> suitable for systemic anticancer therapy will be eligible for testing.  Those that are unsuitable constitute ap</w:t>
      </w:r>
      <w:r w:rsidR="0011681C" w:rsidRPr="00C0789F">
        <w:t>proximately 20% of stage IV patients and would normally receive best supportive care – this clinical management will remain unchanged even if the proposed test/treatments are listed.  Testing in</w:t>
      </w:r>
      <w:r w:rsidR="00607382" w:rsidRPr="00C0789F">
        <w:t xml:space="preserve"> these</w:t>
      </w:r>
      <w:r w:rsidR="0011681C" w:rsidRPr="00C0789F">
        <w:t xml:space="preserve"> patients would be inappropriate. </w:t>
      </w:r>
    </w:p>
    <w:p w14:paraId="6E1BF831" w14:textId="05142203" w:rsidR="0011681C" w:rsidRPr="00522BC9" w:rsidRDefault="0011681C" w:rsidP="0011681C">
      <w:r w:rsidRPr="00522BC9">
        <w:t>Patients unsuited to systemic therapy are those with poor performance status and/or comorbidities.  This would include patients with a history of heavy smoki</w:t>
      </w:r>
      <w:r w:rsidRPr="00C0789F">
        <w:t xml:space="preserve">ng and severe comorbidities from chronic airway disease or cardiovascular disease.  </w:t>
      </w:r>
      <w:r w:rsidR="00881F9F" w:rsidRPr="00E518BA">
        <w:t>Comorbidities are common in this group of patients</w:t>
      </w:r>
      <w:r w:rsidR="00607382" w:rsidRPr="00E518BA">
        <w:t>, who have</w:t>
      </w:r>
      <w:r w:rsidR="00881F9F" w:rsidRPr="00522BC9">
        <w:t xml:space="preserve"> an</w:t>
      </w:r>
      <w:r w:rsidR="006061B3" w:rsidRPr="00522BC9">
        <w:t xml:space="preserve"> </w:t>
      </w:r>
      <w:r w:rsidR="00881F9F" w:rsidRPr="00522BC9">
        <w:t>average age at diagno</w:t>
      </w:r>
      <w:r w:rsidR="00607382" w:rsidRPr="00522BC9">
        <w:t>sis of approximately 75 years (</w:t>
      </w:r>
      <w:r w:rsidR="00881F9F" w:rsidRPr="00522BC9">
        <w:t xml:space="preserve">see below).  </w:t>
      </w:r>
    </w:p>
    <w:p w14:paraId="0906D76D" w14:textId="77777777" w:rsidR="002F6A0B" w:rsidRPr="00C0789F" w:rsidRDefault="002F6A0B" w:rsidP="006061B3">
      <w:pPr>
        <w:keepNext/>
        <w:rPr>
          <w:u w:val="single"/>
        </w:rPr>
      </w:pPr>
      <w:r w:rsidRPr="00C0789F">
        <w:rPr>
          <w:u w:val="single"/>
        </w:rPr>
        <w:t>Test timing</w:t>
      </w:r>
    </w:p>
    <w:p w14:paraId="3CE84070" w14:textId="6DA7B4CE" w:rsidR="00850EB1" w:rsidRPr="00522BC9" w:rsidRDefault="001D2D22" w:rsidP="000F5B92">
      <w:r w:rsidRPr="00522BC9">
        <w:t xml:space="preserve">All patients with stage IV urothelial cancer and who meet the criteria below would be eligible for the test.  </w:t>
      </w:r>
      <w:r w:rsidR="00A57A29" w:rsidRPr="00522BC9">
        <w:t xml:space="preserve">The timing for testing is </w:t>
      </w:r>
      <w:r w:rsidRPr="00522BC9">
        <w:t>as follows</w:t>
      </w:r>
      <w:r w:rsidR="00850EB1" w:rsidRPr="00522BC9">
        <w:t>:</w:t>
      </w:r>
    </w:p>
    <w:p w14:paraId="756CF45E" w14:textId="6FBCD3A1" w:rsidR="00C0789F" w:rsidRPr="00C0789F" w:rsidRDefault="00C0789F" w:rsidP="0011681C">
      <w:pPr>
        <w:pStyle w:val="ListParagraph"/>
        <w:numPr>
          <w:ilvl w:val="0"/>
          <w:numId w:val="14"/>
        </w:numPr>
        <w:rPr>
          <w:i/>
        </w:rPr>
      </w:pPr>
      <w:r w:rsidRPr="00C0789F">
        <w:rPr>
          <w:i/>
        </w:rPr>
        <w:t xml:space="preserve">After identification of </w:t>
      </w:r>
      <w:r w:rsidR="00136364">
        <w:rPr>
          <w:i/>
        </w:rPr>
        <w:t xml:space="preserve">primary </w:t>
      </w:r>
      <w:r w:rsidRPr="00C0789F">
        <w:rPr>
          <w:i/>
        </w:rPr>
        <w:t>tumour</w:t>
      </w:r>
      <w:r>
        <w:rPr>
          <w:i/>
        </w:rPr>
        <w:t>(s)</w:t>
      </w:r>
      <w:r w:rsidRPr="00C0789F">
        <w:rPr>
          <w:i/>
        </w:rPr>
        <w:t xml:space="preserve"> </w:t>
      </w:r>
      <w:r>
        <w:rPr>
          <w:i/>
        </w:rPr>
        <w:t>of</w:t>
      </w:r>
      <w:r w:rsidRPr="00C0789F">
        <w:rPr>
          <w:i/>
        </w:rPr>
        <w:t xml:space="preserve"> the renal pelvis, ureters, urinary bladder or urethra;</w:t>
      </w:r>
    </w:p>
    <w:p w14:paraId="10FC2C41" w14:textId="2F685BF9" w:rsidR="00E83705" w:rsidRPr="00C0789F" w:rsidRDefault="00850EB1" w:rsidP="0011681C">
      <w:pPr>
        <w:pStyle w:val="ListParagraph"/>
        <w:numPr>
          <w:ilvl w:val="0"/>
          <w:numId w:val="14"/>
        </w:numPr>
      </w:pPr>
      <w:r w:rsidRPr="00C0789F">
        <w:t>A</w:t>
      </w:r>
      <w:r w:rsidR="00844529" w:rsidRPr="00C0789F">
        <w:t xml:space="preserve">fter diagnosis of stage IV disease; </w:t>
      </w:r>
    </w:p>
    <w:p w14:paraId="407BA32D" w14:textId="4AD461D8" w:rsidR="00A57A29" w:rsidRPr="00C0789F" w:rsidRDefault="00A57A29" w:rsidP="00A57A29">
      <w:pPr>
        <w:pStyle w:val="ListParagraph"/>
        <w:numPr>
          <w:ilvl w:val="0"/>
          <w:numId w:val="14"/>
        </w:numPr>
      </w:pPr>
      <w:r w:rsidRPr="00C0789F">
        <w:t>After histological confirmation of urothelial cancer</w:t>
      </w:r>
      <w:r w:rsidR="00C0789F" w:rsidRPr="00C0789F">
        <w:rPr>
          <w:i/>
        </w:rPr>
        <w:t>, including tumours of mixed histology</w:t>
      </w:r>
      <w:r w:rsidRPr="00C0789F">
        <w:t xml:space="preserve">; </w:t>
      </w:r>
    </w:p>
    <w:p w14:paraId="04DA05F1" w14:textId="41A656FE" w:rsidR="00850EB1" w:rsidRPr="00E518BA" w:rsidRDefault="00850EB1" w:rsidP="0011681C">
      <w:pPr>
        <w:pStyle w:val="ListParagraph"/>
        <w:numPr>
          <w:ilvl w:val="0"/>
          <w:numId w:val="14"/>
        </w:numPr>
      </w:pPr>
      <w:r w:rsidRPr="00E518BA">
        <w:t>After having ruled out patients unsuitable for systemic anticancer therapy;</w:t>
      </w:r>
    </w:p>
    <w:p w14:paraId="20276C8F" w14:textId="0B69F47B" w:rsidR="00E83705" w:rsidRPr="00522BC9" w:rsidRDefault="00850EB1" w:rsidP="0011681C">
      <w:pPr>
        <w:pStyle w:val="ListParagraph"/>
        <w:numPr>
          <w:ilvl w:val="0"/>
          <w:numId w:val="14"/>
        </w:numPr>
      </w:pPr>
      <w:r w:rsidRPr="00522BC9">
        <w:t>A</w:t>
      </w:r>
      <w:r w:rsidR="00E83705" w:rsidRPr="00522BC9">
        <w:t xml:space="preserve">fter </w:t>
      </w:r>
      <w:r w:rsidRPr="00522BC9">
        <w:t>ruling out</w:t>
      </w:r>
      <w:r w:rsidR="00E83705" w:rsidRPr="00522BC9">
        <w:t xml:space="preserve"> patients whose tumours make them </w:t>
      </w:r>
      <w:r w:rsidRPr="00522BC9">
        <w:t>candidates</w:t>
      </w:r>
      <w:r w:rsidR="00E83705" w:rsidRPr="00522BC9">
        <w:t xml:space="preserve"> for resection;</w:t>
      </w:r>
    </w:p>
    <w:p w14:paraId="440AF0A0" w14:textId="2B592AE5" w:rsidR="00E83705" w:rsidRPr="00522BC9" w:rsidRDefault="00850EB1" w:rsidP="0011681C">
      <w:pPr>
        <w:pStyle w:val="ListParagraph"/>
        <w:numPr>
          <w:ilvl w:val="0"/>
          <w:numId w:val="14"/>
        </w:numPr>
      </w:pPr>
      <w:r w:rsidRPr="00522BC9">
        <w:t>P</w:t>
      </w:r>
      <w:r w:rsidR="00D817BF" w:rsidRPr="00522BC9">
        <w:t>rior to selection of</w:t>
      </w:r>
      <w:r w:rsidR="00844529" w:rsidRPr="00522BC9">
        <w:t xml:space="preserve"> first line therapies</w:t>
      </w:r>
      <w:r w:rsidRPr="00522BC9">
        <w:t xml:space="preserve"> </w:t>
      </w:r>
      <w:r w:rsidRPr="00C0789F">
        <w:t xml:space="preserve">(precluding any patients who have trialled, or found to be intolerant to, another </w:t>
      </w:r>
      <w:r w:rsidR="007169D8" w:rsidRPr="00C0789F">
        <w:t xml:space="preserve">first line </w:t>
      </w:r>
      <w:r w:rsidRPr="00C0789F">
        <w:t>treatment)</w:t>
      </w:r>
      <w:r w:rsidR="00053CBE" w:rsidRPr="00522BC9">
        <w:t xml:space="preserve">; </w:t>
      </w:r>
    </w:p>
    <w:p w14:paraId="580B7432" w14:textId="0B249AC6" w:rsidR="0011681C" w:rsidRDefault="0011681C" w:rsidP="002F6A0B">
      <w:pPr>
        <w:rPr>
          <w:i/>
        </w:rPr>
      </w:pPr>
      <w:r w:rsidRPr="00522BC9">
        <w:lastRenderedPageBreak/>
        <w:t>The</w:t>
      </w:r>
      <w:r w:rsidR="007169D8" w:rsidRPr="00522BC9">
        <w:t xml:space="preserve"> PD-L1</w:t>
      </w:r>
      <w:r w:rsidRPr="00522BC9">
        <w:t xml:space="preserve"> test would be ordered for the subset of patients being considered</w:t>
      </w:r>
      <w:r w:rsidR="00607382" w:rsidRPr="00522BC9">
        <w:t xml:space="preserve"> by the specialist</w:t>
      </w:r>
      <w:r w:rsidRPr="00522BC9">
        <w:t xml:space="preserve"> for </w:t>
      </w:r>
      <w:proofErr w:type="spellStart"/>
      <w:r w:rsidRPr="00522BC9">
        <w:t>durvalumab</w:t>
      </w:r>
      <w:proofErr w:type="spellEnd"/>
      <w:r w:rsidRPr="00522BC9">
        <w:t xml:space="preserve"> monotherapy or combination treatment, once a confirmed diagnosis was in hand and each of the factors above had been considered.  </w:t>
      </w:r>
      <w:r w:rsidR="007173C6" w:rsidRPr="00C0789F">
        <w:t xml:space="preserve">This is the test-eligible population.  </w:t>
      </w:r>
      <w:r w:rsidR="00136364" w:rsidRPr="00136364">
        <w:rPr>
          <w:i/>
        </w:rPr>
        <w:t>Patients in this population who have progressed from earlier stage disease would require a re-biopsy to establish PD</w:t>
      </w:r>
      <w:r w:rsidR="00136364">
        <w:rPr>
          <w:i/>
        </w:rPr>
        <w:noBreakHyphen/>
      </w:r>
      <w:r w:rsidR="00136364" w:rsidRPr="00136364">
        <w:rPr>
          <w:i/>
        </w:rPr>
        <w:t xml:space="preserve">L1 expression status.  </w:t>
      </w:r>
    </w:p>
    <w:p w14:paraId="655D01C5" w14:textId="61F76253" w:rsidR="001D2D22" w:rsidRPr="00522BC9" w:rsidRDefault="00136364" w:rsidP="002F6A0B">
      <w:r>
        <w:rPr>
          <w:i/>
        </w:rPr>
        <w:t>After dete</w:t>
      </w:r>
      <w:r w:rsidR="00843A70">
        <w:rPr>
          <w:i/>
        </w:rPr>
        <w:t xml:space="preserve">rmination of PD-L1 status, </w:t>
      </w:r>
      <w:r>
        <w:rPr>
          <w:i/>
        </w:rPr>
        <w:t xml:space="preserve">patients </w:t>
      </w:r>
      <w:r w:rsidR="00843A70">
        <w:rPr>
          <w:i/>
        </w:rPr>
        <w:t>are divided into two groups</w:t>
      </w:r>
      <w:r>
        <w:rPr>
          <w:i/>
        </w:rPr>
        <w:t xml:space="preserve">– those with high PD-L1 expression and those with no or low PD-L1 expression.  These are the treatment-eligible populations.  </w:t>
      </w:r>
      <w:r w:rsidR="00843A70">
        <w:rPr>
          <w:i/>
        </w:rPr>
        <w:t xml:space="preserve">Test negative patients are included in the second population. </w:t>
      </w:r>
      <w:r w:rsidR="001D2D22" w:rsidRPr="00522BC9">
        <w:t>This test is to determine PBS treatment eligibility and not as a p</w:t>
      </w:r>
      <w:r w:rsidR="00696D89" w:rsidRPr="00522BC9">
        <w:t>rognostic or diagnostic test of</w:t>
      </w:r>
      <w:r w:rsidR="001D2D22" w:rsidRPr="00522BC9">
        <w:t xml:space="preserve"> patients at </w:t>
      </w:r>
      <w:r w:rsidR="00A57A29" w:rsidRPr="00522BC9">
        <w:t xml:space="preserve">initial </w:t>
      </w:r>
      <w:r w:rsidR="001D2D22" w:rsidRPr="00C0789F">
        <w:t xml:space="preserve">diagnosis </w:t>
      </w:r>
      <w:r w:rsidR="00A57A29" w:rsidRPr="00C0789F">
        <w:t>/</w:t>
      </w:r>
      <w:r w:rsidR="001D2D22" w:rsidRPr="00C0789F">
        <w:t xml:space="preserve"> presentation. </w:t>
      </w:r>
      <w:r w:rsidR="00607382" w:rsidRPr="00C0789F">
        <w:t>T</w:t>
      </w:r>
      <w:r w:rsidR="001D2D22" w:rsidRPr="00C0789F">
        <w:t xml:space="preserve">his test is not being proposed for reflex testing.  </w:t>
      </w:r>
    </w:p>
    <w:p w14:paraId="071EF649" w14:textId="77777777" w:rsidR="008743C0" w:rsidRPr="00C0789F" w:rsidRDefault="008743C0" w:rsidP="00053CBE">
      <w:pPr>
        <w:keepNext/>
        <w:rPr>
          <w:u w:val="single"/>
        </w:rPr>
      </w:pPr>
      <w:r w:rsidRPr="00C0789F">
        <w:rPr>
          <w:u w:val="single"/>
        </w:rPr>
        <w:t>Prevalence and / or incidence of the population or disease in question</w:t>
      </w:r>
    </w:p>
    <w:p w14:paraId="49DB054B" w14:textId="0E8B2CA0" w:rsidR="000826B3" w:rsidRPr="00C0789F" w:rsidRDefault="000826B3" w:rsidP="000826B3">
      <w:r w:rsidRPr="00522BC9">
        <w:t>The AIHW report</w:t>
      </w:r>
      <w:r w:rsidR="00372624" w:rsidRPr="00522BC9">
        <w:t>s</w:t>
      </w:r>
      <w:r w:rsidRPr="00522BC9">
        <w:t xml:space="preserve"> that in 2013</w:t>
      </w:r>
      <w:r w:rsidR="00372624" w:rsidRPr="00522BC9">
        <w:rPr>
          <w:rStyle w:val="FootnoteReference"/>
        </w:rPr>
        <w:footnoteReference w:id="9"/>
      </w:r>
      <w:r w:rsidRPr="00522BC9">
        <w:t>, there were 1957 new bladder cancer cases in men and 598 new cases in women</w:t>
      </w:r>
      <w:r w:rsidR="00372624" w:rsidRPr="00522BC9">
        <w:t xml:space="preserve"> (2555 total)</w:t>
      </w:r>
      <w:r w:rsidRPr="00C0789F">
        <w:t>.</w:t>
      </w:r>
      <w:r w:rsidRPr="00522BC9">
        <w:t xml:space="preserve"> </w:t>
      </w:r>
      <w:r w:rsidR="00372624" w:rsidRPr="00522BC9">
        <w:t xml:space="preserve">This translates to </w:t>
      </w:r>
      <w:r w:rsidR="0052559F" w:rsidRPr="00522BC9">
        <w:t xml:space="preserve">age-standardised </w:t>
      </w:r>
      <w:r w:rsidR="00372624" w:rsidRPr="00522BC9">
        <w:t>incidence rate</w:t>
      </w:r>
      <w:r w:rsidR="0052559F" w:rsidRPr="00522BC9">
        <w:t>s</w:t>
      </w:r>
      <w:r w:rsidR="00372624" w:rsidRPr="00522BC9">
        <w:t xml:space="preserve"> per 100,000 of </w:t>
      </w:r>
      <w:r w:rsidR="0052559F" w:rsidRPr="00C0789F">
        <w:t>16.5</w:t>
      </w:r>
      <w:r w:rsidR="00372624" w:rsidRPr="00C0789F">
        <w:t xml:space="preserve"> men</w:t>
      </w:r>
      <w:r w:rsidR="0052559F" w:rsidRPr="00E518BA">
        <w:t xml:space="preserve"> and 4</w:t>
      </w:r>
      <w:r w:rsidR="00372624" w:rsidRPr="00E518BA">
        <w:t xml:space="preserve">.1 women </w:t>
      </w:r>
      <w:r w:rsidR="0052559F" w:rsidRPr="00E91F3D">
        <w:t>(9.7</w:t>
      </w:r>
      <w:r w:rsidR="00372624" w:rsidRPr="00EC1354">
        <w:t xml:space="preserve"> in total</w:t>
      </w:r>
      <w:r w:rsidR="0052559F" w:rsidRPr="00EC1354">
        <w:t>)</w:t>
      </w:r>
      <w:r w:rsidR="00372624" w:rsidRPr="00EC1354">
        <w:t xml:space="preserve">, new cases of bladder cancer per year in Australia. </w:t>
      </w:r>
      <w:r w:rsidR="00BD0B80" w:rsidRPr="00EC1354">
        <w:t xml:space="preserve">The disease is rare in individuals younger than 50 years old.  </w:t>
      </w:r>
      <w:r w:rsidR="00157588" w:rsidRPr="00522BC9">
        <w:t xml:space="preserve">In 2014, mortality due to bladder cancer was 735 deaths in men (age-standardised 6.1 per 100,000 per year) and 305 deaths </w:t>
      </w:r>
      <w:r w:rsidR="005D2403" w:rsidRPr="00522BC9">
        <w:t xml:space="preserve">in woman </w:t>
      </w:r>
      <w:r w:rsidR="00157588" w:rsidRPr="00522BC9">
        <w:t>(age-standardised 1.9 per 100,000</w:t>
      </w:r>
      <w:r w:rsidR="005D2403" w:rsidRPr="00522BC9">
        <w:t xml:space="preserve"> per year</w:t>
      </w:r>
      <w:r w:rsidR="00157588" w:rsidRPr="00522BC9">
        <w:t>).</w:t>
      </w:r>
      <w:r w:rsidR="005D2403" w:rsidRPr="00522BC9">
        <w:t xml:space="preserve"> </w:t>
      </w:r>
      <w:r w:rsidR="00157588" w:rsidRPr="00522BC9">
        <w:t xml:space="preserve">Although incidence is higher in men; </w:t>
      </w:r>
      <w:r w:rsidR="005D2403" w:rsidRPr="00522BC9">
        <w:t>survival for</w:t>
      </w:r>
      <w:r w:rsidR="00157588" w:rsidRPr="00522BC9">
        <w:t xml:space="preserve"> women</w:t>
      </w:r>
      <w:r w:rsidR="005D2403" w:rsidRPr="00522BC9">
        <w:t xml:space="preserve"> is</w:t>
      </w:r>
      <w:r w:rsidR="00157588" w:rsidRPr="00522BC9">
        <w:t xml:space="preserve"> consistently worse. </w:t>
      </w:r>
      <w:r w:rsidR="005D2403" w:rsidRPr="00522BC9">
        <w:rPr>
          <w:vertAlign w:val="superscript"/>
        </w:rPr>
        <w:t xml:space="preserve"> </w:t>
      </w:r>
      <w:r w:rsidR="006061B3" w:rsidRPr="00522BC9">
        <w:t xml:space="preserve">According to Cancer Australia, bladder cancer has a 5-year relative survival for males of 55.5% </w:t>
      </w:r>
      <w:r w:rsidR="00881F9F" w:rsidRPr="00522BC9">
        <w:t>but only</w:t>
      </w:r>
      <w:r w:rsidR="006061B3" w:rsidRPr="00522BC9">
        <w:t xml:space="preserve"> females of 46.1% (at diagnosis, cases in 2009-2013)</w:t>
      </w:r>
      <w:r w:rsidR="006061B3" w:rsidRPr="00522BC9">
        <w:rPr>
          <w:rStyle w:val="FootnoteReference"/>
        </w:rPr>
        <w:footnoteReference w:id="10"/>
      </w:r>
      <w:r w:rsidR="005D2403" w:rsidRPr="00522BC9">
        <w:t xml:space="preserve">.  </w:t>
      </w:r>
      <w:r w:rsidR="0062703C" w:rsidRPr="00522BC9">
        <w:t>The same data show</w:t>
      </w:r>
      <w:r w:rsidR="00881F9F" w:rsidRPr="00522BC9">
        <w:t xml:space="preserve"> that the mean age at diagnosis in Australia</w:t>
      </w:r>
      <w:r w:rsidR="006061B3" w:rsidRPr="00C0789F">
        <w:t xml:space="preserve"> is </w:t>
      </w:r>
      <w:r w:rsidR="00881F9F" w:rsidRPr="00C0789F">
        <w:t xml:space="preserve">74.4 (males) or 75.6 (females).  </w:t>
      </w:r>
    </w:p>
    <w:p w14:paraId="6F9D9446" w14:textId="45BABC44" w:rsidR="00BD0B80" w:rsidRPr="00C0789F" w:rsidRDefault="000009B5" w:rsidP="000826B3">
      <w:r w:rsidRPr="00C0789F">
        <w:t>The AIHW</w:t>
      </w:r>
      <w:r w:rsidR="00BD0B80" w:rsidRPr="00C0789F">
        <w:t xml:space="preserve"> does not </w:t>
      </w:r>
      <w:r w:rsidR="001778F3" w:rsidRPr="00C0789F">
        <w:t xml:space="preserve">report </w:t>
      </w:r>
      <w:r w:rsidR="007B1951" w:rsidRPr="00C0789F">
        <w:t xml:space="preserve">on </w:t>
      </w:r>
      <w:r w:rsidR="00BB6271" w:rsidRPr="00C0789F">
        <w:t xml:space="preserve">this </w:t>
      </w:r>
      <w:r w:rsidR="001778F3" w:rsidRPr="00C0789F">
        <w:t>tumour type</w:t>
      </w:r>
      <w:r w:rsidRPr="00C0789F">
        <w:t xml:space="preserve">, thus </w:t>
      </w:r>
      <w:r w:rsidR="00285955" w:rsidRPr="00C0789F">
        <w:t xml:space="preserve">any available </w:t>
      </w:r>
      <w:r w:rsidRPr="00C0789F">
        <w:t>data on incidence of the ‘non-bladder’ urothelial tumours (renal pelvis, ureters and urethra) should be included in the SBA</w:t>
      </w:r>
      <w:r w:rsidR="00BD0B80" w:rsidRPr="00C0789F">
        <w:t xml:space="preserve">. </w:t>
      </w:r>
      <w:r w:rsidR="00CB59EC" w:rsidRPr="00C0789F">
        <w:t>Nevertheless, i</w:t>
      </w:r>
      <w:r w:rsidR="00B90B3D" w:rsidRPr="00C0789F">
        <w:t>f bladder tumour</w:t>
      </w:r>
      <w:r w:rsidR="00173083" w:rsidRPr="00C0789F">
        <w:t>s</w:t>
      </w:r>
      <w:r w:rsidR="00B90B3D" w:rsidRPr="00C0789F">
        <w:t xml:space="preserve"> </w:t>
      </w:r>
      <w:r w:rsidR="00CB59EC" w:rsidRPr="00C0789F">
        <w:t>are</w:t>
      </w:r>
      <w:r w:rsidR="00B90B3D" w:rsidRPr="00C0789F">
        <w:t xml:space="preserve"> 90% of urothelial cancers, then based on AIHW figures above:</w:t>
      </w:r>
    </w:p>
    <w:p w14:paraId="18DC0608" w14:textId="462FF619" w:rsidR="00B90B3D" w:rsidRPr="00C0789F" w:rsidRDefault="00B90B3D" w:rsidP="00B90B3D">
      <w:pPr>
        <w:pStyle w:val="ListParagraph"/>
        <w:numPr>
          <w:ilvl w:val="0"/>
          <w:numId w:val="24"/>
        </w:numPr>
      </w:pPr>
      <w:r w:rsidRPr="00C0789F">
        <w:t>All urothelial tumours = 2,174 men; 664 women; or 2,839 total new cases in 2013</w:t>
      </w:r>
    </w:p>
    <w:p w14:paraId="20AC7DAE" w14:textId="3900F6D9" w:rsidR="00B90B3D" w:rsidRPr="00C0789F" w:rsidRDefault="00B90B3D" w:rsidP="00B90B3D">
      <w:pPr>
        <w:pStyle w:val="ListParagraph"/>
        <w:numPr>
          <w:ilvl w:val="0"/>
          <w:numId w:val="24"/>
        </w:numPr>
      </w:pPr>
      <w:r w:rsidRPr="00C0789F">
        <w:t>Of which tumours in ureters, renal pelvis and urethra = 217 men; 66 women; or 284 total patients</w:t>
      </w:r>
    </w:p>
    <w:p w14:paraId="689210A8" w14:textId="5E1215CA" w:rsidR="00B90B3D" w:rsidRPr="00136364" w:rsidRDefault="00B90B3D" w:rsidP="000826B3">
      <w:r w:rsidRPr="00C0789F">
        <w:t xml:space="preserve">Without having access to actual cases reported, it is </w:t>
      </w:r>
      <w:r w:rsidR="00173083" w:rsidRPr="00C0789F">
        <w:t>possible</w:t>
      </w:r>
      <w:r w:rsidRPr="00C0789F">
        <w:t xml:space="preserve"> that there were up to ~300 incident patients in Australia diagnosed with urothelial tumours </w:t>
      </w:r>
      <w:r w:rsidR="00173083" w:rsidRPr="00C0789F">
        <w:t xml:space="preserve">of </w:t>
      </w:r>
      <w:r w:rsidR="00F535BD" w:rsidRPr="00C0789F">
        <w:t>any stage</w:t>
      </w:r>
      <w:r w:rsidR="00173083" w:rsidRPr="00C0789F">
        <w:t xml:space="preserve"> </w:t>
      </w:r>
      <w:r w:rsidRPr="00C0789F">
        <w:t xml:space="preserve">outside the bladder in 2013. </w:t>
      </w:r>
      <w:r w:rsidR="00173083" w:rsidRPr="00C0789F">
        <w:t xml:space="preserve"> Nevertheless, b</w:t>
      </w:r>
      <w:r w:rsidRPr="00C0789F">
        <w:t xml:space="preserve">ased on </w:t>
      </w:r>
      <w:r w:rsidR="00173083" w:rsidRPr="00C0789F">
        <w:t>a</w:t>
      </w:r>
      <w:r w:rsidRPr="00C0789F">
        <w:t xml:space="preserve"> Victorian study</w:t>
      </w:r>
      <w:r w:rsidR="00173083" w:rsidRPr="00C0789F">
        <w:t xml:space="preserve"> of 110 patients with high grade invasive</w:t>
      </w:r>
      <w:r w:rsidR="00CB59EC" w:rsidRPr="00C0789F">
        <w:t xml:space="preserve"> urothelial cancers,</w:t>
      </w:r>
      <w:r w:rsidR="00173083" w:rsidRPr="00136364">
        <w:rPr>
          <w:rStyle w:val="FootnoteReference"/>
        </w:rPr>
        <w:footnoteReference w:id="11"/>
      </w:r>
      <w:r w:rsidR="00173083" w:rsidRPr="00136364">
        <w:t xml:space="preserve"> </w:t>
      </w:r>
      <w:r w:rsidRPr="00136364">
        <w:t>bladder tumours were 9</w:t>
      </w:r>
      <w:r w:rsidR="00173083" w:rsidRPr="00136364">
        <w:t>9</w:t>
      </w:r>
      <w:r w:rsidRPr="00136364">
        <w:t xml:space="preserve">% of </w:t>
      </w:r>
      <w:r w:rsidR="00173083" w:rsidRPr="00136364">
        <w:t>the total</w:t>
      </w:r>
      <w:r w:rsidRPr="00136364">
        <w:t>,</w:t>
      </w:r>
      <w:r w:rsidR="00173083" w:rsidRPr="00136364">
        <w:t xml:space="preserve"> so</w:t>
      </w:r>
      <w:r w:rsidRPr="00136364">
        <w:t xml:space="preserve"> this number may be much smaller</w:t>
      </w:r>
      <w:r w:rsidR="00CB59EC" w:rsidRPr="00136364">
        <w:t xml:space="preserve"> (this study did not look at all disease stages, so this figure has not been used to derive an estimate)</w:t>
      </w:r>
      <w:r w:rsidRPr="00136364">
        <w:t xml:space="preserve">.  </w:t>
      </w:r>
    </w:p>
    <w:p w14:paraId="0CC2DBBA" w14:textId="5C2FAD22" w:rsidR="002F6A0B" w:rsidRPr="00522BC9" w:rsidRDefault="002F6A0B" w:rsidP="002F6A0B">
      <w:r w:rsidRPr="00522BC9">
        <w:t>The</w:t>
      </w:r>
      <w:r w:rsidRPr="00136364">
        <w:t xml:space="preserve"> </w:t>
      </w:r>
      <w:r w:rsidRPr="00522BC9">
        <w:t>E</w:t>
      </w:r>
      <w:r w:rsidR="00660582" w:rsidRPr="00522BC9">
        <w:t xml:space="preserve">uropean Society for Medical </w:t>
      </w:r>
      <w:r w:rsidRPr="00522BC9">
        <w:t>O</w:t>
      </w:r>
      <w:r w:rsidR="00660582" w:rsidRPr="00522BC9">
        <w:t>ncology (ESMO)</w:t>
      </w:r>
      <w:r w:rsidRPr="00522BC9">
        <w:t xml:space="preserve"> </w:t>
      </w:r>
      <w:r w:rsidR="001E7166" w:rsidRPr="00522BC9">
        <w:t>Practice Guidelines for bladder cancer</w:t>
      </w:r>
      <w:r w:rsidRPr="00C0789F">
        <w:t xml:space="preserve"> </w:t>
      </w:r>
      <w:r w:rsidR="00053CBE" w:rsidRPr="00C0789F">
        <w:t>states</w:t>
      </w:r>
      <w:r w:rsidRPr="00C0789F">
        <w:t xml:space="preserve"> that approximately 50% of</w:t>
      </w:r>
      <w:r w:rsidR="00A13F70" w:rsidRPr="00E518BA">
        <w:t xml:space="preserve"> </w:t>
      </w:r>
      <w:r w:rsidRPr="00E518BA">
        <w:t>patients</w:t>
      </w:r>
      <w:r w:rsidR="00A13F70" w:rsidRPr="00E91F3D">
        <w:t xml:space="preserve"> with advanced or metastatic disease</w:t>
      </w:r>
      <w:r w:rsidRPr="00E91F3D">
        <w:t xml:space="preserve"> are ineligible for cisplatin, due predominantly to renal dysfunct</w:t>
      </w:r>
      <w:r w:rsidRPr="00522BC9">
        <w:t xml:space="preserve">ion, poor performance status and/or co-morbidity.  </w:t>
      </w:r>
      <w:r w:rsidR="00A57A29" w:rsidRPr="00522BC9">
        <w:t>Of these patients, some</w:t>
      </w:r>
      <w:r w:rsidR="006E54F9" w:rsidRPr="00522BC9">
        <w:t xml:space="preserve"> may be suitable to receive other systemic therapies, </w:t>
      </w:r>
      <w:r w:rsidR="00A13F70" w:rsidRPr="00522BC9">
        <w:t>such as</w:t>
      </w:r>
      <w:r w:rsidR="006E54F9" w:rsidRPr="00522BC9">
        <w:t xml:space="preserve"> carboplatin</w:t>
      </w:r>
      <w:r w:rsidR="00A13F70" w:rsidRPr="00522BC9">
        <w:t xml:space="preserve"> + gemcitabine</w:t>
      </w:r>
      <w:r w:rsidR="006E54F9" w:rsidRPr="00522BC9">
        <w:t>, w</w:t>
      </w:r>
      <w:r w:rsidR="00A57A29" w:rsidRPr="00522BC9">
        <w:t>ith the remainder</w:t>
      </w:r>
      <w:r w:rsidR="006E54F9" w:rsidRPr="00522BC9">
        <w:t xml:space="preserve"> </w:t>
      </w:r>
      <w:r w:rsidR="00A57A29" w:rsidRPr="00522BC9">
        <w:t>unsuited to any systemic therapy (as described above)</w:t>
      </w:r>
      <w:r w:rsidR="006E54F9" w:rsidRPr="00522BC9">
        <w:t xml:space="preserve">.  </w:t>
      </w:r>
    </w:p>
    <w:p w14:paraId="5243F85D" w14:textId="6D17DB8A" w:rsidR="00607382" w:rsidRPr="00136364" w:rsidRDefault="00DB63ED" w:rsidP="00DB63ED">
      <w:r w:rsidRPr="00136364">
        <w:lastRenderedPageBreak/>
        <w:t>In terms of</w:t>
      </w:r>
      <w:r w:rsidR="007173C6" w:rsidRPr="00136364">
        <w:t xml:space="preserve"> the applicability</w:t>
      </w:r>
      <w:r w:rsidR="00607382" w:rsidRPr="00136364">
        <w:t xml:space="preserve"> to Australian patients </w:t>
      </w:r>
      <w:r w:rsidR="00017951" w:rsidRPr="00136364">
        <w:t xml:space="preserve">of </w:t>
      </w:r>
      <w:r w:rsidR="00607382" w:rsidRPr="00136364">
        <w:t>the</w:t>
      </w:r>
      <w:r w:rsidR="00017951" w:rsidRPr="00136364">
        <w:t xml:space="preserve"> European </w:t>
      </w:r>
      <w:r w:rsidR="00607382" w:rsidRPr="00136364">
        <w:t>statistics</w:t>
      </w:r>
      <w:r w:rsidR="00E05D99" w:rsidRPr="00136364">
        <w:t xml:space="preserve"> </w:t>
      </w:r>
      <w:r w:rsidRPr="00136364">
        <w:t>(or other regions)</w:t>
      </w:r>
      <w:r w:rsidR="000D7264" w:rsidRPr="00136364">
        <w:t>, a 2014 review of Australian bladder cancer epidemiology</w:t>
      </w:r>
      <w:r w:rsidRPr="00136364">
        <w:rPr>
          <w:rStyle w:val="FootnoteReference"/>
        </w:rPr>
        <w:footnoteReference w:id="12"/>
      </w:r>
      <w:r w:rsidR="000D7264" w:rsidRPr="00136364">
        <w:t xml:space="preserve"> </w:t>
      </w:r>
      <w:r w:rsidRPr="00136364">
        <w:t>states “The incidence and mortality rates of bladder cancer in Australia closely parallel those of other developed countries”.</w:t>
      </w:r>
      <w:r w:rsidR="007173C6" w:rsidRPr="00136364">
        <w:t xml:space="preserve"> </w:t>
      </w:r>
      <w:r w:rsidRPr="00136364">
        <w:t xml:space="preserve">In addition, </w:t>
      </w:r>
      <w:r w:rsidR="00694DC5" w:rsidRPr="00136364">
        <w:t xml:space="preserve">the </w:t>
      </w:r>
      <w:r w:rsidRPr="00136364">
        <w:t xml:space="preserve">proportions of histological sub-types also mirror international figures. </w:t>
      </w:r>
    </w:p>
    <w:p w14:paraId="05A25708" w14:textId="3D82B6D5" w:rsidR="00285955" w:rsidRPr="00522BC9" w:rsidRDefault="007173C6" w:rsidP="00607382">
      <w:r w:rsidRPr="00522BC9">
        <w:t xml:space="preserve">The SBA </w:t>
      </w:r>
      <w:r w:rsidR="00285955" w:rsidRPr="00522BC9">
        <w:t>will</w:t>
      </w:r>
      <w:r w:rsidRPr="00522BC9">
        <w:t xml:space="preserve"> report </w:t>
      </w:r>
      <w:r w:rsidR="009F5EFA" w:rsidRPr="00522BC9">
        <w:t>what</w:t>
      </w:r>
      <w:r w:rsidR="002F6A0B" w:rsidRPr="00522BC9">
        <w:t xml:space="preserve"> proportion</w:t>
      </w:r>
      <w:r w:rsidR="00881F9F" w:rsidRPr="00522BC9">
        <w:t>s</w:t>
      </w:r>
      <w:r w:rsidR="002F6A0B" w:rsidRPr="00C0789F">
        <w:t xml:space="preserve"> of </w:t>
      </w:r>
      <w:r w:rsidRPr="00C0789F">
        <w:t>the test-eligible patients fall into the two groups of high and low</w:t>
      </w:r>
      <w:r w:rsidR="002F6A0B" w:rsidRPr="00C0789F">
        <w:t xml:space="preserve"> </w:t>
      </w:r>
      <w:r w:rsidR="00A57A29" w:rsidRPr="00C0789F">
        <w:t>PD-L1 expression</w:t>
      </w:r>
      <w:r w:rsidR="00EB3B7C" w:rsidRPr="00C0789F">
        <w:t xml:space="preserve"> (</w:t>
      </w:r>
      <w:r w:rsidR="00EB3B7C" w:rsidRPr="00136364">
        <w:t>no estimate</w:t>
      </w:r>
      <w:r w:rsidR="00E23C7F" w:rsidRPr="00136364">
        <w:t>d split</w:t>
      </w:r>
      <w:r w:rsidR="00EB3B7C" w:rsidRPr="00136364">
        <w:t xml:space="preserve"> was provided in the application)</w:t>
      </w:r>
      <w:r w:rsidR="00A57A29" w:rsidRPr="00522BC9">
        <w:t xml:space="preserve">. </w:t>
      </w:r>
      <w:r w:rsidR="00A57A29" w:rsidRPr="00136364">
        <w:rPr>
          <w:i/>
        </w:rPr>
        <w:t xml:space="preserve"> </w:t>
      </w:r>
      <w:r w:rsidR="00136364" w:rsidRPr="00136364">
        <w:rPr>
          <w:i/>
        </w:rPr>
        <w:t xml:space="preserve">The applicant estimated that uptake of the test could be 1415 patients per year.  </w:t>
      </w:r>
    </w:p>
    <w:p w14:paraId="10B4DE2B" w14:textId="77777777" w:rsidR="00953ED7" w:rsidRPr="00522BC9" w:rsidRDefault="00953ED7" w:rsidP="008A7E2A">
      <w:pPr>
        <w:keepNext/>
        <w:rPr>
          <w:b/>
        </w:rPr>
      </w:pPr>
      <w:r w:rsidRPr="00522BC9">
        <w:rPr>
          <w:b/>
        </w:rPr>
        <w:t>Prior test (investigative services only - if prior tests are to be included)</w:t>
      </w:r>
    </w:p>
    <w:p w14:paraId="05BBE2C7" w14:textId="7045DAB1" w:rsidR="00B404F8" w:rsidRPr="00136364" w:rsidRDefault="00A57A29" w:rsidP="00B404F8">
      <w:r w:rsidRPr="00136364">
        <w:t>P</w:t>
      </w:r>
      <w:r w:rsidR="00B404F8" w:rsidRPr="00136364">
        <w:t>atient</w:t>
      </w:r>
      <w:r w:rsidRPr="00136364">
        <w:t>s</w:t>
      </w:r>
      <w:r w:rsidR="00B404F8" w:rsidRPr="00136364">
        <w:t xml:space="preserve"> </w:t>
      </w:r>
      <w:r w:rsidRPr="00136364">
        <w:t>that are test-eligible</w:t>
      </w:r>
      <w:r w:rsidR="00B404F8" w:rsidRPr="00136364">
        <w:t xml:space="preserve"> would have </w:t>
      </w:r>
      <w:r w:rsidRPr="00136364">
        <w:t>undergone</w:t>
      </w:r>
      <w:r w:rsidR="00B404F8" w:rsidRPr="00136364">
        <w:t xml:space="preserve"> assessment </w:t>
      </w:r>
      <w:r w:rsidR="00A66184" w:rsidRPr="00136364">
        <w:t>to confirm a diagnosis of</w:t>
      </w:r>
      <w:r w:rsidR="00B404F8" w:rsidRPr="00136364">
        <w:t xml:space="preserve"> stage IV </w:t>
      </w:r>
      <w:r w:rsidR="00102C8A" w:rsidRPr="00136364">
        <w:t>urothelial</w:t>
      </w:r>
      <w:r w:rsidR="00B404F8" w:rsidRPr="00136364">
        <w:t xml:space="preserve"> cancer, either as</w:t>
      </w:r>
      <w:r w:rsidRPr="00136364">
        <w:t xml:space="preserve"> an</w:t>
      </w:r>
      <w:r w:rsidR="00B404F8" w:rsidRPr="00136364">
        <w:t xml:space="preserve"> initial diagnosis or during surveillance for </w:t>
      </w:r>
      <w:r w:rsidR="00A66184" w:rsidRPr="00136364">
        <w:t xml:space="preserve">earlier stage </w:t>
      </w:r>
      <w:r w:rsidR="00B404F8" w:rsidRPr="00136364">
        <w:t>disease recurrence/progression</w:t>
      </w:r>
      <w:r w:rsidRPr="00136364">
        <w:t xml:space="preserve">.  Tests </w:t>
      </w:r>
      <w:r w:rsidR="00735D89" w:rsidRPr="00136364">
        <w:t xml:space="preserve">for this diagnostic work-up </w:t>
      </w:r>
      <w:r w:rsidR="003D6B2A" w:rsidRPr="00136364">
        <w:t xml:space="preserve">for bladder lesions </w:t>
      </w:r>
      <w:r w:rsidR="00735D89" w:rsidRPr="00136364">
        <w:t>c</w:t>
      </w:r>
      <w:r w:rsidRPr="00136364">
        <w:t>ould include</w:t>
      </w:r>
      <w:r w:rsidR="00B404F8" w:rsidRPr="00136364">
        <w:t xml:space="preserve"> </w:t>
      </w:r>
      <w:r w:rsidR="006E54F9" w:rsidRPr="00136364">
        <w:t>exploratory</w:t>
      </w:r>
      <w:r w:rsidR="00735D89" w:rsidRPr="00136364">
        <w:t xml:space="preserve"> imaging; urine cytology;</w:t>
      </w:r>
      <w:r w:rsidR="00B404F8" w:rsidRPr="00136364">
        <w:t xml:space="preserve"> c</w:t>
      </w:r>
      <w:r w:rsidR="00735D89" w:rsidRPr="00136364">
        <w:t>ystoscopy; renal function tests;</w:t>
      </w:r>
      <w:r w:rsidR="006E54F9" w:rsidRPr="00136364">
        <w:t xml:space="preserve"> C</w:t>
      </w:r>
      <w:r w:rsidR="00285955" w:rsidRPr="00136364">
        <w:t xml:space="preserve">omputed </w:t>
      </w:r>
      <w:r w:rsidR="006E54F9" w:rsidRPr="00136364">
        <w:t>T</w:t>
      </w:r>
      <w:r w:rsidR="00285955" w:rsidRPr="00136364">
        <w:t>omography (CT)</w:t>
      </w:r>
      <w:r w:rsidR="006E54F9" w:rsidRPr="00136364">
        <w:t xml:space="preserve"> or M</w:t>
      </w:r>
      <w:r w:rsidR="00285955" w:rsidRPr="00136364">
        <w:t xml:space="preserve">agnetic </w:t>
      </w:r>
      <w:r w:rsidR="006E54F9" w:rsidRPr="00136364">
        <w:t>R</w:t>
      </w:r>
      <w:r w:rsidR="00285955" w:rsidRPr="00136364">
        <w:t xml:space="preserve">esonance </w:t>
      </w:r>
      <w:r w:rsidR="006E54F9" w:rsidRPr="00136364">
        <w:t>I</w:t>
      </w:r>
      <w:r w:rsidR="00285955" w:rsidRPr="00136364">
        <w:t>maging</w:t>
      </w:r>
      <w:r w:rsidR="00B404F8" w:rsidRPr="00136364">
        <w:t xml:space="preserve"> </w:t>
      </w:r>
      <w:r w:rsidR="006E54F9" w:rsidRPr="00136364">
        <w:t xml:space="preserve">to </w:t>
      </w:r>
      <w:r w:rsidR="00A06D79" w:rsidRPr="00136364">
        <w:t>confirm</w:t>
      </w:r>
      <w:r w:rsidR="006E54F9" w:rsidRPr="00136364">
        <w:t xml:space="preserve"> staging; </w:t>
      </w:r>
      <w:r w:rsidR="00A66184" w:rsidRPr="00136364">
        <w:t xml:space="preserve">biopsy and histopathology (in new presentations) of primary tumour or metastases; </w:t>
      </w:r>
      <w:r w:rsidR="00B404F8" w:rsidRPr="00136364">
        <w:t xml:space="preserve">chest X-ray or whole body CT </w:t>
      </w:r>
      <w:r w:rsidR="006E54F9" w:rsidRPr="00136364">
        <w:t>for potential metastases in high risk patients</w:t>
      </w:r>
      <w:r w:rsidR="000731EB" w:rsidRPr="00136364">
        <w:t>,</w:t>
      </w:r>
      <w:r w:rsidR="006E54F9" w:rsidRPr="00136364">
        <w:t xml:space="preserve"> </w:t>
      </w:r>
      <w:r w:rsidR="00B404F8" w:rsidRPr="00136364">
        <w:t>depending on symptoms</w:t>
      </w:r>
      <w:r w:rsidR="005F3AAF" w:rsidRPr="00136364">
        <w:t xml:space="preserve"> such as bone pain</w:t>
      </w:r>
      <w:r w:rsidRPr="00136364">
        <w:t xml:space="preserve"> and disease history</w:t>
      </w:r>
      <w:r w:rsidR="00B404F8" w:rsidRPr="00136364">
        <w:t xml:space="preserve">.  </w:t>
      </w:r>
      <w:r w:rsidR="00DF013C" w:rsidRPr="00136364">
        <w:t>Cystoscopy is not relevant for t</w:t>
      </w:r>
      <w:r w:rsidR="003D6B2A" w:rsidRPr="00136364">
        <w:t xml:space="preserve">umours of the upper urinary tract (including renal pelvis and ureters) </w:t>
      </w:r>
      <w:r w:rsidR="00DF013C" w:rsidRPr="00136364">
        <w:t>and staging</w:t>
      </w:r>
      <w:r w:rsidR="000F6211" w:rsidRPr="00136364">
        <w:t xml:space="preserve"> </w:t>
      </w:r>
      <w:r w:rsidR="00DF013C" w:rsidRPr="00136364">
        <w:t>requires different imaging methods</w:t>
      </w:r>
      <w:r w:rsidR="003D6B2A" w:rsidRPr="00136364">
        <w:t>.</w:t>
      </w:r>
    </w:p>
    <w:p w14:paraId="204E88E4" w14:textId="32DD56DD" w:rsidR="00703B2D" w:rsidRPr="00136364" w:rsidRDefault="00C94B71" w:rsidP="00B404F8">
      <w:r w:rsidRPr="00136364">
        <w:t>An assessment</w:t>
      </w:r>
      <w:r w:rsidR="00703B2D" w:rsidRPr="00136364">
        <w:t xml:space="preserve"> to determine suitability for </w:t>
      </w:r>
      <w:r w:rsidRPr="00136364">
        <w:t>systemic treatment</w:t>
      </w:r>
      <w:r w:rsidR="00703B2D" w:rsidRPr="00136364">
        <w:t xml:space="preserve"> would also be </w:t>
      </w:r>
      <w:r w:rsidR="00922566" w:rsidRPr="00136364">
        <w:t xml:space="preserve">performed as part of standard of care.  </w:t>
      </w:r>
    </w:p>
    <w:p w14:paraId="1ECA2DF4" w14:textId="02DF6DE4" w:rsidR="00B404F8" w:rsidRPr="00136364" w:rsidRDefault="00735D89" w:rsidP="00B404F8">
      <w:r w:rsidRPr="00136364">
        <w:t>I</w:t>
      </w:r>
      <w:r w:rsidR="00285955" w:rsidRPr="00136364">
        <w:t>t was considered whether</w:t>
      </w:r>
      <w:r w:rsidR="00102C8A" w:rsidRPr="00136364">
        <w:t xml:space="preserve"> histological confirmation of urothelial tumour type </w:t>
      </w:r>
      <w:r w:rsidR="00B10C73" w:rsidRPr="00136364">
        <w:t xml:space="preserve">is </w:t>
      </w:r>
      <w:r w:rsidR="00285955" w:rsidRPr="00136364">
        <w:t xml:space="preserve">an additional test </w:t>
      </w:r>
      <w:r w:rsidR="00102C8A" w:rsidRPr="00136364">
        <w:t>to differentiate from non-urothelial cancers of the bladder</w:t>
      </w:r>
      <w:r w:rsidRPr="00136364">
        <w:t xml:space="preserve"> (</w:t>
      </w:r>
      <w:r w:rsidR="001778F3" w:rsidRPr="00136364">
        <w:t xml:space="preserve">similar to confirmation of non-small cell lung cancer </w:t>
      </w:r>
      <w:r w:rsidR="00B1510E" w:rsidRPr="00136364">
        <w:t xml:space="preserve">[NSCLC] </w:t>
      </w:r>
      <w:r w:rsidR="001778F3" w:rsidRPr="00136364">
        <w:t xml:space="preserve">as </w:t>
      </w:r>
      <w:r w:rsidRPr="00136364">
        <w:t>non-</w:t>
      </w:r>
      <w:r w:rsidR="001778F3" w:rsidRPr="00136364">
        <w:t>squamous or ‘not otherwise specified’ for tyrosine kinase inhibitor treatment)</w:t>
      </w:r>
      <w:r w:rsidR="00B404F8" w:rsidRPr="00136364">
        <w:t xml:space="preserve">. </w:t>
      </w:r>
      <w:r w:rsidRPr="00136364">
        <w:t>No additional criterion is needed because the patient population is explicitly urothelial cancer and histology to inform this specific diagnosis in patients presenting with bladder cancer is part of the standard work-up</w:t>
      </w:r>
      <w:r w:rsidR="007F1735">
        <w:t xml:space="preserve">. </w:t>
      </w:r>
    </w:p>
    <w:p w14:paraId="4D51BB2A" w14:textId="1AFADEAA" w:rsidR="00896845" w:rsidRPr="00522BC9" w:rsidRDefault="00896845">
      <w:pPr>
        <w:rPr>
          <w:b/>
        </w:rPr>
      </w:pPr>
      <w:r w:rsidRPr="00522BC9">
        <w:rPr>
          <w:b/>
        </w:rPr>
        <w:t>Intervention</w:t>
      </w:r>
    </w:p>
    <w:p w14:paraId="538605B6" w14:textId="4A73BA7D" w:rsidR="007B1951" w:rsidRPr="00136364" w:rsidRDefault="007B1951" w:rsidP="00983540">
      <w:r w:rsidRPr="00522BC9">
        <w:t>The proposed test is an immunohistochemistry (IHC) assay to detect PD-L1 protein</w:t>
      </w:r>
      <w:r w:rsidR="00A25E4E" w:rsidRPr="00522BC9">
        <w:t xml:space="preserve"> </w:t>
      </w:r>
      <w:r w:rsidRPr="00522BC9">
        <w:t>as a measure of PD-L1 gene expression</w:t>
      </w:r>
      <w:r w:rsidR="00D72F2F" w:rsidRPr="00522BC9">
        <w:t xml:space="preserve"> prior to treatment</w:t>
      </w:r>
      <w:r w:rsidRPr="00C0789F">
        <w:t xml:space="preserve">.  </w:t>
      </w:r>
      <w:r w:rsidRPr="00136364">
        <w:t xml:space="preserve">PD-L1 testing </w:t>
      </w:r>
      <w:r w:rsidR="00285955" w:rsidRPr="00136364">
        <w:t xml:space="preserve">is not a routine </w:t>
      </w:r>
      <w:r w:rsidRPr="00136364">
        <w:t>part of Australian clinical practice</w:t>
      </w:r>
      <w:r w:rsidR="00273337" w:rsidRPr="00136364">
        <w:t>.  Nevertheless, t</w:t>
      </w:r>
      <w:r w:rsidRPr="00136364">
        <w:t>he development</w:t>
      </w:r>
      <w:r w:rsidR="00273337" w:rsidRPr="00136364">
        <w:t xml:space="preserve"> and marketing</w:t>
      </w:r>
      <w:r w:rsidRPr="00136364">
        <w:t xml:space="preserve"> of </w:t>
      </w:r>
      <w:r w:rsidR="00B10C73" w:rsidRPr="00136364">
        <w:t xml:space="preserve">PD-L1 inhibitor </w:t>
      </w:r>
      <w:r w:rsidRPr="00136364">
        <w:t>medicines</w:t>
      </w:r>
      <w:r w:rsidR="00B10C73" w:rsidRPr="00136364">
        <w:t xml:space="preserve"> </w:t>
      </w:r>
      <w:r w:rsidRPr="00136364">
        <w:t xml:space="preserve">is driving establishment of </w:t>
      </w:r>
      <w:r w:rsidR="00273337" w:rsidRPr="00136364">
        <w:t>this type of test in Australian laboratories</w:t>
      </w:r>
      <w:r w:rsidR="00B1510E" w:rsidRPr="00136364">
        <w:t>, at least for non-small cell lung cancer</w:t>
      </w:r>
      <w:r w:rsidR="00A06D79" w:rsidRPr="00136364">
        <w:t xml:space="preserve">. A pilot programme </w:t>
      </w:r>
      <w:r w:rsidR="00983540" w:rsidRPr="00136364">
        <w:t xml:space="preserve">for testing in NSCLC </w:t>
      </w:r>
      <w:r w:rsidR="00C12578" w:rsidRPr="00136364">
        <w:t xml:space="preserve">is underway </w:t>
      </w:r>
      <w:r w:rsidR="00273337" w:rsidRPr="00136364">
        <w:t xml:space="preserve">under the aegis of the Royal College of Pathologists Australasia (RCPA) </w:t>
      </w:r>
      <w:r w:rsidR="00983540" w:rsidRPr="00136364">
        <w:t>in collaboration with the United Kingdom National External Quality Assessment (NEQAS</w:t>
      </w:r>
      <w:proofErr w:type="gramStart"/>
      <w:r w:rsidR="00983540" w:rsidRPr="00136364">
        <w:t>)(</w:t>
      </w:r>
      <w:proofErr w:type="gramEnd"/>
      <w:r w:rsidR="00983540" w:rsidRPr="00136364">
        <w:t>Application 1440 public summary document).</w:t>
      </w:r>
      <w:r w:rsidR="00273337" w:rsidRPr="00136364">
        <w:t xml:space="preserve"> </w:t>
      </w:r>
      <w:r w:rsidR="00983540" w:rsidRPr="00136364">
        <w:t xml:space="preserve"> </w:t>
      </w:r>
    </w:p>
    <w:p w14:paraId="1676A245" w14:textId="79B1A015" w:rsidR="007A2AB5" w:rsidRPr="00E518BA" w:rsidRDefault="007A2AB5" w:rsidP="00A06D79">
      <w:r w:rsidRPr="00522BC9">
        <w:t xml:space="preserve">In response to a request for targeted consultation for this application, the RCPA “expressed </w:t>
      </w:r>
      <w:r w:rsidR="000F6211" w:rsidRPr="00522BC9">
        <w:t xml:space="preserve">[its] </w:t>
      </w:r>
      <w:r w:rsidRPr="00C0789F">
        <w:t>concerns about the imperfect nature of PD-L1 IHC as a predictive biomarker for selecting patients likely to respond to immunotherapy, but acknowledges there is no clear alternative assay or indeed gold standard for immunohistochemis</w:t>
      </w:r>
      <w:r w:rsidRPr="00E518BA">
        <w:t>try testing.”</w:t>
      </w:r>
    </w:p>
    <w:p w14:paraId="4E3E42C7" w14:textId="2BC6E0FA" w:rsidR="00176096" w:rsidRPr="00522BC9" w:rsidRDefault="00B10C73" w:rsidP="00BD7EA6">
      <w:r w:rsidRPr="00522BC9">
        <w:lastRenderedPageBreak/>
        <w:t>The applicant</w:t>
      </w:r>
      <w:r w:rsidR="00BD7EA6" w:rsidRPr="00522BC9">
        <w:t xml:space="preserve"> propos</w:t>
      </w:r>
      <w:r w:rsidRPr="00522BC9">
        <w:t>es</w:t>
      </w:r>
      <w:r w:rsidR="00BD7EA6" w:rsidRPr="00522BC9">
        <w:t xml:space="preserve"> that all patients who are test-eligible should receive one of two immunotherapy treatment</w:t>
      </w:r>
      <w:r w:rsidR="00176096" w:rsidRPr="00522BC9">
        <w:t>s:</w:t>
      </w:r>
    </w:p>
    <w:p w14:paraId="2D2B2FD7" w14:textId="4594AB61" w:rsidR="00176096" w:rsidRPr="00522BC9" w:rsidRDefault="00BD7EA6" w:rsidP="00176096">
      <w:pPr>
        <w:pStyle w:val="ListParagraph"/>
        <w:numPr>
          <w:ilvl w:val="0"/>
          <w:numId w:val="21"/>
        </w:numPr>
      </w:pPr>
      <w:proofErr w:type="spellStart"/>
      <w:r w:rsidRPr="00522BC9">
        <w:t>durvalumab</w:t>
      </w:r>
      <w:proofErr w:type="spellEnd"/>
      <w:r w:rsidRPr="00522BC9">
        <w:t xml:space="preserve"> monotherapy</w:t>
      </w:r>
      <w:r w:rsidR="006A0E0B" w:rsidRPr="00522BC9">
        <w:t xml:space="preserve"> in </w:t>
      </w:r>
      <w:r w:rsidR="00176096" w:rsidRPr="00522BC9">
        <w:t xml:space="preserve">patients with high tumour PD-L1, </w:t>
      </w:r>
      <w:r w:rsidRPr="00522BC9">
        <w:t>or</w:t>
      </w:r>
      <w:r w:rsidR="00176096" w:rsidRPr="00522BC9">
        <w:t>;</w:t>
      </w:r>
    </w:p>
    <w:p w14:paraId="4707A3A0" w14:textId="07B190E5" w:rsidR="00176096" w:rsidRPr="00522BC9" w:rsidRDefault="00BD7EA6" w:rsidP="00176096">
      <w:pPr>
        <w:pStyle w:val="ListParagraph"/>
        <w:numPr>
          <w:ilvl w:val="0"/>
          <w:numId w:val="21"/>
        </w:numPr>
      </w:pPr>
      <w:proofErr w:type="gramStart"/>
      <w:r w:rsidRPr="00522BC9">
        <w:t>combination</w:t>
      </w:r>
      <w:proofErr w:type="gramEnd"/>
      <w:r w:rsidRPr="00522BC9">
        <w:t xml:space="preserve"> </w:t>
      </w:r>
      <w:proofErr w:type="spellStart"/>
      <w:r w:rsidRPr="00522BC9">
        <w:t>durvalumab</w:t>
      </w:r>
      <w:proofErr w:type="spellEnd"/>
      <w:r w:rsidRPr="00522BC9">
        <w:t xml:space="preserve"> </w:t>
      </w:r>
      <w:r w:rsidR="006A0E0B" w:rsidRPr="00522BC9">
        <w:t>+</w:t>
      </w:r>
      <w:r w:rsidRPr="00522BC9">
        <w:t xml:space="preserve"> </w:t>
      </w:r>
      <w:proofErr w:type="spellStart"/>
      <w:r w:rsidRPr="00522BC9">
        <w:t>tremelimumab</w:t>
      </w:r>
      <w:proofErr w:type="spellEnd"/>
      <w:r w:rsidR="006A0E0B" w:rsidRPr="00522BC9">
        <w:t xml:space="preserve"> </w:t>
      </w:r>
      <w:r w:rsidR="00176096" w:rsidRPr="00522BC9">
        <w:t xml:space="preserve">therapy </w:t>
      </w:r>
      <w:r w:rsidR="006A0E0B" w:rsidRPr="00522BC9">
        <w:t>in</w:t>
      </w:r>
      <w:r w:rsidR="00176096" w:rsidRPr="00522BC9">
        <w:t xml:space="preserve"> patients with low (or no) tumour PD-L1.</w:t>
      </w:r>
      <w:r w:rsidRPr="00522BC9">
        <w:t xml:space="preserve"> </w:t>
      </w:r>
    </w:p>
    <w:p w14:paraId="165D0B7B" w14:textId="2E0B78F5" w:rsidR="006A0E0B" w:rsidRPr="00843A70" w:rsidRDefault="00843A70" w:rsidP="00BD7EA6">
      <w:r w:rsidRPr="00843A70">
        <w:rPr>
          <w:i/>
        </w:rPr>
        <w:t xml:space="preserve">The expression status is </w:t>
      </w:r>
      <w:r>
        <w:rPr>
          <w:i/>
        </w:rPr>
        <w:t>determined</w:t>
      </w:r>
      <w:r w:rsidRPr="00843A70">
        <w:rPr>
          <w:i/>
        </w:rPr>
        <w:t xml:space="preserve"> using a three-step </w:t>
      </w:r>
      <w:r>
        <w:rPr>
          <w:i/>
        </w:rPr>
        <w:t xml:space="preserve">scoring </w:t>
      </w:r>
      <w:r w:rsidRPr="00843A70">
        <w:rPr>
          <w:i/>
        </w:rPr>
        <w:t>assessment of the IHC stained tissue</w:t>
      </w:r>
      <w:r>
        <w:rPr>
          <w:i/>
        </w:rPr>
        <w:t xml:space="preserve"> (described below)</w:t>
      </w:r>
      <w:r w:rsidRPr="00843A70">
        <w:rPr>
          <w:i/>
        </w:rPr>
        <w:t xml:space="preserve">.  </w:t>
      </w:r>
      <w:r w:rsidR="00BD7EA6" w:rsidRPr="00843A70">
        <w:t xml:space="preserve">The test will not be used to exclude patients from </w:t>
      </w:r>
      <w:r w:rsidR="00735D89" w:rsidRPr="00843A70">
        <w:t xml:space="preserve">access to </w:t>
      </w:r>
      <w:proofErr w:type="spellStart"/>
      <w:r w:rsidR="00735D89" w:rsidRPr="00843A70">
        <w:t>durvalumab</w:t>
      </w:r>
      <w:proofErr w:type="spellEnd"/>
      <w:r w:rsidR="00BD7EA6" w:rsidRPr="00843A70">
        <w:t xml:space="preserve"> based on PD-L1 expression.  </w:t>
      </w:r>
    </w:p>
    <w:p w14:paraId="41932359" w14:textId="48A08805" w:rsidR="00BD7EA6" w:rsidRPr="00522BC9" w:rsidRDefault="00843A70" w:rsidP="00BD7EA6">
      <w:r w:rsidRPr="00843A70">
        <w:rPr>
          <w:i/>
        </w:rPr>
        <w:t xml:space="preserve">The applicant confirmed that </w:t>
      </w:r>
      <w:r w:rsidR="00607382" w:rsidRPr="00843A70">
        <w:t xml:space="preserve">addition of </w:t>
      </w:r>
      <w:proofErr w:type="spellStart"/>
      <w:r w:rsidR="00607382" w:rsidRPr="00843A70">
        <w:t>tremelimumab</w:t>
      </w:r>
      <w:proofErr w:type="spellEnd"/>
      <w:r w:rsidR="00607382" w:rsidRPr="00843A70">
        <w:t xml:space="preserve"> (an inhibitor of a different immune system pathway) is </w:t>
      </w:r>
      <w:r w:rsidRPr="00843A70">
        <w:rPr>
          <w:i/>
        </w:rPr>
        <w:t>necessary</w:t>
      </w:r>
      <w:r w:rsidRPr="00843A70">
        <w:t xml:space="preserve"> </w:t>
      </w:r>
      <w:r w:rsidR="00607382" w:rsidRPr="00843A70">
        <w:t>to mitigate the smaller treatment benefit likely to be observed with a PD-L1 inhibitor in patients with low or no tumour PD</w:t>
      </w:r>
      <w:r>
        <w:noBreakHyphen/>
      </w:r>
      <w:r w:rsidR="00607382" w:rsidRPr="00843A70">
        <w:t>L1 expression. The appl</w:t>
      </w:r>
      <w:r w:rsidR="00285955" w:rsidRPr="00843A70">
        <w:t>icant should expand on</w:t>
      </w:r>
      <w:r w:rsidR="00607382" w:rsidRPr="00843A70">
        <w:t xml:space="preserve"> </w:t>
      </w:r>
      <w:r w:rsidR="00735D89" w:rsidRPr="00843A70">
        <w:t xml:space="preserve">the biological rationale for </w:t>
      </w:r>
      <w:r w:rsidR="00607382" w:rsidRPr="00843A70">
        <w:t xml:space="preserve">this in the SBA.  </w:t>
      </w:r>
    </w:p>
    <w:p w14:paraId="2DC85E7F" w14:textId="77777777" w:rsidR="00D72F2F" w:rsidRPr="00522BC9" w:rsidRDefault="00D72F2F" w:rsidP="007B1951">
      <w:r w:rsidRPr="00522BC9">
        <w:t xml:space="preserve">This is not a test for monitoring of patient disease or treatment response.  </w:t>
      </w:r>
    </w:p>
    <w:p w14:paraId="3D43494E" w14:textId="1C9FA4ED" w:rsidR="00032FA4" w:rsidRPr="00843A70" w:rsidRDefault="00D638E3" w:rsidP="007B1951">
      <w:r w:rsidRPr="00843A70">
        <w:t>T</w:t>
      </w:r>
      <w:r w:rsidR="00F868F9" w:rsidRPr="00843A70">
        <w:t xml:space="preserve">he applicant </w:t>
      </w:r>
      <w:r w:rsidRPr="00843A70">
        <w:t>i</w:t>
      </w:r>
      <w:r w:rsidR="00F868F9" w:rsidRPr="00843A70">
        <w:t>s</w:t>
      </w:r>
      <w:r w:rsidRPr="00843A70">
        <w:t xml:space="preserve"> also</w:t>
      </w:r>
      <w:r w:rsidR="00F868F9" w:rsidRPr="00843A70">
        <w:t xml:space="preserve"> applying for the </w:t>
      </w:r>
      <w:r w:rsidR="00032FA4" w:rsidRPr="00843A70">
        <w:t>s</w:t>
      </w:r>
      <w:r w:rsidR="005A208B" w:rsidRPr="00843A70">
        <w:t>ame intervention (test and drug</w:t>
      </w:r>
      <w:r w:rsidR="00032FA4" w:rsidRPr="00843A70">
        <w:t xml:space="preserve"> combinations) </w:t>
      </w:r>
      <w:r w:rsidR="00F868F9" w:rsidRPr="00843A70">
        <w:t>in</w:t>
      </w:r>
      <w:r w:rsidR="005A208B" w:rsidRPr="00843A70">
        <w:t xml:space="preserve"> first line stage IV</w:t>
      </w:r>
      <w:r w:rsidR="00F868F9" w:rsidRPr="00843A70">
        <w:t xml:space="preserve"> NSCLC (application 1486), which </w:t>
      </w:r>
      <w:r w:rsidR="005A208B" w:rsidRPr="00843A70">
        <w:t>was considered at August 2017</w:t>
      </w:r>
      <w:r w:rsidR="00032FA4" w:rsidRPr="00843A70">
        <w:t xml:space="preserve"> PASC.  </w:t>
      </w:r>
    </w:p>
    <w:p w14:paraId="7ADE0127" w14:textId="77777777" w:rsidR="00FA523B" w:rsidRPr="00843A70" w:rsidRDefault="00FA523B" w:rsidP="00FA523B">
      <w:pPr>
        <w:spacing w:before="120" w:after="120"/>
        <w:rPr>
          <w:u w:val="single"/>
        </w:rPr>
      </w:pPr>
      <w:r w:rsidRPr="00843A70">
        <w:rPr>
          <w:u w:val="single"/>
        </w:rPr>
        <w:t>Health Professionals</w:t>
      </w:r>
    </w:p>
    <w:p w14:paraId="31DF3F43" w14:textId="30550054" w:rsidR="00FA523B" w:rsidRPr="00522BC9" w:rsidRDefault="00FA523B" w:rsidP="00FA523B">
      <w:r w:rsidRPr="00522BC9">
        <w:t xml:space="preserve">Consistent with other genetic tests listed on the MBS </w:t>
      </w:r>
      <w:r w:rsidR="006A0E0B" w:rsidRPr="00522BC9">
        <w:t>this PD-L1 test</w:t>
      </w:r>
      <w:r w:rsidRPr="00522BC9">
        <w:t xml:space="preserve"> will be ordered by </w:t>
      </w:r>
      <w:r w:rsidR="00735D89" w:rsidRPr="00522BC9">
        <w:t xml:space="preserve">treating </w:t>
      </w:r>
      <w:r w:rsidR="00AE606A" w:rsidRPr="00C0789F">
        <w:t>a specialist (oncologist and/or urologist)</w:t>
      </w:r>
      <w:r w:rsidRPr="00C0789F">
        <w:t xml:space="preserve"> and not by general practitioners.</w:t>
      </w:r>
      <w:r w:rsidRPr="00843A70">
        <w:t xml:space="preserve"> </w:t>
      </w:r>
    </w:p>
    <w:p w14:paraId="5C8ABE30" w14:textId="19C75542" w:rsidR="00FA523B" w:rsidRPr="00522BC9" w:rsidRDefault="00FA523B" w:rsidP="00FA523B">
      <w:r w:rsidRPr="00522BC9">
        <w:t>The service would be rendered by a</w:t>
      </w:r>
      <w:r w:rsidR="00AA2B97">
        <w:t xml:space="preserve">n </w:t>
      </w:r>
      <w:r w:rsidR="00AA2B97" w:rsidRPr="00AA2B97">
        <w:rPr>
          <w:i/>
        </w:rPr>
        <w:t>anatomical</w:t>
      </w:r>
      <w:r w:rsidRPr="00522BC9">
        <w:t xml:space="preserve"> pathologist</w:t>
      </w:r>
      <w:r w:rsidR="00AA2B97">
        <w:t>,</w:t>
      </w:r>
      <w:r w:rsidR="00AA2B97" w:rsidRPr="00AA2B97">
        <w:rPr>
          <w:i/>
        </w:rPr>
        <w:t xml:space="preserve"> with the appropriate training in this test</w:t>
      </w:r>
      <w:r w:rsidRPr="00522BC9">
        <w:t xml:space="preserve">. </w:t>
      </w:r>
      <w:r w:rsidR="00E10D35" w:rsidRPr="00522BC9">
        <w:t>T</w:t>
      </w:r>
      <w:r w:rsidR="00E10D35" w:rsidRPr="00C0789F">
        <w:t xml:space="preserve">his test is not appropriate as a pathologist determinable service.  </w:t>
      </w:r>
      <w:r w:rsidR="00607382" w:rsidRPr="00843A70">
        <w:t>P</w:t>
      </w:r>
      <w:r w:rsidRPr="00843A70">
        <w:t>athology laboratories</w:t>
      </w:r>
      <w:r w:rsidR="00287B12" w:rsidRPr="00843A70">
        <w:t xml:space="preserve"> that are both NATA</w:t>
      </w:r>
      <w:r w:rsidR="00660582" w:rsidRPr="00843A70">
        <w:t xml:space="preserve"> (National Association of Testing Authorities)</w:t>
      </w:r>
      <w:r w:rsidR="00287B12" w:rsidRPr="00843A70">
        <w:t xml:space="preserve"> accredited and</w:t>
      </w:r>
      <w:r w:rsidRPr="00843A70">
        <w:t xml:space="preserve"> enrolled in a Quality Assurance Programme for PD-L1 testing should render the service to manage potential variability and other quality issues for this type of method. </w:t>
      </w:r>
    </w:p>
    <w:p w14:paraId="51AF10E7" w14:textId="77777777" w:rsidR="000269D1" w:rsidRPr="009B7DE0" w:rsidRDefault="000269D1" w:rsidP="009759FD">
      <w:pPr>
        <w:keepNext/>
        <w:spacing w:before="120" w:after="120"/>
        <w:rPr>
          <w:u w:val="single"/>
        </w:rPr>
      </w:pPr>
      <w:r w:rsidRPr="009B7DE0">
        <w:rPr>
          <w:u w:val="single"/>
        </w:rPr>
        <w:t>Sample material</w:t>
      </w:r>
    </w:p>
    <w:p w14:paraId="4428431D" w14:textId="370F87C1" w:rsidR="000269D1" w:rsidRPr="00522BC9" w:rsidRDefault="00F5742D" w:rsidP="000269D1">
      <w:r w:rsidRPr="00522BC9">
        <w:t>The specimen</w:t>
      </w:r>
      <w:r w:rsidR="000269D1" w:rsidRPr="00522BC9">
        <w:t xml:space="preserve"> </w:t>
      </w:r>
      <w:r w:rsidRPr="00522BC9">
        <w:t xml:space="preserve">for testing </w:t>
      </w:r>
      <w:r w:rsidR="000269D1" w:rsidRPr="00522BC9">
        <w:t xml:space="preserve">would be tumour tissue from resection or </w:t>
      </w:r>
      <w:r w:rsidR="009D65B3" w:rsidRPr="00C0789F">
        <w:t>(re-)</w:t>
      </w:r>
      <w:r w:rsidR="000269D1" w:rsidRPr="00C0789F">
        <w:t>biopsy.  The proposed IHC test requires enough</w:t>
      </w:r>
      <w:r w:rsidRPr="00E518BA">
        <w:t xml:space="preserve"> tumour </w:t>
      </w:r>
      <w:r w:rsidR="000269D1" w:rsidRPr="00E518BA">
        <w:t xml:space="preserve">tissue to make </w:t>
      </w:r>
      <w:r w:rsidR="00A57FB2" w:rsidRPr="00E63CBF">
        <w:t>formalin fixed paraffin embedded</w:t>
      </w:r>
      <w:r w:rsidR="009D65B3" w:rsidRPr="00E91F3D">
        <w:t xml:space="preserve"> (FFPE)</w:t>
      </w:r>
      <w:r w:rsidR="00A57FB2" w:rsidRPr="00E91F3D">
        <w:t xml:space="preserve"> </w:t>
      </w:r>
      <w:r w:rsidR="000269D1" w:rsidRPr="00E91F3D">
        <w:t>sections for staining an</w:t>
      </w:r>
      <w:r w:rsidR="000269D1" w:rsidRPr="00AA2B97">
        <w:t>d scoring</w:t>
      </w:r>
      <w:r w:rsidR="00A57FB2" w:rsidRPr="009B7DE0">
        <w:t>,</w:t>
      </w:r>
      <w:r w:rsidR="000269D1" w:rsidRPr="009B7DE0">
        <w:t xml:space="preserve"> so less invasive options like aspirate or needle biopsy </w:t>
      </w:r>
      <w:r w:rsidR="00D04DB9" w:rsidRPr="009B7DE0">
        <w:t>would</w:t>
      </w:r>
      <w:r w:rsidR="000269D1" w:rsidRPr="009B7DE0">
        <w:t xml:space="preserve"> be inappropriate</w:t>
      </w:r>
      <w:r w:rsidR="00660582" w:rsidRPr="009B7DE0">
        <w:t>. PASC considered that cytology specimens should be excluded for application 1457</w:t>
      </w:r>
      <w:r w:rsidR="000269D1" w:rsidRPr="00522BC9">
        <w:t xml:space="preserve">. </w:t>
      </w:r>
    </w:p>
    <w:p w14:paraId="57A3772A" w14:textId="12D78363" w:rsidR="000269D1" w:rsidRPr="00522BC9" w:rsidRDefault="001E7166" w:rsidP="00F5742D">
      <w:r w:rsidRPr="00C0789F">
        <w:t xml:space="preserve">MSAC </w:t>
      </w:r>
      <w:r w:rsidR="000269D1" w:rsidRPr="00C0789F">
        <w:t xml:space="preserve">has previously </w:t>
      </w:r>
      <w:r w:rsidR="0055025A" w:rsidRPr="00C0789F">
        <w:t>considered</w:t>
      </w:r>
      <w:r w:rsidR="000269D1" w:rsidRPr="00C0789F">
        <w:t xml:space="preserve"> that PD-L1 expression is not stable during the cours</w:t>
      </w:r>
      <w:r w:rsidR="000269D1" w:rsidRPr="00136364">
        <w:t xml:space="preserve">e of disease and may be inducible (Application 1414 </w:t>
      </w:r>
      <w:r w:rsidR="00F5742D" w:rsidRPr="00E518BA">
        <w:t>Public Summary Document</w:t>
      </w:r>
      <w:r w:rsidR="006A0E0B" w:rsidRPr="00E518BA">
        <w:t>). Thus for patients who</w:t>
      </w:r>
      <w:r w:rsidR="00735D89" w:rsidRPr="00E63CBF">
        <w:t xml:space="preserve"> first presented</w:t>
      </w:r>
      <w:r w:rsidR="000269D1" w:rsidRPr="00522BC9">
        <w:t xml:space="preserve"> </w:t>
      </w:r>
      <w:r w:rsidR="006A0E0B" w:rsidRPr="00522BC9">
        <w:t>with</w:t>
      </w:r>
      <w:r w:rsidR="000269D1" w:rsidRPr="00522BC9">
        <w:t xml:space="preserve"> an earlier sta</w:t>
      </w:r>
      <w:r w:rsidR="00735D89" w:rsidRPr="00522BC9">
        <w:t>ge of disease, re-</w:t>
      </w:r>
      <w:r w:rsidR="006A0E0B" w:rsidRPr="00522BC9">
        <w:t>biopsy would</w:t>
      </w:r>
      <w:r w:rsidR="000269D1" w:rsidRPr="00522BC9">
        <w:t xml:space="preserve"> be required upon disease progression</w:t>
      </w:r>
      <w:r w:rsidR="00735D89" w:rsidRPr="00522BC9">
        <w:t xml:space="preserve"> and</w:t>
      </w:r>
      <w:r w:rsidR="00F5742D" w:rsidRPr="00522BC9">
        <w:t xml:space="preserve"> </w:t>
      </w:r>
      <w:r w:rsidR="000269D1" w:rsidRPr="00522BC9">
        <w:t>archived tissue</w:t>
      </w:r>
      <w:r w:rsidR="00F5742D" w:rsidRPr="00522BC9">
        <w:t xml:space="preserve"> would be unsuitable as the test specimen</w:t>
      </w:r>
      <w:r w:rsidR="000269D1" w:rsidRPr="00522BC9">
        <w:t xml:space="preserve">. </w:t>
      </w:r>
      <w:r w:rsidR="0016589D" w:rsidRPr="00522BC9">
        <w:t xml:space="preserve"> </w:t>
      </w:r>
    </w:p>
    <w:p w14:paraId="342E43B8" w14:textId="7F4D3172" w:rsidR="00562223" w:rsidRPr="009B7DE0" w:rsidRDefault="00285955" w:rsidP="00D04DB9">
      <w:r w:rsidRPr="009B7DE0">
        <w:t xml:space="preserve">It was considered whether there are </w:t>
      </w:r>
      <w:r w:rsidR="00D04DB9" w:rsidRPr="009B7DE0">
        <w:t xml:space="preserve">any features of this disease that </w:t>
      </w:r>
      <w:r w:rsidRPr="009B7DE0">
        <w:t>would</w:t>
      </w:r>
      <w:r w:rsidR="00D04DB9" w:rsidRPr="009B7DE0">
        <w:t xml:space="preserve"> preclude </w:t>
      </w:r>
      <w:r w:rsidR="00AE606A" w:rsidRPr="009B7DE0">
        <w:t>re-</w:t>
      </w:r>
      <w:r w:rsidR="00D04DB9" w:rsidRPr="009B7DE0">
        <w:t>biopsy in patients</w:t>
      </w:r>
      <w:r w:rsidRPr="009B7DE0">
        <w:t xml:space="preserve">. </w:t>
      </w:r>
      <w:r w:rsidR="00562223" w:rsidRPr="009B7DE0">
        <w:t xml:space="preserve"> Where there is</w:t>
      </w:r>
      <w:r w:rsidR="00127401" w:rsidRPr="009B7DE0">
        <w:t xml:space="preserve"> residual/recurrent</w:t>
      </w:r>
      <w:r w:rsidR="00562223" w:rsidRPr="009B7DE0">
        <w:t xml:space="preserve"> tumour</w:t>
      </w:r>
      <w:r w:rsidR="00127401" w:rsidRPr="009B7DE0">
        <w:t xml:space="preserve"> at the primary or nearby sites</w:t>
      </w:r>
      <w:r w:rsidR="00562223" w:rsidRPr="009B7DE0">
        <w:t>,</w:t>
      </w:r>
      <w:r w:rsidR="00AE606A" w:rsidRPr="009B7DE0">
        <w:t xml:space="preserve"> re-</w:t>
      </w:r>
      <w:r w:rsidR="00562223" w:rsidRPr="009B7DE0">
        <w:t>biopsy would be relatively straightforward</w:t>
      </w:r>
      <w:r w:rsidR="00127401" w:rsidRPr="009B7DE0">
        <w:t>, (</w:t>
      </w:r>
      <w:r w:rsidR="00176096" w:rsidRPr="009B7DE0">
        <w:t>e.g.</w:t>
      </w:r>
      <w:r w:rsidR="00127401" w:rsidRPr="009B7DE0">
        <w:t xml:space="preserve"> of the bladder using cystoscopy)</w:t>
      </w:r>
      <w:r w:rsidR="00562223" w:rsidRPr="009B7DE0">
        <w:t xml:space="preserve">.  However, </w:t>
      </w:r>
      <w:r w:rsidR="00127401" w:rsidRPr="009B7DE0">
        <w:t xml:space="preserve">in patients who have previously had a cystectomy and </w:t>
      </w:r>
      <w:r w:rsidR="00562223" w:rsidRPr="009B7DE0">
        <w:t>w</w:t>
      </w:r>
      <w:r w:rsidR="006A0E0B" w:rsidRPr="009B7DE0">
        <w:t>here metastases</w:t>
      </w:r>
      <w:r w:rsidR="00562223" w:rsidRPr="009B7DE0">
        <w:t xml:space="preserve"> are</w:t>
      </w:r>
      <w:r w:rsidR="006A0E0B" w:rsidRPr="009B7DE0">
        <w:t xml:space="preserve"> </w:t>
      </w:r>
      <w:r w:rsidR="00562223" w:rsidRPr="009B7DE0">
        <w:t>restricted to</w:t>
      </w:r>
      <w:r w:rsidR="006A0E0B" w:rsidRPr="009B7DE0">
        <w:t xml:space="preserve"> d</w:t>
      </w:r>
      <w:r w:rsidR="00C203B8" w:rsidRPr="009B7DE0">
        <w:t xml:space="preserve">istant sites </w:t>
      </w:r>
      <w:r w:rsidR="00562223" w:rsidRPr="009B7DE0">
        <w:t>such as</w:t>
      </w:r>
      <w:r w:rsidR="00C203B8" w:rsidRPr="009B7DE0">
        <w:t xml:space="preserve"> </w:t>
      </w:r>
      <w:r w:rsidR="00562223" w:rsidRPr="009B7DE0">
        <w:t xml:space="preserve">the </w:t>
      </w:r>
      <w:r w:rsidR="00C203B8" w:rsidRPr="009B7DE0">
        <w:t xml:space="preserve">lung </w:t>
      </w:r>
      <w:r w:rsidR="00562223" w:rsidRPr="009B7DE0">
        <w:t>or</w:t>
      </w:r>
      <w:r w:rsidR="00C203B8" w:rsidRPr="009B7DE0">
        <w:t xml:space="preserve"> liver</w:t>
      </w:r>
      <w:r w:rsidR="00562223" w:rsidRPr="009B7DE0">
        <w:t>,</w:t>
      </w:r>
      <w:r w:rsidR="00C203B8" w:rsidRPr="009B7DE0">
        <w:t xml:space="preserve"> </w:t>
      </w:r>
      <w:r w:rsidR="00AE606A" w:rsidRPr="009B7DE0">
        <w:t>re-</w:t>
      </w:r>
      <w:r w:rsidR="00562223" w:rsidRPr="009B7DE0">
        <w:t xml:space="preserve">biopsy poses significant risks (e.g. of </w:t>
      </w:r>
      <w:r w:rsidR="00C203B8" w:rsidRPr="009B7DE0">
        <w:t>pneumothorax</w:t>
      </w:r>
      <w:r w:rsidR="00562223" w:rsidRPr="009B7DE0">
        <w:t>)</w:t>
      </w:r>
      <w:r w:rsidR="00C203B8" w:rsidRPr="009B7DE0">
        <w:t xml:space="preserve">. </w:t>
      </w:r>
      <w:r w:rsidR="00E91F3D" w:rsidRPr="00E91F3D">
        <w:rPr>
          <w:i/>
        </w:rPr>
        <w:t xml:space="preserve">Harms due to re-biopsy should be included in the SBA.  </w:t>
      </w:r>
    </w:p>
    <w:p w14:paraId="1370C5D2" w14:textId="77777777" w:rsidR="000F3EF2" w:rsidRPr="009B7DE0" w:rsidRDefault="000F3EF2" w:rsidP="001778F3">
      <w:pPr>
        <w:spacing w:before="120" w:after="120"/>
        <w:rPr>
          <w:u w:val="single"/>
        </w:rPr>
      </w:pPr>
      <w:r w:rsidRPr="009B7DE0">
        <w:rPr>
          <w:u w:val="single"/>
        </w:rPr>
        <w:t>Test Frequency</w:t>
      </w:r>
    </w:p>
    <w:p w14:paraId="6861C933" w14:textId="711A264B" w:rsidR="000F3EF2" w:rsidRPr="009B7DE0" w:rsidRDefault="00D72F2F" w:rsidP="001778F3">
      <w:pPr>
        <w:spacing w:before="120" w:after="120"/>
      </w:pPr>
      <w:r w:rsidRPr="009B7DE0">
        <w:lastRenderedPageBreak/>
        <w:t>The</w:t>
      </w:r>
      <w:r w:rsidR="00127401" w:rsidRPr="009B7DE0">
        <w:t xml:space="preserve"> </w:t>
      </w:r>
      <w:r w:rsidRPr="009B7DE0">
        <w:t>test</w:t>
      </w:r>
      <w:r w:rsidR="00C21E2F" w:rsidRPr="009B7DE0">
        <w:t xml:space="preserve"> </w:t>
      </w:r>
      <w:r w:rsidRPr="009B7DE0">
        <w:t>frequency would be o</w:t>
      </w:r>
      <w:r w:rsidR="000F3EF2" w:rsidRPr="009B7DE0">
        <w:t xml:space="preserve">nce per patient </w:t>
      </w:r>
      <w:r w:rsidR="00127401" w:rsidRPr="009B7DE0">
        <w:t xml:space="preserve">lifetime.  </w:t>
      </w:r>
      <w:r w:rsidR="001A4251" w:rsidRPr="009B7DE0">
        <w:t xml:space="preserve">Multiple tests per lifetime would be an issue </w:t>
      </w:r>
      <w:r w:rsidR="00E10D35" w:rsidRPr="009B7DE0">
        <w:t xml:space="preserve">only </w:t>
      </w:r>
      <w:r w:rsidR="001A4251" w:rsidRPr="009B7DE0">
        <w:t xml:space="preserve">for disease monitoring or if PD-L1 inhibitors became available for earlier stages of disease.  </w:t>
      </w:r>
    </w:p>
    <w:p w14:paraId="0A70A769" w14:textId="6F47ED10" w:rsidR="002A311E" w:rsidRPr="009B7DE0" w:rsidRDefault="00664B60" w:rsidP="001778F3">
      <w:pPr>
        <w:spacing w:before="120" w:after="120"/>
        <w:rPr>
          <w:u w:val="single"/>
        </w:rPr>
      </w:pPr>
      <w:r w:rsidRPr="009B7DE0">
        <w:rPr>
          <w:u w:val="single"/>
        </w:rPr>
        <w:t>Test Platform</w:t>
      </w:r>
    </w:p>
    <w:p w14:paraId="1ED3209E" w14:textId="29D882DB" w:rsidR="00B1510E" w:rsidRPr="00136364" w:rsidRDefault="002A311E" w:rsidP="001778F3">
      <w:pPr>
        <w:spacing w:before="120" w:after="120"/>
      </w:pPr>
      <w:r w:rsidRPr="00522BC9">
        <w:t>The clinical trial assay used for PD-L1 testing has been commercialised as the Roche/</w:t>
      </w:r>
      <w:proofErr w:type="spellStart"/>
      <w:r w:rsidRPr="00522BC9">
        <w:t>Ventana</w:t>
      </w:r>
      <w:proofErr w:type="spellEnd"/>
      <w:r w:rsidRPr="00522BC9">
        <w:t xml:space="preserve"> SP263 </w:t>
      </w:r>
      <w:r w:rsidRPr="00C0789F">
        <w:t xml:space="preserve">PD-L1 IHC kit. </w:t>
      </w:r>
      <w:r w:rsidR="00862D90" w:rsidRPr="00C0789F">
        <w:t xml:space="preserve"> </w:t>
      </w:r>
      <w:r w:rsidRPr="00C0789F">
        <w:t xml:space="preserve">This </w:t>
      </w:r>
      <w:r w:rsidR="00A57FB2" w:rsidRPr="00C0789F">
        <w:t xml:space="preserve">kit </w:t>
      </w:r>
      <w:r w:rsidRPr="00C0789F">
        <w:t xml:space="preserve">uses a SP263 anti-PD-L1 </w:t>
      </w:r>
      <w:r w:rsidR="00A57FB2" w:rsidRPr="00C0789F">
        <w:t xml:space="preserve">rabbit </w:t>
      </w:r>
      <w:r w:rsidRPr="00136364">
        <w:t xml:space="preserve">monoclonal antibody.  </w:t>
      </w:r>
    </w:p>
    <w:p w14:paraId="24970D17" w14:textId="56CCC6B2" w:rsidR="009776A2" w:rsidRPr="00522BC9" w:rsidRDefault="0085343F" w:rsidP="001778F3">
      <w:pPr>
        <w:spacing w:before="120" w:after="120"/>
      </w:pPr>
      <w:r>
        <w:rPr>
          <w:b/>
        </w:rPr>
        <w:t xml:space="preserve">Paragraph </w:t>
      </w:r>
      <w:r w:rsidR="00291742" w:rsidRPr="00291742">
        <w:rPr>
          <w:b/>
        </w:rPr>
        <w:t>Redacted</w:t>
      </w:r>
      <w:r w:rsidR="009776A2" w:rsidRPr="00291742">
        <w:rPr>
          <w:b/>
        </w:rPr>
        <w:t xml:space="preserve"> </w:t>
      </w:r>
      <w:r w:rsidR="009776A2" w:rsidRPr="009B7DE0">
        <w:t xml:space="preserve"> </w:t>
      </w:r>
    </w:p>
    <w:p w14:paraId="44BFE812" w14:textId="5EB9439F" w:rsidR="00BD7EA6" w:rsidRPr="00C0789F" w:rsidRDefault="00BD7EA6" w:rsidP="001778F3">
      <w:pPr>
        <w:spacing w:before="120" w:after="120"/>
      </w:pPr>
      <w:r w:rsidRPr="00522BC9">
        <w:t xml:space="preserve">The manufacturer’s website </w:t>
      </w:r>
      <w:r w:rsidR="001A4251" w:rsidRPr="00522BC9">
        <w:t>states</w:t>
      </w:r>
      <w:r w:rsidRPr="00522BC9">
        <w:t xml:space="preserve"> that </w:t>
      </w:r>
      <w:r w:rsidR="001A4251" w:rsidRPr="00C0789F">
        <w:t>the kit has a</w:t>
      </w:r>
      <w:r w:rsidRPr="00C0789F">
        <w:t xml:space="preserve"> CE Mark in the European Union</w:t>
      </w:r>
      <w:r w:rsidR="001A4251" w:rsidRPr="00C0789F">
        <w:t xml:space="preserve"> and it is approved as a</w:t>
      </w:r>
      <w:r w:rsidRPr="00E518BA">
        <w:t xml:space="preserve"> complementary diagnostic in the United States</w:t>
      </w:r>
      <w:r w:rsidR="001A4251" w:rsidRPr="00522BC9">
        <w:rPr>
          <w:rStyle w:val="FootnoteReference"/>
        </w:rPr>
        <w:footnoteReference w:id="13"/>
      </w:r>
      <w:r w:rsidRPr="00522BC9">
        <w:t xml:space="preserve">.  </w:t>
      </w:r>
      <w:r w:rsidR="00EB715C" w:rsidRPr="00522BC9">
        <w:t>A complementary diagnostic is one that FDA</w:t>
      </w:r>
      <w:r w:rsidR="00E6317A" w:rsidRPr="00C0789F">
        <w:t xml:space="preserve"> considers</w:t>
      </w:r>
      <w:r w:rsidR="00EB715C" w:rsidRPr="00C0789F">
        <w:t xml:space="preserve"> </w:t>
      </w:r>
      <w:r w:rsidR="00E6317A" w:rsidRPr="00C0789F">
        <w:t xml:space="preserve">to be informative but not </w:t>
      </w:r>
      <w:r w:rsidR="00EB715C" w:rsidRPr="00C0789F">
        <w:t xml:space="preserve">mandatory for treatment (c.f. companion diagnostic).  </w:t>
      </w:r>
    </w:p>
    <w:p w14:paraId="51DDEDF7" w14:textId="77777777" w:rsidR="00B1510E" w:rsidRPr="00522BC9" w:rsidRDefault="00B15E8F" w:rsidP="001778F3">
      <w:pPr>
        <w:spacing w:before="120" w:after="120"/>
      </w:pPr>
      <w:r w:rsidRPr="00E518BA">
        <w:t xml:space="preserve">Three other monoclonal antibodies have been used to develop commercial anti-PD-L1 IHC tests: </w:t>
      </w:r>
      <w:proofErr w:type="spellStart"/>
      <w:r w:rsidRPr="00E518BA">
        <w:t>Ventana</w:t>
      </w:r>
      <w:proofErr w:type="spellEnd"/>
      <w:r w:rsidRPr="00E518BA">
        <w:t xml:space="preserve"> rabbit SP142; </w:t>
      </w:r>
      <w:proofErr w:type="spellStart"/>
      <w:r w:rsidRPr="00E518BA">
        <w:t>Dako</w:t>
      </w:r>
      <w:proofErr w:type="spellEnd"/>
      <w:r w:rsidRPr="00E518BA">
        <w:t xml:space="preserve"> </w:t>
      </w:r>
      <w:r w:rsidR="00200B89" w:rsidRPr="00522BC9">
        <w:t xml:space="preserve">rabbit </w:t>
      </w:r>
      <w:r w:rsidRPr="00522BC9">
        <w:t xml:space="preserve">28-8; </w:t>
      </w:r>
      <w:proofErr w:type="spellStart"/>
      <w:r w:rsidRPr="00522BC9">
        <w:t>Dako</w:t>
      </w:r>
      <w:proofErr w:type="spellEnd"/>
      <w:r w:rsidRPr="00522BC9">
        <w:t xml:space="preserve"> mouse 22C3</w:t>
      </w:r>
      <w:r w:rsidR="00200B89" w:rsidRPr="00522BC9">
        <w:t xml:space="preserve">.  </w:t>
      </w:r>
      <w:r w:rsidR="008559E5" w:rsidRPr="009B7DE0">
        <w:t>R</w:t>
      </w:r>
      <w:r w:rsidR="002F6F23" w:rsidRPr="009B7DE0">
        <w:t>esults obtained with each of these and SP1263</w:t>
      </w:r>
      <w:r w:rsidR="008559E5" w:rsidRPr="009B7DE0">
        <w:t xml:space="preserve"> (largely in NSCLC)</w:t>
      </w:r>
      <w:r w:rsidR="002F6F23" w:rsidRPr="009B7DE0">
        <w:t xml:space="preserve"> have been </w:t>
      </w:r>
      <w:r w:rsidR="008559E5" w:rsidRPr="009B7DE0">
        <w:t xml:space="preserve">observed to be highly variable and have been </w:t>
      </w:r>
      <w:r w:rsidR="002F6F23" w:rsidRPr="009B7DE0">
        <w:t xml:space="preserve">the subject of a number of concordance studies.  </w:t>
      </w:r>
    </w:p>
    <w:p w14:paraId="055F46B9" w14:textId="010DD18C" w:rsidR="00C04385" w:rsidRPr="00522BC9" w:rsidRDefault="00A65DA1" w:rsidP="00C04385">
      <w:pPr>
        <w:spacing w:before="120" w:after="120"/>
      </w:pPr>
      <w:r w:rsidRPr="00522BC9">
        <w:t xml:space="preserve">The applicant plans to present a concordance study that compares </w:t>
      </w:r>
      <w:proofErr w:type="spellStart"/>
      <w:r w:rsidRPr="00C0789F">
        <w:t>Ventana</w:t>
      </w:r>
      <w:proofErr w:type="spellEnd"/>
      <w:r w:rsidRPr="00C0789F">
        <w:t xml:space="preserve"> SP263, </w:t>
      </w:r>
      <w:proofErr w:type="spellStart"/>
      <w:r w:rsidRPr="00C0789F">
        <w:t>Dako</w:t>
      </w:r>
      <w:proofErr w:type="spellEnd"/>
      <w:r w:rsidRPr="00C0789F">
        <w:t xml:space="preserve"> 22C3 and </w:t>
      </w:r>
      <w:proofErr w:type="spellStart"/>
      <w:r w:rsidRPr="00C0789F">
        <w:t>Dako</w:t>
      </w:r>
      <w:proofErr w:type="spellEnd"/>
      <w:r w:rsidRPr="00C0789F">
        <w:t xml:space="preserve"> SP142 tests using 500 archived urothelial cancer tissue specimens</w:t>
      </w:r>
      <w:r w:rsidR="00EB3B7C" w:rsidRPr="00C0789F">
        <w:t xml:space="preserve"> in the SBA</w:t>
      </w:r>
      <w:r w:rsidRPr="009B7DE0">
        <w:t xml:space="preserve">.  </w:t>
      </w:r>
    </w:p>
    <w:p w14:paraId="37F6C741" w14:textId="24C9363C" w:rsidR="00F0171E" w:rsidRPr="009B7DE0" w:rsidRDefault="00F0171E" w:rsidP="000F6211">
      <w:pPr>
        <w:keepNext/>
        <w:spacing w:before="120" w:after="120"/>
        <w:rPr>
          <w:u w:val="single"/>
        </w:rPr>
      </w:pPr>
      <w:r w:rsidRPr="009B7DE0">
        <w:rPr>
          <w:u w:val="single"/>
        </w:rPr>
        <w:t>Scoring of Tests</w:t>
      </w:r>
    </w:p>
    <w:p w14:paraId="0B7D8627" w14:textId="5C5048E9" w:rsidR="0086237B" w:rsidRPr="009B7DE0" w:rsidRDefault="00E63CBF" w:rsidP="00E6317A">
      <w:pPr>
        <w:spacing w:before="120" w:after="120"/>
      </w:pPr>
      <w:r w:rsidRPr="00E63CBF">
        <w:rPr>
          <w:i/>
        </w:rPr>
        <w:t xml:space="preserve">The assay is used to determine the percentage of cells staining for PD-L1 expression, measured as a total proportion score.  </w:t>
      </w:r>
      <w:r w:rsidR="003E4A35" w:rsidRPr="00522BC9">
        <w:t xml:space="preserve">Tumours will be scored </w:t>
      </w:r>
      <w:r w:rsidR="009B7DE0" w:rsidRPr="009B7DE0">
        <w:rPr>
          <w:i/>
        </w:rPr>
        <w:t>using a three-step assessment</w:t>
      </w:r>
      <w:r w:rsidR="009B7DE0">
        <w:t xml:space="preserve"> </w:t>
      </w:r>
      <w:r w:rsidR="003E4A35" w:rsidRPr="00522BC9">
        <w:t xml:space="preserve">as either </w:t>
      </w:r>
      <w:r w:rsidR="00F0171E" w:rsidRPr="00522BC9">
        <w:t xml:space="preserve">high or low PD-L1 expression.  </w:t>
      </w:r>
      <w:r w:rsidR="00B730BD" w:rsidRPr="00522BC9">
        <w:t>Patients in the DANUBE pivotal trial have been stratified prior to ra</w:t>
      </w:r>
      <w:r w:rsidR="00B730BD" w:rsidRPr="00C0789F">
        <w:t xml:space="preserve">ndomisation according to high or low expression. </w:t>
      </w:r>
      <w:r w:rsidR="005A4651">
        <w:t xml:space="preserve"> </w:t>
      </w:r>
      <w:proofErr w:type="gramStart"/>
      <w:r w:rsidR="005A4651">
        <w:t xml:space="preserve">Scoring counts the </w:t>
      </w:r>
      <w:r w:rsidR="001A4251" w:rsidRPr="00C0789F">
        <w:t>cells that show PD-L1 membrane</w:t>
      </w:r>
      <w:r w:rsidR="00176096" w:rsidRPr="009B7DE0">
        <w:t xml:space="preserve"> staining of any intensity</w:t>
      </w:r>
      <w:r w:rsidR="00C04385" w:rsidRPr="009B7DE0">
        <w:t xml:space="preserve"> in tumour </w:t>
      </w:r>
      <w:r w:rsidR="00E6317A" w:rsidRPr="009B7DE0">
        <w:t>cells, and staining of any intensity in</w:t>
      </w:r>
      <w:r w:rsidR="00C04385" w:rsidRPr="009B7DE0">
        <w:t xml:space="preserve"> infiltrating immune cells</w:t>
      </w:r>
      <w:r w:rsidR="00176096" w:rsidRPr="009B7DE0">
        <w:t>.</w:t>
      </w:r>
      <w:proofErr w:type="gramEnd"/>
      <w:r w:rsidR="00C04385" w:rsidRPr="009B7DE0">
        <w:t xml:space="preserve"> </w:t>
      </w:r>
      <w:r w:rsidR="00B24692" w:rsidRPr="009B7DE0">
        <w:t xml:space="preserve"> </w:t>
      </w:r>
      <w:r w:rsidR="00E6317A" w:rsidRPr="009B7DE0">
        <w:t>US</w:t>
      </w:r>
      <w:r w:rsidR="005D549A">
        <w:t>A</w:t>
      </w:r>
      <w:r w:rsidR="00E6317A" w:rsidRPr="009B7DE0">
        <w:t xml:space="preserve"> product information states “The cellular staining pattern for VENTANA PD-L1 (SP263) Assay is membranous and/or cytoplasmic staining of </w:t>
      </w:r>
      <w:proofErr w:type="spellStart"/>
      <w:r w:rsidR="00E6317A" w:rsidRPr="009B7DE0">
        <w:t>tumor</w:t>
      </w:r>
      <w:proofErr w:type="spellEnd"/>
      <w:r w:rsidR="00E6317A" w:rsidRPr="009B7DE0">
        <w:t xml:space="preserve"> cells. Immune cells demonstrate linear </w:t>
      </w:r>
      <w:proofErr w:type="gramStart"/>
      <w:r w:rsidR="00E6317A" w:rsidRPr="009B7DE0">
        <w:t>membrane,</w:t>
      </w:r>
      <w:proofErr w:type="gramEnd"/>
      <w:r w:rsidR="00E6317A" w:rsidRPr="009B7DE0">
        <w:t xml:space="preserve"> diffuse cytoplasmic, and/or punctate staining.”  </w:t>
      </w:r>
      <w:r w:rsidR="00942779" w:rsidRPr="009B7DE0">
        <w:t>Thus</w:t>
      </w:r>
      <w:r w:rsidR="005D549A">
        <w:t>,</w:t>
      </w:r>
      <w:r w:rsidR="00E6317A" w:rsidRPr="009B7DE0">
        <w:t xml:space="preserve"> scoring does not </w:t>
      </w:r>
      <w:r w:rsidR="00E10D35" w:rsidRPr="009B7DE0">
        <w:t xml:space="preserve">include </w:t>
      </w:r>
      <w:r w:rsidR="00942779" w:rsidRPr="009B7DE0">
        <w:t>all PD-L1 staining that may be observed. C</w:t>
      </w:r>
      <w:r w:rsidR="00E6317A" w:rsidRPr="009B7DE0">
        <w:t>ytoplasmic staining in tumour cells</w:t>
      </w:r>
      <w:r w:rsidR="00942779" w:rsidRPr="009B7DE0">
        <w:t xml:space="preserve"> is not scored</w:t>
      </w:r>
      <w:r w:rsidR="00E6317A" w:rsidRPr="009B7DE0">
        <w:t xml:space="preserve">, but </w:t>
      </w:r>
      <w:r w:rsidR="00942779" w:rsidRPr="009B7DE0">
        <w:t xml:space="preserve">scoring of </w:t>
      </w:r>
      <w:r w:rsidR="00E6317A" w:rsidRPr="009B7DE0">
        <w:t>immune cell</w:t>
      </w:r>
      <w:r w:rsidR="00942779" w:rsidRPr="009B7DE0">
        <w:t>s can include</w:t>
      </w:r>
      <w:r w:rsidR="00E6317A" w:rsidRPr="009B7DE0">
        <w:t xml:space="preserve"> membrane </w:t>
      </w:r>
      <w:r w:rsidR="00942779" w:rsidRPr="009B7DE0">
        <w:t>and</w:t>
      </w:r>
      <w:r w:rsidR="00E6317A" w:rsidRPr="009B7DE0">
        <w:t xml:space="preserve"> cytoplasmic</w:t>
      </w:r>
      <w:r w:rsidR="00942779" w:rsidRPr="009B7DE0">
        <w:t xml:space="preserve"> staining</w:t>
      </w:r>
      <w:r w:rsidR="00E6317A" w:rsidRPr="009B7DE0">
        <w:t xml:space="preserve">.  </w:t>
      </w:r>
      <w:r w:rsidR="00E91F3D">
        <w:rPr>
          <w:i/>
        </w:rPr>
        <w:t>T</w:t>
      </w:r>
      <w:r w:rsidR="00E91F3D" w:rsidRPr="00E91F3D">
        <w:rPr>
          <w:i/>
        </w:rPr>
        <w:t xml:space="preserve">his is different to Application 1505 which involves staining of tumour cells only.  </w:t>
      </w:r>
    </w:p>
    <w:p w14:paraId="107611CD" w14:textId="2EBC1209" w:rsidR="00F0171E" w:rsidRPr="00C0789F" w:rsidRDefault="00F0171E" w:rsidP="00636B8F">
      <w:pPr>
        <w:spacing w:before="120" w:after="120"/>
      </w:pPr>
      <w:r w:rsidRPr="00522BC9">
        <w:t xml:space="preserve">In </w:t>
      </w:r>
      <w:r w:rsidR="009B0A32" w:rsidRPr="00522BC9">
        <w:t xml:space="preserve">the sponsor’s </w:t>
      </w:r>
      <w:r w:rsidRPr="00522BC9">
        <w:t xml:space="preserve">earlier clinical trials, </w:t>
      </w:r>
      <w:r w:rsidR="009B0A32" w:rsidRPr="00C0789F">
        <w:t>tumour score</w:t>
      </w:r>
      <w:r w:rsidRPr="00C0789F">
        <w:t xml:space="preserve"> was defined as:</w:t>
      </w:r>
    </w:p>
    <w:p w14:paraId="4E366CFC" w14:textId="7F9AD5EE" w:rsidR="00F0171E" w:rsidRPr="00136364" w:rsidRDefault="00F0171E" w:rsidP="00F0171E">
      <w:pPr>
        <w:pStyle w:val="ListParagraph"/>
        <w:numPr>
          <w:ilvl w:val="0"/>
          <w:numId w:val="16"/>
        </w:numPr>
        <w:spacing w:before="120" w:after="120"/>
      </w:pPr>
      <w:r w:rsidRPr="00C0789F">
        <w:t>H</w:t>
      </w:r>
      <w:r w:rsidR="003E4A35" w:rsidRPr="00C0789F">
        <w:t>igh PD-L1 expression</w:t>
      </w:r>
      <w:r w:rsidRPr="00C0789F">
        <w:t>:</w:t>
      </w:r>
      <w:r w:rsidR="00636B8F" w:rsidRPr="00C0789F">
        <w:t xml:space="preserve"> tumour cells ≥ 25% or immune cells ≥ 25%</w:t>
      </w:r>
      <w:r w:rsidRPr="00136364">
        <w:t>;</w:t>
      </w:r>
    </w:p>
    <w:p w14:paraId="179863F3" w14:textId="7545B5B5" w:rsidR="00F0171E" w:rsidRPr="00E518BA" w:rsidRDefault="00F0171E" w:rsidP="00F0171E">
      <w:pPr>
        <w:pStyle w:val="ListParagraph"/>
        <w:numPr>
          <w:ilvl w:val="0"/>
          <w:numId w:val="16"/>
        </w:numPr>
        <w:spacing w:before="120" w:after="120"/>
      </w:pPr>
      <w:r w:rsidRPr="00E518BA">
        <w:t>L</w:t>
      </w:r>
      <w:r w:rsidR="003E4A35" w:rsidRPr="00E518BA">
        <w:t>ow PD-L1 expression</w:t>
      </w:r>
      <w:r w:rsidRPr="00E518BA">
        <w:t xml:space="preserve">: </w:t>
      </w:r>
      <w:r w:rsidR="00636B8F" w:rsidRPr="00E518BA">
        <w:t>tumour ce</w:t>
      </w:r>
      <w:r w:rsidRPr="00E518BA">
        <w:t>lls &lt; 25% or immune cells &lt; 25%</w:t>
      </w:r>
    </w:p>
    <w:p w14:paraId="41DE774C" w14:textId="63173833" w:rsidR="009B0A32" w:rsidRPr="00522BC9" w:rsidRDefault="00F0171E" w:rsidP="009B0A32">
      <w:pPr>
        <w:spacing w:before="120" w:after="120"/>
      </w:pPr>
      <w:r w:rsidRPr="00E63CBF">
        <w:t xml:space="preserve">In the phase III </w:t>
      </w:r>
      <w:r w:rsidR="009B0A32" w:rsidRPr="00E63CBF">
        <w:t>clinical trial</w:t>
      </w:r>
      <w:r w:rsidRPr="00E63CBF">
        <w:t xml:space="preserve">, an additional criterion </w:t>
      </w:r>
      <w:r w:rsidR="001A4251" w:rsidRPr="00E63CBF">
        <w:t>was</w:t>
      </w:r>
      <w:r w:rsidRPr="00E63CBF">
        <w:t xml:space="preserve"> added </w:t>
      </w:r>
      <w:r w:rsidR="007A2AB5" w:rsidRPr="00E63CBF">
        <w:t>(</w:t>
      </w:r>
      <w:r w:rsidRPr="00E63CBF">
        <w:t xml:space="preserve">to take account of exceptional cases </w:t>
      </w:r>
      <w:r w:rsidR="009B0A32" w:rsidRPr="00522BC9">
        <w:t>observed in earlier trials</w:t>
      </w:r>
      <w:r w:rsidR="007A2AB5" w:rsidRPr="00522BC9">
        <w:t>)</w:t>
      </w:r>
      <w:r w:rsidR="009B0A32" w:rsidRPr="00522BC9">
        <w:t xml:space="preserve"> </w:t>
      </w:r>
      <w:r w:rsidRPr="00522BC9">
        <w:t>where the number of</w:t>
      </w:r>
      <w:r w:rsidR="009B0A32" w:rsidRPr="00522BC9">
        <w:t xml:space="preserve"> immune cells i</w:t>
      </w:r>
      <w:r w:rsidRPr="00522BC9">
        <w:t xml:space="preserve">s </w:t>
      </w:r>
      <w:r w:rsidR="0084290E" w:rsidRPr="00522BC9">
        <w:t>only</w:t>
      </w:r>
      <w:r w:rsidRPr="00522BC9">
        <w:t xml:space="preserve"> 1% of the tumour sample. </w:t>
      </w:r>
    </w:p>
    <w:p w14:paraId="11288EDF" w14:textId="6CD3EE83" w:rsidR="00F0171E" w:rsidRPr="009B7DE0" w:rsidRDefault="009B0A32" w:rsidP="00F0171E">
      <w:pPr>
        <w:spacing w:before="120" w:after="120"/>
      </w:pPr>
      <w:r w:rsidRPr="00522BC9">
        <w:t>Consequently, the Phase III (DANUBE) trial</w:t>
      </w:r>
      <w:r w:rsidR="007A2AB5" w:rsidRPr="00522BC9">
        <w:t xml:space="preserve"> </w:t>
      </w:r>
      <w:proofErr w:type="gramStart"/>
      <w:r w:rsidR="007A2AB5" w:rsidRPr="00522BC9">
        <w:t>criteria for high</w:t>
      </w:r>
      <w:r w:rsidRPr="00522BC9">
        <w:t xml:space="preserve"> </w:t>
      </w:r>
      <w:r w:rsidR="007A2AB5" w:rsidRPr="00522BC9">
        <w:t>PD-L1 status is</w:t>
      </w:r>
      <w:proofErr w:type="gramEnd"/>
      <w:r w:rsidR="007A2AB5" w:rsidRPr="00522BC9">
        <w:t xml:space="preserve"> </w:t>
      </w:r>
      <w:r w:rsidR="009B7DE0" w:rsidRPr="009B7DE0">
        <w:rPr>
          <w:i/>
        </w:rPr>
        <w:t>a three-step assessment to determine</w:t>
      </w:r>
      <w:r w:rsidR="009B7DE0">
        <w:t xml:space="preserve"> </w:t>
      </w:r>
      <w:r w:rsidR="00F0171E" w:rsidRPr="009B7DE0">
        <w:t xml:space="preserve">if </w:t>
      </w:r>
      <w:r w:rsidR="0038100C" w:rsidRPr="009B7DE0">
        <w:t>the patient’s tumour specimen meets any of the following criteria</w:t>
      </w:r>
      <w:r w:rsidR="00F0171E" w:rsidRPr="009B7DE0">
        <w:t>:</w:t>
      </w:r>
    </w:p>
    <w:p w14:paraId="1EC9C63E" w14:textId="77777777" w:rsidR="00AA2B97" w:rsidRDefault="00F0171E" w:rsidP="00E62596">
      <w:pPr>
        <w:pStyle w:val="ListParagraph"/>
        <w:numPr>
          <w:ilvl w:val="0"/>
          <w:numId w:val="28"/>
        </w:numPr>
        <w:spacing w:before="120" w:after="120"/>
      </w:pPr>
      <w:r w:rsidRPr="00E518BA">
        <w:rPr>
          <w:rFonts w:cs="Calibri"/>
        </w:rPr>
        <w:t>≥</w:t>
      </w:r>
      <w:r w:rsidRPr="00E518BA">
        <w:t>25% of tumo</w:t>
      </w:r>
      <w:r w:rsidR="0018466B" w:rsidRPr="00E518BA">
        <w:t>u</w:t>
      </w:r>
      <w:r w:rsidRPr="00E518BA">
        <w:t xml:space="preserve">r cells exhibit membrane staining; </w:t>
      </w:r>
      <w:r w:rsidR="0084290E" w:rsidRPr="00E518BA">
        <w:t>OR</w:t>
      </w:r>
      <w:r w:rsidRPr="00E518BA">
        <w:t>,</w:t>
      </w:r>
    </w:p>
    <w:p w14:paraId="24E8A0F7" w14:textId="3DC6F6B7" w:rsidR="0084290E" w:rsidRPr="00E518BA" w:rsidRDefault="0084290E" w:rsidP="00E62596">
      <w:pPr>
        <w:pStyle w:val="ListParagraph"/>
        <w:numPr>
          <w:ilvl w:val="0"/>
          <w:numId w:val="28"/>
        </w:numPr>
        <w:spacing w:before="120" w:after="120"/>
      </w:pPr>
      <w:r w:rsidRPr="00E518BA">
        <w:t xml:space="preserve">In </w:t>
      </w:r>
      <w:r w:rsidR="00FB2A48" w:rsidRPr="00E518BA">
        <w:t xml:space="preserve">specimens where the immune cells present </w:t>
      </w:r>
      <w:r w:rsidRPr="00E518BA">
        <w:t xml:space="preserve">is greater than 1%: 25% of immune cells (or greater) </w:t>
      </w:r>
      <w:r w:rsidRPr="00E518BA">
        <w:rPr>
          <w:rFonts w:cs="Calibri"/>
        </w:rPr>
        <w:t>exhibit positive staining,</w:t>
      </w:r>
      <w:r w:rsidRPr="00E518BA">
        <w:t xml:space="preserve"> OR;</w:t>
      </w:r>
    </w:p>
    <w:p w14:paraId="0B73E1C6" w14:textId="104E3BC8" w:rsidR="0084290E" w:rsidRDefault="0084290E" w:rsidP="00E62596">
      <w:pPr>
        <w:pStyle w:val="ListParagraph"/>
        <w:numPr>
          <w:ilvl w:val="0"/>
          <w:numId w:val="28"/>
        </w:numPr>
        <w:spacing w:before="120" w:after="120"/>
      </w:pPr>
      <w:r w:rsidRPr="00E518BA">
        <w:lastRenderedPageBreak/>
        <w:t xml:space="preserve">In </w:t>
      </w:r>
      <w:r w:rsidR="00FB2A48" w:rsidRPr="00E518BA">
        <w:t xml:space="preserve">specimens where the immune cells present </w:t>
      </w:r>
      <w:r w:rsidRPr="00E518BA">
        <w:t xml:space="preserve">is only 1%: all immune cells present </w:t>
      </w:r>
      <w:r w:rsidRPr="00E518BA">
        <w:rPr>
          <w:rFonts w:cs="Calibri"/>
        </w:rPr>
        <w:t>show positive staining</w:t>
      </w:r>
      <w:r w:rsidRPr="00E518BA">
        <w:t>.</w:t>
      </w:r>
    </w:p>
    <w:p w14:paraId="28AE9539" w14:textId="259F344A" w:rsidR="00E518BA" w:rsidRPr="00E518BA" w:rsidRDefault="00E518BA" w:rsidP="00AA2B97">
      <w:pPr>
        <w:spacing w:before="120" w:after="120"/>
      </w:pPr>
      <w:r w:rsidRPr="00E518BA">
        <w:t>All other tumours are defined as low PD-L1 expression,</w:t>
      </w:r>
      <w:r w:rsidRPr="009B7DE0">
        <w:t xml:space="preserve"> including no PD-L1 expression.</w:t>
      </w:r>
    </w:p>
    <w:p w14:paraId="04F048E1" w14:textId="518F0540" w:rsidR="00F0171E" w:rsidRDefault="0062703C" w:rsidP="001778F3">
      <w:pPr>
        <w:spacing w:before="120" w:after="120"/>
        <w:rPr>
          <w:i/>
        </w:rPr>
      </w:pPr>
      <w:r w:rsidRPr="00522BC9">
        <w:t xml:space="preserve">Scoring </w:t>
      </w:r>
      <w:r w:rsidR="00E63CBF" w:rsidRPr="00E63CBF">
        <w:rPr>
          <w:i/>
        </w:rPr>
        <w:t xml:space="preserve">was confirmed by the applicant </w:t>
      </w:r>
      <w:r w:rsidRPr="00522BC9">
        <w:t xml:space="preserve">to be </w:t>
      </w:r>
      <w:r w:rsidR="001A4251" w:rsidRPr="00522BC9">
        <w:t xml:space="preserve">the same between the DANUBE trial, </w:t>
      </w:r>
      <w:r w:rsidRPr="00C0789F">
        <w:t>the US test kit approval</w:t>
      </w:r>
      <w:r w:rsidR="001A4251" w:rsidRPr="00522BC9">
        <w:rPr>
          <w:rStyle w:val="FootnoteReference"/>
        </w:rPr>
        <w:footnoteReference w:id="14"/>
      </w:r>
      <w:r w:rsidR="001A4251" w:rsidRPr="00522BC9">
        <w:t xml:space="preserve"> and the proposed scoring for an MBS item</w:t>
      </w:r>
      <w:r w:rsidR="00942779" w:rsidRPr="00E518BA">
        <w:t>, and it is assumed that this</w:t>
      </w:r>
      <w:r w:rsidR="009B0A32" w:rsidRPr="00E518BA">
        <w:t xml:space="preserve"> scoring </w:t>
      </w:r>
      <w:r w:rsidR="00942779" w:rsidRPr="00E518BA">
        <w:t>method</w:t>
      </w:r>
      <w:r w:rsidR="009B0A32" w:rsidRPr="00E518BA">
        <w:t xml:space="preserve"> </w:t>
      </w:r>
      <w:r w:rsidR="00942779" w:rsidRPr="00E518BA">
        <w:t>will be reflected in the TGA application for the test kit</w:t>
      </w:r>
      <w:r w:rsidR="009B0A32" w:rsidRPr="00E518BA">
        <w:t xml:space="preserve">.  </w:t>
      </w:r>
      <w:r w:rsidR="00E63CBF" w:rsidRPr="00E63CBF">
        <w:rPr>
          <w:i/>
        </w:rPr>
        <w:t>Although patients in the DANUBE trial have been stratified according to PD-L1 status, the</w:t>
      </w:r>
      <w:r w:rsidR="00E63CBF">
        <w:rPr>
          <w:i/>
        </w:rPr>
        <w:t>ir tumour</w:t>
      </w:r>
      <w:r w:rsidR="00E63CBF" w:rsidRPr="00E63CBF">
        <w:rPr>
          <w:i/>
        </w:rPr>
        <w:t xml:space="preserve"> expression level</w:t>
      </w:r>
      <w:r w:rsidR="00E63CBF">
        <w:rPr>
          <w:i/>
        </w:rPr>
        <w:t>s have</w:t>
      </w:r>
      <w:r w:rsidR="00E63CBF" w:rsidRPr="00E63CBF">
        <w:rPr>
          <w:i/>
        </w:rPr>
        <w:t xml:space="preserve"> not been used to guide treatment selection</w:t>
      </w:r>
      <w:r w:rsidR="00E63CBF">
        <w:rPr>
          <w:i/>
        </w:rPr>
        <w:t>.  Hence the trial results should facilitate a comparison of the two PD-L1 expression states versus the two treatment options</w:t>
      </w:r>
      <w:r w:rsidR="00E63CBF" w:rsidRPr="00E63CBF">
        <w:rPr>
          <w:i/>
        </w:rPr>
        <w:t xml:space="preserve">.  </w:t>
      </w:r>
    </w:p>
    <w:p w14:paraId="22BC491E" w14:textId="03A862D3" w:rsidR="0086237B" w:rsidRPr="00E518BA" w:rsidRDefault="0086237B" w:rsidP="001778F3">
      <w:pPr>
        <w:spacing w:before="120" w:after="120"/>
      </w:pPr>
      <w:r w:rsidRPr="00522BC9">
        <w:t xml:space="preserve">Of note: low PD-L1 expression includes absence of any PD-L1 expression. </w:t>
      </w:r>
      <w:r w:rsidR="0062703C" w:rsidRPr="00E518BA">
        <w:t xml:space="preserve">Clinical trial data and the requested PBS listing for the combination therapy will include </w:t>
      </w:r>
      <w:r w:rsidRPr="00E518BA">
        <w:t>‘no expression’ patients.  [</w:t>
      </w:r>
      <w:r w:rsidR="00B730BD" w:rsidRPr="00E518BA">
        <w:t xml:space="preserve">This touches upon an issue </w:t>
      </w:r>
      <w:r w:rsidRPr="00E518BA">
        <w:t xml:space="preserve">explored in previous PD-L1 applications 1414 and 1440, in which MSAC considered that patients defined by those tests as ‘test-negative’ </w:t>
      </w:r>
      <w:r w:rsidR="00B730BD" w:rsidRPr="00E518BA">
        <w:t>may</w:t>
      </w:r>
      <w:r w:rsidRPr="00E518BA">
        <w:t xml:space="preserve"> benefit from immunotherapy treatment, but just not as much as the benefit observed in those defined as ‘test-positive’.  ]</w:t>
      </w:r>
    </w:p>
    <w:p w14:paraId="6DE3F3FE" w14:textId="6440AB92" w:rsidR="0062703C" w:rsidRPr="00E518BA" w:rsidRDefault="00DB29D6" w:rsidP="001778F3">
      <w:pPr>
        <w:spacing w:before="120" w:after="120"/>
      </w:pPr>
      <w:r w:rsidRPr="00E518BA">
        <w:t xml:space="preserve">It would be informative if the SBA presents </w:t>
      </w:r>
      <w:r w:rsidR="0062703C" w:rsidRPr="00E518BA">
        <w:t xml:space="preserve">‘no PD-L1’ </w:t>
      </w:r>
      <w:r w:rsidRPr="00E518BA">
        <w:t xml:space="preserve">patients </w:t>
      </w:r>
      <w:r w:rsidR="0062703C" w:rsidRPr="00E518BA">
        <w:t>as a sub-</w:t>
      </w:r>
      <w:r w:rsidRPr="00E518BA">
        <w:t xml:space="preserve">group of the low PD-L1 patients to understand whether the absence of the biomarker </w:t>
      </w:r>
      <w:r w:rsidR="009951EE" w:rsidRPr="00E518BA">
        <w:t>(</w:t>
      </w:r>
      <w:r w:rsidRPr="00E518BA">
        <w:t>by this test</w:t>
      </w:r>
      <w:r w:rsidR="009951EE" w:rsidRPr="00E518BA">
        <w:t>)</w:t>
      </w:r>
      <w:r w:rsidRPr="00E518BA">
        <w:t xml:space="preserve"> shows any trend to a different or lower response.  </w:t>
      </w:r>
    </w:p>
    <w:p w14:paraId="2A1F5EE5" w14:textId="75C22FAC" w:rsidR="007A2AB5" w:rsidRPr="00522BC9" w:rsidRDefault="007A2AB5" w:rsidP="001778F3">
      <w:pPr>
        <w:spacing w:before="120" w:after="120"/>
      </w:pPr>
      <w:r w:rsidRPr="00522BC9">
        <w:t>The RCPA provided feedback on PD-L1 scoring proposed in this application:</w:t>
      </w:r>
    </w:p>
    <w:p w14:paraId="75442E79" w14:textId="2F15E36A" w:rsidR="007A2AB5" w:rsidRPr="00E518BA" w:rsidRDefault="007A2AB5" w:rsidP="00260D0D">
      <w:pPr>
        <w:ind w:left="426" w:right="662"/>
        <w:rPr>
          <w:sz w:val="20"/>
        </w:rPr>
      </w:pPr>
      <w:r w:rsidRPr="00C0789F">
        <w:rPr>
          <w:sz w:val="20"/>
        </w:rPr>
        <w:t>“[T]he scoring cut-offs used to define a positive result in the current application (&gt;25% tumour or immune cell staining) differ from those in Application 145</w:t>
      </w:r>
      <w:r w:rsidRPr="00E518BA">
        <w:rPr>
          <w:sz w:val="20"/>
        </w:rPr>
        <w:t xml:space="preserve">7 (pembrolizumab in bladder cancer, &gt;10% combined score), which are both different from the scoring applied to lung cancer in several applications for PD-L1 testing currently in progress, adding to the difficulty for pathologists trying to assess a case. Issues with inter-operability of assays and testing platforms are still awaiting resolution. </w:t>
      </w:r>
    </w:p>
    <w:p w14:paraId="44C554BE" w14:textId="358245BD" w:rsidR="007A2AB5" w:rsidRPr="00E63CBF" w:rsidRDefault="007A2AB5" w:rsidP="001778F3">
      <w:pPr>
        <w:spacing w:before="120" w:after="120"/>
      </w:pPr>
      <w:r w:rsidRPr="00E63CBF">
        <w:t>MSAC has noted the difficulties posed by multiple PD-L1 tests</w:t>
      </w:r>
      <w:r w:rsidR="00942779" w:rsidRPr="00E63CBF">
        <w:t>, antibodies</w:t>
      </w:r>
      <w:r w:rsidRPr="00E63CBF">
        <w:t xml:space="preserve"> and scoring methodologies (applications 1414; 1440).  Concordance studies can only address a subset of these technical issues. </w:t>
      </w:r>
    </w:p>
    <w:p w14:paraId="797A910A" w14:textId="6E1B2737" w:rsidR="0086237B" w:rsidRPr="00E63CBF" w:rsidRDefault="0086237B" w:rsidP="009C7D47">
      <w:pPr>
        <w:keepNext/>
        <w:spacing w:before="120" w:after="120"/>
        <w:rPr>
          <w:u w:val="single"/>
        </w:rPr>
      </w:pPr>
      <w:r w:rsidRPr="00E63CBF">
        <w:rPr>
          <w:u w:val="single"/>
        </w:rPr>
        <w:t>Treatment consequent on test results</w:t>
      </w:r>
    </w:p>
    <w:p w14:paraId="4AC5A258" w14:textId="20CB4284" w:rsidR="003E4A35" w:rsidRPr="00C0789F" w:rsidRDefault="009B0A32" w:rsidP="001778F3">
      <w:pPr>
        <w:spacing w:before="120" w:after="120"/>
      </w:pPr>
      <w:r w:rsidRPr="00522BC9">
        <w:t>Once patients’ tumours are classified as low PD-L1 or high PD-L1</w:t>
      </w:r>
      <w:r w:rsidR="003E4A35" w:rsidRPr="00522BC9">
        <w:t>, the applicant proposes</w:t>
      </w:r>
      <w:r w:rsidR="00636B8F" w:rsidRPr="00522BC9">
        <w:t xml:space="preserve"> the following treatment options</w:t>
      </w:r>
      <w:r w:rsidR="003E4A35" w:rsidRPr="00C0789F">
        <w:t>:</w:t>
      </w:r>
    </w:p>
    <w:p w14:paraId="1AF1F38C" w14:textId="77777777" w:rsidR="003E4A35" w:rsidRPr="00136364" w:rsidRDefault="003E4A35" w:rsidP="003E4A35">
      <w:pPr>
        <w:pStyle w:val="ListParagraph"/>
        <w:numPr>
          <w:ilvl w:val="0"/>
          <w:numId w:val="13"/>
        </w:numPr>
        <w:spacing w:before="120" w:after="120"/>
      </w:pPr>
      <w:r w:rsidRPr="00136364">
        <w:t xml:space="preserve">High expression patients would be eligible to receive </w:t>
      </w:r>
      <w:proofErr w:type="spellStart"/>
      <w:r w:rsidRPr="00136364">
        <w:t>durvalumab</w:t>
      </w:r>
      <w:proofErr w:type="spellEnd"/>
      <w:r w:rsidRPr="00136364">
        <w:t xml:space="preserve"> monotherapy (1.5 g IV q4w for up to a year) and </w:t>
      </w:r>
    </w:p>
    <w:p w14:paraId="4F18F2B6" w14:textId="77777777" w:rsidR="003E4A35" w:rsidRPr="00E518BA" w:rsidRDefault="003E4A35" w:rsidP="003E4A35">
      <w:pPr>
        <w:pStyle w:val="ListParagraph"/>
        <w:numPr>
          <w:ilvl w:val="0"/>
          <w:numId w:val="13"/>
        </w:numPr>
        <w:spacing w:before="120" w:after="120"/>
      </w:pPr>
      <w:r w:rsidRPr="00E518BA">
        <w:t xml:space="preserve">Low/no expression patients would receive combination </w:t>
      </w:r>
      <w:proofErr w:type="spellStart"/>
      <w:r w:rsidRPr="00E518BA">
        <w:t>tremelimumab</w:t>
      </w:r>
      <w:proofErr w:type="spellEnd"/>
      <w:r w:rsidRPr="00E518BA">
        <w:t xml:space="preserve"> (75 mg IV q4w for up to 4 cycles) + </w:t>
      </w:r>
      <w:proofErr w:type="spellStart"/>
      <w:r w:rsidRPr="00E518BA">
        <w:t>durvalumab</w:t>
      </w:r>
      <w:proofErr w:type="spellEnd"/>
      <w:r w:rsidRPr="00E518BA">
        <w:t xml:space="preserve"> (1.5 g IV q4w)</w:t>
      </w:r>
      <w:r w:rsidR="00636B8F" w:rsidRPr="00E518BA">
        <w:t>.</w:t>
      </w:r>
    </w:p>
    <w:p w14:paraId="1A707E0C" w14:textId="6A7AE2D6" w:rsidR="009A54F1" w:rsidRPr="00E63CBF" w:rsidRDefault="00660582" w:rsidP="009951EE">
      <w:r w:rsidRPr="00E63CBF">
        <w:t xml:space="preserve">All the PD-L1 applications </w:t>
      </w:r>
      <w:r w:rsidR="00A25E4E" w:rsidRPr="00E63CBF">
        <w:t xml:space="preserve">recently considered by the Committees have proposed a numerical threshold as a definition of test positivity.  Each application and therapeutic indication has </w:t>
      </w:r>
      <w:r w:rsidRPr="00E63CBF">
        <w:t>featured</w:t>
      </w:r>
      <w:r w:rsidR="00A25E4E" w:rsidRPr="00E63CBF">
        <w:t xml:space="preserve"> a different PD-L1 expression threshold and sco</w:t>
      </w:r>
      <w:r w:rsidRPr="00E63CBF">
        <w:t>ring method.  According to this proposal</w:t>
      </w:r>
      <w:r w:rsidR="00A25E4E" w:rsidRPr="00E63CBF">
        <w:t xml:space="preserve">, scoring of sections after IHC staining would include both tumour cells as well as infiltrating immune cells showing PD-L1 staining in urothelial tumour samples. </w:t>
      </w:r>
    </w:p>
    <w:p w14:paraId="4B952562" w14:textId="670E7B22" w:rsidR="009951EE" w:rsidRPr="00E63CBF" w:rsidRDefault="009951EE" w:rsidP="009951EE">
      <w:pPr>
        <w:spacing w:before="120" w:after="120"/>
      </w:pPr>
      <w:r w:rsidRPr="00E63CBF">
        <w:lastRenderedPageBreak/>
        <w:t>The rationale for the chosen threshold between low and high PD-L1 should be described in the SBA. F</w:t>
      </w:r>
      <w:r w:rsidR="007261BB" w:rsidRPr="00E63CBF">
        <w:t>or example:</w:t>
      </w:r>
      <w:r w:rsidRPr="00E63CBF">
        <w:t xml:space="preserve"> are there any other characteristics observed at the threshold that would support the biological plausibility of this value</w:t>
      </w:r>
      <w:r w:rsidR="007261BB" w:rsidRPr="00E63CBF">
        <w:t>; d</w:t>
      </w:r>
      <w:r w:rsidRPr="00E63CBF">
        <w:t xml:space="preserve">oes expression change for other PD-1 pathway markers? </w:t>
      </w:r>
      <w:r w:rsidR="00E91F3D" w:rsidRPr="00E91F3D">
        <w:rPr>
          <w:i/>
        </w:rPr>
        <w:t xml:space="preserve">The PASC noted that a different threshold may result in different clinical utilities for the offered treatment options.  </w:t>
      </w:r>
    </w:p>
    <w:p w14:paraId="68A045FC" w14:textId="77777777" w:rsidR="00FA523B" w:rsidRPr="00E63CBF" w:rsidRDefault="00FA523B" w:rsidP="00110336">
      <w:pPr>
        <w:keepNext/>
        <w:spacing w:before="120" w:after="120"/>
        <w:rPr>
          <w:u w:val="single"/>
        </w:rPr>
      </w:pPr>
      <w:r w:rsidRPr="00E63CBF">
        <w:rPr>
          <w:u w:val="single"/>
        </w:rPr>
        <w:t>Healthcare Setting</w:t>
      </w:r>
    </w:p>
    <w:p w14:paraId="67A9B427" w14:textId="42A783F2" w:rsidR="00273337" w:rsidRPr="00E63CBF" w:rsidRDefault="00EE0BB4" w:rsidP="00273337">
      <w:r w:rsidRPr="00E63CBF">
        <w:t>This test requires</w:t>
      </w:r>
      <w:r w:rsidR="00273337" w:rsidRPr="00E63CBF">
        <w:t xml:space="preserve"> fresh tissue </w:t>
      </w:r>
      <w:r w:rsidRPr="00E63CBF">
        <w:t xml:space="preserve">from resection or </w:t>
      </w:r>
      <w:r w:rsidR="00273337" w:rsidRPr="00E63CBF">
        <w:t>biopsy</w:t>
      </w:r>
      <w:r w:rsidRPr="00E63CBF">
        <w:t>.  A biopsy of advanced urothelial cancer is not a procedure that can be performed in a specialist’s suite</w:t>
      </w:r>
      <w:r w:rsidR="00110336" w:rsidRPr="00E63CBF">
        <w:t>. A biopsy would</w:t>
      </w:r>
      <w:r w:rsidRPr="00E63CBF">
        <w:t xml:space="preserve"> r</w:t>
      </w:r>
      <w:r w:rsidR="00110336" w:rsidRPr="00E63CBF">
        <w:t>equire</w:t>
      </w:r>
      <w:r w:rsidR="00273337" w:rsidRPr="00E63CBF">
        <w:t xml:space="preserve"> a hospital inpatient admission or surgical day-stay (as an outpatient)</w:t>
      </w:r>
      <w:r w:rsidR="00110336" w:rsidRPr="00E63CBF">
        <w:t xml:space="preserve"> and the tissue sent to the hospital laboratory</w:t>
      </w:r>
      <w:r w:rsidR="000E6F80" w:rsidRPr="00E63CBF">
        <w:t xml:space="preserve">.  </w:t>
      </w:r>
      <w:r w:rsidR="00572989" w:rsidRPr="00E63CBF">
        <w:t>I</w:t>
      </w:r>
      <w:r w:rsidR="00110336" w:rsidRPr="00E63CBF">
        <w:t xml:space="preserve">t is unlikely that this test would </w:t>
      </w:r>
      <w:proofErr w:type="gramStart"/>
      <w:r w:rsidR="00110336" w:rsidRPr="00E63CBF">
        <w:t>rendered</w:t>
      </w:r>
      <w:proofErr w:type="gramEnd"/>
      <w:r w:rsidR="00110336" w:rsidRPr="00E63CBF">
        <w:t xml:space="preserve"> in a private pathology laboratory in the community</w:t>
      </w:r>
      <w:r w:rsidR="00572989" w:rsidRPr="00E63CBF">
        <w:t xml:space="preserve"> although this assumption would benefit from specialist input</w:t>
      </w:r>
      <w:r w:rsidR="00110336" w:rsidRPr="00E63CBF">
        <w:t>.</w:t>
      </w:r>
      <w:r w:rsidR="000B545A" w:rsidRPr="00E63CBF">
        <w:t xml:space="preserve">  </w:t>
      </w:r>
      <w:r w:rsidR="00E85E80" w:rsidRPr="00E63CBF">
        <w:t>In terms of</w:t>
      </w:r>
      <w:r w:rsidR="00FA523B" w:rsidRPr="00E63CBF">
        <w:t xml:space="preserve"> </w:t>
      </w:r>
      <w:r w:rsidR="00175779" w:rsidRPr="00E63CBF">
        <w:t>whether the MBS</w:t>
      </w:r>
      <w:r w:rsidR="00E85E80" w:rsidRPr="00E63CBF">
        <w:t xml:space="preserve"> rebate </w:t>
      </w:r>
      <w:r w:rsidR="00175779" w:rsidRPr="00E63CBF">
        <w:t>would be 75% or 85%</w:t>
      </w:r>
      <w:r w:rsidR="00FA523B" w:rsidRPr="00E63CBF">
        <w:t>, all tissue samples for testing are assumed to be obtained in a hospital setting</w:t>
      </w:r>
      <w:r w:rsidRPr="00E63CBF">
        <w:t xml:space="preserve">, </w:t>
      </w:r>
      <w:r w:rsidR="00175779" w:rsidRPr="00E63CBF">
        <w:t>in which case a 75% rebate applies if the service is MBS</w:t>
      </w:r>
      <w:r w:rsidRPr="00E63CBF">
        <w:t>-eligible</w:t>
      </w:r>
      <w:r w:rsidR="00FA523B" w:rsidRPr="00E63CBF">
        <w:t xml:space="preserve">. </w:t>
      </w:r>
    </w:p>
    <w:p w14:paraId="01E67650" w14:textId="43485511" w:rsidR="00110336" w:rsidRPr="00E63CBF" w:rsidRDefault="00FA34D8" w:rsidP="00110336">
      <w:r w:rsidRPr="00E63CBF">
        <w:t>P</w:t>
      </w:r>
      <w:r w:rsidR="00273337" w:rsidRPr="00E63CBF">
        <w:t xml:space="preserve">athology services in the </w:t>
      </w:r>
      <w:r w:rsidR="00572989" w:rsidRPr="00E63CBF">
        <w:t xml:space="preserve">public </w:t>
      </w:r>
      <w:r w:rsidR="00273337" w:rsidRPr="00E63CBF">
        <w:t>hospital system are not MBS-eligible</w:t>
      </w:r>
      <w:r w:rsidRPr="00E63CBF">
        <w:t>, including those for outpatient</w:t>
      </w:r>
      <w:r w:rsidR="00273337" w:rsidRPr="00E63CBF">
        <w:t xml:space="preserve"> </w:t>
      </w:r>
      <w:r w:rsidRPr="00E63CBF">
        <w:t xml:space="preserve">units (unlike diagnostic imaging) </w:t>
      </w:r>
      <w:r w:rsidR="00273337" w:rsidRPr="00E63CBF">
        <w:t>– the cost of pathology tests in public hospital laboratories is borne by the States and Territories</w:t>
      </w:r>
      <w:r w:rsidR="00730E1E" w:rsidRPr="00E63CBF">
        <w:t>. The only exception is if</w:t>
      </w:r>
      <w:r w:rsidR="00FA523B" w:rsidRPr="00E63CBF">
        <w:t xml:space="preserve"> the patient opts to be a private patient in a public hospital (</w:t>
      </w:r>
      <w:r w:rsidR="00E85E80" w:rsidRPr="00E63CBF">
        <w:t>e.g.</w:t>
      </w:r>
      <w:r w:rsidR="00FA523B" w:rsidRPr="00E63CBF">
        <w:t xml:space="preserve"> so they can be treated by the specialist who treats them outside the hospital)</w:t>
      </w:r>
      <w:r w:rsidR="00273337" w:rsidRPr="00E63CBF">
        <w:t xml:space="preserve">.  </w:t>
      </w:r>
      <w:r w:rsidR="00B018A0" w:rsidRPr="00E63CBF">
        <w:t>As such</w:t>
      </w:r>
      <w:r w:rsidR="00110336" w:rsidRPr="00E63CBF">
        <w:t xml:space="preserve">, </w:t>
      </w:r>
      <w:r w:rsidR="00572989" w:rsidRPr="00E63CBF">
        <w:t xml:space="preserve">only </w:t>
      </w:r>
      <w:r w:rsidR="00E85E80" w:rsidRPr="00E63CBF">
        <w:t xml:space="preserve">PD-L1 </w:t>
      </w:r>
      <w:r w:rsidR="00110336" w:rsidRPr="00E63CBF">
        <w:t xml:space="preserve">test utilisation </w:t>
      </w:r>
      <w:r w:rsidR="00572989" w:rsidRPr="00E63CBF">
        <w:t>rendered for private patients, or in private hospitals, would</w:t>
      </w:r>
      <w:r w:rsidR="00110336" w:rsidRPr="00E63CBF">
        <w:t xml:space="preserve"> be MBS-eligible.  </w:t>
      </w:r>
    </w:p>
    <w:p w14:paraId="747133AD" w14:textId="48F4431E" w:rsidR="00273337" w:rsidRPr="00E63CBF" w:rsidRDefault="00EE0BB4" w:rsidP="00273337">
      <w:r w:rsidRPr="00E63CBF">
        <w:t>T</w:t>
      </w:r>
      <w:r w:rsidR="002B5F6E" w:rsidRPr="00E63CBF">
        <w:t xml:space="preserve">he SBA </w:t>
      </w:r>
      <w:r w:rsidR="00B730BD" w:rsidRPr="00E63CBF">
        <w:t>should</w:t>
      </w:r>
      <w:r w:rsidRPr="00E63CBF">
        <w:t xml:space="preserve"> </w:t>
      </w:r>
      <w:r w:rsidR="00110336" w:rsidRPr="00E63CBF">
        <w:t>consider</w:t>
      </w:r>
      <w:r w:rsidR="00B730BD" w:rsidRPr="00E63CBF">
        <w:t xml:space="preserve"> </w:t>
      </w:r>
      <w:r w:rsidR="00110336" w:rsidRPr="00E63CBF">
        <w:t>the proportions of</w:t>
      </w:r>
      <w:r w:rsidR="00273337" w:rsidRPr="00E63CBF">
        <w:t xml:space="preserve"> </w:t>
      </w:r>
      <w:r w:rsidR="00572989" w:rsidRPr="00E63CBF">
        <w:t>private hospitals</w:t>
      </w:r>
      <w:r w:rsidR="00D8570F" w:rsidRPr="00E63CBF">
        <w:t xml:space="preserve"> versus </w:t>
      </w:r>
      <w:r w:rsidR="00572989" w:rsidRPr="00E63CBF">
        <w:t>public hospitals</w:t>
      </w:r>
      <w:r w:rsidR="00273337" w:rsidRPr="00E63CBF">
        <w:t xml:space="preserve"> </w:t>
      </w:r>
      <w:r w:rsidR="00E85E80" w:rsidRPr="00E63CBF">
        <w:t xml:space="preserve">where </w:t>
      </w:r>
      <w:r w:rsidR="00572989" w:rsidRPr="00E63CBF">
        <w:t xml:space="preserve">the </w:t>
      </w:r>
      <w:r w:rsidR="00E85E80" w:rsidRPr="00E63CBF">
        <w:t xml:space="preserve">PD-L1 </w:t>
      </w:r>
      <w:r w:rsidR="00273337" w:rsidRPr="00E63CBF">
        <w:t>test</w:t>
      </w:r>
      <w:r w:rsidR="009C7D47" w:rsidRPr="00E63CBF">
        <w:t>s</w:t>
      </w:r>
      <w:r w:rsidR="00273337" w:rsidRPr="00E63CBF">
        <w:t xml:space="preserve"> would be </w:t>
      </w:r>
      <w:r w:rsidR="00110336" w:rsidRPr="00E63CBF">
        <w:t>performed</w:t>
      </w:r>
      <w:r w:rsidR="00BF645F" w:rsidRPr="00E63CBF">
        <w:t xml:space="preserve"> to inform utilisation and financial impact estimates</w:t>
      </w:r>
      <w:r w:rsidR="00273337" w:rsidRPr="00E63CBF">
        <w:t xml:space="preserve">. </w:t>
      </w:r>
    </w:p>
    <w:p w14:paraId="35D86930" w14:textId="77777777" w:rsidR="00896845" w:rsidRPr="00522BC9" w:rsidRDefault="00896845" w:rsidP="00572989">
      <w:pPr>
        <w:keepNext/>
        <w:rPr>
          <w:b/>
        </w:rPr>
      </w:pPr>
      <w:r w:rsidRPr="00522BC9">
        <w:rPr>
          <w:b/>
        </w:rPr>
        <w:t>Comparator</w:t>
      </w:r>
    </w:p>
    <w:p w14:paraId="7AAEA070" w14:textId="15CF42F6" w:rsidR="00660582" w:rsidRPr="00C0789F" w:rsidRDefault="00660582" w:rsidP="00BE7852">
      <w:r w:rsidRPr="00522BC9">
        <w:t xml:space="preserve">The primary comparator is no PD-L1 testing and current standard of care which is platinum-based chemotherapy (cisplatin + gemcitabine or carboplatin + gemcitabine, depending on the patient’s suitability to receive cisplatin). </w:t>
      </w:r>
    </w:p>
    <w:p w14:paraId="4F34FCE7" w14:textId="64C2530F" w:rsidR="00BE7852" w:rsidRPr="00E518BA" w:rsidRDefault="00660582" w:rsidP="00BE7852">
      <w:r w:rsidRPr="00E518BA">
        <w:t>In order to demonstrate the clinical utility of the test, the applicant also plans to present a comparison of</w:t>
      </w:r>
      <w:r w:rsidR="00BE7852" w:rsidRPr="00E518BA">
        <w:t xml:space="preserve"> the efficacy and safety of </w:t>
      </w:r>
      <w:proofErr w:type="spellStart"/>
      <w:r w:rsidR="00BE7852" w:rsidRPr="00E518BA">
        <w:t>durvalumab</w:t>
      </w:r>
      <w:proofErr w:type="spellEnd"/>
      <w:r w:rsidR="00BE7852" w:rsidRPr="00E518BA">
        <w:t xml:space="preserve"> and </w:t>
      </w:r>
      <w:proofErr w:type="spellStart"/>
      <w:r w:rsidR="00BE7852" w:rsidRPr="00E518BA">
        <w:t>durvalumab</w:t>
      </w:r>
      <w:proofErr w:type="spellEnd"/>
      <w:r w:rsidR="00BE7852" w:rsidRPr="00E518BA">
        <w:t xml:space="preserve"> + </w:t>
      </w:r>
      <w:proofErr w:type="spellStart"/>
      <w:r w:rsidR="00BE7852" w:rsidRPr="00E518BA">
        <w:t>tremelimumab</w:t>
      </w:r>
      <w:proofErr w:type="spellEnd"/>
      <w:r w:rsidR="00BE7852" w:rsidRPr="00E518BA">
        <w:t xml:space="preserve"> treatment with PD-L1 testing versus without PD-L1 testing.  </w:t>
      </w:r>
    </w:p>
    <w:p w14:paraId="6F567522" w14:textId="62D87B6E" w:rsidR="00AF2672" w:rsidRPr="0068393B" w:rsidRDefault="00AF2672" w:rsidP="00892A9D">
      <w:pPr>
        <w:rPr>
          <w:u w:val="single"/>
        </w:rPr>
      </w:pPr>
      <w:r w:rsidRPr="0068393B">
        <w:rPr>
          <w:u w:val="single"/>
        </w:rPr>
        <w:t>Comparator for the test</w:t>
      </w:r>
    </w:p>
    <w:p w14:paraId="6E81D32A" w14:textId="76C9557E" w:rsidR="00892A9D" w:rsidRPr="00522BC9" w:rsidRDefault="008559E5" w:rsidP="00892A9D">
      <w:r w:rsidRPr="00522BC9">
        <w:t xml:space="preserve">The comparator for </w:t>
      </w:r>
      <w:r w:rsidR="00D8570F" w:rsidRPr="00522BC9">
        <w:t>the PD-L1 test is ‘no testing’.</w:t>
      </w:r>
      <w:r w:rsidR="00892A9D" w:rsidRPr="00522BC9">
        <w:t xml:space="preserve">  There is no reference standard for PD-L1 testing in Australia. The evidentiary standard is the assay as implemented in the clinical trials</w:t>
      </w:r>
      <w:r w:rsidR="00892A9D" w:rsidRPr="00C0789F">
        <w:t xml:space="preserve">. </w:t>
      </w:r>
      <w:r w:rsidR="00892A9D" w:rsidRPr="0068393B">
        <w:t xml:space="preserve"> </w:t>
      </w:r>
      <w:r w:rsidR="0068393B" w:rsidRPr="0068393B">
        <w:rPr>
          <w:i/>
        </w:rPr>
        <w:t xml:space="preserve">The applicant has confirmed that this assay is the same as the commercially available kit.  </w:t>
      </w:r>
      <w:r w:rsidR="00892A9D" w:rsidRPr="0068393B">
        <w:t>The SBA should report whether the trial employed the test at a central laboratory or if any local testing was performed.</w:t>
      </w:r>
    </w:p>
    <w:p w14:paraId="75238948" w14:textId="2A75EAE0" w:rsidR="00AF2672" w:rsidRDefault="00AF2672" w:rsidP="00AF2672">
      <w:r w:rsidRPr="0068393B">
        <w:t>Other PD-L1 co-dependent tests recently considered by the MSAC have only enrolled test-positive patients in the pivotal clinical trials. However,</w:t>
      </w:r>
      <w:r w:rsidR="00660582" w:rsidRPr="0068393B">
        <w:t xml:space="preserve"> </w:t>
      </w:r>
      <w:r w:rsidRPr="0068393B">
        <w:t xml:space="preserve">this application </w:t>
      </w:r>
      <w:r w:rsidR="00660582" w:rsidRPr="0068393B">
        <w:t>proposes</w:t>
      </w:r>
      <w:r w:rsidRPr="0068393B">
        <w:t xml:space="preserve"> to give </w:t>
      </w:r>
      <w:proofErr w:type="spellStart"/>
      <w:r w:rsidRPr="0068393B">
        <w:t>durvalumab</w:t>
      </w:r>
      <w:proofErr w:type="spellEnd"/>
      <w:r w:rsidRPr="0068393B">
        <w:t xml:space="preserve"> monotherapy to high PD-L1 expression patients and </w:t>
      </w:r>
      <w:proofErr w:type="spellStart"/>
      <w:r w:rsidRPr="0068393B">
        <w:t>durvalumab</w:t>
      </w:r>
      <w:proofErr w:type="spellEnd"/>
      <w:r w:rsidRPr="0068393B">
        <w:t xml:space="preserve"> + </w:t>
      </w:r>
      <w:proofErr w:type="spellStart"/>
      <w:r w:rsidRPr="0068393B">
        <w:t>tremelimumab</w:t>
      </w:r>
      <w:proofErr w:type="spellEnd"/>
      <w:r w:rsidRPr="0068393B">
        <w:t xml:space="preserve"> to those with low or no PD-L1 </w:t>
      </w:r>
      <w:r w:rsidR="00660582" w:rsidRPr="0068393B">
        <w:t xml:space="preserve">tumour </w:t>
      </w:r>
      <w:r w:rsidRPr="0068393B">
        <w:t>expression. The patients in the DANUBE trial are being stratified (prior to randomisation) according to low versus high PD-L1 expression using the Roche/</w:t>
      </w:r>
      <w:proofErr w:type="spellStart"/>
      <w:r w:rsidRPr="0068393B">
        <w:t>Ventana</w:t>
      </w:r>
      <w:proofErr w:type="spellEnd"/>
      <w:r w:rsidRPr="0068393B">
        <w:t xml:space="preserve"> assay.  </w:t>
      </w:r>
    </w:p>
    <w:p w14:paraId="037A2A1A" w14:textId="7B313B6C" w:rsidR="0068393B" w:rsidRPr="0068393B" w:rsidRDefault="0068393B" w:rsidP="00AF2672">
      <w:pPr>
        <w:rPr>
          <w:i/>
        </w:rPr>
      </w:pPr>
      <w:r w:rsidRPr="0068393B">
        <w:rPr>
          <w:i/>
        </w:rPr>
        <w:lastRenderedPageBreak/>
        <w:t xml:space="preserve">The PASC noted that other assays relevant for a comparison of analytical performance would include the Agilent Technologies Pty Ltd/DAKO PD-L1 </w:t>
      </w:r>
      <w:proofErr w:type="spellStart"/>
      <w:r w:rsidRPr="0068393B">
        <w:rPr>
          <w:i/>
        </w:rPr>
        <w:t>PharmDx</w:t>
      </w:r>
      <w:proofErr w:type="spellEnd"/>
      <w:r w:rsidRPr="0068393B">
        <w:rPr>
          <w:i/>
        </w:rPr>
        <w:t xml:space="preserve"> assay and any alternative PD-L1 expression methods in urothelial cancer.  </w:t>
      </w:r>
    </w:p>
    <w:p w14:paraId="74D9A3C0" w14:textId="4059ABAB" w:rsidR="00AF2672" w:rsidRPr="0068393B" w:rsidRDefault="00AF2672" w:rsidP="00BE7852">
      <w:pPr>
        <w:keepNext/>
        <w:rPr>
          <w:u w:val="single"/>
        </w:rPr>
      </w:pPr>
      <w:r w:rsidRPr="0068393B">
        <w:rPr>
          <w:u w:val="single"/>
        </w:rPr>
        <w:t>Comparator for the medicines</w:t>
      </w:r>
    </w:p>
    <w:p w14:paraId="3F1C0E3C" w14:textId="29503013" w:rsidR="0052134F" w:rsidRPr="0068393B" w:rsidRDefault="008559E5" w:rsidP="00175779">
      <w:pPr>
        <w:rPr>
          <w:highlight w:val="green"/>
        </w:rPr>
      </w:pPr>
      <w:r w:rsidRPr="00522BC9">
        <w:t xml:space="preserve">The comparators for both </w:t>
      </w:r>
      <w:proofErr w:type="spellStart"/>
      <w:r w:rsidRPr="00522BC9">
        <w:t>durvalumab</w:t>
      </w:r>
      <w:proofErr w:type="spellEnd"/>
      <w:r w:rsidRPr="00522BC9">
        <w:t xml:space="preserve"> monotherapy and </w:t>
      </w:r>
      <w:proofErr w:type="spellStart"/>
      <w:r w:rsidRPr="00522BC9">
        <w:t>durvalumab</w:t>
      </w:r>
      <w:proofErr w:type="spellEnd"/>
      <w:r w:rsidRPr="00522BC9">
        <w:t xml:space="preserve"> + </w:t>
      </w:r>
      <w:proofErr w:type="spellStart"/>
      <w:r w:rsidRPr="00522BC9">
        <w:t>tremelimumab</w:t>
      </w:r>
      <w:proofErr w:type="spellEnd"/>
      <w:r w:rsidRPr="00522BC9">
        <w:t xml:space="preserve"> combination therapy will </w:t>
      </w:r>
      <w:r w:rsidR="00E85E80" w:rsidRPr="00522BC9">
        <w:t>be</w:t>
      </w:r>
      <w:r w:rsidRPr="00522BC9">
        <w:t xml:space="preserve"> </w:t>
      </w:r>
      <w:proofErr w:type="gramStart"/>
      <w:r w:rsidRPr="00522BC9">
        <w:t>either cisplatin</w:t>
      </w:r>
      <w:proofErr w:type="gramEnd"/>
      <w:r w:rsidRPr="00522BC9">
        <w:t xml:space="preserve"> + gemcitabine or carboplatin + gemcitabine, depending on the patient’s suitability to receive cisplatin. </w:t>
      </w:r>
      <w:r w:rsidR="007C5D25" w:rsidRPr="00C0789F">
        <w:t xml:space="preserve">The DANUBE trial patients have been stratified according to their eligibility to receive cisplatin.  </w:t>
      </w:r>
      <w:r w:rsidR="0007609D" w:rsidRPr="00E518BA">
        <w:t xml:space="preserve">Carboplatin is a recommended alternative for those patients unsuitable to receive cisplatin due to factors such as poor renal function, poor performance status and others. </w:t>
      </w:r>
      <w:r w:rsidRPr="00E518BA">
        <w:t xml:space="preserve"> </w:t>
      </w:r>
      <w:r w:rsidR="00A45233" w:rsidRPr="0068393B">
        <w:t>T</w:t>
      </w:r>
      <w:r w:rsidR="00824177" w:rsidRPr="0068393B">
        <w:t xml:space="preserve">his </w:t>
      </w:r>
      <w:r w:rsidR="00A45233" w:rsidRPr="0068393B">
        <w:t xml:space="preserve">is the </w:t>
      </w:r>
      <w:r w:rsidR="00824177" w:rsidRPr="0068393B">
        <w:t xml:space="preserve">standard of care for patients with </w:t>
      </w:r>
      <w:r w:rsidR="00A45233" w:rsidRPr="0068393B">
        <w:t>locally advanced or metastatic urothelial cancer, as described in a 2011 Cochrane review</w:t>
      </w:r>
      <w:r w:rsidR="00A45233" w:rsidRPr="0068393B">
        <w:rPr>
          <w:rStyle w:val="FootnoteReference"/>
        </w:rPr>
        <w:footnoteReference w:id="15"/>
      </w:r>
      <w:r w:rsidR="00A45233" w:rsidRPr="0068393B">
        <w:t xml:space="preserve"> that concluded “gemcitabine plus cisplatin may be considered the first choice for treatment of metastatic bladder cancer. […] Patients unable to tolerate cisplatin may benefit from gemcitabine plus carboplatin.”</w:t>
      </w:r>
      <w:r w:rsidR="00E85E80" w:rsidRPr="0068393B">
        <w:t xml:space="preserve"> Both options are preferable </w:t>
      </w:r>
      <w:r w:rsidR="00516710" w:rsidRPr="0068393B">
        <w:t xml:space="preserve">in terms of safety </w:t>
      </w:r>
      <w:r w:rsidR="00E85E80" w:rsidRPr="0068393B">
        <w:t xml:space="preserve">to MVAC (methotrexate, vinblastine, </w:t>
      </w:r>
      <w:r w:rsidR="00516710" w:rsidRPr="0068393B">
        <w:t>doxorubicin</w:t>
      </w:r>
      <w:r w:rsidR="00E85E80" w:rsidRPr="0068393B">
        <w:t>,</w:t>
      </w:r>
      <w:r w:rsidR="00516710" w:rsidRPr="0068393B">
        <w:t xml:space="preserve"> cisplatin)</w:t>
      </w:r>
      <w:r w:rsidR="00176D25" w:rsidRPr="0068393B">
        <w:t xml:space="preserve"> which was standard of care prior to availability of gemcitabine</w:t>
      </w:r>
      <w:r w:rsidR="00516710" w:rsidRPr="0068393B">
        <w:t>.</w:t>
      </w:r>
    </w:p>
    <w:p w14:paraId="204C4BE2" w14:textId="559D8428" w:rsidR="00AA030D" w:rsidRPr="0068393B" w:rsidRDefault="00CF332E" w:rsidP="00AA030D">
      <w:r w:rsidRPr="0068393B">
        <w:t xml:space="preserve">Patients with non-muscle invasive disease </w:t>
      </w:r>
      <w:r w:rsidR="00892A9D" w:rsidRPr="0068393B">
        <w:t>are unlikely to</w:t>
      </w:r>
      <w:r w:rsidR="00C568BB" w:rsidRPr="0068393B">
        <w:t xml:space="preserve"> be included in a</w:t>
      </w:r>
      <w:r w:rsidRPr="0068393B">
        <w:t xml:space="preserve"> population</w:t>
      </w:r>
      <w:r w:rsidR="00C568BB" w:rsidRPr="0068393B">
        <w:t xml:space="preserve"> limited to stage IV disease</w:t>
      </w:r>
      <w:r w:rsidRPr="0068393B">
        <w:t xml:space="preserve">, thus comparators for this type of urothelial cancer have not been considered.  </w:t>
      </w:r>
    </w:p>
    <w:p w14:paraId="19AB89CD" w14:textId="64D234C5" w:rsidR="00E77A19" w:rsidRPr="00522BC9" w:rsidRDefault="00E77A19" w:rsidP="00670DB8">
      <w:pPr>
        <w:rPr>
          <w:u w:val="single"/>
        </w:rPr>
      </w:pPr>
      <w:r w:rsidRPr="00522BC9">
        <w:rPr>
          <w:u w:val="single"/>
        </w:rPr>
        <w:t>Comparing the co-dependent elements</w:t>
      </w:r>
    </w:p>
    <w:p w14:paraId="4E5D5E43" w14:textId="77777777" w:rsidR="00670DB8" w:rsidRPr="00EC1354" w:rsidRDefault="00670DB8" w:rsidP="00670DB8">
      <w:r w:rsidRPr="00EC1354">
        <w:t>As with other co-dependent tests/drug combinations, four comparisons are relevant:</w:t>
      </w:r>
    </w:p>
    <w:tbl>
      <w:tblPr>
        <w:tblStyle w:val="TableGrid"/>
        <w:tblW w:w="5000" w:type="pct"/>
        <w:tblLook w:val="04A0" w:firstRow="1" w:lastRow="0" w:firstColumn="1" w:lastColumn="0" w:noHBand="0" w:noVBand="1"/>
        <w:tblCaption w:val="Four comparisons relevant to co-dependent interventions"/>
      </w:tblPr>
      <w:tblGrid>
        <w:gridCol w:w="1952"/>
        <w:gridCol w:w="3401"/>
        <w:gridCol w:w="3889"/>
      </w:tblGrid>
      <w:tr w:rsidR="00913B1C" w:rsidRPr="00EC1354" w14:paraId="1A1A1BE0" w14:textId="77777777" w:rsidTr="00610E8D">
        <w:trPr>
          <w:tblHeader/>
        </w:trPr>
        <w:tc>
          <w:tcPr>
            <w:tcW w:w="1056" w:type="pct"/>
          </w:tcPr>
          <w:p w14:paraId="3E04C150" w14:textId="77777777" w:rsidR="00913B1C" w:rsidRPr="00EC1354" w:rsidRDefault="00913B1C" w:rsidP="00913B1C">
            <w:pPr>
              <w:rPr>
                <w:b/>
              </w:rPr>
            </w:pPr>
          </w:p>
        </w:tc>
        <w:tc>
          <w:tcPr>
            <w:tcW w:w="1840" w:type="pct"/>
          </w:tcPr>
          <w:p w14:paraId="5FAC8757" w14:textId="7DBA4CB0" w:rsidR="00913B1C" w:rsidRPr="00EC1354" w:rsidRDefault="00913B1C" w:rsidP="00913B1C">
            <w:pPr>
              <w:rPr>
                <w:b/>
              </w:rPr>
            </w:pPr>
            <w:r w:rsidRPr="00EC1354">
              <w:rPr>
                <w:b/>
              </w:rPr>
              <w:t>Test intervention</w:t>
            </w:r>
          </w:p>
        </w:tc>
        <w:tc>
          <w:tcPr>
            <w:tcW w:w="2104" w:type="pct"/>
          </w:tcPr>
          <w:p w14:paraId="58B47BA0" w14:textId="352B7822" w:rsidR="00913B1C" w:rsidRPr="00EC1354" w:rsidRDefault="00913B1C" w:rsidP="00913B1C">
            <w:pPr>
              <w:rPr>
                <w:b/>
              </w:rPr>
            </w:pPr>
            <w:r w:rsidRPr="00EC1354">
              <w:rPr>
                <w:b/>
              </w:rPr>
              <w:t>Test comparator</w:t>
            </w:r>
          </w:p>
        </w:tc>
      </w:tr>
      <w:tr w:rsidR="00913B1C" w:rsidRPr="00EC1354" w14:paraId="78D0A059" w14:textId="77777777" w:rsidTr="00F868F9">
        <w:tc>
          <w:tcPr>
            <w:tcW w:w="1056" w:type="pct"/>
          </w:tcPr>
          <w:p w14:paraId="530FBAAC" w14:textId="220B97CB" w:rsidR="00913B1C" w:rsidRPr="00EC1354" w:rsidRDefault="00913B1C" w:rsidP="00913B1C">
            <w:pPr>
              <w:rPr>
                <w:b/>
              </w:rPr>
            </w:pPr>
            <w:r w:rsidRPr="00EC1354">
              <w:rPr>
                <w:b/>
              </w:rPr>
              <w:t>Drug intervention</w:t>
            </w:r>
          </w:p>
        </w:tc>
        <w:tc>
          <w:tcPr>
            <w:tcW w:w="1840" w:type="pct"/>
          </w:tcPr>
          <w:p w14:paraId="076E8281" w14:textId="128F842C" w:rsidR="00913B1C" w:rsidRPr="00EC1354" w:rsidRDefault="004B5E77" w:rsidP="004B5E77">
            <w:r w:rsidRPr="00EC1354">
              <w:t>PD-L1</w:t>
            </w:r>
            <w:r w:rsidR="00913B1C" w:rsidRPr="00EC1354">
              <w:t xml:space="preserve"> test + </w:t>
            </w:r>
            <w:r w:rsidRPr="00EC1354">
              <w:t xml:space="preserve">either </w:t>
            </w:r>
            <w:proofErr w:type="spellStart"/>
            <w:r w:rsidRPr="00EC1354">
              <w:t>durvalumab</w:t>
            </w:r>
            <w:proofErr w:type="spellEnd"/>
            <w:r w:rsidRPr="00EC1354">
              <w:t xml:space="preserve"> or </w:t>
            </w:r>
            <w:proofErr w:type="spellStart"/>
            <w:r w:rsidRPr="00EC1354">
              <w:t>durvalumab</w:t>
            </w:r>
            <w:proofErr w:type="spellEnd"/>
            <w:r w:rsidRPr="00EC1354">
              <w:t xml:space="preserve"> + </w:t>
            </w:r>
            <w:proofErr w:type="spellStart"/>
            <w:r w:rsidRPr="00EC1354">
              <w:t>tremelimumab</w:t>
            </w:r>
            <w:proofErr w:type="spellEnd"/>
          </w:p>
        </w:tc>
        <w:tc>
          <w:tcPr>
            <w:tcW w:w="2104" w:type="pct"/>
          </w:tcPr>
          <w:p w14:paraId="4136B3F5" w14:textId="004F5B76" w:rsidR="00913B1C" w:rsidRPr="00EC1354" w:rsidRDefault="00913B1C" w:rsidP="00913B1C">
            <w:r w:rsidRPr="00EC1354">
              <w:t xml:space="preserve">No test + </w:t>
            </w:r>
            <w:r w:rsidR="004B5E77" w:rsidRPr="00EC1354">
              <w:t xml:space="preserve">either </w:t>
            </w:r>
            <w:proofErr w:type="spellStart"/>
            <w:r w:rsidR="004B5E77" w:rsidRPr="00EC1354">
              <w:t>durvalumab</w:t>
            </w:r>
            <w:proofErr w:type="spellEnd"/>
            <w:r w:rsidR="004B5E77" w:rsidRPr="00EC1354">
              <w:t xml:space="preserve"> or </w:t>
            </w:r>
            <w:proofErr w:type="spellStart"/>
            <w:r w:rsidR="004B5E77" w:rsidRPr="00EC1354">
              <w:t>durvalumab</w:t>
            </w:r>
            <w:proofErr w:type="spellEnd"/>
            <w:r w:rsidR="004B5E77" w:rsidRPr="00EC1354">
              <w:t xml:space="preserve"> + </w:t>
            </w:r>
            <w:proofErr w:type="spellStart"/>
            <w:r w:rsidR="004B5E77" w:rsidRPr="00EC1354">
              <w:t>tremelimumab</w:t>
            </w:r>
            <w:proofErr w:type="spellEnd"/>
          </w:p>
        </w:tc>
      </w:tr>
      <w:tr w:rsidR="00913B1C" w:rsidRPr="00EC1354" w14:paraId="10E99475" w14:textId="77777777" w:rsidTr="00F868F9">
        <w:tc>
          <w:tcPr>
            <w:tcW w:w="1056" w:type="pct"/>
          </w:tcPr>
          <w:p w14:paraId="4D500E8A" w14:textId="6A9B453F" w:rsidR="00913B1C" w:rsidRPr="00EC1354" w:rsidRDefault="004B5E77" w:rsidP="00913B1C">
            <w:pPr>
              <w:rPr>
                <w:b/>
              </w:rPr>
            </w:pPr>
            <w:r w:rsidRPr="00EC1354">
              <w:rPr>
                <w:b/>
              </w:rPr>
              <w:t>Drug comparator</w:t>
            </w:r>
          </w:p>
        </w:tc>
        <w:tc>
          <w:tcPr>
            <w:tcW w:w="1840" w:type="pct"/>
          </w:tcPr>
          <w:p w14:paraId="228DBF8D" w14:textId="5DFAD1AF" w:rsidR="00913B1C" w:rsidRPr="00EC1354" w:rsidRDefault="004B5E77" w:rsidP="004B5E77">
            <w:r w:rsidRPr="00EC1354">
              <w:t>PD-L1</w:t>
            </w:r>
            <w:r w:rsidR="00913B1C" w:rsidRPr="00EC1354">
              <w:t xml:space="preserve"> test+ </w:t>
            </w:r>
            <w:r w:rsidRPr="00EC1354">
              <w:t>platinum-based chemotherapy</w:t>
            </w:r>
          </w:p>
        </w:tc>
        <w:tc>
          <w:tcPr>
            <w:tcW w:w="2104" w:type="pct"/>
          </w:tcPr>
          <w:p w14:paraId="1B1162F7" w14:textId="7A4B1983" w:rsidR="00913B1C" w:rsidRPr="00EC1354" w:rsidRDefault="00913B1C" w:rsidP="004B5E77">
            <w:r w:rsidRPr="00EC1354">
              <w:t xml:space="preserve">No test + </w:t>
            </w:r>
            <w:r w:rsidR="004B5E77" w:rsidRPr="00EC1354">
              <w:t>platinum-based chemotherapy</w:t>
            </w:r>
          </w:p>
        </w:tc>
      </w:tr>
    </w:tbl>
    <w:p w14:paraId="6BF0F650" w14:textId="77777777" w:rsidR="00670DB8" w:rsidRPr="00EC1354" w:rsidRDefault="00670DB8" w:rsidP="00670DB8">
      <w:pPr>
        <w:spacing w:after="0"/>
      </w:pPr>
    </w:p>
    <w:p w14:paraId="3AC96685" w14:textId="6824545F" w:rsidR="00670DB8" w:rsidRPr="00EC1354" w:rsidRDefault="00670DB8" w:rsidP="00670DB8">
      <w:r w:rsidRPr="00EC1354">
        <w:t xml:space="preserve">The DANUBE trial will compare the two scenarios in the </w:t>
      </w:r>
      <w:r w:rsidR="00913B1C" w:rsidRPr="00EC1354">
        <w:t>left</w:t>
      </w:r>
      <w:r w:rsidRPr="00EC1354">
        <w:t xml:space="preserve"> hand column.  Existing published data is available regarding efficacy of the two comparator regimens</w:t>
      </w:r>
      <w:r w:rsidR="00E77A19" w:rsidRPr="00EC1354">
        <w:t xml:space="preserve"> that comprise the current standard of care</w:t>
      </w:r>
      <w:r w:rsidRPr="00EC1354">
        <w:t xml:space="preserve">, noting that the carboplatin + gemcitabine is marginally inferior to cisplatin + gemcitabine in terms of median survival.  </w:t>
      </w:r>
      <w:r w:rsidR="003E3286" w:rsidRPr="00EC1354">
        <w:t>A</w:t>
      </w:r>
      <w:r w:rsidRPr="00EC1354">
        <w:t xml:space="preserve">s is </w:t>
      </w:r>
      <w:r w:rsidR="00E77A19" w:rsidRPr="00EC1354">
        <w:t>usually</w:t>
      </w:r>
      <w:r w:rsidRPr="00EC1354">
        <w:t xml:space="preserve"> the case with co-dependent</w:t>
      </w:r>
      <w:r w:rsidR="00E77A19" w:rsidRPr="00EC1354">
        <w:t xml:space="preserve"> clinical</w:t>
      </w:r>
      <w:r w:rsidRPr="00EC1354">
        <w:t xml:space="preserve"> </w:t>
      </w:r>
      <w:r w:rsidR="00E77A19" w:rsidRPr="00EC1354">
        <w:t>data packages</w:t>
      </w:r>
      <w:r w:rsidRPr="00EC1354">
        <w:t xml:space="preserve">, there will no </w:t>
      </w:r>
      <w:r w:rsidR="00024360" w:rsidRPr="00EC1354">
        <w:t>true assessment</w:t>
      </w:r>
      <w:r w:rsidRPr="00EC1354">
        <w:t xml:space="preserve"> of ‘no testing’</w:t>
      </w:r>
      <w:r w:rsidR="003E3286" w:rsidRPr="00EC1354">
        <w:t>.  However, none of the patients will be excluded from the DANUBE trial based on PD-L1 status, so</w:t>
      </w:r>
      <w:r w:rsidR="00E77A19" w:rsidRPr="00EC1354">
        <w:t xml:space="preserve"> some of</w:t>
      </w:r>
      <w:r w:rsidR="003E3286" w:rsidRPr="00EC1354">
        <w:t xml:space="preserve"> this comparison can be inferred</w:t>
      </w:r>
      <w:r w:rsidR="00167A93">
        <w:t xml:space="preserve">. </w:t>
      </w:r>
      <w:r w:rsidR="003E3286" w:rsidRPr="00EC1354">
        <w:t xml:space="preserve">, though we will not know </w:t>
      </w:r>
      <w:r w:rsidR="00E77A19" w:rsidRPr="00EC1354">
        <w:t>how effective</w:t>
      </w:r>
      <w:r w:rsidR="003E3286" w:rsidRPr="00EC1354">
        <w:t xml:space="preserve"> </w:t>
      </w:r>
      <w:r w:rsidR="00E77A19" w:rsidRPr="00EC1354">
        <w:t xml:space="preserve">monotherapy </w:t>
      </w:r>
      <w:r w:rsidR="00E7310A" w:rsidRPr="00EC1354">
        <w:t xml:space="preserve">of either drug </w:t>
      </w:r>
      <w:r w:rsidR="00E77A19" w:rsidRPr="00EC1354">
        <w:t xml:space="preserve">would be in </w:t>
      </w:r>
      <w:r w:rsidR="00913B1C" w:rsidRPr="00EC1354">
        <w:t>an untested population</w:t>
      </w:r>
      <w:r w:rsidR="00E77A19" w:rsidRPr="00EC1354">
        <w:t xml:space="preserve">, nor effectiveness of </w:t>
      </w:r>
      <w:r w:rsidR="00EB715C" w:rsidRPr="00EC1354">
        <w:t xml:space="preserve">the </w:t>
      </w:r>
      <w:r w:rsidR="00E77A19" w:rsidRPr="00EC1354">
        <w:t>combination therapy in high PD-L1 patients</w:t>
      </w:r>
      <w:r w:rsidRPr="00EC1354">
        <w:t xml:space="preserve">.  </w:t>
      </w:r>
    </w:p>
    <w:p w14:paraId="42FB9E32" w14:textId="49F0B96F" w:rsidR="00176D25" w:rsidRPr="00EC1354" w:rsidRDefault="00176D25" w:rsidP="00AA030D">
      <w:pPr>
        <w:rPr>
          <w:u w:val="single"/>
        </w:rPr>
      </w:pPr>
      <w:r w:rsidRPr="00EC1354">
        <w:rPr>
          <w:u w:val="single"/>
        </w:rPr>
        <w:t>Secondary comparators</w:t>
      </w:r>
    </w:p>
    <w:p w14:paraId="1208536E" w14:textId="279B2046" w:rsidR="00660582" w:rsidRPr="00EC1354" w:rsidRDefault="00EC1354" w:rsidP="00AA030D">
      <w:r w:rsidRPr="00EC1354">
        <w:rPr>
          <w:i/>
        </w:rPr>
        <w:t>PASC confirmed</w:t>
      </w:r>
      <w:r w:rsidR="00156054" w:rsidRPr="00522BC9">
        <w:t xml:space="preserve"> pembrolizumab in first line PD-L1 positive urothelial cancer </w:t>
      </w:r>
      <w:r>
        <w:rPr>
          <w:i/>
        </w:rPr>
        <w:t>is a n</w:t>
      </w:r>
      <w:r w:rsidRPr="00EC1354">
        <w:rPr>
          <w:i/>
        </w:rPr>
        <w:t>ear</w:t>
      </w:r>
      <w:r w:rsidR="00156054" w:rsidRPr="00522BC9">
        <w:t xml:space="preserve"> comparator in the event that the interve</w:t>
      </w:r>
      <w:r w:rsidR="00156054" w:rsidRPr="00C0789F">
        <w:t xml:space="preserve">ntions in application 1457 are listed.  </w:t>
      </w:r>
      <w:r w:rsidR="0007609D" w:rsidRPr="00EC1354">
        <w:t>This comparison is only relevant for DANUBE patients that have high PD</w:t>
      </w:r>
      <w:r>
        <w:noBreakHyphen/>
      </w:r>
      <w:r w:rsidR="0007609D" w:rsidRPr="00EC1354">
        <w:t xml:space="preserve">L1 expression. </w:t>
      </w:r>
      <w:r w:rsidR="00660582" w:rsidRPr="00EC1354">
        <w:t xml:space="preserve">The SBA will need to consider the transitivity of </w:t>
      </w:r>
      <w:r w:rsidR="00660582" w:rsidRPr="00EC1354">
        <w:lastRenderedPageBreak/>
        <w:t xml:space="preserve">the patient groups in this comparison, given pembrolizumab is only proposed in those ineligible for cisplatin, whereas </w:t>
      </w:r>
      <w:proofErr w:type="spellStart"/>
      <w:r w:rsidR="00660582" w:rsidRPr="00EC1354">
        <w:t>durvalumab</w:t>
      </w:r>
      <w:proofErr w:type="spellEnd"/>
      <w:r w:rsidR="00660582" w:rsidRPr="00EC1354">
        <w:t xml:space="preserve"> is proposed for those ineligible and eligible for cisplatin. </w:t>
      </w:r>
    </w:p>
    <w:p w14:paraId="0D116E9B" w14:textId="77777777" w:rsidR="00896845" w:rsidRPr="00522BC9" w:rsidRDefault="00896845" w:rsidP="000E6F80">
      <w:pPr>
        <w:keepNext/>
        <w:rPr>
          <w:b/>
        </w:rPr>
      </w:pPr>
      <w:r w:rsidRPr="00522BC9">
        <w:rPr>
          <w:b/>
        </w:rPr>
        <w:t>Outcomes</w:t>
      </w:r>
    </w:p>
    <w:p w14:paraId="3A3937E5" w14:textId="4AF528EE" w:rsidR="007C5D25" w:rsidRPr="00C0789F" w:rsidRDefault="007C5D25" w:rsidP="007C5D25">
      <w:r w:rsidRPr="00C0789F">
        <w:t>The</w:t>
      </w:r>
      <w:r w:rsidR="00EC1354">
        <w:t xml:space="preserve"> </w:t>
      </w:r>
      <w:r w:rsidR="00EC1354" w:rsidRPr="00EC1354">
        <w:rPr>
          <w:i/>
        </w:rPr>
        <w:t>PASC considered the following outcomes would be relevant for</w:t>
      </w:r>
      <w:r w:rsidRPr="00C0789F">
        <w:t xml:space="preserve"> the SBA</w:t>
      </w:r>
      <w:r w:rsidR="0013744B" w:rsidRPr="00C0789F">
        <w:t>.</w:t>
      </w:r>
    </w:p>
    <w:tbl>
      <w:tblPr>
        <w:tblStyle w:val="TableGrid"/>
        <w:tblW w:w="0" w:type="auto"/>
        <w:tblLook w:val="04A0" w:firstRow="1" w:lastRow="0" w:firstColumn="1" w:lastColumn="0" w:noHBand="0" w:noVBand="1"/>
        <w:tblCaption w:val="Test outcomes proposed by applicant"/>
      </w:tblPr>
      <w:tblGrid>
        <w:gridCol w:w="9242"/>
      </w:tblGrid>
      <w:tr w:rsidR="007C5D25" w:rsidRPr="00522BC9" w14:paraId="7D10B6B7" w14:textId="77777777" w:rsidTr="007F1735">
        <w:trPr>
          <w:tblHeader/>
        </w:trPr>
        <w:tc>
          <w:tcPr>
            <w:tcW w:w="9242" w:type="dxa"/>
          </w:tcPr>
          <w:p w14:paraId="7F9BFAFA" w14:textId="55C08369" w:rsidR="00C02134" w:rsidRPr="00EC1354" w:rsidRDefault="00C02134" w:rsidP="007B1C21">
            <w:pPr>
              <w:pBdr>
                <w:top w:val="single" w:sz="4" w:space="1" w:color="auto"/>
                <w:left w:val="single" w:sz="4" w:space="4" w:color="auto"/>
                <w:bottom w:val="single" w:sz="4" w:space="1" w:color="auto"/>
                <w:right w:val="single" w:sz="4" w:space="4" w:color="auto"/>
              </w:pBdr>
              <w:rPr>
                <w:b/>
                <w:i/>
                <w:sz w:val="20"/>
                <w:szCs w:val="20"/>
              </w:rPr>
            </w:pPr>
            <w:r w:rsidRPr="00EC1354">
              <w:rPr>
                <w:b/>
                <w:i/>
                <w:sz w:val="20"/>
                <w:szCs w:val="20"/>
              </w:rPr>
              <w:t>Safety</w:t>
            </w:r>
          </w:p>
          <w:p w14:paraId="1DF832C5" w14:textId="123AA21F" w:rsidR="00C02134" w:rsidRPr="00EC1354" w:rsidRDefault="00C02134" w:rsidP="007B1C21">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Adverse events associated with</w:t>
            </w:r>
            <w:r w:rsidR="00EC1354" w:rsidRPr="00EC1354">
              <w:rPr>
                <w:i/>
                <w:sz w:val="20"/>
                <w:szCs w:val="20"/>
              </w:rPr>
              <w:t xml:space="preserve"> biopsy and</w:t>
            </w:r>
            <w:r w:rsidRPr="00EC1354">
              <w:rPr>
                <w:i/>
                <w:sz w:val="20"/>
                <w:szCs w:val="20"/>
              </w:rPr>
              <w:t xml:space="preserve"> re-biopsy</w:t>
            </w:r>
            <w:r w:rsidR="00EC1354" w:rsidRPr="00EC1354">
              <w:rPr>
                <w:i/>
                <w:sz w:val="20"/>
                <w:szCs w:val="20"/>
              </w:rPr>
              <w:t>; re-biopsy rates</w:t>
            </w:r>
          </w:p>
          <w:p w14:paraId="7D08B2CB" w14:textId="2AB6542C" w:rsidR="00EC1354" w:rsidRPr="00EC1354" w:rsidRDefault="00EC1354" w:rsidP="007B1C21">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Negative consequences of false ‘low’ PD-L1 expression results and false ‘high’ PD-L1 expression results</w:t>
            </w:r>
          </w:p>
          <w:p w14:paraId="557E36CC" w14:textId="77777777" w:rsidR="00C02134" w:rsidRPr="00EC1354" w:rsidRDefault="00C02134" w:rsidP="007B1C21">
            <w:pPr>
              <w:pBdr>
                <w:top w:val="single" w:sz="4" w:space="1" w:color="auto"/>
                <w:left w:val="single" w:sz="4" w:space="4" w:color="auto"/>
                <w:bottom w:val="single" w:sz="4" w:space="1" w:color="auto"/>
                <w:right w:val="single" w:sz="4" w:space="4" w:color="auto"/>
              </w:pBdr>
              <w:rPr>
                <w:i/>
                <w:sz w:val="20"/>
                <w:szCs w:val="20"/>
              </w:rPr>
            </w:pPr>
          </w:p>
          <w:p w14:paraId="010D11A5" w14:textId="3C3B5D55" w:rsidR="00EC1354" w:rsidRPr="00EC1354" w:rsidRDefault="00EC1354" w:rsidP="00EC1354">
            <w:pPr>
              <w:pBdr>
                <w:top w:val="single" w:sz="4" w:space="1" w:color="auto"/>
                <w:left w:val="single" w:sz="4" w:space="4" w:color="auto"/>
                <w:bottom w:val="single" w:sz="4" w:space="1" w:color="auto"/>
                <w:right w:val="single" w:sz="4" w:space="4" w:color="auto"/>
              </w:pBdr>
              <w:rPr>
                <w:b/>
                <w:i/>
                <w:sz w:val="20"/>
                <w:szCs w:val="20"/>
              </w:rPr>
            </w:pPr>
            <w:r w:rsidRPr="00EC1354">
              <w:rPr>
                <w:b/>
                <w:i/>
                <w:sz w:val="20"/>
                <w:szCs w:val="20"/>
              </w:rPr>
              <w:t>Health-related</w:t>
            </w:r>
          </w:p>
          <w:p w14:paraId="7FD7B242" w14:textId="038653BF"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Overall survival</w:t>
            </w:r>
          </w:p>
          <w:p w14:paraId="53477C69" w14:textId="77777777"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Disease-specific survival</w:t>
            </w:r>
          </w:p>
          <w:p w14:paraId="602874AD" w14:textId="77777777"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Progression-free survival</w:t>
            </w:r>
          </w:p>
          <w:p w14:paraId="2336318B" w14:textId="77777777"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Time to progression</w:t>
            </w:r>
          </w:p>
          <w:p w14:paraId="28B05449" w14:textId="77777777"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Rate of recurrence</w:t>
            </w:r>
          </w:p>
          <w:p w14:paraId="4262A872" w14:textId="77777777"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Overall response rate</w:t>
            </w:r>
          </w:p>
          <w:p w14:paraId="33BA8C9D" w14:textId="77777777"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Duration of response</w:t>
            </w:r>
          </w:p>
          <w:p w14:paraId="28063439" w14:textId="67E5E3DD"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Quality of life</w:t>
            </w:r>
          </w:p>
          <w:p w14:paraId="10DE92D4" w14:textId="77777777"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p>
          <w:p w14:paraId="44D3D736" w14:textId="77777777" w:rsidR="00EC1354" w:rsidRPr="00EC1354" w:rsidRDefault="00EC1354" w:rsidP="00EC1354">
            <w:pPr>
              <w:pBdr>
                <w:top w:val="single" w:sz="4" w:space="1" w:color="auto"/>
                <w:left w:val="single" w:sz="4" w:space="4" w:color="auto"/>
                <w:bottom w:val="single" w:sz="4" w:space="1" w:color="auto"/>
                <w:right w:val="single" w:sz="4" w:space="4" w:color="auto"/>
              </w:pBdr>
              <w:rPr>
                <w:b/>
                <w:i/>
                <w:sz w:val="20"/>
                <w:szCs w:val="20"/>
              </w:rPr>
            </w:pPr>
            <w:r w:rsidRPr="00EC1354">
              <w:rPr>
                <w:b/>
                <w:i/>
                <w:sz w:val="20"/>
                <w:szCs w:val="20"/>
              </w:rPr>
              <w:t>Test Outcomes</w:t>
            </w:r>
          </w:p>
          <w:p w14:paraId="488C8DA7" w14:textId="1FC9D699" w:rsidR="007C5D25" w:rsidRPr="00EC1354" w:rsidRDefault="007C5D25" w:rsidP="007B1C21">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Trial</w:t>
            </w:r>
            <w:r w:rsidR="00EC1354" w:rsidRPr="00EC1354">
              <w:rPr>
                <w:i/>
                <w:sz w:val="20"/>
                <w:szCs w:val="20"/>
              </w:rPr>
              <w:t>-</w:t>
            </w:r>
            <w:r w:rsidRPr="00EC1354">
              <w:rPr>
                <w:i/>
                <w:sz w:val="20"/>
                <w:szCs w:val="20"/>
              </w:rPr>
              <w:t>based (evidentiary standard) PD-L1 IHC assay analytical performance</w:t>
            </w:r>
          </w:p>
          <w:p w14:paraId="21237024" w14:textId="6A004811" w:rsidR="007C5D25" w:rsidRPr="00EC1354" w:rsidRDefault="007C5D25" w:rsidP="007B1C21">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Comparative</w:t>
            </w:r>
            <w:r w:rsidR="00EC1354" w:rsidRPr="00EC1354">
              <w:rPr>
                <w:i/>
                <w:sz w:val="20"/>
                <w:szCs w:val="20"/>
              </w:rPr>
              <w:t xml:space="preserve"> analytical </w:t>
            </w:r>
            <w:r w:rsidRPr="00EC1354">
              <w:rPr>
                <w:i/>
                <w:sz w:val="20"/>
                <w:szCs w:val="20"/>
              </w:rPr>
              <w:t xml:space="preserve"> performance </w:t>
            </w:r>
            <w:r w:rsidR="00EC1354" w:rsidRPr="00EC1354">
              <w:rPr>
                <w:i/>
                <w:sz w:val="20"/>
                <w:szCs w:val="20"/>
              </w:rPr>
              <w:t xml:space="preserve">across </w:t>
            </w:r>
            <w:r w:rsidRPr="00EC1354">
              <w:rPr>
                <w:i/>
                <w:sz w:val="20"/>
                <w:szCs w:val="20"/>
              </w:rPr>
              <w:t>PD-L1</w:t>
            </w:r>
            <w:r w:rsidR="00EC1354" w:rsidRPr="00EC1354">
              <w:rPr>
                <w:i/>
                <w:sz w:val="20"/>
                <w:szCs w:val="20"/>
              </w:rPr>
              <w:t xml:space="preserve"> IHC assay options likely to be available in Australia</w:t>
            </w:r>
          </w:p>
          <w:p w14:paraId="1BA65B56" w14:textId="12DE81BB" w:rsidR="007C5D25" w:rsidRPr="00EC1354" w:rsidRDefault="007C5D25" w:rsidP="007B1C21">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Re-testing rates</w:t>
            </w:r>
            <w:r w:rsidR="00A40024">
              <w:rPr>
                <w:i/>
                <w:sz w:val="20"/>
                <w:szCs w:val="20"/>
              </w:rPr>
              <w:t xml:space="preserve"> (test failure)</w:t>
            </w:r>
          </w:p>
          <w:p w14:paraId="0B955377" w14:textId="53801AEA" w:rsidR="007C5D25" w:rsidRPr="00EC1354" w:rsidRDefault="00EC1354" w:rsidP="007B1C21">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Clinical validity (comparing the prognosis over time of patients with ‘low’ PD-L1 expression results and patients with ‘high’ PD-L1 expression results</w:t>
            </w:r>
          </w:p>
          <w:p w14:paraId="74956503" w14:textId="070287F9" w:rsidR="00EC1354" w:rsidRPr="00EC1354" w:rsidRDefault="00EC1354" w:rsidP="007B1C21">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Clinical utility (comparing the extent of incremental treatment effect over prognosis of the proposed treatment regimens with and without prior PD-L1 expression testing)</w:t>
            </w:r>
          </w:p>
          <w:p w14:paraId="2FFAF9CC" w14:textId="77777777" w:rsidR="00EC1354" w:rsidRPr="00EC1354" w:rsidRDefault="00EC1354" w:rsidP="007B1C21">
            <w:pPr>
              <w:pBdr>
                <w:top w:val="single" w:sz="4" w:space="1" w:color="auto"/>
                <w:left w:val="single" w:sz="4" w:space="4" w:color="auto"/>
                <w:bottom w:val="single" w:sz="4" w:space="1" w:color="auto"/>
                <w:right w:val="single" w:sz="4" w:space="4" w:color="auto"/>
              </w:pBdr>
              <w:rPr>
                <w:i/>
                <w:sz w:val="20"/>
                <w:szCs w:val="20"/>
              </w:rPr>
            </w:pPr>
          </w:p>
          <w:p w14:paraId="7DD606AB" w14:textId="5FEABC25" w:rsidR="00EC1354" w:rsidRPr="00EC1354" w:rsidRDefault="00EC1354" w:rsidP="00EC1354">
            <w:pPr>
              <w:pBdr>
                <w:top w:val="single" w:sz="4" w:space="1" w:color="auto"/>
                <w:left w:val="single" w:sz="4" w:space="4" w:color="auto"/>
                <w:bottom w:val="single" w:sz="4" w:space="1" w:color="auto"/>
                <w:right w:val="single" w:sz="4" w:space="4" w:color="auto"/>
              </w:pBdr>
              <w:rPr>
                <w:b/>
                <w:i/>
                <w:sz w:val="20"/>
                <w:szCs w:val="20"/>
              </w:rPr>
            </w:pPr>
            <w:r w:rsidRPr="00EC1354">
              <w:rPr>
                <w:b/>
                <w:i/>
                <w:sz w:val="20"/>
                <w:szCs w:val="20"/>
              </w:rPr>
              <w:t>Cost-effectiveness</w:t>
            </w:r>
          </w:p>
          <w:p w14:paraId="786B5C1E" w14:textId="33EB7E44"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Incremental cost per life year gained</w:t>
            </w:r>
          </w:p>
          <w:p w14:paraId="6C57CB5F" w14:textId="51785EA1"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Incremental cost per quality of life year (QALY) gained</w:t>
            </w:r>
          </w:p>
          <w:p w14:paraId="79637ACF" w14:textId="77777777" w:rsidR="00EC1354" w:rsidRPr="00EC1354" w:rsidRDefault="00EC1354" w:rsidP="007B1C21">
            <w:pPr>
              <w:pBdr>
                <w:top w:val="single" w:sz="4" w:space="1" w:color="auto"/>
                <w:left w:val="single" w:sz="4" w:space="4" w:color="auto"/>
                <w:bottom w:val="single" w:sz="4" w:space="1" w:color="auto"/>
                <w:right w:val="single" w:sz="4" w:space="4" w:color="auto"/>
              </w:pBdr>
              <w:rPr>
                <w:i/>
                <w:sz w:val="20"/>
                <w:szCs w:val="20"/>
              </w:rPr>
            </w:pPr>
          </w:p>
          <w:p w14:paraId="366E0893" w14:textId="6DF7636F" w:rsidR="00EC1354" w:rsidRPr="00EC1354" w:rsidRDefault="00EC1354" w:rsidP="00EC1354">
            <w:pPr>
              <w:pBdr>
                <w:top w:val="single" w:sz="4" w:space="1" w:color="auto"/>
                <w:left w:val="single" w:sz="4" w:space="4" w:color="auto"/>
                <w:bottom w:val="single" w:sz="4" w:space="1" w:color="auto"/>
                <w:right w:val="single" w:sz="4" w:space="4" w:color="auto"/>
              </w:pBdr>
              <w:rPr>
                <w:b/>
                <w:i/>
                <w:sz w:val="20"/>
                <w:szCs w:val="20"/>
              </w:rPr>
            </w:pPr>
            <w:r w:rsidRPr="00EC1354">
              <w:rPr>
                <w:b/>
                <w:i/>
                <w:sz w:val="20"/>
                <w:szCs w:val="20"/>
              </w:rPr>
              <w:t>Healthcare resources</w:t>
            </w:r>
          </w:p>
          <w:p w14:paraId="364BC499" w14:textId="178EFCF4"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Cost of testing per patient tested</w:t>
            </w:r>
          </w:p>
          <w:p w14:paraId="638AE279" w14:textId="0D8FDFE7"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Cost of treatment per patient with a ‘low’ PD-L1 expression result</w:t>
            </w:r>
          </w:p>
          <w:p w14:paraId="638D4DCC" w14:textId="33AFD389"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Cost of treatment per patient with a ‘high’ PD-L1 expression result</w:t>
            </w:r>
          </w:p>
          <w:p w14:paraId="7B52F19A" w14:textId="77777777"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Test turn-around time</w:t>
            </w:r>
          </w:p>
          <w:p w14:paraId="31547F00" w14:textId="77777777"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Estimated number of patients being tested</w:t>
            </w:r>
          </w:p>
          <w:p w14:paraId="34793DAB" w14:textId="326FFAC2" w:rsidR="00EC1354" w:rsidRPr="00EC1354" w:rsidRDefault="00EC1354" w:rsidP="00EC1354">
            <w:pPr>
              <w:pBdr>
                <w:top w:val="single" w:sz="4" w:space="1" w:color="auto"/>
                <w:left w:val="single" w:sz="4" w:space="4" w:color="auto"/>
                <w:bottom w:val="single" w:sz="4" w:space="1" w:color="auto"/>
                <w:right w:val="single" w:sz="4" w:space="4" w:color="auto"/>
              </w:pBdr>
              <w:rPr>
                <w:i/>
                <w:sz w:val="20"/>
                <w:szCs w:val="20"/>
              </w:rPr>
            </w:pPr>
            <w:r w:rsidRPr="00EC1354">
              <w:rPr>
                <w:i/>
                <w:sz w:val="20"/>
                <w:szCs w:val="20"/>
              </w:rPr>
              <w:t>Net overall healthcare costs</w:t>
            </w:r>
          </w:p>
          <w:p w14:paraId="0CF39FD3" w14:textId="3BD72169" w:rsidR="00EC1354" w:rsidRPr="00EC1354" w:rsidRDefault="00AA2B97" w:rsidP="00EC1354">
            <w:pPr>
              <w:pBdr>
                <w:top w:val="single" w:sz="4" w:space="1" w:color="auto"/>
                <w:left w:val="single" w:sz="4" w:space="4" w:color="auto"/>
                <w:bottom w:val="single" w:sz="4" w:space="1" w:color="auto"/>
                <w:right w:val="single" w:sz="4" w:space="4" w:color="auto"/>
              </w:pBdr>
              <w:rPr>
                <w:i/>
                <w:sz w:val="20"/>
                <w:szCs w:val="20"/>
              </w:rPr>
            </w:pPr>
            <w:r>
              <w:rPr>
                <w:i/>
                <w:sz w:val="20"/>
                <w:szCs w:val="20"/>
              </w:rPr>
              <w:t>Net cost to the MB</w:t>
            </w:r>
            <w:r w:rsidR="00EC1354" w:rsidRPr="00EC1354">
              <w:rPr>
                <w:i/>
                <w:sz w:val="20"/>
                <w:szCs w:val="20"/>
              </w:rPr>
              <w:t>S</w:t>
            </w:r>
          </w:p>
          <w:p w14:paraId="5A07ECB5" w14:textId="601DB018" w:rsidR="007C5D25" w:rsidRPr="00522BC9" w:rsidRDefault="007C5D25" w:rsidP="007B1C21">
            <w:pPr>
              <w:pBdr>
                <w:top w:val="single" w:sz="4" w:space="1" w:color="auto"/>
                <w:left w:val="single" w:sz="4" w:space="4" w:color="auto"/>
                <w:bottom w:val="single" w:sz="4" w:space="1" w:color="auto"/>
                <w:right w:val="single" w:sz="4" w:space="4" w:color="auto"/>
              </w:pBdr>
              <w:rPr>
                <w:sz w:val="20"/>
                <w:szCs w:val="20"/>
              </w:rPr>
            </w:pPr>
          </w:p>
        </w:tc>
      </w:tr>
    </w:tbl>
    <w:p w14:paraId="7B7DD157" w14:textId="77777777" w:rsidR="00C02134" w:rsidRPr="00522BC9" w:rsidRDefault="00C02134" w:rsidP="007C5D25"/>
    <w:p w14:paraId="2B744443" w14:textId="4896B7F3" w:rsidR="007C5D25" w:rsidRPr="00EC1354" w:rsidRDefault="00EA157C" w:rsidP="007C5D25">
      <w:r>
        <w:t>In addition, d</w:t>
      </w:r>
      <w:r w:rsidR="00EC1354">
        <w:t>uring preparation of the draft PICO prior to PASC</w:t>
      </w:r>
      <w:r w:rsidR="00A40024">
        <w:t xml:space="preserve"> it was considered</w:t>
      </w:r>
      <w:r w:rsidR="007C5D25" w:rsidRPr="00EC1354">
        <w:t xml:space="preserve"> the following </w:t>
      </w:r>
      <w:r>
        <w:t>may be</w:t>
      </w:r>
      <w:r w:rsidR="00A40024">
        <w:t xml:space="preserve"> relevant</w:t>
      </w:r>
      <w:r w:rsidR="007C5D25" w:rsidRPr="00EC1354">
        <w:t>:</w:t>
      </w:r>
    </w:p>
    <w:p w14:paraId="40C25C0D" w14:textId="2B2F5D1D" w:rsidR="002061A2" w:rsidRPr="00EC1354" w:rsidRDefault="002061A2" w:rsidP="002061A2">
      <w:pPr>
        <w:pStyle w:val="ListParagraph"/>
        <w:numPr>
          <w:ilvl w:val="0"/>
          <w:numId w:val="23"/>
        </w:numPr>
      </w:pPr>
      <w:r w:rsidRPr="00EC1354">
        <w:t xml:space="preserve">Any in-trial evaluation of test performance such as sample exchange between sites, central versus local laboratory testing; comparison with reference sample tissues. </w:t>
      </w:r>
      <w:r w:rsidR="00A40024">
        <w:t>Parameters</w:t>
      </w:r>
      <w:r w:rsidRPr="00EC1354">
        <w:t xml:space="preserve"> </w:t>
      </w:r>
      <w:r w:rsidR="00A40024">
        <w:t>relevant to</w:t>
      </w:r>
      <w:r w:rsidRPr="00EC1354">
        <w:t xml:space="preserve"> Clinical Effectiveness (Specificity; Positive predictive value; Negative predictive value; Receiver operator characteristic (ROC)) will only come from a comparison of the trial assay against other, different PD-L1 assays and will not come from the trial data alone. </w:t>
      </w:r>
    </w:p>
    <w:p w14:paraId="32785C13" w14:textId="3784D715" w:rsidR="002061A2" w:rsidRPr="00EC1354" w:rsidRDefault="002061A2" w:rsidP="004B7E3A">
      <w:pPr>
        <w:pStyle w:val="ListParagraph"/>
        <w:numPr>
          <w:ilvl w:val="0"/>
          <w:numId w:val="23"/>
        </w:numPr>
      </w:pPr>
      <w:r w:rsidRPr="00EC1354">
        <w:t xml:space="preserve">The Comparative Performance of PD-L1 Testing Methods should however consider the </w:t>
      </w:r>
      <w:r w:rsidR="0018560B" w:rsidRPr="00EC1354">
        <w:t>parameters</w:t>
      </w:r>
      <w:r w:rsidRPr="00EC1354">
        <w:t xml:space="preserve"> Specificity; Positive predictive value; Negative predictive value; Receiver operator </w:t>
      </w:r>
      <w:r w:rsidRPr="00EC1354">
        <w:lastRenderedPageBreak/>
        <w:t>characteristic (ROC)</w:t>
      </w:r>
      <w:r w:rsidR="0018560B" w:rsidRPr="00EC1354">
        <w:t xml:space="preserve"> for the other available PD-</w:t>
      </w:r>
      <w:r w:rsidRPr="00EC1354">
        <w:t>L1 platforms/antibodies</w:t>
      </w:r>
      <w:r w:rsidR="00A40024">
        <w:t xml:space="preserve"> in Australia</w:t>
      </w:r>
      <w:r w:rsidR="0018560B" w:rsidRPr="00EC1354">
        <w:t>, or at least those where a 25% expression threshold is used for scoring</w:t>
      </w:r>
      <w:r w:rsidRPr="00EC1354">
        <w:t xml:space="preserve">.  </w:t>
      </w:r>
    </w:p>
    <w:p w14:paraId="1D108B81" w14:textId="5313F681" w:rsidR="0093476D" w:rsidRPr="00EC1354" w:rsidRDefault="00EA157C" w:rsidP="004B7E3A">
      <w:pPr>
        <w:pStyle w:val="ListParagraph"/>
        <w:numPr>
          <w:ilvl w:val="0"/>
          <w:numId w:val="23"/>
        </w:numPr>
      </w:pPr>
      <w:r>
        <w:t>The p</w:t>
      </w:r>
      <w:r w:rsidR="0093476D" w:rsidRPr="00EC1354">
        <w:t xml:space="preserve">roportion of test-eligible patients unsuitable for </w:t>
      </w:r>
      <w:r w:rsidR="00E1023F" w:rsidRPr="00EC1354">
        <w:t xml:space="preserve">biopsy or </w:t>
      </w:r>
      <w:r w:rsidR="0093476D" w:rsidRPr="00EC1354">
        <w:t>re-biopsy</w:t>
      </w:r>
      <w:r>
        <w:t>;</w:t>
      </w:r>
    </w:p>
    <w:p w14:paraId="1BFF5D93" w14:textId="3FE48BF4" w:rsidR="004B7E3A" w:rsidRPr="00EC1354" w:rsidRDefault="00EA157C" w:rsidP="004B7E3A">
      <w:pPr>
        <w:pStyle w:val="ListParagraph"/>
        <w:numPr>
          <w:ilvl w:val="0"/>
          <w:numId w:val="23"/>
        </w:numPr>
      </w:pPr>
      <w:r>
        <w:t>The n</w:t>
      </w:r>
      <w:r w:rsidR="004B7E3A" w:rsidRPr="00EC1354">
        <w:t>umber needed to test to observe an incremental benefit in low PD-L1 patients; in high PD-L1 patients</w:t>
      </w:r>
      <w:r>
        <w:t>;</w:t>
      </w:r>
    </w:p>
    <w:p w14:paraId="79B424F4" w14:textId="7B522A79" w:rsidR="004B7E3A" w:rsidRPr="00EC1354" w:rsidRDefault="00631B12" w:rsidP="004B7E3A">
      <w:pPr>
        <w:pStyle w:val="ListParagraph"/>
        <w:numPr>
          <w:ilvl w:val="0"/>
          <w:numId w:val="23"/>
        </w:numPr>
      </w:pPr>
      <w:r w:rsidRPr="00EC1354">
        <w:t>Inter-operator variability (intermediate precision)</w:t>
      </w:r>
      <w:r w:rsidR="002061A2" w:rsidRPr="00EC1354">
        <w:t xml:space="preserve"> observed for the trial-based assay</w:t>
      </w:r>
      <w:r w:rsidRPr="00EC1354">
        <w:t xml:space="preserve">; and if possible, </w:t>
      </w:r>
      <w:r w:rsidR="004B7E3A" w:rsidRPr="00EC1354">
        <w:t>c</w:t>
      </w:r>
      <w:r w:rsidRPr="00EC1354">
        <w:t xml:space="preserve">omment on likely achievable performance in Australian laboratories compared with </w:t>
      </w:r>
      <w:r w:rsidR="009C7D47" w:rsidRPr="00EC1354">
        <w:t xml:space="preserve">DANUBE </w:t>
      </w:r>
      <w:r w:rsidR="004B7E3A" w:rsidRPr="00EC1354">
        <w:t xml:space="preserve">central </w:t>
      </w:r>
      <w:r w:rsidR="00741C64" w:rsidRPr="00EC1354">
        <w:t xml:space="preserve">reference </w:t>
      </w:r>
      <w:r w:rsidRPr="00EC1354">
        <w:t>laboratory</w:t>
      </w:r>
    </w:p>
    <w:p w14:paraId="7BB497C2" w14:textId="6AF17916" w:rsidR="004B7E3A" w:rsidRPr="00EC1354" w:rsidRDefault="00A40024" w:rsidP="004B7E3A">
      <w:pPr>
        <w:pStyle w:val="ListParagraph"/>
        <w:numPr>
          <w:ilvl w:val="0"/>
          <w:numId w:val="23"/>
        </w:numPr>
      </w:pPr>
      <w:r>
        <w:t>In terms of negative</w:t>
      </w:r>
      <w:r w:rsidR="004B7E3A" w:rsidRPr="00EC1354">
        <w:t xml:space="preserve"> consequences for patients that </w:t>
      </w:r>
      <w:r w:rsidR="009C7D47" w:rsidRPr="00EC1354">
        <w:t xml:space="preserve">are </w:t>
      </w:r>
      <w:proofErr w:type="spellStart"/>
      <w:r w:rsidR="009C7D47" w:rsidRPr="00EC1354">
        <w:t>mis</w:t>
      </w:r>
      <w:proofErr w:type="spellEnd"/>
      <w:r w:rsidR="009C7D47" w:rsidRPr="00EC1354">
        <w:t>-classified</w:t>
      </w:r>
      <w:r w:rsidR="00EA157C">
        <w:t xml:space="preserve"> (false results)</w:t>
      </w:r>
      <w:r w:rsidR="009C7D47" w:rsidRPr="00EC1354">
        <w:t>:</w:t>
      </w:r>
    </w:p>
    <w:p w14:paraId="5A2ED89F" w14:textId="32BB37EF" w:rsidR="004B7E3A" w:rsidRPr="00EC1354" w:rsidRDefault="004B7E3A" w:rsidP="004B7E3A">
      <w:pPr>
        <w:pStyle w:val="ListParagraph"/>
        <w:numPr>
          <w:ilvl w:val="1"/>
          <w:numId w:val="23"/>
        </w:numPr>
        <w:ind w:left="709"/>
      </w:pPr>
      <w:r w:rsidRPr="00EC1354">
        <w:t xml:space="preserve">Consider a patient whose result is </w:t>
      </w:r>
      <w:r w:rsidR="00A40024">
        <w:t xml:space="preserve">false </w:t>
      </w:r>
      <w:r w:rsidRPr="00EC1354">
        <w:t>high PD-L1 and receives monotherapy when they are in fact low PD-L1 and should be receiving combination therapy</w:t>
      </w:r>
      <w:r w:rsidR="00A40024">
        <w:t>.</w:t>
      </w:r>
      <w:r w:rsidRPr="00EC1354">
        <w:t xml:space="preserve"> If the additional agent is necessary for low PD-L1 patients, </w:t>
      </w:r>
      <w:r w:rsidR="00A40024">
        <w:t xml:space="preserve">this </w:t>
      </w:r>
      <w:r w:rsidR="00EA157C">
        <w:t>suggests</w:t>
      </w:r>
      <w:r w:rsidRPr="00EC1354">
        <w:t xml:space="preserve"> that monotherapy is likely to be ineffective or less effective than platinum therapy in these patients</w:t>
      </w:r>
      <w:r w:rsidR="00A40024">
        <w:t>.</w:t>
      </w:r>
      <w:r w:rsidRPr="00EC1354">
        <w:t xml:space="preserve"> </w:t>
      </w:r>
    </w:p>
    <w:p w14:paraId="5239425F" w14:textId="28E6C551" w:rsidR="004B7E3A" w:rsidRPr="00EC1354" w:rsidRDefault="004B7E3A" w:rsidP="004B7E3A">
      <w:pPr>
        <w:pStyle w:val="ListParagraph"/>
        <w:numPr>
          <w:ilvl w:val="1"/>
          <w:numId w:val="23"/>
        </w:numPr>
        <w:ind w:left="709"/>
      </w:pPr>
      <w:r w:rsidRPr="00EC1354">
        <w:t>In the reverse situation (high PD-L1 patient receives</w:t>
      </w:r>
      <w:r w:rsidR="00A40024">
        <w:t xml:space="preserve"> false</w:t>
      </w:r>
      <w:r w:rsidRPr="00EC1354">
        <w:t xml:space="preserve"> low PD-L1 result), is the combination therapy associated with poorer safety than monotherapy? </w:t>
      </w:r>
    </w:p>
    <w:p w14:paraId="095798A6" w14:textId="5C097F69" w:rsidR="0013744B" w:rsidRPr="00EC1354" w:rsidRDefault="0013744B" w:rsidP="00631B12">
      <w:pPr>
        <w:pStyle w:val="ListParagraph"/>
        <w:numPr>
          <w:ilvl w:val="0"/>
          <w:numId w:val="23"/>
        </w:numPr>
      </w:pPr>
      <w:r w:rsidRPr="00EC1354">
        <w:t xml:space="preserve">ORR </w:t>
      </w:r>
      <w:r w:rsidR="00A87167" w:rsidRPr="00EC1354">
        <w:t>is assumed to</w:t>
      </w:r>
      <w:r w:rsidRPr="00EC1354">
        <w:t xml:space="preserve"> include what (if any) </w:t>
      </w:r>
      <w:proofErr w:type="gramStart"/>
      <w:r w:rsidRPr="00EC1354">
        <w:t>proportion of responses were</w:t>
      </w:r>
      <w:proofErr w:type="gramEnd"/>
      <w:r w:rsidRPr="00EC1354">
        <w:t xml:space="preserve"> complete responses.  </w:t>
      </w:r>
    </w:p>
    <w:p w14:paraId="029A35AF" w14:textId="3BD31C4C" w:rsidR="00631B12" w:rsidRPr="00EC1354" w:rsidRDefault="00631B12" w:rsidP="00631B12">
      <w:pPr>
        <w:pStyle w:val="ListParagraph"/>
        <w:numPr>
          <w:ilvl w:val="0"/>
          <w:numId w:val="23"/>
        </w:numPr>
      </w:pPr>
      <w:r w:rsidRPr="00EC1354">
        <w:t xml:space="preserve">Drug safety should be presented for monotherapy and combination </w:t>
      </w:r>
      <w:proofErr w:type="gramStart"/>
      <w:r w:rsidRPr="00EC1354">
        <w:t>therapy,</w:t>
      </w:r>
      <w:proofErr w:type="gramEnd"/>
      <w:r w:rsidRPr="00EC1354">
        <w:t xml:space="preserve"> or identifying where the two differ.  </w:t>
      </w:r>
    </w:p>
    <w:p w14:paraId="7FA20ED2" w14:textId="1CF75DC2" w:rsidR="00C02134" w:rsidRPr="00EC1354" w:rsidRDefault="00C02134" w:rsidP="00631B12">
      <w:pPr>
        <w:pStyle w:val="ListParagraph"/>
        <w:numPr>
          <w:ilvl w:val="0"/>
          <w:numId w:val="23"/>
        </w:numPr>
      </w:pPr>
      <w:r w:rsidRPr="00EC1354">
        <w:t>Discontinuations due to toxicity; toxic</w:t>
      </w:r>
      <w:r w:rsidR="0013744B" w:rsidRPr="00EC1354">
        <w:t>ity leading to hospitalisations,</w:t>
      </w:r>
      <w:r w:rsidRPr="00EC1354">
        <w:t xml:space="preserve"> dose reduction or dose modification. </w:t>
      </w:r>
    </w:p>
    <w:p w14:paraId="470FDB30" w14:textId="0D7A1790" w:rsidR="00C02134" w:rsidRPr="00EC1354" w:rsidRDefault="00C02134" w:rsidP="00631B12">
      <w:pPr>
        <w:pStyle w:val="ListParagraph"/>
        <w:numPr>
          <w:ilvl w:val="0"/>
          <w:numId w:val="23"/>
        </w:numPr>
      </w:pPr>
      <w:r w:rsidRPr="00EC1354">
        <w:t xml:space="preserve">The tolerability of standard of care is a </w:t>
      </w:r>
      <w:r w:rsidR="00631B12" w:rsidRPr="00EC1354">
        <w:t>concern</w:t>
      </w:r>
      <w:r w:rsidRPr="00EC1354">
        <w:t xml:space="preserve"> in this population</w:t>
      </w:r>
      <w:r w:rsidR="0051139A" w:rsidRPr="00EC1354">
        <w:t xml:space="preserve"> –</w:t>
      </w:r>
      <w:r w:rsidRPr="00EC1354">
        <w:t xml:space="preserve"> if </w:t>
      </w:r>
      <w:r w:rsidR="0051139A" w:rsidRPr="00EC1354">
        <w:t xml:space="preserve">the </w:t>
      </w:r>
      <w:r w:rsidRPr="00EC1354">
        <w:t xml:space="preserve">proposed therapies are associated with high toxicity and discontinuations, it </w:t>
      </w:r>
      <w:r w:rsidR="0051139A" w:rsidRPr="00EC1354">
        <w:t>may</w:t>
      </w:r>
      <w:r w:rsidRPr="00EC1354">
        <w:t xml:space="preserve"> not follow that these biologics will replace platinum therapy.  If the trial data indicate a high rate of discontinuations, the SBA should describe whether there are any common characteristics in the </w:t>
      </w:r>
      <w:r w:rsidR="00631B12" w:rsidRPr="00EC1354">
        <w:t xml:space="preserve">discontinuing </w:t>
      </w:r>
      <w:r w:rsidRPr="00EC1354">
        <w:t xml:space="preserve">patients that </w:t>
      </w:r>
      <w:proofErr w:type="gramStart"/>
      <w:r w:rsidRPr="00EC1354">
        <w:t>makes</w:t>
      </w:r>
      <w:proofErr w:type="gramEnd"/>
      <w:r w:rsidRPr="00EC1354">
        <w:t xml:space="preserve"> them identifiable prior to commencement.  </w:t>
      </w:r>
      <w:r w:rsidR="004B7E3A" w:rsidRPr="00EC1354">
        <w:t xml:space="preserve">Will these patients receive platinum-based therapy after a trial of </w:t>
      </w:r>
      <w:proofErr w:type="spellStart"/>
      <w:r w:rsidR="004B7E3A" w:rsidRPr="00EC1354">
        <w:t>durvalumab</w:t>
      </w:r>
      <w:proofErr w:type="spellEnd"/>
      <w:r w:rsidR="004B7E3A" w:rsidRPr="00EC1354">
        <w:t>-containing therapy?</w:t>
      </w:r>
    </w:p>
    <w:p w14:paraId="644F1583" w14:textId="61D3F153" w:rsidR="0013744B" w:rsidRPr="00EC1354" w:rsidRDefault="0013744B" w:rsidP="0013744B">
      <w:pPr>
        <w:pStyle w:val="ListParagraph"/>
        <w:numPr>
          <w:ilvl w:val="0"/>
          <w:numId w:val="23"/>
        </w:numPr>
      </w:pPr>
      <w:r w:rsidRPr="00EC1354">
        <w:t xml:space="preserve">If possible, </w:t>
      </w:r>
      <w:r w:rsidR="00AC715E" w:rsidRPr="00EC1354">
        <w:t>patient relevant</w:t>
      </w:r>
      <w:r w:rsidRPr="00EC1354">
        <w:t xml:space="preserve"> outcomes specific to this disease (e.g. cystectomies avoided)</w:t>
      </w:r>
    </w:p>
    <w:p w14:paraId="007F5694" w14:textId="77777777" w:rsidR="003E0382" w:rsidRPr="00EC1354" w:rsidRDefault="002A66BD" w:rsidP="00440228">
      <w:pPr>
        <w:rPr>
          <w:u w:val="single"/>
        </w:rPr>
      </w:pPr>
      <w:r w:rsidRPr="00EC1354">
        <w:rPr>
          <w:u w:val="single"/>
        </w:rPr>
        <w:t>Health</w:t>
      </w:r>
      <w:r w:rsidR="00752491" w:rsidRPr="00EC1354">
        <w:rPr>
          <w:u w:val="single"/>
        </w:rPr>
        <w:t>care</w:t>
      </w:r>
      <w:r w:rsidRPr="00EC1354">
        <w:rPr>
          <w:u w:val="single"/>
        </w:rPr>
        <w:t xml:space="preserve"> system</w:t>
      </w:r>
    </w:p>
    <w:p w14:paraId="55ED8765" w14:textId="7BAF3BB3" w:rsidR="00176D25" w:rsidRPr="00EC1354" w:rsidRDefault="00EB715C" w:rsidP="00176D25">
      <w:r w:rsidRPr="00EC1354">
        <w:t>There is unlikely to be a change in the number of</w:t>
      </w:r>
      <w:r w:rsidR="00176D25" w:rsidRPr="00EC1354">
        <w:t xml:space="preserve"> specialist consultations required </w:t>
      </w:r>
      <w:r w:rsidR="00A669B1" w:rsidRPr="00EC1354">
        <w:t xml:space="preserve">in these first stages of diagnosis and evaluation of treatment options. </w:t>
      </w:r>
    </w:p>
    <w:p w14:paraId="0B264339" w14:textId="48338C53" w:rsidR="00176D25" w:rsidRPr="00522BC9" w:rsidRDefault="00176D25" w:rsidP="00176D25">
      <w:r w:rsidRPr="00522BC9">
        <w:t>Testing will require a fresh biopsy and hospital admission (as a day p</w:t>
      </w:r>
      <w:r w:rsidR="00A669B1" w:rsidRPr="00522BC9">
        <w:t>atient) for imaging and surgery</w:t>
      </w:r>
      <w:r w:rsidRPr="00C0789F">
        <w:t>.  A biopsy would require a general ana</w:t>
      </w:r>
      <w:r w:rsidRPr="00E518BA">
        <w:t xml:space="preserve">esthetic if it involved a cystoscopy, but others may be performed with a local anaesthesia.  Overnight admission would be unlikely except in the event of morbid complications.  </w:t>
      </w:r>
      <w:r w:rsidRPr="00AA2B97">
        <w:t>The adverse event data from the clinical trials should inform a comment on the likelihood and type of admissions/extension of hospitalisation due to complications from biopsy.</w:t>
      </w:r>
    </w:p>
    <w:p w14:paraId="30292D08" w14:textId="52C028FE" w:rsidR="00DB588C" w:rsidRPr="00AA2B97" w:rsidRDefault="00DB588C" w:rsidP="00DB588C">
      <w:r w:rsidRPr="00AA2B97">
        <w:t>Both proposed and comparator drugs are infusions, thus there will be no change to the treatment setting for administration of these</w:t>
      </w:r>
      <w:r w:rsidR="009F7661" w:rsidRPr="00AA2B97">
        <w:t>, though frequency of each will be different</w:t>
      </w:r>
      <w:r w:rsidRPr="00AA2B97">
        <w:t xml:space="preserve">.  </w:t>
      </w:r>
    </w:p>
    <w:p w14:paraId="7010294E" w14:textId="77777777" w:rsidR="00896845" w:rsidRPr="00AA2B97" w:rsidRDefault="00896845" w:rsidP="00896845">
      <w:pPr>
        <w:pStyle w:val="Heading2"/>
        <w:spacing w:line="240" w:lineRule="auto"/>
        <w:jc w:val="both"/>
        <w:rPr>
          <w:i w:val="0"/>
          <w:color w:val="548DD4"/>
        </w:rPr>
      </w:pPr>
      <w:r w:rsidRPr="00AA2B97">
        <w:rPr>
          <w:i w:val="0"/>
          <w:color w:val="548DD4"/>
        </w:rPr>
        <w:t>Current clinical management algorithm</w:t>
      </w:r>
      <w:r w:rsidR="002B3338" w:rsidRPr="00AA2B97">
        <w:rPr>
          <w:i w:val="0"/>
          <w:color w:val="548DD4"/>
        </w:rPr>
        <w:t xml:space="preserve"> for identified population</w:t>
      </w:r>
    </w:p>
    <w:p w14:paraId="370D7C5D" w14:textId="77777777" w:rsidR="009E7E2A" w:rsidRPr="00522BC9" w:rsidRDefault="009E7E2A" w:rsidP="009E7E2A">
      <w:r w:rsidRPr="00522BC9">
        <w:t xml:space="preserve">The applicant describes the current treatment algorithm for these patients as follows:  </w:t>
      </w:r>
    </w:p>
    <w:p w14:paraId="1B68CC56" w14:textId="26BEE5BC" w:rsidR="00B866E3" w:rsidRPr="00522BC9" w:rsidRDefault="0075015F" w:rsidP="00B866E3">
      <w:r w:rsidRPr="00522BC9">
        <w:rPr>
          <w:color w:val="FF0000"/>
        </w:rPr>
        <w:object w:dxaOrig="10069" w:dyaOrig="7020" w14:anchorId="3556D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rrent treatment algorithm presented by applicant" style="width:447.55pt;height:312.05pt" o:ole="">
            <v:imagedata r:id="rId10" o:title=""/>
          </v:shape>
          <o:OLEObject Type="Embed" ProgID="Visio.Drawing.15" ShapeID="_x0000_i1025" DrawAspect="Content" ObjectID="_1583755668" r:id="rId11"/>
        </w:object>
      </w:r>
    </w:p>
    <w:p w14:paraId="1E73BCD6" w14:textId="0253E9E2" w:rsidR="00B866E3" w:rsidRPr="00AA2B97" w:rsidRDefault="0018560B" w:rsidP="00B866E3">
      <w:r w:rsidRPr="00AA2B97">
        <w:t xml:space="preserve">A biopsy step is assumed to be part of the box ‘Patient diagnosed with urothelial cancer” as this is part of the diagnostic work-up for standard of care.  It may not be useful to break this algorithm down to that level of detail given the other assessments that would necessarily be included at that step. </w:t>
      </w:r>
      <w:r w:rsidR="004B5E77" w:rsidRPr="00AA2B97">
        <w:t xml:space="preserve">A </w:t>
      </w:r>
      <w:r w:rsidR="009F7661" w:rsidRPr="00AA2B97">
        <w:t>cure</w:t>
      </w:r>
      <w:r w:rsidR="004B5E77" w:rsidRPr="00AA2B97">
        <w:t xml:space="preserve"> is highly unlikely</w:t>
      </w:r>
      <w:r w:rsidR="009F7661" w:rsidRPr="00AA2B97">
        <w:t xml:space="preserve"> following platinum-based therapy in stage IV disease</w:t>
      </w:r>
      <w:r w:rsidR="00DE7086" w:rsidRPr="00AA2B97">
        <w:t>, especially in patients with distant metastases.  Other</w:t>
      </w:r>
      <w:r w:rsidR="009303A6" w:rsidRPr="00AA2B97">
        <w:t xml:space="preserve"> stage IV patient</w:t>
      </w:r>
      <w:r w:rsidR="00DE7086" w:rsidRPr="00AA2B97">
        <w:t>s would require</w:t>
      </w:r>
      <w:r w:rsidR="009F7661" w:rsidRPr="00AA2B97">
        <w:t xml:space="preserve"> post-chemotherapy cystectomy</w:t>
      </w:r>
      <w:r w:rsidR="00EB715C" w:rsidRPr="00AA2B97">
        <w:t>/</w:t>
      </w:r>
      <w:proofErr w:type="spellStart"/>
      <w:r w:rsidR="00EB715C" w:rsidRPr="00AA2B97">
        <w:t>metastectomy</w:t>
      </w:r>
      <w:proofErr w:type="spellEnd"/>
      <w:r w:rsidR="00DE7086" w:rsidRPr="00AA2B97">
        <w:t xml:space="preserve"> for </w:t>
      </w:r>
      <w:r w:rsidR="009303A6" w:rsidRPr="00AA2B97">
        <w:t xml:space="preserve">a </w:t>
      </w:r>
      <w:r w:rsidR="00DE7086" w:rsidRPr="00AA2B97">
        <w:t>cure to be possible</w:t>
      </w:r>
      <w:r w:rsidR="009F7661" w:rsidRPr="00AA2B97">
        <w:t xml:space="preserve">. </w:t>
      </w:r>
      <w:r w:rsidR="004B5E77" w:rsidRPr="00AA2B97">
        <w:t xml:space="preserve"> </w:t>
      </w:r>
      <w:r w:rsidR="00024360" w:rsidRPr="00AA2B97">
        <w:t xml:space="preserve">This algorithm should reflect in both the stage IV boxes exclusion of patients who are unsuited to systemic therapy, and those who would be candidates for resection.  </w:t>
      </w:r>
    </w:p>
    <w:p w14:paraId="59201D0E" w14:textId="77777777" w:rsidR="00896845" w:rsidRPr="00C0789F" w:rsidRDefault="00896845" w:rsidP="00B866E3">
      <w:pPr>
        <w:rPr>
          <w:color w:val="548DD4"/>
        </w:rPr>
      </w:pPr>
      <w:r w:rsidRPr="00522BC9">
        <w:rPr>
          <w:color w:val="548DD4"/>
        </w:rPr>
        <w:t>Proposed clinical management</w:t>
      </w:r>
      <w:r w:rsidRPr="00C0789F">
        <w:rPr>
          <w:color w:val="548DD4"/>
        </w:rPr>
        <w:t xml:space="preserve"> algorithm</w:t>
      </w:r>
      <w:r w:rsidR="002B3338" w:rsidRPr="00C0789F">
        <w:rPr>
          <w:color w:val="548DD4"/>
        </w:rPr>
        <w:t xml:space="preserve"> for identified population</w:t>
      </w:r>
    </w:p>
    <w:p w14:paraId="40078E95" w14:textId="77777777" w:rsidR="00317462" w:rsidRPr="00E518BA" w:rsidRDefault="00317462" w:rsidP="00317462">
      <w:r w:rsidRPr="00E518BA">
        <w:t xml:space="preserve">The applicant describes the future treatment algorithm including the proposed treatments as follows:  </w:t>
      </w:r>
    </w:p>
    <w:p w14:paraId="7CF5C490" w14:textId="77777777" w:rsidR="00317462" w:rsidRPr="00522BC9" w:rsidRDefault="00317462" w:rsidP="00B866E3">
      <w:r w:rsidRPr="00522BC9">
        <w:rPr>
          <w:noProof/>
          <w:lang w:eastAsia="en-AU"/>
        </w:rPr>
        <w:lastRenderedPageBreak/>
        <w:drawing>
          <wp:inline distT="0" distB="0" distL="0" distR="0" wp14:anchorId="608747ED" wp14:editId="32E94783">
            <wp:extent cx="5158781" cy="4670054"/>
            <wp:effectExtent l="0" t="0" r="3810" b="0"/>
            <wp:docPr id="2" name="Picture 2" title="Treatment algorithm proposed by applicant after listing of test and medic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4150" cy="4674914"/>
                    </a:xfrm>
                    <a:prstGeom prst="rect">
                      <a:avLst/>
                    </a:prstGeom>
                    <a:noFill/>
                  </pic:spPr>
                </pic:pic>
              </a:graphicData>
            </a:graphic>
          </wp:inline>
        </w:drawing>
      </w:r>
    </w:p>
    <w:p w14:paraId="6E377676" w14:textId="038E9A9B" w:rsidR="008C1EA5" w:rsidRPr="00AA2B97" w:rsidRDefault="008C1EA5" w:rsidP="008C1EA5">
      <w:r w:rsidRPr="00AA2B97">
        <w:t>The step ‘</w:t>
      </w:r>
      <w:r w:rsidR="00BE0207" w:rsidRPr="00AA2B97">
        <w:t>B</w:t>
      </w:r>
      <w:r w:rsidRPr="00AA2B97">
        <w:t>iopsy’ after</w:t>
      </w:r>
      <w:r w:rsidR="00DE7086" w:rsidRPr="00AA2B97">
        <w:t xml:space="preserve"> progression to</w:t>
      </w:r>
      <w:r w:rsidRPr="00AA2B97">
        <w:t xml:space="preserve"> stage IV </w:t>
      </w:r>
      <w:r w:rsidR="00DE7086" w:rsidRPr="00AA2B97">
        <w:t xml:space="preserve">from earlier disease </w:t>
      </w:r>
      <w:r w:rsidRPr="00AA2B97">
        <w:t xml:space="preserve">should be </w:t>
      </w:r>
      <w:proofErr w:type="spellStart"/>
      <w:r w:rsidRPr="00AA2B97">
        <w:t>‘</w:t>
      </w:r>
      <w:r w:rsidR="00BE0207" w:rsidRPr="00AA2B97">
        <w:t>Re</w:t>
      </w:r>
      <w:proofErr w:type="spellEnd"/>
      <w:r w:rsidRPr="00AA2B97">
        <w:t xml:space="preserve">-biopsy’. </w:t>
      </w:r>
      <w:r w:rsidR="0018560B" w:rsidRPr="00AA2B97">
        <w:t xml:space="preserve">A biopsy step is assumed to be part of the box ‘Patient diagnosed with urothelial cancer” as this is part of the diagnostic work-up for standard of care.  </w:t>
      </w:r>
      <w:r w:rsidR="00024360" w:rsidRPr="00AA2B97">
        <w:t>As noted above, the stage IV boxes</w:t>
      </w:r>
      <w:r w:rsidRPr="00AA2B97">
        <w:t xml:space="preserve"> should reflect exclusion of patients who are unsuited to systemic therapy, and those who would be candidates for resection.  </w:t>
      </w:r>
    </w:p>
    <w:p w14:paraId="7B82D1BA" w14:textId="77777777" w:rsidR="00E968F6" w:rsidRPr="00AA2B97" w:rsidRDefault="003E0382" w:rsidP="00E968F6">
      <w:pPr>
        <w:pStyle w:val="Heading2"/>
        <w:spacing w:line="240" w:lineRule="auto"/>
        <w:jc w:val="both"/>
        <w:rPr>
          <w:i w:val="0"/>
          <w:color w:val="548DD4"/>
        </w:rPr>
      </w:pPr>
      <w:r w:rsidRPr="00AA2B97">
        <w:rPr>
          <w:i w:val="0"/>
          <w:color w:val="548DD4"/>
        </w:rPr>
        <w:t xml:space="preserve">Proposed </w:t>
      </w:r>
      <w:r w:rsidR="002B226C" w:rsidRPr="00AA2B97">
        <w:rPr>
          <w:i w:val="0"/>
          <w:color w:val="548DD4"/>
        </w:rPr>
        <w:t xml:space="preserve">economic </w:t>
      </w:r>
      <w:r w:rsidR="009E5295" w:rsidRPr="00AA2B97">
        <w:rPr>
          <w:i w:val="0"/>
          <w:color w:val="548DD4"/>
        </w:rPr>
        <w:t>evaluation</w:t>
      </w:r>
    </w:p>
    <w:p w14:paraId="54E8A16B" w14:textId="4E371728" w:rsidR="00E77A19" w:rsidRPr="00E518BA" w:rsidRDefault="00B866E3" w:rsidP="00B866E3">
      <w:r w:rsidRPr="00522BC9">
        <w:t xml:space="preserve">The applicant </w:t>
      </w:r>
      <w:r w:rsidR="00E77A19" w:rsidRPr="00522BC9">
        <w:t>proposes</w:t>
      </w:r>
      <w:r w:rsidR="00DE7086" w:rsidRPr="00522BC9">
        <w:t xml:space="preserve"> that PD-L1 testing and treatment with</w:t>
      </w:r>
      <w:r w:rsidR="00625495" w:rsidRPr="00C0789F">
        <w:t xml:space="preserve"> the following is superior to no PD-L1 testing and standard of care in all patients</w:t>
      </w:r>
      <w:r w:rsidR="00E77A19" w:rsidRPr="00E518BA">
        <w:t>:</w:t>
      </w:r>
    </w:p>
    <w:p w14:paraId="464B3F93" w14:textId="483FA690" w:rsidR="00E77A19" w:rsidRPr="00522BC9" w:rsidRDefault="00E77A19" w:rsidP="00E77A19">
      <w:pPr>
        <w:pStyle w:val="ListParagraph"/>
        <w:numPr>
          <w:ilvl w:val="0"/>
          <w:numId w:val="18"/>
        </w:numPr>
      </w:pPr>
      <w:r w:rsidRPr="00EC1354">
        <w:t>PD-L1</w:t>
      </w:r>
      <w:r w:rsidR="00B866E3" w:rsidRPr="00EC1354">
        <w:t xml:space="preserve"> test + </w:t>
      </w:r>
      <w:proofErr w:type="spellStart"/>
      <w:r w:rsidR="00B866E3" w:rsidRPr="00EC1354">
        <w:t>durvalumab</w:t>
      </w:r>
      <w:proofErr w:type="spellEnd"/>
      <w:r w:rsidR="00B866E3" w:rsidRPr="00EC1354">
        <w:t xml:space="preserve"> monotherapy </w:t>
      </w:r>
      <w:r w:rsidRPr="00EC1354">
        <w:t>versus no test + standard of care</w:t>
      </w:r>
      <w:r w:rsidR="00DE7086" w:rsidRPr="00EC1354">
        <w:t xml:space="preserve"> in patients with high PD-L1 expression</w:t>
      </w:r>
      <w:r w:rsidRPr="00522BC9">
        <w:t>, and;</w:t>
      </w:r>
    </w:p>
    <w:p w14:paraId="482AC32C" w14:textId="469FDF40" w:rsidR="00E77A19" w:rsidRPr="00522BC9" w:rsidRDefault="00E77A19" w:rsidP="00E77A19">
      <w:pPr>
        <w:pStyle w:val="ListParagraph"/>
        <w:numPr>
          <w:ilvl w:val="0"/>
          <w:numId w:val="18"/>
        </w:numPr>
      </w:pPr>
      <w:r w:rsidRPr="00522BC9">
        <w:t>PD-L1</w:t>
      </w:r>
      <w:r w:rsidR="00B866E3" w:rsidRPr="00522BC9">
        <w:t xml:space="preserve"> test + </w:t>
      </w:r>
      <w:proofErr w:type="spellStart"/>
      <w:r w:rsidR="00B866E3" w:rsidRPr="00522BC9">
        <w:t>durvalumab</w:t>
      </w:r>
      <w:proofErr w:type="spellEnd"/>
      <w:r w:rsidR="00B866E3" w:rsidRPr="00522BC9">
        <w:t xml:space="preserve"> </w:t>
      </w:r>
      <w:r w:rsidRPr="00522BC9">
        <w:t xml:space="preserve">+ </w:t>
      </w:r>
      <w:proofErr w:type="spellStart"/>
      <w:r w:rsidRPr="00522BC9">
        <w:t>tremelimumab</w:t>
      </w:r>
      <w:proofErr w:type="spellEnd"/>
      <w:r w:rsidRPr="00522BC9">
        <w:t xml:space="preserve"> </w:t>
      </w:r>
      <w:r w:rsidR="00B866E3" w:rsidRPr="00522BC9">
        <w:t>combination therapy</w:t>
      </w:r>
      <w:r w:rsidRPr="00522BC9">
        <w:t xml:space="preserve"> versus no test + standard of care</w:t>
      </w:r>
      <w:r w:rsidR="00DE7086" w:rsidRPr="00522BC9">
        <w:t xml:space="preserve"> in patients with low PD-L1 expression</w:t>
      </w:r>
    </w:p>
    <w:p w14:paraId="64B4D1DE" w14:textId="3280340C" w:rsidR="00B866E3" w:rsidRPr="00AA2B97" w:rsidRDefault="000E7746" w:rsidP="00B866E3">
      <w:r w:rsidRPr="00AA2B97">
        <w:t>If</w:t>
      </w:r>
      <w:r w:rsidR="00DE7086" w:rsidRPr="00AA2B97">
        <w:t xml:space="preserve"> this claim</w:t>
      </w:r>
      <w:r w:rsidR="00E77A19" w:rsidRPr="00AA2B97">
        <w:t xml:space="preserve"> </w:t>
      </w:r>
      <w:r w:rsidR="00DE7086" w:rsidRPr="00AA2B97">
        <w:t>is</w:t>
      </w:r>
      <w:r w:rsidR="00E77A19" w:rsidRPr="00AA2B97">
        <w:t xml:space="preserve"> </w:t>
      </w:r>
      <w:r w:rsidRPr="00AA2B97">
        <w:t>supported by the clinical evidence presented in the application, a cost-utility analysis would be the most appropriate type of economic evaluation to present.</w:t>
      </w:r>
    </w:p>
    <w:p w14:paraId="221C64A2" w14:textId="7887BBAE" w:rsidR="00555DF2" w:rsidRPr="00161CEC" w:rsidRDefault="00B866E3" w:rsidP="00B866E3">
      <w:r w:rsidRPr="00522BC9">
        <w:t xml:space="preserve">The applicant has also proposed pembrolizumab in first line PD-L1 positive urothelial cancer </w:t>
      </w:r>
      <w:r w:rsidR="00D7714B" w:rsidRPr="00522BC9">
        <w:t>as</w:t>
      </w:r>
      <w:r w:rsidRPr="00C0789F">
        <w:t xml:space="preserve"> a potential secondary comparator in the even</w:t>
      </w:r>
      <w:r w:rsidR="00317462" w:rsidRPr="00E518BA">
        <w:t>t</w:t>
      </w:r>
      <w:r w:rsidRPr="00EC1354">
        <w:t xml:space="preserve"> that </w:t>
      </w:r>
      <w:r w:rsidR="00317462" w:rsidRPr="00EC1354">
        <w:t xml:space="preserve">the interventions in application 1457 are listed.  </w:t>
      </w:r>
      <w:r w:rsidR="00555DF2" w:rsidRPr="00522BC9">
        <w:t xml:space="preserve">The </w:t>
      </w:r>
      <w:r w:rsidR="00D7714B" w:rsidRPr="00522BC9">
        <w:t xml:space="preserve">applicant will present a claim that the </w:t>
      </w:r>
      <w:r w:rsidR="00555DF2" w:rsidRPr="00522BC9">
        <w:t xml:space="preserve">combination therapy would be non-inferior to pembrolizumab in </w:t>
      </w:r>
      <w:r w:rsidR="00D7714B" w:rsidRPr="00522BC9">
        <w:t>PD-L1 high patients</w:t>
      </w:r>
      <w:r w:rsidR="00555DF2" w:rsidRPr="00522BC9">
        <w:t>.</w:t>
      </w:r>
      <w:r w:rsidR="00555DF2" w:rsidRPr="00161CEC">
        <w:t xml:space="preserve"> </w:t>
      </w:r>
      <w:r w:rsidR="00625495" w:rsidRPr="00161CEC">
        <w:t>If th</w:t>
      </w:r>
      <w:r w:rsidR="00D7714B" w:rsidRPr="00161CEC">
        <w:t>is</w:t>
      </w:r>
      <w:r w:rsidR="00625495" w:rsidRPr="00161CEC">
        <w:t xml:space="preserve"> claim is supported</w:t>
      </w:r>
      <w:r w:rsidR="00D7714B" w:rsidRPr="00161CEC">
        <w:t xml:space="preserve"> by the evidence</w:t>
      </w:r>
      <w:r w:rsidR="00625495" w:rsidRPr="00161CEC">
        <w:t xml:space="preserve">, then a cost-minimisation analysis would be appropriate. </w:t>
      </w:r>
    </w:p>
    <w:p w14:paraId="6818ABA3" w14:textId="77777777" w:rsidR="00752491" w:rsidRPr="00161CEC" w:rsidRDefault="00752491" w:rsidP="00752491">
      <w:pPr>
        <w:pStyle w:val="Heading2"/>
        <w:spacing w:line="240" w:lineRule="auto"/>
        <w:jc w:val="both"/>
        <w:rPr>
          <w:i w:val="0"/>
          <w:color w:val="548DD4"/>
        </w:rPr>
      </w:pPr>
      <w:r w:rsidRPr="005C13E0">
        <w:rPr>
          <w:i w:val="0"/>
          <w:color w:val="548DD4"/>
        </w:rPr>
        <w:lastRenderedPageBreak/>
        <w:t>Proposed item descriptor</w:t>
      </w:r>
    </w:p>
    <w:p w14:paraId="1E838181" w14:textId="77777777" w:rsidR="00904D6C" w:rsidRPr="00522BC9" w:rsidRDefault="00904D6C" w:rsidP="00904D6C">
      <w:pPr>
        <w:keepNext/>
      </w:pPr>
      <w:r w:rsidRPr="00522BC9">
        <w:t>The applicant proposed the</w:t>
      </w:r>
      <w:r>
        <w:t xml:space="preserve"> following</w:t>
      </w:r>
      <w:r w:rsidRPr="00522BC9">
        <w:t xml:space="preserve"> descriptor:</w:t>
      </w:r>
    </w:p>
    <w:p w14:paraId="360BECD5" w14:textId="77777777" w:rsidR="00904D6C" w:rsidRPr="00C0789F" w:rsidRDefault="00904D6C" w:rsidP="00904D6C">
      <w:pPr>
        <w:keepN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eastAsiaTheme="minorHAnsi" w:hAnsiTheme="minorHAnsi" w:cstheme="minorBidi"/>
          <w:sz w:val="20"/>
          <w:szCs w:val="20"/>
        </w:rPr>
      </w:pPr>
      <w:r w:rsidRPr="00C0789F">
        <w:rPr>
          <w:rFonts w:asciiTheme="minorHAnsi" w:eastAsiaTheme="minorHAnsi" w:hAnsiTheme="minorHAnsi" w:cstheme="minorBidi"/>
          <w:sz w:val="20"/>
          <w:szCs w:val="20"/>
        </w:rPr>
        <w:t xml:space="preserve">Category </w:t>
      </w:r>
      <w:r w:rsidRPr="00C0789F">
        <w:rPr>
          <w:rFonts w:asciiTheme="minorHAnsi" w:eastAsiaTheme="minorHAnsi" w:hAnsiTheme="minorHAnsi" w:cstheme="minorBidi"/>
          <w:sz w:val="20"/>
        </w:rPr>
        <w:t xml:space="preserve">6 </w:t>
      </w:r>
      <w:r w:rsidRPr="00C0789F">
        <w:rPr>
          <w:rFonts w:asciiTheme="minorHAnsi" w:eastAsiaTheme="minorHAnsi" w:hAnsiTheme="minorHAnsi" w:cstheme="minorBidi"/>
          <w:sz w:val="20"/>
          <w:szCs w:val="20"/>
        </w:rPr>
        <w:t xml:space="preserve">– </w:t>
      </w:r>
      <w:r w:rsidRPr="00C0789F">
        <w:rPr>
          <w:rFonts w:asciiTheme="minorHAnsi" w:eastAsiaTheme="minorHAnsi" w:hAnsiTheme="minorHAnsi" w:cstheme="minorBidi"/>
          <w:sz w:val="20"/>
        </w:rPr>
        <w:t>Pathology Services</w:t>
      </w:r>
    </w:p>
    <w:p w14:paraId="02897F59" w14:textId="77777777" w:rsidR="00904D6C" w:rsidRPr="00E518BA" w:rsidRDefault="00904D6C" w:rsidP="00904D6C">
      <w:pPr>
        <w:keepNext/>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0"/>
          <w:szCs w:val="20"/>
        </w:rPr>
      </w:pPr>
      <w:r w:rsidRPr="00E518BA">
        <w:rPr>
          <w:rFonts w:asciiTheme="minorHAnsi" w:eastAsiaTheme="minorHAnsi" w:hAnsiTheme="minorHAnsi" w:cstheme="minorBidi"/>
          <w:sz w:val="20"/>
          <w:szCs w:val="20"/>
        </w:rPr>
        <w:t>MBS item number</w:t>
      </w:r>
    </w:p>
    <w:p w14:paraId="6FE7363F" w14:textId="77777777" w:rsidR="00904D6C" w:rsidRPr="00522BC9" w:rsidRDefault="00904D6C" w:rsidP="00904D6C">
      <w:pPr>
        <w:keepNext/>
        <w:pBdr>
          <w:top w:val="single" w:sz="4" w:space="1" w:color="auto"/>
          <w:left w:val="single" w:sz="4" w:space="4" w:color="auto"/>
          <w:bottom w:val="single" w:sz="4" w:space="1" w:color="auto"/>
          <w:right w:val="single" w:sz="4" w:space="4" w:color="auto"/>
        </w:pBdr>
        <w:rPr>
          <w:rFonts w:asciiTheme="minorHAnsi" w:eastAsiaTheme="minorHAnsi" w:hAnsiTheme="minorHAnsi" w:cstheme="minorBidi"/>
          <w:sz w:val="20"/>
        </w:rPr>
      </w:pPr>
      <w:r w:rsidRPr="00522BC9">
        <w:rPr>
          <w:rFonts w:asciiTheme="minorHAnsi" w:eastAsiaTheme="minorHAnsi" w:hAnsiTheme="minorHAnsi" w:cstheme="minorBidi"/>
          <w:sz w:val="20"/>
          <w:szCs w:val="20"/>
        </w:rPr>
        <w:t xml:space="preserve">Proposed item descriptor: </w:t>
      </w:r>
    </w:p>
    <w:p w14:paraId="14190295" w14:textId="77777777" w:rsidR="00904D6C" w:rsidRPr="00522BC9" w:rsidRDefault="00904D6C" w:rsidP="00904D6C">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sz w:val="20"/>
          <w:szCs w:val="20"/>
        </w:rPr>
      </w:pPr>
      <w:proofErr w:type="spellStart"/>
      <w:r w:rsidRPr="00522BC9">
        <w:rPr>
          <w:rFonts w:asciiTheme="minorHAnsi" w:eastAsiaTheme="minorHAnsi" w:hAnsiTheme="minorHAnsi" w:cstheme="minorBidi"/>
          <w:sz w:val="20"/>
          <w:szCs w:val="20"/>
        </w:rPr>
        <w:t>Immunohistochemical</w:t>
      </w:r>
      <w:proofErr w:type="spellEnd"/>
      <w:r w:rsidRPr="00522BC9">
        <w:rPr>
          <w:rFonts w:asciiTheme="minorHAnsi" w:eastAsiaTheme="minorHAnsi" w:hAnsiTheme="minorHAnsi" w:cstheme="minorBidi"/>
          <w:sz w:val="20"/>
          <w:szCs w:val="20"/>
        </w:rPr>
        <w:t xml:space="preserve"> examination of biopsy material (tumour cells and immune cells) from a patient diagnosed with unresectable Stage IV urothelial cancer using a programmed cell death ligand 1 (PD-L1) antibody to determine if the requirements relating to PD-L1 status for access to </w:t>
      </w:r>
      <w:proofErr w:type="spellStart"/>
      <w:r w:rsidRPr="00522BC9">
        <w:rPr>
          <w:rFonts w:asciiTheme="minorHAnsi" w:eastAsiaTheme="minorHAnsi" w:hAnsiTheme="minorHAnsi" w:cstheme="minorBidi"/>
          <w:sz w:val="20"/>
          <w:szCs w:val="20"/>
        </w:rPr>
        <w:t>durvalumab</w:t>
      </w:r>
      <w:proofErr w:type="spellEnd"/>
      <w:r w:rsidRPr="00522BC9">
        <w:rPr>
          <w:rFonts w:asciiTheme="minorHAnsi" w:eastAsiaTheme="minorHAnsi" w:hAnsiTheme="minorHAnsi" w:cstheme="minorBidi"/>
          <w:sz w:val="20"/>
          <w:szCs w:val="20"/>
        </w:rPr>
        <w:t xml:space="preserve"> or </w:t>
      </w:r>
      <w:proofErr w:type="spellStart"/>
      <w:r w:rsidRPr="00522BC9">
        <w:rPr>
          <w:rFonts w:asciiTheme="minorHAnsi" w:eastAsiaTheme="minorHAnsi" w:hAnsiTheme="minorHAnsi" w:cstheme="minorBidi"/>
          <w:sz w:val="20"/>
          <w:szCs w:val="20"/>
        </w:rPr>
        <w:t>durvalumab</w:t>
      </w:r>
      <w:proofErr w:type="spellEnd"/>
      <w:r w:rsidRPr="00522BC9">
        <w:rPr>
          <w:rFonts w:asciiTheme="minorHAnsi" w:eastAsiaTheme="minorHAnsi" w:hAnsiTheme="minorHAnsi" w:cstheme="minorBidi"/>
          <w:sz w:val="20"/>
          <w:szCs w:val="20"/>
        </w:rPr>
        <w:t>/</w:t>
      </w:r>
      <w:proofErr w:type="spellStart"/>
      <w:r w:rsidRPr="00522BC9">
        <w:rPr>
          <w:rFonts w:asciiTheme="minorHAnsi" w:eastAsiaTheme="minorHAnsi" w:hAnsiTheme="minorHAnsi" w:cstheme="minorBidi"/>
          <w:sz w:val="20"/>
          <w:szCs w:val="20"/>
        </w:rPr>
        <w:t>tremelimumab</w:t>
      </w:r>
      <w:proofErr w:type="spellEnd"/>
      <w:r w:rsidRPr="00522BC9">
        <w:rPr>
          <w:rFonts w:asciiTheme="minorHAnsi" w:eastAsiaTheme="minorHAnsi" w:hAnsiTheme="minorHAnsi" w:cstheme="minorBidi"/>
          <w:sz w:val="20"/>
          <w:szCs w:val="20"/>
        </w:rPr>
        <w:t xml:space="preserve"> under the Pharmaceutical Benefits Scheme (PBS) are fulfilled.</w:t>
      </w:r>
    </w:p>
    <w:p w14:paraId="1E84C3B4" w14:textId="3A276BB3" w:rsidR="00904D6C" w:rsidRPr="00522BC9" w:rsidRDefault="00904D6C" w:rsidP="00904D6C">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sz w:val="20"/>
          <w:szCs w:val="20"/>
        </w:rPr>
      </w:pPr>
      <w:r w:rsidRPr="00522BC9">
        <w:rPr>
          <w:rFonts w:asciiTheme="minorHAnsi" w:eastAsiaTheme="minorHAnsi" w:hAnsiTheme="minorHAnsi" w:cstheme="minorBidi"/>
          <w:sz w:val="20"/>
          <w:szCs w:val="20"/>
        </w:rPr>
        <w:t xml:space="preserve">Fee:  To be determined </w:t>
      </w:r>
      <w:r w:rsidRPr="00522BC9">
        <w:rPr>
          <w:rFonts w:asciiTheme="minorHAnsi" w:eastAsiaTheme="minorHAnsi" w:hAnsiTheme="minorHAnsi" w:cstheme="minorBidi"/>
          <w:sz w:val="20"/>
        </w:rPr>
        <w:t xml:space="preserve"> </w:t>
      </w:r>
      <w:r w:rsidR="00870A83">
        <w:rPr>
          <w:rFonts w:asciiTheme="minorHAnsi" w:eastAsiaTheme="minorHAnsi" w:hAnsiTheme="minorHAnsi" w:cstheme="minorBidi"/>
          <w:sz w:val="20"/>
        </w:rPr>
        <w:t xml:space="preserve"> </w:t>
      </w:r>
      <w:r w:rsidRPr="00522BC9">
        <w:rPr>
          <w:rFonts w:asciiTheme="minorHAnsi" w:eastAsiaTheme="minorHAnsi" w:hAnsiTheme="minorHAnsi" w:cstheme="minorBidi"/>
          <w:sz w:val="20"/>
        </w:rPr>
        <w:t>Benefit: To be determined</w:t>
      </w:r>
    </w:p>
    <w:p w14:paraId="68F21216" w14:textId="7927C949" w:rsidR="004151B1" w:rsidRDefault="005C13E0" w:rsidP="004151B1">
      <w:pPr>
        <w:rPr>
          <w:i/>
        </w:rPr>
      </w:pPr>
      <w:r w:rsidRPr="00904D6C">
        <w:rPr>
          <w:i/>
        </w:rPr>
        <w:t>A review of similar</w:t>
      </w:r>
      <w:r w:rsidR="00904D6C">
        <w:rPr>
          <w:i/>
        </w:rPr>
        <w:t xml:space="preserve"> test</w:t>
      </w:r>
      <w:r w:rsidRPr="00904D6C">
        <w:rPr>
          <w:i/>
        </w:rPr>
        <w:t xml:space="preserve"> items</w:t>
      </w:r>
      <w:r w:rsidR="00904D6C">
        <w:rPr>
          <w:i/>
        </w:rPr>
        <w:t xml:space="preserve"> was undertaken to inform comments on the item descriptor</w:t>
      </w:r>
      <w:r w:rsidR="00BE59D2" w:rsidRPr="00904D6C">
        <w:rPr>
          <w:i/>
        </w:rPr>
        <w:t>.</w:t>
      </w:r>
      <w:r w:rsidR="00C73195" w:rsidRPr="005C13E0">
        <w:rPr>
          <w:i/>
        </w:rPr>
        <w:t xml:space="preserve"> </w:t>
      </w:r>
    </w:p>
    <w:p w14:paraId="0FA7F001" w14:textId="5E81AD2E" w:rsidR="00693936" w:rsidRPr="00161CEC" w:rsidRDefault="00C61FAA" w:rsidP="00892A9D">
      <w:pPr>
        <w:keepNext/>
        <w:rPr>
          <w:u w:val="single"/>
        </w:rPr>
      </w:pPr>
      <w:r w:rsidRPr="00161CEC">
        <w:rPr>
          <w:u w:val="single"/>
        </w:rPr>
        <w:t>MBS Category and Group</w:t>
      </w:r>
    </w:p>
    <w:p w14:paraId="38AF06FE" w14:textId="37807107" w:rsidR="00B84486" w:rsidRPr="00161CEC" w:rsidRDefault="00984F91" w:rsidP="00984F91">
      <w:r w:rsidRPr="00161CEC">
        <w:t xml:space="preserve">This would be </w:t>
      </w:r>
      <w:r w:rsidR="00B84486" w:rsidRPr="00161CEC">
        <w:t>an item under</w:t>
      </w:r>
      <w:r w:rsidR="00C61FAA" w:rsidRPr="00161CEC">
        <w:t xml:space="preserve"> Category 6</w:t>
      </w:r>
      <w:r w:rsidRPr="00161CEC">
        <w:t xml:space="preserve"> </w:t>
      </w:r>
      <w:r w:rsidR="00C61FAA" w:rsidRPr="00161CEC">
        <w:t>P</w:t>
      </w:r>
      <w:r w:rsidRPr="00161CEC">
        <w:t xml:space="preserve">athology </w:t>
      </w:r>
      <w:r w:rsidR="00B84486" w:rsidRPr="00161CEC">
        <w:t>S</w:t>
      </w:r>
      <w:r w:rsidRPr="00161CEC">
        <w:t>ervice</w:t>
      </w:r>
      <w:r w:rsidR="00B84486" w:rsidRPr="00161CEC">
        <w:t>s</w:t>
      </w:r>
      <w:r w:rsidR="001A3610" w:rsidRPr="00161CEC">
        <w:t>; w</w:t>
      </w:r>
      <w:r w:rsidR="00B84486" w:rsidRPr="00161CEC">
        <w:t xml:space="preserve">ithin that </w:t>
      </w:r>
      <w:r w:rsidR="007A5331" w:rsidRPr="00161CEC">
        <w:t>category</w:t>
      </w:r>
      <w:r w:rsidR="00B84486" w:rsidRPr="00161CEC">
        <w:t>, this test would fall into Group P7 Genetics</w:t>
      </w:r>
      <w:r w:rsidR="001A3610" w:rsidRPr="00161CEC">
        <w:t>.  This</w:t>
      </w:r>
      <w:r w:rsidR="00C61FAA" w:rsidRPr="00161CEC">
        <w:t xml:space="preserve"> is </w:t>
      </w:r>
      <w:r w:rsidRPr="00161CEC">
        <w:t>the same as all other</w:t>
      </w:r>
      <w:r w:rsidR="00B84486" w:rsidRPr="00161CEC">
        <w:t xml:space="preserve"> items</w:t>
      </w:r>
      <w:r w:rsidRPr="00161CEC">
        <w:t xml:space="preserve"> </w:t>
      </w:r>
      <w:r w:rsidR="00B84486" w:rsidRPr="00161CEC">
        <w:t xml:space="preserve">for </w:t>
      </w:r>
      <w:r w:rsidRPr="00161CEC">
        <w:t>co-dependent genetic tests</w:t>
      </w:r>
      <w:r w:rsidR="00B84486" w:rsidRPr="00161CEC">
        <w:t xml:space="preserve"> </w:t>
      </w:r>
      <w:r w:rsidRPr="00161CEC">
        <w:t xml:space="preserve">required for access to PBS medicines. </w:t>
      </w:r>
    </w:p>
    <w:p w14:paraId="2DAC2210" w14:textId="77777777" w:rsidR="00C61FAA" w:rsidRPr="00161CEC" w:rsidRDefault="00C61FAA" w:rsidP="00892A9D">
      <w:pPr>
        <w:keepNext/>
        <w:rPr>
          <w:u w:val="single"/>
        </w:rPr>
      </w:pPr>
      <w:r w:rsidRPr="00161CEC">
        <w:rPr>
          <w:u w:val="single"/>
        </w:rPr>
        <w:t>Similar Items</w:t>
      </w:r>
    </w:p>
    <w:p w14:paraId="723D5C5A" w14:textId="308D38A0" w:rsidR="00776503" w:rsidRPr="00161CEC" w:rsidRDefault="00776503" w:rsidP="00776503">
      <w:r w:rsidRPr="00161CEC">
        <w:t>There are no</w:t>
      </w:r>
      <w:r w:rsidR="00516710" w:rsidRPr="00161CEC">
        <w:t xml:space="preserve"> IHC</w:t>
      </w:r>
      <w:r w:rsidRPr="00161CEC">
        <w:t xml:space="preserve"> co-dependent tests c</w:t>
      </w:r>
      <w:r w:rsidR="00516710" w:rsidRPr="00161CEC">
        <w:t>urrently listed on the MBS</w:t>
      </w:r>
      <w:r w:rsidRPr="00161CEC">
        <w:t xml:space="preserve">.  </w:t>
      </w:r>
      <w:r w:rsidR="00C73195" w:rsidRPr="00161CEC">
        <w:t xml:space="preserve">The co-dependent tests for in situ hybridisation of tumour biomarkers ALK (73341) and Her-2 (73342) rely on prior IHC testing as a triage test (the IHC method is otherwise associated with a high rate of false positives).  </w:t>
      </w:r>
      <w:r w:rsidR="004151B1" w:rsidRPr="00161CEC">
        <w:t xml:space="preserve">IHC </w:t>
      </w:r>
      <w:r w:rsidR="00776FF0" w:rsidRPr="00161CEC">
        <w:t xml:space="preserve">items </w:t>
      </w:r>
      <w:r w:rsidR="0067039A" w:rsidRPr="00161CEC">
        <w:t>are listed on the MBS for more general</w:t>
      </w:r>
      <w:r w:rsidR="00B542D8" w:rsidRPr="00161CEC">
        <w:t xml:space="preserve"> purposes</w:t>
      </w:r>
      <w:r w:rsidR="0067039A" w:rsidRPr="00161CEC">
        <w:t xml:space="preserve"> </w:t>
      </w:r>
      <w:r w:rsidR="00B542D8" w:rsidRPr="00161CEC">
        <w:t>(not co-dependent)</w:t>
      </w:r>
      <w:r w:rsidR="0067039A" w:rsidRPr="00161CEC">
        <w:t xml:space="preserve">. </w:t>
      </w:r>
    </w:p>
    <w:p w14:paraId="3A747213" w14:textId="77777777" w:rsidR="003B1087" w:rsidRPr="00161CEC" w:rsidRDefault="003B1087" w:rsidP="003B1087">
      <w:r w:rsidRPr="00161CEC">
        <w:t>Looking at other, existing MBS co-dependent pathology items (in P7 Genetics):</w:t>
      </w:r>
    </w:p>
    <w:p w14:paraId="20490B36" w14:textId="77777777" w:rsidR="003B1087" w:rsidRPr="00161CEC" w:rsidRDefault="003B1087" w:rsidP="003B1087">
      <w:pPr>
        <w:pStyle w:val="ListParagraph"/>
        <w:numPr>
          <w:ilvl w:val="0"/>
          <w:numId w:val="19"/>
        </w:numPr>
      </w:pPr>
      <w:r w:rsidRPr="00161CEC">
        <w:t xml:space="preserve">Each item covers testing for one or more PBS medicines in a single therapeutic indication, though the population may not be identical for each medicine. </w:t>
      </w:r>
    </w:p>
    <w:p w14:paraId="2D3FD4F6" w14:textId="77777777" w:rsidR="003B1087" w:rsidRPr="00161CEC" w:rsidRDefault="003B1087" w:rsidP="003B1087">
      <w:pPr>
        <w:pStyle w:val="ListParagraph"/>
        <w:numPr>
          <w:ilvl w:val="0"/>
          <w:numId w:val="19"/>
        </w:numPr>
      </w:pPr>
      <w:r w:rsidRPr="00161CEC">
        <w:t xml:space="preserve">The existing item descriptors specify tumour type and disease stage, the target biomarker, the relevant PBS medicines, whether specialists or GPs will order the test, and test frequency. </w:t>
      </w:r>
    </w:p>
    <w:p w14:paraId="04D999A4" w14:textId="77777777" w:rsidR="003B1087" w:rsidRPr="00161CEC" w:rsidRDefault="003B1087" w:rsidP="003B1087">
      <w:pPr>
        <w:pStyle w:val="ListParagraph"/>
        <w:numPr>
          <w:ilvl w:val="0"/>
          <w:numId w:val="19"/>
        </w:numPr>
      </w:pPr>
      <w:r w:rsidRPr="00161CEC">
        <w:t>The MBS descriptors do not state the line of therapy, test scoring criteria, nor (typically) histology, nor qualifiers such as ‘unresectable’ (with the exception of BRAF for vemurafenib/</w:t>
      </w:r>
      <w:proofErr w:type="spellStart"/>
      <w:r w:rsidRPr="00161CEC">
        <w:t>dabrafenib</w:t>
      </w:r>
      <w:proofErr w:type="spellEnd"/>
      <w:r w:rsidRPr="00161CEC">
        <w:t xml:space="preserve">). Each of these would however be specified in the corresponding PBS restrictions for drug access.  </w:t>
      </w:r>
    </w:p>
    <w:p w14:paraId="209B3C76" w14:textId="2236C69A" w:rsidR="00147297" w:rsidRPr="00161CEC" w:rsidRDefault="00BE0207" w:rsidP="00CF5365">
      <w:r w:rsidRPr="00161CEC">
        <w:t>Of the PD-L1 testing applications considered by the Committees so far, none have been recommended</w:t>
      </w:r>
      <w:r w:rsidR="00984F91" w:rsidRPr="00161CEC">
        <w:t xml:space="preserve"> </w:t>
      </w:r>
      <w:r w:rsidRPr="00161CEC">
        <w:t>as yet</w:t>
      </w:r>
      <w:r w:rsidR="00984F91" w:rsidRPr="00161CEC">
        <w:t xml:space="preserve">. </w:t>
      </w:r>
      <w:r w:rsidR="00693936" w:rsidRPr="00161CEC">
        <w:t xml:space="preserve"> </w:t>
      </w:r>
      <w:r w:rsidR="00740B8B" w:rsidRPr="00522BC9">
        <w:t>The applicant has suggested</w:t>
      </w:r>
      <w:proofErr w:type="gramStart"/>
      <w:r w:rsidR="00740B8B" w:rsidRPr="00522BC9">
        <w:t>,</w:t>
      </w:r>
      <w:proofErr w:type="gramEnd"/>
      <w:r w:rsidRPr="00522BC9">
        <w:t xml:space="preserve"> if </w:t>
      </w:r>
      <w:r w:rsidR="00CF5365" w:rsidRPr="00522BC9">
        <w:t xml:space="preserve">Application 1457 was recommended and an item for PD-L1 testing listed on </w:t>
      </w:r>
      <w:r w:rsidR="00CF5365" w:rsidRPr="00C0789F">
        <w:t xml:space="preserve">the MBS, that item would be a basis for amendment.  </w:t>
      </w:r>
      <w:r w:rsidR="00FB2A48" w:rsidRPr="00161CEC">
        <w:t>T</w:t>
      </w:r>
      <w:r w:rsidRPr="00161CEC">
        <w:t>he populations</w:t>
      </w:r>
      <w:r w:rsidR="00147297" w:rsidRPr="00161CEC">
        <w:t xml:space="preserve"> are </w:t>
      </w:r>
      <w:r w:rsidR="00AC715E" w:rsidRPr="00161CEC">
        <w:t>somewhat</w:t>
      </w:r>
      <w:r w:rsidR="00147297" w:rsidRPr="00161CEC">
        <w:t xml:space="preserve"> different</w:t>
      </w:r>
      <w:r w:rsidR="00FB2A48" w:rsidRPr="00161CEC">
        <w:t xml:space="preserve"> and </w:t>
      </w:r>
      <w:r w:rsidR="00740B8B" w:rsidRPr="00161CEC">
        <w:t xml:space="preserve">an item </w:t>
      </w:r>
      <w:r w:rsidR="00FB2A48" w:rsidRPr="00161CEC">
        <w:t>would need to accommodate b</w:t>
      </w:r>
      <w:r w:rsidR="00740B8B" w:rsidRPr="00161CEC">
        <w:t>oth</w:t>
      </w:r>
      <w:r w:rsidR="00147297" w:rsidRPr="00161CEC">
        <w:t>:</w:t>
      </w:r>
    </w:p>
    <w:p w14:paraId="72E8E01A" w14:textId="6C2DBFB2" w:rsidR="00147297" w:rsidRPr="00161CEC" w:rsidRDefault="00147297" w:rsidP="00FB2A48">
      <w:pPr>
        <w:pStyle w:val="ListParagraph"/>
        <w:numPr>
          <w:ilvl w:val="0"/>
          <w:numId w:val="20"/>
        </w:numPr>
      </w:pPr>
      <w:r w:rsidRPr="00161CEC">
        <w:t>1457: locally advanced or metastatic; silent on (un)resectable disease</w:t>
      </w:r>
      <w:r w:rsidR="00FB2A48" w:rsidRPr="00161CEC">
        <w:t xml:space="preserve"> status</w:t>
      </w:r>
      <w:r w:rsidRPr="00161CEC">
        <w:t>; cisplatin ineligible only, PD-L1 high</w:t>
      </w:r>
      <w:r w:rsidR="00740B8B" w:rsidRPr="00161CEC">
        <w:t>;</w:t>
      </w:r>
    </w:p>
    <w:p w14:paraId="1FF00470" w14:textId="6EB8D67A" w:rsidR="00CF5365" w:rsidRPr="00161CEC" w:rsidRDefault="00BE0207" w:rsidP="00FB2A48">
      <w:pPr>
        <w:pStyle w:val="ListParagraph"/>
        <w:numPr>
          <w:ilvl w:val="0"/>
          <w:numId w:val="20"/>
        </w:numPr>
      </w:pPr>
      <w:r w:rsidRPr="00161CEC">
        <w:t>1506</w:t>
      </w:r>
      <w:r w:rsidR="00147297" w:rsidRPr="00161CEC">
        <w:t>: stage IV (metastatic only); unresectable only; must be eligible for systemic therapy (either cisplatin or carboplatin), PD-L1 all-comers (high PD-L1, low PD-L1 including no expression)</w:t>
      </w:r>
    </w:p>
    <w:p w14:paraId="2BA93597" w14:textId="2AE7EBDE" w:rsidR="00167B9B" w:rsidRDefault="00740B8B" w:rsidP="00984F91">
      <w:r w:rsidRPr="00161CEC">
        <w:lastRenderedPageBreak/>
        <w:t>However, m</w:t>
      </w:r>
      <w:r w:rsidR="00FB2A48" w:rsidRPr="00161CEC">
        <w:t xml:space="preserve">ost of these criteria </w:t>
      </w:r>
      <w:r w:rsidR="00EB715C" w:rsidRPr="00161CEC">
        <w:t>need</w:t>
      </w:r>
      <w:r w:rsidR="00FB2A48" w:rsidRPr="00161CEC">
        <w:t xml:space="preserve"> not appear in the descriptor wording</w:t>
      </w:r>
      <w:r w:rsidR="00EB715C" w:rsidRPr="00161CEC">
        <w:t xml:space="preserve"> (and c</w:t>
      </w:r>
      <w:r w:rsidRPr="00161CEC">
        <w:t xml:space="preserve">ould </w:t>
      </w:r>
      <w:r w:rsidR="00EB715C" w:rsidRPr="00161CEC">
        <w:t xml:space="preserve">instead </w:t>
      </w:r>
      <w:r w:rsidRPr="00161CEC">
        <w:t>be matters for the PBS restrictions)</w:t>
      </w:r>
      <w:r w:rsidR="00555DF2" w:rsidRPr="00161CEC">
        <w:t>.  T</w:t>
      </w:r>
      <w:r w:rsidR="00FB2A48" w:rsidRPr="00161CEC">
        <w:t>he key differences would be disease stage</w:t>
      </w:r>
      <w:r w:rsidRPr="00161CEC">
        <w:t>,</w:t>
      </w:r>
      <w:r w:rsidR="00FB2A48" w:rsidRPr="00161CEC">
        <w:t xml:space="preserve"> test </w:t>
      </w:r>
      <w:r w:rsidRPr="00161CEC">
        <w:t xml:space="preserve">platform and </w:t>
      </w:r>
      <w:r w:rsidR="00FB2A48" w:rsidRPr="00161CEC">
        <w:t xml:space="preserve">scoring.  </w:t>
      </w:r>
      <w:r w:rsidR="0067039A" w:rsidRPr="00161CEC">
        <w:t>At the request of the Department,</w:t>
      </w:r>
      <w:r w:rsidR="00E673BB" w:rsidRPr="00161CEC">
        <w:t xml:space="preserve"> </w:t>
      </w:r>
      <w:r w:rsidR="00BE4741" w:rsidRPr="00161CEC">
        <w:t>wording for corresponding</w:t>
      </w:r>
      <w:r w:rsidR="00A64DD0" w:rsidRPr="00161CEC">
        <w:t xml:space="preserve"> </w:t>
      </w:r>
      <w:r w:rsidR="0067039A" w:rsidRPr="00161CEC">
        <w:t>PBS restrictions</w:t>
      </w:r>
      <w:r w:rsidR="00E673BB" w:rsidRPr="00161CEC">
        <w:t xml:space="preserve"> has been mocked up </w:t>
      </w:r>
      <w:r w:rsidR="0068160D" w:rsidRPr="00161CEC">
        <w:t>(</w:t>
      </w:r>
      <w:r w:rsidR="00BB45D2" w:rsidRPr="00161CEC">
        <w:t>Appendix</w:t>
      </w:r>
      <w:r w:rsidR="00E673BB" w:rsidRPr="00161CEC">
        <w:t xml:space="preserve"> 1</w:t>
      </w:r>
      <w:r w:rsidR="0068160D" w:rsidRPr="00161CEC">
        <w:t>)</w:t>
      </w:r>
      <w:r w:rsidR="00E673BB" w:rsidRPr="00161CEC">
        <w:t xml:space="preserve"> that</w:t>
      </w:r>
      <w:r w:rsidR="0067039A" w:rsidRPr="00161CEC">
        <w:t xml:space="preserve"> </w:t>
      </w:r>
      <w:proofErr w:type="gramStart"/>
      <w:r w:rsidR="0067039A" w:rsidRPr="00161CEC">
        <w:t>refle</w:t>
      </w:r>
      <w:r w:rsidR="0084290E" w:rsidRPr="00161CEC">
        <w:t>ct</w:t>
      </w:r>
      <w:proofErr w:type="gramEnd"/>
      <w:r w:rsidR="0084290E" w:rsidRPr="00161CEC">
        <w:t xml:space="preserve"> the</w:t>
      </w:r>
      <w:r w:rsidR="00FA2335" w:rsidRPr="00161CEC">
        <w:t xml:space="preserve"> </w:t>
      </w:r>
      <w:r w:rsidR="0084290E" w:rsidRPr="00161CEC">
        <w:t>criteria discussed in this</w:t>
      </w:r>
      <w:r w:rsidR="0067039A" w:rsidRPr="00161CEC">
        <w:t xml:space="preserve"> PICO</w:t>
      </w:r>
      <w:r w:rsidR="00B542D8" w:rsidRPr="00161CEC">
        <w:t xml:space="preserve"> Confirmation</w:t>
      </w:r>
      <w:r w:rsidR="00A64DD0" w:rsidRPr="00161CEC">
        <w:t xml:space="preserve">. </w:t>
      </w:r>
    </w:p>
    <w:p w14:paraId="3FE5DAE8" w14:textId="77777777" w:rsidR="00904D6C" w:rsidRPr="00161CEC" w:rsidRDefault="00904D6C" w:rsidP="00904D6C">
      <w:pPr>
        <w:rPr>
          <w:u w:val="single"/>
        </w:rPr>
      </w:pPr>
      <w:r w:rsidRPr="00161CEC">
        <w:rPr>
          <w:u w:val="single"/>
        </w:rPr>
        <w:t>Fee</w:t>
      </w:r>
    </w:p>
    <w:p w14:paraId="700BD36A" w14:textId="2FBB08F9" w:rsidR="00904D6C" w:rsidRDefault="00904D6C" w:rsidP="00904D6C">
      <w:r w:rsidRPr="00161CEC">
        <w:t xml:space="preserve">The actual cost of IHC methods vary depending on the cost of the antibody, tests rendered using a commercial kit or platform may cost more, though this is a choice for the pathologist. </w:t>
      </w:r>
      <w:r w:rsidRPr="00522BC9">
        <w:t xml:space="preserve">The MBS fee for IHC testing of breast cancer tissue for the three standard </w:t>
      </w:r>
      <w:r w:rsidRPr="00C0789F">
        <w:t>tumour biomarkers including Her-2 is $74.50 (</w:t>
      </w:r>
      <w:r w:rsidRPr="00E518BA">
        <w:t>Group P6 Tissue Pathology item 72848)</w:t>
      </w:r>
      <w:r w:rsidRPr="00EC1354">
        <w:t xml:space="preserve">.  </w:t>
      </w:r>
      <w:r w:rsidRPr="00AA2B97">
        <w:rPr>
          <w:i/>
        </w:rPr>
        <w:t xml:space="preserve">PASC considered this a benchmark in terms of complexity given that PD-L1 will require scoring of more than one cell type. </w:t>
      </w:r>
      <w:r>
        <w:t xml:space="preserve"> </w:t>
      </w:r>
      <w:r w:rsidRPr="00EC1354">
        <w:t xml:space="preserve">All other IHC tests of biopsy material are rendered under the MBS general items for IHC (72846, 72847, 72849, </w:t>
      </w:r>
      <w:proofErr w:type="gramStart"/>
      <w:r w:rsidRPr="00EC1354">
        <w:t>72850</w:t>
      </w:r>
      <w:proofErr w:type="gramEnd"/>
      <w:r w:rsidRPr="00EC1354">
        <w:t xml:space="preserve">) (fees of $59.60 - $119.20). </w:t>
      </w:r>
    </w:p>
    <w:p w14:paraId="5DFD0B8D" w14:textId="116085FF" w:rsidR="00904D6C" w:rsidRPr="00DD51FE" w:rsidRDefault="00904D6C" w:rsidP="00904D6C">
      <w:pPr>
        <w:rPr>
          <w:i/>
          <w:u w:val="single"/>
        </w:rPr>
      </w:pPr>
      <w:r w:rsidRPr="00DD51FE">
        <w:rPr>
          <w:i/>
          <w:u w:val="single"/>
        </w:rPr>
        <w:t>Descriptor</w:t>
      </w:r>
    </w:p>
    <w:p w14:paraId="11D6CF9E" w14:textId="1EFACF56" w:rsidR="00904D6C" w:rsidRPr="005C13E0" w:rsidRDefault="00904D6C" w:rsidP="00904D6C">
      <w:pPr>
        <w:rPr>
          <w:i/>
        </w:rPr>
      </w:pPr>
      <w:r>
        <w:rPr>
          <w:i/>
        </w:rPr>
        <w:t>Based on the above, the alternative descriptor below was considered by PASC.</w:t>
      </w:r>
    </w:p>
    <w:tbl>
      <w:tblPr>
        <w:tblStyle w:val="TableGrid"/>
        <w:tblW w:w="0" w:type="auto"/>
        <w:tblLook w:val="04A0" w:firstRow="1" w:lastRow="0" w:firstColumn="1" w:lastColumn="0" w:noHBand="0" w:noVBand="1"/>
        <w:tblCaption w:val="Draft item descriptor proposed by the evaluation group"/>
      </w:tblPr>
      <w:tblGrid>
        <w:gridCol w:w="9242"/>
      </w:tblGrid>
      <w:tr w:rsidR="00904D6C" w:rsidRPr="00522BC9" w14:paraId="69B5EC4D" w14:textId="77777777" w:rsidTr="004F0BE9">
        <w:trPr>
          <w:cantSplit/>
          <w:tblHeader/>
        </w:trPr>
        <w:tc>
          <w:tcPr>
            <w:tcW w:w="9242" w:type="dxa"/>
          </w:tcPr>
          <w:p w14:paraId="78E7A51B" w14:textId="77777777" w:rsidR="00904D6C" w:rsidRPr="00161CEC" w:rsidRDefault="00904D6C" w:rsidP="004F0BE9">
            <w:pPr>
              <w:keepNext/>
              <w:jc w:val="right"/>
              <w:rPr>
                <w:sz w:val="20"/>
              </w:rPr>
            </w:pPr>
            <w:r w:rsidRPr="00161CEC">
              <w:rPr>
                <w:sz w:val="20"/>
              </w:rPr>
              <w:t>Category 6 PATHOLOGY SERVICES – Group P7 Genetics</w:t>
            </w:r>
          </w:p>
        </w:tc>
      </w:tr>
      <w:tr w:rsidR="00904D6C" w:rsidRPr="00161CEC" w14:paraId="305B9986" w14:textId="77777777" w:rsidTr="004F0BE9">
        <w:trPr>
          <w:cantSplit/>
          <w:tblHeader/>
        </w:trPr>
        <w:tc>
          <w:tcPr>
            <w:tcW w:w="9242" w:type="dxa"/>
          </w:tcPr>
          <w:p w14:paraId="03372A9B" w14:textId="77777777" w:rsidR="00904D6C" w:rsidRPr="00161CEC" w:rsidRDefault="00904D6C" w:rsidP="004F0BE9">
            <w:pPr>
              <w:rPr>
                <w:sz w:val="20"/>
                <w:u w:val="dotted" w:color="FF0000"/>
              </w:rPr>
            </w:pPr>
            <w:r w:rsidRPr="00161CEC">
              <w:rPr>
                <w:sz w:val="20"/>
                <w:u w:val="dotted" w:color="FF0000"/>
              </w:rPr>
              <w:t>[Item number]</w:t>
            </w:r>
          </w:p>
          <w:p w14:paraId="766A2D9C" w14:textId="77777777" w:rsidR="00904D6C" w:rsidRPr="00161CEC" w:rsidRDefault="00904D6C" w:rsidP="004F0BE9">
            <w:pPr>
              <w:rPr>
                <w:sz w:val="20"/>
                <w:u w:val="dotted" w:color="FF0000"/>
              </w:rPr>
            </w:pPr>
          </w:p>
          <w:p w14:paraId="6264A771" w14:textId="4BCAFAF2" w:rsidR="00904D6C" w:rsidRPr="00161CEC" w:rsidRDefault="00904D6C" w:rsidP="004F0BE9">
            <w:pPr>
              <w:rPr>
                <w:sz w:val="20"/>
                <w:u w:val="dotted" w:color="FF0000"/>
              </w:rPr>
            </w:pPr>
            <w:r w:rsidRPr="00161CEC">
              <w:rPr>
                <w:sz w:val="20"/>
                <w:u w:val="dotted" w:color="FF0000"/>
              </w:rPr>
              <w:t xml:space="preserve">Immunohistochemistry (IHC) test of tumour tissue from a patient with stage IV urothelial cancer requested by a specialist or consultant physician to determine if requirements relating to PD-L1 expression status for access to </w:t>
            </w:r>
            <w:proofErr w:type="spellStart"/>
            <w:r w:rsidRPr="00161CEC">
              <w:rPr>
                <w:sz w:val="20"/>
                <w:u w:val="dotted" w:color="FF0000"/>
              </w:rPr>
              <w:t>durvalumab</w:t>
            </w:r>
            <w:proofErr w:type="spellEnd"/>
            <w:r w:rsidRPr="00161CEC">
              <w:rPr>
                <w:sz w:val="20"/>
                <w:u w:val="dotted" w:color="FF0000"/>
              </w:rPr>
              <w:t xml:space="preserve"> (including </w:t>
            </w:r>
            <w:proofErr w:type="spellStart"/>
            <w:r w:rsidRPr="00161CEC">
              <w:rPr>
                <w:sz w:val="20"/>
                <w:u w:val="dotted" w:color="FF0000"/>
              </w:rPr>
              <w:t>durvalumab</w:t>
            </w:r>
            <w:proofErr w:type="spellEnd"/>
            <w:r w:rsidRPr="00161CEC">
              <w:rPr>
                <w:sz w:val="20"/>
                <w:u w:val="dotted" w:color="FF0000"/>
              </w:rPr>
              <w:t xml:space="preserve"> in combination with </w:t>
            </w:r>
            <w:proofErr w:type="spellStart"/>
            <w:r w:rsidRPr="00161CEC">
              <w:rPr>
                <w:sz w:val="20"/>
                <w:u w:val="dotted" w:color="FF0000"/>
              </w:rPr>
              <w:t>tremelimumab</w:t>
            </w:r>
            <w:proofErr w:type="spellEnd"/>
            <w:r w:rsidRPr="00161CEC">
              <w:rPr>
                <w:sz w:val="20"/>
                <w:u w:val="dotted" w:color="FF0000"/>
              </w:rPr>
              <w:t>) under the Pharmaceutical Benefits Scheme (PBS) are fulfilled.  Tumour tissue for testing must be obtained at the time of stage IV diagnosis.</w:t>
            </w:r>
          </w:p>
          <w:p w14:paraId="4A788EDD" w14:textId="77777777" w:rsidR="00904D6C" w:rsidRPr="00161CEC" w:rsidRDefault="00904D6C" w:rsidP="004F0BE9">
            <w:pPr>
              <w:rPr>
                <w:sz w:val="20"/>
                <w:u w:val="dotted" w:color="FF0000"/>
              </w:rPr>
            </w:pPr>
          </w:p>
          <w:p w14:paraId="0E0D94F2" w14:textId="37A3EB4A" w:rsidR="00904D6C" w:rsidRPr="00161CEC" w:rsidRDefault="00904D6C" w:rsidP="004F0BE9">
            <w:pPr>
              <w:rPr>
                <w:sz w:val="20"/>
                <w:u w:val="dotted" w:color="FF0000"/>
              </w:rPr>
            </w:pPr>
            <w:r w:rsidRPr="00161CEC">
              <w:rPr>
                <w:sz w:val="20"/>
                <w:u w:val="dotted" w:color="FF0000"/>
              </w:rPr>
              <w:t>Maximum of one test per patient lifetime.</w:t>
            </w:r>
          </w:p>
          <w:p w14:paraId="3A17C787" w14:textId="77777777" w:rsidR="00904D6C" w:rsidRPr="00161CEC" w:rsidRDefault="00904D6C" w:rsidP="004F0BE9">
            <w:pPr>
              <w:rPr>
                <w:sz w:val="20"/>
                <w:u w:val="dotted" w:color="FF0000"/>
              </w:rPr>
            </w:pPr>
          </w:p>
          <w:p w14:paraId="3D4E680D" w14:textId="77777777" w:rsidR="00904D6C" w:rsidRPr="00161CEC" w:rsidRDefault="00904D6C" w:rsidP="004F0BE9">
            <w:pPr>
              <w:rPr>
                <w:sz w:val="20"/>
                <w:u w:val="dotted" w:color="FF0000"/>
              </w:rPr>
            </w:pPr>
            <w:r w:rsidRPr="00161CEC">
              <w:rPr>
                <w:sz w:val="20"/>
                <w:u w:val="dotted" w:color="FF0000"/>
              </w:rPr>
              <w:t>Fee:  $TBD</w:t>
            </w:r>
          </w:p>
          <w:p w14:paraId="03FA84AE" w14:textId="77777777" w:rsidR="00904D6C" w:rsidRPr="00161CEC" w:rsidRDefault="00904D6C" w:rsidP="004F0BE9">
            <w:pPr>
              <w:rPr>
                <w:sz w:val="20"/>
                <w:u w:val="dotted" w:color="FF0000"/>
              </w:rPr>
            </w:pPr>
          </w:p>
          <w:p w14:paraId="3CC0C567" w14:textId="77777777" w:rsidR="00904D6C" w:rsidRPr="00161CEC" w:rsidRDefault="00904D6C" w:rsidP="004F0BE9">
            <w:pPr>
              <w:rPr>
                <w:sz w:val="20"/>
                <w:u w:val="dotted" w:color="FF0000"/>
              </w:rPr>
            </w:pPr>
            <w:r w:rsidRPr="00161CEC">
              <w:rPr>
                <w:sz w:val="20"/>
                <w:u w:val="dotted" w:color="FF0000"/>
              </w:rPr>
              <w:t>Note:</w:t>
            </w:r>
          </w:p>
          <w:p w14:paraId="4A61D11E" w14:textId="77777777" w:rsidR="00904D6C" w:rsidRPr="00161CEC" w:rsidRDefault="00904D6C" w:rsidP="004F0BE9">
            <w:pPr>
              <w:rPr>
                <w:sz w:val="20"/>
                <w:u w:val="dotted" w:color="FF0000"/>
              </w:rPr>
            </w:pPr>
            <w:r w:rsidRPr="00161CEC">
              <w:rPr>
                <w:sz w:val="20"/>
                <w:u w:val="dotted" w:color="FF0000"/>
              </w:rPr>
              <w:t>Tumour tissue is defined as high PD-L1 expression if any of the following apply:</w:t>
            </w:r>
          </w:p>
          <w:p w14:paraId="25A0376E" w14:textId="77777777" w:rsidR="00904D6C" w:rsidRPr="00161CEC" w:rsidRDefault="00904D6C" w:rsidP="004F0BE9">
            <w:pPr>
              <w:pStyle w:val="ListParagraph"/>
              <w:numPr>
                <w:ilvl w:val="0"/>
                <w:numId w:val="17"/>
              </w:numPr>
              <w:spacing w:before="120" w:after="120"/>
              <w:rPr>
                <w:sz w:val="20"/>
              </w:rPr>
            </w:pPr>
            <w:r w:rsidRPr="00161CEC">
              <w:rPr>
                <w:sz w:val="20"/>
              </w:rPr>
              <w:t>25% (or greater) PD-L1 positive tumour cells, OR;</w:t>
            </w:r>
          </w:p>
          <w:p w14:paraId="0E7B2E09" w14:textId="77777777" w:rsidR="00904D6C" w:rsidRPr="00161CEC" w:rsidRDefault="00904D6C" w:rsidP="004F0BE9">
            <w:pPr>
              <w:pStyle w:val="ListParagraph"/>
              <w:numPr>
                <w:ilvl w:val="0"/>
                <w:numId w:val="17"/>
              </w:numPr>
              <w:spacing w:before="120" w:after="120"/>
              <w:rPr>
                <w:sz w:val="20"/>
              </w:rPr>
            </w:pPr>
            <w:r w:rsidRPr="00161CEC">
              <w:rPr>
                <w:sz w:val="20"/>
              </w:rPr>
              <w:t xml:space="preserve">In specimens where the immune cells present is greater than 1%: </w:t>
            </w:r>
            <w:r w:rsidRPr="00161CEC">
              <w:rPr>
                <w:sz w:val="20"/>
              </w:rPr>
              <w:br/>
              <w:t>25% (or greater) PD-L1 positive immune cells</w:t>
            </w:r>
            <w:r w:rsidRPr="00161CEC">
              <w:rPr>
                <w:rFonts w:cs="Calibri"/>
                <w:sz w:val="20"/>
              </w:rPr>
              <w:t>,</w:t>
            </w:r>
            <w:r w:rsidRPr="00161CEC">
              <w:rPr>
                <w:sz w:val="20"/>
              </w:rPr>
              <w:t xml:space="preserve"> OR;</w:t>
            </w:r>
          </w:p>
          <w:p w14:paraId="26A1D627" w14:textId="77777777" w:rsidR="00904D6C" w:rsidRPr="00161CEC" w:rsidRDefault="00904D6C" w:rsidP="004F0BE9">
            <w:pPr>
              <w:pStyle w:val="ListParagraph"/>
              <w:numPr>
                <w:ilvl w:val="0"/>
                <w:numId w:val="17"/>
              </w:numPr>
              <w:spacing w:before="120" w:after="120"/>
              <w:rPr>
                <w:sz w:val="20"/>
              </w:rPr>
            </w:pPr>
            <w:r w:rsidRPr="00161CEC">
              <w:rPr>
                <w:sz w:val="20"/>
              </w:rPr>
              <w:t>In specimens where the immune cells present is only 1%</w:t>
            </w:r>
            <w:proofErr w:type="gramStart"/>
            <w:r w:rsidRPr="00161CEC">
              <w:rPr>
                <w:sz w:val="20"/>
              </w:rPr>
              <w:t>:</w:t>
            </w:r>
            <w:proofErr w:type="gramEnd"/>
            <w:r w:rsidRPr="00161CEC">
              <w:rPr>
                <w:sz w:val="20"/>
              </w:rPr>
              <w:br/>
              <w:t xml:space="preserve">all immune cells present </w:t>
            </w:r>
            <w:r w:rsidRPr="00161CEC">
              <w:rPr>
                <w:rFonts w:cs="Calibri"/>
                <w:sz w:val="20"/>
              </w:rPr>
              <w:t>are PD-L1 positive</w:t>
            </w:r>
            <w:r w:rsidRPr="00161CEC">
              <w:rPr>
                <w:sz w:val="20"/>
              </w:rPr>
              <w:t>.</w:t>
            </w:r>
          </w:p>
          <w:p w14:paraId="29A16991" w14:textId="77777777" w:rsidR="00904D6C" w:rsidRPr="00161CEC" w:rsidRDefault="00904D6C" w:rsidP="004F0BE9">
            <w:pPr>
              <w:rPr>
                <w:sz w:val="20"/>
                <w:u w:val="dotted" w:color="FF0000"/>
              </w:rPr>
            </w:pPr>
            <w:r w:rsidRPr="00161CEC">
              <w:rPr>
                <w:sz w:val="20"/>
                <w:u w:val="dotted" w:color="FF0000"/>
              </w:rPr>
              <w:t>Tumour specimens meeting none of the above three criteria are defined as low PD-L1 expression, including those with no PD-L1 expression.</w:t>
            </w:r>
          </w:p>
        </w:tc>
      </w:tr>
    </w:tbl>
    <w:p w14:paraId="451D65D9" w14:textId="77777777" w:rsidR="00904D6C" w:rsidRPr="00161CEC" w:rsidRDefault="00904D6C" w:rsidP="00904D6C"/>
    <w:p w14:paraId="263B76F3" w14:textId="77777777" w:rsidR="00904D6C" w:rsidRDefault="00904D6C" w:rsidP="00904D6C">
      <w:pPr>
        <w:rPr>
          <w:i/>
        </w:rPr>
      </w:pPr>
      <w:r w:rsidRPr="005C13E0">
        <w:rPr>
          <w:i/>
        </w:rPr>
        <w:t xml:space="preserve">PASC considered that scoring criteria in the alternative proposal should be </w:t>
      </w:r>
      <w:r w:rsidRPr="00161CEC">
        <w:t xml:space="preserve">included in a note as they are particularly complex for this test proposal.  </w:t>
      </w:r>
      <w:r w:rsidRPr="00161CEC">
        <w:rPr>
          <w:i/>
        </w:rPr>
        <w:t xml:space="preserve">The PASC noted that in the event a sample is inadequate, a patient would not be billed so the limit of one test per lifetime is appropriate.  </w:t>
      </w:r>
      <w:r>
        <w:rPr>
          <w:i/>
        </w:rPr>
        <w:t xml:space="preserve">Final wording would depend on the results of the DANUBE trial which may affect patient eligibility. </w:t>
      </w:r>
    </w:p>
    <w:p w14:paraId="19C49958" w14:textId="77777777" w:rsidR="00904D6C" w:rsidRPr="00BE59D2" w:rsidRDefault="00904D6C" w:rsidP="00904D6C">
      <w:pPr>
        <w:rPr>
          <w:i/>
        </w:rPr>
      </w:pPr>
      <w:r w:rsidRPr="00BE59D2">
        <w:rPr>
          <w:i/>
        </w:rPr>
        <w:t xml:space="preserve">PASC considered that scoring (and test platform) for different types of PD-L1 tests would make it essential </w:t>
      </w:r>
      <w:r>
        <w:rPr>
          <w:i/>
        </w:rPr>
        <w:t>for</w:t>
      </w:r>
      <w:r w:rsidRPr="00BE59D2">
        <w:rPr>
          <w:i/>
        </w:rPr>
        <w:t xml:space="preserve"> the specialist ordering the test </w:t>
      </w:r>
      <w:r>
        <w:rPr>
          <w:i/>
        </w:rPr>
        <w:t xml:space="preserve">to </w:t>
      </w:r>
      <w:r w:rsidRPr="00BE59D2">
        <w:rPr>
          <w:i/>
        </w:rPr>
        <w:t xml:space="preserve">specify the drug(s) being considered </w:t>
      </w:r>
      <w:r>
        <w:rPr>
          <w:i/>
        </w:rPr>
        <w:t>for the pathologist</w:t>
      </w:r>
      <w:r w:rsidRPr="00BE59D2">
        <w:rPr>
          <w:i/>
        </w:rPr>
        <w:t xml:space="preserve"> to be able to render the correct test.  This could potentially be included in a note. Pathologists would need training on the different tests, including scoring.  </w:t>
      </w:r>
    </w:p>
    <w:p w14:paraId="15EA5E1A" w14:textId="6D3C376E" w:rsidR="00904D6C" w:rsidRPr="00904D6C" w:rsidRDefault="00904D6C" w:rsidP="00904D6C">
      <w:pPr>
        <w:rPr>
          <w:i/>
        </w:rPr>
      </w:pPr>
      <w:r w:rsidRPr="00904D6C">
        <w:rPr>
          <w:i/>
        </w:rPr>
        <w:lastRenderedPageBreak/>
        <w:t>PASC supported the descriptor text below</w:t>
      </w:r>
      <w:r w:rsidR="00534A06">
        <w:rPr>
          <w:i/>
        </w:rPr>
        <w:t>,</w:t>
      </w:r>
      <w:r w:rsidRPr="00904D6C">
        <w:rPr>
          <w:i/>
        </w:rPr>
        <w:t xml:space="preserve"> based on </w:t>
      </w:r>
      <w:r w:rsidR="00870A83">
        <w:rPr>
          <w:i/>
        </w:rPr>
        <w:t xml:space="preserve">consistency with </w:t>
      </w:r>
      <w:r w:rsidRPr="00904D6C">
        <w:rPr>
          <w:i/>
        </w:rPr>
        <w:t xml:space="preserve">other PD-L1 items more advanced in the MSAC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04D6C" w:rsidRPr="00904D6C" w14:paraId="4713A4E7" w14:textId="77777777" w:rsidTr="004F0BE9">
        <w:trPr>
          <w:cantSplit/>
          <w:tblHeader/>
        </w:trPr>
        <w:tc>
          <w:tcPr>
            <w:tcW w:w="9016" w:type="dxa"/>
            <w:shd w:val="clear" w:color="auto" w:fill="auto"/>
          </w:tcPr>
          <w:p w14:paraId="0869349A" w14:textId="77777777" w:rsidR="00904D6C" w:rsidRPr="00904D6C" w:rsidRDefault="00904D6C" w:rsidP="004F0BE9">
            <w:pPr>
              <w:spacing w:before="120" w:after="120"/>
              <w:rPr>
                <w:rFonts w:ascii="Arial" w:hAnsi="Arial" w:cs="Arial"/>
                <w:i/>
                <w:sz w:val="20"/>
              </w:rPr>
            </w:pPr>
            <w:r w:rsidRPr="00904D6C">
              <w:rPr>
                <w:rFonts w:ascii="Arial" w:hAnsi="Arial" w:cs="Arial"/>
                <w:i/>
                <w:sz w:val="20"/>
              </w:rPr>
              <w:t xml:space="preserve">Category 6 – Pathology Service </w:t>
            </w:r>
          </w:p>
        </w:tc>
      </w:tr>
      <w:tr w:rsidR="00904D6C" w:rsidRPr="005C13E0" w14:paraId="143284C5" w14:textId="77777777" w:rsidTr="004F0BE9">
        <w:trPr>
          <w:cantSplit/>
          <w:tblHeader/>
        </w:trPr>
        <w:tc>
          <w:tcPr>
            <w:tcW w:w="9016" w:type="dxa"/>
            <w:shd w:val="clear" w:color="auto" w:fill="auto"/>
          </w:tcPr>
          <w:p w14:paraId="57AA0B28" w14:textId="77777777" w:rsidR="00904D6C" w:rsidRPr="00904D6C" w:rsidRDefault="00904D6C" w:rsidP="004F0BE9">
            <w:pPr>
              <w:spacing w:before="120" w:after="120"/>
              <w:rPr>
                <w:rFonts w:ascii="Arial" w:hAnsi="Arial" w:cs="Arial"/>
                <w:i/>
                <w:sz w:val="20"/>
              </w:rPr>
            </w:pPr>
            <w:proofErr w:type="spellStart"/>
            <w:r w:rsidRPr="00904D6C">
              <w:rPr>
                <w:rFonts w:ascii="Arial" w:hAnsi="Arial" w:cs="Arial"/>
                <w:i/>
                <w:sz w:val="20"/>
              </w:rPr>
              <w:t>Immunohistochemical</w:t>
            </w:r>
            <w:proofErr w:type="spellEnd"/>
            <w:r w:rsidRPr="00904D6C">
              <w:rPr>
                <w:rFonts w:ascii="Arial" w:hAnsi="Arial" w:cs="Arial"/>
                <w:i/>
                <w:sz w:val="20"/>
              </w:rPr>
              <w:t xml:space="preserve"> examination by </w:t>
            </w:r>
            <w:proofErr w:type="spellStart"/>
            <w:r w:rsidRPr="00904D6C">
              <w:rPr>
                <w:rFonts w:ascii="Arial" w:hAnsi="Arial" w:cs="Arial"/>
                <w:i/>
                <w:sz w:val="20"/>
              </w:rPr>
              <w:t>immunoperoxidase</w:t>
            </w:r>
            <w:proofErr w:type="spellEnd"/>
            <w:r w:rsidRPr="00904D6C">
              <w:rPr>
                <w:rFonts w:ascii="Arial" w:hAnsi="Arial" w:cs="Arial"/>
                <w:i/>
                <w:sz w:val="20"/>
              </w:rPr>
              <w:t xml:space="preserve"> or other labelled antibody techniques using the programmed cell death ligand 1 (PD-L1) antibody of biopsy material (tumour cells and immune cells) from a patient diagnosed with unresectable Stage IV urothelial cancer to determine if requirements relating to PD-L1 expression status for access to </w:t>
            </w:r>
            <w:proofErr w:type="spellStart"/>
            <w:r w:rsidRPr="00904D6C">
              <w:rPr>
                <w:rFonts w:ascii="Arial" w:hAnsi="Arial" w:cs="Arial"/>
                <w:i/>
                <w:sz w:val="20"/>
              </w:rPr>
              <w:t>durvalumab</w:t>
            </w:r>
            <w:proofErr w:type="spellEnd"/>
            <w:r w:rsidRPr="00904D6C">
              <w:rPr>
                <w:rFonts w:ascii="Arial" w:hAnsi="Arial" w:cs="Arial"/>
                <w:i/>
                <w:sz w:val="20"/>
              </w:rPr>
              <w:t xml:space="preserve"> or </w:t>
            </w:r>
            <w:proofErr w:type="spellStart"/>
            <w:r w:rsidRPr="00904D6C">
              <w:rPr>
                <w:rFonts w:ascii="Arial" w:hAnsi="Arial" w:cs="Arial"/>
                <w:i/>
                <w:sz w:val="20"/>
              </w:rPr>
              <w:t>durvalumab</w:t>
            </w:r>
            <w:proofErr w:type="spellEnd"/>
            <w:r w:rsidRPr="00904D6C">
              <w:rPr>
                <w:rFonts w:ascii="Arial" w:hAnsi="Arial" w:cs="Arial"/>
                <w:i/>
                <w:sz w:val="20"/>
              </w:rPr>
              <w:t>/</w:t>
            </w:r>
            <w:proofErr w:type="spellStart"/>
            <w:r w:rsidRPr="00904D6C">
              <w:rPr>
                <w:rFonts w:ascii="Arial" w:hAnsi="Arial" w:cs="Arial"/>
                <w:i/>
                <w:sz w:val="20"/>
              </w:rPr>
              <w:t>tremelimumab</w:t>
            </w:r>
            <w:proofErr w:type="spellEnd"/>
            <w:r w:rsidRPr="00904D6C">
              <w:rPr>
                <w:rFonts w:ascii="Arial" w:hAnsi="Arial" w:cs="Arial"/>
                <w:i/>
                <w:sz w:val="20"/>
              </w:rPr>
              <w:t xml:space="preserve"> under the Pharmaceutic Benefits Scheme (PBS) are fulfilled. </w:t>
            </w:r>
          </w:p>
          <w:p w14:paraId="317AE42F" w14:textId="77777777" w:rsidR="00904D6C" w:rsidRPr="00904D6C" w:rsidRDefault="00904D6C" w:rsidP="004F0BE9">
            <w:pPr>
              <w:spacing w:before="120" w:after="120"/>
              <w:rPr>
                <w:rFonts w:ascii="Arial" w:hAnsi="Arial" w:cs="Arial"/>
                <w:i/>
                <w:sz w:val="20"/>
              </w:rPr>
            </w:pPr>
            <w:r w:rsidRPr="00904D6C">
              <w:rPr>
                <w:rFonts w:ascii="Arial" w:hAnsi="Arial" w:cs="Arial"/>
                <w:i/>
                <w:sz w:val="20"/>
              </w:rPr>
              <w:t>Maximum of one test per patient lifetime.</w:t>
            </w:r>
          </w:p>
          <w:p w14:paraId="5290B311" w14:textId="77777777" w:rsidR="00904D6C" w:rsidRPr="005C13E0" w:rsidRDefault="00904D6C" w:rsidP="004F0BE9">
            <w:pPr>
              <w:spacing w:before="120" w:after="120"/>
              <w:rPr>
                <w:rFonts w:ascii="Arial" w:hAnsi="Arial" w:cs="Arial"/>
                <w:i/>
                <w:sz w:val="20"/>
              </w:rPr>
            </w:pPr>
            <w:r w:rsidRPr="00904D6C">
              <w:rPr>
                <w:rFonts w:ascii="Arial" w:hAnsi="Arial" w:cs="Arial"/>
                <w:i/>
                <w:sz w:val="20"/>
              </w:rPr>
              <w:t>MBS fee: $74.50</w:t>
            </w:r>
          </w:p>
        </w:tc>
      </w:tr>
    </w:tbl>
    <w:p w14:paraId="7F3920E5" w14:textId="444089F3" w:rsidR="00A64DD0" w:rsidRPr="00161CEC" w:rsidRDefault="00A64DD0">
      <w:r w:rsidRPr="00522BC9">
        <w:br w:type="page"/>
      </w:r>
    </w:p>
    <w:p w14:paraId="54CE5EA6" w14:textId="0E43001F" w:rsidR="00BB45D2" w:rsidRPr="00161CEC" w:rsidRDefault="00BB45D2" w:rsidP="00BB45D2">
      <w:pPr>
        <w:jc w:val="right"/>
        <w:rPr>
          <w:b/>
        </w:rPr>
      </w:pPr>
      <w:r w:rsidRPr="00161CEC">
        <w:rPr>
          <w:b/>
        </w:rPr>
        <w:lastRenderedPageBreak/>
        <w:t>APPENDIX 1</w:t>
      </w:r>
    </w:p>
    <w:p w14:paraId="2A750FA4" w14:textId="58989097" w:rsidR="0038100C" w:rsidRPr="00161CEC" w:rsidRDefault="0038100C" w:rsidP="00A64DD0">
      <w:pPr>
        <w:rPr>
          <w:b/>
        </w:rPr>
      </w:pPr>
      <w:r w:rsidRPr="00161CEC">
        <w:rPr>
          <w:b/>
        </w:rPr>
        <w:t>Chemotherapy Items for [</w:t>
      </w:r>
      <w:r w:rsidR="00147297" w:rsidRPr="00161CEC">
        <w:rPr>
          <w:b/>
        </w:rPr>
        <w:t>Public</w:t>
      </w:r>
      <w:proofErr w:type="gramStart"/>
      <w:r w:rsidR="00147297" w:rsidRPr="00161CEC">
        <w:rPr>
          <w:b/>
        </w:rPr>
        <w:t>][</w:t>
      </w:r>
      <w:proofErr w:type="gramEnd"/>
      <w:r w:rsidRPr="00161CEC">
        <w:rPr>
          <w:b/>
        </w:rPr>
        <w:t>Private] Hospital Use</w:t>
      </w:r>
    </w:p>
    <w:p w14:paraId="575D3478" w14:textId="77777777" w:rsidR="00A64DD0" w:rsidRPr="00161CEC" w:rsidRDefault="00A64DD0" w:rsidP="00A64DD0">
      <w:pPr>
        <w:rPr>
          <w:b/>
        </w:rPr>
      </w:pPr>
      <w:r w:rsidRPr="00161CEC">
        <w:rPr>
          <w:b/>
        </w:rPr>
        <w:t>DURVALUMAB</w:t>
      </w:r>
    </w:p>
    <w:p w14:paraId="2DB2C63F" w14:textId="77777777" w:rsidR="00A64DD0" w:rsidRPr="00161CEC" w:rsidRDefault="00A64DD0" w:rsidP="00A64DD0">
      <w:r w:rsidRPr="00161CEC">
        <w:t>Authority Required</w:t>
      </w:r>
    </w:p>
    <w:p w14:paraId="3E6C32E2" w14:textId="62D70786" w:rsidR="00A64DD0" w:rsidRPr="00161CEC" w:rsidRDefault="00A64DD0" w:rsidP="00A64DD0">
      <w:r w:rsidRPr="00161CEC">
        <w:t>Stage IV urothelial cancer</w:t>
      </w:r>
    </w:p>
    <w:p w14:paraId="57E8D354" w14:textId="77777777" w:rsidR="00A64DD0" w:rsidRPr="00161CEC" w:rsidRDefault="00A64DD0" w:rsidP="00A64DD0">
      <w:pPr>
        <w:rPr>
          <w:b/>
        </w:rPr>
      </w:pPr>
      <w:r w:rsidRPr="00161CEC">
        <w:rPr>
          <w:b/>
        </w:rPr>
        <w:t>Treatment Phase: TBD</w:t>
      </w:r>
    </w:p>
    <w:p w14:paraId="1A002572" w14:textId="77777777" w:rsidR="00A64DD0" w:rsidRPr="00161CEC" w:rsidRDefault="00A64DD0" w:rsidP="00A64DD0">
      <w:pPr>
        <w:rPr>
          <w:b/>
        </w:rPr>
      </w:pPr>
      <w:r w:rsidRPr="00161CEC">
        <w:rPr>
          <w:b/>
        </w:rPr>
        <w:t>Clinical criteria:</w:t>
      </w:r>
    </w:p>
    <w:p w14:paraId="12A9376C" w14:textId="77777777" w:rsidR="00A64DD0" w:rsidRPr="00161CEC" w:rsidRDefault="00A64DD0" w:rsidP="00A64DD0">
      <w:r w:rsidRPr="00161CEC">
        <w:t>The treatment must be as monotherapy,</w:t>
      </w:r>
    </w:p>
    <w:p w14:paraId="00BFD5C6" w14:textId="77777777" w:rsidR="00A64DD0" w:rsidRPr="00161CEC" w:rsidRDefault="00A64DD0" w:rsidP="00A64DD0">
      <w:r w:rsidRPr="00161CEC">
        <w:t>AND</w:t>
      </w:r>
    </w:p>
    <w:p w14:paraId="5A78AE7F" w14:textId="08EE0EE1" w:rsidR="00A64DD0" w:rsidRPr="00161CEC" w:rsidRDefault="00A64DD0" w:rsidP="00A64DD0">
      <w:r w:rsidRPr="00161CEC">
        <w:t xml:space="preserve">The condition must be </w:t>
      </w:r>
      <w:r w:rsidR="005412AC" w:rsidRPr="00161CEC">
        <w:t>unresectable</w:t>
      </w:r>
      <w:r w:rsidRPr="00161CEC">
        <w:t>,</w:t>
      </w:r>
    </w:p>
    <w:p w14:paraId="23C60766" w14:textId="77777777" w:rsidR="007F1735" w:rsidRDefault="00A64DD0" w:rsidP="005412AC">
      <w:pPr>
        <w:rPr>
          <w:b/>
        </w:rPr>
      </w:pPr>
      <w:r w:rsidRPr="00161CEC">
        <w:rPr>
          <w:b/>
        </w:rPr>
        <w:t>Population criteria:</w:t>
      </w:r>
    </w:p>
    <w:p w14:paraId="689106F7" w14:textId="7F16989C" w:rsidR="005412AC" w:rsidRPr="007F1735" w:rsidRDefault="005412AC" w:rsidP="007F1735">
      <w:pPr>
        <w:ind w:left="284"/>
        <w:rPr>
          <w:b/>
        </w:rPr>
      </w:pPr>
      <w:r w:rsidRPr="00161CEC">
        <w:t>Patient must not have received prior chemotherapy for this condition,</w:t>
      </w:r>
    </w:p>
    <w:p w14:paraId="31FDB054" w14:textId="77777777" w:rsidR="007F1735" w:rsidRDefault="005412AC" w:rsidP="00CC24D3">
      <w:r w:rsidRPr="00161CEC">
        <w:t>AND</w:t>
      </w:r>
    </w:p>
    <w:p w14:paraId="52821A58" w14:textId="6C625975" w:rsidR="00CC24D3" w:rsidRPr="00161CEC" w:rsidRDefault="00CC24D3" w:rsidP="007F1735">
      <w:pPr>
        <w:ind w:left="284"/>
      </w:pPr>
      <w:r w:rsidRPr="00161CEC">
        <w:t>Treatment must not be in a patient unsuitable to receive systemic anticancer therapy.</w:t>
      </w:r>
    </w:p>
    <w:p w14:paraId="08ECBADC" w14:textId="77777777" w:rsidR="005412AC" w:rsidRPr="00161CEC" w:rsidRDefault="005412AC" w:rsidP="005412AC">
      <w:r w:rsidRPr="00161CEC">
        <w:t>AND</w:t>
      </w:r>
    </w:p>
    <w:p w14:paraId="4B3F73AF" w14:textId="074BF1DD" w:rsidR="00A64DD0" w:rsidRPr="00161CEC" w:rsidRDefault="00A64DD0" w:rsidP="007F1735">
      <w:pPr>
        <w:ind w:left="284"/>
      </w:pPr>
      <w:r w:rsidRPr="00161CEC">
        <w:t>Patient must have evidence of high PD-L1 expression in tumour material obtained at the time of stage IV diagnosis by immunohistochemistry (IHC) testing, defined as any of:</w:t>
      </w:r>
    </w:p>
    <w:p w14:paraId="5C45EDAB" w14:textId="77777777" w:rsidR="00A64DD0" w:rsidRPr="00161CEC" w:rsidRDefault="00A64DD0" w:rsidP="00A64DD0">
      <w:pPr>
        <w:pStyle w:val="ListParagraph"/>
        <w:numPr>
          <w:ilvl w:val="0"/>
          <w:numId w:val="17"/>
        </w:numPr>
        <w:spacing w:before="120" w:after="120"/>
      </w:pPr>
      <w:r w:rsidRPr="00161CEC">
        <w:t>25% (or greater) positive tumour cells, OR;</w:t>
      </w:r>
    </w:p>
    <w:p w14:paraId="01BBA4F2" w14:textId="4EFB1138" w:rsidR="00A64DD0" w:rsidRPr="00161CEC" w:rsidRDefault="00A64DD0" w:rsidP="00A64DD0">
      <w:pPr>
        <w:pStyle w:val="ListParagraph"/>
        <w:numPr>
          <w:ilvl w:val="0"/>
          <w:numId w:val="17"/>
        </w:numPr>
        <w:spacing w:before="120" w:after="120"/>
      </w:pPr>
      <w:r w:rsidRPr="00161CEC">
        <w:t>In spec</w:t>
      </w:r>
      <w:r w:rsidR="00BE0207" w:rsidRPr="00161CEC">
        <w:t xml:space="preserve">imens where the immune cells present </w:t>
      </w:r>
      <w:r w:rsidRPr="00161CEC">
        <w:t>is greater than 1%: 25% (or greater) positive immune cells</w:t>
      </w:r>
      <w:r w:rsidRPr="00161CEC">
        <w:rPr>
          <w:rFonts w:cs="Calibri"/>
        </w:rPr>
        <w:t>,</w:t>
      </w:r>
      <w:r w:rsidRPr="00161CEC">
        <w:t xml:space="preserve"> OR;</w:t>
      </w:r>
    </w:p>
    <w:p w14:paraId="16B39A01" w14:textId="1B5B8D62" w:rsidR="00A64DD0" w:rsidRPr="00161CEC" w:rsidRDefault="00A64DD0" w:rsidP="00A64DD0">
      <w:pPr>
        <w:pStyle w:val="ListParagraph"/>
        <w:numPr>
          <w:ilvl w:val="0"/>
          <w:numId w:val="17"/>
        </w:numPr>
        <w:spacing w:before="120" w:after="120"/>
      </w:pPr>
      <w:r w:rsidRPr="00161CEC">
        <w:t>In specimens where the immune cell</w:t>
      </w:r>
      <w:r w:rsidR="00BE0207" w:rsidRPr="00161CEC">
        <w:t>s present</w:t>
      </w:r>
      <w:r w:rsidRPr="00161CEC">
        <w:t xml:space="preserve"> is only 1%: all immune cells present </w:t>
      </w:r>
      <w:r w:rsidRPr="00161CEC">
        <w:rPr>
          <w:rFonts w:cs="Calibri"/>
        </w:rPr>
        <w:t>are positive</w:t>
      </w:r>
      <w:r w:rsidRPr="00161CEC">
        <w:t>.</w:t>
      </w:r>
    </w:p>
    <w:p w14:paraId="0327D3CA" w14:textId="5C769041" w:rsidR="00A64DD0" w:rsidRPr="00161CEC" w:rsidRDefault="00A64DD0" w:rsidP="00A64DD0">
      <w:r w:rsidRPr="00161CEC">
        <w:t>Patients not meeting at least one of the above criteria are defined as low PD-L1 expression.</w:t>
      </w:r>
    </w:p>
    <w:p w14:paraId="5CF56505" w14:textId="77777777" w:rsidR="00A64DD0" w:rsidRPr="00161CEC" w:rsidRDefault="00A64DD0" w:rsidP="00A64DD0"/>
    <w:p w14:paraId="0B478185" w14:textId="77777777" w:rsidR="00224475" w:rsidRPr="00161CEC" w:rsidRDefault="00224475">
      <w:pPr>
        <w:rPr>
          <w:b/>
        </w:rPr>
      </w:pPr>
      <w:r w:rsidRPr="00161CEC">
        <w:rPr>
          <w:b/>
        </w:rPr>
        <w:br w:type="page"/>
      </w:r>
    </w:p>
    <w:p w14:paraId="37DD7294" w14:textId="3F8AB3A3" w:rsidR="0038100C" w:rsidRPr="00161CEC" w:rsidRDefault="0038100C" w:rsidP="0038100C">
      <w:pPr>
        <w:rPr>
          <w:b/>
        </w:rPr>
      </w:pPr>
      <w:r w:rsidRPr="00161CEC">
        <w:rPr>
          <w:b/>
        </w:rPr>
        <w:lastRenderedPageBreak/>
        <w:t>Chemotherapy Items for [Public</w:t>
      </w:r>
      <w:proofErr w:type="gramStart"/>
      <w:r w:rsidR="00147297" w:rsidRPr="00161CEC">
        <w:rPr>
          <w:b/>
        </w:rPr>
        <w:t>][</w:t>
      </w:r>
      <w:proofErr w:type="gramEnd"/>
      <w:r w:rsidRPr="00161CEC">
        <w:rPr>
          <w:b/>
        </w:rPr>
        <w:t>Private] Hospital Use</w:t>
      </w:r>
    </w:p>
    <w:p w14:paraId="29F49213" w14:textId="77777777" w:rsidR="00A64DD0" w:rsidRPr="00161CEC" w:rsidRDefault="00A64DD0" w:rsidP="00A64DD0">
      <w:pPr>
        <w:rPr>
          <w:b/>
        </w:rPr>
      </w:pPr>
      <w:r w:rsidRPr="00161CEC">
        <w:rPr>
          <w:b/>
        </w:rPr>
        <w:t>DURVALUMAB + TREMELIMUMAB</w:t>
      </w:r>
    </w:p>
    <w:p w14:paraId="2694A465" w14:textId="77777777" w:rsidR="00A64DD0" w:rsidRPr="00161CEC" w:rsidRDefault="00A64DD0" w:rsidP="00A64DD0">
      <w:r w:rsidRPr="00161CEC">
        <w:t>Authority Required</w:t>
      </w:r>
    </w:p>
    <w:p w14:paraId="2F7377BB" w14:textId="6E488E59" w:rsidR="00A64DD0" w:rsidRPr="00161CEC" w:rsidRDefault="00A64DD0" w:rsidP="00A64DD0">
      <w:r w:rsidRPr="00161CEC">
        <w:t>Stage IV urothelial cancer</w:t>
      </w:r>
    </w:p>
    <w:p w14:paraId="7BC50DE2" w14:textId="77777777" w:rsidR="00A64DD0" w:rsidRPr="00161CEC" w:rsidRDefault="00A64DD0" w:rsidP="00A64DD0">
      <w:pPr>
        <w:rPr>
          <w:b/>
        </w:rPr>
      </w:pPr>
      <w:r w:rsidRPr="00161CEC">
        <w:rPr>
          <w:b/>
        </w:rPr>
        <w:t>Treatment Phase: TBD</w:t>
      </w:r>
    </w:p>
    <w:p w14:paraId="51B285D8" w14:textId="77777777" w:rsidR="00A64DD0" w:rsidRPr="00161CEC" w:rsidRDefault="00A64DD0" w:rsidP="00A64DD0">
      <w:pPr>
        <w:rPr>
          <w:b/>
        </w:rPr>
      </w:pPr>
      <w:r w:rsidRPr="00161CEC">
        <w:rPr>
          <w:b/>
        </w:rPr>
        <w:t>Clinical criteria:</w:t>
      </w:r>
    </w:p>
    <w:p w14:paraId="2E40F4A9" w14:textId="0DFCBBA6" w:rsidR="00A64DD0" w:rsidRPr="00161CEC" w:rsidRDefault="00A64DD0" w:rsidP="00A64DD0">
      <w:r w:rsidRPr="00161CEC">
        <w:t xml:space="preserve">The condition must be </w:t>
      </w:r>
      <w:r w:rsidR="00CC24D3" w:rsidRPr="00161CEC">
        <w:t>unresectable</w:t>
      </w:r>
      <w:r w:rsidRPr="00161CEC">
        <w:t>,</w:t>
      </w:r>
    </w:p>
    <w:p w14:paraId="0FA2D0B1" w14:textId="77777777" w:rsidR="00A64DD0" w:rsidRPr="00161CEC" w:rsidRDefault="00A64DD0" w:rsidP="00A64DD0">
      <w:pPr>
        <w:rPr>
          <w:b/>
        </w:rPr>
      </w:pPr>
      <w:r w:rsidRPr="00161CEC">
        <w:rPr>
          <w:b/>
        </w:rPr>
        <w:t>Population criteria:</w:t>
      </w:r>
    </w:p>
    <w:p w14:paraId="7576F4FE" w14:textId="4B88ED5F" w:rsidR="00CC24D3" w:rsidRPr="00161CEC" w:rsidRDefault="00CC24D3" w:rsidP="007F1735">
      <w:pPr>
        <w:ind w:left="142"/>
      </w:pPr>
      <w:r w:rsidRPr="00161CEC">
        <w:t>Patient must not have received prior chemotherapy for this condition,</w:t>
      </w:r>
    </w:p>
    <w:p w14:paraId="6FA1B8BE" w14:textId="77777777" w:rsidR="00CC24D3" w:rsidRPr="00161CEC" w:rsidRDefault="00CC24D3" w:rsidP="00CC24D3">
      <w:r w:rsidRPr="00161CEC">
        <w:t>AND</w:t>
      </w:r>
    </w:p>
    <w:p w14:paraId="2A39569F" w14:textId="717A1100" w:rsidR="00CC24D3" w:rsidRPr="00161CEC" w:rsidRDefault="00CC24D3" w:rsidP="007F1735">
      <w:pPr>
        <w:ind w:left="142"/>
      </w:pPr>
      <w:r w:rsidRPr="00161CEC">
        <w:t>Treatment must not be in a patient unsuitable to receive systemic anticancer therapy.</w:t>
      </w:r>
    </w:p>
    <w:p w14:paraId="37881B39" w14:textId="77777777" w:rsidR="007F1735" w:rsidRDefault="00CC24D3" w:rsidP="00A64DD0">
      <w:r w:rsidRPr="00161CEC">
        <w:t>AND</w:t>
      </w:r>
    </w:p>
    <w:p w14:paraId="742CC62D" w14:textId="7B892741" w:rsidR="00A64DD0" w:rsidRPr="00161CEC" w:rsidRDefault="00A64DD0" w:rsidP="007F1735">
      <w:pPr>
        <w:ind w:left="142"/>
      </w:pPr>
      <w:r w:rsidRPr="00161CEC">
        <w:t>Patient must have evidence of low PD-L1 expression in tumour material obtained at the time of stage IV diagnosis by immunohistochemistry (IHC) testing, defined as any of:</w:t>
      </w:r>
    </w:p>
    <w:p w14:paraId="74BBAF2B" w14:textId="77777777" w:rsidR="00A64DD0" w:rsidRPr="00161CEC" w:rsidRDefault="00A64DD0" w:rsidP="00A64DD0">
      <w:pPr>
        <w:pStyle w:val="ListParagraph"/>
        <w:numPr>
          <w:ilvl w:val="0"/>
          <w:numId w:val="17"/>
        </w:numPr>
        <w:spacing w:before="120" w:after="120"/>
      </w:pPr>
      <w:r w:rsidRPr="00161CEC">
        <w:t>Less than 25% positive tumour cells, OR;</w:t>
      </w:r>
    </w:p>
    <w:p w14:paraId="5F3C0A84" w14:textId="25F3B8AD" w:rsidR="00A64DD0" w:rsidRPr="00161CEC" w:rsidRDefault="00A64DD0" w:rsidP="00A64DD0">
      <w:pPr>
        <w:pStyle w:val="ListParagraph"/>
        <w:numPr>
          <w:ilvl w:val="0"/>
          <w:numId w:val="17"/>
        </w:numPr>
        <w:spacing w:before="120" w:after="120"/>
      </w:pPr>
      <w:r w:rsidRPr="00161CEC">
        <w:t>In specimens where the immune cell</w:t>
      </w:r>
      <w:r w:rsidR="00BE0207" w:rsidRPr="00161CEC">
        <w:t>s present</w:t>
      </w:r>
      <w:r w:rsidRPr="00161CEC">
        <w:t xml:space="preserve"> is greater than 1%: less than 25% positive immune cells</w:t>
      </w:r>
      <w:r w:rsidRPr="00161CEC">
        <w:rPr>
          <w:rFonts w:cs="Calibri"/>
        </w:rPr>
        <w:t>,</w:t>
      </w:r>
      <w:r w:rsidRPr="00161CEC">
        <w:t xml:space="preserve"> OR;</w:t>
      </w:r>
    </w:p>
    <w:p w14:paraId="1D6C5A93" w14:textId="5D172448" w:rsidR="00A64DD0" w:rsidRPr="00161CEC" w:rsidRDefault="00A64DD0" w:rsidP="00A64DD0">
      <w:pPr>
        <w:pStyle w:val="ListParagraph"/>
        <w:numPr>
          <w:ilvl w:val="0"/>
          <w:numId w:val="17"/>
        </w:numPr>
        <w:spacing w:before="120" w:after="120"/>
      </w:pPr>
      <w:r w:rsidRPr="00161CEC">
        <w:t>In specimens where the immune cell</w:t>
      </w:r>
      <w:r w:rsidR="00BE0207" w:rsidRPr="00161CEC">
        <w:t>s present</w:t>
      </w:r>
      <w:r w:rsidRPr="00161CEC">
        <w:t xml:space="preserve"> is only 1%: anything less than 100% positive immune cells</w:t>
      </w:r>
      <w:r w:rsidR="00B542D8" w:rsidRPr="00161CEC">
        <w:rPr>
          <w:rFonts w:cs="Calibri"/>
        </w:rPr>
        <w:t>,</w:t>
      </w:r>
      <w:r w:rsidR="00B542D8" w:rsidRPr="00161CEC">
        <w:t xml:space="preserve"> OR;</w:t>
      </w:r>
    </w:p>
    <w:p w14:paraId="60DB6D1A" w14:textId="4D316435" w:rsidR="00A64DD0" w:rsidRPr="00161CEC" w:rsidRDefault="00A64DD0" w:rsidP="00A64DD0">
      <w:pPr>
        <w:pStyle w:val="ListParagraph"/>
        <w:numPr>
          <w:ilvl w:val="0"/>
          <w:numId w:val="17"/>
        </w:numPr>
        <w:spacing w:before="120" w:after="120"/>
      </w:pPr>
      <w:r w:rsidRPr="00161CEC">
        <w:t>Absence of any PD-L1 positive cells.</w:t>
      </w:r>
    </w:p>
    <w:p w14:paraId="67843E76" w14:textId="77777777" w:rsidR="001A3610" w:rsidRPr="00522BC9" w:rsidRDefault="001A3610" w:rsidP="00984F91"/>
    <w:sectPr w:rsidR="001A3610" w:rsidRPr="00522BC9" w:rsidSect="005A4651">
      <w:headerReference w:type="even" r:id="rId13"/>
      <w:footerReference w:type="default" r:id="rId14"/>
      <w:pgSz w:w="11906" w:h="16838"/>
      <w:pgMar w:top="1077" w:right="1440" w:bottom="1134" w:left="1440" w:header="709" w:footer="45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D00F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D00FCA" w16cid:durableId="1E4001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4D136" w14:textId="77777777" w:rsidR="001B0C9C" w:rsidRDefault="001B0C9C" w:rsidP="003D699E">
      <w:pPr>
        <w:spacing w:after="0" w:line="240" w:lineRule="auto"/>
      </w:pPr>
      <w:r>
        <w:separator/>
      </w:r>
    </w:p>
  </w:endnote>
  <w:endnote w:type="continuationSeparator" w:id="0">
    <w:p w14:paraId="38387322" w14:textId="77777777" w:rsidR="001B0C9C" w:rsidRDefault="001B0C9C" w:rsidP="003D699E">
      <w:pPr>
        <w:spacing w:after="0" w:line="240" w:lineRule="auto"/>
      </w:pPr>
      <w:r>
        <w:continuationSeparator/>
      </w:r>
    </w:p>
  </w:endnote>
  <w:endnote w:type="continuationNotice" w:id="1">
    <w:p w14:paraId="34CA8BFF" w14:textId="77777777" w:rsidR="001B0C9C" w:rsidRDefault="001B0C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5D79B6B0" w14:textId="269158C2" w:rsidR="004F0BE9" w:rsidRDefault="004F0BE9" w:rsidP="003D699E">
        <w:pPr>
          <w:pStyle w:val="Footer"/>
          <w:pBdr>
            <w:top w:val="single" w:sz="4" w:space="1" w:color="D9D9D9" w:themeColor="background1" w:themeShade="D9"/>
          </w:pBdr>
          <w:rPr>
            <w:color w:val="808080" w:themeColor="background1" w:themeShade="80"/>
            <w:spacing w:val="60"/>
            <w:sz w:val="18"/>
            <w:szCs w:val="18"/>
          </w:rPr>
        </w:pPr>
        <w:r>
          <w:fldChar w:fldCharType="begin"/>
        </w:r>
        <w:r>
          <w:instrText xml:space="preserve"> PAGE   \* MERGEFORMAT </w:instrText>
        </w:r>
        <w:r>
          <w:fldChar w:fldCharType="separate"/>
        </w:r>
        <w:r w:rsidR="007F1735" w:rsidRPr="007F1735">
          <w:rPr>
            <w:b/>
            <w:bCs/>
            <w:noProof/>
            <w:sz w:val="18"/>
            <w:szCs w:val="18"/>
          </w:rPr>
          <w:t>1</w:t>
        </w:r>
        <w:r>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 – Ratified 16 February 2018</w:t>
        </w:r>
      </w:p>
      <w:p w14:paraId="21626BDC" w14:textId="24A45868" w:rsidR="004F0BE9" w:rsidRPr="00CF2DFA" w:rsidRDefault="004F0BE9" w:rsidP="00BB74C3">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1506: PD-L1 testing for </w:t>
        </w:r>
        <w:r>
          <w:rPr>
            <w:color w:val="808080" w:themeColor="background1" w:themeShade="80"/>
            <w:spacing w:val="60"/>
            <w:sz w:val="18"/>
            <w:szCs w:val="18"/>
          </w:rPr>
          <w:br/>
        </w:r>
        <w:proofErr w:type="spellStart"/>
        <w:r>
          <w:rPr>
            <w:color w:val="808080" w:themeColor="background1" w:themeShade="80"/>
            <w:spacing w:val="60"/>
            <w:sz w:val="18"/>
            <w:szCs w:val="18"/>
          </w:rPr>
          <w:t>durvalumab</w:t>
        </w:r>
        <w:proofErr w:type="spellEnd"/>
        <w:r>
          <w:rPr>
            <w:color w:val="808080" w:themeColor="background1" w:themeShade="80"/>
            <w:spacing w:val="60"/>
            <w:sz w:val="18"/>
            <w:szCs w:val="18"/>
          </w:rPr>
          <w:t xml:space="preserve"> ± </w:t>
        </w:r>
        <w:proofErr w:type="spellStart"/>
        <w:r>
          <w:rPr>
            <w:color w:val="808080" w:themeColor="background1" w:themeShade="80"/>
            <w:spacing w:val="60"/>
            <w:sz w:val="18"/>
            <w:szCs w:val="18"/>
          </w:rPr>
          <w:t>tremelimumab</w:t>
        </w:r>
        <w:proofErr w:type="spellEnd"/>
        <w:r>
          <w:rPr>
            <w:color w:val="808080" w:themeColor="background1" w:themeShade="80"/>
            <w:spacing w:val="60"/>
            <w:sz w:val="18"/>
            <w:szCs w:val="18"/>
          </w:rPr>
          <w:t xml:space="preserve"> for urothelial cancer</w:t>
        </w:r>
      </w:p>
    </w:sdtContent>
  </w:sdt>
  <w:p w14:paraId="79093DD1" w14:textId="77777777" w:rsidR="004F0BE9" w:rsidRDefault="004F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41330" w14:textId="77777777" w:rsidR="001B0C9C" w:rsidRDefault="001B0C9C" w:rsidP="003D699E">
      <w:pPr>
        <w:spacing w:after="0" w:line="240" w:lineRule="auto"/>
      </w:pPr>
      <w:r>
        <w:separator/>
      </w:r>
    </w:p>
  </w:footnote>
  <w:footnote w:type="continuationSeparator" w:id="0">
    <w:p w14:paraId="51D88BE6" w14:textId="77777777" w:rsidR="001B0C9C" w:rsidRDefault="001B0C9C" w:rsidP="003D699E">
      <w:pPr>
        <w:spacing w:after="0" w:line="240" w:lineRule="auto"/>
      </w:pPr>
      <w:r>
        <w:continuationSeparator/>
      </w:r>
    </w:p>
  </w:footnote>
  <w:footnote w:type="continuationNotice" w:id="1">
    <w:p w14:paraId="56AA8343" w14:textId="77777777" w:rsidR="001B0C9C" w:rsidRDefault="001B0C9C">
      <w:pPr>
        <w:spacing w:after="0" w:line="240" w:lineRule="auto"/>
      </w:pPr>
    </w:p>
  </w:footnote>
  <w:footnote w:id="2">
    <w:p w14:paraId="4FC4061A" w14:textId="77777777" w:rsidR="004F0BE9" w:rsidRPr="00B26F21" w:rsidRDefault="004F0BE9" w:rsidP="00F106F7">
      <w:pPr>
        <w:pStyle w:val="FootnoteText"/>
        <w:rPr>
          <w:sz w:val="18"/>
        </w:rPr>
      </w:pPr>
      <w:r w:rsidRPr="00B26F21">
        <w:rPr>
          <w:rStyle w:val="FootnoteReference"/>
          <w:sz w:val="18"/>
        </w:rPr>
        <w:footnoteRef/>
      </w:r>
      <w:r w:rsidRPr="00B26F21">
        <w:rPr>
          <w:sz w:val="18"/>
        </w:rPr>
        <w:t xml:space="preserve"> Common abbreviations used in this document: MSAC – Medical Services Advisory Committee; PBAC – Pharmaceutical Benefits Advisory Committee; MBS – Medical Benefits Schedule; PBS – Pharmaceutical Benefits Scheme; PASC – Protocol Advisory Subcommittee; PICO – Population, Intervention, Comparator.  </w:t>
      </w:r>
    </w:p>
  </w:footnote>
  <w:footnote w:id="3">
    <w:p w14:paraId="5DDE53F1" w14:textId="2EE24110" w:rsidR="004F0BE9" w:rsidRPr="00B26F21" w:rsidRDefault="004F0BE9">
      <w:pPr>
        <w:pStyle w:val="FootnoteText"/>
        <w:rPr>
          <w:sz w:val="18"/>
        </w:rPr>
      </w:pPr>
      <w:r w:rsidRPr="00B26F21">
        <w:rPr>
          <w:rStyle w:val="FootnoteReference"/>
          <w:sz w:val="18"/>
        </w:rPr>
        <w:footnoteRef/>
      </w:r>
      <w:r w:rsidRPr="00B26F21">
        <w:rPr>
          <w:sz w:val="18"/>
        </w:rPr>
        <w:t xml:space="preserve"> </w:t>
      </w:r>
      <w:hyperlink r:id="rId1" w:tooltip="Link to FDA webpage" w:history="1">
        <w:r w:rsidRPr="00B26F21">
          <w:rPr>
            <w:rStyle w:val="Hyperlink"/>
            <w:sz w:val="18"/>
          </w:rPr>
          <w:t>https://www.fda.gov/Drugs/InformationOnDrugs/ApprovedDrugs/ucm555930.htm</w:t>
        </w:r>
      </w:hyperlink>
      <w:r w:rsidRPr="00B26F21">
        <w:rPr>
          <w:sz w:val="18"/>
        </w:rPr>
        <w:t xml:space="preserve"> </w:t>
      </w:r>
    </w:p>
  </w:footnote>
  <w:footnote w:id="4">
    <w:p w14:paraId="24031369" w14:textId="02DB14F7" w:rsidR="004F0BE9" w:rsidRPr="00DF013C" w:rsidRDefault="004F0BE9" w:rsidP="00694DC5">
      <w:pPr>
        <w:pStyle w:val="FootnoteText"/>
        <w:rPr>
          <w:sz w:val="18"/>
        </w:rPr>
      </w:pPr>
      <w:r w:rsidRPr="00DF013C">
        <w:rPr>
          <w:rStyle w:val="FootnoteReference"/>
          <w:sz w:val="18"/>
        </w:rPr>
        <w:footnoteRef/>
      </w:r>
      <w:r w:rsidRPr="00DF013C">
        <w:rPr>
          <w:sz w:val="18"/>
        </w:rPr>
        <w:t xml:space="preserve"> </w:t>
      </w:r>
      <w:proofErr w:type="spellStart"/>
      <w:r>
        <w:rPr>
          <w:sz w:val="18"/>
        </w:rPr>
        <w:t>Sachintha</w:t>
      </w:r>
      <w:proofErr w:type="spellEnd"/>
      <w:r>
        <w:rPr>
          <w:sz w:val="18"/>
        </w:rPr>
        <w:t xml:space="preserve"> </w:t>
      </w:r>
      <w:proofErr w:type="spellStart"/>
      <w:r>
        <w:rPr>
          <w:sz w:val="18"/>
        </w:rPr>
        <w:t>Hapugoda</w:t>
      </w:r>
      <w:proofErr w:type="spellEnd"/>
      <w:r>
        <w:rPr>
          <w:sz w:val="18"/>
        </w:rPr>
        <w:t xml:space="preserve"> and </w:t>
      </w:r>
      <w:r w:rsidRPr="00694DC5">
        <w:rPr>
          <w:sz w:val="18"/>
        </w:rPr>
        <w:t xml:space="preserve">Yoshiharu </w:t>
      </w:r>
      <w:proofErr w:type="spellStart"/>
      <w:r w:rsidRPr="00694DC5">
        <w:rPr>
          <w:sz w:val="18"/>
        </w:rPr>
        <w:t>Ryu</w:t>
      </w:r>
      <w:proofErr w:type="spellEnd"/>
      <w:r w:rsidRPr="00694DC5">
        <w:rPr>
          <w:sz w:val="18"/>
        </w:rPr>
        <w:t xml:space="preserve"> et al.</w:t>
      </w:r>
      <w:r w:rsidRPr="00694DC5">
        <w:rPr>
          <w:i/>
          <w:sz w:val="18"/>
        </w:rPr>
        <w:t xml:space="preserve"> Transitional cell carcinoma of the bladder (staging)</w:t>
      </w:r>
      <w:r>
        <w:rPr>
          <w:sz w:val="18"/>
        </w:rPr>
        <w:t xml:space="preserve">. </w:t>
      </w:r>
      <w:proofErr w:type="spellStart"/>
      <w:proofErr w:type="gramStart"/>
      <w:r>
        <w:rPr>
          <w:sz w:val="18"/>
        </w:rPr>
        <w:t>Radiopaedia</w:t>
      </w:r>
      <w:proofErr w:type="spellEnd"/>
      <w:r>
        <w:rPr>
          <w:sz w:val="18"/>
        </w:rPr>
        <w:t>.</w:t>
      </w:r>
      <w:proofErr w:type="gramEnd"/>
      <w:r w:rsidRPr="00694DC5">
        <w:rPr>
          <w:sz w:val="18"/>
        </w:rPr>
        <w:t xml:space="preserve"> </w:t>
      </w:r>
      <w:hyperlink r:id="rId2" w:tooltip="Link to Radiopaedia article" w:history="1">
        <w:r w:rsidRPr="00DF013C">
          <w:rPr>
            <w:rStyle w:val="Hyperlink"/>
            <w:sz w:val="18"/>
          </w:rPr>
          <w:t>https://radiopaedia.org/articles/transitional-cell-carcinoma-of-the-bladder-staging-1</w:t>
        </w:r>
      </w:hyperlink>
      <w:r w:rsidRPr="00DF013C">
        <w:rPr>
          <w:sz w:val="18"/>
        </w:rPr>
        <w:t xml:space="preserve"> </w:t>
      </w:r>
    </w:p>
  </w:footnote>
  <w:footnote w:id="5">
    <w:p w14:paraId="1EB69A50" w14:textId="24E43A6B" w:rsidR="004F0BE9" w:rsidRPr="00B26F21" w:rsidRDefault="004F0BE9" w:rsidP="00260D0D">
      <w:pPr>
        <w:pStyle w:val="FootnoteText"/>
        <w:rPr>
          <w:sz w:val="18"/>
        </w:rPr>
      </w:pPr>
      <w:r w:rsidRPr="00B26F21">
        <w:rPr>
          <w:rStyle w:val="FootnoteReference"/>
          <w:sz w:val="18"/>
        </w:rPr>
        <w:footnoteRef/>
      </w:r>
      <w:r w:rsidRPr="00B26F21">
        <w:rPr>
          <w:sz w:val="18"/>
        </w:rPr>
        <w:t xml:space="preserve"> </w:t>
      </w:r>
      <w:proofErr w:type="gramStart"/>
      <w:r w:rsidRPr="00B26F21">
        <w:rPr>
          <w:sz w:val="18"/>
        </w:rPr>
        <w:t>USANZ Fact Sheet.</w:t>
      </w:r>
      <w:proofErr w:type="gramEnd"/>
      <w:r w:rsidRPr="00B26F21">
        <w:rPr>
          <w:sz w:val="18"/>
        </w:rPr>
        <w:t xml:space="preserve"> </w:t>
      </w:r>
      <w:proofErr w:type="gramStart"/>
      <w:r w:rsidRPr="00B26F21">
        <w:rPr>
          <w:sz w:val="18"/>
        </w:rPr>
        <w:t>Bladder Cancer – Transitional Cell Carcinoma.</w:t>
      </w:r>
      <w:proofErr w:type="gramEnd"/>
      <w:r w:rsidRPr="00B26F21">
        <w:rPr>
          <w:sz w:val="18"/>
        </w:rPr>
        <w:t xml:space="preserve">  </w:t>
      </w:r>
      <w:hyperlink r:id="rId3" w:tooltip="Link to USANZ Fact Sheet" w:history="1">
        <w:r w:rsidRPr="00B26F21">
          <w:rPr>
            <w:rStyle w:val="Hyperlink"/>
            <w:sz w:val="18"/>
          </w:rPr>
          <w:t>www.usanz.org.au/uploads/65337/ufiles/bladder-cancer.pdf</w:t>
        </w:r>
      </w:hyperlink>
      <w:r w:rsidRPr="00B26F21">
        <w:rPr>
          <w:sz w:val="18"/>
        </w:rPr>
        <w:t xml:space="preserve"> </w:t>
      </w:r>
    </w:p>
  </w:footnote>
  <w:footnote w:id="6">
    <w:p w14:paraId="4EBA1830" w14:textId="3F28E3B8" w:rsidR="004F0BE9" w:rsidRPr="00B26F21" w:rsidRDefault="004F0BE9">
      <w:pPr>
        <w:pStyle w:val="FootnoteText"/>
        <w:rPr>
          <w:sz w:val="18"/>
        </w:rPr>
      </w:pPr>
      <w:r w:rsidRPr="00B26F21">
        <w:rPr>
          <w:rStyle w:val="FootnoteReference"/>
          <w:sz w:val="18"/>
        </w:rPr>
        <w:footnoteRef/>
      </w:r>
      <w:r w:rsidRPr="00B26F21">
        <w:rPr>
          <w:sz w:val="18"/>
        </w:rPr>
        <w:t xml:space="preserve"> </w:t>
      </w:r>
      <w:proofErr w:type="gramStart"/>
      <w:r w:rsidRPr="00B26F21">
        <w:rPr>
          <w:sz w:val="18"/>
        </w:rPr>
        <w:t>Bladder Cancer.</w:t>
      </w:r>
      <w:proofErr w:type="gramEnd"/>
      <w:r w:rsidRPr="00B26F21">
        <w:rPr>
          <w:sz w:val="18"/>
        </w:rPr>
        <w:t xml:space="preserve"> </w:t>
      </w:r>
      <w:proofErr w:type="gramStart"/>
      <w:r>
        <w:rPr>
          <w:sz w:val="18"/>
        </w:rPr>
        <w:t xml:space="preserve">US </w:t>
      </w:r>
      <w:r w:rsidRPr="00B26F21">
        <w:rPr>
          <w:sz w:val="18"/>
        </w:rPr>
        <w:t>N</w:t>
      </w:r>
      <w:r>
        <w:rPr>
          <w:sz w:val="18"/>
        </w:rPr>
        <w:t xml:space="preserve">ational </w:t>
      </w:r>
      <w:r w:rsidRPr="00B26F21">
        <w:rPr>
          <w:sz w:val="18"/>
        </w:rPr>
        <w:t>C</w:t>
      </w:r>
      <w:r>
        <w:rPr>
          <w:sz w:val="18"/>
        </w:rPr>
        <w:t xml:space="preserve">omprehensive </w:t>
      </w:r>
      <w:r w:rsidRPr="00B26F21">
        <w:rPr>
          <w:sz w:val="18"/>
        </w:rPr>
        <w:t>C</w:t>
      </w:r>
      <w:r>
        <w:rPr>
          <w:sz w:val="18"/>
        </w:rPr>
        <w:t xml:space="preserve">ancer </w:t>
      </w:r>
      <w:r w:rsidRPr="00B26F21">
        <w:rPr>
          <w:sz w:val="18"/>
        </w:rPr>
        <w:t>N</w:t>
      </w:r>
      <w:r>
        <w:rPr>
          <w:sz w:val="18"/>
        </w:rPr>
        <w:t>etwork (NCCN)</w:t>
      </w:r>
      <w:r w:rsidRPr="00B26F21">
        <w:rPr>
          <w:sz w:val="18"/>
        </w:rPr>
        <w:t xml:space="preserve"> Guidelines Version 2.2017.</w:t>
      </w:r>
      <w:proofErr w:type="gramEnd"/>
      <w:r w:rsidRPr="00B26F21">
        <w:rPr>
          <w:sz w:val="18"/>
        </w:rPr>
        <w:t xml:space="preserve"> </w:t>
      </w:r>
    </w:p>
  </w:footnote>
  <w:footnote w:id="7">
    <w:p w14:paraId="300A6605" w14:textId="51D548F7" w:rsidR="004F0BE9" w:rsidRPr="00920EA5" w:rsidRDefault="004F0BE9" w:rsidP="00920EA5">
      <w:pPr>
        <w:pStyle w:val="FootnoteText"/>
        <w:rPr>
          <w:sz w:val="18"/>
        </w:rPr>
      </w:pPr>
      <w:r w:rsidRPr="00920EA5">
        <w:rPr>
          <w:rStyle w:val="FootnoteReference"/>
          <w:sz w:val="18"/>
        </w:rPr>
        <w:footnoteRef/>
      </w:r>
      <w:r w:rsidRPr="00920EA5">
        <w:rPr>
          <w:sz w:val="18"/>
        </w:rPr>
        <w:t xml:space="preserve"> </w:t>
      </w:r>
      <w:proofErr w:type="gramStart"/>
      <w:r w:rsidRPr="000D7264">
        <w:rPr>
          <w:sz w:val="18"/>
        </w:rPr>
        <w:t>The Royal Australian College of General Practitioners</w:t>
      </w:r>
      <w:r>
        <w:rPr>
          <w:sz w:val="18"/>
        </w:rPr>
        <w:t xml:space="preserve"> (RACGP).</w:t>
      </w:r>
      <w:proofErr w:type="gramEnd"/>
      <w:r>
        <w:rPr>
          <w:sz w:val="18"/>
        </w:rPr>
        <w:t xml:space="preserve"> </w:t>
      </w:r>
      <w:proofErr w:type="spellStart"/>
      <w:proofErr w:type="gramStart"/>
      <w:r w:rsidRPr="00920EA5">
        <w:rPr>
          <w:sz w:val="18"/>
        </w:rPr>
        <w:t>Ranjan</w:t>
      </w:r>
      <w:proofErr w:type="spellEnd"/>
      <w:r w:rsidRPr="00920EA5">
        <w:rPr>
          <w:sz w:val="18"/>
        </w:rPr>
        <w:t xml:space="preserve"> </w:t>
      </w:r>
      <w:proofErr w:type="spellStart"/>
      <w:r w:rsidRPr="00920EA5">
        <w:rPr>
          <w:sz w:val="18"/>
        </w:rPr>
        <w:t>Arianayagam</w:t>
      </w:r>
      <w:proofErr w:type="spellEnd"/>
      <w:r w:rsidRPr="00920EA5">
        <w:rPr>
          <w:sz w:val="18"/>
        </w:rPr>
        <w:t xml:space="preserve">, Mohan </w:t>
      </w:r>
      <w:proofErr w:type="spellStart"/>
      <w:r w:rsidRPr="00920EA5">
        <w:rPr>
          <w:sz w:val="18"/>
        </w:rPr>
        <w:t>Arianayagam</w:t>
      </w:r>
      <w:proofErr w:type="spellEnd"/>
      <w:r w:rsidRPr="00920EA5">
        <w:rPr>
          <w:sz w:val="18"/>
        </w:rPr>
        <w:t xml:space="preserve"> and </w:t>
      </w:r>
      <w:proofErr w:type="spellStart"/>
      <w:r w:rsidRPr="00920EA5">
        <w:rPr>
          <w:sz w:val="18"/>
        </w:rPr>
        <w:t>Prem</w:t>
      </w:r>
      <w:proofErr w:type="spellEnd"/>
      <w:r w:rsidRPr="00920EA5">
        <w:rPr>
          <w:sz w:val="18"/>
        </w:rPr>
        <w:t xml:space="preserve"> Rashid.</w:t>
      </w:r>
      <w:proofErr w:type="gramEnd"/>
      <w:r w:rsidRPr="00920EA5">
        <w:rPr>
          <w:sz w:val="18"/>
        </w:rPr>
        <w:t xml:space="preserve"> </w:t>
      </w:r>
      <w:proofErr w:type="gramStart"/>
      <w:r w:rsidRPr="00920EA5">
        <w:rPr>
          <w:i/>
          <w:sz w:val="18"/>
        </w:rPr>
        <w:t>Bladder cancer – Current management</w:t>
      </w:r>
      <w:r w:rsidRPr="00920EA5">
        <w:rPr>
          <w:sz w:val="18"/>
        </w:rPr>
        <w:t>.</w:t>
      </w:r>
      <w:proofErr w:type="gramEnd"/>
      <w:r w:rsidRPr="00920EA5">
        <w:rPr>
          <w:sz w:val="18"/>
        </w:rPr>
        <w:t xml:space="preserve"> Australian Family Physician Vol. 40, No. 4, April 2011 209-213.  </w:t>
      </w:r>
    </w:p>
  </w:footnote>
  <w:footnote w:id="8">
    <w:p w14:paraId="7AB48066" w14:textId="1621A5A4" w:rsidR="004F0BE9" w:rsidRPr="009759FD" w:rsidRDefault="004F0BE9" w:rsidP="0024436C">
      <w:pPr>
        <w:pStyle w:val="FootnoteText"/>
        <w:rPr>
          <w:sz w:val="18"/>
        </w:rPr>
      </w:pPr>
      <w:r w:rsidRPr="009759FD">
        <w:rPr>
          <w:rStyle w:val="FootnoteReference"/>
          <w:sz w:val="18"/>
        </w:rPr>
        <w:footnoteRef/>
      </w:r>
      <w:r w:rsidRPr="009759FD">
        <w:rPr>
          <w:sz w:val="18"/>
        </w:rPr>
        <w:t xml:space="preserve">  NCCN and ESMO Guidelines cited elsewh</w:t>
      </w:r>
      <w:r>
        <w:rPr>
          <w:sz w:val="18"/>
        </w:rPr>
        <w:t xml:space="preserve">ere in this document; National Institute for Health and Care Excellence (NICE), United Kingdom. </w:t>
      </w:r>
      <w:r w:rsidRPr="0024436C">
        <w:rPr>
          <w:i/>
          <w:sz w:val="18"/>
        </w:rPr>
        <w:t>Bladder cancer: diagnosis and management.</w:t>
      </w:r>
      <w:r>
        <w:rPr>
          <w:sz w:val="18"/>
        </w:rPr>
        <w:t xml:space="preserve"> NICE guideline</w:t>
      </w:r>
      <w:r w:rsidRPr="0024436C">
        <w:rPr>
          <w:sz w:val="18"/>
        </w:rPr>
        <w:t xml:space="preserve"> 25 February 2015</w:t>
      </w:r>
      <w:r>
        <w:rPr>
          <w:sz w:val="18"/>
        </w:rPr>
        <w:t xml:space="preserve"> </w:t>
      </w:r>
    </w:p>
  </w:footnote>
  <w:footnote w:id="9">
    <w:p w14:paraId="08B58258" w14:textId="287DEC7B" w:rsidR="004F0BE9" w:rsidRPr="00B26F21" w:rsidRDefault="004F0BE9">
      <w:pPr>
        <w:pStyle w:val="FootnoteText"/>
        <w:rPr>
          <w:sz w:val="18"/>
        </w:rPr>
      </w:pPr>
      <w:r w:rsidRPr="00B26F21">
        <w:rPr>
          <w:rStyle w:val="FootnoteReference"/>
          <w:sz w:val="18"/>
        </w:rPr>
        <w:footnoteRef/>
      </w:r>
      <w:r w:rsidRPr="00B26F21">
        <w:rPr>
          <w:sz w:val="18"/>
        </w:rPr>
        <w:t xml:space="preserve"> </w:t>
      </w:r>
      <w:proofErr w:type="gramStart"/>
      <w:r w:rsidRPr="00B26F21">
        <w:rPr>
          <w:sz w:val="18"/>
        </w:rPr>
        <w:t>ACIM Book – Bladder Cancer.</w:t>
      </w:r>
      <w:proofErr w:type="gramEnd"/>
      <w:r w:rsidRPr="00B26F21">
        <w:rPr>
          <w:sz w:val="18"/>
        </w:rPr>
        <w:t xml:space="preserve">  </w:t>
      </w:r>
      <w:hyperlink r:id="rId4" w:tooltip="Link to ACIM book" w:history="1">
        <w:r w:rsidRPr="00B26F21">
          <w:rPr>
            <w:rStyle w:val="Hyperlink"/>
            <w:sz w:val="18"/>
          </w:rPr>
          <w:t>https://www.aihw.gov.au/reports/cancer/acim-books/contents/acim-books</w:t>
        </w:r>
      </w:hyperlink>
      <w:r w:rsidRPr="00B26F21">
        <w:rPr>
          <w:sz w:val="18"/>
        </w:rPr>
        <w:t xml:space="preserve"> </w:t>
      </w:r>
    </w:p>
  </w:footnote>
  <w:footnote w:id="10">
    <w:p w14:paraId="225ADFDE" w14:textId="345E627B" w:rsidR="004F0BE9" w:rsidRPr="00B26F21" w:rsidRDefault="004F0BE9">
      <w:pPr>
        <w:pStyle w:val="FootnoteText"/>
        <w:rPr>
          <w:sz w:val="18"/>
        </w:rPr>
      </w:pPr>
      <w:r w:rsidRPr="00B26F21">
        <w:rPr>
          <w:rStyle w:val="FootnoteReference"/>
          <w:sz w:val="18"/>
        </w:rPr>
        <w:footnoteRef/>
      </w:r>
      <w:r w:rsidRPr="00B26F21">
        <w:rPr>
          <w:sz w:val="18"/>
        </w:rPr>
        <w:t xml:space="preserve"> </w:t>
      </w:r>
      <w:hyperlink r:id="rId5" w:tooltip="Link to Cancer Australia page" w:history="1">
        <w:r w:rsidRPr="00B26F21">
          <w:rPr>
            <w:rStyle w:val="Hyperlink"/>
            <w:sz w:val="18"/>
          </w:rPr>
          <w:t>https://bladder-cancer.canceraustralia.gov.au/statistics</w:t>
        </w:r>
      </w:hyperlink>
      <w:r w:rsidRPr="00B26F21">
        <w:rPr>
          <w:sz w:val="18"/>
        </w:rPr>
        <w:t xml:space="preserve"> </w:t>
      </w:r>
    </w:p>
  </w:footnote>
  <w:footnote w:id="11">
    <w:p w14:paraId="2BD55A00" w14:textId="5E786D84" w:rsidR="004F0BE9" w:rsidRPr="00173083" w:rsidRDefault="004F0BE9" w:rsidP="00173083">
      <w:pPr>
        <w:pStyle w:val="FootnoteText"/>
        <w:rPr>
          <w:sz w:val="18"/>
        </w:rPr>
      </w:pPr>
      <w:r w:rsidRPr="00173083">
        <w:rPr>
          <w:rStyle w:val="FootnoteReference"/>
          <w:sz w:val="18"/>
        </w:rPr>
        <w:footnoteRef/>
      </w:r>
      <w:r w:rsidRPr="00173083">
        <w:rPr>
          <w:sz w:val="18"/>
        </w:rPr>
        <w:t xml:space="preserve"> </w:t>
      </w:r>
      <w:proofErr w:type="gramStart"/>
      <w:r w:rsidRPr="00173083">
        <w:rPr>
          <w:sz w:val="18"/>
        </w:rPr>
        <w:t xml:space="preserve">Chen EC, </w:t>
      </w:r>
      <w:proofErr w:type="spellStart"/>
      <w:r w:rsidRPr="00173083">
        <w:rPr>
          <w:sz w:val="18"/>
        </w:rPr>
        <w:t>McCahy</w:t>
      </w:r>
      <w:proofErr w:type="spellEnd"/>
      <w:r w:rsidRPr="00173083">
        <w:rPr>
          <w:sz w:val="18"/>
        </w:rPr>
        <w:t xml:space="preserve"> P, </w:t>
      </w:r>
      <w:proofErr w:type="spellStart"/>
      <w:r w:rsidRPr="00173083">
        <w:rPr>
          <w:sz w:val="18"/>
        </w:rPr>
        <w:t>Frydenberg</w:t>
      </w:r>
      <w:proofErr w:type="spellEnd"/>
      <w:r w:rsidRPr="00173083">
        <w:rPr>
          <w:sz w:val="18"/>
        </w:rPr>
        <w:t xml:space="preserve"> M (2011) </w:t>
      </w:r>
      <w:r w:rsidRPr="00173083">
        <w:rPr>
          <w:i/>
          <w:sz w:val="18"/>
        </w:rPr>
        <w:t>Long term outcomes of radical cystectomy—Monash Medical Centre Experience</w:t>
      </w:r>
      <w:r w:rsidRPr="00173083">
        <w:rPr>
          <w:sz w:val="18"/>
        </w:rPr>
        <w:t>.</w:t>
      </w:r>
      <w:proofErr w:type="gramEnd"/>
      <w:r w:rsidRPr="00173083">
        <w:rPr>
          <w:sz w:val="18"/>
        </w:rPr>
        <w:t xml:space="preserve"> Asia Pac J </w:t>
      </w:r>
      <w:proofErr w:type="spellStart"/>
      <w:r w:rsidRPr="00173083">
        <w:rPr>
          <w:sz w:val="18"/>
        </w:rPr>
        <w:t>Clin</w:t>
      </w:r>
      <w:proofErr w:type="spellEnd"/>
      <w:r w:rsidRPr="00173083">
        <w:rPr>
          <w:sz w:val="18"/>
        </w:rPr>
        <w:t xml:space="preserve"> </w:t>
      </w:r>
      <w:proofErr w:type="spellStart"/>
      <w:r w:rsidRPr="00173083">
        <w:rPr>
          <w:sz w:val="18"/>
        </w:rPr>
        <w:t>Oncol</w:t>
      </w:r>
      <w:proofErr w:type="spellEnd"/>
      <w:r w:rsidRPr="00173083">
        <w:rPr>
          <w:sz w:val="18"/>
        </w:rPr>
        <w:t xml:space="preserve"> 7(</w:t>
      </w:r>
      <w:proofErr w:type="spellStart"/>
      <w:r w:rsidRPr="00173083">
        <w:rPr>
          <w:sz w:val="18"/>
        </w:rPr>
        <w:t>Suppl</w:t>
      </w:r>
      <w:proofErr w:type="spellEnd"/>
      <w:r w:rsidRPr="00173083">
        <w:rPr>
          <w:sz w:val="18"/>
        </w:rPr>
        <w:t xml:space="preserve"> s4):117–195</w:t>
      </w:r>
      <w:r>
        <w:rPr>
          <w:sz w:val="18"/>
        </w:rPr>
        <w:t xml:space="preserve">. </w:t>
      </w:r>
    </w:p>
  </w:footnote>
  <w:footnote w:id="12">
    <w:p w14:paraId="4319102A" w14:textId="10CC1968" w:rsidR="004F0BE9" w:rsidRPr="009759FD" w:rsidRDefault="004F0BE9" w:rsidP="00A13F70">
      <w:pPr>
        <w:pStyle w:val="FootnoteText"/>
        <w:rPr>
          <w:sz w:val="18"/>
        </w:rPr>
      </w:pPr>
      <w:r w:rsidRPr="00A13F70">
        <w:rPr>
          <w:rStyle w:val="FootnoteReference"/>
          <w:sz w:val="18"/>
        </w:rPr>
        <w:footnoteRef/>
      </w:r>
      <w:r w:rsidRPr="00A13F70">
        <w:rPr>
          <w:sz w:val="18"/>
        </w:rPr>
        <w:t xml:space="preserve"> </w:t>
      </w:r>
      <w:proofErr w:type="spellStart"/>
      <w:r w:rsidRPr="00A13F70">
        <w:rPr>
          <w:sz w:val="18"/>
        </w:rPr>
        <w:t>Cheluvappa</w:t>
      </w:r>
      <w:proofErr w:type="spellEnd"/>
      <w:r w:rsidRPr="00A13F70">
        <w:rPr>
          <w:sz w:val="18"/>
        </w:rPr>
        <w:t xml:space="preserve"> R1, Smith DP, </w:t>
      </w:r>
      <w:proofErr w:type="spellStart"/>
      <w:r w:rsidRPr="00A13F70">
        <w:rPr>
          <w:sz w:val="18"/>
        </w:rPr>
        <w:t>Cerimagic</w:t>
      </w:r>
      <w:proofErr w:type="spellEnd"/>
      <w:r w:rsidRPr="00A13F70">
        <w:rPr>
          <w:sz w:val="18"/>
        </w:rPr>
        <w:t xml:space="preserve"> S, Patel MI. </w:t>
      </w:r>
      <w:proofErr w:type="gramStart"/>
      <w:r w:rsidRPr="00A13F70">
        <w:rPr>
          <w:sz w:val="18"/>
        </w:rPr>
        <w:t>A comprehensive evaluation of bladder cancer epidemiology and outcomes in Australia.</w:t>
      </w:r>
      <w:proofErr w:type="gramEnd"/>
      <w:r w:rsidRPr="00A13F70">
        <w:rPr>
          <w:sz w:val="18"/>
        </w:rPr>
        <w:t xml:space="preserve"> </w:t>
      </w:r>
      <w:proofErr w:type="spellStart"/>
      <w:r w:rsidRPr="00A13F70">
        <w:rPr>
          <w:sz w:val="18"/>
        </w:rPr>
        <w:t>Int</w:t>
      </w:r>
      <w:proofErr w:type="spellEnd"/>
      <w:r w:rsidRPr="00A13F70">
        <w:rPr>
          <w:sz w:val="18"/>
        </w:rPr>
        <w:t xml:space="preserve"> </w:t>
      </w:r>
      <w:proofErr w:type="spellStart"/>
      <w:r w:rsidRPr="00A13F70">
        <w:rPr>
          <w:sz w:val="18"/>
        </w:rPr>
        <w:t>Urol</w:t>
      </w:r>
      <w:proofErr w:type="spellEnd"/>
      <w:r w:rsidRPr="00A13F70">
        <w:rPr>
          <w:sz w:val="18"/>
        </w:rPr>
        <w:t xml:space="preserve"> </w:t>
      </w:r>
      <w:proofErr w:type="spellStart"/>
      <w:r w:rsidRPr="00A13F70">
        <w:rPr>
          <w:sz w:val="18"/>
        </w:rPr>
        <w:t>Nephrol</w:t>
      </w:r>
      <w:proofErr w:type="spellEnd"/>
      <w:r w:rsidRPr="00A13F70">
        <w:rPr>
          <w:sz w:val="18"/>
        </w:rPr>
        <w:t>. 2014 Jul</w:t>
      </w:r>
      <w:proofErr w:type="gramStart"/>
      <w:r w:rsidRPr="00A13F70">
        <w:rPr>
          <w:sz w:val="18"/>
        </w:rPr>
        <w:t>;46</w:t>
      </w:r>
      <w:proofErr w:type="gramEnd"/>
      <w:r w:rsidRPr="00A13F70">
        <w:rPr>
          <w:sz w:val="18"/>
        </w:rPr>
        <w:t>(7):1351-60.</w:t>
      </w:r>
    </w:p>
  </w:footnote>
  <w:footnote w:id="13">
    <w:p w14:paraId="59E65ED8" w14:textId="4665F8C6" w:rsidR="004F0BE9" w:rsidRDefault="004F0BE9">
      <w:pPr>
        <w:pStyle w:val="FootnoteText"/>
      </w:pPr>
      <w:r w:rsidRPr="00A13F70">
        <w:rPr>
          <w:rStyle w:val="FootnoteReference"/>
          <w:sz w:val="18"/>
        </w:rPr>
        <w:footnoteRef/>
      </w:r>
      <w:r w:rsidRPr="00A13F70">
        <w:rPr>
          <w:sz w:val="18"/>
        </w:rPr>
        <w:t xml:space="preserve"> </w:t>
      </w:r>
      <w:r w:rsidR="007F1735">
        <w:fldChar w:fldCharType="begin"/>
      </w:r>
      <w:r w:rsidR="007F1735">
        <w:instrText>HYPERLINK "http://www.ventana.com/roche-receives-fda-approval-complementary-pd-l1-sp263-biomarker-test-urothelial-carcinoma/" \o "Link to media release - Roche receives FDA approval"</w:instrText>
      </w:r>
      <w:r w:rsidR="007F1735">
        <w:fldChar w:fldCharType="separate"/>
      </w:r>
      <w:r w:rsidRPr="00A13F70">
        <w:rPr>
          <w:rStyle w:val="Hyperlink"/>
          <w:sz w:val="18"/>
        </w:rPr>
        <w:t>http://www.ventana.com/roche-receives-fda-approval-complementary-pd-l1-sp263-biomarker-test-urothelial-carcinoma/</w:t>
      </w:r>
      <w:r w:rsidR="007F1735">
        <w:rPr>
          <w:rStyle w:val="Hyperlink"/>
          <w:sz w:val="18"/>
        </w:rPr>
        <w:fldChar w:fldCharType="end"/>
      </w:r>
      <w:r>
        <w:t xml:space="preserve"> </w:t>
      </w:r>
    </w:p>
  </w:footnote>
  <w:footnote w:id="14">
    <w:p w14:paraId="6A352385" w14:textId="7710F49E" w:rsidR="004F0BE9" w:rsidRPr="00A13F70" w:rsidRDefault="004F0BE9" w:rsidP="001A4251">
      <w:pPr>
        <w:pStyle w:val="FootnoteText"/>
        <w:rPr>
          <w:sz w:val="18"/>
        </w:rPr>
      </w:pPr>
      <w:r w:rsidRPr="00A13F70">
        <w:rPr>
          <w:rStyle w:val="FootnoteReference"/>
          <w:sz w:val="18"/>
        </w:rPr>
        <w:footnoteRef/>
      </w:r>
      <w:r w:rsidRPr="00A13F70">
        <w:rPr>
          <w:sz w:val="18"/>
        </w:rPr>
        <w:t xml:space="preserve"> </w:t>
      </w:r>
      <w:hyperlink r:id="rId6" w:tooltip="Link to FDA webpage" w:history="1">
        <w:r w:rsidRPr="00A13F70">
          <w:rPr>
            <w:rStyle w:val="Hyperlink"/>
            <w:sz w:val="18"/>
          </w:rPr>
          <w:t>https://www.accessdata.fda.gov/scripts/cdrh/cfdocs/cfpma/pma.cfm?ID=394004</w:t>
        </w:r>
      </w:hyperlink>
      <w:r w:rsidRPr="00A13F70">
        <w:rPr>
          <w:sz w:val="18"/>
        </w:rPr>
        <w:t xml:space="preserve"> </w:t>
      </w:r>
    </w:p>
  </w:footnote>
  <w:footnote w:id="15">
    <w:p w14:paraId="481A0435" w14:textId="314C0114" w:rsidR="004F0BE9" w:rsidRPr="00F868F9" w:rsidRDefault="004F0BE9" w:rsidP="00AC715E">
      <w:pPr>
        <w:pStyle w:val="FootnoteText"/>
        <w:rPr>
          <w:sz w:val="18"/>
        </w:rPr>
      </w:pPr>
      <w:r w:rsidRPr="00F868F9">
        <w:rPr>
          <w:rStyle w:val="FootnoteReference"/>
          <w:sz w:val="18"/>
        </w:rPr>
        <w:footnoteRef/>
      </w:r>
      <w:r w:rsidRPr="00F868F9">
        <w:rPr>
          <w:sz w:val="18"/>
        </w:rPr>
        <w:t xml:space="preserve"> </w:t>
      </w:r>
      <w:proofErr w:type="gramStart"/>
      <w:r w:rsidRPr="00F868F9">
        <w:rPr>
          <w:sz w:val="18"/>
        </w:rPr>
        <w:t>Shelley M, Cleves A, Wilt TJ, Mason M.</w:t>
      </w:r>
      <w:r w:rsidRPr="00F868F9">
        <w:rPr>
          <w:i/>
          <w:sz w:val="18"/>
        </w:rPr>
        <w:t xml:space="preserve"> Gemcitabine for unresectable, locally advanced or metastatic bladder cancer.</w:t>
      </w:r>
      <w:proofErr w:type="gramEnd"/>
      <w:r w:rsidRPr="00F868F9">
        <w:rPr>
          <w:sz w:val="18"/>
        </w:rPr>
        <w:t xml:space="preserve"> Cochrane Database of Systematic Reviews 2011, Issue 4. Art. No.: CD008976.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B41AE" w14:textId="0D916E5E" w:rsidR="004F0BE9" w:rsidRDefault="004F0BE9">
    <w:pPr>
      <w:pStyle w:val="Header"/>
    </w:pPr>
    <w:r>
      <w:rPr>
        <w:noProof/>
        <w:lang w:eastAsia="en-AU"/>
      </w:rPr>
      <mc:AlternateContent>
        <mc:Choice Requires="wps">
          <w:drawing>
            <wp:anchor distT="0" distB="0" distL="114300" distR="114300" simplePos="0" relativeHeight="251657216" behindDoc="1" locked="0" layoutInCell="0" allowOverlap="1" wp14:anchorId="427D82E4" wp14:editId="6413402A">
              <wp:simplePos x="0" y="0"/>
              <wp:positionH relativeFrom="margin">
                <wp:align>center</wp:align>
              </wp:positionH>
              <wp:positionV relativeFrom="margin">
                <wp:align>center</wp:align>
              </wp:positionV>
              <wp:extent cx="7458710" cy="621030"/>
              <wp:effectExtent l="0" t="2486025" r="0" b="242697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227635" w14:textId="77777777" w:rsidR="004F0BE9" w:rsidRDefault="004F0BE9" w:rsidP="00510ED8">
                          <w:pPr>
                            <w:pStyle w:val="NormalWeb"/>
                            <w:spacing w:before="0" w:beforeAutospacing="0" w:after="0" w:afterAutospacing="0"/>
                            <w:jc w:val="center"/>
                          </w:pPr>
                          <w:r>
                            <w:rPr>
                              <w:rFonts w:ascii="Arial" w:hAnsi="Arial" w:cs="Arial"/>
                              <w:color w:val="C0C0C0"/>
                              <w:sz w:val="2"/>
                              <w:szCs w:val="2"/>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DnhgIAAPsE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" o:allowincell="f" filled="f" stroked="f">
              <v:stroke joinstyle="round"/>
              <o:lock v:ext="edit" shapetype="t"/>
              <v:textbox style="mso-fit-shape-to-text:t">
                <w:txbxContent>
                  <w:p w14:paraId="36227635" w14:textId="77777777" w:rsidR="004F0BE9" w:rsidRDefault="004F0BE9" w:rsidP="00510ED8">
                    <w:pPr>
                      <w:pStyle w:val="NormalWeb"/>
                      <w:spacing w:before="0" w:beforeAutospacing="0" w:after="0" w:afterAutospacing="0"/>
                      <w:jc w:val="center"/>
                    </w:pPr>
                    <w:r>
                      <w:rPr>
                        <w:rFonts w:ascii="Arial" w:hAnsi="Arial" w:cs="Arial"/>
                        <w:color w:val="C0C0C0"/>
                        <w:sz w:val="2"/>
                        <w:szCs w:val="2"/>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8BE"/>
    <w:multiLevelType w:val="hybridMultilevel"/>
    <w:tmpl w:val="0902E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7DF18AE"/>
    <w:multiLevelType w:val="hybridMultilevel"/>
    <w:tmpl w:val="FB90454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1C2FEF"/>
    <w:multiLevelType w:val="hybridMultilevel"/>
    <w:tmpl w:val="465ED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ED85887"/>
    <w:multiLevelType w:val="hybridMultilevel"/>
    <w:tmpl w:val="DEAE3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F8428FF"/>
    <w:multiLevelType w:val="hybridMultilevel"/>
    <w:tmpl w:val="0560A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35A4C08"/>
    <w:multiLevelType w:val="hybridMultilevel"/>
    <w:tmpl w:val="491C1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90948E6"/>
    <w:multiLevelType w:val="hybridMultilevel"/>
    <w:tmpl w:val="CF44E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84260B4"/>
    <w:multiLevelType w:val="hybridMultilevel"/>
    <w:tmpl w:val="2C7C0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4BE41C24"/>
    <w:multiLevelType w:val="hybridMultilevel"/>
    <w:tmpl w:val="B198B7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E0B3758"/>
    <w:multiLevelType w:val="hybridMultilevel"/>
    <w:tmpl w:val="C26C2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F2F079A"/>
    <w:multiLevelType w:val="hybridMultilevel"/>
    <w:tmpl w:val="A0044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A305D9"/>
    <w:multiLevelType w:val="hybridMultilevel"/>
    <w:tmpl w:val="FA402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241104B"/>
    <w:multiLevelType w:val="hybridMultilevel"/>
    <w:tmpl w:val="6E9C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092DC3"/>
    <w:multiLevelType w:val="hybridMultilevel"/>
    <w:tmpl w:val="8E5276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732F276F"/>
    <w:multiLevelType w:val="hybridMultilevel"/>
    <w:tmpl w:val="30660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37E7AD0"/>
    <w:multiLevelType w:val="hybridMultilevel"/>
    <w:tmpl w:val="81842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C755FEF"/>
    <w:multiLevelType w:val="hybridMultilevel"/>
    <w:tmpl w:val="3306C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E0304B6"/>
    <w:multiLevelType w:val="hybridMultilevel"/>
    <w:tmpl w:val="E52EDC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61239C"/>
    <w:multiLevelType w:val="hybridMultilevel"/>
    <w:tmpl w:val="8F2AD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5"/>
  </w:num>
  <w:num w:numId="4">
    <w:abstractNumId w:val="20"/>
  </w:num>
  <w:num w:numId="5">
    <w:abstractNumId w:val="22"/>
  </w:num>
  <w:num w:numId="6">
    <w:abstractNumId w:val="12"/>
  </w:num>
  <w:num w:numId="7">
    <w:abstractNumId w:val="4"/>
  </w:num>
  <w:num w:numId="8">
    <w:abstractNumId w:val="3"/>
  </w:num>
  <w:num w:numId="9">
    <w:abstractNumId w:val="16"/>
  </w:num>
  <w:num w:numId="10">
    <w:abstractNumId w:val="18"/>
  </w:num>
  <w:num w:numId="11">
    <w:abstractNumId w:val="27"/>
  </w:num>
  <w:num w:numId="12">
    <w:abstractNumId w:val="6"/>
  </w:num>
  <w:num w:numId="13">
    <w:abstractNumId w:val="0"/>
  </w:num>
  <w:num w:numId="14">
    <w:abstractNumId w:val="9"/>
  </w:num>
  <w:num w:numId="15">
    <w:abstractNumId w:val="15"/>
  </w:num>
  <w:num w:numId="16">
    <w:abstractNumId w:val="10"/>
  </w:num>
  <w:num w:numId="17">
    <w:abstractNumId w:val="14"/>
  </w:num>
  <w:num w:numId="18">
    <w:abstractNumId w:val="25"/>
  </w:num>
  <w:num w:numId="19">
    <w:abstractNumId w:val="23"/>
  </w:num>
  <w:num w:numId="20">
    <w:abstractNumId w:val="11"/>
  </w:num>
  <w:num w:numId="21">
    <w:abstractNumId w:val="24"/>
  </w:num>
  <w:num w:numId="22">
    <w:abstractNumId w:val="8"/>
  </w:num>
  <w:num w:numId="23">
    <w:abstractNumId w:val="21"/>
  </w:num>
  <w:num w:numId="24">
    <w:abstractNumId w:val="7"/>
  </w:num>
  <w:num w:numId="25">
    <w:abstractNumId w:val="1"/>
  </w:num>
  <w:num w:numId="26">
    <w:abstractNumId w:val="26"/>
  </w:num>
  <w:num w:numId="27">
    <w:abstractNumId w:val="19"/>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rner, Jane">
    <w15:presenceInfo w15:providerId="AD" w15:userId="S-1-5-21-602162358-1682526488-725345543-222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5D"/>
    <w:rsid w:val="000009B5"/>
    <w:rsid w:val="000020D0"/>
    <w:rsid w:val="00002118"/>
    <w:rsid w:val="00004548"/>
    <w:rsid w:val="000104F4"/>
    <w:rsid w:val="000124D4"/>
    <w:rsid w:val="00014375"/>
    <w:rsid w:val="000172E8"/>
    <w:rsid w:val="00017951"/>
    <w:rsid w:val="00021D5C"/>
    <w:rsid w:val="000237EC"/>
    <w:rsid w:val="00024360"/>
    <w:rsid w:val="000269D1"/>
    <w:rsid w:val="0003068E"/>
    <w:rsid w:val="00030CE4"/>
    <w:rsid w:val="00032F32"/>
    <w:rsid w:val="00032FA4"/>
    <w:rsid w:val="00053CBE"/>
    <w:rsid w:val="00057693"/>
    <w:rsid w:val="00063AC8"/>
    <w:rsid w:val="00072940"/>
    <w:rsid w:val="000731EB"/>
    <w:rsid w:val="0007609D"/>
    <w:rsid w:val="000826B3"/>
    <w:rsid w:val="00086C02"/>
    <w:rsid w:val="000A0FBA"/>
    <w:rsid w:val="000A4CFA"/>
    <w:rsid w:val="000B0E13"/>
    <w:rsid w:val="000B1B83"/>
    <w:rsid w:val="000B519A"/>
    <w:rsid w:val="000B545A"/>
    <w:rsid w:val="000C3877"/>
    <w:rsid w:val="000C59CA"/>
    <w:rsid w:val="000D05C9"/>
    <w:rsid w:val="000D7264"/>
    <w:rsid w:val="000E6F80"/>
    <w:rsid w:val="000E7746"/>
    <w:rsid w:val="000E7E5C"/>
    <w:rsid w:val="000F3EF2"/>
    <w:rsid w:val="000F44DE"/>
    <w:rsid w:val="000F5B92"/>
    <w:rsid w:val="000F6211"/>
    <w:rsid w:val="000F67AE"/>
    <w:rsid w:val="00102C8A"/>
    <w:rsid w:val="00110336"/>
    <w:rsid w:val="00113976"/>
    <w:rsid w:val="0011681C"/>
    <w:rsid w:val="00122E0D"/>
    <w:rsid w:val="0012329C"/>
    <w:rsid w:val="00126292"/>
    <w:rsid w:val="00127401"/>
    <w:rsid w:val="00136364"/>
    <w:rsid w:val="0013744B"/>
    <w:rsid w:val="001455EC"/>
    <w:rsid w:val="00147297"/>
    <w:rsid w:val="001511E4"/>
    <w:rsid w:val="00156054"/>
    <w:rsid w:val="00157588"/>
    <w:rsid w:val="00161CEC"/>
    <w:rsid w:val="0016589D"/>
    <w:rsid w:val="00167A93"/>
    <w:rsid w:val="00167B9B"/>
    <w:rsid w:val="00173083"/>
    <w:rsid w:val="00175779"/>
    <w:rsid w:val="00176096"/>
    <w:rsid w:val="00176D25"/>
    <w:rsid w:val="001778F3"/>
    <w:rsid w:val="0018466B"/>
    <w:rsid w:val="0018560B"/>
    <w:rsid w:val="00185A78"/>
    <w:rsid w:val="00191E53"/>
    <w:rsid w:val="00193E35"/>
    <w:rsid w:val="00197879"/>
    <w:rsid w:val="001A3610"/>
    <w:rsid w:val="001A4251"/>
    <w:rsid w:val="001A65BE"/>
    <w:rsid w:val="001B0C9C"/>
    <w:rsid w:val="001B4DD5"/>
    <w:rsid w:val="001C6050"/>
    <w:rsid w:val="001C6B91"/>
    <w:rsid w:val="001D2D22"/>
    <w:rsid w:val="001E3220"/>
    <w:rsid w:val="001E7166"/>
    <w:rsid w:val="001F2A5C"/>
    <w:rsid w:val="001F2C27"/>
    <w:rsid w:val="00200525"/>
    <w:rsid w:val="00200B89"/>
    <w:rsid w:val="00202974"/>
    <w:rsid w:val="002051E2"/>
    <w:rsid w:val="002054C9"/>
    <w:rsid w:val="002061A2"/>
    <w:rsid w:val="002119A1"/>
    <w:rsid w:val="00213725"/>
    <w:rsid w:val="0021542C"/>
    <w:rsid w:val="00224475"/>
    <w:rsid w:val="00233DE1"/>
    <w:rsid w:val="0024436C"/>
    <w:rsid w:val="00244774"/>
    <w:rsid w:val="00260D0D"/>
    <w:rsid w:val="002710A1"/>
    <w:rsid w:val="0027148C"/>
    <w:rsid w:val="00273337"/>
    <w:rsid w:val="002757E9"/>
    <w:rsid w:val="00276CAC"/>
    <w:rsid w:val="002777DE"/>
    <w:rsid w:val="00282B7B"/>
    <w:rsid w:val="002845F0"/>
    <w:rsid w:val="00285955"/>
    <w:rsid w:val="0028623A"/>
    <w:rsid w:val="00287B12"/>
    <w:rsid w:val="00291742"/>
    <w:rsid w:val="00292DE9"/>
    <w:rsid w:val="002A03CE"/>
    <w:rsid w:val="002A311E"/>
    <w:rsid w:val="002A4909"/>
    <w:rsid w:val="002A66BD"/>
    <w:rsid w:val="002B226C"/>
    <w:rsid w:val="002B3338"/>
    <w:rsid w:val="002B3842"/>
    <w:rsid w:val="002B5F6E"/>
    <w:rsid w:val="002B727C"/>
    <w:rsid w:val="002C098F"/>
    <w:rsid w:val="002C1FE3"/>
    <w:rsid w:val="002C35D9"/>
    <w:rsid w:val="002C5001"/>
    <w:rsid w:val="002D1857"/>
    <w:rsid w:val="002E11EA"/>
    <w:rsid w:val="002F6A0B"/>
    <w:rsid w:val="002F6F23"/>
    <w:rsid w:val="00303C94"/>
    <w:rsid w:val="003057B0"/>
    <w:rsid w:val="00312A1F"/>
    <w:rsid w:val="003167D3"/>
    <w:rsid w:val="00317462"/>
    <w:rsid w:val="0034110F"/>
    <w:rsid w:val="00356492"/>
    <w:rsid w:val="00362776"/>
    <w:rsid w:val="00366030"/>
    <w:rsid w:val="00372624"/>
    <w:rsid w:val="0038100C"/>
    <w:rsid w:val="00382875"/>
    <w:rsid w:val="003A10D9"/>
    <w:rsid w:val="003B1087"/>
    <w:rsid w:val="003C6392"/>
    <w:rsid w:val="003D4808"/>
    <w:rsid w:val="003D699E"/>
    <w:rsid w:val="003D6B2A"/>
    <w:rsid w:val="003E0382"/>
    <w:rsid w:val="003E2EE1"/>
    <w:rsid w:val="003E3286"/>
    <w:rsid w:val="003E4A35"/>
    <w:rsid w:val="003F0716"/>
    <w:rsid w:val="00404EFF"/>
    <w:rsid w:val="00411511"/>
    <w:rsid w:val="00411899"/>
    <w:rsid w:val="004151B1"/>
    <w:rsid w:val="0042272E"/>
    <w:rsid w:val="00424815"/>
    <w:rsid w:val="0042483F"/>
    <w:rsid w:val="0043030C"/>
    <w:rsid w:val="00440228"/>
    <w:rsid w:val="0044715D"/>
    <w:rsid w:val="004546B5"/>
    <w:rsid w:val="00464288"/>
    <w:rsid w:val="004A187C"/>
    <w:rsid w:val="004A4A36"/>
    <w:rsid w:val="004A4E39"/>
    <w:rsid w:val="004B5E77"/>
    <w:rsid w:val="004B7E3A"/>
    <w:rsid w:val="004C1FA9"/>
    <w:rsid w:val="004C5F5D"/>
    <w:rsid w:val="004D1D41"/>
    <w:rsid w:val="004F0BE9"/>
    <w:rsid w:val="004F1D03"/>
    <w:rsid w:val="004F2D44"/>
    <w:rsid w:val="00510ED8"/>
    <w:rsid w:val="0051139A"/>
    <w:rsid w:val="00516710"/>
    <w:rsid w:val="005178E7"/>
    <w:rsid w:val="00520D2B"/>
    <w:rsid w:val="0052134F"/>
    <w:rsid w:val="00522BC9"/>
    <w:rsid w:val="0052559F"/>
    <w:rsid w:val="005267F3"/>
    <w:rsid w:val="00534A06"/>
    <w:rsid w:val="005412AC"/>
    <w:rsid w:val="00543A25"/>
    <w:rsid w:val="0055025A"/>
    <w:rsid w:val="00555DF2"/>
    <w:rsid w:val="00562223"/>
    <w:rsid w:val="005640CC"/>
    <w:rsid w:val="00572989"/>
    <w:rsid w:val="0059669E"/>
    <w:rsid w:val="005A208B"/>
    <w:rsid w:val="005A4651"/>
    <w:rsid w:val="005C13E0"/>
    <w:rsid w:val="005C40F4"/>
    <w:rsid w:val="005C7164"/>
    <w:rsid w:val="005C7B58"/>
    <w:rsid w:val="005D2403"/>
    <w:rsid w:val="005D549A"/>
    <w:rsid w:val="005E5FFE"/>
    <w:rsid w:val="005E66E4"/>
    <w:rsid w:val="005F3AAF"/>
    <w:rsid w:val="005F4D2F"/>
    <w:rsid w:val="006061B3"/>
    <w:rsid w:val="00607382"/>
    <w:rsid w:val="00610E8D"/>
    <w:rsid w:val="00617495"/>
    <w:rsid w:val="00625495"/>
    <w:rsid w:val="0062703C"/>
    <w:rsid w:val="00627B5C"/>
    <w:rsid w:val="00631B12"/>
    <w:rsid w:val="00636B8F"/>
    <w:rsid w:val="00644920"/>
    <w:rsid w:val="00655327"/>
    <w:rsid w:val="00660582"/>
    <w:rsid w:val="00664B60"/>
    <w:rsid w:val="0067039A"/>
    <w:rsid w:val="00670DB8"/>
    <w:rsid w:val="0068160D"/>
    <w:rsid w:val="0068393B"/>
    <w:rsid w:val="00685060"/>
    <w:rsid w:val="0069113C"/>
    <w:rsid w:val="00693936"/>
    <w:rsid w:val="00694DC5"/>
    <w:rsid w:val="006960FC"/>
    <w:rsid w:val="00696D89"/>
    <w:rsid w:val="006A0E0B"/>
    <w:rsid w:val="006B6204"/>
    <w:rsid w:val="006D1643"/>
    <w:rsid w:val="006D36D1"/>
    <w:rsid w:val="006E54F9"/>
    <w:rsid w:val="0070062A"/>
    <w:rsid w:val="00701B16"/>
    <w:rsid w:val="00703B2D"/>
    <w:rsid w:val="007160D9"/>
    <w:rsid w:val="007169D8"/>
    <w:rsid w:val="007173C6"/>
    <w:rsid w:val="007261BB"/>
    <w:rsid w:val="00727C4B"/>
    <w:rsid w:val="00730E1E"/>
    <w:rsid w:val="00731519"/>
    <w:rsid w:val="00734F81"/>
    <w:rsid w:val="00735D89"/>
    <w:rsid w:val="0073757B"/>
    <w:rsid w:val="00740B8B"/>
    <w:rsid w:val="00741C64"/>
    <w:rsid w:val="0075015F"/>
    <w:rsid w:val="00751006"/>
    <w:rsid w:val="00752491"/>
    <w:rsid w:val="00757072"/>
    <w:rsid w:val="00761E12"/>
    <w:rsid w:val="00776503"/>
    <w:rsid w:val="00776FF0"/>
    <w:rsid w:val="007A19C5"/>
    <w:rsid w:val="007A2AB5"/>
    <w:rsid w:val="007A5331"/>
    <w:rsid w:val="007A77E8"/>
    <w:rsid w:val="007B1951"/>
    <w:rsid w:val="007B1C21"/>
    <w:rsid w:val="007C3ACC"/>
    <w:rsid w:val="007C5D25"/>
    <w:rsid w:val="007E7E23"/>
    <w:rsid w:val="007F1735"/>
    <w:rsid w:val="007F4E20"/>
    <w:rsid w:val="00805592"/>
    <w:rsid w:val="00814ECA"/>
    <w:rsid w:val="00815726"/>
    <w:rsid w:val="00824177"/>
    <w:rsid w:val="00831CA9"/>
    <w:rsid w:val="00841806"/>
    <w:rsid w:val="008425D2"/>
    <w:rsid w:val="0084290E"/>
    <w:rsid w:val="00843A70"/>
    <w:rsid w:val="00844529"/>
    <w:rsid w:val="00850E74"/>
    <w:rsid w:val="00850EB1"/>
    <w:rsid w:val="0085343F"/>
    <w:rsid w:val="00853AED"/>
    <w:rsid w:val="008559E5"/>
    <w:rsid w:val="0086237B"/>
    <w:rsid w:val="00862D90"/>
    <w:rsid w:val="0086395D"/>
    <w:rsid w:val="00870120"/>
    <w:rsid w:val="00870245"/>
    <w:rsid w:val="008706D6"/>
    <w:rsid w:val="00870A83"/>
    <w:rsid w:val="008743C0"/>
    <w:rsid w:val="00874BA7"/>
    <w:rsid w:val="008757BF"/>
    <w:rsid w:val="00881F9F"/>
    <w:rsid w:val="00887399"/>
    <w:rsid w:val="00892A9D"/>
    <w:rsid w:val="00895BCC"/>
    <w:rsid w:val="00896845"/>
    <w:rsid w:val="008A7E2A"/>
    <w:rsid w:val="008A7EE6"/>
    <w:rsid w:val="008C1EA5"/>
    <w:rsid w:val="008C3E5E"/>
    <w:rsid w:val="008D1373"/>
    <w:rsid w:val="008D5D04"/>
    <w:rsid w:val="008E37CE"/>
    <w:rsid w:val="008F0F3C"/>
    <w:rsid w:val="008F4C54"/>
    <w:rsid w:val="00904D6C"/>
    <w:rsid w:val="00913B1C"/>
    <w:rsid w:val="00915AAE"/>
    <w:rsid w:val="00920EA5"/>
    <w:rsid w:val="00922093"/>
    <w:rsid w:val="00922566"/>
    <w:rsid w:val="009303A6"/>
    <w:rsid w:val="0093476D"/>
    <w:rsid w:val="00942779"/>
    <w:rsid w:val="009539DF"/>
    <w:rsid w:val="00953ED7"/>
    <w:rsid w:val="00962900"/>
    <w:rsid w:val="009759FD"/>
    <w:rsid w:val="009776A2"/>
    <w:rsid w:val="009805A2"/>
    <w:rsid w:val="00983540"/>
    <w:rsid w:val="00984F91"/>
    <w:rsid w:val="00985EDB"/>
    <w:rsid w:val="00990F52"/>
    <w:rsid w:val="009951EE"/>
    <w:rsid w:val="009A2B25"/>
    <w:rsid w:val="009A54F1"/>
    <w:rsid w:val="009B0A32"/>
    <w:rsid w:val="009B772D"/>
    <w:rsid w:val="009B7DE0"/>
    <w:rsid w:val="009C7D47"/>
    <w:rsid w:val="009D65B3"/>
    <w:rsid w:val="009D6757"/>
    <w:rsid w:val="009E5295"/>
    <w:rsid w:val="009E7E2A"/>
    <w:rsid w:val="009F18B3"/>
    <w:rsid w:val="009F5EFA"/>
    <w:rsid w:val="009F64A1"/>
    <w:rsid w:val="009F7661"/>
    <w:rsid w:val="00A05573"/>
    <w:rsid w:val="00A06D79"/>
    <w:rsid w:val="00A13F70"/>
    <w:rsid w:val="00A24100"/>
    <w:rsid w:val="00A25E4E"/>
    <w:rsid w:val="00A40024"/>
    <w:rsid w:val="00A40648"/>
    <w:rsid w:val="00A42357"/>
    <w:rsid w:val="00A42401"/>
    <w:rsid w:val="00A44AB6"/>
    <w:rsid w:val="00A45233"/>
    <w:rsid w:val="00A57A29"/>
    <w:rsid w:val="00A57FB2"/>
    <w:rsid w:val="00A601AC"/>
    <w:rsid w:val="00A64DD0"/>
    <w:rsid w:val="00A65DA1"/>
    <w:rsid w:val="00A66184"/>
    <w:rsid w:val="00A669B1"/>
    <w:rsid w:val="00A72C94"/>
    <w:rsid w:val="00A818A1"/>
    <w:rsid w:val="00A84A56"/>
    <w:rsid w:val="00A87167"/>
    <w:rsid w:val="00AA030D"/>
    <w:rsid w:val="00AA2B97"/>
    <w:rsid w:val="00AB0DD8"/>
    <w:rsid w:val="00AB1F47"/>
    <w:rsid w:val="00AC4BE3"/>
    <w:rsid w:val="00AC715E"/>
    <w:rsid w:val="00AC7CC9"/>
    <w:rsid w:val="00AE606A"/>
    <w:rsid w:val="00AF2672"/>
    <w:rsid w:val="00AF6501"/>
    <w:rsid w:val="00B018A0"/>
    <w:rsid w:val="00B10C73"/>
    <w:rsid w:val="00B13BEA"/>
    <w:rsid w:val="00B1510E"/>
    <w:rsid w:val="00B15E8F"/>
    <w:rsid w:val="00B2000C"/>
    <w:rsid w:val="00B24692"/>
    <w:rsid w:val="00B26F21"/>
    <w:rsid w:val="00B33103"/>
    <w:rsid w:val="00B404F8"/>
    <w:rsid w:val="00B45971"/>
    <w:rsid w:val="00B46A0A"/>
    <w:rsid w:val="00B53700"/>
    <w:rsid w:val="00B542D8"/>
    <w:rsid w:val="00B54513"/>
    <w:rsid w:val="00B607EE"/>
    <w:rsid w:val="00B730BD"/>
    <w:rsid w:val="00B739ED"/>
    <w:rsid w:val="00B74B4D"/>
    <w:rsid w:val="00B83C0D"/>
    <w:rsid w:val="00B84486"/>
    <w:rsid w:val="00B85D39"/>
    <w:rsid w:val="00B866E3"/>
    <w:rsid w:val="00B8731D"/>
    <w:rsid w:val="00B90B3D"/>
    <w:rsid w:val="00BA63AA"/>
    <w:rsid w:val="00BB45D2"/>
    <w:rsid w:val="00BB6271"/>
    <w:rsid w:val="00BB74C3"/>
    <w:rsid w:val="00BC0B53"/>
    <w:rsid w:val="00BC69C7"/>
    <w:rsid w:val="00BD0B80"/>
    <w:rsid w:val="00BD6126"/>
    <w:rsid w:val="00BD7EA6"/>
    <w:rsid w:val="00BE0207"/>
    <w:rsid w:val="00BE4741"/>
    <w:rsid w:val="00BE59D2"/>
    <w:rsid w:val="00BE7852"/>
    <w:rsid w:val="00BF529C"/>
    <w:rsid w:val="00BF645F"/>
    <w:rsid w:val="00C02134"/>
    <w:rsid w:val="00C04385"/>
    <w:rsid w:val="00C0789F"/>
    <w:rsid w:val="00C12578"/>
    <w:rsid w:val="00C203B8"/>
    <w:rsid w:val="00C21E10"/>
    <w:rsid w:val="00C21E2F"/>
    <w:rsid w:val="00C2596D"/>
    <w:rsid w:val="00C45E72"/>
    <w:rsid w:val="00C46F18"/>
    <w:rsid w:val="00C504CD"/>
    <w:rsid w:val="00C568BB"/>
    <w:rsid w:val="00C61965"/>
    <w:rsid w:val="00C61FAA"/>
    <w:rsid w:val="00C626C5"/>
    <w:rsid w:val="00C63A94"/>
    <w:rsid w:val="00C66D6F"/>
    <w:rsid w:val="00C73195"/>
    <w:rsid w:val="00C852E8"/>
    <w:rsid w:val="00C94B71"/>
    <w:rsid w:val="00C960FE"/>
    <w:rsid w:val="00C9630A"/>
    <w:rsid w:val="00CA529E"/>
    <w:rsid w:val="00CA5996"/>
    <w:rsid w:val="00CB59EC"/>
    <w:rsid w:val="00CC24D3"/>
    <w:rsid w:val="00CC363B"/>
    <w:rsid w:val="00CC60B0"/>
    <w:rsid w:val="00CD25B0"/>
    <w:rsid w:val="00CF070F"/>
    <w:rsid w:val="00CF332E"/>
    <w:rsid w:val="00CF5365"/>
    <w:rsid w:val="00D04DB9"/>
    <w:rsid w:val="00D22162"/>
    <w:rsid w:val="00D236A1"/>
    <w:rsid w:val="00D26848"/>
    <w:rsid w:val="00D46C89"/>
    <w:rsid w:val="00D530EF"/>
    <w:rsid w:val="00D62DDD"/>
    <w:rsid w:val="00D638E3"/>
    <w:rsid w:val="00D64A29"/>
    <w:rsid w:val="00D67F51"/>
    <w:rsid w:val="00D70B88"/>
    <w:rsid w:val="00D714FE"/>
    <w:rsid w:val="00D71A33"/>
    <w:rsid w:val="00D72F2F"/>
    <w:rsid w:val="00D7465F"/>
    <w:rsid w:val="00D7714B"/>
    <w:rsid w:val="00D817BF"/>
    <w:rsid w:val="00D83880"/>
    <w:rsid w:val="00D8570F"/>
    <w:rsid w:val="00D859B1"/>
    <w:rsid w:val="00DB0B69"/>
    <w:rsid w:val="00DB1BBD"/>
    <w:rsid w:val="00DB1CF7"/>
    <w:rsid w:val="00DB29D6"/>
    <w:rsid w:val="00DB3CD9"/>
    <w:rsid w:val="00DB588C"/>
    <w:rsid w:val="00DB63ED"/>
    <w:rsid w:val="00DD456A"/>
    <w:rsid w:val="00DD51FE"/>
    <w:rsid w:val="00DE3177"/>
    <w:rsid w:val="00DE3D6C"/>
    <w:rsid w:val="00DE7086"/>
    <w:rsid w:val="00DE7839"/>
    <w:rsid w:val="00DF013C"/>
    <w:rsid w:val="00DF7384"/>
    <w:rsid w:val="00E05D99"/>
    <w:rsid w:val="00E1023F"/>
    <w:rsid w:val="00E10D35"/>
    <w:rsid w:val="00E22E46"/>
    <w:rsid w:val="00E22E6A"/>
    <w:rsid w:val="00E233E6"/>
    <w:rsid w:val="00E23C7F"/>
    <w:rsid w:val="00E364F7"/>
    <w:rsid w:val="00E44D7F"/>
    <w:rsid w:val="00E46B27"/>
    <w:rsid w:val="00E46C0B"/>
    <w:rsid w:val="00E47658"/>
    <w:rsid w:val="00E50C34"/>
    <w:rsid w:val="00E518BA"/>
    <w:rsid w:val="00E52DEC"/>
    <w:rsid w:val="00E62596"/>
    <w:rsid w:val="00E6317A"/>
    <w:rsid w:val="00E63CBF"/>
    <w:rsid w:val="00E63D0B"/>
    <w:rsid w:val="00E673BB"/>
    <w:rsid w:val="00E71F3C"/>
    <w:rsid w:val="00E7310A"/>
    <w:rsid w:val="00E7320A"/>
    <w:rsid w:val="00E76881"/>
    <w:rsid w:val="00E77A19"/>
    <w:rsid w:val="00E77F5A"/>
    <w:rsid w:val="00E83705"/>
    <w:rsid w:val="00E83EA4"/>
    <w:rsid w:val="00E85E80"/>
    <w:rsid w:val="00E91F3D"/>
    <w:rsid w:val="00E927F4"/>
    <w:rsid w:val="00E968F6"/>
    <w:rsid w:val="00EA157C"/>
    <w:rsid w:val="00EA2FC1"/>
    <w:rsid w:val="00EB3B7C"/>
    <w:rsid w:val="00EB715C"/>
    <w:rsid w:val="00EC1354"/>
    <w:rsid w:val="00EC3E69"/>
    <w:rsid w:val="00ED1C0F"/>
    <w:rsid w:val="00EE0BB4"/>
    <w:rsid w:val="00EE7A1F"/>
    <w:rsid w:val="00EF6479"/>
    <w:rsid w:val="00F0171E"/>
    <w:rsid w:val="00F0186F"/>
    <w:rsid w:val="00F06E0E"/>
    <w:rsid w:val="00F106F7"/>
    <w:rsid w:val="00F12E59"/>
    <w:rsid w:val="00F4622B"/>
    <w:rsid w:val="00F51D3B"/>
    <w:rsid w:val="00F535BD"/>
    <w:rsid w:val="00F5742D"/>
    <w:rsid w:val="00F64E40"/>
    <w:rsid w:val="00F66C65"/>
    <w:rsid w:val="00F85747"/>
    <w:rsid w:val="00F868F9"/>
    <w:rsid w:val="00FA2335"/>
    <w:rsid w:val="00FA34D8"/>
    <w:rsid w:val="00FA522E"/>
    <w:rsid w:val="00FA523B"/>
    <w:rsid w:val="00FB23BC"/>
    <w:rsid w:val="00FB2A48"/>
    <w:rsid w:val="00FB5705"/>
    <w:rsid w:val="00FC0C53"/>
    <w:rsid w:val="00FC17A9"/>
    <w:rsid w:val="00FC3F20"/>
    <w:rsid w:val="00FC4562"/>
    <w:rsid w:val="00FC752E"/>
    <w:rsid w:val="00FE5C7C"/>
    <w:rsid w:val="00FF534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0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annotation text" w:uiPriority="99"/>
    <w:lsdException w:name="header" w:uiPriority="99"/>
    <w:lsdException w:name="footer" w:uiPriority="99"/>
    <w:lsdException w:name="caption" w:uiPriority="99" w:qFormat="1"/>
    <w:lsdException w:name="annotation reference" w:uiPriority="99"/>
    <w:lsdException w:name="List Number 2" w:semiHidden="0"/>
    <w:lsdException w:name="List Number 5" w:semiHidden="0"/>
    <w:lsdException w:name="Title" w:semiHidden="0" w:unhideWhenUsed="0"/>
    <w:lsdException w:name="Default Paragraph Font" w:uiPriority="1"/>
    <w:lsdException w:name="Subtitle" w:semiHidden="0" w:uiPriority="11" w:unhideWhenUsed="0" w:qFormat="1"/>
    <w:lsdException w:name="Body Text Indent 3" w:semiHidden="0"/>
    <w:lsdException w:name="Block Text" w:semiHidden="0"/>
    <w:lsdException w:name="Hyperlink" w:semiHidden="0" w:uiPriority="99"/>
    <w:lsdException w:name="FollowedHyperlink" w:semiHidden="0"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link w:val="FootnoteTextChar"/>
    <w:unhideWhenUsed/>
    <w:rsid w:val="00BC0B53"/>
    <w:pPr>
      <w:spacing w:after="0" w:line="240" w:lineRule="auto"/>
    </w:pPr>
    <w:rPr>
      <w:sz w:val="20"/>
      <w:szCs w:val="20"/>
    </w:rPr>
  </w:style>
  <w:style w:type="character" w:customStyle="1" w:styleId="FootnoteTextChar">
    <w:name w:val="Footnote Text Char"/>
    <w:basedOn w:val="DefaultParagraphFont"/>
    <w:link w:val="FootnoteText"/>
    <w:rsid w:val="00BC0B53"/>
    <w:rPr>
      <w:rFonts w:ascii="Calibri" w:eastAsia="Calibri" w:hAnsi="Calibri" w:cs="Times New Roman"/>
      <w:sz w:val="20"/>
      <w:szCs w:val="20"/>
    </w:rPr>
  </w:style>
  <w:style w:type="character" w:styleId="FootnoteReference">
    <w:name w:val="footnote reference"/>
    <w:basedOn w:val="DefaultParagraphFont"/>
    <w:semiHidden/>
    <w:unhideWhenUsed/>
    <w:rsid w:val="00BC0B53"/>
    <w:rPr>
      <w:vertAlign w:val="superscript"/>
    </w:rPr>
  </w:style>
  <w:style w:type="paragraph" w:styleId="Revision">
    <w:name w:val="Revision"/>
    <w:hidden/>
    <w:semiHidden/>
    <w:rsid w:val="002C1FE3"/>
    <w:pPr>
      <w:spacing w:after="0" w:line="240" w:lineRule="auto"/>
    </w:pPr>
    <w:rPr>
      <w:rFonts w:ascii="Calibri" w:eastAsia="Calibri" w:hAnsi="Calibri" w:cs="Times New Roman"/>
      <w:sz w:val="22"/>
    </w:rPr>
  </w:style>
  <w:style w:type="paragraph" w:styleId="NormalWeb">
    <w:name w:val="Normal (Web)"/>
    <w:basedOn w:val="Normal"/>
    <w:uiPriority w:val="99"/>
    <w:semiHidden/>
    <w:unhideWhenUsed/>
    <w:rsid w:val="00122E0D"/>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7A2AB5"/>
    <w:pPr>
      <w:autoSpaceDE w:val="0"/>
      <w:autoSpaceDN w:val="0"/>
      <w:adjustRightInd w:val="0"/>
      <w:spacing w:after="0" w:line="240" w:lineRule="auto"/>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annotation text" w:uiPriority="99"/>
    <w:lsdException w:name="header" w:uiPriority="99"/>
    <w:lsdException w:name="footer" w:uiPriority="99"/>
    <w:lsdException w:name="caption" w:uiPriority="99" w:qFormat="1"/>
    <w:lsdException w:name="annotation reference" w:uiPriority="99"/>
    <w:lsdException w:name="List Number 2" w:semiHidden="0"/>
    <w:lsdException w:name="List Number 5" w:semiHidden="0"/>
    <w:lsdException w:name="Title" w:semiHidden="0" w:unhideWhenUsed="0"/>
    <w:lsdException w:name="Default Paragraph Font" w:uiPriority="1"/>
    <w:lsdException w:name="Subtitle" w:semiHidden="0" w:uiPriority="11" w:unhideWhenUsed="0" w:qFormat="1"/>
    <w:lsdException w:name="Body Text Indent 3" w:semiHidden="0"/>
    <w:lsdException w:name="Block Text" w:semiHidden="0"/>
    <w:lsdException w:name="Hyperlink" w:semiHidden="0" w:uiPriority="99"/>
    <w:lsdException w:name="FollowedHyperlink" w:semiHidden="0"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link w:val="FootnoteTextChar"/>
    <w:unhideWhenUsed/>
    <w:rsid w:val="00BC0B53"/>
    <w:pPr>
      <w:spacing w:after="0" w:line="240" w:lineRule="auto"/>
    </w:pPr>
    <w:rPr>
      <w:sz w:val="20"/>
      <w:szCs w:val="20"/>
    </w:rPr>
  </w:style>
  <w:style w:type="character" w:customStyle="1" w:styleId="FootnoteTextChar">
    <w:name w:val="Footnote Text Char"/>
    <w:basedOn w:val="DefaultParagraphFont"/>
    <w:link w:val="FootnoteText"/>
    <w:rsid w:val="00BC0B53"/>
    <w:rPr>
      <w:rFonts w:ascii="Calibri" w:eastAsia="Calibri" w:hAnsi="Calibri" w:cs="Times New Roman"/>
      <w:sz w:val="20"/>
      <w:szCs w:val="20"/>
    </w:rPr>
  </w:style>
  <w:style w:type="character" w:styleId="FootnoteReference">
    <w:name w:val="footnote reference"/>
    <w:basedOn w:val="DefaultParagraphFont"/>
    <w:semiHidden/>
    <w:unhideWhenUsed/>
    <w:rsid w:val="00BC0B53"/>
    <w:rPr>
      <w:vertAlign w:val="superscript"/>
    </w:rPr>
  </w:style>
  <w:style w:type="paragraph" w:styleId="Revision">
    <w:name w:val="Revision"/>
    <w:hidden/>
    <w:semiHidden/>
    <w:rsid w:val="002C1FE3"/>
    <w:pPr>
      <w:spacing w:after="0" w:line="240" w:lineRule="auto"/>
    </w:pPr>
    <w:rPr>
      <w:rFonts w:ascii="Calibri" w:eastAsia="Calibri" w:hAnsi="Calibri" w:cs="Times New Roman"/>
      <w:sz w:val="22"/>
    </w:rPr>
  </w:style>
  <w:style w:type="paragraph" w:styleId="NormalWeb">
    <w:name w:val="Normal (Web)"/>
    <w:basedOn w:val="Normal"/>
    <w:uiPriority w:val="99"/>
    <w:semiHidden/>
    <w:unhideWhenUsed/>
    <w:rsid w:val="00122E0D"/>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7A2AB5"/>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558978992">
      <w:bodyDiv w:val="1"/>
      <w:marLeft w:val="0"/>
      <w:marRight w:val="0"/>
      <w:marTop w:val="0"/>
      <w:marBottom w:val="0"/>
      <w:divBdr>
        <w:top w:val="none" w:sz="0" w:space="0" w:color="auto"/>
        <w:left w:val="none" w:sz="0" w:space="0" w:color="auto"/>
        <w:bottom w:val="none" w:sz="0" w:space="0" w:color="auto"/>
        <w:right w:val="none" w:sz="0" w:space="0" w:color="auto"/>
      </w:divBdr>
      <w:divsChild>
        <w:div w:id="985360052">
          <w:marLeft w:val="0"/>
          <w:marRight w:val="0"/>
          <w:marTop w:val="0"/>
          <w:marBottom w:val="0"/>
          <w:divBdr>
            <w:top w:val="none" w:sz="0" w:space="0" w:color="auto"/>
            <w:left w:val="none" w:sz="0" w:space="0" w:color="auto"/>
            <w:bottom w:val="none" w:sz="0" w:space="0" w:color="auto"/>
            <w:right w:val="none" w:sz="0" w:space="0" w:color="auto"/>
          </w:divBdr>
          <w:divsChild>
            <w:div w:id="7133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988561298">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715035669">
      <w:bodyDiv w:val="1"/>
      <w:marLeft w:val="0"/>
      <w:marRight w:val="0"/>
      <w:marTop w:val="0"/>
      <w:marBottom w:val="0"/>
      <w:divBdr>
        <w:top w:val="none" w:sz="0" w:space="0" w:color="auto"/>
        <w:left w:val="none" w:sz="0" w:space="0" w:color="auto"/>
        <w:bottom w:val="none" w:sz="0" w:space="0" w:color="auto"/>
        <w:right w:val="none" w:sz="0" w:space="0" w:color="auto"/>
      </w:divBdr>
    </w:div>
    <w:div w:id="21455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sanz.org.au/uploads/65337/ufiles/bladder-cancer.pdf" TargetMode="External"/><Relationship Id="rId2" Type="http://schemas.openxmlformats.org/officeDocument/2006/relationships/hyperlink" Target="https://radiopaedia.org/articles/transitional-cell-carcinoma-of-the-bladder-staging-1" TargetMode="External"/><Relationship Id="rId1" Type="http://schemas.openxmlformats.org/officeDocument/2006/relationships/hyperlink" Target="https://www.fda.gov/Drugs/InformationOnDrugs/ApprovedDrugs/ucm555930.htm" TargetMode="External"/><Relationship Id="rId6" Type="http://schemas.openxmlformats.org/officeDocument/2006/relationships/hyperlink" Target="https://www.accessdata.fda.gov/scripts/cdrh/cfdocs/cfpma/pma.cfm?ID=394004" TargetMode="External"/><Relationship Id="rId5" Type="http://schemas.openxmlformats.org/officeDocument/2006/relationships/hyperlink" Target="https://bladder-cancer.canceraustralia.gov.au/statistics" TargetMode="External"/><Relationship Id="rId4" Type="http://schemas.openxmlformats.org/officeDocument/2006/relationships/hyperlink" Target="https://www.aihw.gov.au/reports/cancer/acim-books/contents/acim-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C1AB-C104-4D2D-8794-D941D3B9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21</Pages>
  <Words>7124</Words>
  <Characters>40609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Stansfield</dc:creator>
  <cp:lastModifiedBy>Faraz Ghazi</cp:lastModifiedBy>
  <cp:revision>3</cp:revision>
  <cp:lastPrinted>2016-04-27T00:11:00Z</cp:lastPrinted>
  <dcterms:created xsi:type="dcterms:W3CDTF">2018-03-23T04:42:00Z</dcterms:created>
  <dcterms:modified xsi:type="dcterms:W3CDTF">2018-03-28T04:21:00Z</dcterms:modified>
</cp:coreProperties>
</file>