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9F" w:rsidRPr="00FA270C" w:rsidRDefault="00F86C9F">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F86C9F" w:rsidRPr="00FA270C">
        <w:tc>
          <w:tcPr>
            <w:tcW w:w="5000" w:type="pct"/>
          </w:tcPr>
          <w:p w:rsidR="00F86C9F" w:rsidRPr="00FA270C" w:rsidRDefault="00F86C9F">
            <w:pPr>
              <w:pStyle w:val="NoSpacing"/>
              <w:rPr>
                <w:rFonts w:ascii="Tahoma" w:hAnsi="Tahoma" w:cs="Tahoma"/>
                <w:sz w:val="44"/>
                <w:szCs w:val="56"/>
                <w:lang w:val="en-AU"/>
              </w:rPr>
            </w:pPr>
            <w:r w:rsidRPr="00FA270C">
              <w:rPr>
                <w:rFonts w:ascii="Tahoma" w:hAnsi="Tahoma" w:cs="Tahoma"/>
                <w:sz w:val="44"/>
                <w:szCs w:val="56"/>
                <w:lang w:val="en-AU"/>
              </w:rPr>
              <w:t>1316</w:t>
            </w:r>
          </w:p>
          <w:p w:rsidR="00F86C9F" w:rsidRPr="00FA270C" w:rsidRDefault="00F86C9F">
            <w:pPr>
              <w:pStyle w:val="NoSpacing"/>
              <w:rPr>
                <w:rFonts w:ascii="Tahoma" w:hAnsi="Tahoma" w:cs="Tahoma"/>
                <w:sz w:val="44"/>
                <w:szCs w:val="56"/>
                <w:lang w:val="en-AU"/>
              </w:rPr>
            </w:pPr>
          </w:p>
          <w:p w:rsidR="00F86C9F" w:rsidRPr="00FA270C" w:rsidRDefault="00F86C9F" w:rsidP="00524DE4">
            <w:pPr>
              <w:pStyle w:val="NoSpacing"/>
              <w:rPr>
                <w:rFonts w:ascii="Tahoma" w:hAnsi="Tahoma" w:cs="Tahoma"/>
                <w:sz w:val="48"/>
                <w:szCs w:val="56"/>
                <w:lang w:val="en-AU"/>
              </w:rPr>
            </w:pPr>
            <w:r w:rsidRPr="00FA270C">
              <w:rPr>
                <w:rFonts w:ascii="Tahoma" w:hAnsi="Tahoma" w:cs="Tahoma"/>
                <w:sz w:val="44"/>
                <w:szCs w:val="56"/>
                <w:lang w:val="en-AU"/>
              </w:rPr>
              <w:t xml:space="preserve">Final decision analytic protocol (DAP) to guide the assessment of bone mineral density analyses using dual energy </w:t>
            </w:r>
            <w:r w:rsidR="00BE2C41">
              <w:rPr>
                <w:rFonts w:ascii="Tahoma" w:hAnsi="Tahoma" w:cs="Tahoma"/>
                <w:sz w:val="44"/>
                <w:szCs w:val="56"/>
                <w:lang w:val="en-AU"/>
              </w:rPr>
              <w:br/>
            </w:r>
            <w:r w:rsidRPr="00FA270C">
              <w:rPr>
                <w:rFonts w:ascii="Tahoma" w:hAnsi="Tahoma" w:cs="Tahoma"/>
                <w:sz w:val="44"/>
                <w:szCs w:val="56"/>
                <w:lang w:val="en-AU"/>
              </w:rPr>
              <w:t>X-ray absorptiometry (DXA) for women and men aged 50-69 years with risk factors for osteoporosis</w:t>
            </w:r>
          </w:p>
        </w:tc>
      </w:tr>
      <w:tr w:rsidR="00F86C9F" w:rsidRPr="00FA270C">
        <w:tc>
          <w:tcPr>
            <w:tcW w:w="5000" w:type="pct"/>
          </w:tcPr>
          <w:p w:rsidR="00F86C9F" w:rsidRPr="00FA270C" w:rsidRDefault="00F86C9F">
            <w:pPr>
              <w:pStyle w:val="NoSpacing"/>
              <w:rPr>
                <w:rFonts w:ascii="Tahoma" w:hAnsi="Tahoma" w:cs="Tahoma"/>
                <w:sz w:val="32"/>
                <w:szCs w:val="40"/>
                <w:lang w:val="en-AU"/>
              </w:rPr>
            </w:pPr>
            <w:r w:rsidRPr="00FA270C">
              <w:rPr>
                <w:rFonts w:ascii="Tahoma" w:hAnsi="Tahoma" w:cs="Tahoma"/>
                <w:sz w:val="32"/>
                <w:szCs w:val="40"/>
                <w:lang w:val="en-AU"/>
              </w:rPr>
              <w:t>Ju</w:t>
            </w:r>
            <w:r w:rsidR="00EC4C01">
              <w:rPr>
                <w:rFonts w:ascii="Tahoma" w:hAnsi="Tahoma" w:cs="Tahoma"/>
                <w:sz w:val="32"/>
                <w:szCs w:val="40"/>
                <w:lang w:val="en-AU"/>
              </w:rPr>
              <w:t>ly</w:t>
            </w:r>
            <w:r w:rsidRPr="00FA270C">
              <w:rPr>
                <w:rFonts w:ascii="Tahoma" w:hAnsi="Tahoma" w:cs="Tahoma"/>
                <w:sz w:val="32"/>
                <w:szCs w:val="40"/>
                <w:lang w:val="en-AU"/>
              </w:rPr>
              <w:t xml:space="preserve"> 2013</w:t>
            </w:r>
          </w:p>
        </w:tc>
      </w:tr>
    </w:tbl>
    <w:p w:rsidR="00F86C9F" w:rsidRPr="00FA270C" w:rsidRDefault="00F86C9F"/>
    <w:p w:rsidR="00F86C9F" w:rsidRPr="00FA270C" w:rsidRDefault="00F86C9F">
      <w:pPr>
        <w:rPr>
          <w:rFonts w:ascii="Cambria" w:hAnsi="Cambria" w:cs="Times New Roman"/>
          <w:b/>
          <w:i/>
          <w:color w:val="365F91"/>
          <w:sz w:val="22"/>
          <w:szCs w:val="28"/>
          <w:lang w:eastAsia="en-US"/>
        </w:rPr>
      </w:pPr>
      <w:r w:rsidRPr="00FA270C">
        <w:br w:type="page"/>
      </w:r>
    </w:p>
    <w:sdt>
      <w:sdtPr>
        <w:id w:val="-1479838131"/>
        <w:docPartObj>
          <w:docPartGallery w:val="Table of Contents"/>
          <w:docPartUnique/>
        </w:docPartObj>
      </w:sdtPr>
      <w:sdtEndPr>
        <w:rPr>
          <w:rFonts w:eastAsia="SimSun" w:cs="Tahoma"/>
          <w:bCs/>
          <w:noProof/>
          <w:color w:val="auto"/>
          <w:sz w:val="20"/>
          <w:szCs w:val="20"/>
          <w:lang w:val="en-AU" w:eastAsia="zh-CN"/>
        </w:rPr>
      </w:sdtEndPr>
      <w:sdtContent>
        <w:p w:rsidR="00524DE4" w:rsidRDefault="00524DE4">
          <w:pPr>
            <w:pStyle w:val="TOCHeading0"/>
          </w:pPr>
          <w:r>
            <w:t>Table of Contents</w:t>
          </w:r>
        </w:p>
        <w:p w:rsidR="00524DE4" w:rsidRDefault="00524DE4">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62968584" w:history="1">
            <w:r w:rsidRPr="007E2E9F">
              <w:rPr>
                <w:rStyle w:val="Hyperlink"/>
              </w:rPr>
              <w:t>MSAC and PASC</w:t>
            </w:r>
            <w:r>
              <w:rPr>
                <w:webHidden/>
              </w:rPr>
              <w:tab/>
            </w:r>
            <w:r>
              <w:rPr>
                <w:webHidden/>
              </w:rPr>
              <w:fldChar w:fldCharType="begin"/>
            </w:r>
            <w:r>
              <w:rPr>
                <w:webHidden/>
              </w:rPr>
              <w:instrText xml:space="preserve"> PAGEREF _Toc362968584 \h </w:instrText>
            </w:r>
            <w:r>
              <w:rPr>
                <w:webHidden/>
              </w:rPr>
            </w:r>
            <w:r>
              <w:rPr>
                <w:webHidden/>
              </w:rPr>
              <w:fldChar w:fldCharType="separate"/>
            </w:r>
            <w:r>
              <w:rPr>
                <w:webHidden/>
              </w:rPr>
              <w:t>3</w:t>
            </w:r>
            <w:r>
              <w:rPr>
                <w:webHidden/>
              </w:rPr>
              <w:fldChar w:fldCharType="end"/>
            </w:r>
          </w:hyperlink>
        </w:p>
        <w:p w:rsidR="00524DE4" w:rsidRDefault="00524DE4">
          <w:pPr>
            <w:pStyle w:val="TOC2"/>
            <w:rPr>
              <w:rFonts w:asciiTheme="minorHAnsi" w:eastAsiaTheme="minorEastAsia" w:hAnsiTheme="minorHAnsi" w:cstheme="minorBidi"/>
              <w:sz w:val="22"/>
              <w:szCs w:val="22"/>
              <w:lang w:val="en-AU" w:eastAsia="en-AU"/>
            </w:rPr>
          </w:pPr>
          <w:hyperlink w:anchor="_Toc362968585" w:history="1">
            <w:r w:rsidRPr="007E2E9F">
              <w:rPr>
                <w:rStyle w:val="Hyperlink"/>
                <w:lang w:val="en-AU"/>
              </w:rPr>
              <w:t>Purpose of this document</w:t>
            </w:r>
            <w:r>
              <w:rPr>
                <w:webHidden/>
              </w:rPr>
              <w:tab/>
            </w:r>
            <w:r>
              <w:rPr>
                <w:webHidden/>
              </w:rPr>
              <w:fldChar w:fldCharType="begin"/>
            </w:r>
            <w:r>
              <w:rPr>
                <w:webHidden/>
              </w:rPr>
              <w:instrText xml:space="preserve"> PAGEREF _Toc362968585 \h </w:instrText>
            </w:r>
            <w:r>
              <w:rPr>
                <w:webHidden/>
              </w:rPr>
            </w:r>
            <w:r>
              <w:rPr>
                <w:webHidden/>
              </w:rPr>
              <w:fldChar w:fldCharType="separate"/>
            </w:r>
            <w:r>
              <w:rPr>
                <w:webHidden/>
              </w:rPr>
              <w:t>3</w:t>
            </w:r>
            <w:r>
              <w:rPr>
                <w:webHidden/>
              </w:rPr>
              <w:fldChar w:fldCharType="end"/>
            </w:r>
          </w:hyperlink>
        </w:p>
        <w:p w:rsidR="00524DE4" w:rsidRDefault="00524DE4">
          <w:pPr>
            <w:pStyle w:val="TOC1"/>
            <w:rPr>
              <w:rFonts w:asciiTheme="minorHAnsi" w:eastAsiaTheme="minorEastAsia" w:hAnsiTheme="minorHAnsi" w:cstheme="minorBidi"/>
              <w:b w:val="0"/>
              <w:sz w:val="22"/>
              <w:szCs w:val="22"/>
              <w:lang w:eastAsia="en-AU"/>
            </w:rPr>
          </w:pPr>
          <w:hyperlink w:anchor="_Toc362968586" w:history="1">
            <w:r w:rsidRPr="007E2E9F">
              <w:rPr>
                <w:rStyle w:val="Hyperlink"/>
              </w:rPr>
              <w:t>Purpose of application</w:t>
            </w:r>
            <w:r>
              <w:rPr>
                <w:webHidden/>
              </w:rPr>
              <w:tab/>
            </w:r>
            <w:r>
              <w:rPr>
                <w:webHidden/>
              </w:rPr>
              <w:fldChar w:fldCharType="begin"/>
            </w:r>
            <w:r>
              <w:rPr>
                <w:webHidden/>
              </w:rPr>
              <w:instrText xml:space="preserve"> PAGEREF _Toc362968586 \h </w:instrText>
            </w:r>
            <w:r>
              <w:rPr>
                <w:webHidden/>
              </w:rPr>
            </w:r>
            <w:r>
              <w:rPr>
                <w:webHidden/>
              </w:rPr>
              <w:fldChar w:fldCharType="separate"/>
            </w:r>
            <w:r>
              <w:rPr>
                <w:webHidden/>
              </w:rPr>
              <w:t>4</w:t>
            </w:r>
            <w:r>
              <w:rPr>
                <w:webHidden/>
              </w:rPr>
              <w:fldChar w:fldCharType="end"/>
            </w:r>
          </w:hyperlink>
        </w:p>
        <w:p w:rsidR="00524DE4" w:rsidRDefault="00524DE4">
          <w:pPr>
            <w:pStyle w:val="TOC1"/>
            <w:rPr>
              <w:rFonts w:asciiTheme="minorHAnsi" w:eastAsiaTheme="minorEastAsia" w:hAnsiTheme="minorHAnsi" w:cstheme="minorBidi"/>
              <w:b w:val="0"/>
              <w:sz w:val="22"/>
              <w:szCs w:val="22"/>
              <w:lang w:eastAsia="en-AU"/>
            </w:rPr>
          </w:pPr>
          <w:hyperlink w:anchor="_Toc362968587" w:history="1">
            <w:r w:rsidRPr="007E2E9F">
              <w:rPr>
                <w:rStyle w:val="Hyperlink"/>
              </w:rPr>
              <w:t>Intervention</w:t>
            </w:r>
            <w:r>
              <w:rPr>
                <w:webHidden/>
              </w:rPr>
              <w:tab/>
            </w:r>
            <w:r>
              <w:rPr>
                <w:webHidden/>
              </w:rPr>
              <w:fldChar w:fldCharType="begin"/>
            </w:r>
            <w:r>
              <w:rPr>
                <w:webHidden/>
              </w:rPr>
              <w:instrText xml:space="preserve"> PAGEREF _Toc362968587 \h </w:instrText>
            </w:r>
            <w:r>
              <w:rPr>
                <w:webHidden/>
              </w:rPr>
            </w:r>
            <w:r>
              <w:rPr>
                <w:webHidden/>
              </w:rPr>
              <w:fldChar w:fldCharType="separate"/>
            </w:r>
            <w:r>
              <w:rPr>
                <w:webHidden/>
              </w:rPr>
              <w:t>4</w:t>
            </w:r>
            <w:r>
              <w:rPr>
                <w:webHidden/>
              </w:rPr>
              <w:fldChar w:fldCharType="end"/>
            </w:r>
          </w:hyperlink>
        </w:p>
        <w:p w:rsidR="00524DE4" w:rsidRDefault="00524DE4">
          <w:pPr>
            <w:pStyle w:val="TOC2"/>
            <w:rPr>
              <w:rFonts w:asciiTheme="minorHAnsi" w:eastAsiaTheme="minorEastAsia" w:hAnsiTheme="minorHAnsi" w:cstheme="minorBidi"/>
              <w:sz w:val="22"/>
              <w:szCs w:val="22"/>
              <w:lang w:val="en-AU" w:eastAsia="en-AU"/>
            </w:rPr>
          </w:pPr>
          <w:hyperlink w:anchor="_Toc362968588" w:history="1">
            <w:r w:rsidRPr="007E2E9F">
              <w:rPr>
                <w:rStyle w:val="Hyperlink"/>
                <w:lang w:val="en-AU"/>
              </w:rPr>
              <w:t>Description</w:t>
            </w:r>
            <w:r>
              <w:rPr>
                <w:webHidden/>
              </w:rPr>
              <w:tab/>
            </w:r>
            <w:r>
              <w:rPr>
                <w:webHidden/>
              </w:rPr>
              <w:fldChar w:fldCharType="begin"/>
            </w:r>
            <w:r>
              <w:rPr>
                <w:webHidden/>
              </w:rPr>
              <w:instrText xml:space="preserve"> PAGEREF _Toc362968588 \h </w:instrText>
            </w:r>
            <w:r>
              <w:rPr>
                <w:webHidden/>
              </w:rPr>
            </w:r>
            <w:r>
              <w:rPr>
                <w:webHidden/>
              </w:rPr>
              <w:fldChar w:fldCharType="separate"/>
            </w:r>
            <w:r>
              <w:rPr>
                <w:webHidden/>
              </w:rPr>
              <w:t>4</w:t>
            </w:r>
            <w:r>
              <w:rPr>
                <w:webHidden/>
              </w:rPr>
              <w:fldChar w:fldCharType="end"/>
            </w:r>
          </w:hyperlink>
        </w:p>
        <w:p w:rsidR="00524DE4" w:rsidRDefault="00524DE4">
          <w:pPr>
            <w:pStyle w:val="TOC2"/>
            <w:rPr>
              <w:rFonts w:asciiTheme="minorHAnsi" w:eastAsiaTheme="minorEastAsia" w:hAnsiTheme="minorHAnsi" w:cstheme="minorBidi"/>
              <w:sz w:val="22"/>
              <w:szCs w:val="22"/>
              <w:lang w:val="en-AU" w:eastAsia="en-AU"/>
            </w:rPr>
          </w:pPr>
          <w:hyperlink w:anchor="_Toc362968589" w:history="1">
            <w:r w:rsidRPr="007E2E9F">
              <w:rPr>
                <w:rStyle w:val="Hyperlink"/>
                <w:lang w:val="en-AU"/>
              </w:rPr>
              <w:t>Measurement of bone mineral density</w:t>
            </w:r>
            <w:r>
              <w:rPr>
                <w:webHidden/>
              </w:rPr>
              <w:tab/>
            </w:r>
            <w:r>
              <w:rPr>
                <w:webHidden/>
              </w:rPr>
              <w:fldChar w:fldCharType="begin"/>
            </w:r>
            <w:r>
              <w:rPr>
                <w:webHidden/>
              </w:rPr>
              <w:instrText xml:space="preserve"> PAGEREF _Toc362968589 \h </w:instrText>
            </w:r>
            <w:r>
              <w:rPr>
                <w:webHidden/>
              </w:rPr>
            </w:r>
            <w:r>
              <w:rPr>
                <w:webHidden/>
              </w:rPr>
              <w:fldChar w:fldCharType="separate"/>
            </w:r>
            <w:r>
              <w:rPr>
                <w:webHidden/>
              </w:rPr>
              <w:t>8</w:t>
            </w:r>
            <w:r>
              <w:rPr>
                <w:webHidden/>
              </w:rPr>
              <w:fldChar w:fldCharType="end"/>
            </w:r>
          </w:hyperlink>
        </w:p>
        <w:p w:rsidR="00524DE4" w:rsidRDefault="00524DE4">
          <w:pPr>
            <w:pStyle w:val="TOC2"/>
            <w:rPr>
              <w:rFonts w:asciiTheme="minorHAnsi" w:eastAsiaTheme="minorEastAsia" w:hAnsiTheme="minorHAnsi" w:cstheme="minorBidi"/>
              <w:sz w:val="22"/>
              <w:szCs w:val="22"/>
              <w:lang w:val="en-AU" w:eastAsia="en-AU"/>
            </w:rPr>
          </w:pPr>
          <w:hyperlink w:anchor="_Toc362968590" w:history="1">
            <w:r w:rsidRPr="007E2E9F">
              <w:rPr>
                <w:rStyle w:val="Hyperlink"/>
                <w:lang w:val="en-AU"/>
              </w:rPr>
              <w:t>Administration, dose, frequency of administration, duration of the intervention</w:t>
            </w:r>
            <w:r>
              <w:rPr>
                <w:webHidden/>
              </w:rPr>
              <w:tab/>
            </w:r>
            <w:r>
              <w:rPr>
                <w:webHidden/>
              </w:rPr>
              <w:fldChar w:fldCharType="begin"/>
            </w:r>
            <w:r>
              <w:rPr>
                <w:webHidden/>
              </w:rPr>
              <w:instrText xml:space="preserve"> PAGEREF _Toc362968590 \h </w:instrText>
            </w:r>
            <w:r>
              <w:rPr>
                <w:webHidden/>
              </w:rPr>
            </w:r>
            <w:r>
              <w:rPr>
                <w:webHidden/>
              </w:rPr>
              <w:fldChar w:fldCharType="separate"/>
            </w:r>
            <w:r>
              <w:rPr>
                <w:webHidden/>
              </w:rPr>
              <w:t>9</w:t>
            </w:r>
            <w:r>
              <w:rPr>
                <w:webHidden/>
              </w:rPr>
              <w:fldChar w:fldCharType="end"/>
            </w:r>
          </w:hyperlink>
        </w:p>
        <w:p w:rsidR="00524DE4" w:rsidRDefault="00524DE4">
          <w:pPr>
            <w:pStyle w:val="TOC2"/>
            <w:rPr>
              <w:rFonts w:asciiTheme="minorHAnsi" w:eastAsiaTheme="minorEastAsia" w:hAnsiTheme="minorHAnsi" w:cstheme="minorBidi"/>
              <w:sz w:val="22"/>
              <w:szCs w:val="22"/>
              <w:lang w:val="en-AU" w:eastAsia="en-AU"/>
            </w:rPr>
          </w:pPr>
          <w:hyperlink w:anchor="_Toc362968591" w:history="1">
            <w:r w:rsidRPr="007E2E9F">
              <w:rPr>
                <w:rStyle w:val="Hyperlink"/>
                <w:lang w:val="en-AU"/>
              </w:rPr>
              <w:t>Co-administered interventions</w:t>
            </w:r>
            <w:r>
              <w:rPr>
                <w:webHidden/>
              </w:rPr>
              <w:tab/>
            </w:r>
            <w:r>
              <w:rPr>
                <w:webHidden/>
              </w:rPr>
              <w:fldChar w:fldCharType="begin"/>
            </w:r>
            <w:r>
              <w:rPr>
                <w:webHidden/>
              </w:rPr>
              <w:instrText xml:space="preserve"> PAGEREF _Toc362968591 \h </w:instrText>
            </w:r>
            <w:r>
              <w:rPr>
                <w:webHidden/>
              </w:rPr>
            </w:r>
            <w:r>
              <w:rPr>
                <w:webHidden/>
              </w:rPr>
              <w:fldChar w:fldCharType="separate"/>
            </w:r>
            <w:r>
              <w:rPr>
                <w:webHidden/>
              </w:rPr>
              <w:t>10</w:t>
            </w:r>
            <w:r>
              <w:rPr>
                <w:webHidden/>
              </w:rPr>
              <w:fldChar w:fldCharType="end"/>
            </w:r>
          </w:hyperlink>
        </w:p>
        <w:p w:rsidR="00524DE4" w:rsidRDefault="00524DE4">
          <w:pPr>
            <w:pStyle w:val="TOC1"/>
            <w:rPr>
              <w:rFonts w:asciiTheme="minorHAnsi" w:eastAsiaTheme="minorEastAsia" w:hAnsiTheme="minorHAnsi" w:cstheme="minorBidi"/>
              <w:b w:val="0"/>
              <w:sz w:val="22"/>
              <w:szCs w:val="22"/>
              <w:lang w:eastAsia="en-AU"/>
            </w:rPr>
          </w:pPr>
          <w:hyperlink w:anchor="_Toc362968592" w:history="1">
            <w:r w:rsidRPr="007E2E9F">
              <w:rPr>
                <w:rStyle w:val="Hyperlink"/>
              </w:rPr>
              <w:t>Background</w:t>
            </w:r>
            <w:r>
              <w:rPr>
                <w:webHidden/>
              </w:rPr>
              <w:tab/>
            </w:r>
            <w:r>
              <w:rPr>
                <w:webHidden/>
              </w:rPr>
              <w:fldChar w:fldCharType="begin"/>
            </w:r>
            <w:r>
              <w:rPr>
                <w:webHidden/>
              </w:rPr>
              <w:instrText xml:space="preserve"> PAGEREF _Toc362968592 \h </w:instrText>
            </w:r>
            <w:r>
              <w:rPr>
                <w:webHidden/>
              </w:rPr>
            </w:r>
            <w:r>
              <w:rPr>
                <w:webHidden/>
              </w:rPr>
              <w:fldChar w:fldCharType="separate"/>
            </w:r>
            <w:r>
              <w:rPr>
                <w:webHidden/>
              </w:rPr>
              <w:t>14</w:t>
            </w:r>
            <w:r>
              <w:rPr>
                <w:webHidden/>
              </w:rPr>
              <w:fldChar w:fldCharType="end"/>
            </w:r>
          </w:hyperlink>
        </w:p>
        <w:p w:rsidR="00524DE4" w:rsidRDefault="00524DE4">
          <w:pPr>
            <w:pStyle w:val="TOC2"/>
            <w:rPr>
              <w:rFonts w:asciiTheme="minorHAnsi" w:eastAsiaTheme="minorEastAsia" w:hAnsiTheme="minorHAnsi" w:cstheme="minorBidi"/>
              <w:sz w:val="22"/>
              <w:szCs w:val="22"/>
              <w:lang w:val="en-AU" w:eastAsia="en-AU"/>
            </w:rPr>
          </w:pPr>
          <w:hyperlink w:anchor="_Toc362968593" w:history="1">
            <w:r w:rsidRPr="007E2E9F">
              <w:rPr>
                <w:rStyle w:val="Hyperlink"/>
                <w:lang w:val="en-AU"/>
              </w:rPr>
              <w:t>Current arrangements for public reimbursement</w:t>
            </w:r>
            <w:r>
              <w:rPr>
                <w:webHidden/>
              </w:rPr>
              <w:tab/>
            </w:r>
            <w:r>
              <w:rPr>
                <w:webHidden/>
              </w:rPr>
              <w:fldChar w:fldCharType="begin"/>
            </w:r>
            <w:r>
              <w:rPr>
                <w:webHidden/>
              </w:rPr>
              <w:instrText xml:space="preserve"> PAGEREF _Toc362968593 \h </w:instrText>
            </w:r>
            <w:r>
              <w:rPr>
                <w:webHidden/>
              </w:rPr>
            </w:r>
            <w:r>
              <w:rPr>
                <w:webHidden/>
              </w:rPr>
              <w:fldChar w:fldCharType="separate"/>
            </w:r>
            <w:r>
              <w:rPr>
                <w:webHidden/>
              </w:rPr>
              <w:t>14</w:t>
            </w:r>
            <w:r>
              <w:rPr>
                <w:webHidden/>
              </w:rPr>
              <w:fldChar w:fldCharType="end"/>
            </w:r>
          </w:hyperlink>
        </w:p>
        <w:p w:rsidR="00524DE4" w:rsidRDefault="00524DE4">
          <w:pPr>
            <w:pStyle w:val="TOC2"/>
            <w:rPr>
              <w:rFonts w:asciiTheme="minorHAnsi" w:eastAsiaTheme="minorEastAsia" w:hAnsiTheme="minorHAnsi" w:cstheme="minorBidi"/>
              <w:sz w:val="22"/>
              <w:szCs w:val="22"/>
              <w:lang w:val="en-AU" w:eastAsia="en-AU"/>
            </w:rPr>
          </w:pPr>
          <w:hyperlink w:anchor="_Toc362968594" w:history="1">
            <w:r w:rsidRPr="007E2E9F">
              <w:rPr>
                <w:rStyle w:val="Hyperlink"/>
                <w:lang w:val="en-AU"/>
              </w:rPr>
              <w:t>Regulatory status</w:t>
            </w:r>
            <w:r>
              <w:rPr>
                <w:webHidden/>
              </w:rPr>
              <w:tab/>
            </w:r>
            <w:r>
              <w:rPr>
                <w:webHidden/>
              </w:rPr>
              <w:fldChar w:fldCharType="begin"/>
            </w:r>
            <w:r>
              <w:rPr>
                <w:webHidden/>
              </w:rPr>
              <w:instrText xml:space="preserve"> PAGEREF _Toc362968594 \h </w:instrText>
            </w:r>
            <w:r>
              <w:rPr>
                <w:webHidden/>
              </w:rPr>
            </w:r>
            <w:r>
              <w:rPr>
                <w:webHidden/>
              </w:rPr>
              <w:fldChar w:fldCharType="separate"/>
            </w:r>
            <w:r>
              <w:rPr>
                <w:webHidden/>
              </w:rPr>
              <w:t>20</w:t>
            </w:r>
            <w:r>
              <w:rPr>
                <w:webHidden/>
              </w:rPr>
              <w:fldChar w:fldCharType="end"/>
            </w:r>
          </w:hyperlink>
        </w:p>
        <w:p w:rsidR="00524DE4" w:rsidRDefault="00524DE4">
          <w:pPr>
            <w:pStyle w:val="TOC1"/>
            <w:rPr>
              <w:rFonts w:asciiTheme="minorHAnsi" w:eastAsiaTheme="minorEastAsia" w:hAnsiTheme="minorHAnsi" w:cstheme="minorBidi"/>
              <w:b w:val="0"/>
              <w:sz w:val="22"/>
              <w:szCs w:val="22"/>
              <w:lang w:eastAsia="en-AU"/>
            </w:rPr>
          </w:pPr>
          <w:hyperlink w:anchor="_Toc362968595" w:history="1">
            <w:r w:rsidRPr="007E2E9F">
              <w:rPr>
                <w:rStyle w:val="Hyperlink"/>
              </w:rPr>
              <w:t>Patient population</w:t>
            </w:r>
            <w:r>
              <w:rPr>
                <w:webHidden/>
              </w:rPr>
              <w:tab/>
            </w:r>
            <w:r>
              <w:rPr>
                <w:webHidden/>
              </w:rPr>
              <w:fldChar w:fldCharType="begin"/>
            </w:r>
            <w:r>
              <w:rPr>
                <w:webHidden/>
              </w:rPr>
              <w:instrText xml:space="preserve"> PAGEREF _Toc362968595 \h </w:instrText>
            </w:r>
            <w:r>
              <w:rPr>
                <w:webHidden/>
              </w:rPr>
            </w:r>
            <w:r>
              <w:rPr>
                <w:webHidden/>
              </w:rPr>
              <w:fldChar w:fldCharType="separate"/>
            </w:r>
            <w:r>
              <w:rPr>
                <w:webHidden/>
              </w:rPr>
              <w:t>20</w:t>
            </w:r>
            <w:r>
              <w:rPr>
                <w:webHidden/>
              </w:rPr>
              <w:fldChar w:fldCharType="end"/>
            </w:r>
          </w:hyperlink>
        </w:p>
        <w:p w:rsidR="00524DE4" w:rsidRDefault="00524DE4">
          <w:pPr>
            <w:pStyle w:val="TOC2"/>
            <w:rPr>
              <w:rFonts w:asciiTheme="minorHAnsi" w:eastAsiaTheme="minorEastAsia" w:hAnsiTheme="minorHAnsi" w:cstheme="minorBidi"/>
              <w:sz w:val="22"/>
              <w:szCs w:val="22"/>
              <w:lang w:val="en-AU" w:eastAsia="en-AU"/>
            </w:rPr>
          </w:pPr>
          <w:hyperlink w:anchor="_Toc362968596" w:history="1">
            <w:r w:rsidRPr="007E2E9F">
              <w:rPr>
                <w:rStyle w:val="Hyperlink"/>
                <w:lang w:val="en-AU"/>
              </w:rPr>
              <w:t>Proposed MBS listing</w:t>
            </w:r>
            <w:r>
              <w:rPr>
                <w:webHidden/>
              </w:rPr>
              <w:tab/>
            </w:r>
            <w:r>
              <w:rPr>
                <w:webHidden/>
              </w:rPr>
              <w:fldChar w:fldCharType="begin"/>
            </w:r>
            <w:r>
              <w:rPr>
                <w:webHidden/>
              </w:rPr>
              <w:instrText xml:space="preserve"> PAGEREF _Toc362968596 \h </w:instrText>
            </w:r>
            <w:r>
              <w:rPr>
                <w:webHidden/>
              </w:rPr>
            </w:r>
            <w:r>
              <w:rPr>
                <w:webHidden/>
              </w:rPr>
              <w:fldChar w:fldCharType="separate"/>
            </w:r>
            <w:r>
              <w:rPr>
                <w:webHidden/>
              </w:rPr>
              <w:t>22</w:t>
            </w:r>
            <w:r>
              <w:rPr>
                <w:webHidden/>
              </w:rPr>
              <w:fldChar w:fldCharType="end"/>
            </w:r>
          </w:hyperlink>
        </w:p>
        <w:p w:rsidR="00524DE4" w:rsidRDefault="00524DE4">
          <w:pPr>
            <w:pStyle w:val="TOC2"/>
            <w:rPr>
              <w:rFonts w:asciiTheme="minorHAnsi" w:eastAsiaTheme="minorEastAsia" w:hAnsiTheme="minorHAnsi" w:cstheme="minorBidi"/>
              <w:sz w:val="22"/>
              <w:szCs w:val="22"/>
              <w:lang w:val="en-AU" w:eastAsia="en-AU"/>
            </w:rPr>
          </w:pPr>
          <w:hyperlink w:anchor="_Toc362968597" w:history="1">
            <w:r w:rsidRPr="007E2E9F">
              <w:rPr>
                <w:rStyle w:val="Hyperlink"/>
                <w:lang w:val="en-AU"/>
              </w:rPr>
              <w:t>Clinical place for proposed intervention</w:t>
            </w:r>
            <w:r>
              <w:rPr>
                <w:webHidden/>
              </w:rPr>
              <w:tab/>
            </w:r>
            <w:r>
              <w:rPr>
                <w:webHidden/>
              </w:rPr>
              <w:fldChar w:fldCharType="begin"/>
            </w:r>
            <w:r>
              <w:rPr>
                <w:webHidden/>
              </w:rPr>
              <w:instrText xml:space="preserve"> PAGEREF _Toc362968597 \h </w:instrText>
            </w:r>
            <w:r>
              <w:rPr>
                <w:webHidden/>
              </w:rPr>
            </w:r>
            <w:r>
              <w:rPr>
                <w:webHidden/>
              </w:rPr>
              <w:fldChar w:fldCharType="separate"/>
            </w:r>
            <w:r>
              <w:rPr>
                <w:webHidden/>
              </w:rPr>
              <w:t>23</w:t>
            </w:r>
            <w:r>
              <w:rPr>
                <w:webHidden/>
              </w:rPr>
              <w:fldChar w:fldCharType="end"/>
            </w:r>
          </w:hyperlink>
        </w:p>
        <w:p w:rsidR="00524DE4" w:rsidRDefault="00524DE4">
          <w:pPr>
            <w:pStyle w:val="TOC1"/>
            <w:rPr>
              <w:rFonts w:asciiTheme="minorHAnsi" w:eastAsiaTheme="minorEastAsia" w:hAnsiTheme="minorHAnsi" w:cstheme="minorBidi"/>
              <w:b w:val="0"/>
              <w:sz w:val="22"/>
              <w:szCs w:val="22"/>
              <w:lang w:eastAsia="en-AU"/>
            </w:rPr>
          </w:pPr>
          <w:hyperlink w:anchor="_Toc362968598" w:history="1">
            <w:r w:rsidRPr="007E2E9F">
              <w:rPr>
                <w:rStyle w:val="Hyperlink"/>
              </w:rPr>
              <w:t>Comparator</w:t>
            </w:r>
            <w:r>
              <w:rPr>
                <w:webHidden/>
              </w:rPr>
              <w:tab/>
            </w:r>
            <w:r>
              <w:rPr>
                <w:webHidden/>
              </w:rPr>
              <w:fldChar w:fldCharType="begin"/>
            </w:r>
            <w:r>
              <w:rPr>
                <w:webHidden/>
              </w:rPr>
              <w:instrText xml:space="preserve"> PAGEREF _Toc362968598 \h </w:instrText>
            </w:r>
            <w:r>
              <w:rPr>
                <w:webHidden/>
              </w:rPr>
            </w:r>
            <w:r>
              <w:rPr>
                <w:webHidden/>
              </w:rPr>
              <w:fldChar w:fldCharType="separate"/>
            </w:r>
            <w:r>
              <w:rPr>
                <w:webHidden/>
              </w:rPr>
              <w:t>27</w:t>
            </w:r>
            <w:r>
              <w:rPr>
                <w:webHidden/>
              </w:rPr>
              <w:fldChar w:fldCharType="end"/>
            </w:r>
          </w:hyperlink>
        </w:p>
        <w:p w:rsidR="00524DE4" w:rsidRDefault="00524DE4">
          <w:pPr>
            <w:pStyle w:val="TOC1"/>
            <w:rPr>
              <w:rFonts w:asciiTheme="minorHAnsi" w:eastAsiaTheme="minorEastAsia" w:hAnsiTheme="minorHAnsi" w:cstheme="minorBidi"/>
              <w:b w:val="0"/>
              <w:sz w:val="22"/>
              <w:szCs w:val="22"/>
              <w:lang w:eastAsia="en-AU"/>
            </w:rPr>
          </w:pPr>
          <w:hyperlink w:anchor="_Toc362968599" w:history="1">
            <w:r w:rsidRPr="007E2E9F">
              <w:rPr>
                <w:rStyle w:val="Hyperlink"/>
              </w:rPr>
              <w:t>Clinical claim</w:t>
            </w:r>
            <w:r>
              <w:rPr>
                <w:webHidden/>
              </w:rPr>
              <w:tab/>
            </w:r>
            <w:r>
              <w:rPr>
                <w:webHidden/>
              </w:rPr>
              <w:fldChar w:fldCharType="begin"/>
            </w:r>
            <w:r>
              <w:rPr>
                <w:webHidden/>
              </w:rPr>
              <w:instrText xml:space="preserve"> PAGEREF _Toc362968599 \h </w:instrText>
            </w:r>
            <w:r>
              <w:rPr>
                <w:webHidden/>
              </w:rPr>
            </w:r>
            <w:r>
              <w:rPr>
                <w:webHidden/>
              </w:rPr>
              <w:fldChar w:fldCharType="separate"/>
            </w:r>
            <w:r>
              <w:rPr>
                <w:webHidden/>
              </w:rPr>
              <w:t>27</w:t>
            </w:r>
            <w:r>
              <w:rPr>
                <w:webHidden/>
              </w:rPr>
              <w:fldChar w:fldCharType="end"/>
            </w:r>
          </w:hyperlink>
        </w:p>
        <w:p w:rsidR="00524DE4" w:rsidRDefault="00524DE4">
          <w:pPr>
            <w:pStyle w:val="TOC1"/>
            <w:rPr>
              <w:rFonts w:asciiTheme="minorHAnsi" w:eastAsiaTheme="minorEastAsia" w:hAnsiTheme="minorHAnsi" w:cstheme="minorBidi"/>
              <w:b w:val="0"/>
              <w:sz w:val="22"/>
              <w:szCs w:val="22"/>
              <w:lang w:eastAsia="en-AU"/>
            </w:rPr>
          </w:pPr>
          <w:hyperlink w:anchor="_Toc362968600" w:history="1">
            <w:r w:rsidRPr="007E2E9F">
              <w:rPr>
                <w:rStyle w:val="Hyperlink"/>
              </w:rPr>
              <w:t>Outcomes and health care resources affected by introduction of proposed intervention</w:t>
            </w:r>
            <w:r>
              <w:rPr>
                <w:webHidden/>
              </w:rPr>
              <w:tab/>
            </w:r>
            <w:r>
              <w:rPr>
                <w:webHidden/>
              </w:rPr>
              <w:fldChar w:fldCharType="begin"/>
            </w:r>
            <w:r>
              <w:rPr>
                <w:webHidden/>
              </w:rPr>
              <w:instrText xml:space="preserve"> PAGEREF _Toc362968600 \h </w:instrText>
            </w:r>
            <w:r>
              <w:rPr>
                <w:webHidden/>
              </w:rPr>
            </w:r>
            <w:r>
              <w:rPr>
                <w:webHidden/>
              </w:rPr>
              <w:fldChar w:fldCharType="separate"/>
            </w:r>
            <w:r>
              <w:rPr>
                <w:webHidden/>
              </w:rPr>
              <w:t>29</w:t>
            </w:r>
            <w:r>
              <w:rPr>
                <w:webHidden/>
              </w:rPr>
              <w:fldChar w:fldCharType="end"/>
            </w:r>
          </w:hyperlink>
        </w:p>
        <w:p w:rsidR="00524DE4" w:rsidRDefault="00524DE4">
          <w:pPr>
            <w:pStyle w:val="TOC2"/>
            <w:rPr>
              <w:rFonts w:asciiTheme="minorHAnsi" w:eastAsiaTheme="minorEastAsia" w:hAnsiTheme="minorHAnsi" w:cstheme="minorBidi"/>
              <w:sz w:val="22"/>
              <w:szCs w:val="22"/>
              <w:lang w:val="en-AU" w:eastAsia="en-AU"/>
            </w:rPr>
          </w:pPr>
          <w:hyperlink w:anchor="_Toc362968601" w:history="1">
            <w:r w:rsidRPr="007E2E9F">
              <w:rPr>
                <w:rStyle w:val="Hyperlink"/>
                <w:lang w:val="en-AU"/>
              </w:rPr>
              <w:t>Outcomes</w:t>
            </w:r>
            <w:r>
              <w:rPr>
                <w:webHidden/>
              </w:rPr>
              <w:tab/>
            </w:r>
            <w:r>
              <w:rPr>
                <w:webHidden/>
              </w:rPr>
              <w:fldChar w:fldCharType="begin"/>
            </w:r>
            <w:r>
              <w:rPr>
                <w:webHidden/>
              </w:rPr>
              <w:instrText xml:space="preserve"> PAGEREF _Toc362968601 \h </w:instrText>
            </w:r>
            <w:r>
              <w:rPr>
                <w:webHidden/>
              </w:rPr>
            </w:r>
            <w:r>
              <w:rPr>
                <w:webHidden/>
              </w:rPr>
              <w:fldChar w:fldCharType="separate"/>
            </w:r>
            <w:r>
              <w:rPr>
                <w:webHidden/>
              </w:rPr>
              <w:t>29</w:t>
            </w:r>
            <w:r>
              <w:rPr>
                <w:webHidden/>
              </w:rPr>
              <w:fldChar w:fldCharType="end"/>
            </w:r>
          </w:hyperlink>
        </w:p>
        <w:p w:rsidR="00524DE4" w:rsidRDefault="00524DE4">
          <w:pPr>
            <w:pStyle w:val="TOC2"/>
            <w:rPr>
              <w:rFonts w:asciiTheme="minorHAnsi" w:eastAsiaTheme="minorEastAsia" w:hAnsiTheme="minorHAnsi" w:cstheme="minorBidi"/>
              <w:sz w:val="22"/>
              <w:szCs w:val="22"/>
              <w:lang w:val="en-AU" w:eastAsia="en-AU"/>
            </w:rPr>
          </w:pPr>
          <w:hyperlink w:anchor="_Toc362968602" w:history="1">
            <w:r w:rsidRPr="007E2E9F">
              <w:rPr>
                <w:rStyle w:val="Hyperlink"/>
                <w:lang w:val="en-AU"/>
              </w:rPr>
              <w:t>Health care resources</w:t>
            </w:r>
            <w:r>
              <w:rPr>
                <w:webHidden/>
              </w:rPr>
              <w:tab/>
            </w:r>
            <w:r>
              <w:rPr>
                <w:webHidden/>
              </w:rPr>
              <w:fldChar w:fldCharType="begin"/>
            </w:r>
            <w:r>
              <w:rPr>
                <w:webHidden/>
              </w:rPr>
              <w:instrText xml:space="preserve"> PAGEREF _Toc362968602 \h </w:instrText>
            </w:r>
            <w:r>
              <w:rPr>
                <w:webHidden/>
              </w:rPr>
            </w:r>
            <w:r>
              <w:rPr>
                <w:webHidden/>
              </w:rPr>
              <w:fldChar w:fldCharType="separate"/>
            </w:r>
            <w:r>
              <w:rPr>
                <w:webHidden/>
              </w:rPr>
              <w:t>30</w:t>
            </w:r>
            <w:r>
              <w:rPr>
                <w:webHidden/>
              </w:rPr>
              <w:fldChar w:fldCharType="end"/>
            </w:r>
          </w:hyperlink>
        </w:p>
        <w:p w:rsidR="00524DE4" w:rsidRDefault="00524DE4">
          <w:pPr>
            <w:pStyle w:val="TOC1"/>
            <w:rPr>
              <w:rFonts w:asciiTheme="minorHAnsi" w:eastAsiaTheme="minorEastAsia" w:hAnsiTheme="minorHAnsi" w:cstheme="minorBidi"/>
              <w:b w:val="0"/>
              <w:sz w:val="22"/>
              <w:szCs w:val="22"/>
              <w:lang w:eastAsia="en-AU"/>
            </w:rPr>
          </w:pPr>
          <w:hyperlink w:anchor="_Toc362968603" w:history="1">
            <w:r w:rsidRPr="007E2E9F">
              <w:rPr>
                <w:rStyle w:val="Hyperlink"/>
              </w:rPr>
              <w:t>Proposed structure of economic evaluation (decision-analytic)</w:t>
            </w:r>
            <w:r>
              <w:rPr>
                <w:webHidden/>
              </w:rPr>
              <w:tab/>
            </w:r>
            <w:r>
              <w:rPr>
                <w:webHidden/>
              </w:rPr>
              <w:fldChar w:fldCharType="begin"/>
            </w:r>
            <w:r>
              <w:rPr>
                <w:webHidden/>
              </w:rPr>
              <w:instrText xml:space="preserve"> PAGEREF _Toc362968603 \h </w:instrText>
            </w:r>
            <w:r>
              <w:rPr>
                <w:webHidden/>
              </w:rPr>
            </w:r>
            <w:r>
              <w:rPr>
                <w:webHidden/>
              </w:rPr>
              <w:fldChar w:fldCharType="separate"/>
            </w:r>
            <w:r>
              <w:rPr>
                <w:webHidden/>
              </w:rPr>
              <w:t>32</w:t>
            </w:r>
            <w:r>
              <w:rPr>
                <w:webHidden/>
              </w:rPr>
              <w:fldChar w:fldCharType="end"/>
            </w:r>
          </w:hyperlink>
        </w:p>
        <w:p w:rsidR="00524DE4" w:rsidRDefault="00524DE4">
          <w:pPr>
            <w:pStyle w:val="TOC1"/>
            <w:rPr>
              <w:rFonts w:asciiTheme="minorHAnsi" w:eastAsiaTheme="minorEastAsia" w:hAnsiTheme="minorHAnsi" w:cstheme="minorBidi"/>
              <w:b w:val="0"/>
              <w:sz w:val="22"/>
              <w:szCs w:val="22"/>
              <w:lang w:eastAsia="en-AU"/>
            </w:rPr>
          </w:pPr>
          <w:hyperlink w:anchor="_Toc362968604" w:history="1">
            <w:r w:rsidRPr="007E2E9F">
              <w:rPr>
                <w:rStyle w:val="Hyperlink"/>
              </w:rPr>
              <w:t>Clinical research questions for public funding</w:t>
            </w:r>
            <w:r>
              <w:rPr>
                <w:webHidden/>
              </w:rPr>
              <w:tab/>
            </w:r>
            <w:r>
              <w:rPr>
                <w:webHidden/>
              </w:rPr>
              <w:fldChar w:fldCharType="begin"/>
            </w:r>
            <w:r>
              <w:rPr>
                <w:webHidden/>
              </w:rPr>
              <w:instrText xml:space="preserve"> PAGEREF _Toc362968604 \h </w:instrText>
            </w:r>
            <w:r>
              <w:rPr>
                <w:webHidden/>
              </w:rPr>
            </w:r>
            <w:r>
              <w:rPr>
                <w:webHidden/>
              </w:rPr>
              <w:fldChar w:fldCharType="separate"/>
            </w:r>
            <w:r>
              <w:rPr>
                <w:webHidden/>
              </w:rPr>
              <w:t>34</w:t>
            </w:r>
            <w:r>
              <w:rPr>
                <w:webHidden/>
              </w:rPr>
              <w:fldChar w:fldCharType="end"/>
            </w:r>
          </w:hyperlink>
        </w:p>
        <w:p w:rsidR="00524DE4" w:rsidRDefault="00524DE4">
          <w:pPr>
            <w:pStyle w:val="TOC1"/>
            <w:rPr>
              <w:rFonts w:asciiTheme="minorHAnsi" w:eastAsiaTheme="minorEastAsia" w:hAnsiTheme="minorHAnsi" w:cstheme="minorBidi"/>
              <w:b w:val="0"/>
              <w:sz w:val="22"/>
              <w:szCs w:val="22"/>
              <w:lang w:eastAsia="en-AU"/>
            </w:rPr>
          </w:pPr>
          <w:hyperlink w:anchor="_Toc362968605" w:history="1">
            <w:r w:rsidRPr="007E2E9F">
              <w:rPr>
                <w:rStyle w:val="Hyperlink"/>
              </w:rPr>
              <w:t>References</w:t>
            </w:r>
            <w:r>
              <w:rPr>
                <w:webHidden/>
              </w:rPr>
              <w:tab/>
            </w:r>
            <w:r>
              <w:rPr>
                <w:webHidden/>
              </w:rPr>
              <w:fldChar w:fldCharType="begin"/>
            </w:r>
            <w:r>
              <w:rPr>
                <w:webHidden/>
              </w:rPr>
              <w:instrText xml:space="preserve"> PAGEREF _Toc362968605 \h </w:instrText>
            </w:r>
            <w:r>
              <w:rPr>
                <w:webHidden/>
              </w:rPr>
            </w:r>
            <w:r>
              <w:rPr>
                <w:webHidden/>
              </w:rPr>
              <w:fldChar w:fldCharType="separate"/>
            </w:r>
            <w:r>
              <w:rPr>
                <w:webHidden/>
              </w:rPr>
              <w:t>35</w:t>
            </w:r>
            <w:r>
              <w:rPr>
                <w:webHidden/>
              </w:rPr>
              <w:fldChar w:fldCharType="end"/>
            </w:r>
          </w:hyperlink>
        </w:p>
        <w:p w:rsidR="00524DE4" w:rsidRDefault="00524DE4">
          <w:pPr>
            <w:pStyle w:val="TOC1"/>
            <w:tabs>
              <w:tab w:val="left" w:pos="1800"/>
            </w:tabs>
            <w:rPr>
              <w:rFonts w:asciiTheme="minorHAnsi" w:eastAsiaTheme="minorEastAsia" w:hAnsiTheme="minorHAnsi" w:cstheme="minorBidi"/>
              <w:b w:val="0"/>
              <w:sz w:val="22"/>
              <w:szCs w:val="22"/>
              <w:lang w:eastAsia="en-AU"/>
            </w:rPr>
          </w:pPr>
          <w:hyperlink w:anchor="_Toc362968606" w:history="1">
            <w:r w:rsidRPr="007E2E9F">
              <w:rPr>
                <w:rStyle w:val="Hyperlink"/>
              </w:rPr>
              <w:t>Appendix 1</w:t>
            </w:r>
            <w:r>
              <w:rPr>
                <w:rFonts w:asciiTheme="minorHAnsi" w:eastAsiaTheme="minorEastAsia" w:hAnsiTheme="minorHAnsi" w:cstheme="minorBidi"/>
                <w:b w:val="0"/>
                <w:sz w:val="22"/>
                <w:szCs w:val="22"/>
                <w:lang w:eastAsia="en-AU"/>
              </w:rPr>
              <w:tab/>
            </w:r>
            <w:r w:rsidRPr="007E2E9F">
              <w:rPr>
                <w:rStyle w:val="Hyperlink"/>
              </w:rPr>
              <w:t>Examples of treatments currently listed on the ARTG for the treatment of osteoporosis</w:t>
            </w:r>
            <w:r>
              <w:rPr>
                <w:webHidden/>
              </w:rPr>
              <w:tab/>
            </w:r>
            <w:r>
              <w:rPr>
                <w:webHidden/>
              </w:rPr>
              <w:fldChar w:fldCharType="begin"/>
            </w:r>
            <w:r>
              <w:rPr>
                <w:webHidden/>
              </w:rPr>
              <w:instrText xml:space="preserve"> PAGEREF _Toc362968606 \h </w:instrText>
            </w:r>
            <w:r>
              <w:rPr>
                <w:webHidden/>
              </w:rPr>
            </w:r>
            <w:r>
              <w:rPr>
                <w:webHidden/>
              </w:rPr>
              <w:fldChar w:fldCharType="separate"/>
            </w:r>
            <w:r>
              <w:rPr>
                <w:webHidden/>
              </w:rPr>
              <w:t>38</w:t>
            </w:r>
            <w:r>
              <w:rPr>
                <w:webHidden/>
              </w:rPr>
              <w:fldChar w:fldCharType="end"/>
            </w:r>
          </w:hyperlink>
        </w:p>
        <w:p w:rsidR="00524DE4" w:rsidRDefault="00524DE4">
          <w:pPr>
            <w:pStyle w:val="TOC1"/>
            <w:tabs>
              <w:tab w:val="left" w:pos="1800"/>
            </w:tabs>
            <w:rPr>
              <w:rFonts w:asciiTheme="minorHAnsi" w:eastAsiaTheme="minorEastAsia" w:hAnsiTheme="minorHAnsi" w:cstheme="minorBidi"/>
              <w:b w:val="0"/>
              <w:sz w:val="22"/>
              <w:szCs w:val="22"/>
              <w:lang w:eastAsia="en-AU"/>
            </w:rPr>
          </w:pPr>
          <w:hyperlink w:anchor="_Toc362968607" w:history="1">
            <w:r w:rsidRPr="007E2E9F">
              <w:rPr>
                <w:rStyle w:val="Hyperlink"/>
              </w:rPr>
              <w:t>Appendix 2</w:t>
            </w:r>
            <w:r>
              <w:rPr>
                <w:rFonts w:asciiTheme="minorHAnsi" w:eastAsiaTheme="minorEastAsia" w:hAnsiTheme="minorHAnsi" w:cstheme="minorBidi"/>
                <w:b w:val="0"/>
                <w:sz w:val="22"/>
                <w:szCs w:val="22"/>
                <w:lang w:eastAsia="en-AU"/>
              </w:rPr>
              <w:tab/>
            </w:r>
            <w:r w:rsidRPr="007E2E9F">
              <w:rPr>
                <w:rStyle w:val="Hyperlink"/>
              </w:rPr>
              <w:t>Indications, contraindications and potential complications of the co-administered interventions</w:t>
            </w:r>
            <w:r>
              <w:rPr>
                <w:webHidden/>
              </w:rPr>
              <w:tab/>
            </w:r>
            <w:r>
              <w:rPr>
                <w:webHidden/>
              </w:rPr>
              <w:fldChar w:fldCharType="begin"/>
            </w:r>
            <w:r>
              <w:rPr>
                <w:webHidden/>
              </w:rPr>
              <w:instrText xml:space="preserve"> PAGEREF _Toc362968607 \h </w:instrText>
            </w:r>
            <w:r>
              <w:rPr>
                <w:webHidden/>
              </w:rPr>
            </w:r>
            <w:r>
              <w:rPr>
                <w:webHidden/>
              </w:rPr>
              <w:fldChar w:fldCharType="separate"/>
            </w:r>
            <w:r>
              <w:rPr>
                <w:webHidden/>
              </w:rPr>
              <w:t>40</w:t>
            </w:r>
            <w:r>
              <w:rPr>
                <w:webHidden/>
              </w:rPr>
              <w:fldChar w:fldCharType="end"/>
            </w:r>
          </w:hyperlink>
        </w:p>
        <w:p w:rsidR="00524DE4" w:rsidRDefault="00524DE4">
          <w:pPr>
            <w:pStyle w:val="TOC1"/>
            <w:tabs>
              <w:tab w:val="left" w:pos="1800"/>
            </w:tabs>
            <w:rPr>
              <w:rFonts w:asciiTheme="minorHAnsi" w:eastAsiaTheme="minorEastAsia" w:hAnsiTheme="minorHAnsi" w:cstheme="minorBidi"/>
              <w:b w:val="0"/>
              <w:sz w:val="22"/>
              <w:szCs w:val="22"/>
              <w:lang w:eastAsia="en-AU"/>
            </w:rPr>
          </w:pPr>
          <w:hyperlink w:anchor="_Toc362968608" w:history="1">
            <w:r w:rsidRPr="007E2E9F">
              <w:rPr>
                <w:rStyle w:val="Hyperlink"/>
              </w:rPr>
              <w:t>Appendix 3</w:t>
            </w:r>
            <w:r>
              <w:rPr>
                <w:rFonts w:asciiTheme="minorHAnsi" w:eastAsiaTheme="minorEastAsia" w:hAnsiTheme="minorHAnsi" w:cstheme="minorBidi"/>
                <w:b w:val="0"/>
                <w:sz w:val="22"/>
                <w:szCs w:val="22"/>
                <w:lang w:eastAsia="en-AU"/>
              </w:rPr>
              <w:tab/>
            </w:r>
            <w:r w:rsidRPr="007E2E9F">
              <w:rPr>
                <w:rStyle w:val="Hyperlink"/>
              </w:rPr>
              <w:t>PBS listed pharmaceuticals (by drug) for the treatment of diseases of bone structure and mineralisation</w:t>
            </w:r>
            <w:r>
              <w:rPr>
                <w:webHidden/>
              </w:rPr>
              <w:tab/>
            </w:r>
            <w:r>
              <w:rPr>
                <w:webHidden/>
              </w:rPr>
              <w:fldChar w:fldCharType="begin"/>
            </w:r>
            <w:r>
              <w:rPr>
                <w:webHidden/>
              </w:rPr>
              <w:instrText xml:space="preserve"> PAGEREF _Toc362968608 \h </w:instrText>
            </w:r>
            <w:r>
              <w:rPr>
                <w:webHidden/>
              </w:rPr>
            </w:r>
            <w:r>
              <w:rPr>
                <w:webHidden/>
              </w:rPr>
              <w:fldChar w:fldCharType="separate"/>
            </w:r>
            <w:r>
              <w:rPr>
                <w:webHidden/>
              </w:rPr>
              <w:t>44</w:t>
            </w:r>
            <w:r>
              <w:rPr>
                <w:webHidden/>
              </w:rPr>
              <w:fldChar w:fldCharType="end"/>
            </w:r>
          </w:hyperlink>
        </w:p>
        <w:p w:rsidR="00524DE4" w:rsidRDefault="00524DE4">
          <w:pPr>
            <w:pStyle w:val="TOC1"/>
            <w:tabs>
              <w:tab w:val="left" w:pos="1800"/>
            </w:tabs>
            <w:rPr>
              <w:rFonts w:asciiTheme="minorHAnsi" w:eastAsiaTheme="minorEastAsia" w:hAnsiTheme="minorHAnsi" w:cstheme="minorBidi"/>
              <w:b w:val="0"/>
              <w:sz w:val="22"/>
              <w:szCs w:val="22"/>
              <w:lang w:eastAsia="en-AU"/>
            </w:rPr>
          </w:pPr>
          <w:hyperlink w:anchor="_Toc362968609" w:history="1">
            <w:r w:rsidRPr="007E2E9F">
              <w:rPr>
                <w:rStyle w:val="Hyperlink"/>
              </w:rPr>
              <w:t>Appendix 4</w:t>
            </w:r>
            <w:r>
              <w:rPr>
                <w:rFonts w:asciiTheme="minorHAnsi" w:eastAsiaTheme="minorEastAsia" w:hAnsiTheme="minorHAnsi" w:cstheme="minorBidi"/>
                <w:b w:val="0"/>
                <w:sz w:val="22"/>
                <w:szCs w:val="22"/>
                <w:lang w:eastAsia="en-AU"/>
              </w:rPr>
              <w:tab/>
            </w:r>
            <w:r w:rsidRPr="007E2E9F">
              <w:rPr>
                <w:rStyle w:val="Hyperlink"/>
              </w:rPr>
              <w:t>PBS listed pharmaceuticals (by indication) for treatment of diseases of bone structure and mineralisation</w:t>
            </w:r>
            <w:r>
              <w:rPr>
                <w:webHidden/>
              </w:rPr>
              <w:tab/>
            </w:r>
            <w:r>
              <w:rPr>
                <w:webHidden/>
              </w:rPr>
              <w:fldChar w:fldCharType="begin"/>
            </w:r>
            <w:r>
              <w:rPr>
                <w:webHidden/>
              </w:rPr>
              <w:instrText xml:space="preserve"> PAGEREF _Toc362968609 \h </w:instrText>
            </w:r>
            <w:r>
              <w:rPr>
                <w:webHidden/>
              </w:rPr>
            </w:r>
            <w:r>
              <w:rPr>
                <w:webHidden/>
              </w:rPr>
              <w:fldChar w:fldCharType="separate"/>
            </w:r>
            <w:r>
              <w:rPr>
                <w:webHidden/>
              </w:rPr>
              <w:t>63</w:t>
            </w:r>
            <w:r>
              <w:rPr>
                <w:webHidden/>
              </w:rPr>
              <w:fldChar w:fldCharType="end"/>
            </w:r>
          </w:hyperlink>
        </w:p>
        <w:p w:rsidR="00524DE4" w:rsidRDefault="00524DE4">
          <w:pPr>
            <w:pStyle w:val="TOC1"/>
            <w:tabs>
              <w:tab w:val="left" w:pos="1800"/>
            </w:tabs>
            <w:rPr>
              <w:rFonts w:asciiTheme="minorHAnsi" w:eastAsiaTheme="minorEastAsia" w:hAnsiTheme="minorHAnsi" w:cstheme="minorBidi"/>
              <w:b w:val="0"/>
              <w:sz w:val="22"/>
              <w:szCs w:val="22"/>
              <w:lang w:eastAsia="en-AU"/>
            </w:rPr>
          </w:pPr>
          <w:hyperlink w:anchor="_Toc362968610" w:history="1">
            <w:r w:rsidRPr="007E2E9F">
              <w:rPr>
                <w:rStyle w:val="Hyperlink"/>
              </w:rPr>
              <w:t xml:space="preserve">Appendix 5 </w:t>
            </w:r>
            <w:r>
              <w:rPr>
                <w:rFonts w:asciiTheme="minorHAnsi" w:eastAsiaTheme="minorEastAsia" w:hAnsiTheme="minorHAnsi" w:cstheme="minorBidi"/>
                <w:b w:val="0"/>
                <w:sz w:val="22"/>
                <w:szCs w:val="22"/>
                <w:lang w:eastAsia="en-AU"/>
              </w:rPr>
              <w:tab/>
            </w:r>
            <w:r w:rsidRPr="007E2E9F">
              <w:rPr>
                <w:rStyle w:val="Hyperlink"/>
              </w:rPr>
              <w:t>Medicare Benefits Schedule - Note D1.27</w:t>
            </w:r>
            <w:r>
              <w:rPr>
                <w:webHidden/>
              </w:rPr>
              <w:tab/>
            </w:r>
            <w:r>
              <w:rPr>
                <w:webHidden/>
              </w:rPr>
              <w:fldChar w:fldCharType="begin"/>
            </w:r>
            <w:r>
              <w:rPr>
                <w:webHidden/>
              </w:rPr>
              <w:instrText xml:space="preserve"> PAGEREF _Toc362968610 \h </w:instrText>
            </w:r>
            <w:r>
              <w:rPr>
                <w:webHidden/>
              </w:rPr>
            </w:r>
            <w:r>
              <w:rPr>
                <w:webHidden/>
              </w:rPr>
              <w:fldChar w:fldCharType="separate"/>
            </w:r>
            <w:r>
              <w:rPr>
                <w:webHidden/>
              </w:rPr>
              <w:t>65</w:t>
            </w:r>
            <w:r>
              <w:rPr>
                <w:webHidden/>
              </w:rPr>
              <w:fldChar w:fldCharType="end"/>
            </w:r>
          </w:hyperlink>
        </w:p>
        <w:p w:rsidR="00524DE4" w:rsidRDefault="00524DE4">
          <w:r>
            <w:rPr>
              <w:b/>
              <w:bCs/>
              <w:noProof/>
            </w:rPr>
            <w:fldChar w:fldCharType="end"/>
          </w:r>
        </w:p>
      </w:sdtContent>
    </w:sdt>
    <w:p w:rsidR="00F86C9F" w:rsidRPr="00FA270C" w:rsidRDefault="00F86C9F">
      <w:r w:rsidRPr="00FA270C">
        <w:br w:type="page"/>
      </w:r>
    </w:p>
    <w:p w:rsidR="00F86C9F" w:rsidRPr="00FA270C" w:rsidRDefault="00F86C9F">
      <w:pPr>
        <w:pStyle w:val="Heading1"/>
        <w:rPr>
          <w:lang w:val="en-AU"/>
        </w:rPr>
      </w:pPr>
      <w:bookmarkStart w:id="1" w:name="_Toc326647189"/>
      <w:bookmarkStart w:id="2" w:name="_Toc361145555"/>
      <w:bookmarkStart w:id="3" w:name="_Toc362968584"/>
      <w:bookmarkEnd w:id="0"/>
      <w:r w:rsidRPr="00FA270C">
        <w:rPr>
          <w:lang w:val="en-AU"/>
        </w:rPr>
        <w:lastRenderedPageBreak/>
        <w:t>MSAC and PASC</w:t>
      </w:r>
      <w:bookmarkEnd w:id="1"/>
      <w:bookmarkEnd w:id="2"/>
      <w:bookmarkEnd w:id="3"/>
    </w:p>
    <w:p w:rsidR="00F86C9F" w:rsidRPr="00FA270C" w:rsidRDefault="00F86C9F">
      <w:r w:rsidRPr="00FA270C">
        <w:t>The Medical Services Advisory Committee (MSAC) is an independent expert committee appointed by the Australian Government Health Minister to strengthen the role of evidence in health financing decisions in Australia. MSAC advises the Commonwealth Minister for Health and Ageing on the evidence relating to the safety, effectiveness, and cost-effectiveness of new and existing medical technologies and procedures and under what circumstances public funding should be supported.</w:t>
      </w:r>
    </w:p>
    <w:p w:rsidR="00F86C9F" w:rsidRPr="00FA270C" w:rsidRDefault="00F86C9F">
      <w:r w:rsidRPr="00FA270C">
        <w:t>The Protocol Advisory Sub-Committee (PASC) is a standing sub-committee of MSAC. Its primary objective is the determination of protocols to guide clinical and economic assessments of medical interventions proposed for public funding.</w:t>
      </w:r>
    </w:p>
    <w:p w:rsidR="00F86C9F" w:rsidRPr="00FA270C" w:rsidRDefault="00F86C9F">
      <w:pPr>
        <w:pStyle w:val="Heading2"/>
        <w:rPr>
          <w:lang w:val="en-AU"/>
        </w:rPr>
      </w:pPr>
      <w:bookmarkStart w:id="4" w:name="_Toc361145556"/>
      <w:bookmarkStart w:id="5" w:name="_Toc362968585"/>
      <w:r w:rsidRPr="00FA270C">
        <w:rPr>
          <w:lang w:val="en-AU"/>
        </w:rPr>
        <w:t>Purpose of this document</w:t>
      </w:r>
      <w:bookmarkEnd w:id="4"/>
      <w:bookmarkEnd w:id="5"/>
    </w:p>
    <w:p w:rsidR="00F86C9F" w:rsidRPr="00FA270C" w:rsidRDefault="00F86C9F">
      <w:r w:rsidRPr="00FA270C">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rsidR="00F86C9F" w:rsidRPr="00FA270C" w:rsidRDefault="00F86C9F">
      <w:r w:rsidRPr="00FA270C">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F86C9F" w:rsidRPr="00FA270C" w:rsidRDefault="00F86C9F">
      <w:pPr>
        <w:pStyle w:val="ListParagraph"/>
      </w:pPr>
      <w:r w:rsidRPr="00FA270C">
        <w:rPr>
          <w:b/>
          <w:u w:val="single"/>
        </w:rPr>
        <w:t>P</w:t>
      </w:r>
      <w:r w:rsidRPr="00FA270C">
        <w:t>atients – specification of the characteristics of the patients in whom the intervention is to be considered for use;</w:t>
      </w:r>
    </w:p>
    <w:p w:rsidR="00F86C9F" w:rsidRPr="00FA270C" w:rsidRDefault="00F86C9F">
      <w:pPr>
        <w:pStyle w:val="ListParagraph"/>
      </w:pPr>
      <w:r w:rsidRPr="00FA270C">
        <w:rPr>
          <w:b/>
          <w:u w:val="single"/>
        </w:rPr>
        <w:t>I</w:t>
      </w:r>
      <w:r w:rsidRPr="00FA270C">
        <w:t>ntervention – specification of the proposed intervention</w:t>
      </w:r>
    </w:p>
    <w:p w:rsidR="00F86C9F" w:rsidRPr="00FA270C" w:rsidRDefault="00F86C9F">
      <w:pPr>
        <w:pStyle w:val="ListParagraph"/>
      </w:pPr>
      <w:r w:rsidRPr="00FA270C">
        <w:rPr>
          <w:b/>
          <w:u w:val="single"/>
        </w:rPr>
        <w:t>C</w:t>
      </w:r>
      <w:r w:rsidRPr="00FA270C">
        <w:t>omparator – specification of the therapy most likely to be replaced by the proposed intervention</w:t>
      </w:r>
    </w:p>
    <w:p w:rsidR="00F86C9F" w:rsidRPr="00FA270C" w:rsidRDefault="00F86C9F">
      <w:pPr>
        <w:pStyle w:val="ListParagraph"/>
      </w:pPr>
      <w:r w:rsidRPr="00FA270C">
        <w:rPr>
          <w:b/>
          <w:u w:val="single"/>
        </w:rPr>
        <w:t>O</w:t>
      </w:r>
      <w:r w:rsidRPr="00FA270C">
        <w:t>utcomes – specification of the health outcomes and the healthcare resources likely to be affected by the introduction of the proposed intervention</w:t>
      </w:r>
    </w:p>
    <w:p w:rsidR="00F86C9F" w:rsidRPr="00FA270C" w:rsidRDefault="00F86C9F">
      <w:pPr>
        <w:rPr>
          <w:color w:val="215868"/>
          <w:szCs w:val="32"/>
        </w:rPr>
      </w:pPr>
      <w:r w:rsidRPr="00FA270C">
        <w:br w:type="page"/>
      </w:r>
    </w:p>
    <w:p w:rsidR="00F86C9F" w:rsidRPr="00FA270C" w:rsidRDefault="00F86C9F">
      <w:pPr>
        <w:pStyle w:val="Heading1"/>
        <w:rPr>
          <w:lang w:val="en-AU"/>
        </w:rPr>
      </w:pPr>
      <w:bookmarkStart w:id="6" w:name="_Toc361145557"/>
      <w:bookmarkStart w:id="7" w:name="_Toc362968586"/>
      <w:r w:rsidRPr="00FA270C">
        <w:rPr>
          <w:lang w:val="en-AU"/>
        </w:rPr>
        <w:lastRenderedPageBreak/>
        <w:t>Purpose of application</w:t>
      </w:r>
      <w:bookmarkEnd w:id="6"/>
      <w:bookmarkEnd w:id="7"/>
    </w:p>
    <w:p w:rsidR="00F86C9F" w:rsidRPr="00FA270C" w:rsidDel="00D450CE" w:rsidRDefault="00F86C9F" w:rsidP="00D450CE">
      <w:r w:rsidRPr="00FA270C">
        <w:t xml:space="preserve">The Department of Health and Ageing received a proposal for the listing of dual energy X-ray absorptiometry (DXA) on the Medicare Benefits Schedule (MBS) in June 2011. Osteoporosis Australia subsequently became involved in the preparation of the draft Decision Analytic Protocol (DAP) in March 2012. </w:t>
      </w:r>
    </w:p>
    <w:p w:rsidR="00F86C9F" w:rsidRPr="00FA270C" w:rsidRDefault="00F86C9F" w:rsidP="00B06D8A">
      <w:r w:rsidRPr="00FA270C">
        <w:t>This proposal is for the provision of an MBS item for bone densitometry by DXA scan to</w:t>
      </w:r>
      <w:r w:rsidRPr="00FA270C" w:rsidDel="00D450CE">
        <w:t xml:space="preserve"> </w:t>
      </w:r>
      <w:r w:rsidRPr="00FA270C">
        <w:t>women and men over the age of 50 years who have significant risk factors for osteoporosis. This submission was originally formulated as a proposed Decision Analytic Protocol (DAP) by Osteoporosis Australia in conjunction with the Department of Health and Ageing.</w:t>
      </w:r>
    </w:p>
    <w:p w:rsidR="00F86C9F" w:rsidRPr="00FA270C" w:rsidRDefault="00F86C9F">
      <w:pPr>
        <w:pStyle w:val="Heading1"/>
        <w:rPr>
          <w:lang w:val="en-AU"/>
        </w:rPr>
      </w:pPr>
      <w:bookmarkStart w:id="8" w:name="_Toc361145558"/>
      <w:bookmarkStart w:id="9" w:name="_Toc362968587"/>
      <w:r w:rsidRPr="00FA270C">
        <w:rPr>
          <w:lang w:val="en-AU"/>
        </w:rPr>
        <w:t>Intervention</w:t>
      </w:r>
      <w:bookmarkEnd w:id="8"/>
      <w:bookmarkEnd w:id="9"/>
    </w:p>
    <w:p w:rsidR="00F86C9F" w:rsidRPr="00FA270C" w:rsidRDefault="00F86C9F" w:rsidP="00D9770E">
      <w:pPr>
        <w:pStyle w:val="Heading2"/>
        <w:rPr>
          <w:lang w:val="en-AU"/>
        </w:rPr>
      </w:pPr>
      <w:bookmarkStart w:id="10" w:name="_Toc361145559"/>
      <w:bookmarkStart w:id="11" w:name="_Toc362968588"/>
      <w:r w:rsidRPr="00FA270C">
        <w:rPr>
          <w:lang w:val="en-AU"/>
        </w:rPr>
        <w:t>Description</w:t>
      </w:r>
      <w:bookmarkEnd w:id="10"/>
      <w:bookmarkEnd w:id="11"/>
    </w:p>
    <w:p w:rsidR="00F86C9F" w:rsidRPr="00FA270C" w:rsidRDefault="00F86C9F" w:rsidP="00D450CE">
      <w:r w:rsidRPr="00FA270C">
        <w:t xml:space="preserve">The World Health Organization (WHO) defines osteoporosis (OP) as a ‘skeletal disorder characterised by compromised bone strength predisposing a person to an increased risk of fracture’ (WHO 2003). It may also be defined as ‘too little bone in the bone’ (Albright and Reifenstein 1948), or of low bone mineral density. </w:t>
      </w:r>
    </w:p>
    <w:p w:rsidR="00F86C9F" w:rsidRPr="00FA270C" w:rsidRDefault="00F86C9F" w:rsidP="00D450CE">
      <w:r w:rsidRPr="00FA270C">
        <w:t xml:space="preserve">The disease causes more than 8.9 million fractures annually worldwide, of which more than half occur in the Americas and Europe (WHO 2007). According to the Australian Institute of Health and Welfare (AIHW), in 2007-08, an estimated 692,000 Australians (3.4% of the total population) received a principal diagnosis of </w:t>
      </w:r>
      <w:r>
        <w:t>osteoporosis</w:t>
      </w:r>
      <w:r w:rsidRPr="00FA270C">
        <w:t xml:space="preserve"> (AIHW 2011). Of these, 84 per cent of cases were in people aged 55 and over, and 82 per cent of cases were in women (AIHW 2011). However, it is likely this estimation of </w:t>
      </w:r>
      <w:r>
        <w:t>osteoporosis</w:t>
      </w:r>
      <w:r w:rsidRPr="00FA270C">
        <w:t xml:space="preserve"> prevalence underestimates the number of people with the disease, as overt physical symptoms of </w:t>
      </w:r>
      <w:r>
        <w:t>osteoporosis</w:t>
      </w:r>
      <w:r w:rsidRPr="00FA270C">
        <w:t xml:space="preserve"> are often not apparent, whereas a positive diagnosis is usually made following a symptomatic minimal trauma fracture (AIHW 2011). Based on an analysis conducted by the Geelong Osteoporosis Study it was estimated that there are 1.2 million Australians with osteoporosis and a further 5.4 million with osteopenia, in accordance with WHO definitions (Henry et al 2011). Low bone mineral density increases the risk of minimal trauma fracture. </w:t>
      </w:r>
    </w:p>
    <w:p w:rsidR="00F86C9F" w:rsidRPr="00FA270C" w:rsidRDefault="00F86C9F" w:rsidP="00D450CE">
      <w:r w:rsidRPr="00FA270C">
        <w:t xml:space="preserve">Fractures are defined as minimal trauma fractures when the trauma is a result of a fall from standing height or less, and comprise a significant portion of the health burden caused by </w:t>
      </w:r>
      <w:r>
        <w:t>osteoporosis</w:t>
      </w:r>
      <w:r w:rsidRPr="00FA270C">
        <w:t xml:space="preserve">. Patients with minimal trauma fractures </w:t>
      </w:r>
      <w:r w:rsidR="007C3FDA">
        <w:t>experience</w:t>
      </w:r>
      <w:r w:rsidRPr="00FA270C">
        <w:t xml:space="preserve"> increased morbidity, complications, and increased mortality compared to age- and gender-matched peers. Predictors of minimal trauma fracture include age, muscle weakness, low bone mineral density, history of smoking, increased body sway and less physical activity (Center et al 2007). Common sites of minimal trauma fracture are the hip, pelvis, wrist, forearm and spine. Some fractures may not come to medical attention, for example it has been estimated that 50-75% of vertebral fractures are not diagnosed (Sanders et al 1999a). While the disease is not usually recorded as the primary cause of death, osteoporosis was listed as the underlying cause of 240 deaths in Australia in 2007 (AIHW 2011).</w:t>
      </w:r>
    </w:p>
    <w:p w:rsidR="00F86C9F" w:rsidRPr="00FA270C" w:rsidRDefault="00F86C9F" w:rsidP="00D450CE">
      <w:r w:rsidRPr="00FA270C">
        <w:lastRenderedPageBreak/>
        <w:t>There are several factors which may increase a person’s likelihood of developing osteoporosis (</w:t>
      </w:r>
      <w:r w:rsidRPr="00FA270C">
        <w:fldChar w:fldCharType="begin"/>
      </w:r>
      <w:r w:rsidRPr="00FA270C">
        <w:instrText xml:space="preserve"> REF _Ref358198101 \h </w:instrText>
      </w:r>
      <w:r w:rsidRPr="00FA270C">
        <w:fldChar w:fldCharType="separate"/>
      </w:r>
      <w:r w:rsidR="00255656" w:rsidRPr="00FA270C">
        <w:t xml:space="preserve">Table </w:t>
      </w:r>
      <w:r w:rsidR="00255656">
        <w:rPr>
          <w:noProof/>
        </w:rPr>
        <w:t>1</w:t>
      </w:r>
      <w:r w:rsidRPr="00FA270C">
        <w:fldChar w:fldCharType="end"/>
      </w:r>
      <w:r w:rsidRPr="00FA270C">
        <w:t xml:space="preserve">). The prevalence of osteoporosis is high in women, due to the decrease in oestrogen levels after menopause which result in higher </w:t>
      </w:r>
      <w:r>
        <w:t>rates</w:t>
      </w:r>
      <w:r w:rsidRPr="00FA270C">
        <w:t xml:space="preserve"> of bone loss per year than in men. Low body mass index (BMI) (&lt;18.5 kg/m</w:t>
      </w:r>
      <w:r w:rsidRPr="00FA270C">
        <w:rPr>
          <w:vertAlign w:val="superscript"/>
        </w:rPr>
        <w:t>2</w:t>
      </w:r>
      <w:r w:rsidRPr="00FA270C">
        <w:t>) is also considered a risk factor for osteoporosis as it is often associated with lower levels of oestrogen.</w:t>
      </w:r>
    </w:p>
    <w:p w:rsidR="00F86C9F" w:rsidRPr="00FA270C" w:rsidRDefault="00F86C9F" w:rsidP="00D9770E">
      <w:pPr>
        <w:pStyle w:val="Caption"/>
        <w:rPr>
          <w:lang w:val="en-AU"/>
        </w:rPr>
      </w:pPr>
      <w:bookmarkStart w:id="12" w:name="_Ref358198101"/>
      <w:r w:rsidRPr="00FA270C">
        <w:rPr>
          <w:lang w:val="en-AU"/>
        </w:rPr>
        <w:t xml:space="preserve">Table </w:t>
      </w:r>
      <w:r w:rsidRPr="00FA270C">
        <w:rPr>
          <w:lang w:val="en-AU"/>
        </w:rPr>
        <w:fldChar w:fldCharType="begin"/>
      </w:r>
      <w:r w:rsidRPr="00FA270C">
        <w:rPr>
          <w:lang w:val="en-AU"/>
        </w:rPr>
        <w:instrText xml:space="preserve"> SEQ Table \* ARABIC </w:instrText>
      </w:r>
      <w:r w:rsidRPr="00FA270C">
        <w:rPr>
          <w:lang w:val="en-AU"/>
        </w:rPr>
        <w:fldChar w:fldCharType="separate"/>
      </w:r>
      <w:r w:rsidR="00255656">
        <w:rPr>
          <w:noProof/>
          <w:lang w:val="en-AU"/>
        </w:rPr>
        <w:t>1</w:t>
      </w:r>
      <w:r w:rsidRPr="00FA270C">
        <w:rPr>
          <w:lang w:val="en-AU"/>
        </w:rPr>
        <w:fldChar w:fldCharType="end"/>
      </w:r>
      <w:bookmarkEnd w:id="12"/>
      <w:r w:rsidRPr="00FA270C">
        <w:rPr>
          <w:lang w:val="en-AU"/>
        </w:rPr>
        <w:tab/>
        <w:t>Risk factors for the development of osteoporosis</w:t>
      </w:r>
    </w:p>
    <w:p w:rsidR="00F86C9F" w:rsidRDefault="00F86C9F" w:rsidP="00D450CE">
      <w:pPr>
        <w:spacing w:after="0" w:line="240" w:lineRule="auto"/>
        <w:jc w:val="left"/>
        <w:rPr>
          <w:lang w:eastAsia="ja-JP"/>
        </w:rPr>
      </w:pP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2943"/>
        <w:gridCol w:w="6205"/>
      </w:tblGrid>
      <w:tr w:rsidR="00BA3922" w:rsidRPr="00156477" w:rsidTr="00BA3922">
        <w:trPr>
          <w:trHeight w:val="441"/>
        </w:trPr>
        <w:tc>
          <w:tcPr>
            <w:tcW w:w="2943" w:type="dxa"/>
            <w:tcBorders>
              <w:top w:val="single" w:sz="12" w:space="0" w:color="auto"/>
            </w:tcBorders>
          </w:tcPr>
          <w:p w:rsidR="00BA3922" w:rsidRPr="00156477" w:rsidRDefault="00BA3922" w:rsidP="00BA3922">
            <w:pPr>
              <w:tabs>
                <w:tab w:val="left" w:pos="2835"/>
              </w:tabs>
              <w:spacing w:before="40" w:after="80"/>
              <w:jc w:val="left"/>
              <w:rPr>
                <w:rFonts w:ascii="Arial Narrow" w:hAnsi="Arial Narrow"/>
                <w:b/>
                <w:sz w:val="18"/>
                <w:szCs w:val="18"/>
              </w:rPr>
            </w:pPr>
            <w:r w:rsidRPr="00156477">
              <w:rPr>
                <w:rFonts w:ascii="Arial Narrow" w:hAnsi="Arial Narrow"/>
                <w:b/>
                <w:sz w:val="18"/>
                <w:szCs w:val="18"/>
              </w:rPr>
              <w:t>Type of risk factor</w:t>
            </w:r>
          </w:p>
        </w:tc>
        <w:tc>
          <w:tcPr>
            <w:tcW w:w="6205" w:type="dxa"/>
            <w:tcBorders>
              <w:top w:val="single" w:sz="12" w:space="0" w:color="auto"/>
            </w:tcBorders>
          </w:tcPr>
          <w:p w:rsidR="00BA3922" w:rsidRPr="00156477" w:rsidRDefault="00BA3922" w:rsidP="00BA3922">
            <w:pPr>
              <w:tabs>
                <w:tab w:val="left" w:pos="2835"/>
              </w:tabs>
              <w:spacing w:before="40" w:after="80"/>
              <w:rPr>
                <w:rFonts w:ascii="Arial Narrow" w:hAnsi="Arial Narrow"/>
                <w:b/>
                <w:sz w:val="18"/>
                <w:szCs w:val="18"/>
              </w:rPr>
            </w:pPr>
            <w:r w:rsidRPr="00156477">
              <w:rPr>
                <w:rFonts w:ascii="Arial Narrow" w:hAnsi="Arial Narrow"/>
                <w:b/>
                <w:sz w:val="18"/>
                <w:szCs w:val="18"/>
              </w:rPr>
              <w:t>Examples</w:t>
            </w:r>
          </w:p>
        </w:tc>
      </w:tr>
      <w:tr w:rsidR="00BA3922" w:rsidRPr="00156477" w:rsidTr="00BA3922">
        <w:trPr>
          <w:trHeight w:val="1580"/>
        </w:trPr>
        <w:tc>
          <w:tcPr>
            <w:tcW w:w="2943" w:type="dxa"/>
            <w:tcBorders>
              <w:bottom w:val="nil"/>
            </w:tcBorders>
          </w:tcPr>
          <w:p w:rsidR="00BA3922" w:rsidRPr="00156477" w:rsidRDefault="00BA3922" w:rsidP="00BA3922">
            <w:pPr>
              <w:spacing w:after="80"/>
              <w:jc w:val="left"/>
              <w:rPr>
                <w:rFonts w:ascii="Arial Narrow" w:hAnsi="Arial Narrow"/>
                <w:sz w:val="18"/>
                <w:szCs w:val="18"/>
              </w:rPr>
            </w:pPr>
            <w:r w:rsidRPr="00156477">
              <w:rPr>
                <w:rFonts w:ascii="Arial Narrow" w:hAnsi="Arial Narrow"/>
                <w:sz w:val="18"/>
                <w:szCs w:val="18"/>
              </w:rPr>
              <w:t xml:space="preserve">Fixed (non-modifiable) risk factors </w:t>
            </w:r>
          </w:p>
        </w:tc>
        <w:tc>
          <w:tcPr>
            <w:tcW w:w="6205" w:type="dxa"/>
            <w:tcBorders>
              <w:bottom w:val="nil"/>
            </w:tcBorders>
          </w:tcPr>
          <w:p w:rsidR="00BA3922" w:rsidRPr="00156477" w:rsidRDefault="00BA3922" w:rsidP="00BA3922">
            <w:pPr>
              <w:spacing w:after="80" w:line="240" w:lineRule="auto"/>
              <w:rPr>
                <w:rFonts w:ascii="Arial Narrow" w:hAnsi="Arial Narrow"/>
                <w:sz w:val="18"/>
                <w:szCs w:val="18"/>
              </w:rPr>
            </w:pPr>
            <w:r w:rsidRPr="00156477">
              <w:rPr>
                <w:rFonts w:ascii="Arial Narrow" w:hAnsi="Arial Narrow"/>
                <w:sz w:val="18"/>
                <w:szCs w:val="18"/>
              </w:rPr>
              <w:t>Age (increase with the age after 40-50)</w:t>
            </w:r>
          </w:p>
          <w:p w:rsidR="00BA3922" w:rsidRPr="00156477" w:rsidRDefault="00BA3922" w:rsidP="00BA3922">
            <w:pPr>
              <w:spacing w:after="80" w:line="240" w:lineRule="auto"/>
              <w:rPr>
                <w:rFonts w:ascii="Arial Narrow" w:hAnsi="Arial Narrow"/>
                <w:sz w:val="18"/>
                <w:szCs w:val="18"/>
              </w:rPr>
            </w:pPr>
            <w:r w:rsidRPr="00156477">
              <w:rPr>
                <w:rFonts w:ascii="Arial Narrow" w:hAnsi="Arial Narrow"/>
                <w:sz w:val="18"/>
                <w:szCs w:val="18"/>
              </w:rPr>
              <w:t>Sex (</w:t>
            </w:r>
            <w:r>
              <w:rPr>
                <w:rFonts w:ascii="Arial Narrow" w:hAnsi="Arial Narrow"/>
                <w:sz w:val="18"/>
                <w:szCs w:val="18"/>
              </w:rPr>
              <w:t>osteoporosis affects women at an earlier age</w:t>
            </w:r>
            <w:r w:rsidRPr="00156477">
              <w:rPr>
                <w:rFonts w:ascii="Arial Narrow" w:hAnsi="Arial Narrow"/>
                <w:sz w:val="18"/>
                <w:szCs w:val="18"/>
              </w:rPr>
              <w:t>)</w:t>
            </w:r>
          </w:p>
          <w:p w:rsidR="00BA3922" w:rsidRPr="00156477" w:rsidRDefault="00BA3922" w:rsidP="00BA3922">
            <w:pPr>
              <w:spacing w:after="80" w:line="240" w:lineRule="auto"/>
              <w:rPr>
                <w:rFonts w:ascii="Arial Narrow" w:hAnsi="Arial Narrow"/>
                <w:sz w:val="18"/>
                <w:szCs w:val="18"/>
              </w:rPr>
            </w:pPr>
            <w:r w:rsidRPr="00156477">
              <w:rPr>
                <w:rFonts w:ascii="Arial Narrow" w:hAnsi="Arial Narrow"/>
                <w:sz w:val="18"/>
                <w:szCs w:val="18"/>
              </w:rPr>
              <w:t>Menopause</w:t>
            </w:r>
          </w:p>
          <w:p w:rsidR="00BA3922" w:rsidRPr="00156477" w:rsidRDefault="00BA3922" w:rsidP="00BA3922">
            <w:pPr>
              <w:tabs>
                <w:tab w:val="left" w:pos="2835"/>
              </w:tabs>
              <w:spacing w:after="80" w:line="240" w:lineRule="auto"/>
              <w:rPr>
                <w:rFonts w:ascii="Arial Narrow" w:hAnsi="Arial Narrow"/>
                <w:sz w:val="18"/>
                <w:szCs w:val="18"/>
              </w:rPr>
            </w:pPr>
            <w:r w:rsidRPr="00156477">
              <w:rPr>
                <w:rFonts w:ascii="Arial Narrow" w:hAnsi="Arial Narrow"/>
                <w:sz w:val="18"/>
                <w:szCs w:val="18"/>
              </w:rPr>
              <w:t>Family history of OP (genetic predisposition)</w:t>
            </w:r>
          </w:p>
          <w:p w:rsidR="00BA3922" w:rsidRPr="00156477" w:rsidRDefault="00BA3922" w:rsidP="00BA3922">
            <w:pPr>
              <w:tabs>
                <w:tab w:val="left" w:pos="2835"/>
              </w:tabs>
              <w:spacing w:after="80" w:line="240" w:lineRule="auto"/>
              <w:rPr>
                <w:rFonts w:ascii="Arial Narrow" w:hAnsi="Arial Narrow"/>
                <w:sz w:val="18"/>
                <w:szCs w:val="18"/>
              </w:rPr>
            </w:pPr>
            <w:r w:rsidRPr="00156477">
              <w:rPr>
                <w:rFonts w:ascii="Arial Narrow" w:hAnsi="Arial Narrow"/>
                <w:sz w:val="18"/>
                <w:szCs w:val="18"/>
              </w:rPr>
              <w:t>Previous low trauma fracture (fragility fracture) particularly of the hip spine or wrist</w:t>
            </w:r>
          </w:p>
        </w:tc>
      </w:tr>
      <w:tr w:rsidR="00BA3922" w:rsidRPr="00156477" w:rsidTr="00BA3922">
        <w:tc>
          <w:tcPr>
            <w:tcW w:w="2943" w:type="dxa"/>
            <w:tcBorders>
              <w:top w:val="nil"/>
              <w:bottom w:val="nil"/>
            </w:tcBorders>
          </w:tcPr>
          <w:p w:rsidR="00BA3922" w:rsidRPr="00156477" w:rsidRDefault="00BA3922" w:rsidP="00BA3922">
            <w:pPr>
              <w:spacing w:after="80"/>
              <w:jc w:val="left"/>
              <w:rPr>
                <w:rFonts w:ascii="Arial Narrow" w:hAnsi="Arial Narrow"/>
                <w:sz w:val="18"/>
                <w:szCs w:val="18"/>
              </w:rPr>
            </w:pPr>
            <w:r w:rsidRPr="00156477">
              <w:rPr>
                <w:rFonts w:ascii="Arial Narrow" w:hAnsi="Arial Narrow"/>
                <w:sz w:val="18"/>
                <w:szCs w:val="18"/>
              </w:rPr>
              <w:t>Lifestyle (modifiable) risk factors</w:t>
            </w:r>
          </w:p>
        </w:tc>
        <w:tc>
          <w:tcPr>
            <w:tcW w:w="6205" w:type="dxa"/>
            <w:tcBorders>
              <w:top w:val="nil"/>
              <w:bottom w:val="nil"/>
            </w:tcBorders>
          </w:tcPr>
          <w:p w:rsidR="00BA3922" w:rsidRPr="00156477" w:rsidRDefault="00BA3922" w:rsidP="00BA3922">
            <w:pPr>
              <w:spacing w:after="80" w:line="240" w:lineRule="auto"/>
              <w:rPr>
                <w:rFonts w:ascii="Arial Narrow" w:hAnsi="Arial Narrow"/>
                <w:sz w:val="18"/>
                <w:szCs w:val="18"/>
              </w:rPr>
            </w:pPr>
            <w:r w:rsidRPr="00156477">
              <w:rPr>
                <w:rFonts w:ascii="Arial Narrow" w:hAnsi="Arial Narrow"/>
                <w:sz w:val="18"/>
                <w:szCs w:val="18"/>
              </w:rPr>
              <w:t xml:space="preserve">Physical inactivity </w:t>
            </w:r>
          </w:p>
          <w:p w:rsidR="00BA3922" w:rsidRPr="00156477" w:rsidRDefault="00BA3922" w:rsidP="00BA3922">
            <w:pPr>
              <w:spacing w:after="80" w:line="240" w:lineRule="auto"/>
              <w:rPr>
                <w:rFonts w:ascii="Arial Narrow" w:hAnsi="Arial Narrow"/>
                <w:sz w:val="18"/>
                <w:szCs w:val="18"/>
              </w:rPr>
            </w:pPr>
            <w:r w:rsidRPr="00156477">
              <w:rPr>
                <w:rFonts w:ascii="Arial Narrow" w:hAnsi="Arial Narrow"/>
                <w:sz w:val="18"/>
                <w:szCs w:val="18"/>
              </w:rPr>
              <w:t>Diet</w:t>
            </w:r>
            <w:r>
              <w:rPr>
                <w:rFonts w:ascii="Arial Narrow" w:hAnsi="Arial Narrow"/>
                <w:sz w:val="18"/>
                <w:szCs w:val="18"/>
              </w:rPr>
              <w:t>:</w:t>
            </w:r>
            <w:r w:rsidRPr="00156477">
              <w:rPr>
                <w:rFonts w:ascii="Arial Narrow" w:hAnsi="Arial Narrow"/>
                <w:sz w:val="18"/>
                <w:szCs w:val="18"/>
              </w:rPr>
              <w:t xml:space="preserve"> low calcium intake </w:t>
            </w:r>
          </w:p>
          <w:p w:rsidR="00BA3922" w:rsidRPr="00156477" w:rsidRDefault="00BA3922" w:rsidP="00BA3922">
            <w:pPr>
              <w:spacing w:after="80" w:line="240" w:lineRule="auto"/>
              <w:rPr>
                <w:rFonts w:ascii="Arial Narrow" w:hAnsi="Arial Narrow"/>
                <w:sz w:val="18"/>
                <w:szCs w:val="18"/>
              </w:rPr>
            </w:pPr>
            <w:r w:rsidRPr="00156477">
              <w:rPr>
                <w:rFonts w:ascii="Arial Narrow" w:hAnsi="Arial Narrow"/>
                <w:sz w:val="18"/>
                <w:szCs w:val="18"/>
              </w:rPr>
              <w:t xml:space="preserve">Vitamin D deficiency </w:t>
            </w:r>
          </w:p>
          <w:p w:rsidR="00BA3922" w:rsidRPr="00156477" w:rsidRDefault="00BA3922" w:rsidP="00BA3922">
            <w:pPr>
              <w:spacing w:after="80" w:line="240" w:lineRule="auto"/>
              <w:rPr>
                <w:rFonts w:ascii="Arial Narrow" w:hAnsi="Arial Narrow"/>
                <w:sz w:val="18"/>
                <w:szCs w:val="18"/>
              </w:rPr>
            </w:pPr>
            <w:r w:rsidRPr="00156477">
              <w:rPr>
                <w:rFonts w:ascii="Arial Narrow" w:hAnsi="Arial Narrow"/>
                <w:sz w:val="18"/>
                <w:szCs w:val="18"/>
              </w:rPr>
              <w:t xml:space="preserve">Tobacco smoking </w:t>
            </w:r>
          </w:p>
          <w:p w:rsidR="00BA3922" w:rsidRPr="00156477" w:rsidRDefault="00BA3922" w:rsidP="00BA3922">
            <w:pPr>
              <w:spacing w:after="80" w:line="240" w:lineRule="auto"/>
              <w:rPr>
                <w:rFonts w:ascii="Arial Narrow" w:hAnsi="Arial Narrow"/>
                <w:sz w:val="18"/>
                <w:szCs w:val="18"/>
              </w:rPr>
            </w:pPr>
            <w:r w:rsidRPr="00156477">
              <w:rPr>
                <w:rFonts w:ascii="Arial Narrow" w:hAnsi="Arial Narrow"/>
                <w:sz w:val="18"/>
                <w:szCs w:val="18"/>
              </w:rPr>
              <w:t xml:space="preserve">Excessive alcohol consumption </w:t>
            </w:r>
          </w:p>
          <w:p w:rsidR="00BA3922" w:rsidRPr="00156477" w:rsidRDefault="00BA3922" w:rsidP="00BA3922">
            <w:pPr>
              <w:spacing w:after="80" w:line="240" w:lineRule="auto"/>
              <w:rPr>
                <w:rFonts w:ascii="Arial Narrow" w:hAnsi="Arial Narrow"/>
                <w:sz w:val="18"/>
                <w:szCs w:val="18"/>
              </w:rPr>
            </w:pPr>
            <w:r w:rsidRPr="00156477">
              <w:rPr>
                <w:rFonts w:ascii="Arial Narrow" w:hAnsi="Arial Narrow"/>
                <w:sz w:val="18"/>
                <w:szCs w:val="18"/>
              </w:rPr>
              <w:t>Low body mass index (BMI &lt;18.5)</w:t>
            </w:r>
          </w:p>
          <w:p w:rsidR="00BA3922" w:rsidRPr="00156477" w:rsidRDefault="00BA3922" w:rsidP="00BA3922">
            <w:pPr>
              <w:spacing w:after="80" w:line="240" w:lineRule="auto"/>
              <w:rPr>
                <w:rFonts w:ascii="Arial Narrow" w:hAnsi="Arial Narrow"/>
                <w:sz w:val="18"/>
                <w:szCs w:val="18"/>
              </w:rPr>
            </w:pPr>
            <w:r w:rsidRPr="00156477">
              <w:rPr>
                <w:rFonts w:ascii="Arial Narrow" w:hAnsi="Arial Narrow"/>
                <w:sz w:val="18"/>
                <w:szCs w:val="18"/>
              </w:rPr>
              <w:t>Excessively high body mass index</w:t>
            </w:r>
          </w:p>
        </w:tc>
      </w:tr>
      <w:tr w:rsidR="00BA3922" w:rsidRPr="00156477" w:rsidTr="00BA3922">
        <w:tc>
          <w:tcPr>
            <w:tcW w:w="2943" w:type="dxa"/>
            <w:tcBorders>
              <w:top w:val="nil"/>
              <w:bottom w:val="nil"/>
            </w:tcBorders>
          </w:tcPr>
          <w:p w:rsidR="00BA3922" w:rsidRPr="00156477" w:rsidRDefault="00BA3922" w:rsidP="00BA3922">
            <w:pPr>
              <w:spacing w:after="80"/>
              <w:jc w:val="left"/>
              <w:rPr>
                <w:rFonts w:ascii="Arial Narrow" w:hAnsi="Arial Narrow"/>
                <w:sz w:val="18"/>
                <w:szCs w:val="18"/>
              </w:rPr>
            </w:pPr>
          </w:p>
        </w:tc>
        <w:tc>
          <w:tcPr>
            <w:tcW w:w="6205" w:type="dxa"/>
            <w:tcBorders>
              <w:top w:val="nil"/>
              <w:bottom w:val="nil"/>
            </w:tcBorders>
          </w:tcPr>
          <w:p w:rsidR="00BA3922" w:rsidRPr="00156477" w:rsidRDefault="00BA3922" w:rsidP="00BA3922">
            <w:pPr>
              <w:spacing w:after="80" w:line="240" w:lineRule="auto"/>
              <w:rPr>
                <w:rFonts w:ascii="Arial Narrow" w:hAnsi="Arial Narrow"/>
                <w:sz w:val="18"/>
                <w:szCs w:val="18"/>
              </w:rPr>
            </w:pPr>
            <w:r w:rsidRPr="00156477">
              <w:rPr>
                <w:rFonts w:ascii="Arial Narrow" w:hAnsi="Arial Narrow"/>
                <w:sz w:val="18"/>
                <w:szCs w:val="18"/>
              </w:rPr>
              <w:t>Anorexia/exercise induced amenorrhoea</w:t>
            </w:r>
          </w:p>
        </w:tc>
      </w:tr>
      <w:tr w:rsidR="00BA3922" w:rsidRPr="00156477" w:rsidTr="00BA3922">
        <w:tc>
          <w:tcPr>
            <w:tcW w:w="2943" w:type="dxa"/>
            <w:tcBorders>
              <w:top w:val="nil"/>
              <w:bottom w:val="nil"/>
            </w:tcBorders>
          </w:tcPr>
          <w:p w:rsidR="00BA3922" w:rsidRPr="00156477" w:rsidRDefault="00BA3922" w:rsidP="00BA3922">
            <w:pPr>
              <w:tabs>
                <w:tab w:val="left" w:pos="2835"/>
              </w:tabs>
              <w:spacing w:before="40" w:after="80"/>
              <w:rPr>
                <w:rFonts w:ascii="Arial Narrow" w:hAnsi="Arial Narrow"/>
                <w:sz w:val="18"/>
                <w:szCs w:val="18"/>
              </w:rPr>
            </w:pPr>
            <w:r w:rsidRPr="00156477">
              <w:rPr>
                <w:rFonts w:ascii="Arial Narrow" w:hAnsi="Arial Narrow"/>
                <w:sz w:val="18"/>
                <w:szCs w:val="18"/>
              </w:rPr>
              <w:t xml:space="preserve"> Diseases implicated in OP</w:t>
            </w:r>
          </w:p>
          <w:p w:rsidR="00BA3922" w:rsidRPr="00156477" w:rsidRDefault="00BA3922" w:rsidP="00BA3922">
            <w:pPr>
              <w:tabs>
                <w:tab w:val="left" w:pos="2835"/>
              </w:tabs>
              <w:spacing w:before="40" w:after="80"/>
              <w:jc w:val="left"/>
              <w:rPr>
                <w:rFonts w:ascii="Arial Narrow" w:hAnsi="Arial Narrow"/>
                <w:sz w:val="18"/>
                <w:szCs w:val="18"/>
              </w:rPr>
            </w:pPr>
          </w:p>
        </w:tc>
        <w:tc>
          <w:tcPr>
            <w:tcW w:w="6205" w:type="dxa"/>
            <w:tcBorders>
              <w:top w:val="nil"/>
              <w:bottom w:val="nil"/>
            </w:tcBorders>
          </w:tcPr>
          <w:p w:rsidR="00BA3922" w:rsidRPr="00156477" w:rsidRDefault="00BA3922" w:rsidP="00BA3922">
            <w:pPr>
              <w:tabs>
                <w:tab w:val="left" w:pos="0"/>
                <w:tab w:val="left" w:pos="34"/>
              </w:tabs>
              <w:spacing w:before="40" w:after="80" w:line="240" w:lineRule="auto"/>
              <w:jc w:val="left"/>
              <w:rPr>
                <w:rFonts w:ascii="Arial Narrow" w:hAnsi="Arial Narrow"/>
                <w:sz w:val="18"/>
                <w:szCs w:val="18"/>
              </w:rPr>
            </w:pPr>
            <w:r w:rsidRPr="00156477">
              <w:rPr>
                <w:rFonts w:ascii="Arial Narrow" w:hAnsi="Arial Narrow"/>
                <w:sz w:val="18"/>
                <w:szCs w:val="18"/>
              </w:rPr>
              <w:t xml:space="preserve">Rheumatoid arthritis </w:t>
            </w:r>
          </w:p>
          <w:p w:rsidR="00BA3922" w:rsidRDefault="00BA3922" w:rsidP="00BA3922">
            <w:pPr>
              <w:tabs>
                <w:tab w:val="left" w:pos="0"/>
                <w:tab w:val="left" w:pos="34"/>
              </w:tabs>
              <w:spacing w:before="40" w:after="80" w:line="240" w:lineRule="auto"/>
              <w:jc w:val="left"/>
              <w:rPr>
                <w:rFonts w:ascii="Arial Narrow" w:hAnsi="Arial Narrow"/>
                <w:sz w:val="18"/>
                <w:szCs w:val="18"/>
              </w:rPr>
            </w:pPr>
            <w:r>
              <w:rPr>
                <w:rFonts w:ascii="Arial Narrow" w:hAnsi="Arial Narrow"/>
                <w:sz w:val="18"/>
                <w:szCs w:val="18"/>
              </w:rPr>
              <w:t>Hyperthyroidism</w:t>
            </w:r>
          </w:p>
          <w:p w:rsidR="00BA3922" w:rsidRDefault="00BA3922" w:rsidP="00BA3922">
            <w:pPr>
              <w:tabs>
                <w:tab w:val="left" w:pos="0"/>
                <w:tab w:val="left" w:pos="34"/>
              </w:tabs>
              <w:spacing w:before="40" w:after="80" w:line="240" w:lineRule="auto"/>
              <w:jc w:val="left"/>
              <w:rPr>
                <w:rFonts w:ascii="Arial Narrow" w:hAnsi="Arial Narrow"/>
                <w:sz w:val="18"/>
                <w:szCs w:val="18"/>
              </w:rPr>
            </w:pPr>
            <w:r>
              <w:rPr>
                <w:rFonts w:ascii="Arial Narrow" w:hAnsi="Arial Narrow"/>
                <w:sz w:val="18"/>
                <w:szCs w:val="18"/>
              </w:rPr>
              <w:t>Hyperparathyroisism</w:t>
            </w:r>
          </w:p>
          <w:p w:rsidR="00BA3922" w:rsidRDefault="00BA3922" w:rsidP="00BA3922">
            <w:pPr>
              <w:tabs>
                <w:tab w:val="left" w:pos="0"/>
                <w:tab w:val="left" w:pos="34"/>
              </w:tabs>
              <w:spacing w:before="40" w:after="80" w:line="240" w:lineRule="auto"/>
              <w:jc w:val="left"/>
              <w:rPr>
                <w:rFonts w:ascii="Arial Narrow" w:hAnsi="Arial Narrow"/>
                <w:sz w:val="18"/>
                <w:szCs w:val="18"/>
              </w:rPr>
            </w:pPr>
            <w:r>
              <w:rPr>
                <w:rFonts w:ascii="Arial Narrow" w:hAnsi="Arial Narrow"/>
                <w:sz w:val="18"/>
                <w:szCs w:val="18"/>
              </w:rPr>
              <w:t>Hypogonadism, including early menopause</w:t>
            </w:r>
          </w:p>
          <w:p w:rsidR="00BA3922" w:rsidRPr="00156477" w:rsidRDefault="00BA3922" w:rsidP="00BA3922">
            <w:pPr>
              <w:tabs>
                <w:tab w:val="left" w:pos="0"/>
                <w:tab w:val="left" w:pos="34"/>
              </w:tabs>
              <w:spacing w:before="40" w:after="80" w:line="240" w:lineRule="auto"/>
              <w:jc w:val="left"/>
              <w:rPr>
                <w:rFonts w:ascii="Arial Narrow" w:hAnsi="Arial Narrow"/>
                <w:sz w:val="18"/>
                <w:szCs w:val="18"/>
              </w:rPr>
            </w:pPr>
            <w:r>
              <w:rPr>
                <w:rFonts w:ascii="Arial Narrow" w:hAnsi="Arial Narrow"/>
                <w:sz w:val="18"/>
                <w:szCs w:val="18"/>
              </w:rPr>
              <w:t>Cushing’s syndrome</w:t>
            </w:r>
          </w:p>
          <w:p w:rsidR="00BA3922" w:rsidRPr="00156477" w:rsidRDefault="00BA3922" w:rsidP="00BA3922">
            <w:pPr>
              <w:tabs>
                <w:tab w:val="left" w:pos="0"/>
              </w:tabs>
              <w:spacing w:before="40" w:after="80" w:line="240" w:lineRule="auto"/>
              <w:jc w:val="left"/>
              <w:rPr>
                <w:rFonts w:ascii="Arial Narrow" w:hAnsi="Arial Narrow"/>
                <w:sz w:val="18"/>
                <w:szCs w:val="18"/>
              </w:rPr>
            </w:pPr>
            <w:r w:rsidRPr="00156477">
              <w:rPr>
                <w:rFonts w:ascii="Arial Narrow" w:hAnsi="Arial Narrow"/>
                <w:sz w:val="18"/>
                <w:szCs w:val="18"/>
              </w:rPr>
              <w:t>Chronic gut conditions including coeliac disease and inflammatory bowel disease</w:t>
            </w:r>
          </w:p>
          <w:p w:rsidR="00BA3922" w:rsidRPr="00156477" w:rsidRDefault="00BA3922" w:rsidP="00BA3922">
            <w:pPr>
              <w:tabs>
                <w:tab w:val="left" w:pos="0"/>
              </w:tabs>
              <w:spacing w:before="40" w:after="80" w:line="240" w:lineRule="auto"/>
              <w:jc w:val="left"/>
              <w:rPr>
                <w:rFonts w:ascii="Arial Narrow" w:hAnsi="Arial Narrow"/>
                <w:sz w:val="18"/>
                <w:szCs w:val="18"/>
              </w:rPr>
            </w:pPr>
            <w:r w:rsidRPr="00156477">
              <w:rPr>
                <w:rFonts w:ascii="Arial Narrow" w:hAnsi="Arial Narrow"/>
                <w:sz w:val="18"/>
                <w:szCs w:val="18"/>
              </w:rPr>
              <w:t>Chronic liver disease</w:t>
            </w:r>
          </w:p>
          <w:p w:rsidR="00BA3922" w:rsidRPr="00156477" w:rsidRDefault="00BA3922" w:rsidP="00BA3922">
            <w:pPr>
              <w:tabs>
                <w:tab w:val="left" w:pos="0"/>
              </w:tabs>
              <w:spacing w:before="40" w:after="80" w:line="240" w:lineRule="auto"/>
              <w:jc w:val="left"/>
              <w:rPr>
                <w:rFonts w:ascii="Arial Narrow" w:hAnsi="Arial Narrow"/>
                <w:sz w:val="18"/>
                <w:szCs w:val="18"/>
              </w:rPr>
            </w:pPr>
            <w:r w:rsidRPr="00156477">
              <w:rPr>
                <w:rFonts w:ascii="Arial Narrow" w:hAnsi="Arial Narrow"/>
                <w:sz w:val="18"/>
                <w:szCs w:val="18"/>
              </w:rPr>
              <w:t>Chronic renal disease</w:t>
            </w:r>
          </w:p>
          <w:p w:rsidR="00BA3922" w:rsidRPr="00156477" w:rsidRDefault="00BA3922" w:rsidP="00BA3922">
            <w:pPr>
              <w:tabs>
                <w:tab w:val="left" w:pos="0"/>
              </w:tabs>
              <w:spacing w:before="40" w:after="80" w:line="240" w:lineRule="auto"/>
              <w:jc w:val="left"/>
              <w:rPr>
                <w:rFonts w:ascii="Arial Narrow" w:hAnsi="Arial Narrow"/>
                <w:sz w:val="18"/>
                <w:szCs w:val="18"/>
              </w:rPr>
            </w:pPr>
            <w:r w:rsidRPr="00156477">
              <w:rPr>
                <w:rFonts w:ascii="Arial Narrow" w:hAnsi="Arial Narrow"/>
                <w:sz w:val="18"/>
                <w:szCs w:val="18"/>
              </w:rPr>
              <w:t>Some cancers (eg myeloma)</w:t>
            </w:r>
          </w:p>
        </w:tc>
      </w:tr>
      <w:tr w:rsidR="00BA3922" w:rsidRPr="00156477" w:rsidTr="00BA3922">
        <w:tc>
          <w:tcPr>
            <w:tcW w:w="2943" w:type="dxa"/>
            <w:tcBorders>
              <w:top w:val="nil"/>
              <w:bottom w:val="nil"/>
            </w:tcBorders>
          </w:tcPr>
          <w:p w:rsidR="00BA3922" w:rsidRPr="00156477" w:rsidRDefault="00BA3922" w:rsidP="00BA3922">
            <w:pPr>
              <w:tabs>
                <w:tab w:val="left" w:pos="2835"/>
              </w:tabs>
              <w:spacing w:before="40" w:after="80"/>
              <w:rPr>
                <w:rFonts w:ascii="Arial Narrow" w:hAnsi="Arial Narrow"/>
                <w:sz w:val="18"/>
                <w:szCs w:val="18"/>
              </w:rPr>
            </w:pPr>
          </w:p>
        </w:tc>
        <w:tc>
          <w:tcPr>
            <w:tcW w:w="6205" w:type="dxa"/>
            <w:tcBorders>
              <w:top w:val="nil"/>
              <w:bottom w:val="nil"/>
            </w:tcBorders>
          </w:tcPr>
          <w:p w:rsidR="00BA3922" w:rsidRPr="00156477" w:rsidRDefault="00BA3922" w:rsidP="00BA3922">
            <w:pPr>
              <w:tabs>
                <w:tab w:val="left" w:pos="0"/>
                <w:tab w:val="left" w:pos="34"/>
              </w:tabs>
              <w:spacing w:before="40" w:after="80" w:line="240" w:lineRule="auto"/>
              <w:jc w:val="left"/>
              <w:rPr>
                <w:rFonts w:ascii="Arial Narrow" w:hAnsi="Arial Narrow"/>
                <w:sz w:val="18"/>
                <w:szCs w:val="18"/>
              </w:rPr>
            </w:pPr>
            <w:r w:rsidRPr="00156477">
              <w:rPr>
                <w:rFonts w:ascii="Arial Narrow" w:hAnsi="Arial Narrow"/>
                <w:sz w:val="18"/>
                <w:szCs w:val="18"/>
              </w:rPr>
              <w:t>Type 1 diabetes</w:t>
            </w:r>
          </w:p>
        </w:tc>
      </w:tr>
      <w:tr w:rsidR="00BA3922" w:rsidRPr="00156477" w:rsidTr="00BA3922">
        <w:tc>
          <w:tcPr>
            <w:tcW w:w="2943" w:type="dxa"/>
            <w:tcBorders>
              <w:top w:val="nil"/>
              <w:bottom w:val="nil"/>
            </w:tcBorders>
          </w:tcPr>
          <w:p w:rsidR="00BA3922" w:rsidRPr="00156477" w:rsidRDefault="00BA3922" w:rsidP="00BA3922">
            <w:pPr>
              <w:tabs>
                <w:tab w:val="left" w:pos="2835"/>
              </w:tabs>
              <w:spacing w:before="40" w:after="80"/>
              <w:rPr>
                <w:rFonts w:ascii="Arial Narrow" w:hAnsi="Arial Narrow"/>
                <w:sz w:val="18"/>
                <w:szCs w:val="18"/>
              </w:rPr>
            </w:pPr>
          </w:p>
        </w:tc>
        <w:tc>
          <w:tcPr>
            <w:tcW w:w="6205" w:type="dxa"/>
            <w:tcBorders>
              <w:top w:val="nil"/>
              <w:bottom w:val="nil"/>
            </w:tcBorders>
          </w:tcPr>
          <w:p w:rsidR="00BA3922" w:rsidRPr="00156477" w:rsidRDefault="00BA3922" w:rsidP="00BA3922">
            <w:pPr>
              <w:tabs>
                <w:tab w:val="left" w:pos="0"/>
                <w:tab w:val="left" w:pos="34"/>
              </w:tabs>
              <w:spacing w:before="40" w:after="80" w:line="240" w:lineRule="auto"/>
              <w:jc w:val="left"/>
              <w:rPr>
                <w:rFonts w:ascii="Arial Narrow" w:hAnsi="Arial Narrow"/>
                <w:sz w:val="18"/>
                <w:szCs w:val="18"/>
              </w:rPr>
            </w:pPr>
            <w:r w:rsidRPr="00156477">
              <w:rPr>
                <w:rFonts w:ascii="Arial Narrow" w:hAnsi="Arial Narrow"/>
                <w:sz w:val="18"/>
                <w:szCs w:val="18"/>
              </w:rPr>
              <w:t>Gastrectomy</w:t>
            </w:r>
          </w:p>
        </w:tc>
      </w:tr>
      <w:tr w:rsidR="00BA3922" w:rsidRPr="00156477" w:rsidTr="00BA3922">
        <w:tc>
          <w:tcPr>
            <w:tcW w:w="2943" w:type="dxa"/>
            <w:tcBorders>
              <w:top w:val="nil"/>
              <w:bottom w:val="nil"/>
            </w:tcBorders>
          </w:tcPr>
          <w:p w:rsidR="00BA3922" w:rsidRPr="00156477" w:rsidRDefault="00BA3922" w:rsidP="00BA3922">
            <w:pPr>
              <w:tabs>
                <w:tab w:val="left" w:pos="2835"/>
              </w:tabs>
              <w:spacing w:before="40" w:after="80"/>
              <w:rPr>
                <w:rFonts w:ascii="Arial Narrow" w:hAnsi="Arial Narrow"/>
                <w:sz w:val="18"/>
                <w:szCs w:val="18"/>
              </w:rPr>
            </w:pPr>
          </w:p>
        </w:tc>
        <w:tc>
          <w:tcPr>
            <w:tcW w:w="6205" w:type="dxa"/>
            <w:tcBorders>
              <w:top w:val="nil"/>
              <w:bottom w:val="nil"/>
            </w:tcBorders>
          </w:tcPr>
          <w:p w:rsidR="00BA3922" w:rsidRPr="00156477" w:rsidRDefault="00BA3922" w:rsidP="00BA3922">
            <w:pPr>
              <w:tabs>
                <w:tab w:val="left" w:pos="0"/>
                <w:tab w:val="left" w:pos="34"/>
              </w:tabs>
              <w:spacing w:before="40" w:after="80" w:line="240" w:lineRule="auto"/>
              <w:jc w:val="left"/>
              <w:rPr>
                <w:rFonts w:ascii="Arial Narrow" w:hAnsi="Arial Narrow"/>
                <w:sz w:val="18"/>
                <w:szCs w:val="18"/>
              </w:rPr>
            </w:pPr>
            <w:r w:rsidRPr="00156477">
              <w:rPr>
                <w:rFonts w:ascii="Arial Narrow" w:hAnsi="Arial Narrow"/>
                <w:sz w:val="18"/>
                <w:szCs w:val="18"/>
              </w:rPr>
              <w:t>Ankylosing spondylitis</w:t>
            </w:r>
          </w:p>
        </w:tc>
      </w:tr>
      <w:tr w:rsidR="00BA3922" w:rsidRPr="00156477" w:rsidTr="00BA3922">
        <w:tc>
          <w:tcPr>
            <w:tcW w:w="2943" w:type="dxa"/>
            <w:tcBorders>
              <w:top w:val="nil"/>
              <w:bottom w:val="single" w:sz="12" w:space="0" w:color="auto"/>
            </w:tcBorders>
          </w:tcPr>
          <w:p w:rsidR="00BA3922" w:rsidRPr="00156477" w:rsidRDefault="00BA3922" w:rsidP="00BA3922">
            <w:pPr>
              <w:tabs>
                <w:tab w:val="left" w:pos="2835"/>
              </w:tabs>
              <w:spacing w:before="40" w:after="80"/>
              <w:rPr>
                <w:rFonts w:ascii="Arial Narrow" w:hAnsi="Arial Narrow"/>
                <w:sz w:val="18"/>
                <w:szCs w:val="18"/>
              </w:rPr>
            </w:pPr>
            <w:r w:rsidRPr="00156477">
              <w:rPr>
                <w:rFonts w:ascii="Arial Narrow" w:hAnsi="Arial Narrow"/>
                <w:sz w:val="18"/>
                <w:szCs w:val="18"/>
              </w:rPr>
              <w:t>Drug therapies implicated in OP</w:t>
            </w:r>
          </w:p>
          <w:p w:rsidR="00BA3922" w:rsidRPr="00156477" w:rsidRDefault="00BA3922" w:rsidP="00BA3922">
            <w:pPr>
              <w:tabs>
                <w:tab w:val="left" w:pos="2835"/>
              </w:tabs>
              <w:spacing w:before="40" w:after="80"/>
              <w:jc w:val="left"/>
              <w:rPr>
                <w:rFonts w:ascii="Arial Narrow" w:hAnsi="Arial Narrow"/>
                <w:sz w:val="18"/>
                <w:szCs w:val="18"/>
              </w:rPr>
            </w:pPr>
          </w:p>
        </w:tc>
        <w:tc>
          <w:tcPr>
            <w:tcW w:w="6205" w:type="dxa"/>
            <w:tcBorders>
              <w:top w:val="nil"/>
              <w:bottom w:val="single" w:sz="12" w:space="0" w:color="auto"/>
            </w:tcBorders>
          </w:tcPr>
          <w:p w:rsidR="00BA3922" w:rsidRPr="00156477" w:rsidRDefault="00BA3922" w:rsidP="00BA3922">
            <w:pPr>
              <w:tabs>
                <w:tab w:val="left" w:pos="2835"/>
              </w:tabs>
              <w:spacing w:before="40" w:after="80" w:line="240" w:lineRule="auto"/>
              <w:rPr>
                <w:rFonts w:ascii="Arial Narrow" w:hAnsi="Arial Narrow"/>
                <w:sz w:val="18"/>
                <w:szCs w:val="18"/>
              </w:rPr>
            </w:pPr>
            <w:r w:rsidRPr="00156477">
              <w:rPr>
                <w:rFonts w:ascii="Arial Narrow" w:hAnsi="Arial Narrow"/>
                <w:sz w:val="18"/>
                <w:szCs w:val="18"/>
              </w:rPr>
              <w:t xml:space="preserve">Chemotherapy </w:t>
            </w:r>
          </w:p>
          <w:p w:rsidR="00BA3922" w:rsidRPr="00156477" w:rsidRDefault="00BA3922" w:rsidP="00BA3922">
            <w:pPr>
              <w:tabs>
                <w:tab w:val="left" w:pos="2835"/>
              </w:tabs>
              <w:spacing w:before="40" w:after="80" w:line="240" w:lineRule="auto"/>
              <w:rPr>
                <w:rFonts w:ascii="Arial Narrow" w:hAnsi="Arial Narrow"/>
                <w:sz w:val="18"/>
                <w:szCs w:val="18"/>
              </w:rPr>
            </w:pPr>
            <w:r w:rsidRPr="00156477">
              <w:rPr>
                <w:rFonts w:ascii="Arial Narrow" w:hAnsi="Arial Narrow"/>
                <w:sz w:val="18"/>
                <w:szCs w:val="18"/>
              </w:rPr>
              <w:t>Aromatase inhibitors for the treatment of breast cancer</w:t>
            </w:r>
          </w:p>
          <w:p w:rsidR="00BA3922" w:rsidRPr="00156477" w:rsidRDefault="00BA3922" w:rsidP="00BA3922">
            <w:pPr>
              <w:tabs>
                <w:tab w:val="left" w:pos="2835"/>
              </w:tabs>
              <w:spacing w:before="40" w:after="80" w:line="240" w:lineRule="auto"/>
              <w:rPr>
                <w:rFonts w:ascii="Arial Narrow" w:hAnsi="Arial Narrow"/>
                <w:sz w:val="18"/>
                <w:szCs w:val="18"/>
              </w:rPr>
            </w:pPr>
            <w:r>
              <w:rPr>
                <w:rFonts w:ascii="Arial Narrow" w:hAnsi="Arial Narrow"/>
                <w:sz w:val="18"/>
                <w:szCs w:val="18"/>
              </w:rPr>
              <w:t>Long-term c</w:t>
            </w:r>
            <w:r w:rsidRPr="00156477">
              <w:rPr>
                <w:rFonts w:ascii="Arial Narrow" w:hAnsi="Arial Narrow"/>
                <w:sz w:val="18"/>
                <w:szCs w:val="18"/>
              </w:rPr>
              <w:t xml:space="preserve">orticosteroid use </w:t>
            </w:r>
          </w:p>
          <w:p w:rsidR="00BA3922" w:rsidRPr="00156477" w:rsidRDefault="00BA3922" w:rsidP="00BA3922">
            <w:pPr>
              <w:tabs>
                <w:tab w:val="left" w:pos="2835"/>
              </w:tabs>
              <w:spacing w:before="40" w:after="80" w:line="240" w:lineRule="auto"/>
              <w:rPr>
                <w:rFonts w:ascii="Arial Narrow" w:hAnsi="Arial Narrow"/>
                <w:sz w:val="18"/>
                <w:szCs w:val="18"/>
              </w:rPr>
            </w:pPr>
            <w:r w:rsidRPr="00156477">
              <w:rPr>
                <w:rFonts w:ascii="Arial Narrow" w:hAnsi="Arial Narrow"/>
                <w:sz w:val="18"/>
                <w:szCs w:val="18"/>
              </w:rPr>
              <w:t>Anti-androgenic treatment for prostate cancer</w:t>
            </w:r>
          </w:p>
        </w:tc>
      </w:tr>
      <w:tr w:rsidR="00BA3922" w:rsidRPr="00156477" w:rsidTr="00BA3922">
        <w:tc>
          <w:tcPr>
            <w:tcW w:w="9148" w:type="dxa"/>
            <w:gridSpan w:val="2"/>
            <w:tcBorders>
              <w:top w:val="single" w:sz="12" w:space="0" w:color="auto"/>
              <w:bottom w:val="nil"/>
            </w:tcBorders>
          </w:tcPr>
          <w:p w:rsidR="00BA3922" w:rsidRPr="00156477" w:rsidRDefault="00BA3922" w:rsidP="003C02E5">
            <w:pPr>
              <w:spacing w:after="80"/>
              <w:rPr>
                <w:rFonts w:ascii="Arial Narrow" w:hAnsi="Arial Narrow"/>
                <w:sz w:val="18"/>
                <w:szCs w:val="18"/>
              </w:rPr>
            </w:pPr>
            <w:r>
              <w:rPr>
                <w:rFonts w:ascii="Arial Narrow" w:hAnsi="Arial Narrow"/>
                <w:sz w:val="18"/>
                <w:szCs w:val="18"/>
              </w:rPr>
              <w:t xml:space="preserve">OP: osteoporosis; </w:t>
            </w:r>
            <w:r w:rsidRPr="00156477">
              <w:rPr>
                <w:rFonts w:ascii="Arial Narrow" w:hAnsi="Arial Narrow"/>
                <w:sz w:val="18"/>
                <w:szCs w:val="18"/>
              </w:rPr>
              <w:t>Source: AIHW 2008; AIHW 2010</w:t>
            </w:r>
            <w:r w:rsidR="003C02E5">
              <w:rPr>
                <w:rFonts w:ascii="Arial Narrow" w:hAnsi="Arial Narrow"/>
                <w:sz w:val="18"/>
                <w:szCs w:val="18"/>
              </w:rPr>
              <w:t>b</w:t>
            </w:r>
            <w:r w:rsidRPr="00156477">
              <w:rPr>
                <w:rFonts w:ascii="Arial Narrow" w:hAnsi="Arial Narrow"/>
                <w:sz w:val="18"/>
                <w:szCs w:val="18"/>
              </w:rPr>
              <w:t>; Osteoporosis Australia 2011; Smith 2006.</w:t>
            </w:r>
          </w:p>
        </w:tc>
      </w:tr>
    </w:tbl>
    <w:p w:rsidR="00F86C9F" w:rsidRPr="00FA270C" w:rsidRDefault="00F86C9F" w:rsidP="00D450CE">
      <w:r w:rsidRPr="00FA270C">
        <w:t xml:space="preserve">Bone remodelling is a continual process which exists in adults to maintain bone mass and is mediated through osteoblasts, osteocytes and osteoclasts (Santen et al, 2011). </w:t>
      </w:r>
    </w:p>
    <w:p w:rsidR="00F86C9F" w:rsidRPr="00FA270C" w:rsidRDefault="00F86C9F" w:rsidP="00D450CE">
      <w:pPr>
        <w:pStyle w:val="ListParagraph"/>
        <w:numPr>
          <w:ilvl w:val="0"/>
          <w:numId w:val="18"/>
        </w:numPr>
      </w:pPr>
      <w:r w:rsidRPr="00FA270C">
        <w:t xml:space="preserve">Osteoblasts are bone forming cells which produce organic bone matrix and aid its mineralisation. </w:t>
      </w:r>
    </w:p>
    <w:p w:rsidR="00F86C9F" w:rsidRPr="00FA270C" w:rsidRDefault="00F86C9F" w:rsidP="00D450CE">
      <w:pPr>
        <w:pStyle w:val="ListParagraph"/>
        <w:numPr>
          <w:ilvl w:val="0"/>
          <w:numId w:val="18"/>
        </w:numPr>
      </w:pPr>
      <w:r w:rsidRPr="00FA270C">
        <w:t>Osteoclasts are bone resorptive cells which digest bone mineral and degrade extracellular matrix proteins and form bone resorptive “pits”.</w:t>
      </w:r>
    </w:p>
    <w:p w:rsidR="00F86C9F" w:rsidRPr="00FA270C" w:rsidRDefault="00F86C9F" w:rsidP="00D450CE">
      <w:pPr>
        <w:pStyle w:val="ListParagraph"/>
        <w:numPr>
          <w:ilvl w:val="0"/>
          <w:numId w:val="18"/>
        </w:numPr>
      </w:pPr>
      <w:r w:rsidRPr="00FA270C">
        <w:t>Osteocytes are osteoblasts which do not undergo apoptosis and become incorporated into the bone matrix and are important in the coupling mechanism of bone formation and resorption.</w:t>
      </w:r>
    </w:p>
    <w:p w:rsidR="00F86C9F" w:rsidRPr="00FA270C" w:rsidRDefault="00F86C9F" w:rsidP="00D450CE">
      <w:r w:rsidRPr="00FA270C">
        <w:t>The dynamics of bone remodelling require appropriate balance between bone formation and resorption. In a healthy individual, from birth until the age of approximately 20 years, bone formation exceeds resorption. At the end of this period, peak bone mass is achieved and between the ages of 20 and 40 is roughly maintained through the balance of bone formation and resorption (Marcus et al 2008). Following this period of equilibrium and with increasing age, bone resorption exceeds bone formation resulting in net bone loss</w:t>
      </w:r>
      <w:r w:rsidR="00621CBC">
        <w:t>. This may reflect</w:t>
      </w:r>
      <w:r w:rsidR="00766296">
        <w:t xml:space="preserve"> the increasing fracture rate with age, both in men and women</w:t>
      </w:r>
      <w:r w:rsidRPr="00FA270C">
        <w:t xml:space="preserve"> (</w:t>
      </w:r>
      <w:r>
        <w:fldChar w:fldCharType="begin"/>
      </w:r>
      <w:r>
        <w:instrText xml:space="preserve"> REF _Ref358199319 \h </w:instrText>
      </w:r>
      <w:r>
        <w:fldChar w:fldCharType="separate"/>
      </w:r>
      <w:r w:rsidR="00255656" w:rsidRPr="00FA270C">
        <w:t xml:space="preserve">Figure </w:t>
      </w:r>
      <w:r w:rsidR="00255656">
        <w:rPr>
          <w:noProof/>
        </w:rPr>
        <w:t>1</w:t>
      </w:r>
      <w:r>
        <w:fldChar w:fldCharType="end"/>
      </w:r>
      <w:r w:rsidRPr="00FA270C">
        <w:t xml:space="preserve">, </w:t>
      </w:r>
      <w:r>
        <w:fldChar w:fldCharType="begin"/>
      </w:r>
      <w:r>
        <w:instrText xml:space="preserve"> REF _Ref358199331 \h </w:instrText>
      </w:r>
      <w:r>
        <w:fldChar w:fldCharType="separate"/>
      </w:r>
      <w:r w:rsidR="00255656" w:rsidRPr="00FA270C">
        <w:t xml:space="preserve">Figure </w:t>
      </w:r>
      <w:r w:rsidR="00255656">
        <w:rPr>
          <w:noProof/>
        </w:rPr>
        <w:t>2</w:t>
      </w:r>
      <w:r>
        <w:fldChar w:fldCharType="end"/>
      </w:r>
      <w:r w:rsidRPr="00FA270C">
        <w:t>).</w:t>
      </w:r>
    </w:p>
    <w:p w:rsidR="00F86C9F" w:rsidRPr="00FA270C" w:rsidRDefault="00F86C9F" w:rsidP="00FA270C">
      <w:pPr>
        <w:pStyle w:val="Caption"/>
        <w:rPr>
          <w:lang w:val="en-AU"/>
        </w:rPr>
      </w:pPr>
      <w:bookmarkStart w:id="13" w:name="_Ref358199319"/>
      <w:r w:rsidRPr="00FA270C">
        <w:rPr>
          <w:lang w:val="en-AU"/>
        </w:rPr>
        <w:t xml:space="preserve">Figure </w:t>
      </w:r>
      <w:r w:rsidRPr="00FA270C">
        <w:rPr>
          <w:lang w:val="en-AU"/>
        </w:rPr>
        <w:fldChar w:fldCharType="begin"/>
      </w:r>
      <w:r w:rsidRPr="00FA270C">
        <w:rPr>
          <w:lang w:val="en-AU"/>
        </w:rPr>
        <w:instrText xml:space="preserve"> SEQ Figure \* ARABIC </w:instrText>
      </w:r>
      <w:r w:rsidRPr="00FA270C">
        <w:rPr>
          <w:lang w:val="en-AU"/>
        </w:rPr>
        <w:fldChar w:fldCharType="separate"/>
      </w:r>
      <w:r w:rsidR="00255656">
        <w:rPr>
          <w:noProof/>
          <w:lang w:val="en-AU"/>
        </w:rPr>
        <w:t>1</w:t>
      </w:r>
      <w:r w:rsidRPr="00FA270C">
        <w:rPr>
          <w:lang w:val="en-AU"/>
        </w:rPr>
        <w:fldChar w:fldCharType="end"/>
      </w:r>
      <w:bookmarkEnd w:id="13"/>
      <w:r w:rsidRPr="00FA270C">
        <w:rPr>
          <w:lang w:val="en-AU"/>
        </w:rPr>
        <w:tab/>
      </w:r>
      <w:r w:rsidRPr="00FA270C">
        <w:rPr>
          <w:lang w:val="en-AU"/>
        </w:rPr>
        <w:tab/>
      </w:r>
      <w:r w:rsidRPr="00FA270C">
        <w:rPr>
          <w:lang w:val="en-AU"/>
        </w:rPr>
        <w:tab/>
        <w:t>The rise in fracture rates with age in men and women (Sanders et al 1999b)</w:t>
      </w:r>
    </w:p>
    <w:p w:rsidR="00F86C9F" w:rsidRPr="00FA270C" w:rsidRDefault="00F86C9F" w:rsidP="00D450CE"/>
    <w:p w:rsidR="00F86C9F" w:rsidRPr="00FA270C" w:rsidRDefault="00A1758F" w:rsidP="00D450CE">
      <w:r>
        <w:rPr>
          <w:noProof/>
          <w:lang w:eastAsia="en-AU"/>
        </w:rPr>
        <w:drawing>
          <wp:inline distT="0" distB="0" distL="0" distR="0">
            <wp:extent cx="5467350" cy="2952750"/>
            <wp:effectExtent l="0" t="0" r="0" b="0"/>
            <wp:docPr id="1" name="Picture 4" descr="Figure 1   The rise in fracture rates with age in men and women (Sanders et al 1999b)" title="Figure 1   The rise in fracture rates with age in men and women (Sanders et al 19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2952750"/>
                    </a:xfrm>
                    <a:prstGeom prst="rect">
                      <a:avLst/>
                    </a:prstGeom>
                    <a:noFill/>
                    <a:ln>
                      <a:noFill/>
                    </a:ln>
                  </pic:spPr>
                </pic:pic>
              </a:graphicData>
            </a:graphic>
          </wp:inline>
        </w:drawing>
      </w:r>
    </w:p>
    <w:p w:rsidR="00F86C9F" w:rsidRPr="00FA270C" w:rsidRDefault="00F86C9F" w:rsidP="005C6D86">
      <w:pPr>
        <w:pStyle w:val="Caption"/>
        <w:rPr>
          <w:lang w:val="en-AU"/>
        </w:rPr>
      </w:pPr>
      <w:bookmarkStart w:id="14" w:name="_Ref358199331"/>
      <w:r w:rsidRPr="00FA270C">
        <w:rPr>
          <w:lang w:val="en-AU"/>
        </w:rPr>
        <w:lastRenderedPageBreak/>
        <w:t xml:space="preserve">Figure </w:t>
      </w:r>
      <w:r w:rsidRPr="00FA270C">
        <w:rPr>
          <w:lang w:val="en-AU"/>
        </w:rPr>
        <w:fldChar w:fldCharType="begin"/>
      </w:r>
      <w:r w:rsidRPr="00FA270C">
        <w:rPr>
          <w:lang w:val="en-AU"/>
        </w:rPr>
        <w:instrText xml:space="preserve"> SEQ Figure \* ARABIC </w:instrText>
      </w:r>
      <w:r w:rsidRPr="00FA270C">
        <w:rPr>
          <w:lang w:val="en-AU"/>
        </w:rPr>
        <w:fldChar w:fldCharType="separate"/>
      </w:r>
      <w:r w:rsidR="00255656">
        <w:rPr>
          <w:noProof/>
          <w:lang w:val="en-AU"/>
        </w:rPr>
        <w:t>2</w:t>
      </w:r>
      <w:r w:rsidRPr="00FA270C">
        <w:rPr>
          <w:lang w:val="en-AU"/>
        </w:rPr>
        <w:fldChar w:fldCharType="end"/>
      </w:r>
      <w:bookmarkEnd w:id="14"/>
      <w:r w:rsidRPr="00FA270C">
        <w:rPr>
          <w:lang w:val="en-AU"/>
        </w:rPr>
        <w:tab/>
      </w:r>
      <w:r w:rsidRPr="00FA270C">
        <w:rPr>
          <w:lang w:val="en-AU"/>
        </w:rPr>
        <w:tab/>
      </w:r>
      <w:r w:rsidRPr="00FA270C">
        <w:rPr>
          <w:lang w:val="en-AU"/>
        </w:rPr>
        <w:tab/>
        <w:t>The rise in hip fracture rates with age in men and women (Sanders et al 1999b)</w:t>
      </w:r>
    </w:p>
    <w:p w:rsidR="00F86C9F" w:rsidRPr="00FA270C" w:rsidRDefault="00A1758F" w:rsidP="00D450CE">
      <w:pPr>
        <w:rPr>
          <w:b/>
        </w:rPr>
      </w:pPr>
      <w:r>
        <w:rPr>
          <w:b/>
          <w:noProof/>
          <w:lang w:eastAsia="en-AU"/>
        </w:rPr>
        <w:drawing>
          <wp:inline distT="0" distB="0" distL="0" distR="0">
            <wp:extent cx="5391150" cy="2581275"/>
            <wp:effectExtent l="0" t="0" r="0" b="9525"/>
            <wp:docPr id="2" name="Picture 20" descr="Figure 2   The rise in hip fracture rates with age in men and women (Sanders et al 1999b)" title="Figure 2   The rise in hip fracture rates with age in men and women (Sanders et al 19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581275"/>
                    </a:xfrm>
                    <a:prstGeom prst="rect">
                      <a:avLst/>
                    </a:prstGeom>
                    <a:noFill/>
                    <a:ln>
                      <a:noFill/>
                    </a:ln>
                  </pic:spPr>
                </pic:pic>
              </a:graphicData>
            </a:graphic>
          </wp:inline>
        </w:drawing>
      </w:r>
    </w:p>
    <w:p w:rsidR="00F86C9F" w:rsidRPr="00FA270C" w:rsidRDefault="00F86C9F" w:rsidP="00D450CE">
      <w:r w:rsidRPr="00FA270C">
        <w:t xml:space="preserve">The processes underlying bone remodelling are complex and not completely understood; however, </w:t>
      </w:r>
      <w:r>
        <w:t>osteoporosis</w:t>
      </w:r>
      <w:r w:rsidRPr="00FA270C">
        <w:t xml:space="preserve"> and low BMD are thought to occur as a result of an increase in the numbers and activity of osteoclasts. </w:t>
      </w:r>
      <w:r w:rsidRPr="00FA270C">
        <w:rPr>
          <w:rFonts w:eastAsia="Times New Roman"/>
          <w:lang w:eastAsia="en-US"/>
        </w:rPr>
        <w:t>Oestrogen promotes the apoptosis of osteoclasts and as a result women who are oestrogen deficient, particularly post-menopausal women, experience a higher activity rate of osteoclasts resulting in net bone resorption (Santen 2011).</w:t>
      </w:r>
      <w:r w:rsidRPr="00FA270C">
        <w:t>The loss of oestrogen at menopause also increases the need for calcium. If this requirement is not met through the diet the resultant calcium deficiency is also involved in bringing about a reduction in bone density (Morris et al 1995). Calcium deficiency as a result of low levels of dietary calcium leading to reduced bone density may also occur in young adults.</w:t>
      </w:r>
    </w:p>
    <w:p w:rsidR="00F86C9F" w:rsidRPr="00FA270C" w:rsidRDefault="00F86C9F" w:rsidP="00D450CE">
      <w:pPr>
        <w:rPr>
          <w:lang w:eastAsia="ja-JP"/>
        </w:rPr>
      </w:pPr>
      <w:r w:rsidRPr="00FA270C">
        <w:rPr>
          <w:lang w:eastAsia="ja-JP"/>
        </w:rPr>
        <w:t>Vitamin D</w:t>
      </w:r>
      <w:r w:rsidRPr="00FA270C">
        <w:rPr>
          <w:vertAlign w:val="subscript"/>
          <w:lang w:eastAsia="ja-JP"/>
        </w:rPr>
        <w:t>3</w:t>
      </w:r>
      <w:r w:rsidRPr="00FA270C">
        <w:rPr>
          <w:lang w:eastAsia="ja-JP"/>
        </w:rPr>
        <w:t xml:space="preserve"> insufficiency can also contribute to bone loss. Vitamin D</w:t>
      </w:r>
      <w:r w:rsidRPr="00FA270C">
        <w:rPr>
          <w:vertAlign w:val="subscript"/>
          <w:lang w:eastAsia="ja-JP"/>
        </w:rPr>
        <w:t>3</w:t>
      </w:r>
      <w:r w:rsidRPr="00FA270C">
        <w:rPr>
          <w:lang w:eastAsia="ja-JP"/>
        </w:rPr>
        <w:t xml:space="preserve"> (or cholecalciferol) is formed in the skin under the influence of sunlight and is converted by the liver and kidneys respectively to the pro-hormone calcidiol and the active form calcitriol (Jones et al 1998). With advancing age there is a progressive decline in serum calcidiol level in both sexes in western countries, partly because elderly people have less sun exposure and also because thinning of the skin with age reduces its capacity to make vitamin D</w:t>
      </w:r>
      <w:r w:rsidRPr="00FA270C">
        <w:rPr>
          <w:vertAlign w:val="subscript"/>
          <w:lang w:eastAsia="ja-JP"/>
        </w:rPr>
        <w:t>3</w:t>
      </w:r>
      <w:r w:rsidRPr="00FA270C">
        <w:rPr>
          <w:lang w:eastAsia="ja-JP"/>
        </w:rPr>
        <w:t xml:space="preserve"> (Need et al 1993). Low vitamin D status raises blood parathyroid hormone levels (Carlsson &amp; Lindquist 1955) which in turn accelerates bone resorption. Vitamin D insufficiency is common in Australia due to the avoidance of sun exposure.</w:t>
      </w:r>
    </w:p>
    <w:p w:rsidR="00F86C9F" w:rsidRPr="00FA270C" w:rsidRDefault="00F86C9F" w:rsidP="00D450CE">
      <w:r w:rsidRPr="00FA270C">
        <w:t>As a result of these changes, bone strength is affected, increasing the risk of developing osteoporosis (Riggs 2000). Prior to menopause in women, approximately at the age of 40, net bone loss proceeds at an initial rate of approximately 0.3-0.5 per cent per annum. In the first five years post-menopause the rate of bone loss increases to 2-3 per cent per annum, and may exceed 5 per cent per annum (Elders et al 1988). Following this the bone loss rate slows to around one per cent per annum.</w:t>
      </w:r>
    </w:p>
    <w:p w:rsidR="00F86C9F" w:rsidRPr="00FA270C" w:rsidRDefault="00F86C9F" w:rsidP="00D450CE">
      <w:r w:rsidRPr="00FA270C">
        <w:t xml:space="preserve">A similar phenomenon occurs in men, but often does not occur until later in life or in association with other conditions. The three major causes of osteoporosis in men are alcohol abuse, glucocorticoid excess (either endogenous Cushing’s syndrome or, more commonly, chronic glucocorticoid therapy), and hypogonadism (Bilezikian 1999). Osteoporosis is also of particular concern for men with prostate </w:t>
      </w:r>
      <w:r w:rsidRPr="00FA270C">
        <w:lastRenderedPageBreak/>
        <w:t>cancer (Smith 2006). This net loss of the ‘bone in bone’, in other words the bone mineral density (BMD), frequently remains undiagnosed, and is most often clinically manifest as a skeletal fracture sustained with minimal trauma (WHO 2007).</w:t>
      </w:r>
    </w:p>
    <w:p w:rsidR="00F86C9F" w:rsidRPr="00FA270C" w:rsidRDefault="00F86C9F" w:rsidP="005C6D86">
      <w:pPr>
        <w:pStyle w:val="Heading2"/>
        <w:rPr>
          <w:lang w:val="en-AU"/>
        </w:rPr>
      </w:pPr>
      <w:bookmarkStart w:id="15" w:name="_Toc357421819"/>
      <w:bookmarkStart w:id="16" w:name="_Toc361145560"/>
      <w:bookmarkStart w:id="17" w:name="_Toc362968589"/>
      <w:r>
        <w:rPr>
          <w:lang w:val="en-AU"/>
        </w:rPr>
        <w:t xml:space="preserve">Measurement of </w:t>
      </w:r>
      <w:r w:rsidRPr="00FA270C">
        <w:rPr>
          <w:lang w:val="en-AU"/>
        </w:rPr>
        <w:t>bone mineral density</w:t>
      </w:r>
      <w:bookmarkEnd w:id="15"/>
      <w:bookmarkEnd w:id="16"/>
      <w:bookmarkEnd w:id="17"/>
    </w:p>
    <w:p w:rsidR="00F86C9F" w:rsidRPr="00FA270C" w:rsidRDefault="00F86C9F" w:rsidP="00B06D8A">
      <w:r w:rsidRPr="00FA270C">
        <w:t xml:space="preserve">DXA and quantitative computed tomography (QCT) can be used in measuring BMD. </w:t>
      </w:r>
      <w:r w:rsidRPr="00E26522" w:rsidDel="00146D0E">
        <w:rPr>
          <w:rFonts w:eastAsia="Times New Roman"/>
          <w:lang w:eastAsia="en-US"/>
        </w:rPr>
        <w:t>DXA scan</w:t>
      </w:r>
      <w:r w:rsidDel="00146D0E">
        <w:rPr>
          <w:rFonts w:eastAsia="Times New Roman"/>
          <w:lang w:eastAsia="en-US"/>
        </w:rPr>
        <w:t>ning</w:t>
      </w:r>
      <w:r w:rsidRPr="00E26522" w:rsidDel="00146D0E">
        <w:rPr>
          <w:rFonts w:eastAsia="Times New Roman"/>
          <w:lang w:eastAsia="en-US"/>
        </w:rPr>
        <w:t xml:space="preserve"> is considered the </w:t>
      </w:r>
      <w:r w:rsidDel="00146D0E">
        <w:rPr>
          <w:rFonts w:eastAsia="Times New Roman"/>
          <w:lang w:eastAsia="en-US"/>
        </w:rPr>
        <w:t>gold</w:t>
      </w:r>
      <w:r w:rsidRPr="00E26522" w:rsidDel="00146D0E">
        <w:rPr>
          <w:rFonts w:eastAsia="Times New Roman"/>
          <w:lang w:eastAsia="en-US"/>
        </w:rPr>
        <w:t xml:space="preserve"> standard</w:t>
      </w:r>
      <w:r w:rsidDel="00146D0E">
        <w:t xml:space="preserve"> </w:t>
      </w:r>
      <w:r w:rsidDel="00146D0E">
        <w:rPr>
          <w:rFonts w:eastAsia="Times New Roman"/>
          <w:lang w:eastAsia="en-US"/>
        </w:rPr>
        <w:t>f</w:t>
      </w:r>
      <w:r w:rsidRPr="00E26522" w:rsidDel="00146D0E">
        <w:rPr>
          <w:rFonts w:eastAsia="Times New Roman"/>
          <w:lang w:eastAsia="en-US"/>
        </w:rPr>
        <w:t>or the purposes of identifying patients with low BMD</w:t>
      </w:r>
      <w:r w:rsidDel="00146D0E">
        <w:rPr>
          <w:rFonts w:eastAsia="Times New Roman"/>
          <w:lang w:eastAsia="en-US"/>
        </w:rPr>
        <w:t xml:space="preserve">, </w:t>
      </w:r>
      <w:r w:rsidRPr="00FD0143" w:rsidDel="00146D0E">
        <w:rPr>
          <w:rFonts w:eastAsia="Times New Roman"/>
          <w:lang w:eastAsia="en-US"/>
        </w:rPr>
        <w:t>predominantly</w:t>
      </w:r>
      <w:r w:rsidDel="00146D0E">
        <w:rPr>
          <w:rFonts w:eastAsia="Times New Roman"/>
          <w:lang w:eastAsia="en-US"/>
        </w:rPr>
        <w:t xml:space="preserve"> due</w:t>
      </w:r>
      <w:r w:rsidRPr="00FD0143" w:rsidDel="00146D0E">
        <w:rPr>
          <w:rFonts w:eastAsia="Times New Roman"/>
          <w:lang w:eastAsia="en-US"/>
        </w:rPr>
        <w:t xml:space="preserve"> to cost-effectiveness and accessibility.</w:t>
      </w:r>
      <w:r w:rsidDel="00146D0E">
        <w:rPr>
          <w:rFonts w:eastAsia="Times New Roman"/>
          <w:lang w:eastAsia="en-US"/>
        </w:rPr>
        <w:t xml:space="preserve"> </w:t>
      </w:r>
      <w:r>
        <w:t xml:space="preserve">It </w:t>
      </w:r>
      <w:r w:rsidRPr="00FA270C">
        <w:t xml:space="preserve">has better reproducibility, and is considered more appropriate in general use than QCT which delivers higher doses of radiation. QCT </w:t>
      </w:r>
      <w:r w:rsidR="00F970CA">
        <w:t>may be</w:t>
      </w:r>
      <w:r w:rsidRPr="00FA270C">
        <w:t xml:space="preserve"> preferred when measuring BMD in the presence of fractures</w:t>
      </w:r>
      <w:r w:rsidR="00F970CA">
        <w:t>, but has been excluded from this DAP (see Summary box below)</w:t>
      </w:r>
      <w:r w:rsidRPr="00FA270C">
        <w:t>. Another tool for measuring BMD is quantitative ultrasound (QUS).</w:t>
      </w:r>
    </w:p>
    <w:p w:rsidR="00F86C9F" w:rsidRPr="00FA270C" w:rsidRDefault="00F86C9F" w:rsidP="00B06D8A">
      <w:r w:rsidRPr="00FA270C">
        <w:t>The DXA scan generate</w:t>
      </w:r>
      <w:r>
        <w:t>s</w:t>
      </w:r>
      <w:r w:rsidRPr="00FA270C">
        <w:t xml:space="preserve"> T-scores which is a comparison of a patient’s bone density to that of peak bone density for the patient’s gender and is reported as the number of standard deviations above or below the normal average (WHO 2007). </w:t>
      </w:r>
    </w:p>
    <w:p w:rsidR="00F86C9F" w:rsidRPr="00FA270C" w:rsidRDefault="00F86C9F" w:rsidP="00B06D8A">
      <w:r w:rsidRPr="00FA270C">
        <w:t>DXA is currently reimbursed through the MBS item to men and women aged 70+, for people who have previously experienced a minimal trauma fracture and for those with one of several risk factors including: prolonged corticosteroid use, hypogonadism, primary hyperparathyroidism, chronic liver disease, chronic renal disease, proven malabsorptive disorders, rheumatoid arthritis, or conditions associated with thyroxine excess (</w:t>
      </w:r>
      <w:r w:rsidRPr="00FA270C">
        <w:fldChar w:fldCharType="begin"/>
      </w:r>
      <w:r w:rsidRPr="00FA270C">
        <w:instrText xml:space="preserve"> REF _Ref358198138 \h </w:instrText>
      </w:r>
      <w:r w:rsidRPr="00FA270C">
        <w:fldChar w:fldCharType="separate"/>
      </w:r>
      <w:r w:rsidR="00255656" w:rsidRPr="00FA270C">
        <w:t xml:space="preserve">Table </w:t>
      </w:r>
      <w:r w:rsidR="00255656">
        <w:rPr>
          <w:noProof/>
        </w:rPr>
        <w:t>3</w:t>
      </w:r>
      <w:r w:rsidRPr="00FA270C">
        <w:fldChar w:fldCharType="end"/>
      </w:r>
      <w:r w:rsidRPr="00FA270C">
        <w:t xml:space="preserve">). </w:t>
      </w:r>
    </w:p>
    <w:p w:rsidR="00F86C9F" w:rsidRDefault="00F86C9F" w:rsidP="001641F0">
      <w:r>
        <w:t xml:space="preserve">The </w:t>
      </w:r>
      <w:r w:rsidRPr="008B4884">
        <w:t xml:space="preserve">T-score is a comparison of a patient’s </w:t>
      </w:r>
      <w:r>
        <w:t>BMD</w:t>
      </w:r>
      <w:r w:rsidRPr="008B4884">
        <w:t xml:space="preserve"> to that of peak </w:t>
      </w:r>
      <w:r>
        <w:t>BMD</w:t>
      </w:r>
      <w:r w:rsidRPr="008B4884">
        <w:t xml:space="preserve"> for the patient’s gender</w:t>
      </w:r>
      <w:r>
        <w:t>.</w:t>
      </w:r>
      <w:r w:rsidRPr="008B4884">
        <w:t xml:space="preserve"> </w:t>
      </w:r>
      <w:r>
        <w:t>It</w:t>
      </w:r>
      <w:r w:rsidRPr="008B4884">
        <w:t xml:space="preserve"> is the number of standard deviations </w:t>
      </w:r>
      <w:r>
        <w:t xml:space="preserve">above or </w:t>
      </w:r>
      <w:r w:rsidRPr="008B4884">
        <w:t>below the</w:t>
      </w:r>
      <w:r>
        <w:t xml:space="preserve"> normal </w:t>
      </w:r>
      <w:r w:rsidR="00914C07">
        <w:t xml:space="preserve">young adult </w:t>
      </w:r>
      <w:r>
        <w:t>mean</w:t>
      </w:r>
      <w:r w:rsidRPr="008B4884">
        <w:t xml:space="preserve"> (WHO 2007).</w:t>
      </w:r>
      <w:r>
        <w:t xml:space="preserve"> BMD in OP is defined</w:t>
      </w:r>
      <w:r w:rsidRPr="00E26522">
        <w:t xml:space="preserve"> by</w:t>
      </w:r>
      <w:r>
        <w:t xml:space="preserve"> the WHO as a</w:t>
      </w:r>
      <w:r w:rsidRPr="00E26522">
        <w:t xml:space="preserve"> T-score that is less than or equal to 2.5 standard deviations below the </w:t>
      </w:r>
      <w:r>
        <w:t xml:space="preserve">young normal </w:t>
      </w:r>
      <w:r w:rsidRPr="00E26522">
        <w:t>mean (a T-score of -2.5 or less) (WHO 2007</w:t>
      </w:r>
      <w:r>
        <w:t xml:space="preserve">, </w:t>
      </w:r>
      <w:r w:rsidR="007C3FDA">
        <w:fldChar w:fldCharType="begin"/>
      </w:r>
      <w:r w:rsidR="007C3FDA">
        <w:instrText xml:space="preserve"> REF _Ref320862974 \h  \* MERGEFORMAT </w:instrText>
      </w:r>
      <w:r w:rsidR="007C3FDA">
        <w:fldChar w:fldCharType="separate"/>
      </w:r>
      <w:r w:rsidR="00255656">
        <w:rPr>
          <w:b/>
          <w:bCs/>
          <w:lang w:val="en-US"/>
        </w:rPr>
        <w:t>Error! Reference source not found.</w:t>
      </w:r>
      <w:r w:rsidR="007C3FDA">
        <w:fldChar w:fldCharType="end"/>
      </w:r>
      <w:r w:rsidRPr="00E26522">
        <w:t xml:space="preserve">). BMD reflects </w:t>
      </w:r>
      <w:r>
        <w:t xml:space="preserve">the amount of bone and, indirectly, </w:t>
      </w:r>
      <w:r w:rsidRPr="00E26522">
        <w:t>the bone strength, its spatial distribution (ie shape and microarchitecture) and the intrinsic properties of the materials that comprise it, such as density, matrix minerali</w:t>
      </w:r>
      <w:r>
        <w:t>s</w:t>
      </w:r>
      <w:r w:rsidRPr="00E26522">
        <w:t>ation, collagen traits and micro-damage (Marcus et al 2008).</w:t>
      </w:r>
      <w:r>
        <w:t xml:space="preserve"> </w:t>
      </w:r>
      <w:r w:rsidR="00914C07">
        <w:t>‘</w:t>
      </w:r>
      <w:r w:rsidRPr="00E26522">
        <w:t>Osteopenia</w:t>
      </w:r>
      <w:r w:rsidR="00914C07">
        <w:t>’</w:t>
      </w:r>
      <w:r>
        <w:t xml:space="preserve"> (low bone density)</w:t>
      </w:r>
      <w:r w:rsidRPr="00E26522">
        <w:t xml:space="preserve"> is a precursor </w:t>
      </w:r>
      <w:r>
        <w:t xml:space="preserve">to OP </w:t>
      </w:r>
      <w:r w:rsidRPr="00E26522">
        <w:t xml:space="preserve">and </w:t>
      </w:r>
      <w:r>
        <w:t>according to WHO is defined as a</w:t>
      </w:r>
      <w:r w:rsidRPr="00E26522">
        <w:t xml:space="preserve"> T-score </w:t>
      </w:r>
      <w:r w:rsidR="00353E9C">
        <w:t>of</w:t>
      </w:r>
      <w:r w:rsidRPr="00E26522">
        <w:t xml:space="preserve"> between -1</w:t>
      </w:r>
      <w:r>
        <w:t>.0</w:t>
      </w:r>
      <w:r w:rsidRPr="00E26522">
        <w:t xml:space="preserve"> </w:t>
      </w:r>
      <w:r>
        <w:t>and</w:t>
      </w:r>
      <w:r w:rsidRPr="00E26522">
        <w:t xml:space="preserve"> -2.</w:t>
      </w:r>
      <w:r w:rsidRPr="00511759">
        <w:t>5 (</w:t>
      </w:r>
      <w:r w:rsidR="007C3FDA">
        <w:fldChar w:fldCharType="begin"/>
      </w:r>
      <w:r w:rsidR="007C3FDA">
        <w:instrText xml:space="preserve"> REF _Ref358191294 \h </w:instrText>
      </w:r>
      <w:r w:rsidR="007C3FDA">
        <w:fldChar w:fldCharType="separate"/>
      </w:r>
      <w:r w:rsidR="00255656">
        <w:rPr>
          <w:b/>
          <w:bCs/>
          <w:lang w:val="en-US"/>
        </w:rPr>
        <w:t>Error! Reference source not found.</w:t>
      </w:r>
      <w:r w:rsidR="007C3FDA">
        <w:fldChar w:fldCharType="end"/>
      </w:r>
      <w:r w:rsidRPr="00511759">
        <w:t>).</w:t>
      </w:r>
    </w:p>
    <w:p w:rsidR="00F86C9F" w:rsidRPr="00FA270C" w:rsidRDefault="00F86C9F" w:rsidP="00B06D8A">
      <w:pPr>
        <w:pStyle w:val="Caption"/>
        <w:jc w:val="both"/>
        <w:rPr>
          <w:lang w:val="en-AU"/>
        </w:rPr>
      </w:pPr>
      <w:bookmarkStart w:id="18" w:name="_Ref358198151"/>
      <w:r w:rsidRPr="00FA270C">
        <w:rPr>
          <w:rFonts w:ascii="Tahoma" w:hAnsi="Tahoma"/>
          <w:lang w:val="en-AU"/>
        </w:rPr>
        <w:t xml:space="preserve">Table </w:t>
      </w:r>
      <w:r w:rsidRPr="00FA270C">
        <w:rPr>
          <w:rFonts w:ascii="Tahoma" w:hAnsi="Tahoma"/>
          <w:lang w:val="en-AU"/>
        </w:rPr>
        <w:fldChar w:fldCharType="begin"/>
      </w:r>
      <w:r w:rsidRPr="00FA270C">
        <w:rPr>
          <w:rFonts w:ascii="Tahoma" w:hAnsi="Tahoma"/>
          <w:lang w:val="en-AU"/>
        </w:rPr>
        <w:instrText xml:space="preserve"> SEQ Table \* ARABIC </w:instrText>
      </w:r>
      <w:r w:rsidRPr="00FA270C">
        <w:rPr>
          <w:rFonts w:ascii="Tahoma" w:hAnsi="Tahoma"/>
          <w:lang w:val="en-AU"/>
        </w:rPr>
        <w:fldChar w:fldCharType="separate"/>
      </w:r>
      <w:r w:rsidR="00255656">
        <w:rPr>
          <w:rFonts w:ascii="Tahoma" w:hAnsi="Tahoma"/>
          <w:noProof/>
          <w:lang w:val="en-AU"/>
        </w:rPr>
        <w:t>2</w:t>
      </w:r>
      <w:r w:rsidRPr="00FA270C">
        <w:rPr>
          <w:rFonts w:ascii="Tahoma" w:hAnsi="Tahoma"/>
          <w:lang w:val="en-AU"/>
        </w:rPr>
        <w:fldChar w:fldCharType="end"/>
      </w:r>
      <w:bookmarkEnd w:id="18"/>
      <w:r w:rsidRPr="00FA270C">
        <w:rPr>
          <w:rFonts w:ascii="Tahoma" w:hAnsi="Tahoma"/>
          <w:lang w:val="en-AU"/>
        </w:rPr>
        <w:tab/>
      </w:r>
      <w:r w:rsidRPr="00FA270C">
        <w:rPr>
          <w:rFonts w:ascii="Tahoma" w:hAnsi="Tahoma"/>
          <w:b w:val="0"/>
          <w:lang w:val="en-AU"/>
        </w:rPr>
        <w:t xml:space="preserve">Diagnosis of osteoporosis according to </w:t>
      </w:r>
      <w:r>
        <w:rPr>
          <w:rFonts w:ascii="Tahoma" w:hAnsi="Tahoma"/>
          <w:b w:val="0"/>
          <w:lang w:val="en-AU"/>
        </w:rPr>
        <w:t>T-score</w:t>
      </w:r>
    </w:p>
    <w:tbl>
      <w:tblPr>
        <w:tblpPr w:leftFromText="180" w:rightFromText="180" w:vertAnchor="text" w:horzAnchor="page" w:tblpX="1831" w:tblpY="92"/>
        <w:tblW w:w="0" w:type="auto"/>
        <w:tblBorders>
          <w:top w:val="single" w:sz="12" w:space="0" w:color="auto"/>
          <w:bottom w:val="single" w:sz="12" w:space="0" w:color="auto"/>
          <w:insideH w:val="single" w:sz="4" w:space="0" w:color="auto"/>
        </w:tblBorders>
        <w:tblLook w:val="0000" w:firstRow="0" w:lastRow="0" w:firstColumn="0" w:lastColumn="0" w:noHBand="0" w:noVBand="0"/>
      </w:tblPr>
      <w:tblGrid>
        <w:gridCol w:w="3039"/>
        <w:gridCol w:w="5842"/>
      </w:tblGrid>
      <w:tr w:rsidR="00F86C9F" w:rsidRPr="00FA270C" w:rsidTr="00524DE4">
        <w:trPr>
          <w:trHeight w:val="438"/>
        </w:trPr>
        <w:tc>
          <w:tcPr>
            <w:tcW w:w="3039" w:type="dxa"/>
            <w:tcBorders>
              <w:top w:val="single" w:sz="12" w:space="0" w:color="auto"/>
            </w:tcBorders>
          </w:tcPr>
          <w:p w:rsidR="00F86C9F" w:rsidRPr="00FA270C" w:rsidRDefault="00F86C9F" w:rsidP="00B06D8A">
            <w:pPr>
              <w:spacing w:after="0" w:line="240" w:lineRule="auto"/>
              <w:rPr>
                <w:rFonts w:ascii="Arial Narrow" w:hAnsi="Arial Narrow"/>
                <w:b/>
                <w:sz w:val="18"/>
                <w:szCs w:val="18"/>
              </w:rPr>
            </w:pPr>
            <w:r w:rsidRPr="00FA270C">
              <w:rPr>
                <w:rFonts w:ascii="Arial Narrow" w:hAnsi="Arial Narrow"/>
                <w:b/>
                <w:sz w:val="18"/>
                <w:szCs w:val="18"/>
              </w:rPr>
              <w:t>T-score</w:t>
            </w:r>
          </w:p>
        </w:tc>
        <w:tc>
          <w:tcPr>
            <w:tcW w:w="5842" w:type="dxa"/>
            <w:tcBorders>
              <w:top w:val="single" w:sz="12" w:space="0" w:color="auto"/>
            </w:tcBorders>
          </w:tcPr>
          <w:p w:rsidR="00F86C9F" w:rsidRPr="00FA270C" w:rsidRDefault="00F86C9F" w:rsidP="00B06D8A">
            <w:pPr>
              <w:spacing w:after="0" w:line="240" w:lineRule="auto"/>
              <w:rPr>
                <w:rFonts w:ascii="Arial Narrow" w:hAnsi="Arial Narrow"/>
                <w:b/>
                <w:sz w:val="18"/>
                <w:szCs w:val="18"/>
              </w:rPr>
            </w:pPr>
            <w:r w:rsidRPr="00FA270C">
              <w:rPr>
                <w:rFonts w:ascii="Arial Narrow" w:hAnsi="Arial Narrow"/>
                <w:b/>
                <w:sz w:val="18"/>
                <w:szCs w:val="18"/>
              </w:rPr>
              <w:t>Diagnosis</w:t>
            </w:r>
          </w:p>
        </w:tc>
      </w:tr>
      <w:tr w:rsidR="00F86C9F" w:rsidRPr="00FA270C" w:rsidTr="00524DE4">
        <w:trPr>
          <w:trHeight w:val="417"/>
        </w:trPr>
        <w:tc>
          <w:tcPr>
            <w:tcW w:w="3039" w:type="dxa"/>
          </w:tcPr>
          <w:p w:rsidR="00F86C9F" w:rsidRPr="00FA270C" w:rsidRDefault="00F86C9F" w:rsidP="00B06D8A">
            <w:pPr>
              <w:spacing w:after="0" w:line="240" w:lineRule="auto"/>
              <w:rPr>
                <w:rFonts w:ascii="Arial Narrow" w:hAnsi="Arial Narrow"/>
                <w:b/>
                <w:sz w:val="18"/>
                <w:szCs w:val="18"/>
              </w:rPr>
            </w:pPr>
            <w:r w:rsidRPr="00FA270C">
              <w:rPr>
                <w:rFonts w:ascii="Arial Narrow" w:hAnsi="Arial Narrow"/>
                <w:sz w:val="18"/>
                <w:szCs w:val="18"/>
              </w:rPr>
              <w:t>Equal or greater than -1</w:t>
            </w:r>
            <w:r>
              <w:rPr>
                <w:rFonts w:ascii="Arial Narrow" w:hAnsi="Arial Narrow"/>
                <w:sz w:val="18"/>
                <w:szCs w:val="18"/>
              </w:rPr>
              <w:t>.0</w:t>
            </w:r>
          </w:p>
        </w:tc>
        <w:tc>
          <w:tcPr>
            <w:tcW w:w="5842" w:type="dxa"/>
          </w:tcPr>
          <w:p w:rsidR="00F86C9F" w:rsidRPr="00FA270C" w:rsidRDefault="00F86C9F" w:rsidP="00B06D8A">
            <w:pPr>
              <w:spacing w:after="0" w:line="240" w:lineRule="auto"/>
              <w:rPr>
                <w:rFonts w:ascii="Arial Narrow" w:hAnsi="Arial Narrow"/>
                <w:strike/>
                <w:sz w:val="18"/>
                <w:szCs w:val="18"/>
              </w:rPr>
            </w:pPr>
            <w:r w:rsidRPr="00FA270C">
              <w:rPr>
                <w:rFonts w:ascii="Arial Narrow" w:hAnsi="Arial Narrow"/>
                <w:sz w:val="18"/>
                <w:szCs w:val="18"/>
              </w:rPr>
              <w:t xml:space="preserve">Normal bone density </w:t>
            </w:r>
          </w:p>
        </w:tc>
      </w:tr>
      <w:tr w:rsidR="00F86C9F" w:rsidRPr="00FA270C" w:rsidTr="00524DE4">
        <w:trPr>
          <w:trHeight w:val="342"/>
        </w:trPr>
        <w:tc>
          <w:tcPr>
            <w:tcW w:w="3039" w:type="dxa"/>
          </w:tcPr>
          <w:p w:rsidR="00F86C9F" w:rsidRPr="00FA270C" w:rsidRDefault="008F4F66" w:rsidP="00B06D8A">
            <w:pPr>
              <w:spacing w:after="0" w:line="240" w:lineRule="auto"/>
              <w:rPr>
                <w:rFonts w:ascii="Arial Narrow" w:hAnsi="Arial Narrow"/>
                <w:b/>
                <w:sz w:val="18"/>
                <w:szCs w:val="18"/>
              </w:rPr>
            </w:pPr>
            <w:r w:rsidRPr="008F4F66">
              <w:rPr>
                <w:rFonts w:ascii="Arial Narrow" w:hAnsi="Arial Narrow"/>
                <w:sz w:val="18"/>
                <w:szCs w:val="18"/>
              </w:rPr>
              <w:t>Between -1.0 and -2.5</w:t>
            </w:r>
          </w:p>
        </w:tc>
        <w:tc>
          <w:tcPr>
            <w:tcW w:w="5842" w:type="dxa"/>
          </w:tcPr>
          <w:p w:rsidR="00F86C9F" w:rsidRPr="00FA270C" w:rsidRDefault="00F86C9F" w:rsidP="00B06D8A">
            <w:pPr>
              <w:spacing w:after="0" w:line="240" w:lineRule="auto"/>
              <w:rPr>
                <w:rFonts w:ascii="Arial Narrow" w:hAnsi="Arial Narrow"/>
                <w:b/>
                <w:sz w:val="18"/>
                <w:szCs w:val="18"/>
              </w:rPr>
            </w:pPr>
            <w:r w:rsidRPr="00FA270C">
              <w:rPr>
                <w:rFonts w:ascii="Arial Narrow" w:hAnsi="Arial Narrow"/>
                <w:sz w:val="18"/>
                <w:szCs w:val="18"/>
              </w:rPr>
              <w:t xml:space="preserve">Low bone mass (“osteopenia”: at risk for developing </w:t>
            </w:r>
            <w:r>
              <w:rPr>
                <w:rFonts w:ascii="Arial Narrow" w:hAnsi="Arial Narrow"/>
                <w:sz w:val="18"/>
                <w:szCs w:val="18"/>
              </w:rPr>
              <w:t>osteoporosis</w:t>
            </w:r>
            <w:r w:rsidRPr="00FA270C">
              <w:rPr>
                <w:rFonts w:ascii="Arial Narrow" w:hAnsi="Arial Narrow"/>
                <w:sz w:val="18"/>
                <w:szCs w:val="18"/>
              </w:rPr>
              <w:t xml:space="preserve"> and increasing fracture risk)</w:t>
            </w:r>
          </w:p>
        </w:tc>
      </w:tr>
      <w:tr w:rsidR="00F86C9F" w:rsidRPr="00FA270C" w:rsidTr="00524DE4">
        <w:trPr>
          <w:trHeight w:val="380"/>
        </w:trPr>
        <w:tc>
          <w:tcPr>
            <w:tcW w:w="3039" w:type="dxa"/>
            <w:tcBorders>
              <w:bottom w:val="single" w:sz="12" w:space="0" w:color="auto"/>
            </w:tcBorders>
          </w:tcPr>
          <w:p w:rsidR="00F86C9F" w:rsidRPr="00FA270C" w:rsidRDefault="00F86C9F" w:rsidP="00B06D8A">
            <w:pPr>
              <w:spacing w:after="0" w:line="240" w:lineRule="auto"/>
              <w:rPr>
                <w:rFonts w:ascii="Arial Narrow" w:hAnsi="Arial Narrow"/>
                <w:b/>
                <w:sz w:val="18"/>
                <w:szCs w:val="18"/>
              </w:rPr>
            </w:pPr>
            <w:r w:rsidRPr="00FA270C">
              <w:rPr>
                <w:rFonts w:ascii="Arial Narrow" w:hAnsi="Arial Narrow"/>
                <w:sz w:val="18"/>
                <w:szCs w:val="18"/>
              </w:rPr>
              <w:t>Equal to or less than  -2.5</w:t>
            </w:r>
          </w:p>
        </w:tc>
        <w:tc>
          <w:tcPr>
            <w:tcW w:w="5842" w:type="dxa"/>
            <w:tcBorders>
              <w:bottom w:val="single" w:sz="12" w:space="0" w:color="auto"/>
            </w:tcBorders>
          </w:tcPr>
          <w:p w:rsidR="00F86C9F" w:rsidRPr="00FA270C" w:rsidRDefault="00F86C9F" w:rsidP="00B06D8A">
            <w:pPr>
              <w:spacing w:after="0" w:line="240" w:lineRule="auto"/>
              <w:rPr>
                <w:rFonts w:ascii="Arial Narrow" w:hAnsi="Arial Narrow"/>
                <w:b/>
                <w:sz w:val="18"/>
                <w:szCs w:val="18"/>
              </w:rPr>
            </w:pPr>
            <w:r w:rsidRPr="00FA270C">
              <w:rPr>
                <w:rFonts w:ascii="Arial Narrow" w:hAnsi="Arial Narrow"/>
                <w:sz w:val="18"/>
                <w:szCs w:val="18"/>
              </w:rPr>
              <w:t>Osteoporosis</w:t>
            </w:r>
          </w:p>
        </w:tc>
      </w:tr>
    </w:tbl>
    <w:p w:rsidR="00F86C9F" w:rsidRPr="00FA270C" w:rsidRDefault="00F86C9F" w:rsidP="00B06D8A">
      <w:pPr>
        <w:rPr>
          <w:rFonts w:ascii="Arial Narrow" w:hAnsi="Arial Narrow"/>
          <w:sz w:val="18"/>
          <w:szCs w:val="18"/>
        </w:rPr>
      </w:pPr>
      <w:r w:rsidRPr="00FA270C">
        <w:rPr>
          <w:rFonts w:ascii="Arial Narrow" w:hAnsi="Arial Narrow"/>
          <w:sz w:val="18"/>
          <w:szCs w:val="18"/>
        </w:rPr>
        <w:t>Source: WHO 2007, RACGP 2010</w:t>
      </w:r>
      <w:r w:rsidR="00353E9C">
        <w:rPr>
          <w:rFonts w:ascii="Arial Narrow" w:hAnsi="Arial Narrow"/>
          <w:sz w:val="18"/>
          <w:szCs w:val="18"/>
        </w:rPr>
        <w:t>b</w:t>
      </w:r>
      <w:r w:rsidRPr="00FA270C">
        <w:rPr>
          <w:rFonts w:ascii="Arial Narrow" w:hAnsi="Arial Narrow"/>
          <w:sz w:val="18"/>
          <w:szCs w:val="18"/>
        </w:rPr>
        <w:t xml:space="preserve"> </w:t>
      </w:r>
    </w:p>
    <w:p w:rsidR="00711C77" w:rsidRPr="00711C77" w:rsidRDefault="00711C77" w:rsidP="00BB54B9">
      <w:r w:rsidRPr="00711C77">
        <w:t xml:space="preserve">Ten-year fracture risk can be estimated through the use of on-line tools such as the FRAX tool developed by the University of Sheffield on behalf of the WHO (WHO 2007; WHO 2012). The assessment is likely to be less accurate for premenopausal women, young men (&lt;50 years) and is not </w:t>
      </w:r>
      <w:r w:rsidRPr="00711C77">
        <w:lastRenderedPageBreak/>
        <w:t xml:space="preserve">validated for children (Dasher et al 2010). A variation of FRAX supported with Australian data is available at: </w:t>
      </w:r>
      <w:hyperlink r:id="rId11" w:tooltip="the University of Sheffield" w:history="1">
        <w:r w:rsidRPr="00711C77">
          <w:rPr>
            <w:color w:val="0000FF"/>
            <w:u w:val="single"/>
          </w:rPr>
          <w:t>http://www.shef.ac.uk/FRAX/tool.jsp?country=31</w:t>
        </w:r>
      </w:hyperlink>
      <w:r w:rsidRPr="00711C77">
        <w:t>.</w:t>
      </w:r>
    </w:p>
    <w:p w:rsidR="00711C77" w:rsidRPr="00711C77" w:rsidRDefault="007F4CA3" w:rsidP="00BB54B9">
      <w:r>
        <w:rPr>
          <w:lang w:eastAsia="en-AU"/>
        </w:rPr>
        <w:t xml:space="preserve">In terms of normative data, </w:t>
      </w:r>
      <w:r w:rsidR="00711C77" w:rsidRPr="00711C77">
        <w:rPr>
          <w:lang w:eastAsia="en-AU"/>
        </w:rPr>
        <w:t>RACGP guidelines state: ‘In Australia as a reference for fracture risk calculation in women, the T-scores calculated from the Geelong Osteoporosis Study database are used for the lumbar spine and the proximal femur. Normative data in Australian men are not currently available. Most BMD assessments currently report T-scores for men based on the US National Health and Nutrition Examination Survey (NHANES) normative data or reference ranges provided by densitometer manufacturers’</w:t>
      </w:r>
      <w:r>
        <w:rPr>
          <w:lang w:eastAsia="en-AU"/>
        </w:rPr>
        <w:t xml:space="preserve"> </w:t>
      </w:r>
      <w:r w:rsidR="00711C77" w:rsidRPr="00711C77">
        <w:rPr>
          <w:lang w:eastAsia="en-AU"/>
        </w:rPr>
        <w:t>(RACGP 2010b).</w:t>
      </w:r>
    </w:p>
    <w:p w:rsidR="00F86C9F" w:rsidRPr="00FA270C" w:rsidRDefault="00F86C9F" w:rsidP="005C6D86">
      <w:pPr>
        <w:pStyle w:val="Heading2"/>
        <w:rPr>
          <w:lang w:val="en-AU"/>
        </w:rPr>
      </w:pPr>
      <w:bookmarkStart w:id="19" w:name="_Toc361145561"/>
      <w:bookmarkStart w:id="20" w:name="_Toc362968590"/>
      <w:r w:rsidRPr="00FA270C">
        <w:rPr>
          <w:lang w:val="en-AU"/>
        </w:rPr>
        <w:t>Administration, dose, frequency of administration, duration of the intervention</w:t>
      </w:r>
      <w:bookmarkEnd w:id="19"/>
      <w:bookmarkEnd w:id="20"/>
    </w:p>
    <w:p w:rsidR="00F86C9F" w:rsidRDefault="00F86C9F" w:rsidP="00A711EF">
      <w:r w:rsidRPr="007D7EAF">
        <w:t>Bone density scanning can be performed at any location which has both a DXA machine and qualified technician. A radiologist</w:t>
      </w:r>
      <w:r>
        <w:t>, nuclear medicine physician or other accredited specialist is required to interpret</w:t>
      </w:r>
      <w:r w:rsidRPr="007D7EAF">
        <w:t xml:space="preserve"> the results</w:t>
      </w:r>
      <w:r>
        <w:t>. The result is</w:t>
      </w:r>
      <w:r w:rsidRPr="007D7EAF">
        <w:t xml:space="preserve"> </w:t>
      </w:r>
      <w:r>
        <w:t>communicated</w:t>
      </w:r>
      <w:r w:rsidRPr="007D7EAF">
        <w:t xml:space="preserve"> to the patient through the </w:t>
      </w:r>
      <w:r>
        <w:t>referring practitioner</w:t>
      </w:r>
      <w:r w:rsidRPr="007D7EAF">
        <w:t xml:space="preserve">. </w:t>
      </w:r>
    </w:p>
    <w:p w:rsidR="00F86C9F" w:rsidRPr="00FA270C" w:rsidRDefault="00F86C9F" w:rsidP="00BB54B9">
      <w:r w:rsidRPr="00FA270C">
        <w:t>Diagnosis of low bone mineral density is dependent on the measurement site and number of sites measured</w:t>
      </w:r>
      <w:r w:rsidR="00711C77">
        <w:t xml:space="preserve">. </w:t>
      </w:r>
      <w:r w:rsidR="007F4CA3">
        <w:t xml:space="preserve">According to local guidelines, </w:t>
      </w:r>
      <w:r w:rsidR="00BB54B9">
        <w:t>‘</w:t>
      </w:r>
      <w:r w:rsidR="007F4CA3">
        <w:t>b</w:t>
      </w:r>
      <w:r w:rsidR="00711C77">
        <w:t>one mineral density should be measured by DXA scanning performed on two sites, preferably anteroposterior spine and hip</w:t>
      </w:r>
      <w:r w:rsidR="00BB54B9">
        <w:t>’</w:t>
      </w:r>
      <w:r w:rsidR="00711C77">
        <w:t xml:space="preserve"> (RACGP 2010b)</w:t>
      </w:r>
      <w:r w:rsidRPr="00FA270C">
        <w:t xml:space="preserve">. </w:t>
      </w:r>
    </w:p>
    <w:p w:rsidR="00F86C9F" w:rsidRPr="00FA270C" w:rsidRDefault="00F86C9F" w:rsidP="00BB54B9">
      <w:r w:rsidRPr="00FA270C">
        <w:t xml:space="preserve">Absorbed radiation doses from DXA are negligible for first-generation pencil beam scanners (below the estimated dose from natural background radiation of 7 </w:t>
      </w:r>
      <w:r w:rsidRPr="00956396">
        <w:rPr>
          <w:rFonts w:ascii="Symbol" w:hAnsi="Symbol"/>
        </w:rPr>
        <w:t></w:t>
      </w:r>
      <w:r w:rsidRPr="00FA270C">
        <w:t xml:space="preserve">Sv per day). Newer fan beam scanners produce slightly more radiation, with absorbed dose ranging from approximately 10 to 20 </w:t>
      </w:r>
      <w:r w:rsidRPr="00956396">
        <w:rPr>
          <w:rFonts w:ascii="Symbol" w:hAnsi="Symbol"/>
        </w:rPr>
        <w:t></w:t>
      </w:r>
      <w:r w:rsidRPr="00FA270C">
        <w:t xml:space="preserve">Sv per examination (Damilakis and Guglielmi 2010), and generating a combined dose from anterior-posterior (AP) spine, lateral spine, and hip scans of &lt;30 </w:t>
      </w:r>
      <w:r w:rsidRPr="00956396">
        <w:rPr>
          <w:rFonts w:ascii="Symbol" w:hAnsi="Symbol"/>
        </w:rPr>
        <w:t></w:t>
      </w:r>
      <w:r w:rsidRPr="00FA270C">
        <w:t>Sv (SIGN 2003). The estimated dose of radiation is lower for DXA measurements than most diagnostic X-ray examinations including mammography. However, the radiation dose can vary considerably between sites and DXA systems from different manufacturers based on scanning technique, x-ray tube filtration, efficiency of detection systems, exposure parameters, scan speed, scan size and patient body size (Damilakis and Guglielmi 2010).</w:t>
      </w:r>
    </w:p>
    <w:p w:rsidR="00F86C9F" w:rsidRDefault="00F86C9F" w:rsidP="00A52462">
      <w:r w:rsidRPr="00FA270C">
        <w:t xml:space="preserve">Although the DXA device measures total density, the use of both high- and low-energy X-rays facilitates the separation of soft tissue and bone contributions to overall density (Dasher et al 2010). Scanning of the hip and spine usually takes up to a maximum of approximately 15-20 minutes (Dasher et al 2010). </w:t>
      </w:r>
    </w:p>
    <w:p w:rsidR="00183E52" w:rsidRDefault="00183E52" w:rsidP="00A52462">
      <w:r>
        <w:rPr>
          <w:lang w:eastAsia="en-AU"/>
        </w:rPr>
        <w:t>Current guidelines suggest ge</w:t>
      </w:r>
      <w:r w:rsidRPr="00943E3F">
        <w:rPr>
          <w:lang w:eastAsia="en-AU"/>
        </w:rPr>
        <w:t xml:space="preserve">neral practitioners </w:t>
      </w:r>
      <w:r>
        <w:rPr>
          <w:lang w:eastAsia="en-AU"/>
        </w:rPr>
        <w:t>to</w:t>
      </w:r>
      <w:r w:rsidRPr="00943E3F">
        <w:rPr>
          <w:lang w:eastAsia="en-AU"/>
        </w:rPr>
        <w:t xml:space="preserve"> evaluate patients at increased risk for osteoporotic fractures who are </w:t>
      </w:r>
      <w:r w:rsidRPr="00956396">
        <w:rPr>
          <w:lang w:eastAsia="en-AU"/>
        </w:rPr>
        <w:t>not</w:t>
      </w:r>
      <w:r w:rsidRPr="00943E3F">
        <w:rPr>
          <w:lang w:eastAsia="en-AU"/>
        </w:rPr>
        <w:t xml:space="preserve"> receiving specific preventive anti-osteoporotic therapy in regard to future fracture risk at intervals adequate to the risk in question. BMD measurement can identify some non-fragility causes of fracture, </w:t>
      </w:r>
      <w:r>
        <w:rPr>
          <w:lang w:eastAsia="en-AU"/>
        </w:rPr>
        <w:t>example</w:t>
      </w:r>
      <w:r w:rsidRPr="00943E3F">
        <w:rPr>
          <w:lang w:eastAsia="en-AU"/>
        </w:rPr>
        <w:t xml:space="preserve"> T-score above -1.5. If a decision is made to not recommend specific preventive anti-osteoporotic therapy</w:t>
      </w:r>
      <w:r w:rsidR="007F4CA3">
        <w:rPr>
          <w:lang w:eastAsia="en-AU"/>
        </w:rPr>
        <w:t xml:space="preserve"> following evaluation of BMD</w:t>
      </w:r>
      <w:r w:rsidRPr="00943E3F">
        <w:rPr>
          <w:lang w:eastAsia="en-AU"/>
        </w:rPr>
        <w:t xml:space="preserve">, this must be formally reviewed in relation to future fracture risk at intervals relevant to the risk in question. In most cases BMD testing is </w:t>
      </w:r>
      <w:r w:rsidR="007F4CA3">
        <w:rPr>
          <w:lang w:eastAsia="en-AU"/>
        </w:rPr>
        <w:t xml:space="preserve">recommended for intervals of 2 years or longer </w:t>
      </w:r>
      <w:r>
        <w:rPr>
          <w:lang w:eastAsia="en-AU"/>
        </w:rPr>
        <w:t>(RACGP 2010b).</w:t>
      </w:r>
    </w:p>
    <w:p w:rsidR="00F86C9F" w:rsidRPr="00FA270C" w:rsidRDefault="00183E52" w:rsidP="00B06D8A">
      <w:r w:rsidRPr="00FA270C">
        <w:lastRenderedPageBreak/>
        <w:t xml:space="preserve">In patients with confirmed osteoporosis and receiving anti-osteoporotic treatment, repeat DXA scans are recommended </w:t>
      </w:r>
      <w:r>
        <w:t>to be consid</w:t>
      </w:r>
      <w:r w:rsidR="007F4CA3">
        <w:t>e</w:t>
      </w:r>
      <w:r>
        <w:t xml:space="preserve">red at 1 year if there is a change to anti-osteoporotic therapy, and </w:t>
      </w:r>
      <w:r w:rsidR="007F4CA3">
        <w:t>recommended</w:t>
      </w:r>
      <w:r>
        <w:t xml:space="preserve"> at 2 year</w:t>
      </w:r>
      <w:r w:rsidR="007F4CA3">
        <w:t xml:space="preserve"> intervals</w:t>
      </w:r>
      <w:r>
        <w:t xml:space="preserve"> when BMD is likely to be approaching -2.5 (average decrease in T-score is 0</w:t>
      </w:r>
      <w:r w:rsidR="007F4CA3">
        <w:t>.1</w:t>
      </w:r>
      <w:r>
        <w:t>/year) (RACGP 2010b)</w:t>
      </w:r>
      <w:r w:rsidRPr="00FA270C">
        <w:t>. The BMD at the time of screening is the most important factor in determining treatment and the time to repeat scan. The rate of change between scans is not as important in overall management decisions.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242"/>
      </w:tblGrid>
      <w:tr w:rsidR="00F86C9F" w:rsidRPr="00FA270C" w:rsidTr="00B06D8A">
        <w:tc>
          <w:tcPr>
            <w:tcW w:w="9242" w:type="dxa"/>
          </w:tcPr>
          <w:p w:rsidR="00F86C9F" w:rsidRPr="00FA270C" w:rsidRDefault="00F86C9F" w:rsidP="00B06D8A">
            <w:pPr>
              <w:rPr>
                <w:b/>
              </w:rPr>
            </w:pPr>
            <w:r w:rsidRPr="00FA270C">
              <w:rPr>
                <w:b/>
              </w:rPr>
              <w:t>Summary of the approach to assessment for the test</w:t>
            </w:r>
          </w:p>
          <w:p w:rsidR="00F86C9F" w:rsidRPr="00FA270C" w:rsidRDefault="00F86C9F" w:rsidP="00B06D8A">
            <w:pPr>
              <w:tabs>
                <w:tab w:val="left" w:pos="2835"/>
              </w:tabs>
              <w:spacing w:before="40"/>
            </w:pPr>
            <w:r w:rsidRPr="00FA270C">
              <w:t xml:space="preserve">The </w:t>
            </w:r>
            <w:r w:rsidRPr="00FA270C">
              <w:rPr>
                <w:b/>
              </w:rPr>
              <w:t>proposed test</w:t>
            </w:r>
            <w:r w:rsidRPr="00FA270C">
              <w:t xml:space="preserve"> is DXA.</w:t>
            </w:r>
          </w:p>
          <w:p w:rsidR="00F86C9F" w:rsidRPr="00FA270C" w:rsidRDefault="00F86C9F" w:rsidP="00B06D8A">
            <w:pPr>
              <w:tabs>
                <w:tab w:val="left" w:pos="2835"/>
              </w:tabs>
              <w:spacing w:before="40"/>
            </w:pPr>
            <w:r>
              <w:t>B</w:t>
            </w:r>
            <w:r w:rsidRPr="00FA270C">
              <w:t xml:space="preserve">one </w:t>
            </w:r>
            <w:r>
              <w:t xml:space="preserve">density </w:t>
            </w:r>
            <w:r w:rsidRPr="00FA270C">
              <w:t>testing with QCT is excluded for the following reasons:</w:t>
            </w:r>
          </w:p>
          <w:p w:rsidR="00F86C9F" w:rsidRPr="00FA270C" w:rsidRDefault="00F86C9F" w:rsidP="00B06D8A">
            <w:pPr>
              <w:pStyle w:val="ListParagraph"/>
              <w:numPr>
                <w:ilvl w:val="0"/>
                <w:numId w:val="36"/>
              </w:numPr>
              <w:tabs>
                <w:tab w:val="left" w:pos="2835"/>
              </w:tabs>
              <w:spacing w:before="40"/>
            </w:pPr>
            <w:r w:rsidRPr="00FA270C">
              <w:t>QCT results are less reproducible than DXA</w:t>
            </w:r>
          </w:p>
          <w:p w:rsidR="00F86C9F" w:rsidRPr="00FA270C" w:rsidRDefault="00F86C9F" w:rsidP="00B06D8A">
            <w:pPr>
              <w:pStyle w:val="ListParagraph"/>
              <w:numPr>
                <w:ilvl w:val="0"/>
                <w:numId w:val="36"/>
              </w:numPr>
              <w:tabs>
                <w:tab w:val="left" w:pos="2835"/>
              </w:tabs>
              <w:spacing w:before="40"/>
            </w:pPr>
            <w:r w:rsidRPr="00FA270C">
              <w:t>There is less robust evidence currently available to support the use of QCT</w:t>
            </w:r>
          </w:p>
          <w:p w:rsidR="00F86C9F" w:rsidRPr="00FA270C" w:rsidRDefault="00F86C9F" w:rsidP="00B06D8A">
            <w:pPr>
              <w:pStyle w:val="ListParagraph"/>
              <w:numPr>
                <w:ilvl w:val="0"/>
                <w:numId w:val="36"/>
              </w:numPr>
              <w:tabs>
                <w:tab w:val="left" w:pos="2835"/>
              </w:tabs>
              <w:spacing w:before="40"/>
            </w:pPr>
            <w:r w:rsidRPr="00FA270C">
              <w:t>Although QCT radiation doses are reducing over time, currently the use of QCT involves a higher dose of radiation than DXA so exposes patients to a greater degree of potential harm.</w:t>
            </w:r>
          </w:p>
          <w:p w:rsidR="00F86C9F" w:rsidRPr="00FA270C" w:rsidRDefault="00F86C9F" w:rsidP="00B06D8A">
            <w:pPr>
              <w:pStyle w:val="ListParagraph"/>
              <w:numPr>
                <w:ilvl w:val="0"/>
                <w:numId w:val="36"/>
              </w:numPr>
              <w:tabs>
                <w:tab w:val="left" w:pos="2835"/>
              </w:tabs>
              <w:spacing w:before="40"/>
            </w:pPr>
            <w:r w:rsidRPr="00FA270C">
              <w:t>There are no standardised Australian norma</w:t>
            </w:r>
            <w:r w:rsidR="00183E52">
              <w:t>tive</w:t>
            </w:r>
            <w:r w:rsidRPr="00FA270C">
              <w:t xml:space="preserve"> data for QCT.</w:t>
            </w:r>
          </w:p>
          <w:p w:rsidR="00F86C9F" w:rsidRPr="00FA270C" w:rsidRDefault="00F86C9F" w:rsidP="00B06D8A">
            <w:pPr>
              <w:pStyle w:val="ListParagraph"/>
              <w:numPr>
                <w:ilvl w:val="0"/>
                <w:numId w:val="36"/>
              </w:numPr>
              <w:tabs>
                <w:tab w:val="left" w:pos="2835"/>
              </w:tabs>
              <w:spacing w:before="40"/>
            </w:pPr>
            <w:r w:rsidRPr="00FA270C">
              <w:t>QCT assessment of the spine may overestimate osteoporosis compared to DXA using the WHO standard definitions.</w:t>
            </w:r>
          </w:p>
          <w:p w:rsidR="00F86C9F" w:rsidRPr="00FA270C" w:rsidRDefault="00F86C9F" w:rsidP="00B06D8A">
            <w:pPr>
              <w:pStyle w:val="ListParagraph"/>
              <w:numPr>
                <w:ilvl w:val="0"/>
                <w:numId w:val="36"/>
              </w:numPr>
              <w:tabs>
                <w:tab w:val="left" w:pos="2835"/>
              </w:tabs>
              <w:spacing w:before="40"/>
            </w:pPr>
            <w:r w:rsidRPr="00FA270C">
              <w:t>PASC recognise that QCT may be considered an alternative to DXA in the future.</w:t>
            </w:r>
          </w:p>
        </w:tc>
      </w:tr>
    </w:tbl>
    <w:p w:rsidR="00F86C9F" w:rsidRPr="00224467" w:rsidRDefault="00F86C9F" w:rsidP="00E2221F"/>
    <w:p w:rsidR="00F86C9F" w:rsidRPr="00FA270C" w:rsidRDefault="00F86C9F">
      <w:pPr>
        <w:pStyle w:val="Heading2"/>
        <w:rPr>
          <w:lang w:val="en-AU"/>
        </w:rPr>
      </w:pPr>
      <w:bookmarkStart w:id="21" w:name="_Toc361145562"/>
      <w:bookmarkStart w:id="22" w:name="_Toc362968591"/>
      <w:r w:rsidRPr="00FA270C">
        <w:rPr>
          <w:lang w:val="en-AU"/>
        </w:rPr>
        <w:t>Co-administered interventions</w:t>
      </w:r>
      <w:bookmarkEnd w:id="21"/>
      <w:bookmarkEnd w:id="22"/>
    </w:p>
    <w:p w:rsidR="00F86C9F" w:rsidRDefault="00F86C9F">
      <w:pPr>
        <w:rPr>
          <w:lang w:eastAsia="ja-JP"/>
        </w:rPr>
      </w:pPr>
      <w:r w:rsidRPr="00FA270C">
        <w:rPr>
          <w:lang w:eastAsia="ja-JP"/>
        </w:rPr>
        <w:t xml:space="preserve">A variety of options exist for the prevention and treatment of </w:t>
      </w:r>
      <w:r>
        <w:rPr>
          <w:lang w:eastAsia="ja-JP"/>
        </w:rPr>
        <w:t>osteoporosis</w:t>
      </w:r>
      <w:r w:rsidRPr="00FA270C">
        <w:rPr>
          <w:lang w:eastAsia="ja-JP"/>
        </w:rPr>
        <w:t>. Preventive options include calcium and vitamin D supplementation, exercise and education (awareness). Additionally, prescription medication is available for certain conditions (</w:t>
      </w:r>
      <w:r w:rsidR="00EC4C01">
        <w:rPr>
          <w:lang w:eastAsia="ja-JP"/>
        </w:rPr>
        <w:t>RACGP</w:t>
      </w:r>
      <w:r w:rsidR="00EC4C01" w:rsidRPr="00FA270C">
        <w:rPr>
          <w:lang w:eastAsia="ja-JP"/>
        </w:rPr>
        <w:t xml:space="preserve"> </w:t>
      </w:r>
      <w:r w:rsidRPr="00FA270C">
        <w:rPr>
          <w:lang w:eastAsia="ja-JP"/>
        </w:rPr>
        <w:t>2010</w:t>
      </w:r>
      <w:r w:rsidR="00EC4C01">
        <w:rPr>
          <w:lang w:eastAsia="ja-JP"/>
        </w:rPr>
        <w:t>b</w:t>
      </w:r>
      <w:r w:rsidRPr="00FA270C">
        <w:rPr>
          <w:lang w:eastAsia="ja-JP"/>
        </w:rPr>
        <w:t xml:space="preserve">). </w:t>
      </w:r>
    </w:p>
    <w:p w:rsidR="00F86C9F" w:rsidRPr="00FA270C" w:rsidRDefault="00F86C9F">
      <w:pPr>
        <w:rPr>
          <w:lang w:eastAsia="ja-JP"/>
        </w:rPr>
      </w:pPr>
      <w:r w:rsidRPr="00FA270C">
        <w:rPr>
          <w:lang w:eastAsia="ja-JP"/>
        </w:rPr>
        <w:t xml:space="preserve">Different preventive and treatment modalities include: </w:t>
      </w:r>
    </w:p>
    <w:p w:rsidR="00F86C9F" w:rsidRPr="00FA270C" w:rsidRDefault="00F86C9F" w:rsidP="00DA7624">
      <w:pPr>
        <w:pStyle w:val="ListParagraph"/>
        <w:numPr>
          <w:ilvl w:val="0"/>
          <w:numId w:val="19"/>
        </w:numPr>
        <w:rPr>
          <w:lang w:eastAsia="ja-JP"/>
        </w:rPr>
      </w:pPr>
      <w:r w:rsidRPr="00FA270C">
        <w:rPr>
          <w:lang w:eastAsia="ja-JP"/>
        </w:rPr>
        <w:t>Exercise - regular, progressive weight-bearing and resistance exercise aids in the preservation and increase of bone density</w:t>
      </w:r>
    </w:p>
    <w:p w:rsidR="00F86C9F" w:rsidRPr="00FA270C" w:rsidRDefault="00F86C9F" w:rsidP="00DA7624">
      <w:pPr>
        <w:pStyle w:val="ListParagraph"/>
        <w:numPr>
          <w:ilvl w:val="0"/>
          <w:numId w:val="19"/>
        </w:numPr>
        <w:rPr>
          <w:lang w:eastAsia="ja-JP"/>
        </w:rPr>
      </w:pPr>
      <w:r w:rsidRPr="00FA270C">
        <w:rPr>
          <w:lang w:eastAsia="ja-JP"/>
        </w:rPr>
        <w:t xml:space="preserve">Calcium and vitamin D – it is recommended that to optimise clinical efficacy, adequate calcium and vitamin D are required. If sufficient calcium cannot be obtained from diet, and adequate Vitamin D levels are not achieved by sun exposure, supplements may be required. Total calcium intake of 1000-1300 mg/day (combination of food </w:t>
      </w:r>
      <w:r w:rsidR="007E5C9A">
        <w:rPr>
          <w:lang w:eastAsia="ja-JP"/>
        </w:rPr>
        <w:t xml:space="preserve">and supplement) is recommended </w:t>
      </w:r>
      <w:r w:rsidRPr="00FA270C">
        <w:rPr>
          <w:lang w:eastAsia="ja-JP"/>
        </w:rPr>
        <w:t>(</w:t>
      </w:r>
      <w:r w:rsidR="00EC4C01">
        <w:rPr>
          <w:lang w:eastAsia="ja-JP"/>
        </w:rPr>
        <w:t>RACGP</w:t>
      </w:r>
      <w:r w:rsidRPr="00FA270C">
        <w:rPr>
          <w:lang w:eastAsia="ja-JP"/>
        </w:rPr>
        <w:t xml:space="preserve"> 2010</w:t>
      </w:r>
      <w:r w:rsidR="00EC4C01">
        <w:rPr>
          <w:lang w:eastAsia="ja-JP"/>
        </w:rPr>
        <w:t>b</w:t>
      </w:r>
      <w:r w:rsidRPr="00FA270C">
        <w:rPr>
          <w:lang w:eastAsia="ja-JP"/>
        </w:rPr>
        <w:t>)</w:t>
      </w:r>
      <w:r w:rsidR="007E5C9A">
        <w:rPr>
          <w:lang w:eastAsia="ja-JP"/>
        </w:rPr>
        <w:t>.</w:t>
      </w:r>
      <w:r w:rsidRPr="00FA270C">
        <w:rPr>
          <w:lang w:eastAsia="ja-JP"/>
        </w:rPr>
        <w:t xml:space="preserve"> Where sun exposure is not adequate to generate sufficient Vitamin D levels, supplementation of vitamin D</w:t>
      </w:r>
      <w:r w:rsidR="007E5C9A">
        <w:rPr>
          <w:lang w:eastAsia="ja-JP"/>
        </w:rPr>
        <w:t xml:space="preserve"> 700-800 IU/day is recommended </w:t>
      </w:r>
      <w:r w:rsidRPr="00FA270C">
        <w:rPr>
          <w:lang w:eastAsia="ja-JP"/>
        </w:rPr>
        <w:t xml:space="preserve">(Nowson et al 2012). </w:t>
      </w:r>
    </w:p>
    <w:p w:rsidR="00F86C9F" w:rsidRPr="00FA270C" w:rsidRDefault="00F86C9F" w:rsidP="00DA7624">
      <w:pPr>
        <w:pStyle w:val="ListParagraph"/>
        <w:numPr>
          <w:ilvl w:val="0"/>
          <w:numId w:val="19"/>
        </w:numPr>
        <w:rPr>
          <w:lang w:eastAsia="ja-JP"/>
        </w:rPr>
      </w:pPr>
      <w:r w:rsidRPr="00FA270C">
        <w:rPr>
          <w:lang w:eastAsia="ja-JP"/>
        </w:rPr>
        <w:t>Selective oestrogen receptor modulators (SERMs) – decrease bone resorption via binding to oestrogen receptors and may best be used as an alternative to hormone therapy in women with contraindications (</w:t>
      </w:r>
      <w:r w:rsidR="00EC4C01">
        <w:rPr>
          <w:lang w:eastAsia="ja-JP"/>
        </w:rPr>
        <w:t>RACGP</w:t>
      </w:r>
      <w:r w:rsidRPr="00FA270C">
        <w:rPr>
          <w:lang w:eastAsia="ja-JP"/>
        </w:rPr>
        <w:t xml:space="preserve"> 2010</w:t>
      </w:r>
      <w:r w:rsidR="00EC4C01">
        <w:rPr>
          <w:lang w:eastAsia="ja-JP"/>
        </w:rPr>
        <w:t>b</w:t>
      </w:r>
      <w:r w:rsidRPr="00FA270C">
        <w:rPr>
          <w:lang w:eastAsia="ja-JP"/>
        </w:rPr>
        <w:t xml:space="preserve">). </w:t>
      </w:r>
    </w:p>
    <w:p w:rsidR="00F86C9F" w:rsidRPr="00FA270C" w:rsidRDefault="00F86C9F" w:rsidP="00DA7624">
      <w:pPr>
        <w:pStyle w:val="ListParagraph"/>
        <w:numPr>
          <w:ilvl w:val="0"/>
          <w:numId w:val="19"/>
        </w:numPr>
        <w:rPr>
          <w:lang w:eastAsia="ja-JP"/>
        </w:rPr>
      </w:pPr>
      <w:r w:rsidRPr="00FA270C">
        <w:rPr>
          <w:lang w:eastAsia="ja-JP"/>
        </w:rPr>
        <w:t xml:space="preserve">Bisphosphonates–The bisphosphonates currently used in Australia include alendronate, disodium etidronate, risedronate, and zoledronic acid. These drugs reduce the risk of fractures by </w:t>
      </w:r>
      <w:r w:rsidRPr="00FA270C">
        <w:rPr>
          <w:lang w:eastAsia="ja-JP"/>
        </w:rPr>
        <w:lastRenderedPageBreak/>
        <w:t>increasing bone density through the reduction of osteoclast activity. On average, these drugs lead to an increase in bone density by approximately 4-8% at the spine and 1-3% at the hip over the first 3-4 years of treatment.</w:t>
      </w:r>
    </w:p>
    <w:p w:rsidR="00F86C9F" w:rsidRPr="00FA270C" w:rsidRDefault="00F86C9F" w:rsidP="00DA7624">
      <w:pPr>
        <w:pStyle w:val="ListParagraph"/>
        <w:numPr>
          <w:ilvl w:val="0"/>
          <w:numId w:val="19"/>
        </w:numPr>
        <w:rPr>
          <w:lang w:eastAsia="ja-JP"/>
        </w:rPr>
      </w:pPr>
      <w:r w:rsidRPr="00FA270C">
        <w:rPr>
          <w:lang w:eastAsia="ja-JP"/>
        </w:rPr>
        <w:t xml:space="preserve">Monoclonal antibodies (Denosumab) – the RANK Ligand inhibitor, monoclonal antibody Denosumab binds to a specific ligand which is required for osteoclast formation. This inhibition of osteoclast formation results in decreased bone resorption and increased bone mass and strength in both cortical and trabecular bone. </w:t>
      </w:r>
    </w:p>
    <w:p w:rsidR="00F86C9F" w:rsidRPr="00FA270C" w:rsidRDefault="00F86C9F" w:rsidP="00DA7624">
      <w:pPr>
        <w:pStyle w:val="ListParagraph"/>
        <w:numPr>
          <w:ilvl w:val="0"/>
          <w:numId w:val="19"/>
        </w:numPr>
        <w:rPr>
          <w:lang w:eastAsia="ja-JP"/>
        </w:rPr>
      </w:pPr>
      <w:r w:rsidRPr="00FA270C">
        <w:rPr>
          <w:lang w:eastAsia="ja-JP"/>
        </w:rPr>
        <w:t xml:space="preserve">Teriparatide (parathyroid hormone) – Teriparatide increases new bone formation through a reduction in osteoblast apoptosis. Due to its great expense and potentially deleterious side effects (including a potential increased risk of osteogenic sarcoma), teriparatide is only reimbursed by the PBS for severe established </w:t>
      </w:r>
      <w:r>
        <w:rPr>
          <w:lang w:eastAsia="ja-JP"/>
        </w:rPr>
        <w:t>osteoporosis</w:t>
      </w:r>
      <w:r w:rsidRPr="00FA270C">
        <w:rPr>
          <w:lang w:eastAsia="ja-JP"/>
        </w:rPr>
        <w:t xml:space="preserve"> in patients with a very high risk of fracture (</w:t>
      </w:r>
      <w:r w:rsidR="00EC4C01">
        <w:rPr>
          <w:lang w:eastAsia="ja-JP"/>
        </w:rPr>
        <w:t>RACGP</w:t>
      </w:r>
      <w:r w:rsidRPr="00FA270C">
        <w:rPr>
          <w:lang w:eastAsia="ja-JP"/>
        </w:rPr>
        <w:t xml:space="preserve"> 2010</w:t>
      </w:r>
      <w:r w:rsidR="00EC4C01">
        <w:rPr>
          <w:lang w:eastAsia="ja-JP"/>
        </w:rPr>
        <w:t>b</w:t>
      </w:r>
      <w:r w:rsidRPr="00FA270C">
        <w:rPr>
          <w:lang w:eastAsia="ja-JP"/>
        </w:rPr>
        <w:t>).</w:t>
      </w:r>
    </w:p>
    <w:p w:rsidR="00F86C9F" w:rsidRPr="00FA270C" w:rsidRDefault="00F86C9F" w:rsidP="00B66C0D">
      <w:pPr>
        <w:rPr>
          <w:lang w:eastAsia="ja-JP"/>
        </w:rPr>
      </w:pPr>
      <w:r w:rsidRPr="00FA270C">
        <w:rPr>
          <w:lang w:eastAsia="ja-JP"/>
        </w:rPr>
        <w:t>Anti-osteoporotic medications on the ARTG are listed according to relatively broad indications (</w:t>
      </w:r>
      <w:r>
        <w:rPr>
          <w:lang w:eastAsia="ja-JP"/>
        </w:rPr>
        <w:fldChar w:fldCharType="begin"/>
      </w:r>
      <w:r>
        <w:rPr>
          <w:lang w:eastAsia="ja-JP"/>
        </w:rPr>
        <w:instrText xml:space="preserve"> REF _Ref358199730 \h </w:instrText>
      </w:r>
      <w:r>
        <w:rPr>
          <w:lang w:eastAsia="ja-JP"/>
        </w:rPr>
      </w:r>
      <w:r>
        <w:rPr>
          <w:lang w:eastAsia="ja-JP"/>
        </w:rPr>
        <w:fldChar w:fldCharType="separate"/>
      </w:r>
      <w:r w:rsidR="00255656" w:rsidRPr="00FA270C">
        <w:t>Appendix 1</w:t>
      </w:r>
      <w:r w:rsidR="00255656" w:rsidRPr="00FA270C">
        <w:tab/>
        <w:t>Examples of treatments currently listed on the ARTG for the treatment of osteoporosis</w:t>
      </w:r>
      <w:r>
        <w:rPr>
          <w:lang w:eastAsia="ja-JP"/>
        </w:rPr>
        <w:fldChar w:fldCharType="end"/>
      </w:r>
      <w:r w:rsidRPr="00FA270C">
        <w:rPr>
          <w:lang w:eastAsia="ja-JP"/>
        </w:rPr>
        <w:t xml:space="preserve">). For example, alendronate sodium is available to post-menopausal women and to men in the treatment of osteoporosis to help prevent fractures. Other medications are available confirmed by the finding of low bone mass, for patients on long-term corticosteroid therapy, or in the presence or history of osteoporotic fracture. Indications, contraindications and potential complications of anti-osteoporotic medication are presented in </w:t>
      </w:r>
      <w:r>
        <w:rPr>
          <w:lang w:eastAsia="ja-JP"/>
        </w:rPr>
        <w:fldChar w:fldCharType="begin"/>
      </w:r>
      <w:r>
        <w:rPr>
          <w:lang w:eastAsia="ja-JP"/>
        </w:rPr>
        <w:instrText xml:space="preserve"> REF _Ref358199587 \h </w:instrText>
      </w:r>
      <w:r>
        <w:rPr>
          <w:lang w:eastAsia="ja-JP"/>
        </w:rPr>
      </w:r>
      <w:r>
        <w:rPr>
          <w:lang w:eastAsia="ja-JP"/>
        </w:rPr>
        <w:fldChar w:fldCharType="separate"/>
      </w:r>
      <w:r w:rsidR="00255656" w:rsidRPr="00FA270C">
        <w:t>Appendix 2</w:t>
      </w:r>
      <w:r w:rsidR="00255656" w:rsidRPr="00FA270C">
        <w:tab/>
        <w:t>Indications, contraindications and potential complications of the co-administered interventions</w:t>
      </w:r>
      <w:r>
        <w:rPr>
          <w:lang w:eastAsia="ja-JP"/>
        </w:rPr>
        <w:fldChar w:fldCharType="end"/>
      </w:r>
      <w:r w:rsidRPr="00FA270C">
        <w:rPr>
          <w:lang w:eastAsia="ja-JP"/>
        </w:rPr>
        <w:t xml:space="preserve">. PBS-listed anti-resorptive pharmaceuticals are listed by drug in </w:t>
      </w:r>
      <w:r>
        <w:rPr>
          <w:lang w:eastAsia="ja-JP"/>
        </w:rPr>
        <w:fldChar w:fldCharType="begin"/>
      </w:r>
      <w:r>
        <w:rPr>
          <w:lang w:eastAsia="ja-JP"/>
        </w:rPr>
        <w:instrText xml:space="preserve"> REF _Ref358199632 \h </w:instrText>
      </w:r>
      <w:r>
        <w:rPr>
          <w:lang w:eastAsia="ja-JP"/>
        </w:rPr>
      </w:r>
      <w:r>
        <w:rPr>
          <w:lang w:eastAsia="ja-JP"/>
        </w:rPr>
        <w:fldChar w:fldCharType="separate"/>
      </w:r>
      <w:r w:rsidR="00255656" w:rsidRPr="00FA270C">
        <w:t>Appendix 3</w:t>
      </w:r>
      <w:r w:rsidR="00255656" w:rsidRPr="00FA270C">
        <w:tab/>
        <w:t>PBS listed pharmaceuticals (by drug) for the treatment of diseases of bone structure and mineralisation</w:t>
      </w:r>
      <w:r>
        <w:rPr>
          <w:lang w:eastAsia="ja-JP"/>
        </w:rPr>
        <w:fldChar w:fldCharType="end"/>
      </w:r>
      <w:r w:rsidRPr="00FA270C">
        <w:rPr>
          <w:lang w:eastAsia="ja-JP"/>
        </w:rPr>
        <w:t xml:space="preserve"> and by indication in </w:t>
      </w:r>
      <w:r>
        <w:rPr>
          <w:lang w:eastAsia="ja-JP"/>
        </w:rPr>
        <w:fldChar w:fldCharType="begin"/>
      </w:r>
      <w:r>
        <w:rPr>
          <w:lang w:eastAsia="ja-JP"/>
        </w:rPr>
        <w:instrText xml:space="preserve"> REF _Ref358199661 \h </w:instrText>
      </w:r>
      <w:r>
        <w:rPr>
          <w:lang w:eastAsia="ja-JP"/>
        </w:rPr>
      </w:r>
      <w:r>
        <w:rPr>
          <w:lang w:eastAsia="ja-JP"/>
        </w:rPr>
        <w:fldChar w:fldCharType="separate"/>
      </w:r>
      <w:r w:rsidR="00255656" w:rsidRPr="00FA270C">
        <w:t>Appendix 4</w:t>
      </w:r>
      <w:r w:rsidR="00255656" w:rsidRPr="00FA270C">
        <w:tab/>
        <w:t>PBS listed pharmaceuticals (by indication) for treatment of diseases of bone structure and mineralisation</w:t>
      </w:r>
      <w:r>
        <w:rPr>
          <w:lang w:eastAsia="ja-JP"/>
        </w:rPr>
        <w:fldChar w:fldCharType="end"/>
      </w:r>
      <w:r w:rsidRPr="00FA270C">
        <w:rPr>
          <w:lang w:eastAsia="ja-JP"/>
        </w:rPr>
        <w:t>.</w:t>
      </w:r>
    </w:p>
    <w:p w:rsidR="00F86C9F" w:rsidRPr="00FA270C" w:rsidRDefault="00F86C9F" w:rsidP="00E2221F">
      <w:pPr>
        <w:rPr>
          <w:u w:val="single"/>
        </w:rPr>
      </w:pPr>
      <w:r w:rsidRPr="00FA270C">
        <w:rPr>
          <w:u w:val="single"/>
        </w:rPr>
        <w:t>Clinical research questions for the assessment relating to the intervention:</w:t>
      </w:r>
    </w:p>
    <w:p w:rsidR="00F86C9F" w:rsidRPr="00FA270C" w:rsidRDefault="00F86C9F" w:rsidP="00E2221F">
      <w:pPr>
        <w:pStyle w:val="ListParagraph"/>
        <w:numPr>
          <w:ilvl w:val="0"/>
          <w:numId w:val="48"/>
        </w:numPr>
      </w:pPr>
      <w:r w:rsidRPr="00FA270C">
        <w:t>What is the effect of prescription anti-resorptive medication on the rate of minimal trauma fracture in the target population?</w:t>
      </w:r>
    </w:p>
    <w:p w:rsidR="00F86C9F" w:rsidRPr="00FA270C" w:rsidRDefault="00F86C9F" w:rsidP="00E2221F">
      <w:pPr>
        <w:pStyle w:val="ListParagraph"/>
        <w:numPr>
          <w:ilvl w:val="0"/>
          <w:numId w:val="48"/>
        </w:numPr>
      </w:pPr>
      <w:r w:rsidRPr="00FA270C">
        <w:t>What is the rate of bone loss over time in the proposed population who are not provided test and therapy? What is the rate of bone loss over time in the proposed population who are provided test and therapy? Evidence provided in response to these questions will inform the number and frequency of DXA re-testing and monitoring (respectively). The frequency of re-testing and monitoring should be justified by the submission of available evidence.</w:t>
      </w:r>
    </w:p>
    <w:p w:rsidR="00F86C9F" w:rsidRPr="00FA270C" w:rsidRDefault="00F86C9F" w:rsidP="00E2221F">
      <w:pPr>
        <w:pStyle w:val="ListParagraph"/>
        <w:numPr>
          <w:ilvl w:val="0"/>
          <w:numId w:val="48"/>
        </w:numPr>
        <w:rPr>
          <w:lang w:eastAsia="ja-JP"/>
        </w:rPr>
      </w:pPr>
      <w:r w:rsidRPr="00FA270C">
        <w:t xml:space="preserve">The proposed target population are men and women aged 50-69, with risk factors. For the purposes of sensitivity analysis the assessment phase should consider </w:t>
      </w:r>
      <w:r w:rsidR="004011A6">
        <w:t xml:space="preserve">different age ranges (eg 55-69 years; 60-69 years; 65-69 years) for testing </w:t>
      </w:r>
      <w:r w:rsidRPr="00FA270C">
        <w:t>men and women.</w:t>
      </w:r>
      <w:r w:rsidR="00956396">
        <w:t xml:space="preserve"> </w:t>
      </w:r>
      <w:r w:rsidR="004011A6">
        <w:t xml:space="preserve">The assessment should also consider ‘rollout’ in people who are </w:t>
      </w:r>
      <w:r w:rsidR="007F4CA3">
        <w:t>55 years at the introduction (eg</w:t>
      </w:r>
      <w:r w:rsidR="004011A6">
        <w:t xml:space="preserve"> effectiveness in people who enter the </w:t>
      </w:r>
      <w:r w:rsidR="007F4CA3">
        <w:t>proposed pathway</w:t>
      </w:r>
      <w:r w:rsidR="004011A6">
        <w:t xml:space="preserve"> after</w:t>
      </w:r>
      <w:r w:rsidR="007F4CA3">
        <w:t xml:space="preserve"> their</w:t>
      </w:r>
      <w:r w:rsidR="004011A6">
        <w:t xml:space="preserve"> 55</w:t>
      </w:r>
      <w:r w:rsidR="004011A6" w:rsidRPr="004011A6">
        <w:rPr>
          <w:vertAlign w:val="superscript"/>
        </w:rPr>
        <w:t>th</w:t>
      </w:r>
      <w:r w:rsidR="004011A6">
        <w:t xml:space="preserve"> birthday).</w:t>
      </w:r>
      <w:r w:rsidR="00524DE4">
        <w:t xml:space="preserve"> </w:t>
      </w:r>
      <w:r w:rsidR="00524DE4" w:rsidRPr="00FA270C">
        <w:t xml:space="preserve"> </w:t>
      </w:r>
      <w:r w:rsidRPr="00FA270C">
        <w:t xml:space="preserve">What proportion of the population at each defined age group will have a T-score of </w:t>
      </w:r>
      <w:r w:rsidR="00224467">
        <w:t xml:space="preserve">less than or equal to </w:t>
      </w:r>
      <w:r w:rsidRPr="00FA270C">
        <w:t>-2.5? This population will be provided with the proposed therapy (anti-resorptive medication). Similar evidence should be provided for any other relevant thresholds identified as part of the assessment.</w:t>
      </w:r>
    </w:p>
    <w:p w:rsidR="00F86C9F" w:rsidRPr="00FA270C" w:rsidRDefault="00F86C9F" w:rsidP="00E2221F">
      <w:pPr>
        <w:pStyle w:val="ListParagraph"/>
        <w:numPr>
          <w:ilvl w:val="0"/>
          <w:numId w:val="48"/>
        </w:numPr>
        <w:rPr>
          <w:lang w:eastAsia="ja-JP"/>
        </w:rPr>
      </w:pPr>
      <w:r w:rsidRPr="00FA270C">
        <w:rPr>
          <w:b/>
        </w:rPr>
        <w:lastRenderedPageBreak/>
        <w:t>NOTE</w:t>
      </w:r>
      <w:r w:rsidRPr="00FA270C">
        <w:t>: As detailed under ‘Population’, there are a range of potential risk factors, combination of risk factors, and other prognostic factors that will define eligibility to this service.</w:t>
      </w:r>
    </w:p>
    <w:p w:rsidR="00F86C9F" w:rsidRPr="00FA270C" w:rsidRDefault="00F86C9F" w:rsidP="005C6D86">
      <w:pPr>
        <w:pStyle w:val="ListParagraph"/>
        <w:numPr>
          <w:ilvl w:val="1"/>
          <w:numId w:val="48"/>
        </w:numPr>
        <w:rPr>
          <w:lang w:eastAsia="ja-JP"/>
        </w:rPr>
      </w:pPr>
      <w:r w:rsidRPr="00FA270C">
        <w:t>Data for all elements of the assessment should be provided in terms of each specific risk factor or combination of risk factors.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242"/>
      </w:tblGrid>
      <w:tr w:rsidR="00F86C9F" w:rsidRPr="00FA270C" w:rsidTr="005D2627">
        <w:tc>
          <w:tcPr>
            <w:tcW w:w="9242" w:type="dxa"/>
          </w:tcPr>
          <w:p w:rsidR="00F86C9F" w:rsidRPr="005D2627" w:rsidRDefault="00F86C9F" w:rsidP="00747073">
            <w:pPr>
              <w:rPr>
                <w:b/>
              </w:rPr>
            </w:pPr>
            <w:bookmarkStart w:id="23" w:name="_Ref320874792"/>
            <w:r w:rsidRPr="005D2627">
              <w:rPr>
                <w:b/>
              </w:rPr>
              <w:t>Summary of the approach to assessment for the intervention</w:t>
            </w:r>
          </w:p>
          <w:p w:rsidR="00F86C9F" w:rsidRPr="005D2627" w:rsidRDefault="00F86C9F" w:rsidP="00747073">
            <w:pPr>
              <w:rPr>
                <w:u w:val="single"/>
              </w:rPr>
            </w:pPr>
            <w:r w:rsidRPr="005D2627">
              <w:rPr>
                <w:u w:val="single"/>
              </w:rPr>
              <w:t>Test</w:t>
            </w:r>
          </w:p>
          <w:p w:rsidR="00F86C9F" w:rsidRPr="00FA270C" w:rsidRDefault="00F86C9F" w:rsidP="005D2627">
            <w:pPr>
              <w:tabs>
                <w:tab w:val="left" w:pos="2835"/>
              </w:tabs>
              <w:spacing w:before="40"/>
            </w:pPr>
            <w:r w:rsidRPr="005D2627">
              <w:rPr>
                <w:b/>
              </w:rPr>
              <w:t xml:space="preserve">The proposed test </w:t>
            </w:r>
            <w:r w:rsidRPr="00FA270C">
              <w:t xml:space="preserve">is DXA. PASC consider that testing for serum vitamin D </w:t>
            </w:r>
            <w:r>
              <w:t>sufficiency</w:t>
            </w:r>
            <w:r w:rsidRPr="00FA270C">
              <w:t xml:space="preserve"> would occur during standard clinical evaluation of a patient for low bone mineral density. Therefore the use of this resource would be the same in both the current and proposed scenario.</w:t>
            </w:r>
          </w:p>
          <w:p w:rsidR="00F86C9F" w:rsidRPr="005D2627" w:rsidRDefault="00F86C9F" w:rsidP="00747073">
            <w:pPr>
              <w:rPr>
                <w:u w:val="single"/>
              </w:rPr>
            </w:pPr>
            <w:r w:rsidRPr="005D2627">
              <w:rPr>
                <w:u w:val="single"/>
              </w:rPr>
              <w:t xml:space="preserve">Therapy </w:t>
            </w:r>
          </w:p>
          <w:p w:rsidR="00F86C9F" w:rsidRPr="00F70D28" w:rsidRDefault="00F86C9F" w:rsidP="005D2627">
            <w:pPr>
              <w:tabs>
                <w:tab w:val="left" w:pos="2835"/>
              </w:tabs>
              <w:spacing w:before="40"/>
            </w:pPr>
            <w:r w:rsidRPr="005D2627">
              <w:rPr>
                <w:b/>
              </w:rPr>
              <w:t xml:space="preserve">The proposed therapy </w:t>
            </w:r>
            <w:r w:rsidRPr="009C0C54">
              <w:t>is</w:t>
            </w:r>
            <w:r w:rsidRPr="00F70D28">
              <w:t xml:space="preserve"> management informed by the result of a BMD test. The proposed thresholds are:</w:t>
            </w:r>
          </w:p>
          <w:p w:rsidR="00F86C9F" w:rsidRPr="00565BF5" w:rsidRDefault="00F86C9F" w:rsidP="007C3FDA">
            <w:pPr>
              <w:pStyle w:val="ListParagraph"/>
              <w:numPr>
                <w:ilvl w:val="0"/>
                <w:numId w:val="49"/>
              </w:numPr>
              <w:tabs>
                <w:tab w:val="left" w:pos="2835"/>
              </w:tabs>
              <w:spacing w:before="40"/>
            </w:pPr>
            <w:r w:rsidRPr="00565BF5">
              <w:t xml:space="preserve">For </w:t>
            </w:r>
            <w:r w:rsidR="007C3FDA" w:rsidRPr="007C3FDA">
              <w:t>-1.0&gt; T-score &gt;-2.5</w:t>
            </w:r>
            <w:r w:rsidRPr="00565BF5">
              <w:t>, management would be through lifestyle and dietary advice;</w:t>
            </w:r>
          </w:p>
          <w:p w:rsidR="00F86C9F" w:rsidRPr="00565BF5" w:rsidRDefault="00F86C9F" w:rsidP="005D2627">
            <w:pPr>
              <w:pStyle w:val="ListParagraph"/>
              <w:numPr>
                <w:ilvl w:val="0"/>
                <w:numId w:val="49"/>
              </w:numPr>
              <w:tabs>
                <w:tab w:val="left" w:pos="2835"/>
              </w:tabs>
              <w:spacing w:before="40"/>
            </w:pPr>
            <w:r w:rsidRPr="00565BF5">
              <w:t>For T-score ≤-2.5, management would involve treatment with anti-resorptive medications in addition to lifestyle and dietary advice.</w:t>
            </w:r>
          </w:p>
          <w:p w:rsidR="00F86C9F" w:rsidRPr="009C0C54" w:rsidRDefault="00F86C9F" w:rsidP="005D2627">
            <w:pPr>
              <w:tabs>
                <w:tab w:val="left" w:pos="2835"/>
              </w:tabs>
              <w:spacing w:before="40"/>
            </w:pPr>
            <w:r w:rsidRPr="00565BF5">
              <w:t>No specific PBS-listed medication is associated with this proposal.</w:t>
            </w:r>
          </w:p>
          <w:p w:rsidR="00F86C9F" w:rsidRPr="00565BF5" w:rsidRDefault="00F86C9F" w:rsidP="005D2627">
            <w:pPr>
              <w:tabs>
                <w:tab w:val="left" w:pos="2835"/>
              </w:tabs>
              <w:spacing w:before="40"/>
            </w:pPr>
            <w:r w:rsidRPr="00565BF5">
              <w:t xml:space="preserve">The evaluation phase should provide evidence to determine the best </w:t>
            </w:r>
            <w:r w:rsidRPr="005D2627">
              <w:rPr>
                <w:b/>
              </w:rPr>
              <w:t xml:space="preserve">threshold for therapy </w:t>
            </w:r>
            <w:r w:rsidRPr="00565BF5">
              <w:t>for anti-resorptive drug therapy. The assessment phase should address threshold to therapy as:</w:t>
            </w:r>
          </w:p>
          <w:p w:rsidR="00F86C9F" w:rsidRPr="00565BF5" w:rsidRDefault="00F86C9F" w:rsidP="005D2627">
            <w:pPr>
              <w:pStyle w:val="ListParagraph"/>
              <w:numPr>
                <w:ilvl w:val="0"/>
                <w:numId w:val="50"/>
              </w:numPr>
              <w:tabs>
                <w:tab w:val="left" w:pos="2835"/>
              </w:tabs>
              <w:spacing w:before="40"/>
            </w:pPr>
            <w:r w:rsidRPr="00565BF5">
              <w:t>The proposed T-score of ≤-2.5.</w:t>
            </w:r>
          </w:p>
          <w:p w:rsidR="007F4CA3" w:rsidRDefault="00F86C9F" w:rsidP="004011A6">
            <w:pPr>
              <w:pStyle w:val="ListParagraph"/>
              <w:numPr>
                <w:ilvl w:val="0"/>
                <w:numId w:val="50"/>
              </w:numPr>
              <w:tabs>
                <w:tab w:val="left" w:pos="2835"/>
              </w:tabs>
              <w:spacing w:before="40"/>
            </w:pPr>
            <w:r w:rsidRPr="00565BF5">
              <w:t>The assessment should provide evidence on the appropriate threshold T-score(s) for access to therapy, including consideration of threshold T-score dependent on specific risk factors for osteoporosis.</w:t>
            </w:r>
          </w:p>
          <w:p w:rsidR="00F86C9F" w:rsidRPr="00565BF5" w:rsidRDefault="004011A6" w:rsidP="004011A6">
            <w:pPr>
              <w:pStyle w:val="ListParagraph"/>
              <w:numPr>
                <w:ilvl w:val="0"/>
                <w:numId w:val="50"/>
              </w:numPr>
              <w:tabs>
                <w:tab w:val="left" w:pos="2835"/>
              </w:tabs>
              <w:spacing w:before="40"/>
            </w:pPr>
            <w:r>
              <w:t xml:space="preserve">The assessment should </w:t>
            </w:r>
            <w:r w:rsidR="007F4CA3">
              <w:t>undertake</w:t>
            </w:r>
            <w:r>
              <w:t xml:space="preserve"> s</w:t>
            </w:r>
            <w:r w:rsidR="00F86C9F" w:rsidRPr="00565BF5">
              <w:t xml:space="preserve">ensitivity analyses around T-scores of -1.0, -1.5, -2.0 and -2.5 </w:t>
            </w:r>
            <w:r w:rsidR="00D84F25">
              <w:t>as relevant thresholds for therapy</w:t>
            </w:r>
            <w:r w:rsidR="00F86C9F" w:rsidRPr="00565BF5">
              <w:t xml:space="preserve">. </w:t>
            </w:r>
          </w:p>
          <w:p w:rsidR="00F86C9F" w:rsidRPr="005D2627" w:rsidRDefault="00F86C9F" w:rsidP="000C04F8">
            <w:pPr>
              <w:rPr>
                <w:u w:val="single"/>
              </w:rPr>
            </w:pPr>
            <w:r w:rsidRPr="005D2627">
              <w:rPr>
                <w:u w:val="single"/>
              </w:rPr>
              <w:t>Repeat test</w:t>
            </w:r>
          </w:p>
          <w:p w:rsidR="00F86C9F" w:rsidRPr="005503EE" w:rsidRDefault="00F86C9F" w:rsidP="000C04F8">
            <w:r w:rsidRPr="005503EE">
              <w:t>According to the RACGP guidelines,</w:t>
            </w:r>
          </w:p>
          <w:p w:rsidR="00956396" w:rsidRDefault="008504A1" w:rsidP="005D2627">
            <w:pPr>
              <w:numPr>
                <w:ilvl w:val="0"/>
                <w:numId w:val="73"/>
              </w:numPr>
              <w:contextualSpacing/>
            </w:pPr>
            <w:r>
              <w:t>Usually a decrease in bone density greater than the measurement error is not seen before two years; hence, follow up bone densitometry is not recommended at intervals of less than two years in most patients (RACGP 2010a).</w:t>
            </w:r>
          </w:p>
          <w:p w:rsidR="00F86C9F" w:rsidRDefault="008504A1" w:rsidP="005D2627">
            <w:pPr>
              <w:numPr>
                <w:ilvl w:val="0"/>
                <w:numId w:val="73"/>
              </w:numPr>
              <w:contextualSpacing/>
            </w:pPr>
            <w:r>
              <w:t>In patients with confirmed OP, repeat BMD is generally not required; however, it may be conducted before initiating a change in, or cessation of, anti-osteoporotic therapy (RACGP 2010a).</w:t>
            </w:r>
            <w:r w:rsidR="00F86C9F" w:rsidRPr="005503EE">
              <w:t xml:space="preserve">They are eligible for repeat testing as required under MBS item 12306. </w:t>
            </w:r>
          </w:p>
          <w:p w:rsidR="00224467" w:rsidRPr="005503EE" w:rsidRDefault="00224467" w:rsidP="00224467">
            <w:pPr>
              <w:contextualSpacing/>
            </w:pPr>
          </w:p>
          <w:p w:rsidR="00F86C9F" w:rsidRPr="00F70D28" w:rsidRDefault="00F86C9F" w:rsidP="005D2627">
            <w:pPr>
              <w:tabs>
                <w:tab w:val="left" w:pos="2835"/>
              </w:tabs>
              <w:spacing w:before="40"/>
            </w:pPr>
            <w:r w:rsidRPr="00FA270C">
              <w:lastRenderedPageBreak/>
              <w:t xml:space="preserve">PASC considers that the </w:t>
            </w:r>
            <w:r w:rsidRPr="005D2627">
              <w:rPr>
                <w:b/>
              </w:rPr>
              <w:t>timing and frequency of re-testing</w:t>
            </w:r>
            <w:r w:rsidRPr="00FA270C">
              <w:t xml:space="preserve"> should be informed by evidence </w:t>
            </w:r>
            <w:r w:rsidRPr="00565BF5">
              <w:t xml:space="preserve">of </w:t>
            </w:r>
            <w:r w:rsidR="00FB1284">
              <w:t xml:space="preserve"> the</w:t>
            </w:r>
            <w:r w:rsidRPr="00565BF5">
              <w:t xml:space="preserve"> risk of minimal trauma fracture over time</w:t>
            </w:r>
            <w:r w:rsidRPr="009C0C54">
              <w:t xml:space="preserve">. </w:t>
            </w:r>
            <w:r w:rsidRPr="00F70D28">
              <w:t>PAS</w:t>
            </w:r>
            <w:r w:rsidRPr="00FA270C">
              <w:t>C agreed that the submission of evidence needs to include information on the rate of bone loss</w:t>
            </w:r>
            <w:r w:rsidR="00A711EF">
              <w:t xml:space="preserve"> </w:t>
            </w:r>
            <w:r w:rsidRPr="00FA270C">
              <w:t xml:space="preserve">in individuals who do not reach the nominated BMD threshold T-score to trigger anti-resorptive treatment to determine the appropriate frequency of BMD retesting in patients who do not reach this threshold. The frequency of re-testing should also be advised by the evidence of bone mineral density loss associated with </w:t>
            </w:r>
            <w:r w:rsidRPr="00565BF5">
              <w:t>specific risk factors for osteoporosis.</w:t>
            </w:r>
          </w:p>
          <w:p w:rsidR="00F86C9F" w:rsidRPr="00565BF5" w:rsidRDefault="00F86C9F" w:rsidP="005D2627">
            <w:pPr>
              <w:tabs>
                <w:tab w:val="left" w:pos="2835"/>
              </w:tabs>
              <w:spacing w:before="40"/>
            </w:pPr>
            <w:r w:rsidRPr="00565BF5">
              <w:t>PASC noted one option might be retesting every 5 years, but are also aware that the Royal Australasian College of GP guidelines do not recommend retesting in 5-10 yrs.</w:t>
            </w:r>
          </w:p>
          <w:p w:rsidR="00F86C9F" w:rsidRPr="00565BF5" w:rsidRDefault="00F86C9F" w:rsidP="005D2627">
            <w:pPr>
              <w:tabs>
                <w:tab w:val="left" w:pos="2835"/>
              </w:tabs>
              <w:spacing w:before="40"/>
            </w:pPr>
            <w:r w:rsidRPr="00565BF5">
              <w:t>For sensitivity analyses the following options should be evaluated regarding re-testing of the proposed population:</w:t>
            </w:r>
          </w:p>
          <w:p w:rsidR="00F86C9F" w:rsidRPr="00565BF5" w:rsidRDefault="00F86C9F" w:rsidP="005D2627">
            <w:pPr>
              <w:pStyle w:val="ListParagraph"/>
              <w:numPr>
                <w:ilvl w:val="0"/>
                <w:numId w:val="51"/>
              </w:numPr>
              <w:tabs>
                <w:tab w:val="left" w:pos="2835"/>
              </w:tabs>
              <w:spacing w:before="40"/>
            </w:pPr>
            <w:r w:rsidRPr="00565BF5">
              <w:t>T-score ≥-1.0: no repeat test; every 5 years; every 10 years</w:t>
            </w:r>
          </w:p>
          <w:p w:rsidR="00F86C9F" w:rsidRPr="00565BF5" w:rsidRDefault="005728FA" w:rsidP="007C3FDA">
            <w:pPr>
              <w:pStyle w:val="ListParagraph"/>
              <w:numPr>
                <w:ilvl w:val="0"/>
                <w:numId w:val="51"/>
              </w:numPr>
              <w:tabs>
                <w:tab w:val="left" w:pos="2835"/>
              </w:tabs>
              <w:spacing w:before="40"/>
            </w:pPr>
            <w:r>
              <w:t>-1.0</w:t>
            </w:r>
            <w:r w:rsidR="00224467">
              <w:t xml:space="preserve"> </w:t>
            </w:r>
            <w:r>
              <w:t>&gt; T-score &gt;</w:t>
            </w:r>
            <w:r w:rsidR="007C3FDA" w:rsidRPr="007C3FDA">
              <w:t>-2.5</w:t>
            </w:r>
            <w:r w:rsidR="00F86C9F" w:rsidRPr="00565BF5">
              <w:t>: repeat test every 24 months</w:t>
            </w:r>
          </w:p>
          <w:p w:rsidR="00F86C9F" w:rsidRPr="00565BF5" w:rsidRDefault="00F86C9F" w:rsidP="005D2627">
            <w:pPr>
              <w:pStyle w:val="ListParagraph"/>
              <w:numPr>
                <w:ilvl w:val="0"/>
                <w:numId w:val="51"/>
              </w:numPr>
              <w:tabs>
                <w:tab w:val="left" w:pos="2835"/>
              </w:tabs>
              <w:spacing w:before="40"/>
            </w:pPr>
            <w:r w:rsidRPr="00565BF5">
              <w:t>T-score ≤</w:t>
            </w:r>
            <w:r w:rsidR="00E968BB">
              <w:t>-</w:t>
            </w:r>
            <w:r w:rsidRPr="00565BF5">
              <w:t>2.5: repeat test every 12-24 months (MBS item 12306)</w:t>
            </w:r>
          </w:p>
          <w:p w:rsidR="00F86C9F" w:rsidRPr="00565BF5" w:rsidRDefault="00F86C9F" w:rsidP="005D2627">
            <w:pPr>
              <w:pStyle w:val="ListParagraph"/>
              <w:numPr>
                <w:ilvl w:val="0"/>
                <w:numId w:val="51"/>
              </w:numPr>
              <w:tabs>
                <w:tab w:val="left" w:pos="2835"/>
              </w:tabs>
              <w:spacing w:before="40"/>
            </w:pPr>
            <w:r w:rsidRPr="00565BF5">
              <w:t>Re-testing using thresholds as advised by the evidence dependent on the specific risk factor(s) for osteoporosis.</w:t>
            </w:r>
          </w:p>
          <w:p w:rsidR="00F86C9F" w:rsidRPr="00FA270C" w:rsidRDefault="00F86C9F" w:rsidP="005D2627">
            <w:pPr>
              <w:tabs>
                <w:tab w:val="left" w:pos="2835"/>
              </w:tabs>
              <w:spacing w:before="40"/>
            </w:pPr>
            <w:r w:rsidRPr="00FA270C">
              <w:t xml:space="preserve">PASC indicated that BMD test results should </w:t>
            </w:r>
            <w:r w:rsidRPr="005D2627">
              <w:rPr>
                <w:b/>
              </w:rPr>
              <w:t>not be used to monitor</w:t>
            </w:r>
            <w:r w:rsidRPr="00FA270C">
              <w:t xml:space="preserve"> treatment response in patients reaching the threshold for therapy. </w:t>
            </w:r>
          </w:p>
          <w:p w:rsidR="00F86C9F" w:rsidRPr="005D2627" w:rsidRDefault="00F86C9F" w:rsidP="00747073">
            <w:pPr>
              <w:rPr>
                <w:u w:val="single"/>
              </w:rPr>
            </w:pPr>
            <w:r w:rsidRPr="005D2627">
              <w:rPr>
                <w:u w:val="single"/>
              </w:rPr>
              <w:t>Co-dependency</w:t>
            </w:r>
          </w:p>
          <w:p w:rsidR="00F86C9F" w:rsidRPr="00FA270C" w:rsidRDefault="00F86C9F" w:rsidP="005D2627">
            <w:pPr>
              <w:tabs>
                <w:tab w:val="left" w:pos="2835"/>
              </w:tabs>
              <w:spacing w:before="40"/>
            </w:pPr>
            <w:r w:rsidRPr="00FA270C">
              <w:t xml:space="preserve">This DAP has a </w:t>
            </w:r>
            <w:r w:rsidRPr="005D2627">
              <w:rPr>
                <w:b/>
              </w:rPr>
              <w:t>co-dependency</w:t>
            </w:r>
            <w:r w:rsidRPr="00FA270C">
              <w:t xml:space="preserve"> with pharmaceutical agent(s) involving prescription medicines not currently PBS subsidised for the patient population in question. However, at this stage there is no concurrent co-dependent application. </w:t>
            </w:r>
          </w:p>
          <w:p w:rsidR="00F86C9F" w:rsidRPr="00FA270C" w:rsidRDefault="00F86C9F" w:rsidP="005D2627">
            <w:pPr>
              <w:tabs>
                <w:tab w:val="left" w:pos="2835"/>
              </w:tabs>
              <w:spacing w:before="40"/>
            </w:pPr>
            <w:r w:rsidRPr="00FA270C">
              <w:t xml:space="preserve">As the use of prescription medicines is essential to the overall cost-effectiveness of this proposal, the necessary co-dependencies will need to be addressed for PBS listing as well as MBS listing purposes. </w:t>
            </w:r>
          </w:p>
          <w:p w:rsidR="00F86C9F" w:rsidRPr="00FA270C" w:rsidRDefault="00F86C9F" w:rsidP="005D2627">
            <w:pPr>
              <w:tabs>
                <w:tab w:val="left" w:pos="2835"/>
              </w:tabs>
              <w:spacing w:before="40"/>
            </w:pPr>
            <w:r w:rsidRPr="00FA270C">
              <w:t xml:space="preserve">Note that the final eligibility criteria including threshold T-score of the proposed population to any co-dependent anti-resorptive drug would be </w:t>
            </w:r>
            <w:r w:rsidR="00FB1284">
              <w:t>defined</w:t>
            </w:r>
            <w:r w:rsidRPr="00FA270C">
              <w:t xml:space="preserve"> by the Pharmaceutical Benefits Advisory Committee (PASC).</w:t>
            </w:r>
          </w:p>
          <w:p w:rsidR="00F86C9F" w:rsidRPr="00FA270C" w:rsidRDefault="00F86C9F" w:rsidP="005D2627">
            <w:pPr>
              <w:tabs>
                <w:tab w:val="left" w:pos="2835"/>
              </w:tabs>
              <w:spacing w:before="40"/>
            </w:pPr>
            <w:r w:rsidRPr="00FA270C">
              <w:t xml:space="preserve">PASC agreed that the assessment of evidence will need to report the effectiveness of the co-dependent medicines in the proportion of the target population for BMD testing who achieve a threshold result to trigger the initiation of prescribed medication. </w:t>
            </w:r>
          </w:p>
        </w:tc>
      </w:tr>
    </w:tbl>
    <w:p w:rsidR="00F86C9F" w:rsidRPr="00FA270C" w:rsidRDefault="00F86C9F" w:rsidP="00B66C0D">
      <w:pPr>
        <w:rPr>
          <w:rFonts w:ascii="Arial Narrow" w:hAnsi="Arial Narrow"/>
          <w:lang w:eastAsia="ja-JP"/>
        </w:rPr>
      </w:pPr>
    </w:p>
    <w:p w:rsidR="00F86C9F" w:rsidRPr="00FA270C" w:rsidRDefault="00F86C9F">
      <w:pPr>
        <w:pStyle w:val="Heading1"/>
        <w:rPr>
          <w:lang w:val="en-AU"/>
        </w:rPr>
      </w:pPr>
      <w:bookmarkStart w:id="24" w:name="_Toc361145563"/>
      <w:bookmarkStart w:id="25" w:name="_Toc362968592"/>
      <w:bookmarkEnd w:id="23"/>
      <w:r w:rsidRPr="00FA270C">
        <w:rPr>
          <w:lang w:val="en-AU"/>
        </w:rPr>
        <w:lastRenderedPageBreak/>
        <w:t>Background</w:t>
      </w:r>
      <w:bookmarkEnd w:id="24"/>
      <w:bookmarkEnd w:id="25"/>
    </w:p>
    <w:p w:rsidR="00F86C9F" w:rsidRPr="00FA270C" w:rsidRDefault="00F86C9F">
      <w:pPr>
        <w:pStyle w:val="Heading2"/>
        <w:rPr>
          <w:lang w:val="en-AU"/>
        </w:rPr>
      </w:pPr>
      <w:bookmarkStart w:id="26" w:name="_Toc361145564"/>
      <w:bookmarkStart w:id="27" w:name="_Toc362968593"/>
      <w:r w:rsidRPr="00FA270C">
        <w:rPr>
          <w:lang w:val="en-AU"/>
        </w:rPr>
        <w:t>Current arrangements for public reimbursement</w:t>
      </w:r>
      <w:bookmarkEnd w:id="26"/>
      <w:bookmarkEnd w:id="27"/>
    </w:p>
    <w:p w:rsidR="00F86C9F" w:rsidRPr="00FA270C" w:rsidRDefault="00F86C9F">
      <w:r w:rsidRPr="00A70AF6">
        <w:t>Several different MBS items provide bone density scanning services on a variety of indications with repeat scans dependent on the indication</w:t>
      </w:r>
      <w:r>
        <w:t xml:space="preserve">. </w:t>
      </w:r>
      <w:r w:rsidRPr="00FA270C">
        <w:t>DXA scanning is not currently funded for the proposed patient population of women and men over the age of 50 and below the age of 70 unless they suffer from certain pre-defined conditions. Unconditional access to DXA scanning under the schedule is currently available to persons aged 70 years and over (MBS item number 12323). A variety of other patient populations are covered for DXA or QCT under the MBS (</w:t>
      </w:r>
      <w:r w:rsidRPr="00FA270C">
        <w:fldChar w:fldCharType="begin"/>
      </w:r>
      <w:r w:rsidRPr="00FA270C">
        <w:instrText xml:space="preserve"> REF _Ref358198138 \h </w:instrText>
      </w:r>
      <w:r w:rsidRPr="00FA270C">
        <w:fldChar w:fldCharType="separate"/>
      </w:r>
      <w:r w:rsidR="00255656" w:rsidRPr="00FA270C">
        <w:t xml:space="preserve">Table </w:t>
      </w:r>
      <w:r w:rsidR="00255656">
        <w:rPr>
          <w:noProof/>
        </w:rPr>
        <w:t>3</w:t>
      </w:r>
      <w:r w:rsidRPr="00FA270C">
        <w:fldChar w:fldCharType="end"/>
      </w:r>
      <w:r w:rsidRPr="00FA270C">
        <w:t>), including:</w:t>
      </w:r>
    </w:p>
    <w:p w:rsidR="00F86C9F" w:rsidRPr="00FA270C" w:rsidRDefault="00F86C9F" w:rsidP="00DA7624">
      <w:pPr>
        <w:numPr>
          <w:ilvl w:val="0"/>
          <w:numId w:val="13"/>
        </w:numPr>
        <w:spacing w:after="0"/>
        <w:ind w:left="714" w:hanging="357"/>
      </w:pPr>
      <w:r w:rsidRPr="00FA270C">
        <w:t>Presumed low BMD following 1 or more fractures occurring after minimal trauma;</w:t>
      </w:r>
    </w:p>
    <w:p w:rsidR="00F86C9F" w:rsidRPr="00FA270C" w:rsidRDefault="00F86C9F" w:rsidP="00DA7624">
      <w:pPr>
        <w:numPr>
          <w:ilvl w:val="0"/>
          <w:numId w:val="13"/>
        </w:numPr>
        <w:spacing w:after="0"/>
        <w:ind w:left="714" w:hanging="357"/>
      </w:pPr>
      <w:r w:rsidRPr="00FA270C">
        <w:t>Who have undergone prolonged glucocorticoid therapy and conditions associated with excess glucocorticoid secretion;</w:t>
      </w:r>
    </w:p>
    <w:p w:rsidR="00F86C9F" w:rsidRPr="00FA270C" w:rsidRDefault="00F86C9F" w:rsidP="00DA7624">
      <w:pPr>
        <w:numPr>
          <w:ilvl w:val="0"/>
          <w:numId w:val="13"/>
        </w:numPr>
        <w:spacing w:after="0"/>
        <w:ind w:left="714" w:hanging="357"/>
      </w:pPr>
      <w:r w:rsidRPr="00FA270C">
        <w:t>Male (all) and Female (lasting &gt; 6 months before the age of 45) hypogonadism</w:t>
      </w:r>
      <w:r w:rsidRPr="00FA270C">
        <w:rPr>
          <w:rStyle w:val="FootnoteReference"/>
        </w:rPr>
        <w:footnoteReference w:id="1"/>
      </w:r>
    </w:p>
    <w:p w:rsidR="00F86C9F" w:rsidRPr="00FA270C" w:rsidRDefault="00F86C9F" w:rsidP="00DA7624">
      <w:pPr>
        <w:numPr>
          <w:ilvl w:val="0"/>
          <w:numId w:val="13"/>
        </w:numPr>
        <w:spacing w:after="0"/>
        <w:ind w:left="714" w:hanging="357"/>
      </w:pPr>
      <w:r w:rsidRPr="00FA270C">
        <w:t>Primary hyperparathyroidism</w:t>
      </w:r>
    </w:p>
    <w:p w:rsidR="00F86C9F" w:rsidRPr="00FA270C" w:rsidRDefault="00F86C9F" w:rsidP="00DA7624">
      <w:pPr>
        <w:numPr>
          <w:ilvl w:val="0"/>
          <w:numId w:val="13"/>
        </w:numPr>
        <w:spacing w:after="0"/>
        <w:ind w:left="714" w:hanging="357"/>
      </w:pPr>
      <w:r w:rsidRPr="00FA270C">
        <w:t>Chronic liver and/or renal disease</w:t>
      </w:r>
    </w:p>
    <w:p w:rsidR="00F86C9F" w:rsidRPr="00FA270C" w:rsidRDefault="00F86C9F" w:rsidP="00DA7624">
      <w:pPr>
        <w:numPr>
          <w:ilvl w:val="0"/>
          <w:numId w:val="13"/>
        </w:numPr>
        <w:spacing w:after="0"/>
        <w:ind w:left="714" w:hanging="357"/>
      </w:pPr>
      <w:r w:rsidRPr="00FA270C">
        <w:t>Proven malabsorptive disorders;</w:t>
      </w:r>
    </w:p>
    <w:p w:rsidR="00F86C9F" w:rsidRPr="00FA270C" w:rsidRDefault="00F86C9F" w:rsidP="00DA7624">
      <w:pPr>
        <w:numPr>
          <w:ilvl w:val="0"/>
          <w:numId w:val="13"/>
        </w:numPr>
        <w:spacing w:after="0"/>
        <w:ind w:left="714" w:hanging="357"/>
      </w:pPr>
      <w:r w:rsidRPr="00FA270C">
        <w:t>Rheumatoid arthritis; or</w:t>
      </w:r>
    </w:p>
    <w:p w:rsidR="00F86C9F" w:rsidRPr="00FA270C" w:rsidRDefault="00F86C9F" w:rsidP="00DA7624">
      <w:pPr>
        <w:numPr>
          <w:ilvl w:val="0"/>
          <w:numId w:val="13"/>
        </w:numPr>
        <w:spacing w:after="0"/>
        <w:ind w:left="714" w:hanging="357"/>
      </w:pPr>
      <w:r w:rsidRPr="00FA270C">
        <w:t>Conditions associated with thyroxine excess</w:t>
      </w:r>
    </w:p>
    <w:p w:rsidR="00F86C9F" w:rsidRPr="00FA270C" w:rsidRDefault="00F86C9F"/>
    <w:p w:rsidR="00F86C9F" w:rsidRPr="00FA270C" w:rsidRDefault="00F86C9F">
      <w:r w:rsidRPr="00FA270C">
        <w:t xml:space="preserve">Relevant explanatory notes are in the </w:t>
      </w:r>
      <w:r>
        <w:fldChar w:fldCharType="begin"/>
      </w:r>
      <w:r>
        <w:instrText xml:space="preserve"> REF _Ref358199752 \h </w:instrText>
      </w:r>
      <w:r>
        <w:fldChar w:fldCharType="separate"/>
      </w:r>
      <w:r w:rsidR="00255656" w:rsidRPr="00FA270C">
        <w:t xml:space="preserve">Appendix 5 </w:t>
      </w:r>
      <w:r w:rsidR="00255656" w:rsidRPr="00FA270C">
        <w:tab/>
        <w:t>Medicare Benefits Schedule - Note D1.27</w:t>
      </w:r>
      <w:r>
        <w:fldChar w:fldCharType="end"/>
      </w:r>
      <w:r w:rsidRPr="00FA270C">
        <w:t xml:space="preserve">. </w:t>
      </w:r>
      <w:bookmarkStart w:id="28" w:name="_Ref283049171"/>
    </w:p>
    <w:p w:rsidR="00F86C9F" w:rsidRPr="00956396" w:rsidRDefault="00F86C9F" w:rsidP="00956396">
      <w:r w:rsidRPr="00FA270C">
        <w:t>Several different MBS items cover a variety of indications for repeat scans every 12 or 24 months depending on the indication (See Table 3). According to current Australian guidelines, for patients with low risk factors and T-scores above osteopenic values (</w:t>
      </w:r>
      <w:r w:rsidR="005728FA">
        <w:t>≥</w:t>
      </w:r>
      <w:r w:rsidRPr="00FA270C">
        <w:t xml:space="preserve">-1.0 SD), </w:t>
      </w:r>
      <w:r>
        <w:t xml:space="preserve">repeat </w:t>
      </w:r>
      <w:r w:rsidRPr="00FA270C">
        <w:t>scans</w:t>
      </w:r>
      <w:r>
        <w:t xml:space="preserve"> are not required</w:t>
      </w:r>
      <w:r w:rsidRPr="00FA270C">
        <w:t xml:space="preserve">, unless substantial changes in circumstance (minimal trauma fracture or increased risk conditions). People diagnosed with osteoporosis (≤-2.5) would be eligible for repeat testing as required under MBS item 12306; however, patients with confirmed </w:t>
      </w:r>
      <w:r>
        <w:t>osteoporosis</w:t>
      </w:r>
      <w:r w:rsidRPr="00FA270C">
        <w:t xml:space="preserve"> and receiving anti-osteoporotic treatment, repeat DXA scans are not generally required unless there is a change in, or cessation of, anti-osteoporotic therapy (</w:t>
      </w:r>
      <w:r w:rsidR="00B835A2">
        <w:t>RACGP</w:t>
      </w:r>
      <w:r w:rsidRPr="00FA270C">
        <w:t xml:space="preserve"> 2010</w:t>
      </w:r>
      <w:r w:rsidR="00B835A2">
        <w:t>b</w:t>
      </w:r>
      <w:r w:rsidRPr="00FA270C">
        <w:t>).</w:t>
      </w:r>
      <w:r w:rsidRPr="00956396">
        <w:rPr>
          <w:b/>
        </w:rPr>
        <w:br w:type="page"/>
      </w:r>
    </w:p>
    <w:p w:rsidR="00F86C9F" w:rsidRDefault="00F86C9F" w:rsidP="00211BB5">
      <w:pPr>
        <w:pStyle w:val="Caption"/>
        <w:rPr>
          <w:b w:val="0"/>
          <w:lang w:val="en-AU" w:eastAsia="en-US"/>
        </w:rPr>
      </w:pPr>
      <w:bookmarkStart w:id="29" w:name="_Ref358198138"/>
      <w:bookmarkStart w:id="30" w:name="_Ref320880443"/>
      <w:bookmarkEnd w:id="28"/>
      <w:r w:rsidRPr="00FA270C">
        <w:rPr>
          <w:lang w:val="en-AU"/>
        </w:rPr>
        <w:lastRenderedPageBreak/>
        <w:t xml:space="preserve">Table </w:t>
      </w:r>
      <w:r w:rsidRPr="00FA270C">
        <w:rPr>
          <w:lang w:val="en-AU"/>
        </w:rPr>
        <w:fldChar w:fldCharType="begin"/>
      </w:r>
      <w:r w:rsidRPr="00FA270C">
        <w:rPr>
          <w:lang w:val="en-AU"/>
        </w:rPr>
        <w:instrText xml:space="preserve"> SEQ Table \* ARABIC </w:instrText>
      </w:r>
      <w:r w:rsidRPr="00FA270C">
        <w:rPr>
          <w:lang w:val="en-AU"/>
        </w:rPr>
        <w:fldChar w:fldCharType="separate"/>
      </w:r>
      <w:r w:rsidR="00255656">
        <w:rPr>
          <w:noProof/>
          <w:lang w:val="en-AU"/>
        </w:rPr>
        <w:t>3</w:t>
      </w:r>
      <w:r w:rsidRPr="00FA270C">
        <w:rPr>
          <w:lang w:val="en-AU"/>
        </w:rPr>
        <w:fldChar w:fldCharType="end"/>
      </w:r>
      <w:bookmarkEnd w:id="29"/>
      <w:r w:rsidRPr="00FA270C">
        <w:rPr>
          <w:b w:val="0"/>
          <w:lang w:val="en-AU" w:eastAsia="en-US"/>
        </w:rPr>
        <w:tab/>
        <w:t>Current MBS item descriptors for dual-energy X-ray absorptiometry and quantitative computed tomography</w:t>
      </w:r>
    </w:p>
    <w:p w:rsidR="005B2438" w:rsidRPr="005B2438" w:rsidRDefault="005B2438" w:rsidP="00A711EF">
      <w:pPr>
        <w:rPr>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9134"/>
      </w:tblGrid>
      <w:tr w:rsidR="00F86C9F" w:rsidRPr="00FA270C" w:rsidTr="00B66C0D">
        <w:tc>
          <w:tcPr>
            <w:tcW w:w="9134" w:type="dxa"/>
            <w:tcBorders>
              <w:top w:val="single" w:sz="4" w:space="0" w:color="000000"/>
            </w:tcBorders>
          </w:tcPr>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Category 2 – DIAGNOSTIC PROCEDURES AND INVESTIGATIONS, Bone Densitometry </w:t>
            </w:r>
          </w:p>
        </w:tc>
      </w:tr>
      <w:tr w:rsidR="00F86C9F" w:rsidRPr="00FA270C" w:rsidTr="00B66C0D">
        <w:tc>
          <w:tcPr>
            <w:tcW w:w="9134" w:type="dxa"/>
            <w:tcBorders>
              <w:bottom w:val="single" w:sz="4" w:space="0" w:color="000000"/>
            </w:tcBorders>
          </w:tcPr>
          <w:p w:rsidR="00F86C9F" w:rsidRPr="00FA270C" w:rsidRDefault="00F86C9F" w:rsidP="00B66C0D">
            <w:pPr>
              <w:spacing w:after="0"/>
              <w:jc w:val="left"/>
              <w:rPr>
                <w:rFonts w:ascii="Arial Narrow" w:hAnsi="Arial Narrow"/>
                <w:b/>
                <w:lang w:eastAsia="en-US"/>
              </w:rPr>
            </w:pPr>
            <w:r w:rsidRPr="00FA270C">
              <w:rPr>
                <w:rFonts w:ascii="Arial Narrow" w:hAnsi="Arial Narrow"/>
                <w:b/>
                <w:lang w:eastAsia="en-US"/>
              </w:rPr>
              <w:t>MBS 12306</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Bone densitometry (performed by a specialist or consultant physician where the patient is referred by another medical practitioner), </w:t>
            </w:r>
            <w:r w:rsidRPr="00FA270C">
              <w:rPr>
                <w:rFonts w:ascii="Arial Narrow" w:hAnsi="Arial Narrow"/>
                <w:b/>
                <w:lang w:eastAsia="en-US"/>
              </w:rPr>
              <w:t>using dual energy X-ray absorptiometry</w:t>
            </w:r>
            <w:r w:rsidRPr="00FA270C">
              <w:rPr>
                <w:rFonts w:ascii="Arial Narrow" w:hAnsi="Arial Narrow"/>
                <w:lang w:eastAsia="en-US"/>
              </w:rPr>
              <w:t>, for:</w:t>
            </w:r>
          </w:p>
          <w:p w:rsidR="00F86C9F" w:rsidRPr="00FA270C" w:rsidRDefault="00F86C9F" w:rsidP="00DA7624">
            <w:pPr>
              <w:numPr>
                <w:ilvl w:val="0"/>
                <w:numId w:val="6"/>
              </w:numPr>
              <w:spacing w:after="0"/>
              <w:jc w:val="left"/>
              <w:rPr>
                <w:rFonts w:ascii="Arial Narrow" w:hAnsi="Arial Narrow"/>
                <w:lang w:eastAsia="en-US"/>
              </w:rPr>
            </w:pPr>
            <w:r w:rsidRPr="00FA270C">
              <w:rPr>
                <w:rFonts w:ascii="Arial Narrow" w:hAnsi="Arial Narrow"/>
                <w:lang w:eastAsia="en-US"/>
              </w:rPr>
              <w:t>The confirmation of a presumptive diagnosis of low bone mineral density made on the basis of 1 or more fractures occurring after minimal trauma; or</w:t>
            </w:r>
          </w:p>
          <w:p w:rsidR="00F86C9F" w:rsidRPr="00FA270C" w:rsidRDefault="00F86C9F" w:rsidP="00DA7624">
            <w:pPr>
              <w:numPr>
                <w:ilvl w:val="0"/>
                <w:numId w:val="6"/>
              </w:numPr>
              <w:spacing w:after="0"/>
              <w:jc w:val="left"/>
              <w:rPr>
                <w:rFonts w:ascii="Arial Narrow" w:hAnsi="Arial Narrow"/>
                <w:lang w:eastAsia="en-US"/>
              </w:rPr>
            </w:pPr>
            <w:r w:rsidRPr="00FA270C">
              <w:rPr>
                <w:rFonts w:ascii="Arial Narrow" w:hAnsi="Arial Narrow"/>
                <w:lang w:eastAsia="en-US"/>
              </w:rPr>
              <w:t>For the monitoring of low bone mineral density proven by bone densitometry at least 12 months previously.</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Measurement of 2 or more sites – </w:t>
            </w:r>
            <w:r w:rsidRPr="00FA270C">
              <w:rPr>
                <w:rFonts w:ascii="Arial Narrow" w:hAnsi="Arial Narrow"/>
                <w:b/>
                <w:lang w:eastAsia="en-US"/>
              </w:rPr>
              <w:t>1 service only in a period of 24 months</w:t>
            </w:r>
            <w:r w:rsidRPr="00FA270C">
              <w:rPr>
                <w:rFonts w:ascii="Arial Narrow" w:hAnsi="Arial Narrow"/>
                <w:lang w:eastAsia="en-US"/>
              </w:rPr>
              <w:t xml:space="preserve"> – including interpretation and report; not being a service associated with a service to which item 12309, 12312, 12315, 12318 or 12321 applies (Ministerial Determination).</w:t>
            </w:r>
          </w:p>
          <w:p w:rsidR="00F86C9F" w:rsidRDefault="00CF0167" w:rsidP="00B66C0D">
            <w:pPr>
              <w:spacing w:after="0"/>
              <w:jc w:val="left"/>
              <w:rPr>
                <w:rFonts w:ascii="Arial Narrow" w:hAnsi="Arial Narrow"/>
                <w:b/>
                <w:lang w:eastAsia="en-US"/>
              </w:rPr>
            </w:pPr>
            <w:r>
              <w:rPr>
                <w:rFonts w:ascii="Arial Narrow" w:hAnsi="Arial Narrow"/>
                <w:b/>
                <w:lang w:eastAsia="en-US"/>
              </w:rPr>
              <w:t>Fee: $102</w:t>
            </w:r>
            <w:r w:rsidR="00F86C9F" w:rsidRPr="00FA270C">
              <w:rPr>
                <w:rFonts w:ascii="Arial Narrow" w:hAnsi="Arial Narrow"/>
                <w:b/>
                <w:lang w:eastAsia="en-US"/>
              </w:rPr>
              <w:t>.</w:t>
            </w:r>
            <w:r>
              <w:rPr>
                <w:rFonts w:ascii="Arial Narrow" w:hAnsi="Arial Narrow"/>
                <w:b/>
                <w:lang w:eastAsia="en-US"/>
              </w:rPr>
              <w:t>4</w:t>
            </w:r>
            <w:r w:rsidR="00F86C9F" w:rsidRPr="00FA270C">
              <w:rPr>
                <w:rFonts w:ascii="Arial Narrow" w:hAnsi="Arial Narrow"/>
                <w:b/>
                <w:lang w:eastAsia="en-US"/>
              </w:rPr>
              <w:t>0 Benefit: 75% = $7</w:t>
            </w:r>
            <w:r>
              <w:rPr>
                <w:rFonts w:ascii="Arial Narrow" w:hAnsi="Arial Narrow"/>
                <w:b/>
                <w:lang w:eastAsia="en-US"/>
              </w:rPr>
              <w:t>6</w:t>
            </w:r>
            <w:r w:rsidR="00F86C9F" w:rsidRPr="00FA270C">
              <w:rPr>
                <w:rFonts w:ascii="Arial Narrow" w:hAnsi="Arial Narrow"/>
                <w:b/>
                <w:lang w:eastAsia="en-US"/>
              </w:rPr>
              <w:t>.</w:t>
            </w:r>
            <w:r>
              <w:rPr>
                <w:rFonts w:ascii="Arial Narrow" w:hAnsi="Arial Narrow"/>
                <w:b/>
                <w:lang w:eastAsia="en-US"/>
              </w:rPr>
              <w:t>8</w:t>
            </w:r>
            <w:r w:rsidR="00F86C9F" w:rsidRPr="00FA270C">
              <w:rPr>
                <w:rFonts w:ascii="Arial Narrow" w:hAnsi="Arial Narrow"/>
                <w:b/>
                <w:lang w:eastAsia="en-US"/>
              </w:rPr>
              <w:t>0 85% = $8</w:t>
            </w:r>
            <w:r>
              <w:rPr>
                <w:rFonts w:ascii="Arial Narrow" w:hAnsi="Arial Narrow"/>
                <w:b/>
                <w:lang w:eastAsia="en-US"/>
              </w:rPr>
              <w:t>7</w:t>
            </w:r>
            <w:r w:rsidR="00F86C9F" w:rsidRPr="00FA270C">
              <w:rPr>
                <w:rFonts w:ascii="Arial Narrow" w:hAnsi="Arial Narrow"/>
                <w:b/>
                <w:lang w:eastAsia="en-US"/>
              </w:rPr>
              <w:t>.</w:t>
            </w:r>
            <w:r>
              <w:rPr>
                <w:rFonts w:ascii="Arial Narrow" w:hAnsi="Arial Narrow"/>
                <w:b/>
                <w:lang w:eastAsia="en-US"/>
              </w:rPr>
              <w:t>0</w:t>
            </w:r>
            <w:r w:rsidR="00F86C9F" w:rsidRPr="00FA270C">
              <w:rPr>
                <w:rFonts w:ascii="Arial Narrow" w:hAnsi="Arial Narrow"/>
                <w:b/>
                <w:lang w:eastAsia="en-US"/>
              </w:rPr>
              <w:t>5</w:t>
            </w:r>
          </w:p>
          <w:p w:rsidR="00A711EF" w:rsidRDefault="00A711EF" w:rsidP="00B66C0D">
            <w:pPr>
              <w:spacing w:after="0"/>
              <w:jc w:val="left"/>
              <w:rPr>
                <w:rFonts w:ascii="Arial Narrow" w:hAnsi="Arial Narrow"/>
                <w:lang w:eastAsia="en-US"/>
              </w:rPr>
            </w:pPr>
          </w:p>
          <w:p w:rsidR="005B2438" w:rsidRPr="00A711EF" w:rsidRDefault="005B2438" w:rsidP="00B66C0D">
            <w:pPr>
              <w:spacing w:after="0"/>
              <w:jc w:val="left"/>
              <w:rPr>
                <w:rFonts w:ascii="Arial Narrow" w:hAnsi="Arial Narrow"/>
                <w:u w:val="single"/>
                <w:lang w:eastAsia="en-US"/>
              </w:rPr>
            </w:pPr>
            <w:r w:rsidRPr="00A711EF">
              <w:rPr>
                <w:rFonts w:ascii="Arial Narrow" w:hAnsi="Arial Narrow"/>
                <w:u w:val="single"/>
                <w:lang w:eastAsia="en-US"/>
              </w:rPr>
              <w:t>Relevant explanatory notes: See Note D1.27</w:t>
            </w:r>
          </w:p>
        </w:tc>
      </w:tr>
      <w:tr w:rsidR="00F86C9F" w:rsidRPr="00FA270C" w:rsidTr="00B66C0D">
        <w:tc>
          <w:tcPr>
            <w:tcW w:w="9134" w:type="dxa"/>
            <w:tcBorders>
              <w:bottom w:val="single" w:sz="4" w:space="0" w:color="000000"/>
            </w:tcBorders>
          </w:tcPr>
          <w:p w:rsidR="00F86C9F" w:rsidRPr="00FA270C" w:rsidRDefault="00F86C9F" w:rsidP="00B66C0D">
            <w:pPr>
              <w:spacing w:after="0"/>
              <w:jc w:val="left"/>
              <w:rPr>
                <w:rFonts w:ascii="Arial Narrow" w:hAnsi="Arial Narrow"/>
                <w:b/>
                <w:lang w:eastAsia="en-US"/>
              </w:rPr>
            </w:pPr>
            <w:r w:rsidRPr="00FA270C">
              <w:rPr>
                <w:rFonts w:ascii="Arial Narrow" w:hAnsi="Arial Narrow"/>
                <w:lang w:eastAsia="en-US"/>
              </w:rPr>
              <w:t xml:space="preserve">Category 2 – DIAGNOSTIC PROCEDURES AND INVESTIGATIONS, Bone Densitometry </w:t>
            </w:r>
          </w:p>
          <w:p w:rsidR="00524DE4" w:rsidRDefault="00F86C9F" w:rsidP="00B66C0D">
            <w:pPr>
              <w:spacing w:after="0"/>
              <w:jc w:val="left"/>
              <w:rPr>
                <w:rFonts w:ascii="Arial Narrow" w:hAnsi="Arial Narrow"/>
                <w:b/>
                <w:lang w:eastAsia="en-US"/>
              </w:rPr>
            </w:pPr>
            <w:r w:rsidRPr="00FA270C">
              <w:rPr>
                <w:rFonts w:ascii="Arial Narrow" w:hAnsi="Arial Narrow"/>
                <w:b/>
                <w:lang w:eastAsia="en-US"/>
              </w:rPr>
              <w:t>MBS 12309</w:t>
            </w:r>
            <w:r w:rsidR="00524DE4">
              <w:rPr>
                <w:rFonts w:ascii="Arial Narrow" w:hAnsi="Arial Narrow"/>
                <w:b/>
                <w:lang w:eastAsia="en-US"/>
              </w:rPr>
              <w:t xml:space="preserve"> </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Bone densitometry (performed by a specialist or consultant physician where the patient is referred by another medical practitioner), using quantitative computerised tomography, for: </w:t>
            </w:r>
          </w:p>
          <w:p w:rsidR="00F86C9F" w:rsidRPr="00FA270C" w:rsidRDefault="00F86C9F" w:rsidP="00DA7624">
            <w:pPr>
              <w:pStyle w:val="ListParagraph"/>
              <w:numPr>
                <w:ilvl w:val="0"/>
                <w:numId w:val="26"/>
              </w:numPr>
              <w:spacing w:after="0"/>
              <w:jc w:val="left"/>
              <w:rPr>
                <w:rFonts w:ascii="Arial Narrow" w:hAnsi="Arial Narrow"/>
                <w:lang w:eastAsia="en-US"/>
              </w:rPr>
            </w:pPr>
            <w:r w:rsidRPr="00FA270C">
              <w:rPr>
                <w:rFonts w:ascii="Arial Narrow" w:hAnsi="Arial Narrow"/>
                <w:lang w:eastAsia="en-US"/>
              </w:rPr>
              <w:t>the confirmation of a presumptive diagnosis of low bone mineral density made on the basis of 1 or more fractures</w:t>
            </w:r>
            <w:r w:rsidR="00524DE4">
              <w:rPr>
                <w:rFonts w:ascii="Arial Narrow" w:hAnsi="Arial Narrow"/>
                <w:lang w:eastAsia="en-US"/>
              </w:rPr>
              <w:t xml:space="preserve"> </w:t>
            </w:r>
            <w:r w:rsidRPr="00FA270C">
              <w:rPr>
                <w:rFonts w:ascii="Arial Narrow" w:hAnsi="Arial Narrow"/>
                <w:lang w:eastAsia="en-US"/>
              </w:rPr>
              <w:t xml:space="preserve">occurring after minimal trauma; or </w:t>
            </w:r>
          </w:p>
          <w:p w:rsidR="00F86C9F" w:rsidRPr="00FA270C" w:rsidRDefault="00F86C9F" w:rsidP="00DA7624">
            <w:pPr>
              <w:pStyle w:val="ListParagraph"/>
              <w:numPr>
                <w:ilvl w:val="0"/>
                <w:numId w:val="26"/>
              </w:numPr>
              <w:spacing w:after="0"/>
              <w:jc w:val="left"/>
              <w:rPr>
                <w:rFonts w:ascii="Arial Narrow" w:hAnsi="Arial Narrow"/>
                <w:lang w:eastAsia="en-US"/>
              </w:rPr>
            </w:pPr>
            <w:r w:rsidRPr="00FA270C">
              <w:rPr>
                <w:rFonts w:ascii="Arial Narrow" w:hAnsi="Arial Narrow"/>
                <w:lang w:eastAsia="en-US"/>
              </w:rPr>
              <w:t xml:space="preserve">for the monitoring of low bone mineral density proven by bone densitometry at least 12 months previously. </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Measurement of 2 or more sites - 1 service only in a period of 24 months - including interpretation and report; not being a service associated with a service to which item 12306, 12312, 12315, 12318 or 12321 applies (Ministerial Determination) </w:t>
            </w:r>
          </w:p>
          <w:p w:rsidR="00F86C9F" w:rsidRDefault="00F86C9F" w:rsidP="00B66C0D">
            <w:pPr>
              <w:spacing w:after="0"/>
              <w:jc w:val="left"/>
              <w:rPr>
                <w:rFonts w:ascii="Arial Narrow" w:hAnsi="Arial Narrow"/>
                <w:b/>
                <w:lang w:eastAsia="en-US"/>
              </w:rPr>
            </w:pPr>
            <w:r w:rsidRPr="00FA270C">
              <w:rPr>
                <w:rFonts w:ascii="Arial Narrow" w:hAnsi="Arial Narrow"/>
                <w:b/>
                <w:lang w:eastAsia="en-US"/>
              </w:rPr>
              <w:t>Fee: $10</w:t>
            </w:r>
            <w:r w:rsidR="00CF0167">
              <w:rPr>
                <w:rFonts w:ascii="Arial Narrow" w:hAnsi="Arial Narrow"/>
                <w:b/>
                <w:lang w:eastAsia="en-US"/>
              </w:rPr>
              <w:t>2</w:t>
            </w:r>
            <w:r w:rsidRPr="00FA270C">
              <w:rPr>
                <w:rFonts w:ascii="Arial Narrow" w:hAnsi="Arial Narrow"/>
                <w:b/>
                <w:lang w:eastAsia="en-US"/>
              </w:rPr>
              <w:t>.</w:t>
            </w:r>
            <w:r w:rsidR="00CF0167">
              <w:rPr>
                <w:rFonts w:ascii="Arial Narrow" w:hAnsi="Arial Narrow"/>
                <w:b/>
                <w:lang w:eastAsia="en-US"/>
              </w:rPr>
              <w:t>4</w:t>
            </w:r>
            <w:r w:rsidRPr="00FA270C">
              <w:rPr>
                <w:rFonts w:ascii="Arial Narrow" w:hAnsi="Arial Narrow"/>
                <w:b/>
                <w:lang w:eastAsia="en-US"/>
              </w:rPr>
              <w:t>0 Benefit: 75% = $7</w:t>
            </w:r>
            <w:r w:rsidR="00CF0167">
              <w:rPr>
                <w:rFonts w:ascii="Arial Narrow" w:hAnsi="Arial Narrow"/>
                <w:b/>
                <w:lang w:eastAsia="en-US"/>
              </w:rPr>
              <w:t>6</w:t>
            </w:r>
            <w:r w:rsidRPr="00FA270C">
              <w:rPr>
                <w:rFonts w:ascii="Arial Narrow" w:hAnsi="Arial Narrow"/>
                <w:b/>
                <w:lang w:eastAsia="en-US"/>
              </w:rPr>
              <w:t>.</w:t>
            </w:r>
            <w:r w:rsidR="00CF0167">
              <w:rPr>
                <w:rFonts w:ascii="Arial Narrow" w:hAnsi="Arial Narrow"/>
                <w:b/>
                <w:lang w:eastAsia="en-US"/>
              </w:rPr>
              <w:t>8</w:t>
            </w:r>
            <w:r w:rsidRPr="00FA270C">
              <w:rPr>
                <w:rFonts w:ascii="Arial Narrow" w:hAnsi="Arial Narrow"/>
                <w:b/>
                <w:lang w:eastAsia="en-US"/>
              </w:rPr>
              <w:t>0 85% = $8</w:t>
            </w:r>
            <w:r w:rsidR="00CF0167">
              <w:rPr>
                <w:rFonts w:ascii="Arial Narrow" w:hAnsi="Arial Narrow"/>
                <w:b/>
                <w:lang w:eastAsia="en-US"/>
              </w:rPr>
              <w:t>7</w:t>
            </w:r>
            <w:r w:rsidRPr="00FA270C">
              <w:rPr>
                <w:rFonts w:ascii="Arial Narrow" w:hAnsi="Arial Narrow"/>
                <w:b/>
                <w:lang w:eastAsia="en-US"/>
              </w:rPr>
              <w:t>.</w:t>
            </w:r>
            <w:r w:rsidR="00CF0167">
              <w:rPr>
                <w:rFonts w:ascii="Arial Narrow" w:hAnsi="Arial Narrow"/>
                <w:b/>
                <w:lang w:eastAsia="en-US"/>
              </w:rPr>
              <w:t>0</w:t>
            </w:r>
            <w:r w:rsidRPr="00FA270C">
              <w:rPr>
                <w:rFonts w:ascii="Arial Narrow" w:hAnsi="Arial Narrow"/>
                <w:b/>
                <w:lang w:eastAsia="en-US"/>
              </w:rPr>
              <w:t xml:space="preserve">5 </w:t>
            </w:r>
          </w:p>
          <w:p w:rsidR="00A711EF" w:rsidRDefault="00A711EF" w:rsidP="00B66C0D">
            <w:pPr>
              <w:spacing w:after="0"/>
              <w:jc w:val="left"/>
              <w:rPr>
                <w:rFonts w:ascii="Arial Narrow" w:hAnsi="Arial Narrow"/>
                <w:lang w:eastAsia="en-US"/>
              </w:rPr>
            </w:pPr>
          </w:p>
          <w:p w:rsidR="005B2438" w:rsidRPr="00A711EF" w:rsidRDefault="005B2438" w:rsidP="00B66C0D">
            <w:pPr>
              <w:spacing w:after="0"/>
              <w:jc w:val="left"/>
              <w:rPr>
                <w:rFonts w:ascii="Arial Narrow" w:hAnsi="Arial Narrow"/>
                <w:u w:val="single"/>
                <w:lang w:eastAsia="en-US"/>
              </w:rPr>
            </w:pPr>
            <w:r w:rsidRPr="00A711EF">
              <w:rPr>
                <w:rFonts w:ascii="Arial Narrow" w:hAnsi="Arial Narrow"/>
                <w:u w:val="single"/>
                <w:lang w:eastAsia="en-US"/>
              </w:rPr>
              <w:t>Relevant explanatory notes: See Note D1.27</w:t>
            </w:r>
          </w:p>
        </w:tc>
      </w:tr>
      <w:tr w:rsidR="00F86C9F" w:rsidRPr="00FA270C" w:rsidTr="00B66C0D">
        <w:tblPrEx>
          <w:tblBorders>
            <w:insideH w:val="single" w:sz="4" w:space="0" w:color="000000"/>
          </w:tblBorders>
        </w:tblPrEx>
        <w:tc>
          <w:tcPr>
            <w:tcW w:w="9134" w:type="dxa"/>
            <w:tcBorders>
              <w:bottom w:val="nil"/>
            </w:tcBorders>
          </w:tcPr>
          <w:p w:rsidR="00F86C9F" w:rsidRPr="00FA270C" w:rsidRDefault="00F86C9F" w:rsidP="009D158F">
            <w:pPr>
              <w:spacing w:after="0"/>
              <w:contextualSpacing/>
              <w:jc w:val="left"/>
              <w:rPr>
                <w:rFonts w:ascii="Arial Narrow" w:hAnsi="Arial Narrow"/>
                <w:lang w:eastAsia="en-US"/>
              </w:rPr>
            </w:pPr>
            <w:r w:rsidRPr="00FA270C">
              <w:rPr>
                <w:rFonts w:ascii="Arial Narrow" w:hAnsi="Arial Narrow"/>
                <w:lang w:eastAsia="en-US"/>
              </w:rPr>
              <w:t>Category 2 – DIAGNOSTIC PROCEDURES AND INVESTIGATIONS, Bone Densitometry</w:t>
            </w:r>
          </w:p>
        </w:tc>
      </w:tr>
      <w:tr w:rsidR="00F86C9F" w:rsidRPr="00FA270C" w:rsidTr="00B66C0D">
        <w:tblPrEx>
          <w:tblBorders>
            <w:insideH w:val="single" w:sz="4" w:space="0" w:color="000000"/>
          </w:tblBorders>
        </w:tblPrEx>
        <w:tc>
          <w:tcPr>
            <w:tcW w:w="9134" w:type="dxa"/>
            <w:tcBorders>
              <w:top w:val="nil"/>
            </w:tcBorders>
          </w:tcPr>
          <w:p w:rsidR="00F86C9F" w:rsidRPr="00FA270C" w:rsidRDefault="00F86C9F" w:rsidP="009D158F">
            <w:pPr>
              <w:spacing w:after="0"/>
              <w:contextualSpacing/>
              <w:jc w:val="left"/>
              <w:rPr>
                <w:rFonts w:ascii="Arial Narrow" w:hAnsi="Arial Narrow"/>
                <w:b/>
                <w:lang w:eastAsia="en-US"/>
              </w:rPr>
            </w:pPr>
            <w:r w:rsidRPr="00FA270C">
              <w:rPr>
                <w:rFonts w:ascii="Arial Narrow" w:hAnsi="Arial Narrow"/>
                <w:b/>
                <w:lang w:eastAsia="en-US"/>
              </w:rPr>
              <w:t>MBS 12312</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Bone densitometry (performed by a specialist or consultant physician where the patient is referred by another medical practitioner), </w:t>
            </w:r>
            <w:r w:rsidRPr="00FA270C">
              <w:rPr>
                <w:rFonts w:ascii="Arial Narrow" w:hAnsi="Arial Narrow"/>
                <w:b/>
                <w:lang w:eastAsia="en-US"/>
              </w:rPr>
              <w:t>using</w:t>
            </w:r>
            <w:r w:rsidRPr="00FA270C">
              <w:rPr>
                <w:rFonts w:ascii="Arial Narrow" w:hAnsi="Arial Narrow"/>
                <w:lang w:eastAsia="en-US"/>
              </w:rPr>
              <w:t xml:space="preserve"> </w:t>
            </w:r>
            <w:r w:rsidRPr="00FA270C">
              <w:rPr>
                <w:rFonts w:ascii="Arial Narrow" w:hAnsi="Arial Narrow"/>
                <w:b/>
                <w:lang w:eastAsia="en-US"/>
              </w:rPr>
              <w:t>dual energy X-ray absorptiometry</w:t>
            </w:r>
            <w:r w:rsidRPr="00FA270C">
              <w:rPr>
                <w:rFonts w:ascii="Arial Narrow" w:hAnsi="Arial Narrow"/>
                <w:lang w:eastAsia="en-US"/>
              </w:rPr>
              <w:t>, for the diagnosis and monitoring of bone loss associated with 1 or more of the following conditions:</w:t>
            </w:r>
          </w:p>
          <w:p w:rsidR="00F86C9F" w:rsidRPr="00FA270C" w:rsidRDefault="00F86C9F" w:rsidP="00DA7624">
            <w:pPr>
              <w:numPr>
                <w:ilvl w:val="0"/>
                <w:numId w:val="7"/>
              </w:numPr>
              <w:spacing w:after="0"/>
              <w:jc w:val="left"/>
              <w:rPr>
                <w:rFonts w:ascii="Arial Narrow" w:hAnsi="Arial Narrow"/>
                <w:lang w:eastAsia="en-US"/>
              </w:rPr>
            </w:pPr>
            <w:r w:rsidRPr="00FA270C">
              <w:rPr>
                <w:rFonts w:ascii="Arial Narrow" w:hAnsi="Arial Narrow"/>
                <w:lang w:eastAsia="en-US"/>
              </w:rPr>
              <w:t>Prolonged glucocorticoid therapy;</w:t>
            </w:r>
          </w:p>
          <w:p w:rsidR="00F86C9F" w:rsidRPr="00FA270C" w:rsidRDefault="00F86C9F" w:rsidP="00DA7624">
            <w:pPr>
              <w:numPr>
                <w:ilvl w:val="0"/>
                <w:numId w:val="7"/>
              </w:numPr>
              <w:spacing w:after="0"/>
              <w:jc w:val="left"/>
              <w:rPr>
                <w:rFonts w:ascii="Arial Narrow" w:hAnsi="Arial Narrow"/>
                <w:lang w:eastAsia="en-US"/>
              </w:rPr>
            </w:pPr>
            <w:r w:rsidRPr="00FA270C">
              <w:rPr>
                <w:rFonts w:ascii="Arial Narrow" w:hAnsi="Arial Narrow"/>
                <w:lang w:eastAsia="en-US"/>
              </w:rPr>
              <w:t>Conditions associated with excess glucocorticoid secretion;</w:t>
            </w:r>
          </w:p>
          <w:p w:rsidR="00F86C9F" w:rsidRPr="00FA270C" w:rsidRDefault="00F86C9F" w:rsidP="00DA7624">
            <w:pPr>
              <w:numPr>
                <w:ilvl w:val="0"/>
                <w:numId w:val="7"/>
              </w:numPr>
              <w:spacing w:after="0"/>
              <w:jc w:val="left"/>
              <w:rPr>
                <w:rFonts w:ascii="Arial Narrow" w:hAnsi="Arial Narrow"/>
                <w:lang w:eastAsia="en-US"/>
              </w:rPr>
            </w:pPr>
            <w:r w:rsidRPr="00FA270C">
              <w:rPr>
                <w:rFonts w:ascii="Arial Narrow" w:hAnsi="Arial Narrow"/>
                <w:lang w:eastAsia="en-US"/>
              </w:rPr>
              <w:t>Male hypogonadism; or</w:t>
            </w:r>
          </w:p>
          <w:p w:rsidR="00F86C9F" w:rsidRPr="00FA270C" w:rsidRDefault="00F86C9F" w:rsidP="00DA7624">
            <w:pPr>
              <w:numPr>
                <w:ilvl w:val="0"/>
                <w:numId w:val="7"/>
              </w:numPr>
              <w:spacing w:after="0"/>
              <w:jc w:val="left"/>
              <w:rPr>
                <w:rFonts w:ascii="Arial Narrow" w:hAnsi="Arial Narrow"/>
                <w:lang w:eastAsia="en-US"/>
              </w:rPr>
            </w:pPr>
            <w:r w:rsidRPr="00FA270C">
              <w:rPr>
                <w:rFonts w:ascii="Arial Narrow" w:hAnsi="Arial Narrow"/>
                <w:lang w:eastAsia="en-US"/>
              </w:rPr>
              <w:t>Female hypogonadism lasting more than 6 months before the age of 45</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Where the bone density measurement will contribute to the management of a patient with any of the above conditions – measurement of 2 or more sites – </w:t>
            </w:r>
            <w:r w:rsidRPr="00FA270C">
              <w:rPr>
                <w:rFonts w:ascii="Arial Narrow" w:hAnsi="Arial Narrow"/>
                <w:b/>
                <w:lang w:eastAsia="en-US"/>
              </w:rPr>
              <w:t>1 service only in a period of 12 consecutive months</w:t>
            </w:r>
            <w:r w:rsidRPr="00FA270C">
              <w:rPr>
                <w:rFonts w:ascii="Arial Narrow" w:hAnsi="Arial Narrow"/>
                <w:lang w:eastAsia="en-US"/>
              </w:rPr>
              <w:t xml:space="preserve"> – including interpretation and report; not being a service associated with a service to which item 12306, 12309, 12315, 12318 or 12321 applies (Ministerial Determination)</w:t>
            </w:r>
          </w:p>
          <w:p w:rsidR="00F86C9F" w:rsidRPr="00FA270C" w:rsidRDefault="00F86C9F" w:rsidP="00B66C0D">
            <w:pPr>
              <w:spacing w:after="0"/>
              <w:jc w:val="left"/>
              <w:rPr>
                <w:rFonts w:ascii="Arial Narrow" w:hAnsi="Arial Narrow"/>
                <w:b/>
                <w:lang w:eastAsia="en-US"/>
              </w:rPr>
            </w:pPr>
            <w:r w:rsidRPr="00FA270C">
              <w:rPr>
                <w:rFonts w:ascii="Arial Narrow" w:hAnsi="Arial Narrow"/>
                <w:b/>
                <w:lang w:eastAsia="en-US"/>
              </w:rPr>
              <w:t>Fee: $10</w:t>
            </w:r>
            <w:r w:rsidR="00CF0167">
              <w:rPr>
                <w:rFonts w:ascii="Arial Narrow" w:hAnsi="Arial Narrow"/>
                <w:b/>
                <w:lang w:eastAsia="en-US"/>
              </w:rPr>
              <w:t>2</w:t>
            </w:r>
            <w:r w:rsidRPr="00FA270C">
              <w:rPr>
                <w:rFonts w:ascii="Arial Narrow" w:hAnsi="Arial Narrow"/>
                <w:b/>
                <w:lang w:eastAsia="en-US"/>
              </w:rPr>
              <w:t>.</w:t>
            </w:r>
            <w:r w:rsidR="00CF0167">
              <w:rPr>
                <w:rFonts w:ascii="Arial Narrow" w:hAnsi="Arial Narrow"/>
                <w:b/>
                <w:lang w:eastAsia="en-US"/>
              </w:rPr>
              <w:t>4</w:t>
            </w:r>
            <w:r w:rsidRPr="00FA270C">
              <w:rPr>
                <w:rFonts w:ascii="Arial Narrow" w:hAnsi="Arial Narrow"/>
                <w:b/>
                <w:lang w:eastAsia="en-US"/>
              </w:rPr>
              <w:t>0 Benefit: 75% = $7</w:t>
            </w:r>
            <w:r w:rsidR="00CF0167">
              <w:rPr>
                <w:rFonts w:ascii="Arial Narrow" w:hAnsi="Arial Narrow"/>
                <w:b/>
                <w:lang w:eastAsia="en-US"/>
              </w:rPr>
              <w:t>6</w:t>
            </w:r>
            <w:r w:rsidRPr="00FA270C">
              <w:rPr>
                <w:rFonts w:ascii="Arial Narrow" w:hAnsi="Arial Narrow"/>
                <w:b/>
                <w:lang w:eastAsia="en-US"/>
              </w:rPr>
              <w:t>.</w:t>
            </w:r>
            <w:r w:rsidR="00CF0167">
              <w:rPr>
                <w:rFonts w:ascii="Arial Narrow" w:hAnsi="Arial Narrow"/>
                <w:b/>
                <w:lang w:eastAsia="en-US"/>
              </w:rPr>
              <w:t>8</w:t>
            </w:r>
            <w:r w:rsidRPr="00FA270C">
              <w:rPr>
                <w:rFonts w:ascii="Arial Narrow" w:hAnsi="Arial Narrow"/>
                <w:b/>
                <w:lang w:eastAsia="en-US"/>
              </w:rPr>
              <w:t>0 85% = $8</w:t>
            </w:r>
            <w:r w:rsidR="00CF0167">
              <w:rPr>
                <w:rFonts w:ascii="Arial Narrow" w:hAnsi="Arial Narrow"/>
                <w:b/>
                <w:lang w:eastAsia="en-US"/>
              </w:rPr>
              <w:t>7</w:t>
            </w:r>
            <w:r w:rsidRPr="00FA270C">
              <w:rPr>
                <w:rFonts w:ascii="Arial Narrow" w:hAnsi="Arial Narrow"/>
                <w:b/>
                <w:lang w:eastAsia="en-US"/>
              </w:rPr>
              <w:t>.</w:t>
            </w:r>
            <w:r w:rsidR="00CF0167">
              <w:rPr>
                <w:rFonts w:ascii="Arial Narrow" w:hAnsi="Arial Narrow"/>
                <w:b/>
                <w:lang w:eastAsia="en-US"/>
              </w:rPr>
              <w:t>0</w:t>
            </w:r>
            <w:r w:rsidRPr="00FA270C">
              <w:rPr>
                <w:rFonts w:ascii="Arial Narrow" w:hAnsi="Arial Narrow"/>
                <w:b/>
                <w:lang w:eastAsia="en-US"/>
              </w:rPr>
              <w:t>5</w:t>
            </w:r>
          </w:p>
          <w:p w:rsidR="00A711EF" w:rsidRDefault="00A711EF" w:rsidP="00B66C0D">
            <w:pPr>
              <w:spacing w:after="0"/>
              <w:jc w:val="left"/>
              <w:rPr>
                <w:rFonts w:ascii="Arial Narrow" w:hAnsi="Arial Narrow"/>
                <w:i/>
                <w:u w:val="single"/>
                <w:lang w:eastAsia="en-US"/>
              </w:rPr>
            </w:pPr>
          </w:p>
          <w:p w:rsidR="00F86C9F" w:rsidRPr="00A711EF" w:rsidRDefault="005B2438" w:rsidP="00A711EF">
            <w:pPr>
              <w:spacing w:after="0"/>
              <w:jc w:val="left"/>
              <w:rPr>
                <w:rFonts w:ascii="Arial Narrow" w:hAnsi="Arial Narrow"/>
                <w:i/>
                <w:u w:val="single"/>
                <w:lang w:eastAsia="en-US"/>
              </w:rPr>
            </w:pPr>
            <w:r w:rsidRPr="005B2438">
              <w:rPr>
                <w:rFonts w:ascii="Arial Narrow" w:hAnsi="Arial Narrow"/>
                <w:i/>
                <w:u w:val="single"/>
                <w:lang w:eastAsia="en-US"/>
              </w:rPr>
              <w:t>Relevant explanatory notes: See Note D1.27</w:t>
            </w:r>
          </w:p>
        </w:tc>
      </w:tr>
      <w:tr w:rsidR="00F86C9F" w:rsidRPr="00FA270C" w:rsidTr="00B66C0D">
        <w:tblPrEx>
          <w:tblBorders>
            <w:insideH w:val="single" w:sz="4" w:space="0" w:color="000000"/>
          </w:tblBorders>
        </w:tblPrEx>
        <w:tc>
          <w:tcPr>
            <w:tcW w:w="9134" w:type="dxa"/>
            <w:tcBorders>
              <w:bottom w:val="nil"/>
            </w:tcBorders>
          </w:tcPr>
          <w:p w:rsidR="00F86C9F" w:rsidRPr="00FA270C" w:rsidRDefault="00F86C9F" w:rsidP="009D158F">
            <w:pPr>
              <w:spacing w:after="0"/>
              <w:contextualSpacing/>
              <w:jc w:val="left"/>
              <w:rPr>
                <w:rFonts w:ascii="Arial Narrow" w:hAnsi="Arial Narrow"/>
                <w:lang w:eastAsia="en-US"/>
              </w:rPr>
            </w:pPr>
            <w:r w:rsidRPr="00FA270C">
              <w:rPr>
                <w:rFonts w:ascii="Arial Narrow" w:hAnsi="Arial Narrow"/>
                <w:lang w:eastAsia="en-US"/>
              </w:rPr>
              <w:t>Category 2 – DIAGNOSTIC PROCEDURES AND INVESTIGATIONS, Bone Densitometry</w:t>
            </w:r>
          </w:p>
        </w:tc>
      </w:tr>
      <w:tr w:rsidR="00F86C9F" w:rsidRPr="00FA270C" w:rsidTr="00B66C0D">
        <w:tblPrEx>
          <w:tblBorders>
            <w:insideH w:val="single" w:sz="4" w:space="0" w:color="000000"/>
          </w:tblBorders>
        </w:tblPrEx>
        <w:tc>
          <w:tcPr>
            <w:tcW w:w="9134" w:type="dxa"/>
            <w:tcBorders>
              <w:top w:val="nil"/>
            </w:tcBorders>
          </w:tcPr>
          <w:p w:rsidR="00F86C9F" w:rsidRPr="00FA270C" w:rsidRDefault="00F86C9F" w:rsidP="00956396">
            <w:pPr>
              <w:spacing w:after="0"/>
              <w:contextualSpacing/>
              <w:jc w:val="left"/>
              <w:rPr>
                <w:rFonts w:ascii="Arial Narrow" w:hAnsi="Arial Narrow"/>
                <w:b/>
                <w:lang w:eastAsia="en-US"/>
              </w:rPr>
            </w:pPr>
            <w:r w:rsidRPr="00FA270C">
              <w:rPr>
                <w:rFonts w:ascii="Arial Narrow" w:hAnsi="Arial Narrow"/>
                <w:b/>
                <w:lang w:eastAsia="en-US"/>
              </w:rPr>
              <w:lastRenderedPageBreak/>
              <w:t>MBS 12315</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Bone densitometry (performed by a specialist or consultant physician where the patient is referred by another medical practitioner), </w:t>
            </w:r>
            <w:r w:rsidRPr="00FA270C">
              <w:rPr>
                <w:rFonts w:ascii="Arial Narrow" w:hAnsi="Arial Narrow"/>
                <w:b/>
                <w:lang w:eastAsia="en-US"/>
              </w:rPr>
              <w:t>using dual energy X-ray absorptiometry</w:t>
            </w:r>
            <w:r w:rsidRPr="00FA270C">
              <w:rPr>
                <w:rFonts w:ascii="Arial Narrow" w:hAnsi="Arial Narrow"/>
                <w:lang w:eastAsia="en-US"/>
              </w:rPr>
              <w:t>, for the diagnosis and monitoring of bone loss associated with 1 or more of the following conditions:</w:t>
            </w:r>
          </w:p>
          <w:p w:rsidR="00F86C9F" w:rsidRPr="00FA270C" w:rsidRDefault="00F86C9F" w:rsidP="00DA7624">
            <w:pPr>
              <w:numPr>
                <w:ilvl w:val="0"/>
                <w:numId w:val="10"/>
              </w:numPr>
              <w:spacing w:after="0"/>
              <w:jc w:val="left"/>
              <w:rPr>
                <w:rFonts w:ascii="Arial Narrow" w:hAnsi="Arial Narrow"/>
                <w:lang w:eastAsia="en-US"/>
              </w:rPr>
            </w:pPr>
            <w:r w:rsidRPr="00FA270C">
              <w:rPr>
                <w:rFonts w:ascii="Arial Narrow" w:hAnsi="Arial Narrow"/>
                <w:lang w:eastAsia="en-US"/>
              </w:rPr>
              <w:t>Primary hyperparathyroidism;</w:t>
            </w:r>
          </w:p>
          <w:p w:rsidR="00F86C9F" w:rsidRPr="00FA270C" w:rsidRDefault="00F86C9F" w:rsidP="00DA7624">
            <w:pPr>
              <w:numPr>
                <w:ilvl w:val="0"/>
                <w:numId w:val="10"/>
              </w:numPr>
              <w:spacing w:after="0"/>
              <w:jc w:val="left"/>
              <w:rPr>
                <w:rFonts w:ascii="Arial Narrow" w:hAnsi="Arial Narrow"/>
                <w:lang w:eastAsia="en-US"/>
              </w:rPr>
            </w:pPr>
            <w:r w:rsidRPr="00FA270C">
              <w:rPr>
                <w:rFonts w:ascii="Arial Narrow" w:hAnsi="Arial Narrow"/>
                <w:lang w:eastAsia="en-US"/>
              </w:rPr>
              <w:t>Chronic liver disease;</w:t>
            </w:r>
          </w:p>
          <w:p w:rsidR="00F86C9F" w:rsidRPr="00FA270C" w:rsidRDefault="00F86C9F" w:rsidP="00DA7624">
            <w:pPr>
              <w:numPr>
                <w:ilvl w:val="0"/>
                <w:numId w:val="10"/>
              </w:numPr>
              <w:spacing w:after="0"/>
              <w:jc w:val="left"/>
              <w:rPr>
                <w:rFonts w:ascii="Arial Narrow" w:hAnsi="Arial Narrow"/>
                <w:lang w:eastAsia="en-US"/>
              </w:rPr>
            </w:pPr>
            <w:r w:rsidRPr="00FA270C">
              <w:rPr>
                <w:rFonts w:ascii="Arial Narrow" w:hAnsi="Arial Narrow"/>
                <w:lang w:eastAsia="en-US"/>
              </w:rPr>
              <w:t>Chronic renal disease;</w:t>
            </w:r>
          </w:p>
          <w:p w:rsidR="00F86C9F" w:rsidRPr="00FA270C" w:rsidRDefault="00F86C9F" w:rsidP="00DA7624">
            <w:pPr>
              <w:numPr>
                <w:ilvl w:val="0"/>
                <w:numId w:val="10"/>
              </w:numPr>
              <w:spacing w:after="0"/>
              <w:jc w:val="left"/>
              <w:rPr>
                <w:rFonts w:ascii="Arial Narrow" w:hAnsi="Arial Narrow"/>
                <w:lang w:eastAsia="en-US"/>
              </w:rPr>
            </w:pPr>
            <w:r w:rsidRPr="00FA270C">
              <w:rPr>
                <w:rFonts w:ascii="Arial Narrow" w:hAnsi="Arial Narrow"/>
                <w:lang w:eastAsia="en-US"/>
              </w:rPr>
              <w:t>Proven malabsorptive disorders;</w:t>
            </w:r>
          </w:p>
          <w:p w:rsidR="00F86C9F" w:rsidRPr="00FA270C" w:rsidRDefault="00F86C9F" w:rsidP="00DA7624">
            <w:pPr>
              <w:numPr>
                <w:ilvl w:val="0"/>
                <w:numId w:val="10"/>
              </w:numPr>
              <w:spacing w:after="0"/>
              <w:jc w:val="left"/>
              <w:rPr>
                <w:rFonts w:ascii="Arial Narrow" w:hAnsi="Arial Narrow"/>
                <w:lang w:eastAsia="en-US"/>
              </w:rPr>
            </w:pPr>
            <w:r w:rsidRPr="00FA270C">
              <w:rPr>
                <w:rFonts w:ascii="Arial Narrow" w:hAnsi="Arial Narrow"/>
                <w:lang w:eastAsia="en-US"/>
              </w:rPr>
              <w:t>Rheumatoid arthritis; or</w:t>
            </w:r>
          </w:p>
          <w:p w:rsidR="00F86C9F" w:rsidRPr="00FA270C" w:rsidRDefault="00F86C9F" w:rsidP="00DA7624">
            <w:pPr>
              <w:numPr>
                <w:ilvl w:val="0"/>
                <w:numId w:val="10"/>
              </w:numPr>
              <w:spacing w:after="0"/>
              <w:jc w:val="left"/>
              <w:rPr>
                <w:rFonts w:ascii="Arial Narrow" w:hAnsi="Arial Narrow"/>
                <w:lang w:eastAsia="en-US"/>
              </w:rPr>
            </w:pPr>
            <w:r w:rsidRPr="00FA270C">
              <w:rPr>
                <w:rFonts w:ascii="Arial Narrow" w:hAnsi="Arial Narrow"/>
                <w:lang w:eastAsia="en-US"/>
              </w:rPr>
              <w:t>Conditions associated with thyroxine excess</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Where the bone density measurement will contribute to the management of a patient with any of the above conditions – measurement of 2 or more sites – </w:t>
            </w:r>
            <w:r w:rsidRPr="00FA270C">
              <w:rPr>
                <w:rFonts w:ascii="Arial Narrow" w:hAnsi="Arial Narrow"/>
                <w:b/>
                <w:lang w:eastAsia="en-US"/>
              </w:rPr>
              <w:t>1 service only in a period of 24 consecutive months</w:t>
            </w:r>
            <w:r w:rsidRPr="00FA270C">
              <w:rPr>
                <w:rFonts w:ascii="Arial Narrow" w:hAnsi="Arial Narrow"/>
                <w:lang w:eastAsia="en-US"/>
              </w:rPr>
              <w:t xml:space="preserve"> – including interpretation and report; not being a service associated with a service to which items 12306, 12309, 12312, 12318 or 12321 applies (Ministerial Determination)</w:t>
            </w:r>
          </w:p>
          <w:p w:rsidR="00F86C9F" w:rsidRPr="00FA270C" w:rsidRDefault="00F86C9F" w:rsidP="00B66C0D">
            <w:pPr>
              <w:spacing w:after="0"/>
              <w:jc w:val="left"/>
              <w:rPr>
                <w:rFonts w:ascii="Arial Narrow" w:hAnsi="Arial Narrow"/>
                <w:b/>
                <w:lang w:eastAsia="en-US"/>
              </w:rPr>
            </w:pPr>
            <w:r w:rsidRPr="00FA270C">
              <w:rPr>
                <w:rFonts w:ascii="Arial Narrow" w:hAnsi="Arial Narrow"/>
                <w:b/>
                <w:lang w:eastAsia="en-US"/>
              </w:rPr>
              <w:t>Fee: $10</w:t>
            </w:r>
            <w:r w:rsidR="00CF0167">
              <w:rPr>
                <w:rFonts w:ascii="Arial Narrow" w:hAnsi="Arial Narrow"/>
                <w:b/>
                <w:lang w:eastAsia="en-US"/>
              </w:rPr>
              <w:t>2</w:t>
            </w:r>
            <w:r w:rsidRPr="00FA270C">
              <w:rPr>
                <w:rFonts w:ascii="Arial Narrow" w:hAnsi="Arial Narrow"/>
                <w:b/>
                <w:lang w:eastAsia="en-US"/>
              </w:rPr>
              <w:t>.</w:t>
            </w:r>
            <w:r w:rsidR="00CF0167">
              <w:rPr>
                <w:rFonts w:ascii="Arial Narrow" w:hAnsi="Arial Narrow"/>
                <w:b/>
                <w:lang w:eastAsia="en-US"/>
              </w:rPr>
              <w:t>4</w:t>
            </w:r>
            <w:r w:rsidRPr="00FA270C">
              <w:rPr>
                <w:rFonts w:ascii="Arial Narrow" w:hAnsi="Arial Narrow"/>
                <w:b/>
                <w:lang w:eastAsia="en-US"/>
              </w:rPr>
              <w:t>0 Benefit: 75% = $7</w:t>
            </w:r>
            <w:r w:rsidR="00CF0167">
              <w:rPr>
                <w:rFonts w:ascii="Arial Narrow" w:hAnsi="Arial Narrow"/>
                <w:b/>
                <w:lang w:eastAsia="en-US"/>
              </w:rPr>
              <w:t>6</w:t>
            </w:r>
            <w:r w:rsidRPr="00FA270C">
              <w:rPr>
                <w:rFonts w:ascii="Arial Narrow" w:hAnsi="Arial Narrow"/>
                <w:b/>
                <w:lang w:eastAsia="en-US"/>
              </w:rPr>
              <w:t>.</w:t>
            </w:r>
            <w:r w:rsidR="00CF0167">
              <w:rPr>
                <w:rFonts w:ascii="Arial Narrow" w:hAnsi="Arial Narrow"/>
                <w:b/>
                <w:lang w:eastAsia="en-US"/>
              </w:rPr>
              <w:t>8</w:t>
            </w:r>
            <w:r w:rsidRPr="00FA270C">
              <w:rPr>
                <w:rFonts w:ascii="Arial Narrow" w:hAnsi="Arial Narrow"/>
                <w:b/>
                <w:lang w:eastAsia="en-US"/>
              </w:rPr>
              <w:t>0 85% = $8</w:t>
            </w:r>
            <w:r w:rsidR="00CF0167">
              <w:rPr>
                <w:rFonts w:ascii="Arial Narrow" w:hAnsi="Arial Narrow"/>
                <w:b/>
                <w:lang w:eastAsia="en-US"/>
              </w:rPr>
              <w:t>7</w:t>
            </w:r>
            <w:r w:rsidRPr="00FA270C">
              <w:rPr>
                <w:rFonts w:ascii="Arial Narrow" w:hAnsi="Arial Narrow"/>
                <w:b/>
                <w:lang w:eastAsia="en-US"/>
              </w:rPr>
              <w:t>.</w:t>
            </w:r>
            <w:r w:rsidR="00CF0167">
              <w:rPr>
                <w:rFonts w:ascii="Arial Narrow" w:hAnsi="Arial Narrow"/>
                <w:b/>
                <w:lang w:eastAsia="en-US"/>
              </w:rPr>
              <w:t>0</w:t>
            </w:r>
            <w:r w:rsidRPr="00FA270C">
              <w:rPr>
                <w:rFonts w:ascii="Arial Narrow" w:hAnsi="Arial Narrow"/>
                <w:b/>
                <w:lang w:eastAsia="en-US"/>
              </w:rPr>
              <w:t>5</w:t>
            </w:r>
          </w:p>
          <w:p w:rsidR="00A711EF" w:rsidRDefault="00A711EF" w:rsidP="00A711EF">
            <w:pPr>
              <w:spacing w:after="0"/>
              <w:jc w:val="left"/>
              <w:rPr>
                <w:rFonts w:ascii="Arial Narrow" w:hAnsi="Arial Narrow"/>
                <w:i/>
                <w:u w:val="single"/>
                <w:lang w:eastAsia="en-US"/>
              </w:rPr>
            </w:pPr>
          </w:p>
          <w:p w:rsidR="00F86C9F" w:rsidRPr="00FA270C" w:rsidRDefault="005B2438" w:rsidP="00A711EF">
            <w:pPr>
              <w:spacing w:after="0"/>
              <w:jc w:val="left"/>
              <w:rPr>
                <w:rFonts w:ascii="Arial Narrow" w:hAnsi="Arial Narrow"/>
                <w:lang w:eastAsia="en-US"/>
              </w:rPr>
            </w:pPr>
            <w:r w:rsidRPr="005B2438">
              <w:rPr>
                <w:rFonts w:ascii="Arial Narrow" w:hAnsi="Arial Narrow"/>
                <w:i/>
                <w:u w:val="single"/>
                <w:lang w:eastAsia="en-US"/>
              </w:rPr>
              <w:t>Relevant explanatory notes: See Note D1.27</w:t>
            </w:r>
          </w:p>
        </w:tc>
      </w:tr>
      <w:tr w:rsidR="00F86C9F" w:rsidRPr="00FA270C" w:rsidTr="00B66C0D">
        <w:tblPrEx>
          <w:tblBorders>
            <w:insideH w:val="single" w:sz="4" w:space="0" w:color="000000"/>
          </w:tblBorders>
        </w:tblPrEx>
        <w:tc>
          <w:tcPr>
            <w:tcW w:w="9134" w:type="dxa"/>
            <w:tcBorders>
              <w:top w:val="nil"/>
            </w:tcBorders>
          </w:tcPr>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Category 2 – DIAGNOSTIC PROCEDURES AND INVESTIGATIONS, Bone Densitometry </w:t>
            </w:r>
          </w:p>
          <w:p w:rsidR="00F86C9F" w:rsidRPr="00FA270C" w:rsidRDefault="00F86C9F" w:rsidP="00B66C0D">
            <w:pPr>
              <w:spacing w:after="0"/>
              <w:jc w:val="left"/>
              <w:rPr>
                <w:rFonts w:ascii="Arial Narrow" w:hAnsi="Arial Narrow"/>
                <w:b/>
                <w:lang w:eastAsia="en-US"/>
              </w:rPr>
            </w:pPr>
            <w:r w:rsidRPr="00FA270C">
              <w:rPr>
                <w:rFonts w:ascii="Arial Narrow" w:hAnsi="Arial Narrow"/>
                <w:b/>
                <w:lang w:eastAsia="en-US"/>
              </w:rPr>
              <w:t>MBS 12318</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Bone densitometry (performed by a specialist or consultant physician where the patient is referred by another medical practitioner), using quantitative computerised tomography, for the diagnosis and monitoring of bone loss associated with 1 or more of the following conditions: </w:t>
            </w:r>
          </w:p>
          <w:p w:rsidR="00F86C9F" w:rsidRPr="00FA270C" w:rsidRDefault="00F86C9F" w:rsidP="00DA7624">
            <w:pPr>
              <w:pStyle w:val="ListParagraph"/>
              <w:numPr>
                <w:ilvl w:val="0"/>
                <w:numId w:val="27"/>
              </w:numPr>
              <w:spacing w:after="0"/>
              <w:jc w:val="left"/>
              <w:rPr>
                <w:rFonts w:ascii="Arial Narrow" w:hAnsi="Arial Narrow"/>
                <w:lang w:eastAsia="en-US"/>
              </w:rPr>
            </w:pPr>
            <w:r w:rsidRPr="00FA270C">
              <w:rPr>
                <w:rFonts w:ascii="Arial Narrow" w:hAnsi="Arial Narrow"/>
                <w:lang w:eastAsia="en-US"/>
              </w:rPr>
              <w:t xml:space="preserve">prolonged glucocorticoid therapy; </w:t>
            </w:r>
          </w:p>
          <w:p w:rsidR="00F86C9F" w:rsidRPr="00FA270C" w:rsidRDefault="00F86C9F" w:rsidP="00DA7624">
            <w:pPr>
              <w:pStyle w:val="ListParagraph"/>
              <w:numPr>
                <w:ilvl w:val="0"/>
                <w:numId w:val="27"/>
              </w:numPr>
              <w:spacing w:after="0"/>
              <w:jc w:val="left"/>
              <w:rPr>
                <w:rFonts w:ascii="Arial Narrow" w:hAnsi="Arial Narrow"/>
                <w:lang w:eastAsia="en-US"/>
              </w:rPr>
            </w:pPr>
            <w:r w:rsidRPr="00FA270C">
              <w:rPr>
                <w:rFonts w:ascii="Arial Narrow" w:hAnsi="Arial Narrow"/>
                <w:lang w:eastAsia="en-US"/>
              </w:rPr>
              <w:t xml:space="preserve">conditions associated with excess glucocorticoid secretion; </w:t>
            </w:r>
          </w:p>
          <w:p w:rsidR="00F86C9F" w:rsidRPr="00FA270C" w:rsidRDefault="00F86C9F" w:rsidP="00DA7624">
            <w:pPr>
              <w:pStyle w:val="ListParagraph"/>
              <w:numPr>
                <w:ilvl w:val="0"/>
                <w:numId w:val="27"/>
              </w:numPr>
              <w:spacing w:after="0"/>
              <w:jc w:val="left"/>
              <w:rPr>
                <w:rFonts w:ascii="Arial Narrow" w:hAnsi="Arial Narrow"/>
                <w:lang w:eastAsia="en-US"/>
              </w:rPr>
            </w:pPr>
            <w:r w:rsidRPr="00FA270C">
              <w:rPr>
                <w:rFonts w:ascii="Arial Narrow" w:hAnsi="Arial Narrow"/>
                <w:lang w:eastAsia="en-US"/>
              </w:rPr>
              <w:t xml:space="preserve">male hypogonadism; </w:t>
            </w:r>
          </w:p>
          <w:p w:rsidR="00F86C9F" w:rsidRPr="00FA270C" w:rsidRDefault="00F86C9F" w:rsidP="00DA7624">
            <w:pPr>
              <w:pStyle w:val="ListParagraph"/>
              <w:numPr>
                <w:ilvl w:val="0"/>
                <w:numId w:val="27"/>
              </w:numPr>
              <w:spacing w:after="0"/>
              <w:jc w:val="left"/>
              <w:rPr>
                <w:rFonts w:ascii="Arial Narrow" w:hAnsi="Arial Narrow"/>
                <w:lang w:eastAsia="en-US"/>
              </w:rPr>
            </w:pPr>
            <w:r w:rsidRPr="00FA270C">
              <w:rPr>
                <w:rFonts w:ascii="Arial Narrow" w:hAnsi="Arial Narrow"/>
                <w:lang w:eastAsia="en-US"/>
              </w:rPr>
              <w:t xml:space="preserve">female hypogonadism lasting more than 6 months before the age of 45; </w:t>
            </w:r>
          </w:p>
          <w:p w:rsidR="00F86C9F" w:rsidRPr="00FA270C" w:rsidRDefault="00F86C9F" w:rsidP="00DA7624">
            <w:pPr>
              <w:pStyle w:val="ListParagraph"/>
              <w:numPr>
                <w:ilvl w:val="0"/>
                <w:numId w:val="27"/>
              </w:numPr>
              <w:spacing w:after="0"/>
              <w:jc w:val="left"/>
              <w:rPr>
                <w:rFonts w:ascii="Arial Narrow" w:hAnsi="Arial Narrow"/>
                <w:lang w:eastAsia="en-US"/>
              </w:rPr>
            </w:pPr>
            <w:r w:rsidRPr="00FA270C">
              <w:rPr>
                <w:rFonts w:ascii="Arial Narrow" w:hAnsi="Arial Narrow"/>
                <w:lang w:eastAsia="en-US"/>
              </w:rPr>
              <w:t xml:space="preserve">primary hyperparathyroidism; </w:t>
            </w:r>
          </w:p>
          <w:p w:rsidR="00F86C9F" w:rsidRPr="00FA270C" w:rsidRDefault="00F86C9F" w:rsidP="00DA7624">
            <w:pPr>
              <w:pStyle w:val="ListParagraph"/>
              <w:numPr>
                <w:ilvl w:val="0"/>
                <w:numId w:val="27"/>
              </w:numPr>
              <w:spacing w:after="0"/>
              <w:jc w:val="left"/>
              <w:rPr>
                <w:rFonts w:ascii="Arial Narrow" w:hAnsi="Arial Narrow"/>
                <w:lang w:eastAsia="en-US"/>
              </w:rPr>
            </w:pPr>
            <w:r w:rsidRPr="00FA270C">
              <w:rPr>
                <w:rFonts w:ascii="Arial Narrow" w:hAnsi="Arial Narrow"/>
                <w:lang w:eastAsia="en-US"/>
              </w:rPr>
              <w:t xml:space="preserve">chronic liver disease; </w:t>
            </w:r>
          </w:p>
          <w:p w:rsidR="00F86C9F" w:rsidRPr="00FA270C" w:rsidRDefault="00F86C9F" w:rsidP="00DA7624">
            <w:pPr>
              <w:pStyle w:val="ListParagraph"/>
              <w:numPr>
                <w:ilvl w:val="0"/>
                <w:numId w:val="27"/>
              </w:numPr>
              <w:spacing w:after="0"/>
              <w:jc w:val="left"/>
              <w:rPr>
                <w:rFonts w:ascii="Arial Narrow" w:hAnsi="Arial Narrow"/>
                <w:lang w:eastAsia="en-US"/>
              </w:rPr>
            </w:pPr>
            <w:r w:rsidRPr="00FA270C">
              <w:rPr>
                <w:rFonts w:ascii="Arial Narrow" w:hAnsi="Arial Narrow"/>
                <w:lang w:eastAsia="en-US"/>
              </w:rPr>
              <w:t xml:space="preserve">chronic renal disease; </w:t>
            </w:r>
          </w:p>
          <w:p w:rsidR="00F86C9F" w:rsidRPr="00FA270C" w:rsidRDefault="00F86C9F" w:rsidP="00DA7624">
            <w:pPr>
              <w:pStyle w:val="ListParagraph"/>
              <w:numPr>
                <w:ilvl w:val="0"/>
                <w:numId w:val="27"/>
              </w:numPr>
              <w:spacing w:after="0"/>
              <w:jc w:val="left"/>
              <w:rPr>
                <w:rFonts w:ascii="Arial Narrow" w:hAnsi="Arial Narrow"/>
                <w:lang w:eastAsia="en-US"/>
              </w:rPr>
            </w:pPr>
            <w:r w:rsidRPr="00FA270C">
              <w:rPr>
                <w:rFonts w:ascii="Arial Narrow" w:hAnsi="Arial Narrow"/>
                <w:lang w:eastAsia="en-US"/>
              </w:rPr>
              <w:t xml:space="preserve">proven malabsorptive disorders; </w:t>
            </w:r>
          </w:p>
          <w:p w:rsidR="00F86C9F" w:rsidRPr="00FA270C" w:rsidRDefault="00F86C9F" w:rsidP="00DA7624">
            <w:pPr>
              <w:pStyle w:val="ListParagraph"/>
              <w:numPr>
                <w:ilvl w:val="0"/>
                <w:numId w:val="27"/>
              </w:numPr>
              <w:spacing w:after="0"/>
              <w:jc w:val="left"/>
              <w:rPr>
                <w:rFonts w:ascii="Arial Narrow" w:hAnsi="Arial Narrow"/>
                <w:lang w:eastAsia="en-US"/>
              </w:rPr>
            </w:pPr>
            <w:r w:rsidRPr="00FA270C">
              <w:rPr>
                <w:rFonts w:ascii="Arial Narrow" w:hAnsi="Arial Narrow"/>
                <w:lang w:eastAsia="en-US"/>
              </w:rPr>
              <w:t xml:space="preserve">rheumatoid arthritis; or </w:t>
            </w:r>
          </w:p>
          <w:p w:rsidR="00F86C9F" w:rsidRPr="00FA270C" w:rsidRDefault="00F86C9F" w:rsidP="00DA7624">
            <w:pPr>
              <w:pStyle w:val="ListParagraph"/>
              <w:numPr>
                <w:ilvl w:val="0"/>
                <w:numId w:val="27"/>
              </w:numPr>
              <w:spacing w:after="0"/>
              <w:jc w:val="left"/>
              <w:rPr>
                <w:rFonts w:ascii="Arial Narrow" w:hAnsi="Arial Narrow"/>
                <w:lang w:eastAsia="en-US"/>
              </w:rPr>
            </w:pPr>
            <w:r w:rsidRPr="00FA270C">
              <w:rPr>
                <w:rFonts w:ascii="Arial Narrow" w:hAnsi="Arial Narrow"/>
                <w:lang w:eastAsia="en-US"/>
              </w:rPr>
              <w:t xml:space="preserve">conditions associated with thyroxine excess. </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Where the bone density measurement will contribute to the management of a patient with any of the above conditions - measurement of 2 or more sites - 1 service only in a period of 24 consecutive months - including interpretation and report; not being a service associated with a service to which item 12306, 12309, 12312, 12315 or 12321 applies (Ministerial Determination) </w:t>
            </w:r>
          </w:p>
          <w:p w:rsidR="00F86C9F" w:rsidRDefault="00F86C9F" w:rsidP="00B66C0D">
            <w:pPr>
              <w:spacing w:after="0"/>
              <w:jc w:val="left"/>
              <w:rPr>
                <w:rFonts w:ascii="Arial Narrow" w:hAnsi="Arial Narrow"/>
                <w:b/>
                <w:lang w:eastAsia="en-US"/>
              </w:rPr>
            </w:pPr>
            <w:r w:rsidRPr="00FA270C">
              <w:rPr>
                <w:rFonts w:ascii="Arial Narrow" w:hAnsi="Arial Narrow"/>
                <w:b/>
                <w:lang w:eastAsia="en-US"/>
              </w:rPr>
              <w:t>Fee: $10</w:t>
            </w:r>
            <w:r w:rsidR="00CF0167">
              <w:rPr>
                <w:rFonts w:ascii="Arial Narrow" w:hAnsi="Arial Narrow"/>
                <w:b/>
                <w:lang w:eastAsia="en-US"/>
              </w:rPr>
              <w:t>2</w:t>
            </w:r>
            <w:r w:rsidRPr="00FA270C">
              <w:rPr>
                <w:rFonts w:ascii="Arial Narrow" w:hAnsi="Arial Narrow"/>
                <w:b/>
                <w:lang w:eastAsia="en-US"/>
              </w:rPr>
              <w:t>.</w:t>
            </w:r>
            <w:r w:rsidR="00CF0167">
              <w:rPr>
                <w:rFonts w:ascii="Arial Narrow" w:hAnsi="Arial Narrow"/>
                <w:b/>
                <w:lang w:eastAsia="en-US"/>
              </w:rPr>
              <w:t>4</w:t>
            </w:r>
            <w:r w:rsidRPr="00FA270C">
              <w:rPr>
                <w:rFonts w:ascii="Arial Narrow" w:hAnsi="Arial Narrow"/>
                <w:b/>
                <w:lang w:eastAsia="en-US"/>
              </w:rPr>
              <w:t>0 Benefit: 75% = $7</w:t>
            </w:r>
            <w:r w:rsidR="00CF0167">
              <w:rPr>
                <w:rFonts w:ascii="Arial Narrow" w:hAnsi="Arial Narrow"/>
                <w:b/>
                <w:lang w:eastAsia="en-US"/>
              </w:rPr>
              <w:t>6</w:t>
            </w:r>
            <w:r w:rsidRPr="00FA270C">
              <w:rPr>
                <w:rFonts w:ascii="Arial Narrow" w:hAnsi="Arial Narrow"/>
                <w:b/>
                <w:lang w:eastAsia="en-US"/>
              </w:rPr>
              <w:t>.</w:t>
            </w:r>
            <w:r w:rsidR="00CF0167">
              <w:rPr>
                <w:rFonts w:ascii="Arial Narrow" w:hAnsi="Arial Narrow"/>
                <w:b/>
                <w:lang w:eastAsia="en-US"/>
              </w:rPr>
              <w:t>8</w:t>
            </w:r>
            <w:r w:rsidRPr="00FA270C">
              <w:rPr>
                <w:rFonts w:ascii="Arial Narrow" w:hAnsi="Arial Narrow"/>
                <w:b/>
                <w:lang w:eastAsia="en-US"/>
              </w:rPr>
              <w:t>0 85% = $8</w:t>
            </w:r>
            <w:r w:rsidR="00CF0167">
              <w:rPr>
                <w:rFonts w:ascii="Arial Narrow" w:hAnsi="Arial Narrow"/>
                <w:b/>
                <w:lang w:eastAsia="en-US"/>
              </w:rPr>
              <w:t>7</w:t>
            </w:r>
            <w:r w:rsidRPr="00FA270C">
              <w:rPr>
                <w:rFonts w:ascii="Arial Narrow" w:hAnsi="Arial Narrow"/>
                <w:b/>
                <w:lang w:eastAsia="en-US"/>
              </w:rPr>
              <w:t>.</w:t>
            </w:r>
            <w:r w:rsidR="00CF0167">
              <w:rPr>
                <w:rFonts w:ascii="Arial Narrow" w:hAnsi="Arial Narrow"/>
                <w:b/>
                <w:lang w:eastAsia="en-US"/>
              </w:rPr>
              <w:t>0</w:t>
            </w:r>
            <w:r w:rsidRPr="00FA270C">
              <w:rPr>
                <w:rFonts w:ascii="Arial Narrow" w:hAnsi="Arial Narrow"/>
                <w:b/>
                <w:lang w:eastAsia="en-US"/>
              </w:rPr>
              <w:t xml:space="preserve">5 </w:t>
            </w:r>
          </w:p>
          <w:p w:rsidR="00A711EF" w:rsidRDefault="00A711EF" w:rsidP="00B66C0D">
            <w:pPr>
              <w:spacing w:after="0"/>
              <w:jc w:val="left"/>
              <w:rPr>
                <w:rFonts w:ascii="Arial Narrow" w:hAnsi="Arial Narrow"/>
                <w:lang w:eastAsia="en-US"/>
              </w:rPr>
            </w:pPr>
          </w:p>
          <w:p w:rsidR="005B2438" w:rsidRPr="00A711EF" w:rsidRDefault="005B2438" w:rsidP="00B66C0D">
            <w:pPr>
              <w:spacing w:after="0"/>
              <w:jc w:val="left"/>
              <w:rPr>
                <w:rFonts w:ascii="Arial Narrow" w:hAnsi="Arial Narrow"/>
                <w:u w:val="single"/>
                <w:lang w:eastAsia="en-US"/>
              </w:rPr>
            </w:pPr>
            <w:r w:rsidRPr="00A711EF">
              <w:rPr>
                <w:rFonts w:ascii="Arial Narrow" w:hAnsi="Arial Narrow"/>
                <w:u w:val="single"/>
                <w:lang w:eastAsia="en-US"/>
              </w:rPr>
              <w:t>Relevant explanatory notes: See Note D1.27</w:t>
            </w:r>
          </w:p>
        </w:tc>
      </w:tr>
      <w:tr w:rsidR="00F86C9F" w:rsidRPr="00FA270C" w:rsidTr="00B66C0D">
        <w:tblPrEx>
          <w:tblBorders>
            <w:insideH w:val="single" w:sz="4" w:space="0" w:color="000000"/>
          </w:tblBorders>
        </w:tblPrEx>
        <w:tc>
          <w:tcPr>
            <w:tcW w:w="9134" w:type="dxa"/>
            <w:tcBorders>
              <w:bottom w:val="nil"/>
            </w:tcBorders>
          </w:tcPr>
          <w:p w:rsidR="00F86C9F" w:rsidRPr="00FA270C" w:rsidRDefault="00F86C9F" w:rsidP="009D158F">
            <w:pPr>
              <w:spacing w:after="0"/>
              <w:contextualSpacing/>
              <w:jc w:val="left"/>
              <w:rPr>
                <w:rFonts w:ascii="Arial Narrow" w:hAnsi="Arial Narrow"/>
                <w:lang w:eastAsia="en-US"/>
              </w:rPr>
            </w:pPr>
            <w:r w:rsidRPr="00FA270C">
              <w:rPr>
                <w:rFonts w:ascii="Arial Narrow" w:hAnsi="Arial Narrow"/>
                <w:lang w:eastAsia="en-US"/>
              </w:rPr>
              <w:t>Category 2 – DIAGNOSTIC PROCEDURES AND INVESTIGATIONS, Bone Densitometry</w:t>
            </w:r>
          </w:p>
        </w:tc>
      </w:tr>
      <w:tr w:rsidR="00F86C9F" w:rsidRPr="00FA270C" w:rsidTr="00B66C0D">
        <w:tblPrEx>
          <w:tblBorders>
            <w:insideH w:val="single" w:sz="4" w:space="0" w:color="000000"/>
          </w:tblBorders>
        </w:tblPrEx>
        <w:tc>
          <w:tcPr>
            <w:tcW w:w="9134" w:type="dxa"/>
            <w:tcBorders>
              <w:top w:val="nil"/>
            </w:tcBorders>
          </w:tcPr>
          <w:p w:rsidR="00F86C9F" w:rsidRPr="00FA270C" w:rsidRDefault="00F86C9F" w:rsidP="00956396">
            <w:pPr>
              <w:spacing w:after="0"/>
              <w:contextualSpacing/>
              <w:jc w:val="left"/>
              <w:rPr>
                <w:rFonts w:ascii="Arial Narrow" w:hAnsi="Arial Narrow"/>
                <w:b/>
                <w:lang w:eastAsia="en-US"/>
              </w:rPr>
            </w:pPr>
            <w:r w:rsidRPr="00FA270C">
              <w:rPr>
                <w:rFonts w:ascii="Arial Narrow" w:hAnsi="Arial Narrow"/>
                <w:b/>
                <w:lang w:eastAsia="en-US"/>
              </w:rPr>
              <w:t>MBS 12321</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Bone densitometry (performed by a specialist or consultant physician where the patient is referred by another medical practitioner), </w:t>
            </w:r>
            <w:r w:rsidRPr="00FA270C">
              <w:rPr>
                <w:rFonts w:ascii="Arial Narrow" w:hAnsi="Arial Narrow"/>
                <w:b/>
                <w:lang w:eastAsia="en-US"/>
              </w:rPr>
              <w:t>using dual energy X-ray absorptiometry</w:t>
            </w:r>
            <w:r w:rsidRPr="00FA270C">
              <w:rPr>
                <w:rFonts w:ascii="Arial Narrow" w:hAnsi="Arial Narrow"/>
                <w:lang w:eastAsia="en-US"/>
              </w:rPr>
              <w:t>, for the measurement of bone density 12 months following a significant change in therapy for:</w:t>
            </w:r>
          </w:p>
          <w:p w:rsidR="00F86C9F" w:rsidRPr="00FA270C" w:rsidRDefault="00F86C9F" w:rsidP="00DA7624">
            <w:pPr>
              <w:numPr>
                <w:ilvl w:val="0"/>
                <w:numId w:val="12"/>
              </w:numPr>
              <w:spacing w:after="0"/>
              <w:jc w:val="left"/>
              <w:rPr>
                <w:rFonts w:ascii="Arial Narrow" w:hAnsi="Arial Narrow"/>
                <w:lang w:eastAsia="en-US"/>
              </w:rPr>
            </w:pPr>
            <w:r w:rsidRPr="00FA270C">
              <w:rPr>
                <w:rFonts w:ascii="Arial Narrow" w:hAnsi="Arial Narrow"/>
                <w:lang w:eastAsia="en-US"/>
              </w:rPr>
              <w:lastRenderedPageBreak/>
              <w:t>Established low bone mineral density; or</w:t>
            </w:r>
          </w:p>
          <w:p w:rsidR="00F86C9F" w:rsidRPr="00FA270C" w:rsidRDefault="00F86C9F" w:rsidP="00DA7624">
            <w:pPr>
              <w:numPr>
                <w:ilvl w:val="0"/>
                <w:numId w:val="12"/>
              </w:numPr>
              <w:spacing w:after="0"/>
              <w:jc w:val="left"/>
              <w:rPr>
                <w:rFonts w:ascii="Arial Narrow" w:hAnsi="Arial Narrow"/>
                <w:lang w:eastAsia="en-US"/>
              </w:rPr>
            </w:pPr>
            <w:r w:rsidRPr="00FA270C">
              <w:rPr>
                <w:rFonts w:ascii="Arial Narrow" w:hAnsi="Arial Narrow"/>
                <w:lang w:eastAsia="en-US"/>
              </w:rPr>
              <w:t>The confirmation of a presumptive diagnosis of low bone mineral density made on the basis of 1 or more fractures occurring after minimal trauma.</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Measurement of 2 or more sites – </w:t>
            </w:r>
            <w:r w:rsidRPr="00FA270C">
              <w:rPr>
                <w:rFonts w:ascii="Arial Narrow" w:hAnsi="Arial Narrow"/>
                <w:b/>
                <w:lang w:eastAsia="en-US"/>
              </w:rPr>
              <w:t>1 service only in a period of 12 consecutive months</w:t>
            </w:r>
            <w:r w:rsidRPr="00FA270C">
              <w:rPr>
                <w:rFonts w:ascii="Arial Narrow" w:hAnsi="Arial Narrow"/>
                <w:lang w:eastAsia="en-US"/>
              </w:rPr>
              <w:t xml:space="preserve"> – including interpretation and report; not being a service associated with a service to which item 12306, 12309, 12312, 12315 or 12318 applies (Ministerial Determination)</w:t>
            </w:r>
          </w:p>
          <w:p w:rsidR="00F86C9F" w:rsidRPr="00FA270C" w:rsidRDefault="00F86C9F" w:rsidP="00B66C0D">
            <w:pPr>
              <w:spacing w:after="0"/>
              <w:jc w:val="left"/>
              <w:rPr>
                <w:rFonts w:ascii="Arial Narrow" w:hAnsi="Arial Narrow"/>
                <w:lang w:eastAsia="en-US"/>
              </w:rPr>
            </w:pPr>
            <w:r w:rsidRPr="00FA270C">
              <w:rPr>
                <w:rFonts w:ascii="Arial Narrow" w:hAnsi="Arial Narrow"/>
                <w:b/>
                <w:lang w:eastAsia="en-US"/>
              </w:rPr>
              <w:t>Fee: $10</w:t>
            </w:r>
            <w:r w:rsidR="00CF0167">
              <w:rPr>
                <w:rFonts w:ascii="Arial Narrow" w:hAnsi="Arial Narrow"/>
                <w:b/>
                <w:lang w:eastAsia="en-US"/>
              </w:rPr>
              <w:t>2</w:t>
            </w:r>
            <w:r w:rsidRPr="00FA270C">
              <w:rPr>
                <w:rFonts w:ascii="Arial Narrow" w:hAnsi="Arial Narrow"/>
                <w:b/>
                <w:lang w:eastAsia="en-US"/>
              </w:rPr>
              <w:t>.</w:t>
            </w:r>
            <w:r w:rsidR="00CF0167">
              <w:rPr>
                <w:rFonts w:ascii="Arial Narrow" w:hAnsi="Arial Narrow"/>
                <w:b/>
                <w:lang w:eastAsia="en-US"/>
              </w:rPr>
              <w:t>4</w:t>
            </w:r>
            <w:r w:rsidRPr="00FA270C">
              <w:rPr>
                <w:rFonts w:ascii="Arial Narrow" w:hAnsi="Arial Narrow"/>
                <w:b/>
                <w:lang w:eastAsia="en-US"/>
              </w:rPr>
              <w:t>0 Benefit: 75% = $7</w:t>
            </w:r>
            <w:r w:rsidR="00CF0167">
              <w:rPr>
                <w:rFonts w:ascii="Arial Narrow" w:hAnsi="Arial Narrow"/>
                <w:b/>
                <w:lang w:eastAsia="en-US"/>
              </w:rPr>
              <w:t>6</w:t>
            </w:r>
            <w:r w:rsidRPr="00FA270C">
              <w:rPr>
                <w:rFonts w:ascii="Arial Narrow" w:hAnsi="Arial Narrow"/>
                <w:b/>
                <w:lang w:eastAsia="en-US"/>
              </w:rPr>
              <w:t>.</w:t>
            </w:r>
            <w:r w:rsidR="00CF0167">
              <w:rPr>
                <w:rFonts w:ascii="Arial Narrow" w:hAnsi="Arial Narrow"/>
                <w:b/>
                <w:lang w:eastAsia="en-US"/>
              </w:rPr>
              <w:t>8</w:t>
            </w:r>
            <w:r w:rsidRPr="00FA270C">
              <w:rPr>
                <w:rFonts w:ascii="Arial Narrow" w:hAnsi="Arial Narrow"/>
                <w:b/>
                <w:lang w:eastAsia="en-US"/>
              </w:rPr>
              <w:t>0 85% = $8</w:t>
            </w:r>
            <w:r w:rsidR="00CF0167">
              <w:rPr>
                <w:rFonts w:ascii="Arial Narrow" w:hAnsi="Arial Narrow"/>
                <w:b/>
                <w:lang w:eastAsia="en-US"/>
              </w:rPr>
              <w:t>7</w:t>
            </w:r>
            <w:r w:rsidRPr="00FA270C">
              <w:rPr>
                <w:rFonts w:ascii="Arial Narrow" w:hAnsi="Arial Narrow"/>
                <w:b/>
                <w:lang w:eastAsia="en-US"/>
              </w:rPr>
              <w:t>.</w:t>
            </w:r>
            <w:r w:rsidR="00CF0167">
              <w:rPr>
                <w:rFonts w:ascii="Arial Narrow" w:hAnsi="Arial Narrow"/>
                <w:b/>
                <w:lang w:eastAsia="en-US"/>
              </w:rPr>
              <w:t>0</w:t>
            </w:r>
            <w:r w:rsidRPr="00FA270C">
              <w:rPr>
                <w:rFonts w:ascii="Arial Narrow" w:hAnsi="Arial Narrow"/>
                <w:b/>
                <w:lang w:eastAsia="en-US"/>
              </w:rPr>
              <w:t>5</w:t>
            </w:r>
          </w:p>
          <w:p w:rsidR="00A711EF" w:rsidRDefault="00A711EF" w:rsidP="00B66C0D">
            <w:pPr>
              <w:spacing w:after="0"/>
              <w:jc w:val="left"/>
              <w:rPr>
                <w:rFonts w:ascii="Arial Narrow" w:hAnsi="Arial Narrow"/>
                <w:i/>
                <w:u w:val="single"/>
                <w:lang w:eastAsia="en-US"/>
              </w:rPr>
            </w:pPr>
          </w:p>
          <w:p w:rsidR="00F86C9F" w:rsidRPr="00FA270C" w:rsidRDefault="005B2438" w:rsidP="00B66C0D">
            <w:pPr>
              <w:spacing w:after="0"/>
              <w:jc w:val="left"/>
              <w:rPr>
                <w:rFonts w:ascii="Arial Narrow" w:hAnsi="Arial Narrow"/>
                <w:lang w:eastAsia="en-US"/>
              </w:rPr>
            </w:pPr>
            <w:r w:rsidRPr="005B2438">
              <w:rPr>
                <w:rFonts w:ascii="Arial Narrow" w:hAnsi="Arial Narrow"/>
                <w:i/>
                <w:u w:val="single"/>
                <w:lang w:eastAsia="en-US"/>
              </w:rPr>
              <w:t>Relevant explanatory notes: See Note D1.27</w:t>
            </w:r>
          </w:p>
        </w:tc>
      </w:tr>
      <w:tr w:rsidR="00F86C9F" w:rsidRPr="00FA270C" w:rsidTr="00B66C0D">
        <w:tblPrEx>
          <w:tblBorders>
            <w:insideH w:val="single" w:sz="4" w:space="0" w:color="000000"/>
          </w:tblBorders>
        </w:tblPrEx>
        <w:tc>
          <w:tcPr>
            <w:tcW w:w="9134" w:type="dxa"/>
            <w:tcBorders>
              <w:bottom w:val="nil"/>
            </w:tcBorders>
          </w:tcPr>
          <w:p w:rsidR="00F86C9F" w:rsidRPr="00FA270C" w:rsidRDefault="00F86C9F" w:rsidP="009D158F">
            <w:pPr>
              <w:spacing w:after="0"/>
              <w:contextualSpacing/>
              <w:jc w:val="left"/>
              <w:rPr>
                <w:rFonts w:ascii="Arial Narrow" w:hAnsi="Arial Narrow"/>
                <w:lang w:eastAsia="en-US"/>
              </w:rPr>
            </w:pPr>
            <w:r w:rsidRPr="00FA270C">
              <w:rPr>
                <w:rFonts w:ascii="Arial Narrow" w:hAnsi="Arial Narrow"/>
                <w:lang w:eastAsia="en-US"/>
              </w:rPr>
              <w:lastRenderedPageBreak/>
              <w:t>Category 2 – DIAGNOSTIC PROCEDURES AND INVESTIGATIONS, Bone Densitometry</w:t>
            </w:r>
          </w:p>
        </w:tc>
      </w:tr>
      <w:tr w:rsidR="00F86C9F" w:rsidRPr="00FA270C" w:rsidTr="00B66C0D">
        <w:tblPrEx>
          <w:tblBorders>
            <w:insideH w:val="single" w:sz="4" w:space="0" w:color="000000"/>
          </w:tblBorders>
        </w:tblPrEx>
        <w:tc>
          <w:tcPr>
            <w:tcW w:w="9134" w:type="dxa"/>
            <w:tcBorders>
              <w:top w:val="nil"/>
            </w:tcBorders>
          </w:tcPr>
          <w:p w:rsidR="00F86C9F" w:rsidRPr="00FA270C" w:rsidRDefault="00F86C9F" w:rsidP="00956396">
            <w:pPr>
              <w:spacing w:after="0"/>
              <w:contextualSpacing/>
              <w:jc w:val="left"/>
              <w:rPr>
                <w:rFonts w:ascii="Arial Narrow" w:hAnsi="Arial Narrow"/>
                <w:b/>
                <w:lang w:eastAsia="en-US"/>
              </w:rPr>
            </w:pPr>
            <w:r w:rsidRPr="00FA270C">
              <w:rPr>
                <w:rFonts w:ascii="Arial Narrow" w:hAnsi="Arial Narrow"/>
                <w:b/>
                <w:lang w:eastAsia="en-US"/>
              </w:rPr>
              <w:t>MBS 12323</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 xml:space="preserve">Bone densitometry (performed by a specialist or consultant physician where the patient is referred by another medical practitioner), </w:t>
            </w:r>
            <w:r w:rsidRPr="00FA270C">
              <w:rPr>
                <w:rFonts w:ascii="Arial Narrow" w:hAnsi="Arial Narrow"/>
                <w:b/>
                <w:lang w:eastAsia="en-US"/>
              </w:rPr>
              <w:t>using dual energy X-ray absorptiometry</w:t>
            </w:r>
            <w:r w:rsidRPr="00FA270C">
              <w:rPr>
                <w:rFonts w:ascii="Arial Narrow" w:hAnsi="Arial Narrow"/>
                <w:lang w:eastAsia="en-US"/>
              </w:rPr>
              <w:t xml:space="preserve"> or </w:t>
            </w:r>
            <w:r w:rsidRPr="00FA270C">
              <w:rPr>
                <w:rFonts w:ascii="Arial Narrow" w:hAnsi="Arial Narrow"/>
                <w:b/>
                <w:lang w:eastAsia="en-US"/>
              </w:rPr>
              <w:t>quantitative computerised tomography</w:t>
            </w:r>
            <w:r w:rsidRPr="00FA270C">
              <w:rPr>
                <w:rFonts w:ascii="Arial Narrow" w:hAnsi="Arial Narrow"/>
                <w:lang w:eastAsia="en-US"/>
              </w:rPr>
              <w:t>, for the measurement of bone mineral density, for a person aged 70 years or over.</w:t>
            </w:r>
          </w:p>
          <w:p w:rsidR="00F86C9F" w:rsidRPr="00FA270C" w:rsidRDefault="00F86C9F" w:rsidP="00B66C0D">
            <w:pPr>
              <w:spacing w:after="0"/>
              <w:jc w:val="left"/>
              <w:rPr>
                <w:rFonts w:ascii="Arial Narrow" w:hAnsi="Arial Narrow"/>
                <w:lang w:eastAsia="en-US"/>
              </w:rPr>
            </w:pPr>
            <w:r w:rsidRPr="00FA270C">
              <w:rPr>
                <w:rFonts w:ascii="Arial Narrow" w:hAnsi="Arial Narrow"/>
                <w:lang w:eastAsia="en-US"/>
              </w:rPr>
              <w:t>Measurement of 2 or more sites – including interpretation and report; not being a service associated with a service to which item 12306, 12309, 12312, 12315, 12318 or 12321 applies (Ministerial Determination)</w:t>
            </w:r>
          </w:p>
          <w:p w:rsidR="00F86C9F" w:rsidRPr="00FA270C" w:rsidRDefault="00F86C9F" w:rsidP="00B66C0D">
            <w:pPr>
              <w:spacing w:after="0"/>
              <w:jc w:val="left"/>
              <w:rPr>
                <w:rFonts w:ascii="Arial Narrow" w:hAnsi="Arial Narrow"/>
                <w:b/>
                <w:lang w:eastAsia="en-US"/>
              </w:rPr>
            </w:pPr>
            <w:r w:rsidRPr="00FA270C">
              <w:rPr>
                <w:rFonts w:ascii="Arial Narrow" w:hAnsi="Arial Narrow"/>
                <w:b/>
                <w:lang w:eastAsia="en-US"/>
              </w:rPr>
              <w:t>Fee: $10</w:t>
            </w:r>
            <w:r w:rsidR="00CF0167">
              <w:rPr>
                <w:rFonts w:ascii="Arial Narrow" w:hAnsi="Arial Narrow"/>
                <w:b/>
                <w:lang w:eastAsia="en-US"/>
              </w:rPr>
              <w:t>2</w:t>
            </w:r>
            <w:r w:rsidRPr="00FA270C">
              <w:rPr>
                <w:rFonts w:ascii="Arial Narrow" w:hAnsi="Arial Narrow"/>
                <w:b/>
                <w:lang w:eastAsia="en-US"/>
              </w:rPr>
              <w:t>.</w:t>
            </w:r>
            <w:r w:rsidR="00CF0167">
              <w:rPr>
                <w:rFonts w:ascii="Arial Narrow" w:hAnsi="Arial Narrow"/>
                <w:b/>
                <w:lang w:eastAsia="en-US"/>
              </w:rPr>
              <w:t>4</w:t>
            </w:r>
            <w:r w:rsidRPr="00FA270C">
              <w:rPr>
                <w:rFonts w:ascii="Arial Narrow" w:hAnsi="Arial Narrow"/>
                <w:b/>
                <w:lang w:eastAsia="en-US"/>
              </w:rPr>
              <w:t>0 Benefit: 75% = $7</w:t>
            </w:r>
            <w:r w:rsidR="00CF0167">
              <w:rPr>
                <w:rFonts w:ascii="Arial Narrow" w:hAnsi="Arial Narrow"/>
                <w:b/>
                <w:lang w:eastAsia="en-US"/>
              </w:rPr>
              <w:t>6</w:t>
            </w:r>
            <w:r w:rsidRPr="00FA270C">
              <w:rPr>
                <w:rFonts w:ascii="Arial Narrow" w:hAnsi="Arial Narrow"/>
                <w:b/>
                <w:lang w:eastAsia="en-US"/>
              </w:rPr>
              <w:t>.</w:t>
            </w:r>
            <w:r w:rsidR="00CF0167">
              <w:rPr>
                <w:rFonts w:ascii="Arial Narrow" w:hAnsi="Arial Narrow"/>
                <w:b/>
                <w:lang w:eastAsia="en-US"/>
              </w:rPr>
              <w:t>8</w:t>
            </w:r>
            <w:r w:rsidRPr="00FA270C">
              <w:rPr>
                <w:rFonts w:ascii="Arial Narrow" w:hAnsi="Arial Narrow"/>
                <w:b/>
                <w:lang w:eastAsia="en-US"/>
              </w:rPr>
              <w:t>0 85% = $8</w:t>
            </w:r>
            <w:r w:rsidR="00CF0167">
              <w:rPr>
                <w:rFonts w:ascii="Arial Narrow" w:hAnsi="Arial Narrow"/>
                <w:b/>
                <w:lang w:eastAsia="en-US"/>
              </w:rPr>
              <w:t>7</w:t>
            </w:r>
            <w:r w:rsidRPr="00FA270C">
              <w:rPr>
                <w:rFonts w:ascii="Arial Narrow" w:hAnsi="Arial Narrow"/>
                <w:b/>
                <w:lang w:eastAsia="en-US"/>
              </w:rPr>
              <w:t>.</w:t>
            </w:r>
            <w:r w:rsidR="00CF0167">
              <w:rPr>
                <w:rFonts w:ascii="Arial Narrow" w:hAnsi="Arial Narrow"/>
                <w:b/>
                <w:lang w:eastAsia="en-US"/>
              </w:rPr>
              <w:t>0</w:t>
            </w:r>
            <w:r w:rsidRPr="00FA270C">
              <w:rPr>
                <w:rFonts w:ascii="Arial Narrow" w:hAnsi="Arial Narrow"/>
                <w:b/>
                <w:lang w:eastAsia="en-US"/>
              </w:rPr>
              <w:t>5</w:t>
            </w:r>
          </w:p>
          <w:p w:rsidR="00A711EF" w:rsidRDefault="00A711EF" w:rsidP="00B66C0D">
            <w:pPr>
              <w:spacing w:after="0"/>
              <w:jc w:val="left"/>
              <w:rPr>
                <w:rFonts w:ascii="Arial Narrow" w:hAnsi="Arial Narrow"/>
                <w:i/>
                <w:u w:val="single"/>
                <w:lang w:eastAsia="en-US"/>
              </w:rPr>
            </w:pPr>
          </w:p>
          <w:p w:rsidR="00F86C9F" w:rsidRPr="00FA270C" w:rsidRDefault="005B2438" w:rsidP="00B66C0D">
            <w:pPr>
              <w:spacing w:after="0"/>
              <w:jc w:val="left"/>
              <w:rPr>
                <w:rFonts w:ascii="Arial Narrow" w:hAnsi="Arial Narrow"/>
                <w:lang w:eastAsia="en-US"/>
              </w:rPr>
            </w:pPr>
            <w:r w:rsidRPr="005B2438">
              <w:rPr>
                <w:rFonts w:ascii="Arial Narrow" w:hAnsi="Arial Narrow"/>
                <w:i/>
                <w:u w:val="single"/>
                <w:lang w:eastAsia="en-US"/>
              </w:rPr>
              <w:t>Relevant explanatory notes: See Note D1.27</w:t>
            </w:r>
          </w:p>
        </w:tc>
      </w:tr>
    </w:tbl>
    <w:p w:rsidR="00F86C9F" w:rsidRPr="00FA270C" w:rsidRDefault="00F86C9F" w:rsidP="00226C41">
      <w:pPr>
        <w:rPr>
          <w:rFonts w:ascii="Arial Narrow" w:hAnsi="Arial Narrow"/>
          <w:sz w:val="16"/>
          <w:szCs w:val="16"/>
        </w:rPr>
      </w:pPr>
      <w:r w:rsidRPr="00FA270C">
        <w:rPr>
          <w:rFonts w:ascii="Arial Narrow" w:hAnsi="Arial Narrow"/>
          <w:sz w:val="16"/>
          <w:szCs w:val="16"/>
        </w:rPr>
        <w:t xml:space="preserve">Taken from </w:t>
      </w:r>
      <w:hyperlink r:id="rId12" w:tooltip="This is a link to the PBS online" w:history="1">
        <w:r w:rsidRPr="00FA270C">
          <w:rPr>
            <w:rStyle w:val="Hyperlink"/>
            <w:rFonts w:ascii="Arial Narrow" w:hAnsi="Arial Narrow" w:cs="Tahoma"/>
            <w:sz w:val="16"/>
            <w:szCs w:val="16"/>
          </w:rPr>
          <w:t>http://www9.health.gov.au/mbs/search.cfm</w:t>
        </w:r>
      </w:hyperlink>
      <w:r w:rsidR="00A711EF">
        <w:rPr>
          <w:rFonts w:ascii="Arial Narrow" w:hAnsi="Arial Narrow"/>
          <w:sz w:val="16"/>
          <w:szCs w:val="16"/>
        </w:rPr>
        <w:t>, accessed 08 July 2013</w:t>
      </w:r>
    </w:p>
    <w:p w:rsidR="00F86C9F" w:rsidRPr="00FA270C" w:rsidRDefault="00F86C9F" w:rsidP="00B66C0D">
      <w:pPr>
        <w:rPr>
          <w:lang w:eastAsia="ja-JP"/>
        </w:rPr>
      </w:pPr>
      <w:r w:rsidRPr="00FA270C">
        <w:rPr>
          <w:lang w:eastAsia="ja-JP"/>
        </w:rPr>
        <w:t>A test for vitamin D</w:t>
      </w:r>
      <w:r w:rsidR="008504A1">
        <w:rPr>
          <w:lang w:eastAsia="ja-JP"/>
        </w:rPr>
        <w:t xml:space="preserve"> sufficiency</w:t>
      </w:r>
      <w:r w:rsidRPr="00FA270C">
        <w:rPr>
          <w:lang w:eastAsia="ja-JP"/>
        </w:rPr>
        <w:t xml:space="preserve"> is available through MBS item 66608 (Vitamin D or D fractions – 1 or more tests, Fee $33.20). Anti-osteoporotic medication on the PBS is shown in </w:t>
      </w:r>
      <w:r>
        <w:rPr>
          <w:lang w:eastAsia="ja-JP"/>
        </w:rPr>
        <w:fldChar w:fldCharType="begin"/>
      </w:r>
      <w:r>
        <w:rPr>
          <w:lang w:eastAsia="ja-JP"/>
        </w:rPr>
        <w:instrText xml:space="preserve"> REF _Ref358199818 \h </w:instrText>
      </w:r>
      <w:r>
        <w:rPr>
          <w:lang w:eastAsia="ja-JP"/>
        </w:rPr>
      </w:r>
      <w:r>
        <w:rPr>
          <w:lang w:eastAsia="ja-JP"/>
        </w:rPr>
        <w:fldChar w:fldCharType="separate"/>
      </w:r>
      <w:r w:rsidR="00255656" w:rsidRPr="00FA270C">
        <w:t>Appendix 3</w:t>
      </w:r>
      <w:r w:rsidR="00255656" w:rsidRPr="00FA270C">
        <w:tab/>
        <w:t>PBS listed pharmaceuticals (by drug) for the treatment of diseases of bone structure and mineralisation</w:t>
      </w:r>
      <w:r>
        <w:rPr>
          <w:lang w:eastAsia="ja-JP"/>
        </w:rPr>
        <w:fldChar w:fldCharType="end"/>
      </w:r>
      <w:r w:rsidRPr="00FA270C">
        <w:rPr>
          <w:lang w:eastAsia="ja-JP"/>
        </w:rPr>
        <w:t xml:space="preserve"> (by drug) and </w:t>
      </w:r>
      <w:r>
        <w:rPr>
          <w:lang w:eastAsia="ja-JP"/>
        </w:rPr>
        <w:fldChar w:fldCharType="begin"/>
      </w:r>
      <w:r>
        <w:rPr>
          <w:lang w:eastAsia="ja-JP"/>
        </w:rPr>
        <w:instrText xml:space="preserve"> REF _Ref358199841 \h </w:instrText>
      </w:r>
      <w:r>
        <w:rPr>
          <w:lang w:eastAsia="ja-JP"/>
        </w:rPr>
      </w:r>
      <w:r>
        <w:rPr>
          <w:lang w:eastAsia="ja-JP"/>
        </w:rPr>
        <w:fldChar w:fldCharType="separate"/>
      </w:r>
      <w:r w:rsidR="00255656" w:rsidRPr="00FA270C">
        <w:t>Appendix 4</w:t>
      </w:r>
      <w:r w:rsidR="00255656" w:rsidRPr="00FA270C">
        <w:tab/>
        <w:t>PBS listed pharmaceuticals (by indication) for treatment of diseases of bone structure and mineralisation</w:t>
      </w:r>
      <w:r>
        <w:rPr>
          <w:lang w:eastAsia="ja-JP"/>
        </w:rPr>
        <w:fldChar w:fldCharType="end"/>
      </w:r>
      <w:r w:rsidRPr="00FA270C">
        <w:rPr>
          <w:lang w:eastAsia="ja-JP"/>
        </w:rPr>
        <w:t xml:space="preserve"> (by indication). PBS eligibility is in general focused to specific indications. A T-score is required for most indications, other than where patients have a fracture due to minimal trauma, where the fracture has been established using radiology.</w:t>
      </w:r>
    </w:p>
    <w:p w:rsidR="00255656" w:rsidRDefault="00F86C9F">
      <w:pPr>
        <w:spacing w:after="0" w:line="240" w:lineRule="auto"/>
        <w:jc w:val="left"/>
        <w:rPr>
          <w:rFonts w:ascii="Arial Narrow" w:eastAsia="Times New Roman" w:hAnsi="Arial Narrow"/>
          <w:b/>
          <w:lang w:eastAsia="ja-JP"/>
        </w:rPr>
      </w:pPr>
      <w:r w:rsidRPr="00FA270C">
        <w:fldChar w:fldCharType="begin"/>
      </w:r>
      <w:r w:rsidRPr="00FA270C">
        <w:instrText xml:space="preserve"> REF _Ref335897693 \h </w:instrText>
      </w:r>
      <w:r w:rsidRPr="00FA270C">
        <w:fldChar w:fldCharType="separate"/>
      </w:r>
      <w:r w:rsidR="00255656">
        <w:br w:type="page"/>
      </w:r>
    </w:p>
    <w:p w:rsidR="00F86C9F" w:rsidRPr="00FA270C" w:rsidRDefault="00255656" w:rsidP="00524DE4">
      <w:pPr>
        <w:rPr>
          <w:rFonts w:ascii="Arial Narrow" w:hAnsi="Arial Narrow"/>
          <w:b/>
          <w:lang w:eastAsia="ja-JP"/>
        </w:rPr>
      </w:pPr>
      <w:r w:rsidRPr="00FA270C">
        <w:lastRenderedPageBreak/>
        <w:t xml:space="preserve">Table </w:t>
      </w:r>
      <w:r>
        <w:rPr>
          <w:noProof/>
        </w:rPr>
        <w:t>4</w:t>
      </w:r>
      <w:r w:rsidR="00F86C9F" w:rsidRPr="00FA270C">
        <w:fldChar w:fldCharType="end"/>
      </w:r>
      <w:r w:rsidR="00F86C9F" w:rsidRPr="00FA270C">
        <w:t xml:space="preserve"> provides</w:t>
      </w:r>
      <w:r w:rsidR="009D158F">
        <w:t xml:space="preserve"> data regarding the</w:t>
      </w:r>
      <w:r w:rsidR="00F86C9F" w:rsidRPr="00FA270C">
        <w:t xml:space="preserve"> utilisation of DXA services between July 2009 and June 2010.</w:t>
      </w:r>
      <w:r w:rsidR="00524DE4" w:rsidRPr="00FA270C">
        <w:rPr>
          <w:rFonts w:ascii="Arial Narrow" w:hAnsi="Arial Narrow"/>
          <w:b/>
          <w:lang w:eastAsia="ja-JP"/>
        </w:rPr>
        <w:t xml:space="preserve"> </w:t>
      </w:r>
    </w:p>
    <w:p w:rsidR="00E445A5" w:rsidRDefault="00E445A5">
      <w:pPr>
        <w:spacing w:after="0" w:line="240" w:lineRule="auto"/>
        <w:jc w:val="left"/>
        <w:rPr>
          <w:rFonts w:ascii="Arial Narrow" w:eastAsia="Times New Roman" w:hAnsi="Arial Narrow"/>
          <w:b/>
          <w:lang w:eastAsia="ja-JP"/>
        </w:rPr>
      </w:pPr>
      <w:bookmarkStart w:id="31" w:name="_Ref335897693"/>
      <w:bookmarkEnd w:id="30"/>
      <w:r>
        <w:br w:type="page"/>
      </w:r>
    </w:p>
    <w:p w:rsidR="00F86C9F" w:rsidRPr="00FA270C" w:rsidRDefault="00F86C9F">
      <w:pPr>
        <w:pStyle w:val="Caption"/>
        <w:rPr>
          <w:rFonts w:ascii="Calibri" w:hAnsi="Calibri" w:cs="Calibri"/>
          <w:sz w:val="22"/>
          <w:szCs w:val="22"/>
          <w:lang w:val="en-AU"/>
        </w:rPr>
      </w:pPr>
      <w:r w:rsidRPr="00FA270C">
        <w:rPr>
          <w:lang w:val="en-AU"/>
        </w:rPr>
        <w:lastRenderedPageBreak/>
        <w:t xml:space="preserve">Table </w:t>
      </w:r>
      <w:r w:rsidRPr="00FA270C">
        <w:rPr>
          <w:lang w:val="en-AU"/>
        </w:rPr>
        <w:fldChar w:fldCharType="begin"/>
      </w:r>
      <w:r w:rsidRPr="00FA270C">
        <w:rPr>
          <w:lang w:val="en-AU"/>
        </w:rPr>
        <w:instrText xml:space="preserve"> SEQ Table \* ARABIC </w:instrText>
      </w:r>
      <w:r w:rsidRPr="00FA270C">
        <w:rPr>
          <w:lang w:val="en-AU"/>
        </w:rPr>
        <w:fldChar w:fldCharType="separate"/>
      </w:r>
      <w:r w:rsidR="00255656">
        <w:rPr>
          <w:noProof/>
          <w:lang w:val="en-AU"/>
        </w:rPr>
        <w:t>4</w:t>
      </w:r>
      <w:r w:rsidRPr="00FA270C">
        <w:rPr>
          <w:lang w:val="en-AU"/>
        </w:rPr>
        <w:fldChar w:fldCharType="end"/>
      </w:r>
      <w:bookmarkEnd w:id="31"/>
      <w:r w:rsidRPr="00FA270C">
        <w:rPr>
          <w:lang w:val="en-AU"/>
        </w:rPr>
        <w:tab/>
      </w:r>
      <w:r w:rsidRPr="00FA270C">
        <w:rPr>
          <w:lang w:val="en-AU"/>
        </w:rPr>
        <w:tab/>
      </w:r>
      <w:r w:rsidRPr="00FA270C">
        <w:rPr>
          <w:lang w:val="en-AU"/>
        </w:rPr>
        <w:tab/>
      </w:r>
      <w:r w:rsidR="009D158F">
        <w:rPr>
          <w:rFonts w:ascii="Calibri" w:hAnsi="Calibri" w:cs="Calibri"/>
          <w:b w:val="0"/>
          <w:sz w:val="22"/>
          <w:szCs w:val="22"/>
          <w:lang w:val="en-AU"/>
        </w:rPr>
        <w:t>MBS items utilis</w:t>
      </w:r>
      <w:r w:rsidRPr="00FA270C">
        <w:rPr>
          <w:rFonts w:ascii="Calibri" w:hAnsi="Calibri" w:cs="Calibri"/>
          <w:b w:val="0"/>
          <w:sz w:val="22"/>
          <w:szCs w:val="22"/>
          <w:lang w:val="en-AU"/>
        </w:rPr>
        <w:t>ed between July 2009 and June 2010 for DXA scanning.</w:t>
      </w:r>
    </w:p>
    <w:p w:rsidR="00F86C9F" w:rsidRPr="00FA270C" w:rsidRDefault="00F86C9F">
      <w:pPr>
        <w:rPr>
          <w:lang w:eastAsia="ja-JP"/>
        </w:rPr>
      </w:pP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1320"/>
        <w:gridCol w:w="1320"/>
        <w:gridCol w:w="1320"/>
        <w:gridCol w:w="1320"/>
        <w:gridCol w:w="1320"/>
        <w:gridCol w:w="1321"/>
        <w:gridCol w:w="1321"/>
      </w:tblGrid>
      <w:tr w:rsidR="00F86C9F" w:rsidRPr="00FA270C">
        <w:tc>
          <w:tcPr>
            <w:tcW w:w="1320" w:type="dxa"/>
          </w:tcPr>
          <w:p w:rsidR="00F86C9F" w:rsidRPr="00FA270C" w:rsidRDefault="00F86C9F">
            <w:pPr>
              <w:tabs>
                <w:tab w:val="left" w:pos="2835"/>
              </w:tabs>
              <w:spacing w:before="120" w:after="120" w:line="240" w:lineRule="atLeast"/>
              <w:jc w:val="center"/>
              <w:rPr>
                <w:rFonts w:ascii="Calibri" w:hAnsi="Calibri" w:cs="Calibri"/>
                <w:b/>
                <w:sz w:val="18"/>
                <w:szCs w:val="18"/>
              </w:rPr>
            </w:pPr>
            <w:r w:rsidRPr="00FA270C">
              <w:rPr>
                <w:rFonts w:ascii="Calibri" w:hAnsi="Calibri" w:cs="Calibri"/>
                <w:b/>
                <w:sz w:val="18"/>
                <w:szCs w:val="18"/>
              </w:rPr>
              <w:t>MBS item</w:t>
            </w:r>
          </w:p>
        </w:tc>
        <w:tc>
          <w:tcPr>
            <w:tcW w:w="1320" w:type="dxa"/>
          </w:tcPr>
          <w:p w:rsidR="00F86C9F" w:rsidRPr="00FA270C" w:rsidRDefault="00F86C9F">
            <w:pPr>
              <w:tabs>
                <w:tab w:val="left" w:pos="2835"/>
              </w:tabs>
              <w:spacing w:before="120" w:after="120" w:line="240" w:lineRule="atLeast"/>
              <w:ind w:left="-186" w:right="-128"/>
              <w:jc w:val="center"/>
              <w:rPr>
                <w:rFonts w:ascii="Calibri" w:hAnsi="Calibri" w:cs="Calibri"/>
                <w:b/>
                <w:sz w:val="18"/>
                <w:szCs w:val="18"/>
              </w:rPr>
            </w:pPr>
            <w:r w:rsidRPr="00FA270C">
              <w:rPr>
                <w:rFonts w:ascii="Calibri" w:hAnsi="Calibri" w:cs="Calibri"/>
                <w:b/>
                <w:sz w:val="18"/>
                <w:szCs w:val="18"/>
              </w:rPr>
              <w:t xml:space="preserve">45-54 years </w:t>
            </w:r>
          </w:p>
          <w:p w:rsidR="00F86C9F" w:rsidRPr="00FA270C" w:rsidRDefault="00F86C9F">
            <w:pPr>
              <w:tabs>
                <w:tab w:val="left" w:pos="2835"/>
              </w:tabs>
              <w:spacing w:before="120" w:after="120" w:line="240" w:lineRule="atLeast"/>
              <w:ind w:left="-186" w:right="-128"/>
              <w:jc w:val="center"/>
              <w:rPr>
                <w:rFonts w:ascii="Calibri" w:hAnsi="Calibri" w:cs="Calibri"/>
                <w:b/>
                <w:i/>
                <w:sz w:val="18"/>
                <w:szCs w:val="18"/>
              </w:rPr>
            </w:pPr>
            <w:r w:rsidRPr="00FA270C">
              <w:rPr>
                <w:rFonts w:ascii="Calibri" w:hAnsi="Calibri" w:cs="Calibri"/>
                <w:b/>
                <w:i/>
                <w:sz w:val="18"/>
                <w:szCs w:val="18"/>
              </w:rPr>
              <w:t>(per 100,000)</w:t>
            </w:r>
          </w:p>
        </w:tc>
        <w:tc>
          <w:tcPr>
            <w:tcW w:w="1320" w:type="dxa"/>
          </w:tcPr>
          <w:p w:rsidR="00F86C9F" w:rsidRPr="00FA270C" w:rsidRDefault="00F86C9F">
            <w:pPr>
              <w:tabs>
                <w:tab w:val="left" w:pos="2835"/>
              </w:tabs>
              <w:spacing w:before="120" w:after="120" w:line="240" w:lineRule="atLeast"/>
              <w:ind w:left="-88" w:right="-84"/>
              <w:jc w:val="center"/>
              <w:rPr>
                <w:rFonts w:ascii="Calibri" w:hAnsi="Calibri" w:cs="Calibri"/>
                <w:b/>
                <w:sz w:val="18"/>
                <w:szCs w:val="18"/>
              </w:rPr>
            </w:pPr>
            <w:r w:rsidRPr="00FA270C">
              <w:rPr>
                <w:rFonts w:ascii="Calibri" w:hAnsi="Calibri" w:cs="Calibri"/>
                <w:b/>
                <w:sz w:val="18"/>
                <w:szCs w:val="18"/>
              </w:rPr>
              <w:t xml:space="preserve">55-64 years </w:t>
            </w:r>
          </w:p>
          <w:p w:rsidR="00F86C9F" w:rsidRPr="00FA270C" w:rsidRDefault="00F86C9F">
            <w:pPr>
              <w:tabs>
                <w:tab w:val="left" w:pos="2835"/>
              </w:tabs>
              <w:spacing w:before="120" w:after="120" w:line="240" w:lineRule="atLeast"/>
              <w:ind w:left="-88" w:right="-84"/>
              <w:jc w:val="center"/>
              <w:rPr>
                <w:rFonts w:ascii="Calibri" w:hAnsi="Calibri" w:cs="Calibri"/>
                <w:b/>
                <w:sz w:val="18"/>
                <w:szCs w:val="18"/>
              </w:rPr>
            </w:pPr>
            <w:r w:rsidRPr="00FA270C">
              <w:rPr>
                <w:rFonts w:ascii="Calibri" w:hAnsi="Calibri" w:cs="Calibri"/>
                <w:b/>
                <w:i/>
                <w:sz w:val="18"/>
                <w:szCs w:val="18"/>
              </w:rPr>
              <w:t>(per 100,000)</w:t>
            </w:r>
          </w:p>
        </w:tc>
        <w:tc>
          <w:tcPr>
            <w:tcW w:w="1320" w:type="dxa"/>
          </w:tcPr>
          <w:p w:rsidR="00F86C9F" w:rsidRPr="00FA270C" w:rsidRDefault="00F86C9F">
            <w:pPr>
              <w:tabs>
                <w:tab w:val="left" w:pos="2835"/>
              </w:tabs>
              <w:spacing w:before="120" w:after="120" w:line="240" w:lineRule="atLeast"/>
              <w:ind w:left="-132" w:right="-181"/>
              <w:jc w:val="center"/>
              <w:rPr>
                <w:rFonts w:ascii="Calibri" w:hAnsi="Calibri" w:cs="Calibri"/>
                <w:b/>
                <w:sz w:val="18"/>
                <w:szCs w:val="18"/>
              </w:rPr>
            </w:pPr>
            <w:r w:rsidRPr="00FA270C">
              <w:rPr>
                <w:rFonts w:ascii="Calibri" w:hAnsi="Calibri" w:cs="Calibri"/>
                <w:b/>
                <w:sz w:val="18"/>
                <w:szCs w:val="18"/>
              </w:rPr>
              <w:t xml:space="preserve">65-74 years </w:t>
            </w:r>
          </w:p>
          <w:p w:rsidR="00F86C9F" w:rsidRPr="00FA270C" w:rsidRDefault="00F86C9F">
            <w:pPr>
              <w:tabs>
                <w:tab w:val="left" w:pos="2835"/>
              </w:tabs>
              <w:spacing w:before="120" w:after="120" w:line="240" w:lineRule="atLeast"/>
              <w:ind w:left="-132" w:right="-181"/>
              <w:jc w:val="center"/>
              <w:rPr>
                <w:rFonts w:ascii="Calibri" w:hAnsi="Calibri" w:cs="Calibri"/>
                <w:b/>
                <w:sz w:val="18"/>
                <w:szCs w:val="18"/>
              </w:rPr>
            </w:pPr>
            <w:r w:rsidRPr="00FA270C">
              <w:rPr>
                <w:rFonts w:ascii="Calibri" w:hAnsi="Calibri" w:cs="Calibri"/>
                <w:b/>
                <w:i/>
                <w:sz w:val="18"/>
                <w:szCs w:val="18"/>
              </w:rPr>
              <w:t>(per 100,000)</w:t>
            </w:r>
          </w:p>
        </w:tc>
        <w:tc>
          <w:tcPr>
            <w:tcW w:w="1320" w:type="dxa"/>
          </w:tcPr>
          <w:p w:rsidR="00F86C9F" w:rsidRPr="00FA270C" w:rsidRDefault="00F86C9F">
            <w:pPr>
              <w:tabs>
                <w:tab w:val="left" w:pos="2835"/>
              </w:tabs>
              <w:spacing w:before="120" w:after="120" w:line="240" w:lineRule="atLeast"/>
              <w:ind w:left="-177" w:right="-137"/>
              <w:jc w:val="center"/>
              <w:rPr>
                <w:rFonts w:ascii="Calibri" w:hAnsi="Calibri" w:cs="Calibri"/>
                <w:b/>
                <w:sz w:val="18"/>
                <w:szCs w:val="18"/>
              </w:rPr>
            </w:pPr>
            <w:r w:rsidRPr="00FA270C">
              <w:rPr>
                <w:rFonts w:ascii="Calibri" w:hAnsi="Calibri" w:cs="Calibri"/>
                <w:b/>
                <w:sz w:val="18"/>
                <w:szCs w:val="18"/>
              </w:rPr>
              <w:t xml:space="preserve">75-84 years </w:t>
            </w:r>
          </w:p>
          <w:p w:rsidR="00F86C9F" w:rsidRPr="00FA270C" w:rsidRDefault="00F86C9F">
            <w:pPr>
              <w:tabs>
                <w:tab w:val="left" w:pos="2835"/>
              </w:tabs>
              <w:spacing w:before="120" w:after="120" w:line="240" w:lineRule="atLeast"/>
              <w:ind w:left="-177" w:right="-137"/>
              <w:jc w:val="center"/>
              <w:rPr>
                <w:rFonts w:ascii="Calibri" w:hAnsi="Calibri" w:cs="Calibri"/>
                <w:b/>
                <w:sz w:val="18"/>
                <w:szCs w:val="18"/>
              </w:rPr>
            </w:pPr>
            <w:r w:rsidRPr="00FA270C">
              <w:rPr>
                <w:rFonts w:ascii="Calibri" w:hAnsi="Calibri" w:cs="Calibri"/>
                <w:b/>
                <w:i/>
                <w:sz w:val="18"/>
                <w:szCs w:val="18"/>
              </w:rPr>
              <w:t>(per 100,000)</w:t>
            </w:r>
          </w:p>
        </w:tc>
        <w:tc>
          <w:tcPr>
            <w:tcW w:w="1321" w:type="dxa"/>
          </w:tcPr>
          <w:p w:rsidR="00F86C9F" w:rsidRPr="00FA270C" w:rsidRDefault="00F86C9F">
            <w:pPr>
              <w:tabs>
                <w:tab w:val="left" w:pos="2835"/>
              </w:tabs>
              <w:spacing w:before="120" w:after="120" w:line="240" w:lineRule="atLeast"/>
              <w:ind w:left="-79" w:right="-92"/>
              <w:jc w:val="center"/>
              <w:rPr>
                <w:rFonts w:ascii="Calibri" w:hAnsi="Calibri" w:cs="Calibri"/>
                <w:b/>
                <w:sz w:val="18"/>
                <w:szCs w:val="18"/>
              </w:rPr>
            </w:pPr>
            <w:r w:rsidRPr="00FA270C">
              <w:rPr>
                <w:rFonts w:ascii="Calibri" w:hAnsi="Calibri" w:cs="Calibri"/>
                <w:b/>
                <w:sz w:val="18"/>
                <w:szCs w:val="18"/>
              </w:rPr>
              <w:t xml:space="preserve">≥85 years </w:t>
            </w:r>
          </w:p>
          <w:p w:rsidR="00F86C9F" w:rsidRPr="00FA270C" w:rsidRDefault="00F86C9F">
            <w:pPr>
              <w:tabs>
                <w:tab w:val="left" w:pos="2835"/>
              </w:tabs>
              <w:spacing w:before="120" w:after="120" w:line="240" w:lineRule="atLeast"/>
              <w:ind w:left="-79" w:right="-92"/>
              <w:jc w:val="center"/>
              <w:rPr>
                <w:rFonts w:ascii="Calibri" w:hAnsi="Calibri" w:cs="Calibri"/>
                <w:b/>
                <w:sz w:val="18"/>
                <w:szCs w:val="18"/>
              </w:rPr>
            </w:pPr>
            <w:r w:rsidRPr="00FA270C">
              <w:rPr>
                <w:rFonts w:ascii="Calibri" w:hAnsi="Calibri" w:cs="Calibri"/>
                <w:b/>
                <w:i/>
                <w:sz w:val="18"/>
                <w:szCs w:val="18"/>
              </w:rPr>
              <w:t>(per 100,000)</w:t>
            </w:r>
          </w:p>
        </w:tc>
        <w:tc>
          <w:tcPr>
            <w:tcW w:w="1321" w:type="dxa"/>
            <w:shd w:val="clear" w:color="auto" w:fill="F2F2F2"/>
          </w:tcPr>
          <w:p w:rsidR="00F86C9F" w:rsidRPr="00FA270C" w:rsidRDefault="00F86C9F">
            <w:pPr>
              <w:tabs>
                <w:tab w:val="left" w:pos="2835"/>
              </w:tabs>
              <w:spacing w:before="120" w:after="120" w:line="240" w:lineRule="atLeast"/>
              <w:ind w:left="-124" w:right="-46"/>
              <w:jc w:val="right"/>
              <w:rPr>
                <w:rFonts w:ascii="Calibri" w:hAnsi="Calibri" w:cs="Calibri"/>
                <w:b/>
                <w:sz w:val="18"/>
                <w:szCs w:val="18"/>
              </w:rPr>
            </w:pPr>
            <w:r w:rsidRPr="00FA270C">
              <w:rPr>
                <w:rFonts w:ascii="Calibri" w:hAnsi="Calibri" w:cs="Calibri"/>
                <w:b/>
                <w:sz w:val="18"/>
                <w:szCs w:val="18"/>
              </w:rPr>
              <w:t>TOTAL – all ages</w:t>
            </w:r>
          </w:p>
          <w:p w:rsidR="00F86C9F" w:rsidRPr="00FA270C" w:rsidRDefault="00F86C9F">
            <w:pPr>
              <w:tabs>
                <w:tab w:val="left" w:pos="2835"/>
              </w:tabs>
              <w:spacing w:before="120" w:after="120" w:line="240" w:lineRule="atLeast"/>
              <w:jc w:val="center"/>
              <w:rPr>
                <w:rFonts w:ascii="Calibri" w:hAnsi="Calibri" w:cs="Calibri"/>
                <w:b/>
                <w:i/>
                <w:sz w:val="18"/>
                <w:szCs w:val="18"/>
              </w:rPr>
            </w:pPr>
            <w:r w:rsidRPr="00FA270C">
              <w:rPr>
                <w:rFonts w:ascii="Calibri" w:hAnsi="Calibri" w:cs="Calibri"/>
                <w:b/>
                <w:i/>
                <w:sz w:val="18"/>
                <w:szCs w:val="18"/>
              </w:rPr>
              <w:t>(per 100,000)</w:t>
            </w:r>
          </w:p>
        </w:tc>
      </w:tr>
      <w:tr w:rsidR="00F86C9F" w:rsidRPr="00FA270C">
        <w:tc>
          <w:tcPr>
            <w:tcW w:w="1320" w:type="dxa"/>
          </w:tcPr>
          <w:p w:rsidR="00F86C9F" w:rsidRPr="00FA270C" w:rsidRDefault="00F86C9F" w:rsidP="00E968BB">
            <w:pPr>
              <w:tabs>
                <w:tab w:val="left" w:pos="2835"/>
              </w:tabs>
              <w:spacing w:before="120" w:after="120" w:line="240" w:lineRule="atLeast"/>
              <w:jc w:val="left"/>
              <w:rPr>
                <w:rFonts w:ascii="Calibri" w:hAnsi="Calibri" w:cs="Calibri"/>
                <w:b/>
                <w:sz w:val="18"/>
                <w:szCs w:val="18"/>
              </w:rPr>
            </w:pPr>
            <w:r w:rsidRPr="00FA270C">
              <w:rPr>
                <w:rFonts w:ascii="Calibri" w:hAnsi="Calibri" w:cs="Calibri"/>
                <w:b/>
                <w:sz w:val="18"/>
                <w:szCs w:val="18"/>
              </w:rPr>
              <w:t>12306</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9,024</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(587)</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23,509</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(1,854)</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18,179</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(2,261)</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7,335</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(1,358)</w:t>
            </w:r>
          </w:p>
        </w:tc>
        <w:tc>
          <w:tcPr>
            <w:tcW w:w="1321"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1,391</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(555)</w:t>
            </w:r>
          </w:p>
        </w:tc>
        <w:tc>
          <w:tcPr>
            <w:tcW w:w="1321" w:type="dxa"/>
            <w:shd w:val="clear" w:color="auto" w:fill="F2F2F2"/>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59,438</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(571)</w:t>
            </w:r>
          </w:p>
        </w:tc>
      </w:tr>
      <w:tr w:rsidR="00F86C9F" w:rsidRPr="00FA270C">
        <w:tc>
          <w:tcPr>
            <w:tcW w:w="1320" w:type="dxa"/>
          </w:tcPr>
          <w:p w:rsidR="00F86C9F" w:rsidRPr="00FA270C" w:rsidRDefault="00F86C9F" w:rsidP="00E968BB">
            <w:pPr>
              <w:tabs>
                <w:tab w:val="left" w:pos="2835"/>
              </w:tabs>
              <w:spacing w:before="120" w:after="120" w:line="240" w:lineRule="atLeast"/>
              <w:jc w:val="left"/>
              <w:rPr>
                <w:rFonts w:ascii="Calibri" w:hAnsi="Calibri" w:cs="Calibri"/>
                <w:b/>
                <w:sz w:val="18"/>
                <w:szCs w:val="18"/>
              </w:rPr>
            </w:pPr>
            <w:r w:rsidRPr="00FA270C">
              <w:rPr>
                <w:rFonts w:ascii="Calibri" w:hAnsi="Calibri" w:cs="Calibri"/>
                <w:b/>
                <w:sz w:val="18"/>
                <w:szCs w:val="18"/>
              </w:rPr>
              <w:t>12312</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11,426</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(743)</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16,176</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(1,276)</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10,235</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(1,273)</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2,923</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(541)</w:t>
            </w:r>
          </w:p>
        </w:tc>
        <w:tc>
          <w:tcPr>
            <w:tcW w:w="1321"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394</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(157)</w:t>
            </w:r>
          </w:p>
        </w:tc>
        <w:tc>
          <w:tcPr>
            <w:tcW w:w="1321" w:type="dxa"/>
            <w:shd w:val="clear" w:color="auto" w:fill="F2F2F2"/>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41,154</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(436)</w:t>
            </w:r>
          </w:p>
        </w:tc>
      </w:tr>
      <w:tr w:rsidR="00F86C9F" w:rsidRPr="00FA270C">
        <w:tc>
          <w:tcPr>
            <w:tcW w:w="1320" w:type="dxa"/>
          </w:tcPr>
          <w:p w:rsidR="00F86C9F" w:rsidRPr="00FA270C" w:rsidRDefault="00F86C9F" w:rsidP="00E968BB">
            <w:pPr>
              <w:tabs>
                <w:tab w:val="left" w:pos="2835"/>
              </w:tabs>
              <w:spacing w:before="120" w:after="120" w:line="240" w:lineRule="atLeast"/>
              <w:jc w:val="left"/>
              <w:rPr>
                <w:rFonts w:ascii="Calibri" w:hAnsi="Calibri" w:cs="Calibri"/>
                <w:b/>
                <w:sz w:val="18"/>
                <w:szCs w:val="18"/>
              </w:rPr>
            </w:pPr>
            <w:r w:rsidRPr="00FA270C">
              <w:rPr>
                <w:rFonts w:ascii="Calibri" w:hAnsi="Calibri" w:cs="Calibri"/>
                <w:b/>
                <w:sz w:val="18"/>
                <w:szCs w:val="18"/>
              </w:rPr>
              <w:t>12315</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5,028</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(327)</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7,231</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(570)</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3,915</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(487)</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970</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(180)</w:t>
            </w:r>
          </w:p>
        </w:tc>
        <w:tc>
          <w:tcPr>
            <w:tcW w:w="1321"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129</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(52)</w:t>
            </w:r>
          </w:p>
        </w:tc>
        <w:tc>
          <w:tcPr>
            <w:tcW w:w="1321" w:type="dxa"/>
            <w:shd w:val="clear" w:color="auto" w:fill="F2F2F2"/>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17,273</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(183)</w:t>
            </w:r>
          </w:p>
        </w:tc>
      </w:tr>
      <w:tr w:rsidR="00F86C9F" w:rsidRPr="00FA270C">
        <w:tc>
          <w:tcPr>
            <w:tcW w:w="1320" w:type="dxa"/>
          </w:tcPr>
          <w:p w:rsidR="00F86C9F" w:rsidRPr="00FA270C" w:rsidRDefault="00F86C9F" w:rsidP="00E968BB">
            <w:pPr>
              <w:tabs>
                <w:tab w:val="left" w:pos="2835"/>
              </w:tabs>
              <w:spacing w:before="120" w:after="120" w:line="240" w:lineRule="atLeast"/>
              <w:jc w:val="left"/>
              <w:rPr>
                <w:rFonts w:ascii="Calibri" w:hAnsi="Calibri" w:cs="Calibri"/>
                <w:b/>
                <w:sz w:val="18"/>
                <w:szCs w:val="18"/>
              </w:rPr>
            </w:pPr>
            <w:r w:rsidRPr="00FA270C">
              <w:rPr>
                <w:rFonts w:ascii="Calibri" w:hAnsi="Calibri" w:cs="Calibri"/>
                <w:b/>
                <w:sz w:val="18"/>
                <w:szCs w:val="18"/>
              </w:rPr>
              <w:t>12321</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1,623</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(106)</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5,639</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(445)</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4,906</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(610)</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2,258</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(418)</w:t>
            </w:r>
          </w:p>
        </w:tc>
        <w:tc>
          <w:tcPr>
            <w:tcW w:w="1321"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369</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(147)</w:t>
            </w:r>
          </w:p>
        </w:tc>
        <w:tc>
          <w:tcPr>
            <w:tcW w:w="1321" w:type="dxa"/>
            <w:shd w:val="clear" w:color="auto" w:fill="F2F2F2"/>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14,795</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(140)</w:t>
            </w:r>
          </w:p>
        </w:tc>
      </w:tr>
      <w:tr w:rsidR="00F86C9F" w:rsidRPr="00FA270C">
        <w:tc>
          <w:tcPr>
            <w:tcW w:w="1320" w:type="dxa"/>
          </w:tcPr>
          <w:p w:rsidR="00F86C9F" w:rsidRPr="00FA270C" w:rsidRDefault="00F86C9F" w:rsidP="00E968BB">
            <w:pPr>
              <w:tabs>
                <w:tab w:val="left" w:pos="2835"/>
              </w:tabs>
              <w:spacing w:before="120" w:after="120" w:line="240" w:lineRule="atLeast"/>
              <w:jc w:val="left"/>
              <w:rPr>
                <w:rFonts w:ascii="Calibri" w:hAnsi="Calibri" w:cs="Calibri"/>
                <w:b/>
                <w:sz w:val="18"/>
                <w:szCs w:val="18"/>
              </w:rPr>
            </w:pPr>
            <w:r w:rsidRPr="00FA270C">
              <w:rPr>
                <w:rFonts w:ascii="Calibri" w:hAnsi="Calibri" w:cs="Calibri"/>
                <w:b/>
                <w:sz w:val="18"/>
                <w:szCs w:val="18"/>
              </w:rPr>
              <w:t>12323</w:t>
            </w:r>
            <w:r w:rsidR="008504A1">
              <w:rPr>
                <w:rFonts w:ascii="Calibri" w:hAnsi="Calibri" w:cs="Calibri"/>
                <w:b/>
                <w:sz w:val="18"/>
                <w:szCs w:val="18"/>
              </w:rPr>
              <w:t>*</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N/A</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N/A</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26,280</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(3,268)</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31,833</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(5,893)</w:t>
            </w:r>
          </w:p>
        </w:tc>
        <w:tc>
          <w:tcPr>
            <w:tcW w:w="1321"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5,775</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(2,306)</w:t>
            </w:r>
          </w:p>
        </w:tc>
        <w:tc>
          <w:tcPr>
            <w:tcW w:w="1321" w:type="dxa"/>
            <w:shd w:val="clear" w:color="auto" w:fill="F2F2F2"/>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63,888</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(580)</w:t>
            </w:r>
          </w:p>
        </w:tc>
      </w:tr>
      <w:tr w:rsidR="00F86C9F" w:rsidRPr="00FA270C">
        <w:tc>
          <w:tcPr>
            <w:tcW w:w="1320" w:type="dxa"/>
          </w:tcPr>
          <w:p w:rsidR="00F86C9F" w:rsidRPr="00FA270C" w:rsidRDefault="00F86C9F" w:rsidP="00E968BB">
            <w:pPr>
              <w:tabs>
                <w:tab w:val="left" w:pos="2835"/>
              </w:tabs>
              <w:spacing w:before="120" w:after="120" w:line="240" w:lineRule="atLeast"/>
              <w:jc w:val="left"/>
              <w:rPr>
                <w:rFonts w:ascii="Calibri" w:hAnsi="Calibri" w:cs="Calibri"/>
                <w:b/>
                <w:sz w:val="18"/>
                <w:szCs w:val="18"/>
              </w:rPr>
            </w:pPr>
            <w:r w:rsidRPr="00FA270C">
              <w:rPr>
                <w:rFonts w:ascii="Calibri" w:hAnsi="Calibri" w:cs="Calibri"/>
                <w:b/>
                <w:sz w:val="18"/>
                <w:szCs w:val="18"/>
              </w:rPr>
              <w:t>TOTAL</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27,101</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(441)</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52,555</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(1,036)</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63,515</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(1,580)</w:t>
            </w:r>
          </w:p>
        </w:tc>
        <w:tc>
          <w:tcPr>
            <w:tcW w:w="1320"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45,319</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(1678)</w:t>
            </w:r>
          </w:p>
        </w:tc>
        <w:tc>
          <w:tcPr>
            <w:tcW w:w="1321" w:type="dxa"/>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8,058</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(643)</w:t>
            </w:r>
          </w:p>
        </w:tc>
        <w:tc>
          <w:tcPr>
            <w:tcW w:w="1321" w:type="dxa"/>
            <w:shd w:val="clear" w:color="auto" w:fill="F2F2F2"/>
          </w:tcPr>
          <w:p w:rsidR="00F86C9F" w:rsidRPr="00FA270C" w:rsidRDefault="00F86C9F">
            <w:pPr>
              <w:tabs>
                <w:tab w:val="left" w:pos="2835"/>
              </w:tabs>
              <w:spacing w:before="120" w:after="120" w:line="240" w:lineRule="atLeast"/>
              <w:rPr>
                <w:rFonts w:ascii="Calibri" w:hAnsi="Calibri" w:cs="Calibri"/>
                <w:sz w:val="18"/>
                <w:szCs w:val="18"/>
              </w:rPr>
            </w:pPr>
            <w:r w:rsidRPr="00FA270C">
              <w:rPr>
                <w:rFonts w:ascii="Calibri" w:hAnsi="Calibri" w:cs="Calibri"/>
                <w:sz w:val="18"/>
                <w:szCs w:val="18"/>
              </w:rPr>
              <w:t>196,548</w:t>
            </w:r>
          </w:p>
          <w:p w:rsidR="00F86C9F" w:rsidRPr="00FA270C" w:rsidRDefault="00F86C9F">
            <w:pPr>
              <w:tabs>
                <w:tab w:val="left" w:pos="2835"/>
              </w:tabs>
              <w:spacing w:before="120" w:after="120" w:line="240" w:lineRule="atLeast"/>
              <w:rPr>
                <w:rFonts w:ascii="Calibri" w:hAnsi="Calibri" w:cs="Calibri"/>
                <w:i/>
                <w:sz w:val="18"/>
                <w:szCs w:val="18"/>
              </w:rPr>
            </w:pPr>
            <w:r w:rsidRPr="00FA270C">
              <w:rPr>
                <w:rFonts w:ascii="Calibri" w:hAnsi="Calibri" w:cs="Calibri"/>
                <w:i/>
                <w:sz w:val="18"/>
                <w:szCs w:val="18"/>
              </w:rPr>
              <w:t>(382)</w:t>
            </w:r>
          </w:p>
        </w:tc>
      </w:tr>
    </w:tbl>
    <w:p w:rsidR="008504A1" w:rsidRDefault="008504A1" w:rsidP="00956396">
      <w:pPr>
        <w:spacing w:after="0" w:line="240" w:lineRule="auto"/>
        <w:rPr>
          <w:sz w:val="16"/>
          <w:szCs w:val="16"/>
        </w:rPr>
      </w:pPr>
      <w:r>
        <w:rPr>
          <w:sz w:val="16"/>
          <w:szCs w:val="16"/>
        </w:rPr>
        <w:t>* this item include both DXA and QCT</w:t>
      </w:r>
    </w:p>
    <w:p w:rsidR="00F86C9F" w:rsidRPr="00FA270C" w:rsidRDefault="00F86C9F" w:rsidP="00693945">
      <w:r w:rsidRPr="00FA270C">
        <w:rPr>
          <w:sz w:val="16"/>
          <w:szCs w:val="16"/>
        </w:rPr>
        <w:t xml:space="preserve">Note: the low figures provided for 12306, 12312, 12315 and 12321 for patients ≥75 years of age may not reflect the true incidence of DXA scans clinically included under these item numbers, but instead may have been processed under the &gt;70 years of age MBS item (12323). Source: </w:t>
      </w:r>
      <w:hyperlink r:id="rId13" w:tooltip="This is a link to the PBS online" w:history="1">
        <w:r w:rsidRPr="00FA270C">
          <w:rPr>
            <w:rStyle w:val="Hyperlink"/>
            <w:rFonts w:cs="Tahoma"/>
            <w:sz w:val="16"/>
            <w:szCs w:val="16"/>
          </w:rPr>
          <w:t>http://www9.health.gov.au/mbs/search.cfm</w:t>
        </w:r>
      </w:hyperlink>
      <w:r w:rsidRPr="00FA270C">
        <w:rPr>
          <w:sz w:val="16"/>
          <w:szCs w:val="16"/>
        </w:rPr>
        <w:t>, August 2012</w:t>
      </w:r>
    </w:p>
    <w:p w:rsidR="00F86C9F" w:rsidRPr="00FA270C" w:rsidRDefault="00F86C9F">
      <w:pPr>
        <w:spacing w:after="0" w:line="240" w:lineRule="auto"/>
        <w:jc w:val="left"/>
      </w:pPr>
      <w:r w:rsidRPr="00FA270C">
        <w:br w:type="page"/>
      </w:r>
    </w:p>
    <w:p w:rsidR="00F86C9F" w:rsidRPr="00FA270C" w:rsidRDefault="00F86C9F">
      <w:pPr>
        <w:pStyle w:val="Heading2"/>
        <w:rPr>
          <w:lang w:val="en-AU"/>
        </w:rPr>
      </w:pPr>
      <w:bookmarkStart w:id="32" w:name="_Toc361145565"/>
      <w:bookmarkStart w:id="33" w:name="_Toc362968594"/>
      <w:r w:rsidRPr="00FA270C">
        <w:rPr>
          <w:lang w:val="en-AU"/>
        </w:rPr>
        <w:lastRenderedPageBreak/>
        <w:t>Regulatory status</w:t>
      </w:r>
      <w:bookmarkEnd w:id="32"/>
      <w:bookmarkEnd w:id="33"/>
    </w:p>
    <w:p w:rsidR="00F86C9F" w:rsidRPr="00FA270C" w:rsidRDefault="00F86C9F">
      <w:pPr>
        <w:rPr>
          <w:lang w:eastAsia="ja-JP"/>
        </w:rPr>
      </w:pPr>
      <w:r w:rsidRPr="00FA270C">
        <w:rPr>
          <w:lang w:eastAsia="ja-JP"/>
        </w:rPr>
        <w:t xml:space="preserve">Four DXA devices are used in Australia – Hologic, Lunar, Norland and Medilink. All devices are listed in the ARTG as category IIb devices (medium-high level of risk; </w:t>
      </w:r>
      <w:r w:rsidRPr="00FA270C">
        <w:rPr>
          <w:lang w:eastAsia="ja-JP"/>
        </w:rPr>
        <w:fldChar w:fldCharType="begin"/>
      </w:r>
      <w:r w:rsidRPr="00FA270C">
        <w:rPr>
          <w:lang w:eastAsia="ja-JP"/>
        </w:rPr>
        <w:instrText xml:space="preserve"> REF _Ref320881191 \h </w:instrText>
      </w:r>
      <w:r w:rsidRPr="00FA270C">
        <w:rPr>
          <w:lang w:eastAsia="ja-JP"/>
        </w:rPr>
      </w:r>
      <w:r w:rsidRPr="00FA270C">
        <w:rPr>
          <w:lang w:eastAsia="ja-JP"/>
        </w:rPr>
        <w:fldChar w:fldCharType="separate"/>
      </w:r>
      <w:r w:rsidR="00255656" w:rsidRPr="00FA270C">
        <w:t xml:space="preserve">Table </w:t>
      </w:r>
      <w:r w:rsidR="00255656">
        <w:rPr>
          <w:noProof/>
        </w:rPr>
        <w:t>5</w:t>
      </w:r>
      <w:r w:rsidRPr="00FA270C">
        <w:rPr>
          <w:lang w:eastAsia="ja-JP"/>
        </w:rPr>
        <w:fldChar w:fldCharType="end"/>
      </w:r>
      <w:r w:rsidRPr="00FA270C">
        <w:rPr>
          <w:lang w:eastAsia="ja-JP"/>
        </w:rPr>
        <w:t>) (Global Medical Device Nomenclature (GMDN) code 37661).</w:t>
      </w:r>
    </w:p>
    <w:p w:rsidR="00F86C9F" w:rsidRPr="00FA270C" w:rsidRDefault="00F86C9F">
      <w:pPr>
        <w:pStyle w:val="Caption"/>
        <w:rPr>
          <w:lang w:val="en-AU"/>
        </w:rPr>
      </w:pPr>
      <w:bookmarkStart w:id="34" w:name="_Ref320881191"/>
      <w:r w:rsidRPr="00FA270C">
        <w:rPr>
          <w:lang w:val="en-AU"/>
        </w:rPr>
        <w:t xml:space="preserve">Table </w:t>
      </w:r>
      <w:r w:rsidRPr="00FA270C">
        <w:rPr>
          <w:lang w:val="en-AU"/>
        </w:rPr>
        <w:fldChar w:fldCharType="begin"/>
      </w:r>
      <w:r w:rsidRPr="00FA270C">
        <w:rPr>
          <w:lang w:val="en-AU"/>
        </w:rPr>
        <w:instrText xml:space="preserve"> SEQ Table \* ARABIC </w:instrText>
      </w:r>
      <w:r w:rsidRPr="00FA270C">
        <w:rPr>
          <w:lang w:val="en-AU"/>
        </w:rPr>
        <w:fldChar w:fldCharType="separate"/>
      </w:r>
      <w:r w:rsidR="00255656">
        <w:rPr>
          <w:noProof/>
          <w:lang w:val="en-AU"/>
        </w:rPr>
        <w:t>5</w:t>
      </w:r>
      <w:r w:rsidRPr="00FA270C">
        <w:rPr>
          <w:lang w:val="en-AU"/>
        </w:rPr>
        <w:fldChar w:fldCharType="end"/>
      </w:r>
      <w:bookmarkEnd w:id="34"/>
      <w:r w:rsidR="00524DE4">
        <w:rPr>
          <w:lang w:val="en-AU"/>
        </w:rPr>
        <w:t xml:space="preserve"> </w:t>
      </w:r>
      <w:r w:rsidRPr="00FA270C">
        <w:rPr>
          <w:lang w:val="en-AU"/>
        </w:rPr>
        <w:t>Regulatory status of dual energy X-ray absorptiometry devices</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818"/>
        <w:gridCol w:w="1037"/>
        <w:gridCol w:w="1372"/>
        <w:gridCol w:w="2551"/>
        <w:gridCol w:w="3464"/>
      </w:tblGrid>
      <w:tr w:rsidR="00F86C9F" w:rsidRPr="00FA270C" w:rsidTr="00565BF5">
        <w:tc>
          <w:tcPr>
            <w:tcW w:w="818" w:type="dxa"/>
          </w:tcPr>
          <w:p w:rsidR="00F86C9F" w:rsidRPr="00FA270C" w:rsidRDefault="00F86C9F" w:rsidP="00596ED0">
            <w:pPr>
              <w:tabs>
                <w:tab w:val="left" w:pos="2835"/>
              </w:tabs>
              <w:spacing w:after="0"/>
              <w:jc w:val="left"/>
              <w:rPr>
                <w:rFonts w:ascii="Arial Narrow" w:hAnsi="Arial Narrow"/>
                <w:b/>
                <w:lang w:eastAsia="en-US"/>
              </w:rPr>
            </w:pPr>
            <w:r w:rsidRPr="00FA270C">
              <w:rPr>
                <w:rFonts w:ascii="Arial Narrow" w:hAnsi="Arial Narrow"/>
                <w:b/>
                <w:lang w:eastAsia="en-US"/>
              </w:rPr>
              <w:t>ARTG number</w:t>
            </w:r>
          </w:p>
        </w:tc>
        <w:tc>
          <w:tcPr>
            <w:tcW w:w="1037" w:type="dxa"/>
          </w:tcPr>
          <w:p w:rsidR="00F86C9F" w:rsidRPr="00FA270C" w:rsidRDefault="00F86C9F" w:rsidP="00596ED0">
            <w:pPr>
              <w:tabs>
                <w:tab w:val="left" w:pos="2835"/>
              </w:tabs>
              <w:spacing w:after="0"/>
              <w:jc w:val="left"/>
              <w:rPr>
                <w:rFonts w:ascii="Arial Narrow" w:hAnsi="Arial Narrow"/>
                <w:b/>
                <w:lang w:eastAsia="en-US"/>
              </w:rPr>
            </w:pPr>
            <w:r w:rsidRPr="00FA270C">
              <w:rPr>
                <w:rFonts w:ascii="Arial Narrow" w:hAnsi="Arial Narrow"/>
                <w:b/>
                <w:lang w:eastAsia="en-US"/>
              </w:rPr>
              <w:t>Approval date</w:t>
            </w:r>
          </w:p>
        </w:tc>
        <w:tc>
          <w:tcPr>
            <w:tcW w:w="1372" w:type="dxa"/>
          </w:tcPr>
          <w:p w:rsidR="00F86C9F" w:rsidRPr="00FA270C" w:rsidRDefault="00F86C9F" w:rsidP="00596ED0">
            <w:pPr>
              <w:tabs>
                <w:tab w:val="left" w:pos="2835"/>
              </w:tabs>
              <w:spacing w:after="0"/>
              <w:jc w:val="left"/>
              <w:rPr>
                <w:rFonts w:ascii="Arial Narrow" w:hAnsi="Arial Narrow"/>
                <w:b/>
                <w:lang w:eastAsia="en-US"/>
              </w:rPr>
            </w:pPr>
            <w:r w:rsidRPr="00FA270C">
              <w:rPr>
                <w:rFonts w:ascii="Arial Narrow" w:hAnsi="Arial Narrow"/>
                <w:b/>
                <w:lang w:eastAsia="en-US"/>
              </w:rPr>
              <w:t>Manufacturer</w:t>
            </w:r>
          </w:p>
        </w:tc>
        <w:tc>
          <w:tcPr>
            <w:tcW w:w="2551" w:type="dxa"/>
          </w:tcPr>
          <w:p w:rsidR="00F86C9F" w:rsidRPr="00FA270C" w:rsidRDefault="00F86C9F" w:rsidP="00596ED0">
            <w:pPr>
              <w:tabs>
                <w:tab w:val="left" w:pos="2835"/>
              </w:tabs>
              <w:spacing w:after="0"/>
              <w:jc w:val="left"/>
              <w:rPr>
                <w:rFonts w:ascii="Arial Narrow" w:hAnsi="Arial Narrow"/>
                <w:b/>
                <w:lang w:eastAsia="en-US"/>
              </w:rPr>
            </w:pPr>
            <w:r w:rsidRPr="00FA270C">
              <w:rPr>
                <w:rFonts w:ascii="Arial Narrow" w:hAnsi="Arial Narrow"/>
                <w:b/>
                <w:lang w:eastAsia="en-US"/>
              </w:rPr>
              <w:t>Product name</w:t>
            </w:r>
          </w:p>
        </w:tc>
        <w:tc>
          <w:tcPr>
            <w:tcW w:w="3464" w:type="dxa"/>
          </w:tcPr>
          <w:p w:rsidR="00F86C9F" w:rsidRPr="00FA270C" w:rsidRDefault="00F86C9F" w:rsidP="00596ED0">
            <w:pPr>
              <w:tabs>
                <w:tab w:val="left" w:pos="2835"/>
              </w:tabs>
              <w:spacing w:after="0"/>
              <w:jc w:val="left"/>
              <w:rPr>
                <w:rFonts w:ascii="Arial Narrow" w:hAnsi="Arial Narrow"/>
                <w:b/>
                <w:lang w:eastAsia="en-US"/>
              </w:rPr>
            </w:pPr>
            <w:r w:rsidRPr="00FA270C">
              <w:rPr>
                <w:rFonts w:ascii="Arial Narrow" w:hAnsi="Arial Narrow"/>
                <w:b/>
                <w:lang w:eastAsia="en-US"/>
              </w:rPr>
              <w:t>Approved indication</w:t>
            </w:r>
          </w:p>
        </w:tc>
      </w:tr>
      <w:tr w:rsidR="00F86C9F" w:rsidRPr="00FA270C" w:rsidTr="00565BF5">
        <w:tc>
          <w:tcPr>
            <w:tcW w:w="818" w:type="dxa"/>
          </w:tcPr>
          <w:p w:rsidR="00F86C9F" w:rsidRPr="00FA270C" w:rsidRDefault="00F86C9F" w:rsidP="00596ED0">
            <w:pPr>
              <w:tabs>
                <w:tab w:val="left" w:pos="2835"/>
              </w:tabs>
              <w:spacing w:after="0"/>
              <w:contextualSpacing/>
              <w:jc w:val="left"/>
              <w:rPr>
                <w:rFonts w:ascii="Arial Narrow" w:hAnsi="Arial Narrow"/>
                <w:lang w:eastAsia="en-US"/>
              </w:rPr>
            </w:pPr>
            <w:r w:rsidRPr="00FA270C">
              <w:rPr>
                <w:rFonts w:ascii="Arial Narrow" w:hAnsi="Arial Narrow"/>
                <w:lang w:eastAsia="en-US"/>
              </w:rPr>
              <w:t>97975</w:t>
            </w:r>
          </w:p>
          <w:p w:rsidR="00F86C9F" w:rsidRPr="00FA270C" w:rsidRDefault="00F86C9F" w:rsidP="00596ED0">
            <w:pPr>
              <w:tabs>
                <w:tab w:val="left" w:pos="2835"/>
              </w:tabs>
              <w:spacing w:after="0"/>
              <w:jc w:val="left"/>
              <w:rPr>
                <w:rFonts w:ascii="Arial Narrow" w:hAnsi="Arial Narrow"/>
                <w:lang w:eastAsia="en-US"/>
              </w:rPr>
            </w:pPr>
          </w:p>
        </w:tc>
        <w:tc>
          <w:tcPr>
            <w:tcW w:w="1037" w:type="dxa"/>
          </w:tcPr>
          <w:p w:rsidR="00F86C9F" w:rsidRPr="00FA270C" w:rsidRDefault="00F86C9F" w:rsidP="00596ED0">
            <w:pPr>
              <w:tabs>
                <w:tab w:val="left" w:pos="2835"/>
              </w:tabs>
              <w:spacing w:after="0"/>
              <w:contextualSpacing/>
              <w:jc w:val="left"/>
              <w:rPr>
                <w:rFonts w:ascii="Arial Narrow" w:hAnsi="Arial Narrow"/>
                <w:lang w:eastAsia="en-US"/>
              </w:rPr>
            </w:pPr>
            <w:r w:rsidRPr="00FA270C">
              <w:rPr>
                <w:rFonts w:ascii="Arial Narrow" w:hAnsi="Arial Narrow"/>
                <w:lang w:eastAsia="en-US"/>
              </w:rPr>
              <w:t>10/11/2003</w:t>
            </w:r>
          </w:p>
        </w:tc>
        <w:tc>
          <w:tcPr>
            <w:tcW w:w="1372" w:type="dxa"/>
          </w:tcPr>
          <w:p w:rsidR="00F86C9F" w:rsidRPr="00FA270C" w:rsidRDefault="00F86C9F" w:rsidP="00596ED0">
            <w:pPr>
              <w:tabs>
                <w:tab w:val="left" w:pos="2835"/>
              </w:tabs>
              <w:spacing w:after="0"/>
              <w:contextualSpacing/>
              <w:jc w:val="left"/>
              <w:rPr>
                <w:rFonts w:ascii="Arial Narrow" w:hAnsi="Arial Narrow"/>
                <w:lang w:eastAsia="en-US"/>
              </w:rPr>
            </w:pPr>
            <w:r w:rsidRPr="00FA270C">
              <w:rPr>
                <w:rFonts w:ascii="Arial Narrow" w:hAnsi="Arial Narrow"/>
                <w:lang w:eastAsia="en-US"/>
              </w:rPr>
              <w:t>GE Medical Systems Lunar</w:t>
            </w:r>
          </w:p>
          <w:p w:rsidR="00F86C9F" w:rsidRPr="00FA270C" w:rsidRDefault="00F86C9F" w:rsidP="00596ED0">
            <w:pPr>
              <w:ind w:firstLine="720"/>
              <w:rPr>
                <w:rFonts w:ascii="Arial Narrow" w:hAnsi="Arial Narrow"/>
                <w:lang w:eastAsia="en-US"/>
              </w:rPr>
            </w:pPr>
          </w:p>
        </w:tc>
        <w:tc>
          <w:tcPr>
            <w:tcW w:w="2551" w:type="dxa"/>
          </w:tcPr>
          <w:p w:rsidR="00F86C9F" w:rsidRPr="00FA270C" w:rsidRDefault="00F86C9F" w:rsidP="00596ED0">
            <w:pPr>
              <w:tabs>
                <w:tab w:val="left" w:pos="2835"/>
              </w:tabs>
              <w:spacing w:after="0"/>
              <w:contextualSpacing/>
              <w:jc w:val="left"/>
              <w:rPr>
                <w:rFonts w:ascii="Arial Narrow" w:hAnsi="Arial Narrow"/>
                <w:lang w:eastAsia="en-US"/>
              </w:rPr>
            </w:pPr>
            <w:r w:rsidRPr="00FA270C">
              <w:rPr>
                <w:rFonts w:ascii="Arial Narrow" w:hAnsi="Arial Narrow"/>
                <w:lang w:eastAsia="en-US"/>
              </w:rPr>
              <w:t>GE Medical Systems Australia Pty Ltd - X-ray system, diagnostic, bone absorptiometer, dual-energy</w:t>
            </w:r>
          </w:p>
        </w:tc>
        <w:tc>
          <w:tcPr>
            <w:tcW w:w="3464"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X-ray imaging for bone densitometry</w:t>
            </w:r>
          </w:p>
        </w:tc>
      </w:tr>
      <w:tr w:rsidR="00F86C9F" w:rsidRPr="00FA270C" w:rsidTr="00565BF5">
        <w:tc>
          <w:tcPr>
            <w:tcW w:w="818"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117461</w:t>
            </w:r>
          </w:p>
          <w:p w:rsidR="00F86C9F" w:rsidRPr="00FA270C" w:rsidRDefault="00F86C9F" w:rsidP="00596ED0">
            <w:pPr>
              <w:tabs>
                <w:tab w:val="left" w:pos="2835"/>
              </w:tabs>
              <w:spacing w:after="0"/>
              <w:jc w:val="left"/>
              <w:rPr>
                <w:rFonts w:ascii="Arial Narrow" w:hAnsi="Arial Narrow"/>
                <w:lang w:eastAsia="en-US"/>
              </w:rPr>
            </w:pPr>
          </w:p>
        </w:tc>
        <w:tc>
          <w:tcPr>
            <w:tcW w:w="1037"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16/03/2005</w:t>
            </w:r>
          </w:p>
        </w:tc>
        <w:tc>
          <w:tcPr>
            <w:tcW w:w="1372"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Norland Corp</w:t>
            </w:r>
          </w:p>
          <w:p w:rsidR="00F86C9F" w:rsidRPr="00FA270C" w:rsidRDefault="00F86C9F" w:rsidP="00596ED0">
            <w:pPr>
              <w:jc w:val="center"/>
              <w:rPr>
                <w:rFonts w:ascii="Arial Narrow" w:hAnsi="Arial Narrow"/>
                <w:lang w:eastAsia="en-US"/>
              </w:rPr>
            </w:pPr>
          </w:p>
        </w:tc>
        <w:tc>
          <w:tcPr>
            <w:tcW w:w="2551"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Inderlec Medical Systems Pty Ltd - X-ray system, diagnostic, bone absorptiometer, dual-energy</w:t>
            </w:r>
          </w:p>
        </w:tc>
        <w:tc>
          <w:tcPr>
            <w:tcW w:w="3464"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For the estimation of bone density and other structural parameters using x-ray absorptiometry for the purpose of aiding in the diagnoasis of osteoporosis including bone regeneration and loss.</w:t>
            </w:r>
          </w:p>
        </w:tc>
      </w:tr>
      <w:tr w:rsidR="00F86C9F" w:rsidRPr="00FA270C" w:rsidTr="00565BF5">
        <w:tc>
          <w:tcPr>
            <w:tcW w:w="818"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119491</w:t>
            </w:r>
          </w:p>
          <w:p w:rsidR="00F86C9F" w:rsidRPr="00FA270C" w:rsidRDefault="00F86C9F" w:rsidP="00596ED0">
            <w:pPr>
              <w:tabs>
                <w:tab w:val="left" w:pos="2835"/>
              </w:tabs>
              <w:spacing w:after="0"/>
              <w:jc w:val="left"/>
              <w:rPr>
                <w:rFonts w:ascii="Arial Narrow" w:hAnsi="Arial Narrow"/>
                <w:lang w:eastAsia="en-US"/>
              </w:rPr>
            </w:pPr>
          </w:p>
        </w:tc>
        <w:tc>
          <w:tcPr>
            <w:tcW w:w="1037"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25/05/2005</w:t>
            </w:r>
          </w:p>
        </w:tc>
        <w:tc>
          <w:tcPr>
            <w:tcW w:w="1372"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Medilink</w:t>
            </w:r>
          </w:p>
        </w:tc>
        <w:tc>
          <w:tcPr>
            <w:tcW w:w="2551"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Inderlec Medical Systems Pty Ltd - X-ray system, diagnostic, bone absorptiometer, dual-energy</w:t>
            </w:r>
          </w:p>
        </w:tc>
        <w:tc>
          <w:tcPr>
            <w:tcW w:w="3464"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For the estimation of bone density and other structural parameters of bones using x-ray absorptiometry for the purpose of aiding in the diagnosis of osteoporosis including bone regeration and loss.</w:t>
            </w:r>
          </w:p>
        </w:tc>
      </w:tr>
      <w:tr w:rsidR="00F86C9F" w:rsidRPr="00FA270C" w:rsidTr="00565BF5">
        <w:tc>
          <w:tcPr>
            <w:tcW w:w="818"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158772</w:t>
            </w:r>
          </w:p>
        </w:tc>
        <w:tc>
          <w:tcPr>
            <w:tcW w:w="1037"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23/01/2009</w:t>
            </w:r>
          </w:p>
        </w:tc>
        <w:tc>
          <w:tcPr>
            <w:tcW w:w="1372"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Hologic Inc</w:t>
            </w:r>
          </w:p>
        </w:tc>
        <w:tc>
          <w:tcPr>
            <w:tcW w:w="2551"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Cytyc Australia Pty Ltd - X-ray system, diagnostic, bone absorptiometer, dual-energy</w:t>
            </w:r>
          </w:p>
        </w:tc>
        <w:tc>
          <w:tcPr>
            <w:tcW w:w="3464" w:type="dxa"/>
          </w:tcPr>
          <w:p w:rsidR="00F86C9F" w:rsidRPr="00FA270C" w:rsidRDefault="00F86C9F" w:rsidP="00596ED0">
            <w:pPr>
              <w:tabs>
                <w:tab w:val="left" w:pos="2835"/>
              </w:tabs>
              <w:spacing w:after="0"/>
              <w:jc w:val="left"/>
              <w:rPr>
                <w:rFonts w:ascii="Arial Narrow" w:hAnsi="Arial Narrow"/>
                <w:lang w:eastAsia="en-US"/>
              </w:rPr>
            </w:pPr>
            <w:r w:rsidRPr="00FA270C">
              <w:rPr>
                <w:rFonts w:ascii="Arial Narrow" w:hAnsi="Arial Narrow"/>
                <w:lang w:eastAsia="en-US"/>
              </w:rPr>
              <w:t>Intended to be used to estimate bone density. The data can then be used to calculate bone mineral density.</w:t>
            </w:r>
          </w:p>
        </w:tc>
      </w:tr>
    </w:tbl>
    <w:p w:rsidR="00F86C9F" w:rsidRPr="00FA270C" w:rsidRDefault="00F86C9F">
      <w:pPr>
        <w:rPr>
          <w:rFonts w:ascii="Arial Narrow" w:hAnsi="Arial Narrow"/>
          <w:sz w:val="16"/>
          <w:szCs w:val="16"/>
          <w:lang w:eastAsia="ja-JP"/>
        </w:rPr>
      </w:pPr>
      <w:r w:rsidRPr="00FA270C">
        <w:rPr>
          <w:rFonts w:ascii="Arial Narrow" w:hAnsi="Arial Narrow"/>
          <w:sz w:val="16"/>
          <w:szCs w:val="16"/>
          <w:lang w:eastAsia="ja-JP"/>
        </w:rPr>
        <w:t xml:space="preserve">Taken from </w:t>
      </w:r>
      <w:hyperlink r:id="rId14" w:tooltip="This is a link to the TGA website" w:history="1">
        <w:r w:rsidRPr="00FA270C">
          <w:rPr>
            <w:rStyle w:val="Hyperlink"/>
            <w:rFonts w:ascii="Arial Narrow" w:hAnsi="Arial Narrow" w:cs="Tahoma"/>
            <w:sz w:val="16"/>
            <w:szCs w:val="16"/>
            <w:lang w:eastAsia="ja-JP"/>
          </w:rPr>
          <w:t>https://www.ebs.tga.gov.au/</w:t>
        </w:r>
      </w:hyperlink>
      <w:r w:rsidRPr="00FA270C">
        <w:rPr>
          <w:rFonts w:ascii="Arial Narrow" w:hAnsi="Arial Narrow"/>
          <w:sz w:val="16"/>
          <w:szCs w:val="16"/>
          <w:lang w:eastAsia="ja-JP"/>
        </w:rPr>
        <w:t>, accessed 9 August 2012</w:t>
      </w:r>
    </w:p>
    <w:p w:rsidR="00F86C9F" w:rsidRPr="00FA270C" w:rsidRDefault="00F86C9F">
      <w:pPr>
        <w:pStyle w:val="Heading1"/>
        <w:rPr>
          <w:lang w:val="en-AU"/>
        </w:rPr>
      </w:pPr>
      <w:bookmarkStart w:id="35" w:name="_Toc361145566"/>
      <w:bookmarkStart w:id="36" w:name="_Toc362968595"/>
      <w:r w:rsidRPr="00FA270C">
        <w:rPr>
          <w:lang w:val="en-AU"/>
        </w:rPr>
        <w:t>Patient population</w:t>
      </w:r>
      <w:bookmarkEnd w:id="35"/>
      <w:bookmarkEnd w:id="36"/>
    </w:p>
    <w:p w:rsidR="00F86C9F" w:rsidRPr="00FA270C" w:rsidRDefault="00F86C9F" w:rsidP="00764635">
      <w:r w:rsidRPr="00FA270C">
        <w:t xml:space="preserve">DXA scanning is proposed for women and men with risk factors for osteoporosis (see </w:t>
      </w:r>
      <w:r w:rsidRPr="00FA270C">
        <w:fldChar w:fldCharType="begin"/>
      </w:r>
      <w:r w:rsidRPr="00FA270C">
        <w:instrText xml:space="preserve"> REF _Ref358198101 \h </w:instrText>
      </w:r>
      <w:r w:rsidRPr="00FA270C">
        <w:fldChar w:fldCharType="separate"/>
      </w:r>
      <w:r w:rsidR="00255656" w:rsidRPr="00FA270C">
        <w:t xml:space="preserve">Table </w:t>
      </w:r>
      <w:r w:rsidR="00255656">
        <w:rPr>
          <w:noProof/>
        </w:rPr>
        <w:t>1</w:t>
      </w:r>
      <w:r w:rsidRPr="00FA270C">
        <w:fldChar w:fldCharType="end"/>
      </w:r>
      <w:r w:rsidRPr="00FA270C">
        <w:t>) aged 50-69 years</w:t>
      </w:r>
      <w:r>
        <w:t xml:space="preserve">, who are not eligible for a test through existing MBS items. The clinical decision of whether to prescribe a test may be based on patients’ comorbidities and risk factors (or combination of risk factors) for osteoporosis which are not covered by existing MBS items. </w:t>
      </w:r>
    </w:p>
    <w:p w:rsidR="00F86C9F" w:rsidRPr="00FA270C" w:rsidRDefault="00F86C9F" w:rsidP="00000A47">
      <w:pPr>
        <w:rPr>
          <w:u w:val="single"/>
        </w:rPr>
      </w:pPr>
      <w:r w:rsidRPr="00FA270C">
        <w:rPr>
          <w:u w:val="single"/>
        </w:rPr>
        <w:t>Risk factors</w:t>
      </w:r>
    </w:p>
    <w:p w:rsidR="00F86C9F" w:rsidRPr="00FA270C" w:rsidRDefault="00F86C9F" w:rsidP="00000A47">
      <w:r w:rsidRPr="00FA270C">
        <w:t xml:space="preserve">The specific risk factors associated with this population are: </w:t>
      </w:r>
    </w:p>
    <w:p w:rsidR="00F86C9F" w:rsidRDefault="00F86C9F" w:rsidP="00A564F7">
      <w:pPr>
        <w:pStyle w:val="ListParagraph"/>
        <w:numPr>
          <w:ilvl w:val="0"/>
          <w:numId w:val="34"/>
        </w:numPr>
      </w:pPr>
      <w:r w:rsidRPr="00FA270C">
        <w:t>Age (men and women aged 50-69 years)</w:t>
      </w:r>
    </w:p>
    <w:p w:rsidR="009D158F" w:rsidRPr="00FA270C" w:rsidRDefault="009D158F" w:rsidP="00A564F7">
      <w:pPr>
        <w:pStyle w:val="ListParagraph"/>
        <w:numPr>
          <w:ilvl w:val="0"/>
          <w:numId w:val="34"/>
        </w:numPr>
      </w:pPr>
      <w:r>
        <w:t>During the assessment phase, the best age range threshold for testing and to initiate therapy should be identified.</w:t>
      </w:r>
    </w:p>
    <w:p w:rsidR="00F86C9F" w:rsidRPr="00FA270C" w:rsidRDefault="00F86C9F" w:rsidP="00A564F7">
      <w:pPr>
        <w:pStyle w:val="ListParagraph"/>
        <w:numPr>
          <w:ilvl w:val="0"/>
          <w:numId w:val="34"/>
        </w:numPr>
      </w:pPr>
      <w:r w:rsidRPr="00FA270C">
        <w:t xml:space="preserve">Risk factors associated with osteoporosis (as shown in </w:t>
      </w:r>
      <w:r w:rsidRPr="00FA270C">
        <w:fldChar w:fldCharType="begin"/>
      </w:r>
      <w:r w:rsidRPr="00FA270C">
        <w:instrText xml:space="preserve"> REF _Ref358198101 \h </w:instrText>
      </w:r>
      <w:r w:rsidRPr="00FA270C">
        <w:fldChar w:fldCharType="separate"/>
      </w:r>
      <w:r w:rsidR="00255656" w:rsidRPr="00FA270C">
        <w:t xml:space="preserve">Table </w:t>
      </w:r>
      <w:r w:rsidR="00255656">
        <w:rPr>
          <w:noProof/>
        </w:rPr>
        <w:t>1</w:t>
      </w:r>
      <w:r w:rsidRPr="00FA270C">
        <w:fldChar w:fldCharType="end"/>
      </w:r>
      <w:r w:rsidRPr="00FA270C">
        <w:t>)</w:t>
      </w:r>
      <w:r w:rsidR="00E712BF">
        <w:t>, which are not covered by current MBS items</w:t>
      </w:r>
      <w:r w:rsidRPr="00FA270C">
        <w:t>.</w:t>
      </w:r>
    </w:p>
    <w:p w:rsidR="00D55DF4" w:rsidRDefault="00D55DF4" w:rsidP="00000A47">
      <w:pPr>
        <w:rPr>
          <w:u w:val="single"/>
        </w:rPr>
      </w:pPr>
    </w:p>
    <w:p w:rsidR="00F86C9F" w:rsidRPr="00FA270C" w:rsidRDefault="00F86C9F" w:rsidP="00000A47">
      <w:pPr>
        <w:rPr>
          <w:u w:val="single"/>
        </w:rPr>
      </w:pPr>
      <w:r w:rsidRPr="00FA270C">
        <w:rPr>
          <w:u w:val="single"/>
        </w:rPr>
        <w:t>Baseline population</w:t>
      </w:r>
    </w:p>
    <w:p w:rsidR="00F86C9F" w:rsidRPr="00FA270C" w:rsidRDefault="00F86C9F" w:rsidP="00000A47">
      <w:r w:rsidRPr="00FA270C">
        <w:t xml:space="preserve">The baseline population for this application is age and gender matched patients without specific risk factors for osteoporosis (aged 50-69 years). </w:t>
      </w:r>
    </w:p>
    <w:p w:rsidR="00F86C9F" w:rsidRPr="00FA270C" w:rsidRDefault="00F86C9F" w:rsidP="00000A47">
      <w:pPr>
        <w:rPr>
          <w:u w:val="single"/>
        </w:rPr>
      </w:pPr>
      <w:r w:rsidRPr="00FA270C">
        <w:rPr>
          <w:u w:val="single"/>
        </w:rPr>
        <w:t>Benchmark population</w:t>
      </w:r>
    </w:p>
    <w:p w:rsidR="00F86C9F" w:rsidRPr="00FA270C" w:rsidRDefault="00F86C9F" w:rsidP="00000A47">
      <w:pPr>
        <w:rPr>
          <w:u w:val="single"/>
        </w:rPr>
      </w:pPr>
      <w:r w:rsidRPr="00FA270C">
        <w:t>The benchmark population for this population is people aged 70 years and older. These are currently eligible for DXA scanning through the MBS and also eligible for PBS subsidy of anti-resorptive medication.</w:t>
      </w:r>
    </w:p>
    <w:p w:rsidR="00F86C9F" w:rsidRPr="00565BF5" w:rsidRDefault="00F86C9F" w:rsidP="00D1729B">
      <w:pPr>
        <w:rPr>
          <w:u w:val="single"/>
        </w:rPr>
      </w:pPr>
      <w:r w:rsidRPr="00565BF5">
        <w:rPr>
          <w:u w:val="single"/>
        </w:rPr>
        <w:t>Questions for the review relating to the population:</w:t>
      </w:r>
    </w:p>
    <w:p w:rsidR="00F86C9F" w:rsidRPr="00FA270C" w:rsidRDefault="00F86C9F" w:rsidP="00565BF5">
      <w:pPr>
        <w:pStyle w:val="ListParagraph"/>
        <w:numPr>
          <w:ilvl w:val="0"/>
          <w:numId w:val="74"/>
        </w:numPr>
      </w:pPr>
      <w:r w:rsidRPr="00FA270C">
        <w:t xml:space="preserve">What is the </w:t>
      </w:r>
      <w:r w:rsidR="00A711EF">
        <w:t>risk of minimal trauma fracture</w:t>
      </w:r>
      <w:r w:rsidRPr="00FA270C">
        <w:t xml:space="preserve"> in the proposed population (with no intervention) compared to minimal trauma fracture in the baseline population (with no intervention)? This will confirm the clinical need for testing for bone mineral density in this population.</w:t>
      </w:r>
    </w:p>
    <w:p w:rsidR="00F86C9F" w:rsidRPr="00FA270C" w:rsidRDefault="00F86C9F" w:rsidP="00565BF5">
      <w:pPr>
        <w:pStyle w:val="ListParagraph"/>
        <w:numPr>
          <w:ilvl w:val="0"/>
          <w:numId w:val="74"/>
        </w:numPr>
      </w:pPr>
      <w:r w:rsidRPr="00FA270C">
        <w:t>What is the effect of different risk factors for osteoporosis on minimal trauma fracture or bone mineral density?</w:t>
      </w:r>
    </w:p>
    <w:p w:rsidR="00F86C9F" w:rsidRPr="00FA270C" w:rsidRDefault="00F86C9F" w:rsidP="00565BF5">
      <w:pPr>
        <w:pStyle w:val="ListParagraph"/>
        <w:numPr>
          <w:ilvl w:val="0"/>
          <w:numId w:val="74"/>
        </w:numPr>
      </w:pPr>
      <w:r w:rsidRPr="00FA270C">
        <w:t>What is the effect of combinations of more than one risk factor for osteoporosis on minimal trauma fracture or bone mineral density?</w:t>
      </w:r>
    </w:p>
    <w:p w:rsidR="00F86C9F" w:rsidRPr="00FA270C" w:rsidRDefault="00F86C9F" w:rsidP="00565BF5">
      <w:pPr>
        <w:pStyle w:val="ListParagraph"/>
        <w:numPr>
          <w:ilvl w:val="0"/>
          <w:numId w:val="74"/>
        </w:numPr>
      </w:pPr>
      <w:r w:rsidRPr="00FA270C">
        <w:t>Are there any prognostic factors such as patient age, or specific risk factors which impact on the rate of bone mineral density loss or elevate the risk of minimal trauma fracture in this population? This may inform the frequency of re-testing.</w:t>
      </w:r>
    </w:p>
    <w:p w:rsidR="00F86C9F" w:rsidRPr="00FA270C" w:rsidRDefault="00F86C9F" w:rsidP="00565BF5">
      <w:pPr>
        <w:pStyle w:val="ListParagraph"/>
        <w:numPr>
          <w:ilvl w:val="0"/>
          <w:numId w:val="74"/>
        </w:numPr>
      </w:pPr>
      <w:r w:rsidRPr="00FA270C">
        <w:t>For each relevant risk factor or combination, what threshold should be used for eligibility for a DXA test?</w:t>
      </w:r>
    </w:p>
    <w:p w:rsidR="00F86C9F" w:rsidRPr="00FA270C" w:rsidRDefault="00F86C9F" w:rsidP="00565BF5">
      <w:pPr>
        <w:pStyle w:val="ListParagraph"/>
        <w:numPr>
          <w:ilvl w:val="0"/>
          <w:numId w:val="74"/>
        </w:numPr>
      </w:pPr>
      <w:r w:rsidRPr="00FA270C">
        <w:t xml:space="preserve">What is the rate of bone mineral density loss in the proposed population? What is the rate of bone mineral density loss in the benchmark population? This will provide information regarding the frequency of re-testing for the proposed population in light of evidence pertaining to the benchmark population who are already eligible for BMD scanning through the MBS. </w:t>
      </w:r>
      <w:r w:rsidRPr="00565BF5">
        <w:t xml:space="preserve">For the benchmark population (people aged 70 years and older) re-testing is supported by MBS item 12323. </w:t>
      </w:r>
    </w:p>
    <w:tbl>
      <w:tblPr>
        <w:tblW w:w="0" w:type="auto"/>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242"/>
      </w:tblGrid>
      <w:tr w:rsidR="00F86C9F" w:rsidRPr="00FA270C" w:rsidTr="005D2627">
        <w:tc>
          <w:tcPr>
            <w:tcW w:w="9242" w:type="dxa"/>
            <w:tcBorders>
              <w:top w:val="single" w:sz="18" w:space="0" w:color="auto"/>
              <w:bottom w:val="single" w:sz="18" w:space="0" w:color="auto"/>
            </w:tcBorders>
          </w:tcPr>
          <w:p w:rsidR="00F86C9F" w:rsidRPr="005D2627" w:rsidRDefault="00F86C9F" w:rsidP="00000A47">
            <w:pPr>
              <w:rPr>
                <w:b/>
              </w:rPr>
            </w:pPr>
            <w:r w:rsidRPr="005D2627">
              <w:rPr>
                <w:b/>
              </w:rPr>
              <w:t>Summary of the approach to assessment for the population</w:t>
            </w:r>
          </w:p>
          <w:p w:rsidR="00F86C9F" w:rsidRPr="00FA270C" w:rsidRDefault="00F86C9F" w:rsidP="00000A47">
            <w:r w:rsidRPr="00FA270C">
              <w:t xml:space="preserve">The </w:t>
            </w:r>
            <w:r w:rsidRPr="005D2627">
              <w:rPr>
                <w:b/>
              </w:rPr>
              <w:t>population</w:t>
            </w:r>
            <w:r w:rsidRPr="00FA270C">
              <w:t xml:space="preserve"> is women and men with risk factors for osteoporosis aged 50-69 years.</w:t>
            </w:r>
          </w:p>
          <w:p w:rsidR="00F86C9F" w:rsidRDefault="00F86C9F" w:rsidP="00000A47">
            <w:r w:rsidRPr="00FA270C">
              <w:t xml:space="preserve">The </w:t>
            </w:r>
            <w:r w:rsidRPr="005D2627">
              <w:rPr>
                <w:b/>
              </w:rPr>
              <w:t>baseline population</w:t>
            </w:r>
            <w:r w:rsidR="00F97484">
              <w:t xml:space="preserve"> for this </w:t>
            </w:r>
            <w:r w:rsidRPr="00FA270C">
              <w:t xml:space="preserve">DAP is age and gender matched patients without specific risk factors for osteoporosis (aged 50-69 years). </w:t>
            </w:r>
          </w:p>
          <w:p w:rsidR="00F86C9F" w:rsidRPr="00FA270C" w:rsidRDefault="00F86C9F" w:rsidP="00000A47">
            <w:r w:rsidRPr="00FA270C">
              <w:t xml:space="preserve">The </w:t>
            </w:r>
            <w:r w:rsidRPr="005D2627">
              <w:rPr>
                <w:b/>
              </w:rPr>
              <w:t>benchmark population</w:t>
            </w:r>
            <w:r w:rsidRPr="00FA270C">
              <w:t xml:space="preserve"> for this DAP is people aged 70 years and older.</w:t>
            </w:r>
          </w:p>
          <w:p w:rsidR="00F86C9F" w:rsidRPr="00FA270C" w:rsidRDefault="00F86C9F" w:rsidP="00000A47">
            <w:r w:rsidRPr="00FA270C">
              <w:t>The assessment of evidence should attempt to inform on:</w:t>
            </w:r>
          </w:p>
          <w:p w:rsidR="00F86C9F" w:rsidRPr="00FA270C" w:rsidRDefault="00F86C9F" w:rsidP="005D2627">
            <w:pPr>
              <w:pStyle w:val="ListParagraph"/>
              <w:numPr>
                <w:ilvl w:val="0"/>
                <w:numId w:val="39"/>
              </w:numPr>
              <w:tabs>
                <w:tab w:val="left" w:pos="2835"/>
              </w:tabs>
              <w:spacing w:before="40"/>
            </w:pPr>
            <w:r w:rsidRPr="00FA270C">
              <w:lastRenderedPageBreak/>
              <w:t xml:space="preserve">The risk of minimal trauma fracture </w:t>
            </w:r>
            <w:r w:rsidR="00224467">
              <w:t>(</w:t>
            </w:r>
            <w:r w:rsidRPr="00FA270C">
              <w:t xml:space="preserve">or the extent of bone mineral density loss for baseline risk of minimal trauma fracture) in an individual aged 50-69 years with specific risk factors for osteoporosis. </w:t>
            </w:r>
          </w:p>
          <w:p w:rsidR="00F86C9F" w:rsidRPr="00FA270C" w:rsidRDefault="00F86C9F" w:rsidP="005D2627">
            <w:pPr>
              <w:pStyle w:val="ListParagraph"/>
              <w:numPr>
                <w:ilvl w:val="0"/>
                <w:numId w:val="39"/>
              </w:numPr>
              <w:tabs>
                <w:tab w:val="left" w:pos="2835"/>
              </w:tabs>
              <w:spacing w:before="40"/>
            </w:pPr>
            <w:r w:rsidRPr="00FA270C">
              <w:t>The rate of bone loss in the baseline population and the benchmark population.</w:t>
            </w:r>
          </w:p>
          <w:p w:rsidR="00F86C9F" w:rsidRPr="00FA270C" w:rsidRDefault="00F86C9F" w:rsidP="005D2627">
            <w:pPr>
              <w:pStyle w:val="ListParagraph"/>
              <w:numPr>
                <w:ilvl w:val="1"/>
                <w:numId w:val="39"/>
              </w:numPr>
              <w:tabs>
                <w:tab w:val="left" w:pos="2835"/>
              </w:tabs>
              <w:spacing w:before="40"/>
            </w:pPr>
            <w:r w:rsidRPr="00FA270C">
              <w:t>Relevant risk factors should be provided separately.</w:t>
            </w:r>
          </w:p>
          <w:p w:rsidR="00F86C9F" w:rsidRPr="00FA270C" w:rsidRDefault="00F86C9F" w:rsidP="005D2627">
            <w:pPr>
              <w:pStyle w:val="ListParagraph"/>
              <w:numPr>
                <w:ilvl w:val="1"/>
                <w:numId w:val="39"/>
              </w:numPr>
              <w:tabs>
                <w:tab w:val="left" w:pos="2835"/>
              </w:tabs>
              <w:spacing w:before="40"/>
            </w:pPr>
            <w:r w:rsidRPr="00FA270C">
              <w:t>Any cumulative effect of multiple risk factors.</w:t>
            </w:r>
          </w:p>
          <w:p w:rsidR="00F86C9F" w:rsidRPr="00FA270C" w:rsidRDefault="00F86C9F" w:rsidP="005D2627">
            <w:pPr>
              <w:pStyle w:val="ListParagraph"/>
              <w:numPr>
                <w:ilvl w:val="1"/>
                <w:numId w:val="39"/>
              </w:numPr>
              <w:tabs>
                <w:tab w:val="left" w:pos="2835"/>
              </w:tabs>
              <w:spacing w:before="40"/>
            </w:pPr>
            <w:r w:rsidRPr="00FA270C">
              <w:t>Other prognostic factors such as age and gender should be reported.</w:t>
            </w:r>
          </w:p>
          <w:p w:rsidR="00F86C9F" w:rsidRPr="00FA270C" w:rsidRDefault="00F86C9F" w:rsidP="005D2627">
            <w:pPr>
              <w:tabs>
                <w:tab w:val="left" w:pos="2835"/>
              </w:tabs>
              <w:spacing w:before="40"/>
            </w:pPr>
            <w:r w:rsidRPr="00FA270C">
              <w:t xml:space="preserve">This will be used to identify the baseline risk levels of minimal trauma fracture in the proposed population as compared to the baseline and benchmark populations. This will also inform questions of what specific risk factors for osteoporosis should be considered and how they will be used to form a preliminary assessment of the risk of minimal trauma fracture. This information will also provide an evidence base for the appropriate criteria for BMD testing eligibility </w:t>
            </w:r>
          </w:p>
          <w:p w:rsidR="00102878" w:rsidRDefault="00102878" w:rsidP="005D2627">
            <w:pPr>
              <w:tabs>
                <w:tab w:val="left" w:pos="2835"/>
              </w:tabs>
              <w:spacing w:before="40"/>
            </w:pPr>
            <w:r w:rsidRPr="005D2627">
              <w:rPr>
                <w:b/>
              </w:rPr>
              <w:t>Note that</w:t>
            </w:r>
            <w:r w:rsidRPr="00FA270C">
              <w:t xml:space="preserve"> a comparison of the rate of bone loss in the target population to the baseline and benchmark populations will need to take into account the age and gender of persons within those populations. </w:t>
            </w:r>
          </w:p>
          <w:p w:rsidR="00F86C9F" w:rsidRPr="005D2627" w:rsidRDefault="00F86C9F" w:rsidP="005D2627">
            <w:pPr>
              <w:tabs>
                <w:tab w:val="left" w:pos="2835"/>
              </w:tabs>
              <w:spacing w:before="40"/>
              <w:rPr>
                <w:b/>
                <w:u w:val="single"/>
              </w:rPr>
            </w:pPr>
            <w:r w:rsidRPr="005D2627">
              <w:rPr>
                <w:b/>
                <w:u w:val="single"/>
              </w:rPr>
              <w:t>Excluded populations</w:t>
            </w:r>
          </w:p>
          <w:p w:rsidR="00F86C9F" w:rsidRPr="00FA270C" w:rsidRDefault="00F86C9F" w:rsidP="005D2627">
            <w:pPr>
              <w:pStyle w:val="ListParagraph"/>
              <w:numPr>
                <w:ilvl w:val="0"/>
                <w:numId w:val="52"/>
              </w:numPr>
              <w:tabs>
                <w:tab w:val="left" w:pos="2835"/>
              </w:tabs>
              <w:spacing w:before="40"/>
              <w:ind w:left="714" w:hanging="357"/>
            </w:pPr>
            <w:r w:rsidRPr="00FA270C">
              <w:t>All men and women at age 70 and over are excluded, as these are eligible for current MBS items for DXA scanning.</w:t>
            </w:r>
          </w:p>
          <w:p w:rsidR="00F86C9F" w:rsidRPr="00FA270C" w:rsidRDefault="00F86C9F" w:rsidP="005D2627">
            <w:pPr>
              <w:pStyle w:val="ListParagraph"/>
              <w:numPr>
                <w:ilvl w:val="0"/>
                <w:numId w:val="52"/>
              </w:numPr>
              <w:tabs>
                <w:tab w:val="left" w:pos="2835"/>
              </w:tabs>
              <w:spacing w:before="40"/>
            </w:pPr>
            <w:r w:rsidRPr="00FA270C">
              <w:t>Men and women presenting with a minimal trauma fracture are excluded, as these are eligible for current MBS items for DXA scanning (12306, 12309).</w:t>
            </w:r>
          </w:p>
          <w:p w:rsidR="00F86C9F" w:rsidRPr="00FA270C" w:rsidRDefault="00F86C9F" w:rsidP="002A4D3C">
            <w:pPr>
              <w:pStyle w:val="ListParagraph"/>
              <w:numPr>
                <w:ilvl w:val="0"/>
                <w:numId w:val="52"/>
              </w:numPr>
              <w:tabs>
                <w:tab w:val="left" w:pos="2835"/>
              </w:tabs>
              <w:spacing w:before="40"/>
            </w:pPr>
            <w:r w:rsidRPr="00FA270C">
              <w:t>Men and women eligible for any other current MBS item for DXA scanning are excluded.</w:t>
            </w:r>
          </w:p>
        </w:tc>
      </w:tr>
    </w:tbl>
    <w:p w:rsidR="00F86C9F" w:rsidRPr="00FA270C" w:rsidRDefault="00F86C9F" w:rsidP="00764635"/>
    <w:p w:rsidR="00F86C9F" w:rsidRPr="00FA270C" w:rsidRDefault="00F86C9F">
      <w:pPr>
        <w:pStyle w:val="Heading2"/>
        <w:rPr>
          <w:lang w:val="en-AU"/>
        </w:rPr>
      </w:pPr>
      <w:bookmarkStart w:id="37" w:name="_Toc361145567"/>
      <w:bookmarkStart w:id="38" w:name="_Toc362968596"/>
      <w:r w:rsidRPr="00FA270C">
        <w:rPr>
          <w:lang w:val="en-AU"/>
        </w:rPr>
        <w:t>Proposed MBS listing</w:t>
      </w:r>
      <w:bookmarkEnd w:id="37"/>
      <w:bookmarkEnd w:id="38"/>
    </w:p>
    <w:p w:rsidR="00F86C9F" w:rsidRPr="00FA270C" w:rsidRDefault="00F86C9F" w:rsidP="00960732">
      <w:bookmarkStart w:id="39" w:name="_Ref283284346"/>
      <w:r w:rsidRPr="00FA270C">
        <w:t xml:space="preserve">The proposed MBS item is shown in </w:t>
      </w:r>
      <w:r w:rsidRPr="00FA270C">
        <w:fldChar w:fldCharType="begin"/>
      </w:r>
      <w:r w:rsidRPr="00FA270C">
        <w:instrText xml:space="preserve"> REF _Ref357693635 \h </w:instrText>
      </w:r>
      <w:r w:rsidRPr="00FA270C">
        <w:fldChar w:fldCharType="separate"/>
      </w:r>
      <w:r w:rsidR="00255656" w:rsidRPr="00FA270C">
        <w:t xml:space="preserve">Table </w:t>
      </w:r>
      <w:r w:rsidR="00255656">
        <w:rPr>
          <w:noProof/>
        </w:rPr>
        <w:t>6</w:t>
      </w:r>
      <w:r w:rsidRPr="00FA270C">
        <w:fldChar w:fldCharType="end"/>
      </w:r>
      <w:r w:rsidRPr="00FA270C">
        <w:t xml:space="preserve">. For patients with T-scores </w:t>
      </w:r>
      <w:r w:rsidR="00224467">
        <w:t xml:space="preserve">less than or equal to </w:t>
      </w:r>
      <w:r w:rsidRPr="00FA270C">
        <w:t>-2.5 repeat scans would be available through the existing item 12306.</w:t>
      </w:r>
    </w:p>
    <w:p w:rsidR="00F86C9F" w:rsidRPr="00FA270C" w:rsidRDefault="00F86C9F" w:rsidP="00960732">
      <w:r w:rsidRPr="00FA270C">
        <w:t>The applicant proposes making available, under a new MBS item, an initial DXA scan to women and men from the age of 50 who have recognised risk factors. The eligibility in relation to the risk factors present would be dependant of the number and the seriousness of the risk factors. The submission will address the optimal means of ranking or weighting the risk factors to ensure that the test is made available only to those with a real risk of having low bone density. Additional scans would be depe</w:t>
      </w:r>
      <w:r w:rsidR="0025521C">
        <w:t>ndent on individual T-scores, ie</w:t>
      </w:r>
      <w:r w:rsidRPr="00FA270C">
        <w:t xml:space="preserve"> individuals with high T-scores (</w:t>
      </w:r>
      <w:r w:rsidR="007C3FDA">
        <w:t>≥</w:t>
      </w:r>
      <w:r w:rsidRPr="00FA270C">
        <w:t>-1.0) would not require any additional scans, whereas individuals with low T-scores (</w:t>
      </w:r>
      <w:r w:rsidR="007C3FDA">
        <w:t>≤</w:t>
      </w:r>
      <w:r w:rsidRPr="00FA270C">
        <w:t>-</w:t>
      </w:r>
      <w:r w:rsidR="00224467">
        <w:t>2</w:t>
      </w:r>
      <w:r w:rsidRPr="00FA270C">
        <w:t>.5) would be eligible for additional scans every two years under MBS item number 12306 (</w:t>
      </w:r>
      <w:r>
        <w:fldChar w:fldCharType="begin"/>
      </w:r>
      <w:r>
        <w:instrText xml:space="preserve"> REF _Ref358199375 \h </w:instrText>
      </w:r>
      <w:r>
        <w:fldChar w:fldCharType="separate"/>
      </w:r>
      <w:r w:rsidR="00255656">
        <w:t xml:space="preserve">Figure </w:t>
      </w:r>
      <w:r w:rsidR="00255656">
        <w:rPr>
          <w:noProof/>
        </w:rPr>
        <w:t>3</w:t>
      </w:r>
      <w:r>
        <w:fldChar w:fldCharType="end"/>
      </w:r>
      <w:r w:rsidRPr="00FA270C">
        <w:t>).</w:t>
      </w:r>
    </w:p>
    <w:p w:rsidR="00F86C9F" w:rsidRPr="00FA270C" w:rsidRDefault="00F86C9F" w:rsidP="004F0F93">
      <w:r w:rsidRPr="00FA270C">
        <w:t xml:space="preserve">At present, neither normal healthy individuals, nor those individuals under the age of 70 with other risk factors groups (low BMI, family history, smoking, alcohol, low level of physical activity etc.) are covered for DXA analysis. The applicant proposes reducing the age of eligibility for DXA MBS </w:t>
      </w:r>
      <w:r w:rsidRPr="00FA270C">
        <w:lastRenderedPageBreak/>
        <w:t xml:space="preserve">reimbursement to women and men with risk factors for osteoporosis over 50 years of age. </w:t>
      </w:r>
      <w:r w:rsidRPr="00FA270C">
        <w:fldChar w:fldCharType="begin"/>
      </w:r>
      <w:r w:rsidRPr="00FA270C">
        <w:instrText xml:space="preserve"> REF _Ref320880158 \h  \* MERGEFORMAT </w:instrText>
      </w:r>
      <w:r w:rsidRPr="00FA270C">
        <w:fldChar w:fldCharType="separate"/>
      </w:r>
      <w:r w:rsidR="00255656" w:rsidRPr="00FA270C">
        <w:t xml:space="preserve">Table </w:t>
      </w:r>
      <w:r w:rsidR="00255656">
        <w:rPr>
          <w:noProof/>
        </w:rPr>
        <w:t>6</w:t>
      </w:r>
      <w:r w:rsidRPr="00FA270C">
        <w:fldChar w:fldCharType="end"/>
      </w:r>
      <w:r w:rsidRPr="00FA270C">
        <w:t xml:space="preserve"> shows the proposed MSB item descriptor for bone densitometry in women and men with risk factors for osteoporosis over 50 years of age. A recommendation for use of an algorithm or risk calculator to weight the relative risk factors </w:t>
      </w:r>
      <w:r w:rsidR="006A45F1">
        <w:t>should</w:t>
      </w:r>
      <w:r w:rsidRPr="00FA270C">
        <w:t xml:space="preserve"> be addressed in the submission. The proposed MBS item descriptor may need to be amended accordingly.</w:t>
      </w:r>
    </w:p>
    <w:p w:rsidR="00F86C9F" w:rsidRPr="00FA270C" w:rsidRDefault="00F86C9F" w:rsidP="00B40726">
      <w:r w:rsidRPr="00FA270C">
        <w:t>It is envisaged tha</w:t>
      </w:r>
      <w:r w:rsidR="000E0F5B">
        <w:t>t people with a T-score which ≥</w:t>
      </w:r>
      <w:r w:rsidRPr="00FA270C">
        <w:t xml:space="preserve">-1.0 (normal bone mineral density) would not require repeat testing unless their risk factors change substantially. People with osteopenia </w:t>
      </w:r>
      <w:r w:rsidR="007C3FDA">
        <w:t>(</w:t>
      </w:r>
      <w:r w:rsidR="000E0F5B">
        <w:t>-1.0&gt; T-score &gt;</w:t>
      </w:r>
      <w:r w:rsidR="007C3FDA" w:rsidRPr="007C3FDA">
        <w:t>-2.5</w:t>
      </w:r>
      <w:r w:rsidRPr="00FA270C">
        <w:t xml:space="preserve">) would require retesting after 2 years. People </w:t>
      </w:r>
      <w:r w:rsidR="00E712BF">
        <w:t xml:space="preserve">identified with a T-score ≤-2.5 would be eligible for </w:t>
      </w:r>
      <w:r w:rsidRPr="00FA270C">
        <w:t>repeat testing under item Number 12306.</w:t>
      </w:r>
      <w:r w:rsidR="000B4444">
        <w:t xml:space="preserve"> </w:t>
      </w:r>
      <w:r w:rsidR="00E712BF">
        <w:t>(</w:t>
      </w:r>
      <w:r w:rsidR="000B4444">
        <w:t>Note that</w:t>
      </w:r>
      <w:r w:rsidR="00E712BF">
        <w:t xml:space="preserve"> thresholds and the frequency of repeat testing will form part of the assessment).</w:t>
      </w:r>
    </w:p>
    <w:p w:rsidR="00F86C9F" w:rsidRPr="00FA270C" w:rsidRDefault="00F86C9F" w:rsidP="00B40726">
      <w:r w:rsidRPr="00FA270C">
        <w:t>It is envisaged that the fees for the services would remain unchanged as any additional infrastructure costs incurred will be able to be offset by additional scans.</w:t>
      </w:r>
    </w:p>
    <w:p w:rsidR="00F86C9F" w:rsidRPr="00FA270C" w:rsidRDefault="00F86C9F" w:rsidP="00DA7624">
      <w:r w:rsidRPr="00FA270C">
        <w:t>This proposed item number would be in addition to existing MBS items for DXA and QCT. At 70 all patients will be eligible for an existing MBS item (12323).</w:t>
      </w:r>
    </w:p>
    <w:p w:rsidR="00F86C9F" w:rsidRPr="00FA270C" w:rsidRDefault="00F86C9F">
      <w:pPr>
        <w:pStyle w:val="Caption"/>
        <w:rPr>
          <w:lang w:val="en-AU"/>
        </w:rPr>
      </w:pPr>
      <w:bookmarkStart w:id="40" w:name="_Ref320880158"/>
      <w:bookmarkStart w:id="41" w:name="_Ref357693635"/>
      <w:bookmarkStart w:id="42" w:name="_Ref357693617"/>
      <w:r w:rsidRPr="00FA270C">
        <w:rPr>
          <w:lang w:val="en-AU"/>
        </w:rPr>
        <w:t xml:space="preserve">Table </w:t>
      </w:r>
      <w:r w:rsidRPr="00FA270C">
        <w:rPr>
          <w:lang w:val="en-AU"/>
        </w:rPr>
        <w:fldChar w:fldCharType="begin"/>
      </w:r>
      <w:r w:rsidRPr="00FA270C">
        <w:rPr>
          <w:lang w:val="en-AU"/>
        </w:rPr>
        <w:instrText xml:space="preserve"> SEQ Table \* ARABIC </w:instrText>
      </w:r>
      <w:r w:rsidRPr="00FA270C">
        <w:rPr>
          <w:lang w:val="en-AU"/>
        </w:rPr>
        <w:fldChar w:fldCharType="separate"/>
      </w:r>
      <w:r w:rsidR="00255656">
        <w:rPr>
          <w:noProof/>
          <w:lang w:val="en-AU"/>
        </w:rPr>
        <w:t>6</w:t>
      </w:r>
      <w:r w:rsidRPr="00FA270C">
        <w:rPr>
          <w:lang w:val="en-AU"/>
        </w:rPr>
        <w:fldChar w:fldCharType="end"/>
      </w:r>
      <w:bookmarkEnd w:id="39"/>
      <w:bookmarkEnd w:id="40"/>
      <w:bookmarkEnd w:id="41"/>
      <w:r w:rsidRPr="00FA270C">
        <w:rPr>
          <w:lang w:val="en-AU"/>
        </w:rPr>
        <w:tab/>
      </w:r>
      <w:r w:rsidRPr="00FA270C">
        <w:rPr>
          <w:lang w:val="en-AU"/>
        </w:rPr>
        <w:tab/>
      </w:r>
      <w:r w:rsidRPr="00FA270C">
        <w:rPr>
          <w:lang w:val="en-AU"/>
        </w:rPr>
        <w:tab/>
        <w:t>Proposed MBS item descriptor</w:t>
      </w:r>
      <w:bookmarkEnd w:id="42"/>
      <w:r w:rsidRPr="00FA270C">
        <w:rPr>
          <w:lang w:val="en-AU"/>
        </w:rPr>
        <w:t xml:space="preserve"> </w:t>
      </w:r>
    </w:p>
    <w:tbl>
      <w:tblPr>
        <w:tblW w:w="0" w:type="auto"/>
        <w:tblInd w:w="108"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F86C9F" w:rsidRPr="00FA270C">
        <w:tc>
          <w:tcPr>
            <w:tcW w:w="9134" w:type="dxa"/>
          </w:tcPr>
          <w:p w:rsidR="00F86C9F" w:rsidRPr="00FA270C" w:rsidRDefault="00F86C9F">
            <w:pPr>
              <w:spacing w:after="120" w:line="240" w:lineRule="auto"/>
              <w:jc w:val="right"/>
              <w:rPr>
                <w:rFonts w:ascii="Arial Narrow" w:hAnsi="Arial Narrow"/>
                <w:lang w:eastAsia="ja-JP"/>
              </w:rPr>
            </w:pPr>
            <w:r w:rsidRPr="00FA270C">
              <w:rPr>
                <w:rFonts w:ascii="Arial Narrow" w:hAnsi="Arial Narrow"/>
                <w:lang w:eastAsia="ja-JP"/>
              </w:rPr>
              <w:t>Category 2 – DIAGNOSTIC PROCEDURES AND INVESTIGATIONS, Bone Densitometry</w:t>
            </w:r>
          </w:p>
        </w:tc>
      </w:tr>
      <w:tr w:rsidR="00F86C9F" w:rsidRPr="00FA270C">
        <w:tc>
          <w:tcPr>
            <w:tcW w:w="9134" w:type="dxa"/>
          </w:tcPr>
          <w:p w:rsidR="00F86C9F" w:rsidRPr="00FA270C" w:rsidRDefault="00F86C9F">
            <w:pPr>
              <w:spacing w:after="120" w:line="240" w:lineRule="auto"/>
              <w:rPr>
                <w:rFonts w:ascii="Arial Narrow" w:hAnsi="Arial Narrow"/>
                <w:lang w:eastAsia="ja-JP"/>
              </w:rPr>
            </w:pPr>
            <w:r w:rsidRPr="00FA270C">
              <w:rPr>
                <w:rFonts w:ascii="Arial Narrow" w:hAnsi="Arial Narrow"/>
                <w:lang w:eastAsia="ja-JP"/>
              </w:rPr>
              <w:t>MBS XXXXX</w:t>
            </w:r>
          </w:p>
          <w:p w:rsidR="00F86C9F" w:rsidRPr="00FA270C" w:rsidRDefault="00F86C9F">
            <w:pPr>
              <w:spacing w:after="120" w:line="240" w:lineRule="auto"/>
              <w:rPr>
                <w:rFonts w:ascii="Arial Narrow" w:hAnsi="Arial Narrow"/>
                <w:lang w:eastAsia="ja-JP"/>
              </w:rPr>
            </w:pPr>
            <w:r w:rsidRPr="00FA270C">
              <w:rPr>
                <w:rFonts w:ascii="Arial Narrow" w:hAnsi="Arial Narrow"/>
                <w:lang w:eastAsia="ja-JP"/>
              </w:rPr>
              <w:t xml:space="preserve">Bone densitometry (performed by a specialist or consultant physician where the patient is referred by another medical practitioner), using </w:t>
            </w:r>
            <w:r w:rsidRPr="00FA270C">
              <w:rPr>
                <w:rFonts w:ascii="Arial Narrow" w:hAnsi="Arial Narrow"/>
                <w:b/>
                <w:lang w:eastAsia="ja-JP"/>
              </w:rPr>
              <w:t>dual energy X-ray absorptiometry</w:t>
            </w:r>
            <w:r w:rsidRPr="00FA270C">
              <w:rPr>
                <w:rFonts w:ascii="Arial Narrow" w:hAnsi="Arial Narrow"/>
                <w:lang w:eastAsia="ja-JP"/>
              </w:rPr>
              <w:t xml:space="preserve">, for the measurement of bone mineral density in </w:t>
            </w:r>
            <w:r w:rsidRPr="00FA270C">
              <w:rPr>
                <w:rFonts w:ascii="Arial Narrow" w:hAnsi="Arial Narrow"/>
                <w:b/>
              </w:rPr>
              <w:t xml:space="preserve">women and men </w:t>
            </w:r>
            <w:r w:rsidRPr="00FA270C">
              <w:rPr>
                <w:rFonts w:ascii="Arial Narrow" w:hAnsi="Arial Narrow"/>
                <w:b/>
                <w:lang w:eastAsia="ja-JP"/>
              </w:rPr>
              <w:t>aged 50-69 years or over</w:t>
            </w:r>
            <w:r w:rsidRPr="00FA270C">
              <w:rPr>
                <w:rFonts w:ascii="Arial Narrow" w:hAnsi="Arial Narrow"/>
                <w:b/>
              </w:rPr>
              <w:t xml:space="preserve"> with recognised risk factors for osteoporosis</w:t>
            </w:r>
            <w:r w:rsidRPr="00FA270C">
              <w:rPr>
                <w:rFonts w:ascii="Arial Narrow" w:hAnsi="Arial Narrow"/>
                <w:lang w:eastAsia="ja-JP"/>
              </w:rPr>
              <w:t>.</w:t>
            </w:r>
          </w:p>
          <w:p w:rsidR="00F86C9F" w:rsidRPr="00FA270C" w:rsidRDefault="00F86C9F">
            <w:pPr>
              <w:spacing w:after="120" w:line="240" w:lineRule="auto"/>
              <w:rPr>
                <w:rFonts w:ascii="Arial Narrow" w:hAnsi="Arial Narrow"/>
                <w:lang w:eastAsia="ja-JP"/>
              </w:rPr>
            </w:pPr>
            <w:r w:rsidRPr="00FA270C">
              <w:rPr>
                <w:rFonts w:ascii="Arial Narrow" w:hAnsi="Arial Narrow"/>
                <w:lang w:eastAsia="ja-JP"/>
              </w:rPr>
              <w:t>Measurement of 2 or more sites –1 service only in a period of 24  - 60 consecutive months –including interpretation and report; not being a service associated with a service to which item 12306, 12309, 12312, 12315, 12318, 12321 or 12323 applies.</w:t>
            </w:r>
          </w:p>
          <w:p w:rsidR="00F86C9F" w:rsidRPr="00FA270C" w:rsidRDefault="00F86C9F">
            <w:pPr>
              <w:spacing w:after="120" w:line="240" w:lineRule="auto"/>
              <w:rPr>
                <w:rFonts w:ascii="Arial Narrow" w:hAnsi="Arial Narrow"/>
                <w:lang w:eastAsia="ja-JP"/>
              </w:rPr>
            </w:pPr>
            <w:r w:rsidRPr="00FA270C">
              <w:rPr>
                <w:rFonts w:ascii="Arial Narrow" w:hAnsi="Arial Narrow"/>
                <w:lang w:eastAsia="ja-JP"/>
              </w:rPr>
              <w:t>Fee: $10</w:t>
            </w:r>
            <w:r w:rsidR="00CF0167">
              <w:rPr>
                <w:rFonts w:ascii="Arial Narrow" w:hAnsi="Arial Narrow"/>
                <w:lang w:eastAsia="ja-JP"/>
              </w:rPr>
              <w:t>2</w:t>
            </w:r>
            <w:r w:rsidRPr="00FA270C">
              <w:rPr>
                <w:rFonts w:ascii="Arial Narrow" w:hAnsi="Arial Narrow"/>
                <w:lang w:eastAsia="ja-JP"/>
              </w:rPr>
              <w:t>.</w:t>
            </w:r>
            <w:r w:rsidR="00CF0167">
              <w:rPr>
                <w:rFonts w:ascii="Arial Narrow" w:hAnsi="Arial Narrow"/>
                <w:lang w:eastAsia="ja-JP"/>
              </w:rPr>
              <w:t>4</w:t>
            </w:r>
            <w:r w:rsidRPr="00FA270C">
              <w:rPr>
                <w:rFonts w:ascii="Arial Narrow" w:hAnsi="Arial Narrow"/>
                <w:lang w:eastAsia="ja-JP"/>
              </w:rPr>
              <w:t>0</w:t>
            </w:r>
            <w:r w:rsidR="00524DE4">
              <w:rPr>
                <w:rFonts w:ascii="Arial Narrow" w:hAnsi="Arial Narrow"/>
                <w:lang w:eastAsia="ja-JP"/>
              </w:rPr>
              <w:t xml:space="preserve"> </w:t>
            </w:r>
            <w:r w:rsidRPr="00FA270C">
              <w:rPr>
                <w:rFonts w:ascii="Arial Narrow" w:hAnsi="Arial Narrow"/>
                <w:lang w:eastAsia="ja-JP"/>
              </w:rPr>
              <w:t>Benefit: 75% = $7</w:t>
            </w:r>
            <w:r w:rsidR="00FA608A">
              <w:rPr>
                <w:rFonts w:ascii="Arial Narrow" w:hAnsi="Arial Narrow"/>
                <w:lang w:eastAsia="ja-JP"/>
              </w:rPr>
              <w:t>6</w:t>
            </w:r>
            <w:r w:rsidRPr="00FA270C">
              <w:rPr>
                <w:rFonts w:ascii="Arial Narrow" w:hAnsi="Arial Narrow"/>
                <w:lang w:eastAsia="ja-JP"/>
              </w:rPr>
              <w:t>.</w:t>
            </w:r>
            <w:r w:rsidR="00FA608A">
              <w:rPr>
                <w:rFonts w:ascii="Arial Narrow" w:hAnsi="Arial Narrow"/>
                <w:lang w:eastAsia="ja-JP"/>
              </w:rPr>
              <w:t>8</w:t>
            </w:r>
            <w:r w:rsidRPr="00FA270C">
              <w:rPr>
                <w:rFonts w:ascii="Arial Narrow" w:hAnsi="Arial Narrow"/>
                <w:lang w:eastAsia="ja-JP"/>
              </w:rPr>
              <w:t>0   85% = $8</w:t>
            </w:r>
            <w:r w:rsidR="00FA608A">
              <w:rPr>
                <w:rFonts w:ascii="Arial Narrow" w:hAnsi="Arial Narrow"/>
                <w:lang w:eastAsia="ja-JP"/>
              </w:rPr>
              <w:t>7</w:t>
            </w:r>
            <w:r w:rsidRPr="00FA270C">
              <w:rPr>
                <w:rFonts w:ascii="Arial Narrow" w:hAnsi="Arial Narrow"/>
                <w:lang w:eastAsia="ja-JP"/>
              </w:rPr>
              <w:t>.</w:t>
            </w:r>
            <w:r w:rsidR="00FA608A">
              <w:rPr>
                <w:rFonts w:ascii="Arial Narrow" w:hAnsi="Arial Narrow"/>
                <w:lang w:eastAsia="ja-JP"/>
              </w:rPr>
              <w:t>0</w:t>
            </w:r>
            <w:r w:rsidRPr="00FA270C">
              <w:rPr>
                <w:rFonts w:ascii="Arial Narrow" w:hAnsi="Arial Narrow"/>
                <w:lang w:eastAsia="ja-JP"/>
              </w:rPr>
              <w:t>5</w:t>
            </w:r>
          </w:p>
          <w:p w:rsidR="00F86C9F" w:rsidRPr="00FA270C" w:rsidRDefault="00F86C9F">
            <w:pPr>
              <w:spacing w:after="120" w:line="240" w:lineRule="auto"/>
              <w:rPr>
                <w:rFonts w:ascii="Arial Narrow" w:hAnsi="Arial Narrow"/>
                <w:lang w:eastAsia="ja-JP"/>
              </w:rPr>
            </w:pPr>
            <w:r w:rsidRPr="00FA270C">
              <w:rPr>
                <w:rFonts w:ascii="Arial Narrow" w:hAnsi="Arial Narrow"/>
                <w:lang w:eastAsia="ja-JP"/>
              </w:rPr>
              <w:t>[Relevant explanatory notes]</w:t>
            </w:r>
          </w:p>
          <w:p w:rsidR="00F86C9F" w:rsidRPr="00FA270C" w:rsidRDefault="00F86C9F" w:rsidP="00DA7624">
            <w:pPr>
              <w:numPr>
                <w:ilvl w:val="0"/>
                <w:numId w:val="14"/>
              </w:numPr>
              <w:spacing w:after="120" w:line="240" w:lineRule="auto"/>
              <w:rPr>
                <w:rFonts w:ascii="Arial Narrow" w:hAnsi="Arial Narrow"/>
                <w:lang w:eastAsia="ja-JP"/>
              </w:rPr>
            </w:pPr>
            <w:r w:rsidRPr="00FA270C">
              <w:rPr>
                <w:rFonts w:ascii="Arial Narrow" w:hAnsi="Arial Narrow"/>
                <w:lang w:eastAsia="ja-JP"/>
              </w:rPr>
              <w:t>D1.27, Bone Densitometry – (Items 12306 to 12323)</w:t>
            </w:r>
          </w:p>
        </w:tc>
      </w:tr>
    </w:tbl>
    <w:p w:rsidR="00F86C9F" w:rsidRPr="00FA270C" w:rsidRDefault="00F86C9F">
      <w:pPr>
        <w:spacing w:after="0"/>
      </w:pPr>
    </w:p>
    <w:p w:rsidR="00F86C9F" w:rsidRPr="00FA270C" w:rsidRDefault="00F86C9F" w:rsidP="00ED750B">
      <w:r w:rsidRPr="00FA270C">
        <w:t xml:space="preserve">Currently, no specific medication has been identified for use in the proposed population. </w:t>
      </w:r>
    </w:p>
    <w:p w:rsidR="00F86C9F" w:rsidRPr="00FA270C" w:rsidRDefault="00F86C9F">
      <w:pPr>
        <w:pStyle w:val="Heading2"/>
        <w:rPr>
          <w:lang w:val="en-AU"/>
        </w:rPr>
      </w:pPr>
      <w:bookmarkStart w:id="43" w:name="_Toc361145568"/>
      <w:bookmarkStart w:id="44" w:name="_Toc362968597"/>
      <w:r w:rsidRPr="00FA270C">
        <w:rPr>
          <w:lang w:val="en-AU"/>
        </w:rPr>
        <w:t>Clinical place for proposed intervention</w:t>
      </w:r>
      <w:bookmarkEnd w:id="43"/>
      <w:bookmarkEnd w:id="44"/>
    </w:p>
    <w:p w:rsidR="00F86C9F" w:rsidRPr="00FA270C" w:rsidRDefault="00F86C9F" w:rsidP="00FD3624">
      <w:r w:rsidRPr="00FA270C">
        <w:t xml:space="preserve">The current diagnosis and management algorithm for suspected or proven low bone mineral density follows in </w:t>
      </w:r>
      <w:r>
        <w:fldChar w:fldCharType="begin"/>
      </w:r>
      <w:r>
        <w:instrText xml:space="preserve"> REF _Ref358199375 \h </w:instrText>
      </w:r>
      <w:r>
        <w:fldChar w:fldCharType="separate"/>
      </w:r>
      <w:r w:rsidR="00255656">
        <w:t xml:space="preserve">Figure </w:t>
      </w:r>
      <w:r w:rsidR="00255656">
        <w:rPr>
          <w:noProof/>
        </w:rPr>
        <w:t>3</w:t>
      </w:r>
      <w:r>
        <w:fldChar w:fldCharType="end"/>
      </w:r>
      <w:r w:rsidRPr="00FA270C">
        <w:t xml:space="preserve">. The current and proposed algorithms for men and women aged 50-69, with risk factors follows in </w:t>
      </w:r>
      <w:r>
        <w:fldChar w:fldCharType="begin"/>
      </w:r>
      <w:r>
        <w:instrText xml:space="preserve"> REF _Ref358199396 \h </w:instrText>
      </w:r>
      <w:r>
        <w:fldChar w:fldCharType="separate"/>
      </w:r>
      <w:r w:rsidR="00255656">
        <w:t xml:space="preserve">Figure </w:t>
      </w:r>
      <w:r w:rsidR="00255656">
        <w:rPr>
          <w:noProof/>
        </w:rPr>
        <w:t>4</w:t>
      </w:r>
      <w:r>
        <w:fldChar w:fldCharType="end"/>
      </w:r>
      <w:r w:rsidRPr="00FA270C">
        <w:t xml:space="preserve"> and </w:t>
      </w:r>
      <w:r>
        <w:fldChar w:fldCharType="begin"/>
      </w:r>
      <w:r>
        <w:instrText xml:space="preserve"> REF _Ref358199403 \h </w:instrText>
      </w:r>
      <w:r>
        <w:fldChar w:fldCharType="separate"/>
      </w:r>
      <w:r w:rsidR="00255656">
        <w:t xml:space="preserve">Figure </w:t>
      </w:r>
      <w:r w:rsidR="00255656">
        <w:rPr>
          <w:noProof/>
        </w:rPr>
        <w:t>5</w:t>
      </w:r>
      <w:r>
        <w:fldChar w:fldCharType="end"/>
      </w:r>
      <w:r w:rsidRPr="00FA270C">
        <w:t>.</w:t>
      </w:r>
    </w:p>
    <w:p w:rsidR="00F86C9F" w:rsidRPr="00FA270C" w:rsidRDefault="00F86C9F" w:rsidP="00FD3624"/>
    <w:p w:rsidR="00F86C9F" w:rsidRPr="00FA270C" w:rsidRDefault="00F86C9F" w:rsidP="00FD3624">
      <w:pPr>
        <w:sectPr w:rsidR="00F86C9F" w:rsidRPr="00FA270C" w:rsidSect="00524DE4">
          <w:headerReference w:type="even" r:id="rId15"/>
          <w:headerReference w:type="default" r:id="rId16"/>
          <w:footerReference w:type="even" r:id="rId17"/>
          <w:footerReference w:type="default" r:id="rId18"/>
          <w:headerReference w:type="first" r:id="rId19"/>
          <w:footerReference w:type="first" r:id="rId20"/>
          <w:pgSz w:w="11906" w:h="16838"/>
          <w:pgMar w:top="709" w:right="1440" w:bottom="1440" w:left="1440" w:header="708" w:footer="708" w:gutter="0"/>
          <w:cols w:space="708"/>
          <w:titlePg/>
          <w:docGrid w:linePitch="360"/>
        </w:sectPr>
      </w:pPr>
    </w:p>
    <w:p w:rsidR="00F86C9F" w:rsidRPr="00FA270C" w:rsidRDefault="00A1758F" w:rsidP="00FD3624">
      <w:r>
        <w:rPr>
          <w:noProof/>
          <w:lang w:eastAsia="en-AU"/>
        </w:rPr>
        <mc:AlternateContent>
          <mc:Choice Requires="wpc">
            <w:drawing>
              <wp:inline distT="0" distB="0" distL="0" distR="0" wp14:anchorId="0E926E44" wp14:editId="229CDEFA">
                <wp:extent cx="8863330" cy="5829300"/>
                <wp:effectExtent l="0" t="0" r="509270" b="19050"/>
                <wp:docPr id="195" name="Canvas 116" descr="Figure 3 Current clinical management algorithm for eligibility&#10;to MBS and PBS items for osteoporosis&#10;" title="Figure 3 Current clinical management algorithm for eligibility"/>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0" name="Text Box 282"/>
                        <wps:cNvSpPr txBox="1">
                          <a:spLocks noChangeArrowheads="1"/>
                        </wps:cNvSpPr>
                        <wps:spPr bwMode="auto">
                          <a:xfrm>
                            <a:off x="334601" y="0"/>
                            <a:ext cx="5591819" cy="3755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24467" w:rsidRDefault="00224467" w:rsidP="00C15B0E">
                              <w:pPr>
                                <w:pStyle w:val="Caption"/>
                                <w:spacing w:after="0"/>
                                <w:ind w:left="1440" w:hanging="1440"/>
                              </w:pPr>
                              <w:bookmarkStart w:id="45" w:name="_Ref358199375"/>
                              <w:r>
                                <w:t xml:space="preserve">Figure </w:t>
                              </w:r>
                              <w:r>
                                <w:fldChar w:fldCharType="begin"/>
                              </w:r>
                              <w:r>
                                <w:instrText xml:space="preserve"> SEQ Figure \* ARABIC </w:instrText>
                              </w:r>
                              <w:r>
                                <w:fldChar w:fldCharType="separate"/>
                              </w:r>
                              <w:r w:rsidR="00255656">
                                <w:rPr>
                                  <w:noProof/>
                                </w:rPr>
                                <w:t>3</w:t>
                              </w:r>
                              <w:r>
                                <w:rPr>
                                  <w:noProof/>
                                </w:rPr>
                                <w:fldChar w:fldCharType="end"/>
                              </w:r>
                              <w:bookmarkEnd w:id="45"/>
                              <w:r w:rsidRPr="00C15B0E">
                                <w:t xml:space="preserve"> </w:t>
                              </w:r>
                              <w:r w:rsidRPr="00AA3219">
                                <w:t>C</w:t>
                              </w:r>
                              <w:r>
                                <w:t>urrent c</w:t>
                              </w:r>
                              <w:r w:rsidRPr="00AA3219">
                                <w:t xml:space="preserve">linical management </w:t>
                              </w:r>
                              <w:r w:rsidRPr="00FA270C">
                                <w:rPr>
                                  <w:lang w:val="en-AU"/>
                                </w:rPr>
                                <w:t>algorithm</w:t>
                              </w:r>
                              <w:r w:rsidRPr="00AA3219">
                                <w:t xml:space="preserve"> for </w:t>
                              </w:r>
                              <w:r>
                                <w:t>eligibility</w:t>
                              </w:r>
                            </w:p>
                            <w:p w:rsidR="00224467" w:rsidRDefault="00224467" w:rsidP="00C15B0E">
                              <w:pPr>
                                <w:pStyle w:val="Caption"/>
                                <w:spacing w:after="0"/>
                                <w:ind w:left="1440" w:firstLine="720"/>
                              </w:pPr>
                              <w:r>
                                <w:t>to MBS and PBS items for osteoporosis</w:t>
                              </w:r>
                            </w:p>
                            <w:p w:rsidR="00224467" w:rsidRDefault="00224467" w:rsidP="00FA270C">
                              <w:pPr>
                                <w:pStyle w:val="Caption"/>
                              </w:pPr>
                            </w:p>
                          </w:txbxContent>
                        </wps:txbx>
                        <wps:bodyPr rot="0" vert="horz" wrap="square" lIns="91440" tIns="45720" rIns="91440" bIns="45720" anchor="t" anchorCtr="0" upright="1">
                          <a:noAutofit/>
                        </wps:bodyPr>
                      </wps:wsp>
                      <wps:wsp>
                        <wps:cNvPr id="161" name="Text Box 123"/>
                        <wps:cNvSpPr txBox="1">
                          <a:spLocks noChangeArrowheads="1"/>
                        </wps:cNvSpPr>
                        <wps:spPr bwMode="auto">
                          <a:xfrm>
                            <a:off x="4582416" y="127915"/>
                            <a:ext cx="1710706" cy="247730"/>
                          </a:xfrm>
                          <a:prstGeom prst="rect">
                            <a:avLst/>
                          </a:prstGeom>
                          <a:solidFill>
                            <a:srgbClr val="FFFFFF"/>
                          </a:solidFill>
                          <a:ln w="6350">
                            <a:solidFill>
                              <a:srgbClr val="000000"/>
                            </a:solidFill>
                            <a:miter lim="800000"/>
                            <a:headEnd/>
                            <a:tailEnd/>
                          </a:ln>
                        </wps:spPr>
                        <wps:txbx>
                          <w:txbxContent>
                            <w:p w:rsidR="00224467" w:rsidRPr="00A0033A" w:rsidRDefault="00224467" w:rsidP="00346920">
                              <w:pPr>
                                <w:rPr>
                                  <w:rFonts w:ascii="Arial Narrow" w:hAnsi="Arial Narrow"/>
                                  <w:sz w:val="18"/>
                                  <w:szCs w:val="18"/>
                                </w:rPr>
                              </w:pPr>
                              <w:r w:rsidRPr="00A0033A">
                                <w:rPr>
                                  <w:rFonts w:ascii="Arial Narrow" w:hAnsi="Arial Narrow"/>
                                  <w:sz w:val="18"/>
                                  <w:szCs w:val="18"/>
                                </w:rPr>
                                <w:t xml:space="preserve">Patients at risk of low </w:t>
                              </w:r>
                              <w:r>
                                <w:rPr>
                                  <w:rFonts w:ascii="Arial Narrow" w:hAnsi="Arial Narrow"/>
                                  <w:sz w:val="18"/>
                                  <w:szCs w:val="18"/>
                                </w:rPr>
                                <w:t>BMD</w:t>
                              </w:r>
                              <w:r w:rsidRPr="00A0033A">
                                <w:rPr>
                                  <w:rFonts w:ascii="Arial Narrow" w:hAnsi="Arial Narrow"/>
                                  <w:sz w:val="18"/>
                                  <w:szCs w:val="18"/>
                                </w:rPr>
                                <w:t xml:space="preserve"> and </w:t>
                              </w:r>
                              <w:r>
                                <w:rPr>
                                  <w:rFonts w:ascii="Arial Narrow" w:hAnsi="Arial Narrow"/>
                                  <w:sz w:val="18"/>
                                  <w:szCs w:val="18"/>
                                </w:rPr>
                                <w:t>MTF</w:t>
                              </w:r>
                            </w:p>
                          </w:txbxContent>
                        </wps:txbx>
                        <wps:bodyPr rot="0" vert="horz" wrap="none" lIns="91440" tIns="45720" rIns="91440" bIns="45720" anchor="t" anchorCtr="0" upright="1">
                          <a:noAutofit/>
                        </wps:bodyPr>
                      </wps:wsp>
                      <wps:wsp>
                        <wps:cNvPr id="162" name="Text Box 123"/>
                        <wps:cNvSpPr txBox="1">
                          <a:spLocks noChangeArrowheads="1"/>
                        </wps:cNvSpPr>
                        <wps:spPr bwMode="auto">
                          <a:xfrm>
                            <a:off x="1229604" y="742989"/>
                            <a:ext cx="2101807" cy="24773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Defined conditions with risk for developing OP</w:t>
                              </w:r>
                            </w:p>
                          </w:txbxContent>
                        </wps:txbx>
                        <wps:bodyPr rot="0" vert="horz" wrap="none" lIns="91440" tIns="45720" rIns="91440" bIns="45720" anchor="t" anchorCtr="0" upright="1">
                          <a:noAutofit/>
                        </wps:bodyPr>
                      </wps:wsp>
                      <wps:wsp>
                        <wps:cNvPr id="163" name="Text Box 123"/>
                        <wps:cNvSpPr txBox="1">
                          <a:spLocks noChangeArrowheads="1"/>
                        </wps:cNvSpPr>
                        <wps:spPr bwMode="auto">
                          <a:xfrm>
                            <a:off x="4839616" y="742989"/>
                            <a:ext cx="1200104" cy="24773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Other risk factors for OP</w:t>
                              </w:r>
                            </w:p>
                          </w:txbxContent>
                        </wps:txbx>
                        <wps:bodyPr rot="0" vert="horz" wrap="none" lIns="91440" tIns="45720" rIns="91440" bIns="45720" anchor="t" anchorCtr="0" upright="1">
                          <a:noAutofit/>
                        </wps:bodyPr>
                      </wps:wsp>
                      <wps:wsp>
                        <wps:cNvPr id="164" name="Straight Connector 145"/>
                        <wps:cNvCnPr/>
                        <wps:spPr bwMode="auto">
                          <a:xfrm>
                            <a:off x="2277308" y="495359"/>
                            <a:ext cx="64770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Straight Arrow Connector 146"/>
                        <wps:cNvCnPr/>
                        <wps:spPr bwMode="auto">
                          <a:xfrm>
                            <a:off x="5437718" y="375645"/>
                            <a:ext cx="1900" cy="36734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 name="Text Box 123"/>
                        <wps:cNvSpPr txBox="1">
                          <a:spLocks noChangeArrowheads="1"/>
                        </wps:cNvSpPr>
                        <wps:spPr bwMode="auto">
                          <a:xfrm>
                            <a:off x="8324728" y="742989"/>
                            <a:ext cx="840803" cy="24773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All other factors</w:t>
                              </w:r>
                            </w:p>
                          </w:txbxContent>
                        </wps:txbx>
                        <wps:bodyPr rot="0" vert="horz" wrap="none" lIns="91440" tIns="45720" rIns="91440" bIns="45720" anchor="t" anchorCtr="0" upright="1">
                          <a:noAutofit/>
                        </wps:bodyPr>
                      </wps:wsp>
                      <wps:wsp>
                        <wps:cNvPr id="167" name="Straight Arrow Connector 150"/>
                        <wps:cNvCnPr/>
                        <wps:spPr bwMode="auto">
                          <a:xfrm flipH="1">
                            <a:off x="8745130" y="495359"/>
                            <a:ext cx="9200" cy="2476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8" name="Straight Arrow Connector 152"/>
                        <wps:cNvCnPr/>
                        <wps:spPr bwMode="auto">
                          <a:xfrm>
                            <a:off x="8745130" y="990719"/>
                            <a:ext cx="8600" cy="36094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9" name="Text Box 153"/>
                        <wps:cNvSpPr txBox="1">
                          <a:spLocks noChangeArrowheads="1"/>
                        </wps:cNvSpPr>
                        <wps:spPr bwMode="auto">
                          <a:xfrm>
                            <a:off x="1262904" y="1151638"/>
                            <a:ext cx="783603" cy="419150"/>
                          </a:xfrm>
                          <a:prstGeom prst="rect">
                            <a:avLst/>
                          </a:prstGeom>
                          <a:solidFill>
                            <a:srgbClr val="FFFFFF"/>
                          </a:solidFill>
                          <a:ln w="6350">
                            <a:solidFill>
                              <a:srgbClr val="000000"/>
                            </a:solidFill>
                            <a:miter lim="800000"/>
                            <a:headEnd/>
                            <a:tailEnd/>
                          </a:ln>
                        </wps:spPr>
                        <wps:txbx>
                          <w:txbxContent>
                            <w:p w:rsidR="00224467" w:rsidRPr="00227F5F" w:rsidRDefault="00224467" w:rsidP="00346920">
                              <w:pPr>
                                <w:spacing w:after="0"/>
                                <w:rPr>
                                  <w:rFonts w:ascii="Arial Narrow" w:hAnsi="Arial Narrow"/>
                                  <w:sz w:val="18"/>
                                  <w:szCs w:val="18"/>
                                </w:rPr>
                              </w:pPr>
                              <w:r>
                                <w:rPr>
                                  <w:rFonts w:ascii="Arial Narrow" w:hAnsi="Arial Narrow"/>
                                  <w:sz w:val="18"/>
                                  <w:szCs w:val="18"/>
                                </w:rPr>
                                <w:t>Glucocorticoid</w:t>
                              </w:r>
                            </w:p>
                            <w:p w:rsidR="00224467" w:rsidRPr="00227F5F" w:rsidRDefault="00224467" w:rsidP="00346920">
                              <w:pPr>
                                <w:spacing w:after="0"/>
                                <w:rPr>
                                  <w:rFonts w:ascii="Arial Narrow" w:hAnsi="Arial Narrow"/>
                                  <w:sz w:val="18"/>
                                  <w:szCs w:val="18"/>
                                </w:rPr>
                              </w:pPr>
                              <w:r w:rsidRPr="00227F5F">
                                <w:rPr>
                                  <w:rFonts w:ascii="Arial Narrow" w:hAnsi="Arial Narrow"/>
                                  <w:sz w:val="18"/>
                                  <w:szCs w:val="18"/>
                                </w:rPr>
                                <w:t>therapy</w:t>
                              </w:r>
                            </w:p>
                          </w:txbxContent>
                        </wps:txbx>
                        <wps:bodyPr rot="0" vert="horz" wrap="none" lIns="91440" tIns="45720" rIns="91440" bIns="45720" anchor="t" anchorCtr="0" upright="1">
                          <a:noAutofit/>
                        </wps:bodyPr>
                      </wps:wsp>
                      <wps:wsp>
                        <wps:cNvPr id="170" name="Text Box 154"/>
                        <wps:cNvSpPr txBox="1">
                          <a:spLocks noChangeArrowheads="1"/>
                        </wps:cNvSpPr>
                        <wps:spPr bwMode="auto">
                          <a:xfrm>
                            <a:off x="1791406" y="1656499"/>
                            <a:ext cx="1091004" cy="409649"/>
                          </a:xfrm>
                          <a:prstGeom prst="rect">
                            <a:avLst/>
                          </a:prstGeom>
                          <a:solidFill>
                            <a:srgbClr val="FFFFFF"/>
                          </a:solidFill>
                          <a:ln w="6350">
                            <a:solidFill>
                              <a:srgbClr val="000000"/>
                            </a:solidFill>
                            <a:miter lim="800000"/>
                            <a:headEnd/>
                            <a:tailEnd/>
                          </a:ln>
                        </wps:spPr>
                        <wps:txbx>
                          <w:txbxContent>
                            <w:p w:rsidR="00224467" w:rsidRDefault="00224467" w:rsidP="00346920">
                              <w:pPr>
                                <w:spacing w:after="0"/>
                                <w:rPr>
                                  <w:rFonts w:ascii="Arial Narrow" w:hAnsi="Arial Narrow"/>
                                  <w:sz w:val="18"/>
                                  <w:szCs w:val="18"/>
                                </w:rPr>
                              </w:pPr>
                              <w:r>
                                <w:rPr>
                                  <w:rFonts w:ascii="Arial Narrow" w:hAnsi="Arial Narrow"/>
                                  <w:sz w:val="18"/>
                                  <w:szCs w:val="18"/>
                                </w:rPr>
                                <w:t>Male or female</w:t>
                              </w:r>
                            </w:p>
                            <w:p w:rsidR="00224467" w:rsidRPr="00227F5F" w:rsidRDefault="00224467" w:rsidP="00346920">
                              <w:pPr>
                                <w:spacing w:after="0"/>
                                <w:rPr>
                                  <w:rFonts w:ascii="Arial Narrow" w:hAnsi="Arial Narrow"/>
                                  <w:sz w:val="18"/>
                                  <w:szCs w:val="18"/>
                                </w:rPr>
                              </w:pPr>
                              <w:r>
                                <w:rPr>
                                  <w:rFonts w:ascii="Arial Narrow" w:hAnsi="Arial Narrow"/>
                                  <w:sz w:val="18"/>
                                  <w:szCs w:val="18"/>
                                </w:rPr>
                                <w:t>h</w:t>
                              </w:r>
                              <w:r w:rsidRPr="00227F5F">
                                <w:rPr>
                                  <w:rFonts w:ascii="Arial Narrow" w:hAnsi="Arial Narrow"/>
                                  <w:sz w:val="18"/>
                                  <w:szCs w:val="18"/>
                                </w:rPr>
                                <w:t>ypogonadism</w:t>
                              </w:r>
                              <w:r>
                                <w:rPr>
                                  <w:rFonts w:ascii="Arial Narrow" w:hAnsi="Arial Narrow"/>
                                  <w:sz w:val="18"/>
                                  <w:szCs w:val="18"/>
                                </w:rPr>
                                <w:t xml:space="preserve"> etc (a)</w:t>
                              </w:r>
                            </w:p>
                          </w:txbxContent>
                        </wps:txbx>
                        <wps:bodyPr rot="0" vert="horz" wrap="none" lIns="91440" tIns="45720" rIns="91440" bIns="45720" anchor="t" anchorCtr="0" upright="1">
                          <a:noAutofit/>
                        </wps:bodyPr>
                      </wps:wsp>
                      <wps:wsp>
                        <wps:cNvPr id="171" name="Text Box 155"/>
                        <wps:cNvSpPr txBox="1">
                          <a:spLocks noChangeArrowheads="1"/>
                        </wps:cNvSpPr>
                        <wps:spPr bwMode="auto">
                          <a:xfrm>
                            <a:off x="2401108" y="2151858"/>
                            <a:ext cx="1388105" cy="419150"/>
                          </a:xfrm>
                          <a:prstGeom prst="rect">
                            <a:avLst/>
                          </a:prstGeom>
                          <a:solidFill>
                            <a:srgbClr val="FFFFFF"/>
                          </a:solidFill>
                          <a:ln w="6350">
                            <a:solidFill>
                              <a:srgbClr val="000000"/>
                            </a:solidFill>
                            <a:miter lim="800000"/>
                            <a:headEnd/>
                            <a:tailEnd/>
                          </a:ln>
                        </wps:spPr>
                        <wps:txbx>
                          <w:txbxContent>
                            <w:p w:rsidR="00224467" w:rsidRPr="00227F5F" w:rsidRDefault="00224467" w:rsidP="00346920">
                              <w:pPr>
                                <w:spacing w:after="0"/>
                                <w:rPr>
                                  <w:rFonts w:ascii="Arial Narrow" w:hAnsi="Arial Narrow"/>
                                  <w:sz w:val="18"/>
                                  <w:szCs w:val="18"/>
                                </w:rPr>
                              </w:pPr>
                              <w:r w:rsidRPr="00227F5F">
                                <w:rPr>
                                  <w:rFonts w:ascii="Arial Narrow" w:hAnsi="Arial Narrow"/>
                                  <w:sz w:val="18"/>
                                  <w:szCs w:val="18"/>
                                </w:rPr>
                                <w:t>Primary hyperparathyroidism</w:t>
                              </w:r>
                            </w:p>
                            <w:p w:rsidR="00224467" w:rsidRPr="00227F5F" w:rsidRDefault="00224467" w:rsidP="00346920">
                              <w:pPr>
                                <w:spacing w:after="0"/>
                                <w:rPr>
                                  <w:rFonts w:ascii="Arial Narrow" w:hAnsi="Arial Narrow"/>
                                  <w:sz w:val="18"/>
                                  <w:szCs w:val="18"/>
                                </w:rPr>
                              </w:pPr>
                              <w:r w:rsidRPr="00227F5F">
                                <w:rPr>
                                  <w:rFonts w:ascii="Arial Narrow" w:hAnsi="Arial Narrow"/>
                                  <w:sz w:val="18"/>
                                  <w:szCs w:val="18"/>
                                </w:rPr>
                                <w:t>Chronic renal disease</w:t>
                              </w:r>
                              <w:r>
                                <w:rPr>
                                  <w:rFonts w:ascii="Arial Narrow" w:hAnsi="Arial Narrow"/>
                                  <w:sz w:val="18"/>
                                  <w:szCs w:val="18"/>
                                </w:rPr>
                                <w:t xml:space="preserve"> e</w:t>
                              </w:r>
                              <w:r w:rsidRPr="00227F5F">
                                <w:rPr>
                                  <w:rFonts w:ascii="Arial Narrow" w:hAnsi="Arial Narrow"/>
                                  <w:sz w:val="18"/>
                                  <w:szCs w:val="18"/>
                                </w:rPr>
                                <w:t>tc</w:t>
                              </w:r>
                              <w:r>
                                <w:rPr>
                                  <w:rFonts w:ascii="Arial Narrow" w:hAnsi="Arial Narrow"/>
                                  <w:sz w:val="18"/>
                                  <w:szCs w:val="18"/>
                                </w:rPr>
                                <w:t xml:space="preserve"> (b)</w:t>
                              </w:r>
                            </w:p>
                          </w:txbxContent>
                        </wps:txbx>
                        <wps:bodyPr rot="0" vert="horz" wrap="none" lIns="91440" tIns="45720" rIns="91440" bIns="45720" anchor="t" anchorCtr="0" upright="1">
                          <a:noAutofit/>
                        </wps:bodyPr>
                      </wps:wsp>
                      <wps:wsp>
                        <wps:cNvPr id="172" name="Text Box 153"/>
                        <wps:cNvSpPr txBox="1">
                          <a:spLocks noChangeArrowheads="1"/>
                        </wps:cNvSpPr>
                        <wps:spPr bwMode="auto">
                          <a:xfrm>
                            <a:off x="38100" y="4982098"/>
                            <a:ext cx="783503" cy="734788"/>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‘for prevention</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and treatment</w:t>
                              </w:r>
                            </w:p>
                            <w:p w:rsidR="00224467" w:rsidRDefault="00224467" w:rsidP="00346920">
                              <w:pPr>
                                <w:pStyle w:val="NormalWeb"/>
                                <w:spacing w:before="0" w:beforeAutospacing="0" w:after="0" w:afterAutospacing="0" w:line="276" w:lineRule="auto"/>
                              </w:pPr>
                              <w:r>
                                <w:rPr>
                                  <w:rFonts w:ascii="Arial Narrow" w:hAnsi="Arial Narrow"/>
                                  <w:sz w:val="18"/>
                                  <w:szCs w:val="18"/>
                                </w:rPr>
                                <w:t>of OP’</w:t>
                              </w:r>
                            </w:p>
                          </w:txbxContent>
                        </wps:txbx>
                        <wps:bodyPr rot="0" vert="horz" wrap="none" lIns="91440" tIns="45720" rIns="91440" bIns="45720" anchor="t" anchorCtr="0" upright="1">
                          <a:noAutofit/>
                        </wps:bodyPr>
                      </wps:wsp>
                      <wps:wsp>
                        <wps:cNvPr id="173" name="Text Box 153"/>
                        <wps:cNvSpPr txBox="1">
                          <a:spLocks noChangeArrowheads="1"/>
                        </wps:cNvSpPr>
                        <wps:spPr bwMode="auto">
                          <a:xfrm>
                            <a:off x="3638412" y="1160239"/>
                            <a:ext cx="1122104"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Previously established</w:t>
                              </w:r>
                            </w:p>
                            <w:p w:rsidR="00224467" w:rsidRDefault="00224467" w:rsidP="00346920">
                              <w:pPr>
                                <w:pStyle w:val="NormalWeb"/>
                                <w:spacing w:before="0" w:beforeAutospacing="0" w:after="0" w:afterAutospacing="0" w:line="276" w:lineRule="auto"/>
                              </w:pPr>
                              <w:r>
                                <w:rPr>
                                  <w:rFonts w:ascii="Arial Narrow" w:hAnsi="Arial Narrow"/>
                                  <w:sz w:val="18"/>
                                  <w:szCs w:val="18"/>
                                </w:rPr>
                                <w:t>T-score ≤-2.5</w:t>
                              </w:r>
                            </w:p>
                          </w:txbxContent>
                        </wps:txbx>
                        <wps:bodyPr rot="0" vert="horz" wrap="none" lIns="91440" tIns="45720" rIns="91440" bIns="45720" anchor="t" anchorCtr="0" upright="1">
                          <a:noAutofit/>
                        </wps:bodyPr>
                      </wps:wsp>
                      <wps:wsp>
                        <wps:cNvPr id="174" name="Text Box 153"/>
                        <wps:cNvSpPr txBox="1">
                          <a:spLocks noChangeArrowheads="1"/>
                        </wps:cNvSpPr>
                        <wps:spPr bwMode="auto">
                          <a:xfrm>
                            <a:off x="1493405" y="5552967"/>
                            <a:ext cx="4466615" cy="276933"/>
                          </a:xfrm>
                          <a:prstGeom prst="rect">
                            <a:avLst/>
                          </a:prstGeom>
                          <a:solidFill>
                            <a:srgbClr val="FFFFFF"/>
                          </a:solidFill>
                          <a:ln w="6350">
                            <a:solidFill>
                              <a:srgbClr val="000000"/>
                            </a:solidFill>
                            <a:miter lim="800000"/>
                            <a:headEnd/>
                            <a:tailEnd/>
                          </a:ln>
                        </wps:spPr>
                        <wps:txbx>
                          <w:txbxContent>
                            <w:p w:rsidR="00224467" w:rsidRPr="008C7DE0" w:rsidRDefault="00224467" w:rsidP="00346920">
                              <w:pPr>
                                <w:pStyle w:val="NormalWeb"/>
                                <w:spacing w:before="0" w:beforeAutospacing="0" w:after="0" w:afterAutospacing="0" w:line="276" w:lineRule="auto"/>
                                <w:rPr>
                                  <w:rFonts w:ascii="Arial Narrow" w:hAnsi="Arial Narrow"/>
                                  <w:sz w:val="18"/>
                                  <w:szCs w:val="18"/>
                                </w:rPr>
                              </w:pPr>
                              <w:r w:rsidRPr="008C7DE0">
                                <w:rPr>
                                  <w:rFonts w:ascii="Arial Narrow" w:hAnsi="Arial Narrow"/>
                                  <w:sz w:val="18"/>
                                  <w:szCs w:val="18"/>
                                </w:rPr>
                                <w:t>Repeat DXA</w:t>
                              </w:r>
                              <w:r>
                                <w:rPr>
                                  <w:rFonts w:ascii="Arial Narrow" w:hAnsi="Arial Narrow"/>
                                  <w:sz w:val="18"/>
                                  <w:szCs w:val="18"/>
                                </w:rPr>
                                <w:t xml:space="preserve"> or QCT</w:t>
                              </w:r>
                              <w:r w:rsidRPr="008C7DE0">
                                <w:rPr>
                                  <w:rFonts w:ascii="Arial Narrow" w:hAnsi="Arial Narrow"/>
                                  <w:sz w:val="18"/>
                                  <w:szCs w:val="18"/>
                                </w:rPr>
                                <w:t xml:space="preserve"> for proven low BMD</w:t>
                              </w:r>
                              <w:r>
                                <w:rPr>
                                  <w:rFonts w:ascii="Arial Narrow" w:hAnsi="Arial Narrow"/>
                                  <w:sz w:val="18"/>
                                  <w:szCs w:val="18"/>
                                </w:rPr>
                                <w:t xml:space="preserve"> (T-score ≤-2.5) (</w:t>
                              </w:r>
                              <w:r w:rsidRPr="008C7DE0">
                                <w:rPr>
                                  <w:rFonts w:ascii="Arial Narrow" w:hAnsi="Arial Narrow"/>
                                  <w:sz w:val="18"/>
                                  <w:szCs w:val="18"/>
                                </w:rPr>
                                <w:t>MBS 12306</w:t>
                              </w:r>
                              <w:r>
                                <w:rPr>
                                  <w:rFonts w:ascii="Arial Narrow" w:hAnsi="Arial Narrow"/>
                                  <w:sz w:val="18"/>
                                  <w:szCs w:val="18"/>
                                </w:rPr>
                                <w:t xml:space="preserve">, 12309) </w:t>
                              </w:r>
                              <w:r w:rsidRPr="008C7DE0">
                                <w:rPr>
                                  <w:rFonts w:ascii="Arial Narrow" w:hAnsi="Arial Narrow"/>
                                  <w:sz w:val="18"/>
                                  <w:szCs w:val="18"/>
                                </w:rPr>
                                <w:t>1 service per 24 months</w:t>
                              </w:r>
                              <w:r>
                                <w:rPr>
                                  <w:rFonts w:ascii="Arial Narrow" w:hAnsi="Arial Narrow"/>
                                  <w:sz w:val="18"/>
                                  <w:szCs w:val="18"/>
                                </w:rPr>
                                <w:t xml:space="preserve"> </w:t>
                              </w:r>
                            </w:p>
                          </w:txbxContent>
                        </wps:txbx>
                        <wps:bodyPr rot="0" vert="horz" wrap="none" lIns="91440" tIns="45720" rIns="91440" bIns="45720" anchor="t" anchorCtr="0" upright="1">
                          <a:noAutofit/>
                        </wps:bodyPr>
                      </wps:wsp>
                      <wps:wsp>
                        <wps:cNvPr id="175" name="Text Box 153"/>
                        <wps:cNvSpPr txBox="1">
                          <a:spLocks noChangeArrowheads="1"/>
                        </wps:cNvSpPr>
                        <wps:spPr bwMode="auto">
                          <a:xfrm>
                            <a:off x="6071221" y="1665100"/>
                            <a:ext cx="6166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of OP</w:t>
                              </w:r>
                            </w:p>
                          </w:txbxContent>
                        </wps:txbx>
                        <wps:bodyPr rot="0" vert="horz" wrap="none" lIns="91440" tIns="45720" rIns="91440" bIns="45720" anchor="t" anchorCtr="0" upright="1">
                          <a:noAutofit/>
                        </wps:bodyPr>
                      </wps:wsp>
                      <wps:wsp>
                        <wps:cNvPr id="176" name="Text Box 153"/>
                        <wps:cNvSpPr txBox="1">
                          <a:spLocks noChangeArrowheads="1"/>
                        </wps:cNvSpPr>
                        <wps:spPr bwMode="auto">
                          <a:xfrm>
                            <a:off x="5304418" y="1168740"/>
                            <a:ext cx="955703"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Significant change</w:t>
                              </w:r>
                            </w:p>
                            <w:p w:rsidR="00224467" w:rsidRDefault="00224467" w:rsidP="00346920">
                              <w:pPr>
                                <w:pStyle w:val="NormalWeb"/>
                                <w:spacing w:before="0" w:beforeAutospacing="0" w:after="0" w:afterAutospacing="0" w:line="276" w:lineRule="auto"/>
                              </w:pPr>
                              <w:r>
                                <w:rPr>
                                  <w:rFonts w:ascii="Arial Narrow" w:hAnsi="Arial Narrow"/>
                                  <w:sz w:val="18"/>
                                  <w:szCs w:val="18"/>
                                </w:rPr>
                                <w:t>in OP therapy</w:t>
                              </w:r>
                            </w:p>
                          </w:txbxContent>
                        </wps:txbx>
                        <wps:bodyPr rot="0" vert="horz" wrap="none" lIns="91440" tIns="45720" rIns="91440" bIns="45720" anchor="t" anchorCtr="0" upright="1">
                          <a:noAutofit/>
                        </wps:bodyPr>
                      </wps:wsp>
                      <wps:wsp>
                        <wps:cNvPr id="177" name="Text Box 153"/>
                        <wps:cNvSpPr txBox="1">
                          <a:spLocks noChangeArrowheads="1"/>
                        </wps:cNvSpPr>
                        <wps:spPr bwMode="auto">
                          <a:xfrm>
                            <a:off x="4991017" y="2151858"/>
                            <a:ext cx="382901"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Age</w:t>
                              </w:r>
                            </w:p>
                            <w:p w:rsidR="00224467" w:rsidRDefault="00224467" w:rsidP="00346920">
                              <w:pPr>
                                <w:pStyle w:val="NormalWeb"/>
                                <w:spacing w:before="0" w:beforeAutospacing="0" w:after="0" w:afterAutospacing="0" w:line="276" w:lineRule="auto"/>
                              </w:pPr>
                              <w:r>
                                <w:rPr>
                                  <w:rFonts w:ascii="Arial Narrow" w:hAnsi="Arial Narrow"/>
                                  <w:sz w:val="18"/>
                                  <w:szCs w:val="18"/>
                                </w:rPr>
                                <w:t>≥ 70</w:t>
                              </w:r>
                            </w:p>
                          </w:txbxContent>
                        </wps:txbx>
                        <wps:bodyPr rot="0" vert="horz" wrap="none" lIns="91440" tIns="45720" rIns="91440" bIns="45720" anchor="t" anchorCtr="0" upright="1">
                          <a:noAutofit/>
                        </wps:bodyPr>
                      </wps:wsp>
                      <wps:wsp>
                        <wps:cNvPr id="178" name="Text Box 153"/>
                        <wps:cNvSpPr txBox="1">
                          <a:spLocks noChangeArrowheads="1"/>
                        </wps:cNvSpPr>
                        <wps:spPr bwMode="auto">
                          <a:xfrm>
                            <a:off x="4381615" y="1665100"/>
                            <a:ext cx="4864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Proven</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79" name="Text Box 153"/>
                        <wps:cNvSpPr txBox="1">
                          <a:spLocks noChangeArrowheads="1"/>
                        </wps:cNvSpPr>
                        <wps:spPr bwMode="auto">
                          <a:xfrm>
                            <a:off x="1367705" y="2933052"/>
                            <a:ext cx="533402" cy="100182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224467" w:rsidRDefault="00224467" w:rsidP="00346920">
                              <w:pPr>
                                <w:pStyle w:val="NormalWeb"/>
                                <w:spacing w:before="0" w:beforeAutospacing="0" w:after="0" w:afterAutospacing="0" w:line="276" w:lineRule="auto"/>
                              </w:pPr>
                              <w:r>
                                <w:rPr>
                                  <w:rFonts w:ascii="Arial Narrow" w:hAnsi="Arial Narrow"/>
                                  <w:sz w:val="18"/>
                                  <w:szCs w:val="18"/>
                                </w:rPr>
                                <w:t>months</w:t>
                              </w:r>
                            </w:p>
                          </w:txbxContent>
                        </wps:txbx>
                        <wps:bodyPr rot="0" vert="horz" wrap="none" lIns="91440" tIns="45720" rIns="91440" bIns="45720" anchor="t" anchorCtr="0" upright="1">
                          <a:noAutofit/>
                        </wps:bodyPr>
                      </wps:wsp>
                      <wps:wsp>
                        <wps:cNvPr id="180" name="Text Box 153"/>
                        <wps:cNvSpPr txBox="1">
                          <a:spLocks noChangeArrowheads="1"/>
                        </wps:cNvSpPr>
                        <wps:spPr bwMode="auto">
                          <a:xfrm>
                            <a:off x="2134807" y="2933052"/>
                            <a:ext cx="533402" cy="100212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224467" w:rsidRPr="00F231BC"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months</w:t>
                              </w:r>
                            </w:p>
                          </w:txbxContent>
                        </wps:txbx>
                        <wps:bodyPr rot="0" vert="horz" wrap="none" lIns="91440" tIns="45720" rIns="91440" bIns="45720" anchor="t" anchorCtr="0" upright="1">
                          <a:noAutofit/>
                        </wps:bodyPr>
                      </wps:wsp>
                      <wps:wsp>
                        <wps:cNvPr id="181" name="Text Box 153"/>
                        <wps:cNvSpPr txBox="1">
                          <a:spLocks noChangeArrowheads="1"/>
                        </wps:cNvSpPr>
                        <wps:spPr bwMode="auto">
                          <a:xfrm>
                            <a:off x="2829710" y="2941553"/>
                            <a:ext cx="533402" cy="993319"/>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12315</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224467" w:rsidRPr="00F231BC"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months</w:t>
                              </w:r>
                            </w:p>
                          </w:txbxContent>
                        </wps:txbx>
                        <wps:bodyPr rot="0" vert="horz" wrap="none" lIns="91440" tIns="45720" rIns="91440" bIns="45720" anchor="t" anchorCtr="0" upright="1">
                          <a:noAutofit/>
                        </wps:bodyPr>
                      </wps:wsp>
                      <wps:wsp>
                        <wps:cNvPr id="182" name="Text Box 153"/>
                        <wps:cNvSpPr txBox="1">
                          <a:spLocks noChangeArrowheads="1"/>
                        </wps:cNvSpPr>
                        <wps:spPr bwMode="auto">
                          <a:xfrm>
                            <a:off x="3781213" y="2921551"/>
                            <a:ext cx="533402" cy="1013322"/>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224467" w:rsidRDefault="00224467" w:rsidP="00346920">
                              <w:pPr>
                                <w:pStyle w:val="NormalWeb"/>
                                <w:spacing w:before="0" w:beforeAutospacing="0" w:after="0" w:afterAutospacing="0" w:line="276" w:lineRule="auto"/>
                              </w:pPr>
                              <w:r>
                                <w:rPr>
                                  <w:rFonts w:ascii="Arial Narrow" w:hAnsi="Arial Narrow"/>
                                  <w:sz w:val="18"/>
                                  <w:szCs w:val="18"/>
                                </w:rPr>
                                <w:t>months</w:t>
                              </w:r>
                            </w:p>
                          </w:txbxContent>
                        </wps:txbx>
                        <wps:bodyPr rot="0" vert="horz" wrap="none" lIns="91440" tIns="45720" rIns="91440" bIns="45720" anchor="t" anchorCtr="0" upright="1">
                          <a:noAutofit/>
                        </wps:bodyPr>
                      </wps:wsp>
                      <wps:wsp>
                        <wps:cNvPr id="183" name="Text Box 153"/>
                        <wps:cNvSpPr txBox="1">
                          <a:spLocks noChangeArrowheads="1"/>
                        </wps:cNvSpPr>
                        <wps:spPr bwMode="auto">
                          <a:xfrm>
                            <a:off x="4429315" y="2933052"/>
                            <a:ext cx="533402" cy="1191743"/>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224467" w:rsidRDefault="00224467" w:rsidP="00346920">
                              <w:pPr>
                                <w:pStyle w:val="NormalWeb"/>
                                <w:spacing w:before="0" w:beforeAutospacing="0" w:after="0" w:afterAutospacing="0" w:line="276" w:lineRule="auto"/>
                              </w:pPr>
                              <w:r>
                                <w:rPr>
                                  <w:rFonts w:ascii="Arial Narrow" w:hAnsi="Arial Narrow"/>
                                  <w:sz w:val="18"/>
                                  <w:szCs w:val="18"/>
                                </w:rPr>
                                <w:t>months</w:t>
                              </w:r>
                            </w:p>
                          </w:txbxContent>
                        </wps:txbx>
                        <wps:bodyPr rot="0" vert="horz" wrap="none" lIns="91440" tIns="45720" rIns="91440" bIns="45720" anchor="t" anchorCtr="0" upright="1">
                          <a:noAutofit/>
                        </wps:bodyPr>
                      </wps:wsp>
                      <wps:wsp>
                        <wps:cNvPr id="184" name="Text Box 153"/>
                        <wps:cNvSpPr txBox="1">
                          <a:spLocks noChangeArrowheads="1"/>
                        </wps:cNvSpPr>
                        <wps:spPr bwMode="auto">
                          <a:xfrm>
                            <a:off x="5085217" y="2933052"/>
                            <a:ext cx="450202" cy="100212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12323</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w:t>
                              </w:r>
                            </w:p>
                            <w:p w:rsidR="00224467" w:rsidRDefault="00224467" w:rsidP="00346920">
                              <w:pPr>
                                <w:pStyle w:val="NormalWeb"/>
                                <w:spacing w:before="0" w:beforeAutospacing="0" w:after="0" w:afterAutospacing="0" w:line="276" w:lineRule="auto"/>
                              </w:pPr>
                              <w:r>
                                <w:rPr>
                                  <w:rFonts w:ascii="Arial Narrow" w:hAnsi="Arial Narrow"/>
                                  <w:sz w:val="18"/>
                                  <w:szCs w:val="18"/>
                                </w:rPr>
                                <w:t>limit)</w:t>
                              </w:r>
                            </w:p>
                          </w:txbxContent>
                        </wps:txbx>
                        <wps:bodyPr rot="0" vert="horz" wrap="none" lIns="91440" tIns="45720" rIns="91440" bIns="45720" anchor="t" anchorCtr="0" upright="1">
                          <a:noAutofit/>
                        </wps:bodyPr>
                      </wps:wsp>
                      <wps:wsp>
                        <wps:cNvPr id="185" name="Text Box 153"/>
                        <wps:cNvSpPr txBox="1">
                          <a:spLocks noChangeArrowheads="1"/>
                        </wps:cNvSpPr>
                        <wps:spPr bwMode="auto">
                          <a:xfrm>
                            <a:off x="5675819" y="2933052"/>
                            <a:ext cx="533402" cy="100212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224467" w:rsidRDefault="00224467" w:rsidP="00346920">
                              <w:pPr>
                                <w:pStyle w:val="NormalWeb"/>
                                <w:spacing w:before="0" w:beforeAutospacing="0" w:after="0" w:afterAutospacing="0" w:line="276" w:lineRule="auto"/>
                              </w:pPr>
                              <w:r>
                                <w:rPr>
                                  <w:rFonts w:ascii="Arial Narrow" w:hAnsi="Arial Narrow"/>
                                  <w:sz w:val="18"/>
                                  <w:szCs w:val="18"/>
                                </w:rPr>
                                <w:t>months</w:t>
                              </w:r>
                            </w:p>
                          </w:txbxContent>
                        </wps:txbx>
                        <wps:bodyPr rot="0" vert="horz" wrap="none" lIns="91440" tIns="45720" rIns="91440" bIns="45720" anchor="t" anchorCtr="0" upright="1">
                          <a:noAutofit/>
                        </wps:bodyPr>
                      </wps:wsp>
                      <wps:wsp>
                        <wps:cNvPr id="186" name="Text Box 153"/>
                        <wps:cNvSpPr txBox="1">
                          <a:spLocks noChangeArrowheads="1"/>
                        </wps:cNvSpPr>
                        <wps:spPr bwMode="auto">
                          <a:xfrm>
                            <a:off x="6054520" y="4982098"/>
                            <a:ext cx="783603" cy="754491"/>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‘for prevention</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and treatment</w:t>
                              </w:r>
                            </w:p>
                            <w:p w:rsidR="00224467" w:rsidRDefault="00224467" w:rsidP="00346920">
                              <w:pPr>
                                <w:pStyle w:val="NormalWeb"/>
                                <w:spacing w:before="0" w:beforeAutospacing="0" w:after="0" w:afterAutospacing="0" w:line="276" w:lineRule="auto"/>
                              </w:pPr>
                              <w:r>
                                <w:rPr>
                                  <w:rFonts w:ascii="Arial Narrow" w:hAnsi="Arial Narrow"/>
                                  <w:sz w:val="18"/>
                                  <w:szCs w:val="18"/>
                                </w:rPr>
                                <w:t>of OP’</w:t>
                              </w:r>
                            </w:p>
                          </w:txbxContent>
                        </wps:txbx>
                        <wps:bodyPr rot="0" vert="horz" wrap="none" lIns="91440" tIns="45720" rIns="91440" bIns="45720" anchor="t" anchorCtr="0" upright="1">
                          <a:noAutofit/>
                        </wps:bodyPr>
                      </wps:wsp>
                      <wps:wsp>
                        <wps:cNvPr id="187" name="Text Box 153"/>
                        <wps:cNvSpPr txBox="1">
                          <a:spLocks noChangeArrowheads="1"/>
                        </wps:cNvSpPr>
                        <wps:spPr bwMode="auto">
                          <a:xfrm>
                            <a:off x="6908723" y="3934873"/>
                            <a:ext cx="2440308" cy="1891227"/>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BMD: Bone mineral density</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minimal trauma fracture</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OP: osteoporosis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 (number refers to the MBS item)</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 (number refers to the MBS item)</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 Conditions associated with excess glucocorticoid</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secretion</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 Chronic liver disease, proven malabsorbtive</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disorder, rheumatoid arthritis, or conditions associated</w:t>
                              </w:r>
                            </w:p>
                            <w:p w:rsidR="00224467" w:rsidRDefault="00224467" w:rsidP="00346920">
                              <w:pPr>
                                <w:pStyle w:val="NormalWeb"/>
                                <w:spacing w:before="0" w:beforeAutospacing="0" w:after="0" w:afterAutospacing="0" w:line="276" w:lineRule="auto"/>
                              </w:pPr>
                              <w:r>
                                <w:rPr>
                                  <w:rFonts w:ascii="Arial Narrow" w:hAnsi="Arial Narrow"/>
                                  <w:sz w:val="18"/>
                                  <w:szCs w:val="18"/>
                                </w:rPr>
                                <w:t>with thryoxine excess</w:t>
                              </w:r>
                            </w:p>
                          </w:txbxContent>
                        </wps:txbx>
                        <wps:bodyPr rot="0" vert="horz" wrap="none" lIns="91440" tIns="45720" rIns="91440" bIns="45720" anchor="t" anchorCtr="0" upright="1">
                          <a:noAutofit/>
                        </wps:bodyPr>
                      </wps:wsp>
                      <wps:wsp>
                        <wps:cNvPr id="188" name="Text Box 153"/>
                        <wps:cNvSpPr txBox="1">
                          <a:spLocks noChangeArrowheads="1"/>
                        </wps:cNvSpPr>
                        <wps:spPr bwMode="auto">
                          <a:xfrm>
                            <a:off x="1386705" y="4190103"/>
                            <a:ext cx="5074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T-score  </w:t>
                              </w:r>
                            </w:p>
                            <w:p w:rsidR="00224467" w:rsidRDefault="00224467" w:rsidP="00346920">
                              <w:pPr>
                                <w:pStyle w:val="NormalWeb"/>
                                <w:spacing w:before="0" w:beforeAutospacing="0" w:after="0" w:afterAutospacing="0" w:line="276" w:lineRule="auto"/>
                              </w:pPr>
                              <w:r>
                                <w:rPr>
                                  <w:rFonts w:ascii="Arial Narrow" w:hAnsi="Arial Narrow"/>
                                  <w:sz w:val="18"/>
                                  <w:szCs w:val="18"/>
                                </w:rPr>
                                <w:t>≤-1.0</w:t>
                              </w:r>
                            </w:p>
                          </w:txbxContent>
                        </wps:txbx>
                        <wps:bodyPr rot="0" vert="horz" wrap="none" lIns="91440" tIns="45720" rIns="91440" bIns="45720" anchor="t" anchorCtr="0" upright="1">
                          <a:noAutofit/>
                        </wps:bodyPr>
                      </wps:wsp>
                      <wps:wsp>
                        <wps:cNvPr id="189" name="Straight Arrow Connector 201"/>
                        <wps:cNvCnPr/>
                        <wps:spPr bwMode="auto">
                          <a:xfrm>
                            <a:off x="2277308" y="495359"/>
                            <a:ext cx="3200" cy="2476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0" name="Text Box 153"/>
                        <wps:cNvSpPr txBox="1">
                          <a:spLocks noChangeArrowheads="1"/>
                        </wps:cNvSpPr>
                        <wps:spPr bwMode="auto">
                          <a:xfrm>
                            <a:off x="2153807" y="4198604"/>
                            <a:ext cx="5074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T-score</w:t>
                              </w:r>
                            </w:p>
                            <w:p w:rsidR="00224467" w:rsidRDefault="00224467" w:rsidP="00346920">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191" name="Text Box 153"/>
                        <wps:cNvSpPr txBox="1">
                          <a:spLocks noChangeArrowheads="1"/>
                        </wps:cNvSpPr>
                        <wps:spPr bwMode="auto">
                          <a:xfrm>
                            <a:off x="2848710" y="4198604"/>
                            <a:ext cx="5074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T-score</w:t>
                              </w:r>
                            </w:p>
                            <w:p w:rsidR="00224467" w:rsidRDefault="00224467" w:rsidP="00346920">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64" name="Text Box 153"/>
                        <wps:cNvSpPr txBox="1">
                          <a:spLocks noChangeArrowheads="1"/>
                        </wps:cNvSpPr>
                        <wps:spPr bwMode="auto">
                          <a:xfrm>
                            <a:off x="5718319" y="4207105"/>
                            <a:ext cx="5074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T-score</w:t>
                              </w:r>
                            </w:p>
                            <w:p w:rsidR="00224467" w:rsidRDefault="00224467" w:rsidP="00346920">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65" name="Text Box 153"/>
                        <wps:cNvSpPr txBox="1">
                          <a:spLocks noChangeArrowheads="1"/>
                        </wps:cNvSpPr>
                        <wps:spPr bwMode="auto">
                          <a:xfrm>
                            <a:off x="5085217" y="4207105"/>
                            <a:ext cx="5073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T-score</w:t>
                              </w:r>
                            </w:p>
                            <w:p w:rsidR="00224467" w:rsidRDefault="00224467" w:rsidP="00346920">
                              <w:pPr>
                                <w:pStyle w:val="NormalWeb"/>
                                <w:spacing w:before="0" w:beforeAutospacing="0" w:after="0" w:afterAutospacing="0" w:line="276" w:lineRule="auto"/>
                              </w:pPr>
                              <w:r>
                                <w:rPr>
                                  <w:rFonts w:ascii="Arial Narrow" w:hAnsi="Arial Narrow"/>
                                  <w:sz w:val="18"/>
                                  <w:szCs w:val="18"/>
                                </w:rPr>
                                <w:t>≤ -2.5</w:t>
                              </w:r>
                            </w:p>
                          </w:txbxContent>
                        </wps:txbx>
                        <wps:bodyPr rot="0" vert="horz" wrap="none" lIns="91440" tIns="45720" rIns="91440" bIns="45720" anchor="t" anchorCtr="0" upright="1">
                          <a:noAutofit/>
                        </wps:bodyPr>
                      </wps:wsp>
                      <wps:wsp>
                        <wps:cNvPr id="66" name="Text Box 153"/>
                        <wps:cNvSpPr txBox="1">
                          <a:spLocks noChangeArrowheads="1"/>
                        </wps:cNvSpPr>
                        <wps:spPr bwMode="auto">
                          <a:xfrm>
                            <a:off x="4429315" y="4207105"/>
                            <a:ext cx="5074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T-score</w:t>
                              </w:r>
                            </w:p>
                            <w:p w:rsidR="00224467" w:rsidRPr="00974910"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Z-score</w:t>
                              </w:r>
                            </w:p>
                          </w:txbxContent>
                        </wps:txbx>
                        <wps:bodyPr rot="0" vert="horz" wrap="none" lIns="91440" tIns="45720" rIns="91440" bIns="45720" anchor="t" anchorCtr="0" upright="1">
                          <a:noAutofit/>
                        </wps:bodyPr>
                      </wps:wsp>
                      <wps:wsp>
                        <wps:cNvPr id="67" name="Text Box 153"/>
                        <wps:cNvSpPr txBox="1">
                          <a:spLocks noChangeArrowheads="1"/>
                        </wps:cNvSpPr>
                        <wps:spPr bwMode="auto">
                          <a:xfrm>
                            <a:off x="3799713" y="4207105"/>
                            <a:ext cx="5074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T-score</w:t>
                              </w:r>
                            </w:p>
                            <w:p w:rsidR="00224467" w:rsidRDefault="00224467" w:rsidP="00346920">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68" name="Text Box 153"/>
                        <wps:cNvSpPr txBox="1">
                          <a:spLocks noChangeArrowheads="1"/>
                        </wps:cNvSpPr>
                        <wps:spPr bwMode="auto">
                          <a:xfrm>
                            <a:off x="1413605" y="4856583"/>
                            <a:ext cx="4762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r w:rsidRPr="00974910">
                                <w:rPr>
                                  <w:rFonts w:ascii="Arial Narrow" w:hAnsi="Arial Narrow"/>
                                  <w:sz w:val="18"/>
                                  <w:szCs w:val="18"/>
                                </w:rPr>
                                <w:t>PBS</w:t>
                              </w:r>
                            </w:p>
                            <w:p w:rsidR="00224467" w:rsidRPr="00974910"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drugs</w:t>
                              </w:r>
                            </w:p>
                          </w:txbxContent>
                        </wps:txbx>
                        <wps:bodyPr rot="0" vert="horz" wrap="none" lIns="91440" tIns="45720" rIns="91440" bIns="45720" anchor="t" anchorCtr="0" upright="1">
                          <a:noAutofit/>
                        </wps:bodyPr>
                      </wps:wsp>
                      <wps:wsp>
                        <wps:cNvPr id="69" name="Text Box 153"/>
                        <wps:cNvSpPr txBox="1">
                          <a:spLocks noChangeArrowheads="1"/>
                        </wps:cNvSpPr>
                        <wps:spPr bwMode="auto">
                          <a:xfrm>
                            <a:off x="2848710" y="4857583"/>
                            <a:ext cx="575310" cy="419100"/>
                          </a:xfrm>
                          <a:prstGeom prst="rect">
                            <a:avLst/>
                          </a:prstGeom>
                          <a:solidFill>
                            <a:srgbClr val="FFFFFF"/>
                          </a:solidFill>
                          <a:ln w="6350">
                            <a:solidFill>
                              <a:srgbClr val="000000"/>
                            </a:solidFill>
                            <a:miter lim="800000"/>
                            <a:headEnd/>
                            <a:tailEnd/>
                          </a:ln>
                        </wps:spPr>
                        <wps:txbx>
                          <w:txbxContent>
                            <w:p w:rsidR="00224467" w:rsidRDefault="00224467" w:rsidP="00524DE4">
                              <w:pPr>
                                <w:pStyle w:val="NormalWeb"/>
                                <w:spacing w:before="0" w:beforeAutospacing="0" w:after="0" w:afterAutospacing="0" w:line="276" w:lineRule="auto"/>
                              </w:pPr>
                              <w:r>
                                <w:rPr>
                                  <w:rFonts w:ascii="Arial Narrow" w:hAnsi="Arial Narrow"/>
                                  <w:sz w:val="18"/>
                                  <w:szCs w:val="18"/>
                                </w:rPr>
                                <w:t xml:space="preserve">   NoPBS</w:t>
                              </w:r>
                            </w:p>
                          </w:txbxContent>
                        </wps:txbx>
                        <wps:bodyPr rot="0" vert="horz" wrap="none" lIns="91440" tIns="45720" rIns="91440" bIns="45720" anchor="t" anchorCtr="0" upright="1">
                          <a:noAutofit/>
                        </wps:bodyPr>
                      </wps:wsp>
                      <wps:wsp>
                        <wps:cNvPr id="70" name="Text Box 153"/>
                        <wps:cNvSpPr txBox="1">
                          <a:spLocks noChangeArrowheads="1"/>
                        </wps:cNvSpPr>
                        <wps:spPr bwMode="auto">
                          <a:xfrm>
                            <a:off x="2153807" y="4855683"/>
                            <a:ext cx="575310" cy="419100"/>
                          </a:xfrm>
                          <a:prstGeom prst="rect">
                            <a:avLst/>
                          </a:prstGeom>
                          <a:solidFill>
                            <a:srgbClr val="FFFFFF"/>
                          </a:solidFill>
                          <a:ln w="6350">
                            <a:solidFill>
                              <a:srgbClr val="000000"/>
                            </a:solidFill>
                            <a:miter lim="800000"/>
                            <a:headEnd/>
                            <a:tailEnd/>
                          </a:ln>
                        </wps:spPr>
                        <wps:txbx>
                          <w:txbxContent>
                            <w:p w:rsidR="00224467" w:rsidRDefault="00224467" w:rsidP="00524DE4">
                              <w:pPr>
                                <w:pStyle w:val="NormalWeb"/>
                                <w:spacing w:before="0" w:beforeAutospacing="0" w:after="0" w:afterAutospacing="0" w:line="276" w:lineRule="auto"/>
                              </w:pPr>
                              <w:r>
                                <w:rPr>
                                  <w:rFonts w:ascii="Arial Narrow" w:hAnsi="Arial Narrow"/>
                                  <w:sz w:val="18"/>
                                  <w:szCs w:val="18"/>
                                </w:rPr>
                                <w:t xml:space="preserve">   NoPBS</w:t>
                              </w:r>
                            </w:p>
                          </w:txbxContent>
                        </wps:txbx>
                        <wps:bodyPr rot="0" vert="horz" wrap="none" lIns="91440" tIns="45720" rIns="91440" bIns="45720" anchor="t" anchorCtr="0" upright="1">
                          <a:noAutofit/>
                        </wps:bodyPr>
                      </wps:wsp>
                      <wps:wsp>
                        <wps:cNvPr id="71" name="Text Box 153"/>
                        <wps:cNvSpPr txBox="1">
                          <a:spLocks noChangeArrowheads="1"/>
                        </wps:cNvSpPr>
                        <wps:spPr bwMode="auto">
                          <a:xfrm>
                            <a:off x="3799713" y="4854683"/>
                            <a:ext cx="512445" cy="419100"/>
                          </a:xfrm>
                          <a:prstGeom prst="rect">
                            <a:avLst/>
                          </a:prstGeom>
                          <a:solidFill>
                            <a:srgbClr val="FFFFFF"/>
                          </a:solidFill>
                          <a:ln w="6350">
                            <a:solidFill>
                              <a:srgbClr val="000000"/>
                            </a:solidFill>
                            <a:miter lim="800000"/>
                            <a:headEnd/>
                            <a:tailEnd/>
                          </a:ln>
                        </wps:spPr>
                        <wps:txbx>
                          <w:txbxContent>
                            <w:p w:rsidR="00224467" w:rsidRDefault="00224467" w:rsidP="00524DE4">
                              <w:pPr>
                                <w:pStyle w:val="NormalWeb"/>
                                <w:spacing w:before="0" w:beforeAutospacing="0" w:after="0" w:afterAutospacing="0" w:line="276" w:lineRule="auto"/>
                              </w:pPr>
                              <w:r>
                                <w:rPr>
                                  <w:rFonts w:ascii="Arial Narrow" w:hAnsi="Arial Narrow"/>
                                  <w:sz w:val="18"/>
                                  <w:szCs w:val="18"/>
                                </w:rPr>
                                <w:t xml:space="preserve">   NoBS</w:t>
                              </w:r>
                            </w:p>
                          </w:txbxContent>
                        </wps:txbx>
                        <wps:bodyPr rot="0" vert="horz" wrap="none" lIns="91440" tIns="45720" rIns="91440" bIns="45720" anchor="t" anchorCtr="0" upright="1">
                          <a:noAutofit/>
                        </wps:bodyPr>
                      </wps:wsp>
                      <wps:wsp>
                        <wps:cNvPr id="72" name="Text Box 153"/>
                        <wps:cNvSpPr txBox="1">
                          <a:spLocks noChangeArrowheads="1"/>
                        </wps:cNvSpPr>
                        <wps:spPr bwMode="auto">
                          <a:xfrm>
                            <a:off x="4476815" y="4857583"/>
                            <a:ext cx="4763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PBS</w:t>
                              </w:r>
                            </w:p>
                            <w:p w:rsidR="00224467" w:rsidRDefault="00224467" w:rsidP="00346920">
                              <w:pPr>
                                <w:pStyle w:val="NormalWeb"/>
                                <w:spacing w:before="0" w:beforeAutospacing="0" w:after="0" w:afterAutospacing="0" w:line="276" w:lineRule="auto"/>
                              </w:pPr>
                              <w:r>
                                <w:rPr>
                                  <w:rFonts w:ascii="Arial Narrow" w:hAnsi="Arial Narrow"/>
                                  <w:sz w:val="18"/>
                                  <w:szCs w:val="18"/>
                                </w:rPr>
                                <w:t xml:space="preserve">  drugs</w:t>
                              </w:r>
                            </w:p>
                          </w:txbxContent>
                        </wps:txbx>
                        <wps:bodyPr rot="0" vert="horz" wrap="none" lIns="91440" tIns="45720" rIns="91440" bIns="45720" anchor="t" anchorCtr="0" upright="1">
                          <a:noAutofit/>
                        </wps:bodyPr>
                      </wps:wsp>
                      <wps:wsp>
                        <wps:cNvPr id="73" name="Text Box 153"/>
                        <wps:cNvSpPr txBox="1">
                          <a:spLocks noChangeArrowheads="1"/>
                        </wps:cNvSpPr>
                        <wps:spPr bwMode="auto">
                          <a:xfrm>
                            <a:off x="5097317" y="4857583"/>
                            <a:ext cx="689610" cy="419100"/>
                          </a:xfrm>
                          <a:prstGeom prst="rect">
                            <a:avLst/>
                          </a:prstGeom>
                          <a:solidFill>
                            <a:srgbClr val="FFFFFF"/>
                          </a:solidFill>
                          <a:ln w="6350">
                            <a:solidFill>
                              <a:srgbClr val="000000"/>
                            </a:solidFill>
                            <a:miter lim="800000"/>
                            <a:headEnd/>
                            <a:tailEnd/>
                          </a:ln>
                        </wps:spPr>
                        <wps:txbx>
                          <w:txbxContent>
                            <w:p w:rsidR="00224467" w:rsidRDefault="00224467" w:rsidP="00524DE4">
                              <w:pPr>
                                <w:pStyle w:val="NormalWeb"/>
                                <w:spacing w:before="0" w:beforeAutospacing="0" w:after="0" w:afterAutospacing="0" w:line="276" w:lineRule="auto"/>
                              </w:pPr>
                              <w:r>
                                <w:rPr>
                                  <w:rFonts w:ascii="Arial Narrow" w:hAnsi="Arial Narrow"/>
                                  <w:sz w:val="18"/>
                                  <w:szCs w:val="18"/>
                                </w:rPr>
                                <w:t xml:space="preserve">   PBSdrugs</w:t>
                              </w:r>
                            </w:p>
                          </w:txbxContent>
                        </wps:txbx>
                        <wps:bodyPr rot="0" vert="horz" wrap="none" lIns="91440" tIns="45720" rIns="91440" bIns="45720" anchor="t" anchorCtr="0" upright="1">
                          <a:noAutofit/>
                        </wps:bodyPr>
                      </wps:wsp>
                      <wps:wsp>
                        <wps:cNvPr id="74" name="Text Box 153"/>
                        <wps:cNvSpPr txBox="1">
                          <a:spLocks noChangeArrowheads="1"/>
                        </wps:cNvSpPr>
                        <wps:spPr bwMode="auto">
                          <a:xfrm>
                            <a:off x="65600" y="1665100"/>
                            <a:ext cx="616602" cy="41915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224467" w:rsidRDefault="00224467" w:rsidP="00346920">
                              <w:pPr>
                                <w:pStyle w:val="NormalWeb"/>
                                <w:spacing w:before="0" w:beforeAutospacing="0" w:after="0" w:afterAutospacing="0" w:line="276" w:lineRule="auto"/>
                              </w:pPr>
                              <w:r>
                                <w:rPr>
                                  <w:rFonts w:ascii="Arial Narrow" w:hAnsi="Arial Narrow"/>
                                  <w:sz w:val="18"/>
                                  <w:szCs w:val="18"/>
                                </w:rPr>
                                <w:t>of OP</w:t>
                              </w:r>
                            </w:p>
                          </w:txbxContent>
                        </wps:txbx>
                        <wps:bodyPr rot="0" vert="horz" wrap="none" lIns="91440" tIns="45720" rIns="91440" bIns="45720" anchor="t" anchorCtr="0" upright="1">
                          <a:noAutofit/>
                        </wps:bodyPr>
                      </wps:wsp>
                      <wpg:wgp>
                        <wpg:cNvPr id="75" name="Group 222"/>
                        <wpg:cNvGrpSpPr>
                          <a:grpSpLocks/>
                        </wpg:cNvGrpSpPr>
                        <wpg:grpSpPr bwMode="auto">
                          <a:xfrm>
                            <a:off x="8169028" y="1350762"/>
                            <a:ext cx="1181104" cy="2476797"/>
                            <a:chOff x="0" y="0"/>
                            <a:chExt cx="11811" cy="24765"/>
                          </a:xfrm>
                        </wpg:grpSpPr>
                        <wps:wsp>
                          <wps:cNvPr id="76" name="Text Box 123"/>
                          <wps:cNvSpPr txBox="1">
                            <a:spLocks noChangeArrowheads="1"/>
                          </wps:cNvSpPr>
                          <wps:spPr bwMode="auto">
                            <a:xfrm>
                              <a:off x="1332" y="0"/>
                              <a:ext cx="8750" cy="4096"/>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Lifestyle advice</w:t>
                                </w:r>
                              </w:p>
                              <w:p w:rsidR="00224467" w:rsidRDefault="00224467" w:rsidP="00346920">
                                <w:pPr>
                                  <w:pStyle w:val="NormalWeb"/>
                                  <w:spacing w:before="0" w:beforeAutospacing="0" w:after="0" w:afterAutospacing="0" w:line="276" w:lineRule="auto"/>
                                </w:pPr>
                                <w:r>
                                  <w:rPr>
                                    <w:rFonts w:ascii="Arial Narrow" w:hAnsi="Arial Narrow"/>
                                    <w:sz w:val="18"/>
                                    <w:szCs w:val="18"/>
                                  </w:rPr>
                                  <w:t>+/- Supplements</w:t>
                                </w:r>
                              </w:p>
                            </w:txbxContent>
                          </wps:txbx>
                          <wps:bodyPr rot="0" vert="horz" wrap="none" lIns="91440" tIns="45720" rIns="91440" bIns="45720" anchor="t" anchorCtr="0" upright="1">
                            <a:noAutofit/>
                          </wps:bodyPr>
                        </wps:wsp>
                        <wps:wsp>
                          <wps:cNvPr id="77" name="Text Box 123"/>
                          <wps:cNvSpPr txBox="1">
                            <a:spLocks noChangeArrowheads="1"/>
                          </wps:cNvSpPr>
                          <wps:spPr bwMode="auto">
                            <a:xfrm>
                              <a:off x="0" y="19050"/>
                              <a:ext cx="4762" cy="5715"/>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Risk of</w:t>
                                </w:r>
                              </w:p>
                              <w:p w:rsidR="00224467" w:rsidRDefault="00224467" w:rsidP="00346920">
                                <w:pPr>
                                  <w:pStyle w:val="NormalWeb"/>
                                  <w:spacing w:before="0" w:beforeAutospacing="0" w:after="20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78" name="Text Box 123"/>
                          <wps:cNvSpPr txBox="1">
                            <a:spLocks noChangeArrowheads="1"/>
                          </wps:cNvSpPr>
                          <wps:spPr bwMode="auto">
                            <a:xfrm>
                              <a:off x="7048" y="10287"/>
                              <a:ext cx="3512" cy="2476"/>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79" name="Text Box 123"/>
                          <wps:cNvSpPr txBox="1">
                            <a:spLocks noChangeArrowheads="1"/>
                          </wps:cNvSpPr>
                          <wps:spPr bwMode="auto">
                            <a:xfrm>
                              <a:off x="1206" y="10287"/>
                              <a:ext cx="3092" cy="2476"/>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N</w:t>
                                </w:r>
                                <w:r w:rsidR="006A45F1">
                                  <w:rPr>
                                    <w:rFonts w:ascii="Arial Narrow" w:hAnsi="Arial Narrow"/>
                                    <w:sz w:val="18"/>
                                    <w:szCs w:val="18"/>
                                  </w:rPr>
                                  <w:t>o</w:t>
                                </w:r>
                              </w:p>
                            </w:txbxContent>
                          </wps:txbx>
                          <wps:bodyPr rot="0" vert="horz" wrap="none" lIns="91440" tIns="45720" rIns="91440" bIns="45720" anchor="t" anchorCtr="0" upright="1">
                            <a:noAutofit/>
                          </wps:bodyPr>
                        </wps:wsp>
                        <wps:wsp>
                          <wps:cNvPr id="80" name="Text Box 123"/>
                          <wps:cNvSpPr txBox="1">
                            <a:spLocks noChangeArrowheads="1"/>
                          </wps:cNvSpPr>
                          <wps:spPr bwMode="auto">
                            <a:xfrm>
                              <a:off x="7048" y="19050"/>
                              <a:ext cx="4763" cy="5715"/>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Risk of</w:t>
                                </w:r>
                              </w:p>
                              <w:p w:rsidR="00224467" w:rsidRDefault="00224467" w:rsidP="00346920">
                                <w:pPr>
                                  <w:pStyle w:val="NormalWeb"/>
                                  <w:spacing w:before="0" w:beforeAutospacing="0" w:after="20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g:wgp>
                      <wps:wsp>
                        <wps:cNvPr id="81" name="Straight Arrow Connector 299"/>
                        <wps:cNvCnPr/>
                        <wps:spPr bwMode="auto">
                          <a:xfrm>
                            <a:off x="1654706" y="990719"/>
                            <a:ext cx="0" cy="16091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 name="Straight Arrow Connector 300"/>
                        <wps:cNvCnPr/>
                        <wps:spPr bwMode="auto">
                          <a:xfrm flipH="1">
                            <a:off x="2277308" y="990719"/>
                            <a:ext cx="3200" cy="67438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 name="Straight Arrow Connector 302"/>
                        <wps:cNvCnPr/>
                        <wps:spPr bwMode="auto">
                          <a:xfrm>
                            <a:off x="3170611" y="990719"/>
                            <a:ext cx="0" cy="116113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 name="Elbow Connector 303"/>
                        <wps:cNvCnPr/>
                        <wps:spPr bwMode="auto">
                          <a:xfrm rot="10800000" flipV="1">
                            <a:off x="426301" y="866804"/>
                            <a:ext cx="803303" cy="798296"/>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5" name="Straight Arrow Connector 304"/>
                        <wps:cNvCnPr/>
                        <wps:spPr bwMode="auto">
                          <a:xfrm>
                            <a:off x="426301" y="2084250"/>
                            <a:ext cx="3500" cy="289784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6" name="Straight Arrow Connector 305"/>
                        <wps:cNvCnPr/>
                        <wps:spPr bwMode="auto">
                          <a:xfrm>
                            <a:off x="1600105" y="1587891"/>
                            <a:ext cx="0" cy="135366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7" name="Straight Arrow Connector 306"/>
                        <wps:cNvCnPr/>
                        <wps:spPr bwMode="auto">
                          <a:xfrm>
                            <a:off x="2296308" y="2084250"/>
                            <a:ext cx="0" cy="8573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8" name="Straight Arrow Connector 307"/>
                        <wps:cNvCnPr/>
                        <wps:spPr bwMode="auto">
                          <a:xfrm>
                            <a:off x="3096110" y="2571009"/>
                            <a:ext cx="300" cy="37054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9" name="Straight Arrow Connector 308"/>
                        <wps:cNvCnPr/>
                        <wps:spPr bwMode="auto">
                          <a:xfrm>
                            <a:off x="1634406" y="3934873"/>
                            <a:ext cx="3500" cy="2556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0" name="Straight Arrow Connector 309"/>
                        <wps:cNvCnPr/>
                        <wps:spPr bwMode="auto">
                          <a:xfrm flipH="1">
                            <a:off x="2401108" y="3935173"/>
                            <a:ext cx="400" cy="26383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1" name="Straight Arrow Connector 310"/>
                        <wps:cNvCnPr/>
                        <wps:spPr bwMode="auto">
                          <a:xfrm flipH="1">
                            <a:off x="3096310" y="3934873"/>
                            <a:ext cx="100" cy="27273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2" name="Straight Arrow Connector 311"/>
                        <wps:cNvCnPr/>
                        <wps:spPr bwMode="auto">
                          <a:xfrm>
                            <a:off x="1637906" y="4609654"/>
                            <a:ext cx="3300" cy="2469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3" name="Straight Arrow Connector 312"/>
                        <wps:cNvCnPr/>
                        <wps:spPr bwMode="auto">
                          <a:xfrm flipH="1">
                            <a:off x="2401408" y="4618155"/>
                            <a:ext cx="3500" cy="23942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4" name="Straight Arrow Connector 313"/>
                        <wps:cNvCnPr/>
                        <wps:spPr bwMode="auto">
                          <a:xfrm>
                            <a:off x="3099910" y="4618155"/>
                            <a:ext cx="300" cy="23942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5" name="Straight Arrow Connector 314"/>
                        <wps:cNvCnPr/>
                        <wps:spPr bwMode="auto">
                          <a:xfrm flipH="1">
                            <a:off x="821603" y="5448954"/>
                            <a:ext cx="227460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6" name="Straight Connector 315"/>
                        <wps:cNvCnPr/>
                        <wps:spPr bwMode="auto">
                          <a:xfrm>
                            <a:off x="3096110" y="5276734"/>
                            <a:ext cx="0" cy="1722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Straight Connector 316"/>
                        <wps:cNvCnPr/>
                        <wps:spPr bwMode="auto">
                          <a:xfrm>
                            <a:off x="2401008" y="5276734"/>
                            <a:ext cx="0" cy="1722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Elbow Connector 317"/>
                        <wps:cNvCnPr/>
                        <wps:spPr bwMode="auto">
                          <a:xfrm rot="10800000" flipV="1">
                            <a:off x="4199514" y="866804"/>
                            <a:ext cx="640102" cy="293335"/>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9" name="Elbow Connector 318"/>
                        <wps:cNvCnPr/>
                        <wps:spPr bwMode="auto">
                          <a:xfrm>
                            <a:off x="6039720" y="866804"/>
                            <a:ext cx="399201" cy="798296"/>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00" name="Straight Arrow Connector 319"/>
                        <wps:cNvCnPr/>
                        <wps:spPr bwMode="auto">
                          <a:xfrm>
                            <a:off x="4883817" y="990719"/>
                            <a:ext cx="0" cy="67438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1" name="Straight Arrow Connector 320"/>
                        <wps:cNvCnPr/>
                        <wps:spPr bwMode="auto">
                          <a:xfrm>
                            <a:off x="5675619" y="990719"/>
                            <a:ext cx="0" cy="17802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2" name="Straight Arrow Connector 321"/>
                        <wps:cNvCnPr/>
                        <wps:spPr bwMode="auto">
                          <a:xfrm>
                            <a:off x="5172018" y="990719"/>
                            <a:ext cx="9600" cy="116113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3" name="Straight Arrow Connector 322"/>
                        <wps:cNvCnPr/>
                        <wps:spPr bwMode="auto">
                          <a:xfrm>
                            <a:off x="4038614" y="1587891"/>
                            <a:ext cx="9300" cy="13336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4" name="Straight Arrow Connector 323"/>
                        <wps:cNvCnPr/>
                        <wps:spPr bwMode="auto">
                          <a:xfrm>
                            <a:off x="4657716" y="2084250"/>
                            <a:ext cx="0" cy="8573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 name="Straight Arrow Connector 324"/>
                        <wps:cNvCnPr/>
                        <wps:spPr bwMode="auto">
                          <a:xfrm>
                            <a:off x="5304218" y="2571009"/>
                            <a:ext cx="0" cy="37054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7" name="Straight Arrow Connector 325"/>
                        <wps:cNvCnPr/>
                        <wps:spPr bwMode="auto">
                          <a:xfrm>
                            <a:off x="5895920" y="1587891"/>
                            <a:ext cx="9600" cy="134516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8" name="Straight Arrow Connector 326"/>
                        <wps:cNvCnPr/>
                        <wps:spPr bwMode="auto">
                          <a:xfrm>
                            <a:off x="6438722" y="2084250"/>
                            <a:ext cx="7600" cy="289784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9" name="Elbow Connector 327"/>
                        <wps:cNvCnPr/>
                        <wps:spPr bwMode="auto">
                          <a:xfrm rot="16200000" flipH="1">
                            <a:off x="4962007" y="4339140"/>
                            <a:ext cx="175021" cy="2044307"/>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10" name="Straight Connector 328"/>
                        <wps:cNvCnPr/>
                        <wps:spPr bwMode="auto">
                          <a:xfrm>
                            <a:off x="8448629" y="2151858"/>
                            <a:ext cx="600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Straight Arrow Connector 329"/>
                        <wps:cNvCnPr/>
                        <wps:spPr bwMode="auto">
                          <a:xfrm>
                            <a:off x="8448429" y="2151858"/>
                            <a:ext cx="0" cy="2277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 name="Straight Arrow Connector 330"/>
                        <wps:cNvCnPr/>
                        <wps:spPr bwMode="auto">
                          <a:xfrm>
                            <a:off x="9048531" y="2151858"/>
                            <a:ext cx="0" cy="2277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3" name="Straight Connector 331"/>
                        <wps:cNvCnPr/>
                        <wps:spPr bwMode="auto">
                          <a:xfrm>
                            <a:off x="8739730" y="1760411"/>
                            <a:ext cx="5100" cy="39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Straight Arrow Connector 332"/>
                        <wps:cNvCnPr/>
                        <wps:spPr bwMode="auto">
                          <a:xfrm flipH="1">
                            <a:off x="8448229" y="2627215"/>
                            <a:ext cx="200" cy="62877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5" name="Straight Arrow Connector 333"/>
                        <wps:cNvCnPr/>
                        <wps:spPr bwMode="auto">
                          <a:xfrm flipH="1">
                            <a:off x="9048531" y="2627215"/>
                            <a:ext cx="900" cy="62877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6" name="Straight Arrow Connector 334"/>
                        <wps:cNvCnPr/>
                        <wps:spPr bwMode="auto">
                          <a:xfrm>
                            <a:off x="4047914" y="3934873"/>
                            <a:ext cx="2900" cy="27273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7" name="Straight Arrow Connector 336"/>
                        <wps:cNvCnPr/>
                        <wps:spPr bwMode="auto">
                          <a:xfrm>
                            <a:off x="4038514" y="4626756"/>
                            <a:ext cx="0" cy="2279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8" name="Straight Arrow Connector 338"/>
                        <wps:cNvCnPr/>
                        <wps:spPr bwMode="auto">
                          <a:xfrm>
                            <a:off x="4695716" y="4626756"/>
                            <a:ext cx="0" cy="2279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9" name="Straight Arrow Connector 339"/>
                        <wps:cNvCnPr/>
                        <wps:spPr bwMode="auto">
                          <a:xfrm>
                            <a:off x="5335718" y="4626756"/>
                            <a:ext cx="0" cy="23082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0" name="Straight Arrow Connector 340"/>
                        <wps:cNvCnPr/>
                        <wps:spPr bwMode="auto">
                          <a:xfrm flipH="1">
                            <a:off x="4695716" y="4124795"/>
                            <a:ext cx="300" cy="828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1" name="Straight Arrow Connector 341"/>
                        <wps:cNvCnPr/>
                        <wps:spPr bwMode="auto">
                          <a:xfrm>
                            <a:off x="5335718" y="3935173"/>
                            <a:ext cx="0" cy="27243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2" name="Straight Arrow Connector 342"/>
                        <wps:cNvCnPr/>
                        <wps:spPr bwMode="auto">
                          <a:xfrm>
                            <a:off x="5954920" y="3935173"/>
                            <a:ext cx="0" cy="27243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3" name="Straight Connector 197"/>
                        <wps:cNvCnPr/>
                        <wps:spPr bwMode="auto">
                          <a:xfrm>
                            <a:off x="4381715" y="2084250"/>
                            <a:ext cx="0" cy="29759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Straight Arrow Connector 198"/>
                        <wps:cNvCnPr/>
                        <wps:spPr bwMode="auto">
                          <a:xfrm>
                            <a:off x="4381615" y="5060208"/>
                            <a:ext cx="95200" cy="70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5" name="Straight Arrow Connector 252"/>
                        <wps:cNvCnPr/>
                        <wps:spPr bwMode="auto">
                          <a:xfrm>
                            <a:off x="1685206" y="5481858"/>
                            <a:ext cx="0" cy="788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6" name="Straight Arrow Connector 301"/>
                        <wps:cNvCnPr/>
                        <wps:spPr bwMode="auto">
                          <a:xfrm>
                            <a:off x="2389908" y="5481858"/>
                            <a:ext cx="0" cy="787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7" name="Straight Arrow Connector 362"/>
                        <wps:cNvCnPr/>
                        <wps:spPr bwMode="auto">
                          <a:xfrm>
                            <a:off x="3111311" y="5481858"/>
                            <a:ext cx="0" cy="787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2" name="Straight Arrow Connector 393"/>
                        <wps:cNvCnPr/>
                        <wps:spPr bwMode="auto">
                          <a:xfrm>
                            <a:off x="4027314" y="5481858"/>
                            <a:ext cx="0" cy="787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3" name="Straight Arrow Connector 403"/>
                        <wps:cNvCnPr/>
                        <wps:spPr bwMode="auto">
                          <a:xfrm>
                            <a:off x="4758216" y="5481858"/>
                            <a:ext cx="0" cy="788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4" name="Straight Arrow Connector 425"/>
                        <wps:cNvCnPr/>
                        <wps:spPr bwMode="auto">
                          <a:xfrm>
                            <a:off x="5348718" y="5481858"/>
                            <a:ext cx="0" cy="788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16" o:spid="_x0000_s1026" editas="canvas" alt="Title: Figure 3 Current clinical management algorithm for eligibility - Description: Figure 3 Current clinical management algorithm for eligibility&#10;to MBS and PBS items for osteoporosis&#10;" style="width:697.9pt;height:459pt;mso-position-horizontal-relative:char;mso-position-vertical-relative:line" coordsize="88633,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3 Current clinical management algorithm for eligibility&#10;to MBS and PBS items for osteoporosis&#10;" style="position:absolute;width:88633;height:58293;visibility:visible;mso-wrap-style:square">
                  <v:fill o:detectmouseclick="t"/>
                  <v:path o:connecttype="none"/>
                </v:shape>
                <v:shapetype id="_x0000_t202" coordsize="21600,21600" o:spt="202" path="m,l,21600r21600,l21600,xe">
                  <v:stroke joinstyle="miter"/>
                  <v:path gradientshapeok="t" o:connecttype="rect"/>
                </v:shapetype>
                <v:shape id="Text Box 282" o:spid="_x0000_s1028" type="#_x0000_t202" style="position:absolute;left:3346;width:55918;height:3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4aMIA&#10;AADcAAAADwAAAGRycy9kb3ducmV2LnhtbESPT4sCMQzF74LfoUTwph0XkWXWKiIIe1rwz3oO0+x0&#10;cJoObVdHP705CN4S3st7vyzXvW/VlWJqAhuYTQtQxFWwDdcGTsfd5BNUysgW28Bk4E4J1qvhYIml&#10;DTfe0/WQayUhnEo04HLuSq1T5chjmoaOWLS/ED1mWWOtbcSbhPtWfxTFQntsWBocdrR1VF0O/97A&#10;ufaP8++si876ds4/j/vxFBpjxqN+8wUqU5/f5tf1txX8heDLMzKBX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7howgAAANwAAAAPAAAAAAAAAAAAAAAAAJgCAABkcnMvZG93&#10;bnJldi54bWxQSwUGAAAAAAQABAD1AAAAhwMAAAAA&#10;" stroked="f" strokeweight=".5pt">
                  <v:textbox>
                    <w:txbxContent>
                      <w:p w:rsidR="00224467" w:rsidRDefault="00224467" w:rsidP="00C15B0E">
                        <w:pPr>
                          <w:pStyle w:val="Caption"/>
                          <w:spacing w:after="0"/>
                          <w:ind w:left="1440" w:hanging="1440"/>
                        </w:pPr>
                        <w:bookmarkStart w:id="46" w:name="_Ref358199375"/>
                        <w:r>
                          <w:t xml:space="preserve">Figure </w:t>
                        </w:r>
                        <w:r>
                          <w:fldChar w:fldCharType="begin"/>
                        </w:r>
                        <w:r>
                          <w:instrText xml:space="preserve"> SEQ Figure \* ARABIC </w:instrText>
                        </w:r>
                        <w:r>
                          <w:fldChar w:fldCharType="separate"/>
                        </w:r>
                        <w:r w:rsidR="00255656">
                          <w:rPr>
                            <w:noProof/>
                          </w:rPr>
                          <w:t>3</w:t>
                        </w:r>
                        <w:r>
                          <w:rPr>
                            <w:noProof/>
                          </w:rPr>
                          <w:fldChar w:fldCharType="end"/>
                        </w:r>
                        <w:bookmarkEnd w:id="46"/>
                        <w:r w:rsidRPr="00C15B0E">
                          <w:t xml:space="preserve"> </w:t>
                        </w:r>
                        <w:r w:rsidRPr="00AA3219">
                          <w:t>C</w:t>
                        </w:r>
                        <w:r>
                          <w:t>urrent c</w:t>
                        </w:r>
                        <w:r w:rsidRPr="00AA3219">
                          <w:t xml:space="preserve">linical management </w:t>
                        </w:r>
                        <w:r w:rsidRPr="00FA270C">
                          <w:rPr>
                            <w:lang w:val="en-AU"/>
                          </w:rPr>
                          <w:t>algorithm</w:t>
                        </w:r>
                        <w:r w:rsidRPr="00AA3219">
                          <w:t xml:space="preserve"> for </w:t>
                        </w:r>
                        <w:r>
                          <w:t>eligibility</w:t>
                        </w:r>
                      </w:p>
                      <w:p w:rsidR="00224467" w:rsidRDefault="00224467" w:rsidP="00C15B0E">
                        <w:pPr>
                          <w:pStyle w:val="Caption"/>
                          <w:spacing w:after="0"/>
                          <w:ind w:left="1440" w:firstLine="720"/>
                        </w:pPr>
                        <w:r>
                          <w:t>to MBS and PBS items for osteoporosis</w:t>
                        </w:r>
                      </w:p>
                      <w:p w:rsidR="00224467" w:rsidRDefault="00224467" w:rsidP="00FA270C">
                        <w:pPr>
                          <w:pStyle w:val="Caption"/>
                        </w:pPr>
                      </w:p>
                    </w:txbxContent>
                  </v:textbox>
                </v:shape>
                <v:shape id="Text Box 123" o:spid="_x0000_s1029" type="#_x0000_t202" style="position:absolute;left:45824;top:1279;width:17107;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vrcQA&#10;AADcAAAADwAAAGRycy9kb3ducmV2LnhtbERPS2vCQBC+F/oflin0UnSTHqREN6FIxeJB8Hme7I5J&#10;MDsbs1uN/fXdQqG3+fieMysG24or9b5xrCAdJyCItTMNVwr2u8XoDYQPyAZbx6TgTh6K/PFhhplx&#10;N97QdRsqEUPYZ6igDqHLpPS6Jot+7DriyJ1cbzFE2FfS9HiL4baVr0kykRYbjg01djSvSZ+3X1bB&#10;clWm36vDh15euGzl5vii7Xyt1PPT8D4FEWgI/+I/96eJ8ycp/D4TL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vb63EAAAA3AAAAA8AAAAAAAAAAAAAAAAAmAIAAGRycy9k&#10;b3ducmV2LnhtbFBLBQYAAAAABAAEAPUAAACJAwAAAAA=&#10;" strokeweight=".5pt">
                  <v:textbox>
                    <w:txbxContent>
                      <w:p w:rsidR="00224467" w:rsidRPr="00A0033A" w:rsidRDefault="00224467" w:rsidP="00346920">
                        <w:pPr>
                          <w:rPr>
                            <w:rFonts w:ascii="Arial Narrow" w:hAnsi="Arial Narrow"/>
                            <w:sz w:val="18"/>
                            <w:szCs w:val="18"/>
                          </w:rPr>
                        </w:pPr>
                        <w:r w:rsidRPr="00A0033A">
                          <w:rPr>
                            <w:rFonts w:ascii="Arial Narrow" w:hAnsi="Arial Narrow"/>
                            <w:sz w:val="18"/>
                            <w:szCs w:val="18"/>
                          </w:rPr>
                          <w:t xml:space="preserve">Patients at risk of low </w:t>
                        </w:r>
                        <w:r>
                          <w:rPr>
                            <w:rFonts w:ascii="Arial Narrow" w:hAnsi="Arial Narrow"/>
                            <w:sz w:val="18"/>
                            <w:szCs w:val="18"/>
                          </w:rPr>
                          <w:t>BMD</w:t>
                        </w:r>
                        <w:r w:rsidRPr="00A0033A">
                          <w:rPr>
                            <w:rFonts w:ascii="Arial Narrow" w:hAnsi="Arial Narrow"/>
                            <w:sz w:val="18"/>
                            <w:szCs w:val="18"/>
                          </w:rPr>
                          <w:t xml:space="preserve"> and </w:t>
                        </w:r>
                        <w:r>
                          <w:rPr>
                            <w:rFonts w:ascii="Arial Narrow" w:hAnsi="Arial Narrow"/>
                            <w:sz w:val="18"/>
                            <w:szCs w:val="18"/>
                          </w:rPr>
                          <w:t>MTF</w:t>
                        </w:r>
                      </w:p>
                    </w:txbxContent>
                  </v:textbox>
                </v:shape>
                <v:shape id="Text Box 123" o:spid="_x0000_s1030" type="#_x0000_t202" style="position:absolute;left:12296;top:7429;width:21018;height:24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3x2sQA&#10;AADcAAAADwAAAGRycy9kb3ducmV2LnhtbERPS2vCQBC+F/wPywi9FN0kBynRVYpYUnIo+DyPu2MS&#10;mp2N2a2m/fXdQqG3+fies1gNthU36n3jWEE6TUAQa2carhQc9q+TZxA+IBtsHZOCL/KwWo4eFpgb&#10;d+ct3XahEjGEfY4K6hC6XEqva7Lop64jjtzF9RZDhH0lTY/3GG5bmSXJTFpsODbU2NG6Jv2x+7QK&#10;ivKcfpfHjS6ufG7l9vSk7fpdqcfx8DIHEWgI/+I/95uJ82cZ/D4TL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98drEAAAA3AAAAA8AAAAAAAAAAAAAAAAAmAIAAGRycy9k&#10;b3ducmV2LnhtbFBLBQYAAAAABAAEAPUAAACJAw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Defined conditions with risk for developing OP</w:t>
                        </w:r>
                      </w:p>
                    </w:txbxContent>
                  </v:textbox>
                </v:shape>
                <v:shape id="Text Box 123" o:spid="_x0000_s1031" type="#_x0000_t202" style="position:absolute;left:48396;top:7429;width:12001;height:24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UQcQA&#10;AADcAAAADwAAAGRycy9kb3ducmV2LnhtbERPTWvCQBC9C/0PyxR6EbOxgpTUTShiUTwUtK3ncXea&#10;hGZnY3ar0V/vFgRv83ifMyt624gjdb52rGCcpCCItTM1lwq+Pt9HLyB8QDbYOCYFZ/JQ5A+DGWbG&#10;nXhDx20oRQxhn6GCKoQ2k9Lriiz6xLXEkftxncUQYVdK0+EphttGPqfpVFqsOTZU2NK8Iv27/bMK&#10;luv9+LL+XujlgfeN3OyG2s4/lHp67N9eQQTqw118c69MnD+dwP8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xVEHEAAAA3AAAAA8AAAAAAAAAAAAAAAAAmAIAAGRycy9k&#10;b3ducmV2LnhtbFBLBQYAAAAABAAEAPUAAACJAw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Other risk factors for OP</w:t>
                        </w:r>
                      </w:p>
                    </w:txbxContent>
                  </v:textbox>
                </v:shape>
                <v:line id="Straight Connector 145" o:spid="_x0000_s1032" style="position:absolute;visibility:visible;mso-wrap-style:square" from="22773,4953" to="87543,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shapetype id="_x0000_t32" coordsize="21600,21600" o:spt="32" o:oned="t" path="m,l21600,21600e" filled="f">
                  <v:path arrowok="t" fillok="f" o:connecttype="none"/>
                  <o:lock v:ext="edit" shapetype="t"/>
                </v:shapetype>
                <v:shape id="Straight Arrow Connector 146" o:spid="_x0000_s1033" type="#_x0000_t32" style="position:absolute;left:54377;top:3756;width:19;height:36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AVe8EAAADcAAAADwAAAGRycy9kb3ducmV2LnhtbERPTYvCMBC9C/6HMMJeZE3toi5do4iw&#10;KnhaV9jr0EybYjMpTaz135sFwds83ucs172tRUetrxwrmE4SEMS50xWXCs6/3++fIHxA1lg7JgV3&#10;8rBeDQdLzLS78Q91p1CKGMI+QwUmhCaT0ueGLPqJa4gjV7jWYoiwLaVu8RbDbS3TJJlLixXHBoMN&#10;bQ3ll9PVKihSTdPx5c/sFzMstsePtOvqnVJvo37zBSJQH17ip/ug4/z5DP6fiR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wBV7wQAAANwAAAAPAAAAAAAAAAAAAAAA&#10;AKECAABkcnMvZG93bnJldi54bWxQSwUGAAAAAAQABAD5AAAAjwMAAAAA&#10;">
                  <v:stroke endarrow="open"/>
                </v:shape>
                <v:shape id="Text Box 123" o:spid="_x0000_s1034" type="#_x0000_t202" style="position:absolute;left:83247;top:7429;width:8408;height:24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32cMA&#10;AADcAAAADwAAAGRycy9kb3ducmV2LnhtbERPTYvCMBC9C/6HMMJeRFP3UJZqFBEXxYOgu3oek7Et&#10;NpNuE7Xur98sCN7m8T5nMmttJW7U+NKxgtEwAUGsnSk5V/D99Tn4AOEDssHKMSl4kIfZtNuZYGbc&#10;nXd024dcxBD2GSooQqgzKb0uyKIfupo4cmfXWAwRNrk0Dd5juK3ke5Kk0mLJsaHAmhYF6cv+ahWs&#10;NqfR7+aw1KsfPlVyd+xru9gq9dZr52MQgdrwEj/daxPnpyn8PxMv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b32cMAAADcAAAADwAAAAAAAAAAAAAAAACYAgAAZHJzL2Rv&#10;d25yZXYueG1sUEsFBgAAAAAEAAQA9QAAAIgDA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All other factors</w:t>
                        </w:r>
                      </w:p>
                    </w:txbxContent>
                  </v:textbox>
                </v:shape>
                <v:shape id="Straight Arrow Connector 150" o:spid="_x0000_s1035" type="#_x0000_t32" style="position:absolute;left:87451;top:4953;width:92;height:24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CdY8QAAADcAAAADwAAAGRycy9kb3ducmV2LnhtbERPTWvCQBC9F/oflil4KbppBQ3RVYpQ&#10;KCKI2ktvQ3aSDc3Oxuwao7/eFQRv83ifM1/2thYdtb5yrOBjlIAgzp2uuFTwe/gepiB8QNZYOyYF&#10;F/KwXLy+zDHT7sw76vahFDGEfYYKTAhNJqXPDVn0I9cQR65wrcUQYVtK3eI5httafibJRFqsODYY&#10;bGhlKP/fn6yC991fVRbFaXPx4+s2Tdbbo8k7pQZv/dcMRKA+PMUP94+O8ydTuD8TL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sJ1jxAAAANwAAAAPAAAAAAAAAAAA&#10;AAAAAKECAABkcnMvZG93bnJldi54bWxQSwUGAAAAAAQABAD5AAAAkgMAAAAA&#10;">
                  <v:stroke endarrow="open"/>
                </v:shape>
                <v:shape id="Straight Arrow Connector 152" o:spid="_x0000_s1036" type="#_x0000_t32" style="position:absolute;left:87451;top:9907;width:86;height:3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G65cUAAADcAAAADwAAAGRycy9kb3ducmV2LnhtbESPQWvCQBCF7wX/wzKCl6IbI7USXaUI&#10;toWeagteh+wkG8zOhuw2pv++cxB6m+G9ee+b3WH0rRqoj01gA8tFBoq4DLbh2sD312m+ARUTssU2&#10;MBn4pQiH/eRhh4UNN/6k4ZxqJSEcCzTgUuoKrWPpyGNchI5YtCr0HpOsfa1tjzcJ963Os2ytPTYs&#10;DQ47Ojoqr+cfb6DKLS0frxf39vyE1fFjlQ9D+2rMbDq+bEElGtO/+X79bgV/LbTyjEy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G65cUAAADcAAAADwAAAAAAAAAA&#10;AAAAAAChAgAAZHJzL2Rvd25yZXYueG1sUEsFBgAAAAAEAAQA+QAAAJMDAAAAAA==&#10;">
                  <v:stroke endarrow="open"/>
                </v:shape>
                <v:shape id="Text Box 153" o:spid="_x0000_s1037" type="#_x0000_t202" style="position:absolute;left:12629;top:11516;width:783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jq8QA&#10;AADcAAAADwAAAGRycy9kb3ducmV2LnhtbERPTWvCQBC9F/wPywheim7sQWqajYi0KB4EtfU87k6T&#10;YHY2za4a/fXdgtDbPN7nZLPO1uJCra8cKxiPEhDE2pmKCwWf+4/hKwgfkA3WjknBjTzM8t5Thqlx&#10;V97SZRcKEUPYp6igDKFJpfS6JIt+5BriyH271mKIsC2kafEaw20tX5JkIi1WHBtKbGhRkj7tzlbB&#10;cn0c39df73r5w8dabg/P2i42Sg363fwNRKAu/Isf7pWJ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ZY6vEAAAA3AAAAA8AAAAAAAAAAAAAAAAAmAIAAGRycy9k&#10;b3ducmV2LnhtbFBLBQYAAAAABAAEAPUAAACJAwAAAAA=&#10;" strokeweight=".5pt">
                  <v:textbox>
                    <w:txbxContent>
                      <w:p w:rsidR="00224467" w:rsidRPr="00227F5F" w:rsidRDefault="00224467" w:rsidP="00346920">
                        <w:pPr>
                          <w:spacing w:after="0"/>
                          <w:rPr>
                            <w:rFonts w:ascii="Arial Narrow" w:hAnsi="Arial Narrow"/>
                            <w:sz w:val="18"/>
                            <w:szCs w:val="18"/>
                          </w:rPr>
                        </w:pPr>
                        <w:r>
                          <w:rPr>
                            <w:rFonts w:ascii="Arial Narrow" w:hAnsi="Arial Narrow"/>
                            <w:sz w:val="18"/>
                            <w:szCs w:val="18"/>
                          </w:rPr>
                          <w:t>Glucocorticoid</w:t>
                        </w:r>
                      </w:p>
                      <w:p w:rsidR="00224467" w:rsidRPr="00227F5F" w:rsidRDefault="00224467" w:rsidP="00346920">
                        <w:pPr>
                          <w:spacing w:after="0"/>
                          <w:rPr>
                            <w:rFonts w:ascii="Arial Narrow" w:hAnsi="Arial Narrow"/>
                            <w:sz w:val="18"/>
                            <w:szCs w:val="18"/>
                          </w:rPr>
                        </w:pPr>
                        <w:r w:rsidRPr="00227F5F">
                          <w:rPr>
                            <w:rFonts w:ascii="Arial Narrow" w:hAnsi="Arial Narrow"/>
                            <w:sz w:val="18"/>
                            <w:szCs w:val="18"/>
                          </w:rPr>
                          <w:t>therapy</w:t>
                        </w:r>
                      </w:p>
                    </w:txbxContent>
                  </v:textbox>
                </v:shape>
                <v:shape id="Text Box 154" o:spid="_x0000_s1038" type="#_x0000_t202" style="position:absolute;left:17914;top:16564;width:10910;height:40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c68YA&#10;AADcAAAADwAAAGRycy9kb3ducmV2LnhtbESPQW/CMAyF75P4D5GRdpkgZQeGCgFNiAnEYRKwcTaJ&#10;aas1Tmky6Pbr58Mkbrbe83ufZ4vO1+pKbawCGxgNM1DENriKCwMfh7fBBFRMyA7rwGTghyIs5r2H&#10;GeYu3HhH130qlIRwzNFAmVKTax1tSR7jMDTEop1D6zHJ2hbatXiTcF/r5ywba48VS0OJDS1Lsl/7&#10;b29gvT2NfrefK7u+8KnWu+OT9ct3Yx773esUVKIu3c3/1xsn+C+CL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pc68YAAADcAAAADwAAAAAAAAAAAAAAAACYAgAAZHJz&#10;L2Rvd25yZXYueG1sUEsFBgAAAAAEAAQA9QAAAIsDAAAAAA==&#10;" strokeweight=".5pt">
                  <v:textbox>
                    <w:txbxContent>
                      <w:p w:rsidR="00224467" w:rsidRDefault="00224467" w:rsidP="00346920">
                        <w:pPr>
                          <w:spacing w:after="0"/>
                          <w:rPr>
                            <w:rFonts w:ascii="Arial Narrow" w:hAnsi="Arial Narrow"/>
                            <w:sz w:val="18"/>
                            <w:szCs w:val="18"/>
                          </w:rPr>
                        </w:pPr>
                        <w:r>
                          <w:rPr>
                            <w:rFonts w:ascii="Arial Narrow" w:hAnsi="Arial Narrow"/>
                            <w:sz w:val="18"/>
                            <w:szCs w:val="18"/>
                          </w:rPr>
                          <w:t>Male or female</w:t>
                        </w:r>
                      </w:p>
                      <w:p w:rsidR="00224467" w:rsidRPr="00227F5F" w:rsidRDefault="00224467" w:rsidP="00346920">
                        <w:pPr>
                          <w:spacing w:after="0"/>
                          <w:rPr>
                            <w:rFonts w:ascii="Arial Narrow" w:hAnsi="Arial Narrow"/>
                            <w:sz w:val="18"/>
                            <w:szCs w:val="18"/>
                          </w:rPr>
                        </w:pPr>
                        <w:r>
                          <w:rPr>
                            <w:rFonts w:ascii="Arial Narrow" w:hAnsi="Arial Narrow"/>
                            <w:sz w:val="18"/>
                            <w:szCs w:val="18"/>
                          </w:rPr>
                          <w:t>h</w:t>
                        </w:r>
                        <w:r w:rsidRPr="00227F5F">
                          <w:rPr>
                            <w:rFonts w:ascii="Arial Narrow" w:hAnsi="Arial Narrow"/>
                            <w:sz w:val="18"/>
                            <w:szCs w:val="18"/>
                          </w:rPr>
                          <w:t>ypogonadism</w:t>
                        </w:r>
                        <w:r>
                          <w:rPr>
                            <w:rFonts w:ascii="Arial Narrow" w:hAnsi="Arial Narrow"/>
                            <w:sz w:val="18"/>
                            <w:szCs w:val="18"/>
                          </w:rPr>
                          <w:t xml:space="preserve"> etc (a)</w:t>
                        </w:r>
                      </w:p>
                    </w:txbxContent>
                  </v:textbox>
                </v:shape>
                <v:shape id="Text Box 155" o:spid="_x0000_s1039" type="#_x0000_t202" style="position:absolute;left:24011;top:21518;width:13881;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5cMMA&#10;AADcAAAADwAAAGRycy9kb3ducmV2LnhtbERPTWsCMRC9C/6HMIKXotn10MpqFBGLxYOgVc9jMu4u&#10;bibbTapbf31TKHibx/uc6by1lbhR40vHCtJhAoJYO1NyruDw+T4Yg/AB2WDlmBT8kIf5rNuZYmbc&#10;nXd024dcxBD2GSooQqgzKb0uyKIfupo4chfXWAwRNrk0Dd5juK3kKElepcWSY0OBNS0L0tf9t1Ww&#10;3pzTx+a40usvPldyd3rRdrlVqt9rFxMQgdrwFP+7P0yc/5bC3zPx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5cMMAAADcAAAADwAAAAAAAAAAAAAAAACYAgAAZHJzL2Rv&#10;d25yZXYueG1sUEsFBgAAAAAEAAQA9QAAAIgDAAAAAA==&#10;" strokeweight=".5pt">
                  <v:textbox>
                    <w:txbxContent>
                      <w:p w:rsidR="00224467" w:rsidRPr="00227F5F" w:rsidRDefault="00224467" w:rsidP="00346920">
                        <w:pPr>
                          <w:spacing w:after="0"/>
                          <w:rPr>
                            <w:rFonts w:ascii="Arial Narrow" w:hAnsi="Arial Narrow"/>
                            <w:sz w:val="18"/>
                            <w:szCs w:val="18"/>
                          </w:rPr>
                        </w:pPr>
                        <w:r w:rsidRPr="00227F5F">
                          <w:rPr>
                            <w:rFonts w:ascii="Arial Narrow" w:hAnsi="Arial Narrow"/>
                            <w:sz w:val="18"/>
                            <w:szCs w:val="18"/>
                          </w:rPr>
                          <w:t>Primary hyperparathyroidism</w:t>
                        </w:r>
                      </w:p>
                      <w:p w:rsidR="00224467" w:rsidRPr="00227F5F" w:rsidRDefault="00224467" w:rsidP="00346920">
                        <w:pPr>
                          <w:spacing w:after="0"/>
                          <w:rPr>
                            <w:rFonts w:ascii="Arial Narrow" w:hAnsi="Arial Narrow"/>
                            <w:sz w:val="18"/>
                            <w:szCs w:val="18"/>
                          </w:rPr>
                        </w:pPr>
                        <w:r w:rsidRPr="00227F5F">
                          <w:rPr>
                            <w:rFonts w:ascii="Arial Narrow" w:hAnsi="Arial Narrow"/>
                            <w:sz w:val="18"/>
                            <w:szCs w:val="18"/>
                          </w:rPr>
                          <w:t>Chronic renal disease</w:t>
                        </w:r>
                        <w:r>
                          <w:rPr>
                            <w:rFonts w:ascii="Arial Narrow" w:hAnsi="Arial Narrow"/>
                            <w:sz w:val="18"/>
                            <w:szCs w:val="18"/>
                          </w:rPr>
                          <w:t xml:space="preserve"> e</w:t>
                        </w:r>
                        <w:r w:rsidRPr="00227F5F">
                          <w:rPr>
                            <w:rFonts w:ascii="Arial Narrow" w:hAnsi="Arial Narrow"/>
                            <w:sz w:val="18"/>
                            <w:szCs w:val="18"/>
                          </w:rPr>
                          <w:t>tc</w:t>
                        </w:r>
                        <w:r>
                          <w:rPr>
                            <w:rFonts w:ascii="Arial Narrow" w:hAnsi="Arial Narrow"/>
                            <w:sz w:val="18"/>
                            <w:szCs w:val="18"/>
                          </w:rPr>
                          <w:t xml:space="preserve"> (b)</w:t>
                        </w:r>
                      </w:p>
                    </w:txbxContent>
                  </v:textbox>
                </v:shape>
                <v:shape id="Text Box 153" o:spid="_x0000_s1040" type="#_x0000_t202" style="position:absolute;left:381;top:49820;width:7835;height:73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nB8QA&#10;AADcAAAADwAAAGRycy9kb3ducmV2LnhtbERPTWvCQBC9F/wPywi9FLOJh1ZSV5FgsXgoqK3ncXea&#10;BLOzMbvVtL/eFYTe5vE+ZzrvbSPO1PnasYIsSUEQa2dqLhV87t5GExA+IBtsHJOCX/Iwnw0eppgb&#10;d+ENnbehFDGEfY4KqhDaXEqvK7LoE9cSR+7bdRZDhF0pTYeXGG4bOU7TZ2mx5thQYUtFRfq4/bEK&#10;VutD9rf+WurViQ+N3OyftC0+lHoc9otXEIH68C++u99NnP8yhtsz8QI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kZwf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‘for prevention</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and treatment</w:t>
                        </w:r>
                      </w:p>
                      <w:p w:rsidR="00224467" w:rsidRDefault="00224467" w:rsidP="00346920">
                        <w:pPr>
                          <w:pStyle w:val="NormalWeb"/>
                          <w:spacing w:before="0" w:beforeAutospacing="0" w:after="0" w:afterAutospacing="0" w:line="276" w:lineRule="auto"/>
                        </w:pPr>
                        <w:r>
                          <w:rPr>
                            <w:rFonts w:ascii="Arial Narrow" w:hAnsi="Arial Narrow"/>
                            <w:sz w:val="18"/>
                            <w:szCs w:val="18"/>
                          </w:rPr>
                          <w:t>of OP’</w:t>
                        </w:r>
                      </w:p>
                    </w:txbxContent>
                  </v:textbox>
                </v:shape>
                <v:shape id="Text Box 153" o:spid="_x0000_s1041" type="#_x0000_t202" style="position:absolute;left:36384;top:11602;width:11221;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CnMQA&#10;AADcAAAADwAAAGRycy9kb3ducmV2LnhtbERPS2vCQBC+C/6HZYReRDdpoZXUNYhYLB4KPtrzuDtN&#10;gtnZmN1q9Nd3hUJv8/E9Z5p3thZnan3lWEE6TkAQa2cqLhTsd2+jCQgfkA3WjknBlTzks35viplx&#10;F97QeRsKEUPYZ6igDKHJpPS6JIt+7BriyH271mKIsC2kafESw20tH5PkWVqsODaU2NCiJH3c/lgF&#10;q/Uhva0/l3p14kMtN19DbRcfSj0MuvkriEBd+Bf/ud9NnP/y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owpz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Previously established</w:t>
                        </w:r>
                      </w:p>
                      <w:p w:rsidR="00224467" w:rsidRDefault="00224467" w:rsidP="00346920">
                        <w:pPr>
                          <w:pStyle w:val="NormalWeb"/>
                          <w:spacing w:before="0" w:beforeAutospacing="0" w:after="0" w:afterAutospacing="0" w:line="276" w:lineRule="auto"/>
                        </w:pPr>
                        <w:r>
                          <w:rPr>
                            <w:rFonts w:ascii="Arial Narrow" w:hAnsi="Arial Narrow"/>
                            <w:sz w:val="18"/>
                            <w:szCs w:val="18"/>
                          </w:rPr>
                          <w:t>T-score ≤-2.5</w:t>
                        </w:r>
                      </w:p>
                    </w:txbxContent>
                  </v:textbox>
                </v:shape>
                <v:shape id="Text Box 153" o:spid="_x0000_s1042" type="#_x0000_t202" style="position:absolute;left:14934;top:55529;width:44666;height:27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a6MQA&#10;AADcAAAADwAAAGRycy9kb3ducmV2LnhtbERPS2vCQBC+C/6HZYReRDcppZXUNYhYLB4KPtrzuDtN&#10;gtnZmN1q9Nd3hUJv8/E9Z5p3thZnan3lWEE6TkAQa2cqLhTsd2+jCQgfkA3WjknBlTzks35viplx&#10;F97QeRsKEUPYZ6igDKHJpPS6JIt+7BriyH271mKIsC2kafESw20tH5PkWVqsODaU2NCiJH3c/lgF&#10;q/Uhva0/l3p14kMtN19DbRcfSj0MuvkriEBd+Bf/ud9NnP/y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BWujEAAAA3AAAAA8AAAAAAAAAAAAAAAAAmAIAAGRycy9k&#10;b3ducmV2LnhtbFBLBQYAAAAABAAEAPUAAACJAwAAAAA=&#10;" strokeweight=".5pt">
                  <v:textbox>
                    <w:txbxContent>
                      <w:p w:rsidR="00224467" w:rsidRPr="008C7DE0" w:rsidRDefault="00224467" w:rsidP="00346920">
                        <w:pPr>
                          <w:pStyle w:val="NormalWeb"/>
                          <w:spacing w:before="0" w:beforeAutospacing="0" w:after="0" w:afterAutospacing="0" w:line="276" w:lineRule="auto"/>
                          <w:rPr>
                            <w:rFonts w:ascii="Arial Narrow" w:hAnsi="Arial Narrow"/>
                            <w:sz w:val="18"/>
                            <w:szCs w:val="18"/>
                          </w:rPr>
                        </w:pPr>
                        <w:r w:rsidRPr="008C7DE0">
                          <w:rPr>
                            <w:rFonts w:ascii="Arial Narrow" w:hAnsi="Arial Narrow"/>
                            <w:sz w:val="18"/>
                            <w:szCs w:val="18"/>
                          </w:rPr>
                          <w:t>Repeat DXA</w:t>
                        </w:r>
                        <w:r>
                          <w:rPr>
                            <w:rFonts w:ascii="Arial Narrow" w:hAnsi="Arial Narrow"/>
                            <w:sz w:val="18"/>
                            <w:szCs w:val="18"/>
                          </w:rPr>
                          <w:t xml:space="preserve"> or QCT</w:t>
                        </w:r>
                        <w:r w:rsidRPr="008C7DE0">
                          <w:rPr>
                            <w:rFonts w:ascii="Arial Narrow" w:hAnsi="Arial Narrow"/>
                            <w:sz w:val="18"/>
                            <w:szCs w:val="18"/>
                          </w:rPr>
                          <w:t xml:space="preserve"> for proven low BMD</w:t>
                        </w:r>
                        <w:r>
                          <w:rPr>
                            <w:rFonts w:ascii="Arial Narrow" w:hAnsi="Arial Narrow"/>
                            <w:sz w:val="18"/>
                            <w:szCs w:val="18"/>
                          </w:rPr>
                          <w:t xml:space="preserve"> (T-score ≤-2.5) (</w:t>
                        </w:r>
                        <w:r w:rsidRPr="008C7DE0">
                          <w:rPr>
                            <w:rFonts w:ascii="Arial Narrow" w:hAnsi="Arial Narrow"/>
                            <w:sz w:val="18"/>
                            <w:szCs w:val="18"/>
                          </w:rPr>
                          <w:t>MBS 12306</w:t>
                        </w:r>
                        <w:r>
                          <w:rPr>
                            <w:rFonts w:ascii="Arial Narrow" w:hAnsi="Arial Narrow"/>
                            <w:sz w:val="18"/>
                            <w:szCs w:val="18"/>
                          </w:rPr>
                          <w:t xml:space="preserve">, 12309) </w:t>
                        </w:r>
                        <w:r w:rsidRPr="008C7DE0">
                          <w:rPr>
                            <w:rFonts w:ascii="Arial Narrow" w:hAnsi="Arial Narrow"/>
                            <w:sz w:val="18"/>
                            <w:szCs w:val="18"/>
                          </w:rPr>
                          <w:t>1 service per 24 months</w:t>
                        </w:r>
                        <w:r>
                          <w:rPr>
                            <w:rFonts w:ascii="Arial Narrow" w:hAnsi="Arial Narrow"/>
                            <w:sz w:val="18"/>
                            <w:szCs w:val="18"/>
                          </w:rPr>
                          <w:t xml:space="preserve"> </w:t>
                        </w:r>
                      </w:p>
                    </w:txbxContent>
                  </v:textbox>
                </v:shape>
                <v:shape id="Text Box 153" o:spid="_x0000_s1043" type="#_x0000_t202" style="position:absolute;left:60712;top:16651;width:616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3/c8QA&#10;AADcAAAADwAAAGRycy9kb3ducmV2LnhtbERPS2vCQBC+C/6HZYReRDcptJXUNYhYLB4KPtrzuDtN&#10;gtnZmN1q9Nd3hUJv8/E9Z5p3thZnan3lWEE6TkAQa2cqLhTsd2+jCQgfkA3WjknBlTzks35viplx&#10;F97QeRsKEUPYZ6igDKHJpPS6JIt+7BriyH271mKIsC2kafESw20tH5PkWVqsODaU2NCiJH3c/lgF&#10;q/Uhva0/l3p14kMtN19DbRcfSj0MuvkriEBd+Bf/ud9NnP/y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N/3P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of OP</w:t>
                        </w:r>
                      </w:p>
                    </w:txbxContent>
                  </v:textbox>
                </v:shape>
                <v:shape id="Text Box 153" o:spid="_x0000_s1044" type="#_x0000_t202" style="position:absolute;left:53044;top:11687;width:9557;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hBMQA&#10;AADcAAAADwAAAGRycy9kb3ducmV2LnhtbERPTWvCQBC9F/wPywheim7swUqajYi0KB4EtfU87k6T&#10;YHY2za4a/fXdgtDbPN7nZLPO1uJCra8cKxiPEhDE2pmKCwWf+4/hFIQPyAZrx6TgRh5mee8pw9S4&#10;K2/psguFiCHsU1RQhtCkUnpdkkU/cg1x5L5dazFE2BbStHiN4baWL0kykRYrjg0lNrQoSZ92Z6tg&#10;uT6O7+uvd7384WMtt4dnbRcbpQb9bv4GIlAX/sUP98rE+a8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fYQT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Significant change</w:t>
                        </w:r>
                      </w:p>
                      <w:p w:rsidR="00224467" w:rsidRDefault="00224467" w:rsidP="00346920">
                        <w:pPr>
                          <w:pStyle w:val="NormalWeb"/>
                          <w:spacing w:before="0" w:beforeAutospacing="0" w:after="0" w:afterAutospacing="0" w:line="276" w:lineRule="auto"/>
                        </w:pPr>
                        <w:r>
                          <w:rPr>
                            <w:rFonts w:ascii="Arial Narrow" w:hAnsi="Arial Narrow"/>
                            <w:sz w:val="18"/>
                            <w:szCs w:val="18"/>
                          </w:rPr>
                          <w:t>in OP therapy</w:t>
                        </w:r>
                      </w:p>
                    </w:txbxContent>
                  </v:textbox>
                </v:shape>
                <v:shape id="Text Box 153" o:spid="_x0000_s1045" type="#_x0000_t202" style="position:absolute;left:49910;top:21518;width:3829;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En8QA&#10;AADcAAAADwAAAGRycy9kb3ducmV2LnhtbERPTWvCQBC9C/0PyxR6EbOxBy2pm1DEongoaFvP4+40&#10;Cc3OxuxWo7/eLQje5vE+Z1b0thFH6nztWME4SUEQa2dqLhV8fb6PXkD4gGywcUwKzuShyB8GM8yM&#10;O/GGjttQihjCPkMFVQhtJqXXFVn0iWuJI/fjOoshwq6UpsNTDLeNfE7TibRYc2yosKV5Rfp3+2cV&#10;LNf78WX9vdDLA+8budkNtZ1/KPX02L+9ggjUh7v45l6ZOH86hf9n4gU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TxJ/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Age</w:t>
                        </w:r>
                      </w:p>
                      <w:p w:rsidR="00224467" w:rsidRDefault="00224467" w:rsidP="00346920">
                        <w:pPr>
                          <w:pStyle w:val="NormalWeb"/>
                          <w:spacing w:before="0" w:beforeAutospacing="0" w:after="0" w:afterAutospacing="0" w:line="276" w:lineRule="auto"/>
                        </w:pPr>
                        <w:r>
                          <w:rPr>
                            <w:rFonts w:ascii="Arial Narrow" w:hAnsi="Arial Narrow"/>
                            <w:sz w:val="18"/>
                            <w:szCs w:val="18"/>
                          </w:rPr>
                          <w:t>≥ 70</w:t>
                        </w:r>
                      </w:p>
                    </w:txbxContent>
                  </v:textbox>
                </v:shape>
                <v:shape id="Text Box 153" o:spid="_x0000_s1046" type="#_x0000_t202" style="position:absolute;left:43816;top:16651;width:486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Q7cYA&#10;AADcAAAADwAAAGRycy9kb3ducmV2LnhtbESPQW/CMAyF75P4D5GRdpkgZQeGCgFNiAnEYRKwcTaJ&#10;aas1Tmky6Pbr58Mkbrbe83ufZ4vO1+pKbawCGxgNM1DENriKCwMfh7fBBFRMyA7rwGTghyIs5r2H&#10;GeYu3HhH130qlIRwzNFAmVKTax1tSR7jMDTEop1D6zHJ2hbatXiTcF/r5ywba48VS0OJDS1Lsl/7&#10;b29gvT2NfrefK7u+8KnWu+OT9ct3Yx773esUVKIu3c3/1xsn+C9CK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xQ7cYAAADcAAAADwAAAAAAAAAAAAAAAACYAgAAZHJz&#10;L2Rvd25yZXYueG1sUEsFBgAAAAAEAAQA9QAAAIsDA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Proven</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v:textbox>
                </v:shape>
                <v:shape id="Text Box 153" o:spid="_x0000_s1047" type="#_x0000_t202" style="position:absolute;left:13677;top:29330;width:5334;height:10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1dsQA&#10;AADcAAAADwAAAGRycy9kb3ducmV2LnhtbERPS2vCQBC+C/6HZYReRDfpoa2paxCxWDwUfLTncXea&#10;BLOzMbvV6K/vCoXe5uN7zjTvbC3O1PrKsYJ0nIAg1s5UXCjY795GLyB8QDZYOyYFV/KQz/q9KWbG&#10;XXhD520oRAxhn6GCMoQmk9Lrkiz6sWuII/ftWoshwraQpsVLDLe1fEySJ2mx4thQYkOLkvRx+2MV&#10;rNaH9Lb+XOrViQ+13HwNtV18KPUw6OavIAJ14V/85343cf7zBO7PxAv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A9Xb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224467" w:rsidRDefault="00224467" w:rsidP="00346920">
                        <w:pPr>
                          <w:pStyle w:val="NormalWeb"/>
                          <w:spacing w:before="0" w:beforeAutospacing="0" w:after="0" w:afterAutospacing="0" w:line="276" w:lineRule="auto"/>
                        </w:pPr>
                        <w:r>
                          <w:rPr>
                            <w:rFonts w:ascii="Arial Narrow" w:hAnsi="Arial Narrow"/>
                            <w:sz w:val="18"/>
                            <w:szCs w:val="18"/>
                          </w:rPr>
                          <w:t>months</w:t>
                        </w:r>
                      </w:p>
                    </w:txbxContent>
                  </v:textbox>
                </v:shape>
                <v:shape id="Text Box 153" o:spid="_x0000_s1048" type="#_x0000_t202" style="position:absolute;left:21348;top:29330;width:5334;height:100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zMYA&#10;AADcAAAADwAAAGRycy9kb3ducmV2LnhtbESPT2sCQQzF74V+hyGFXqTO2oPI1lGKKBYPgv96jjPp&#10;7tKdzLoz6tZPbw5Cbwnv5b1fxtPO1+pCbawCGxj0M1DENriKCwP73eJtBComZId1YDLwRxGmk+en&#10;MeYuXHlDl20qlIRwzNFAmVKTax1tSR5jPzTEov2E1mOStS20a/Eq4b7W71k21B4rloYSG5qVZH+3&#10;Z29guToObqvD3C5PfKz15rtn/WxtzOtL9/kBKlGX/s2P6y8n+CPBl2dkAj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szMYAAADcAAAADwAAAAAAAAAAAAAAAACYAgAAZHJz&#10;L2Rvd25yZXYueG1sUEsFBgAAAAAEAAQA9QAAAIsDA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224467" w:rsidRPr="00F231BC"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months</w:t>
                        </w:r>
                      </w:p>
                    </w:txbxContent>
                  </v:textbox>
                </v:shape>
                <v:shape id="Text Box 153" o:spid="_x0000_s1049" type="#_x0000_t202" style="position:absolute;left:28297;top:29415;width:5334;height:9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V8IA&#10;AADcAAAADwAAAGRycy9kb3ducmV2LnhtbERPS4vCMBC+C/6HMIIX0bQeRKpRRBTFw4Lu4zwms23Z&#10;ZlKbqF1//WZB8DYf33Pmy9ZW4kaNLx0rSEcJCGLtTMm5go/37XAKwgdkg5VjUvBLHpaLbmeOmXF3&#10;PtLtFHIRQ9hnqKAIoc6k9Logi37kauLIfbvGYoiwyaVp8B7DbSXHSTKRFkuODQXWtC5I/5yuVsHu&#10;cE4fh8+N3l34XMnj10Db9ZtS/V67moEI1IaX+Onemzh/msL/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44lXwgAAANwAAAAPAAAAAAAAAAAAAAAAAJgCAABkcnMvZG93&#10;bnJldi54bWxQSwUGAAAAAAQABAD1AAAAhwM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12315</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224467" w:rsidRPr="00F231BC"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months</w:t>
                        </w:r>
                      </w:p>
                    </w:txbxContent>
                  </v:textbox>
                </v:shape>
                <v:shape id="Text Box 153" o:spid="_x0000_s1050" type="#_x0000_t202" style="position:absolute;left:37812;top:29215;width:5334;height:101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XIMIA&#10;AADcAAAADwAAAGRycy9kb3ducmV2LnhtbERPTYvCMBC9C/sfwix4EU31INI1isiK4kFQd/c8JmNb&#10;bCbdJmr11xtB8DaP9znjaWNLcaHaF44V9HsJCGLtTMGZgp/9ojsC4QOywdIxKbiRh+nkozXG1Lgr&#10;b+myC5mIIexTVJCHUKVSep2TRd9zFXHkjq62GCKsM2lqvMZwW8pBkgylxYJjQ44VzXPSp93ZKliu&#10;D/37+vdbL//5UMrtX0fb+Uap9mcz+wIRqAlv8cu9MnH+aADPZ+IFcv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RcgwgAAANwAAAAPAAAAAAAAAAAAAAAAAJgCAABkcnMvZG93&#10;bnJldi54bWxQSwUGAAAAAAQABAD1AAAAhwM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224467" w:rsidRDefault="00224467" w:rsidP="00346920">
                        <w:pPr>
                          <w:pStyle w:val="NormalWeb"/>
                          <w:spacing w:before="0" w:beforeAutospacing="0" w:after="0" w:afterAutospacing="0" w:line="276" w:lineRule="auto"/>
                        </w:pPr>
                        <w:r>
                          <w:rPr>
                            <w:rFonts w:ascii="Arial Narrow" w:hAnsi="Arial Narrow"/>
                            <w:sz w:val="18"/>
                            <w:szCs w:val="18"/>
                          </w:rPr>
                          <w:t>months</w:t>
                        </w:r>
                      </w:p>
                    </w:txbxContent>
                  </v:textbox>
                </v:shape>
                <v:shape id="Text Box 153" o:spid="_x0000_s1051" type="#_x0000_t202" style="position:absolute;left:44293;top:29330;width:5334;height:1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2yu8QA&#10;AADcAAAADwAAAGRycy9kb3ducmV2LnhtbERPTWvCQBC9C/0PyxR6EbOxgkjqJhSxKB4K2tbzuDtN&#10;QrOzMbvV6K93C0Jv83ifMy9624gTdb52rGCcpCCItTM1lwo+P95GMxA+IBtsHJOCC3ko8ofBHDPj&#10;zryl0y6UIoawz1BBFUKbSel1RRZ94lriyH27zmKIsCul6fAcw20jn9N0Ki3WHBsqbGlRkf7Z/VoF&#10;q81hfN18LfXqyIdGbvdDbRfvSj099q8vIAL14V98d69NnD+bwN8z8QK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srv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224467" w:rsidRDefault="00224467" w:rsidP="00346920">
                        <w:pPr>
                          <w:pStyle w:val="NormalWeb"/>
                          <w:spacing w:before="0" w:beforeAutospacing="0" w:after="0" w:afterAutospacing="0" w:line="276" w:lineRule="auto"/>
                        </w:pPr>
                        <w:r>
                          <w:rPr>
                            <w:rFonts w:ascii="Arial Narrow" w:hAnsi="Arial Narrow"/>
                            <w:sz w:val="18"/>
                            <w:szCs w:val="18"/>
                          </w:rPr>
                          <w:t>months</w:t>
                        </w:r>
                      </w:p>
                    </w:txbxContent>
                  </v:textbox>
                </v:shape>
                <v:shape id="Text Box 153" o:spid="_x0000_s1052" type="#_x0000_t202" style="position:absolute;left:50852;top:29330;width:4502;height:100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Qqz8QA&#10;AADcAAAADwAAAGRycy9kb3ducmV2LnhtbERPTWvCQBC9C/0PyxR6EbOxiEjqJhSxKB4K2tbzuDtN&#10;QrOzMbvV6K93C0Jv83ifMy9624gTdb52rGCcpCCItTM1lwo+P95GMxA+IBtsHJOCC3ko8ofBHDPj&#10;zryl0y6UIoawz1BBFUKbSel1RRZ94lriyH27zmKIsCul6fAcw20jn9N0Ki3WHBsqbGlRkf7Z/VoF&#10;q81hfN18LfXqyIdGbvdDbRfvSj099q8vIAL14V98d69NnD+bwN8z8QK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UKs/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12323</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w:t>
                        </w:r>
                      </w:p>
                      <w:p w:rsidR="00224467" w:rsidRDefault="00224467" w:rsidP="00346920">
                        <w:pPr>
                          <w:pStyle w:val="NormalWeb"/>
                          <w:spacing w:before="0" w:beforeAutospacing="0" w:after="0" w:afterAutospacing="0" w:line="276" w:lineRule="auto"/>
                        </w:pPr>
                        <w:r>
                          <w:rPr>
                            <w:rFonts w:ascii="Arial Narrow" w:hAnsi="Arial Narrow"/>
                            <w:sz w:val="18"/>
                            <w:szCs w:val="18"/>
                          </w:rPr>
                          <w:t>limit)</w:t>
                        </w:r>
                      </w:p>
                    </w:txbxContent>
                  </v:textbox>
                </v:shape>
                <v:shape id="Text Box 153" o:spid="_x0000_s1053" type="#_x0000_t202" style="position:absolute;left:56758;top:29330;width:5334;height:100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PVMQA&#10;AADcAAAADwAAAGRycy9kb3ducmV2LnhtbERPTWvCQBC9C/0PyxR6EbOxoEjqJhSxKB4K2tbzuDtN&#10;QrOzMbvV6K93C0Jv83ifMy9624gTdb52rGCcpCCItTM1lwo+P95GMxA+IBtsHJOCC3ko8ofBHDPj&#10;zryl0y6UIoawz1BBFUKbSel1RRZ94lriyH27zmKIsCul6fAcw20jn9N0Ki3WHBsqbGlRkf7Z/VoF&#10;q81hfN18LfXqyIdGbvdDbRfvSj099q8vIAL14V98d69NnD+bwN8z8QK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Yj1T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224467" w:rsidRDefault="00224467" w:rsidP="00346920">
                        <w:pPr>
                          <w:pStyle w:val="NormalWeb"/>
                          <w:spacing w:before="0" w:beforeAutospacing="0" w:after="0" w:afterAutospacing="0" w:line="276" w:lineRule="auto"/>
                        </w:pPr>
                        <w:r>
                          <w:rPr>
                            <w:rFonts w:ascii="Arial Narrow" w:hAnsi="Arial Narrow"/>
                            <w:sz w:val="18"/>
                            <w:szCs w:val="18"/>
                          </w:rPr>
                          <w:t>months</w:t>
                        </w:r>
                      </w:p>
                    </w:txbxContent>
                  </v:textbox>
                </v:shape>
                <v:shape id="Text Box 153" o:spid="_x0000_s1054" type="#_x0000_t202" style="position:absolute;left:60545;top:49820;width:7836;height:75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RI8QA&#10;AADcAAAADwAAAGRycy9kb3ducmV2LnhtbERPS2vCQBC+F/wPywi9FN2kB5GYVYpYUjwUfJ4nu2MS&#10;mp2N2a2m/fXdQqG3+fiek68G24ob9b5xrCCdJiCItTMNVwqOh9fJHIQPyAZbx6TgizyslqOHHDPj&#10;7ryj2z5UIoawz1BBHUKXSel1TRb91HXEkbu43mKIsK+k6fEew20rn5NkJi02HBtq7Ghdk/7Yf1oF&#10;xbZMv7enjS6uXLZyd37Sdv2u1ON4eFmACDSEf/Gf+83E+fMZ/D4TL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KESP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‘for prevention</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and treatment</w:t>
                        </w:r>
                      </w:p>
                      <w:p w:rsidR="00224467" w:rsidRDefault="00224467" w:rsidP="00346920">
                        <w:pPr>
                          <w:pStyle w:val="NormalWeb"/>
                          <w:spacing w:before="0" w:beforeAutospacing="0" w:after="0" w:afterAutospacing="0" w:line="276" w:lineRule="auto"/>
                        </w:pPr>
                        <w:r>
                          <w:rPr>
                            <w:rFonts w:ascii="Arial Narrow" w:hAnsi="Arial Narrow"/>
                            <w:sz w:val="18"/>
                            <w:szCs w:val="18"/>
                          </w:rPr>
                          <w:t>of OP’</w:t>
                        </w:r>
                      </w:p>
                    </w:txbxContent>
                  </v:textbox>
                </v:shape>
                <v:shape id="Text Box 153" o:spid="_x0000_s1055" type="#_x0000_t202" style="position:absolute;left:69087;top:39348;width:24403;height:189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0uMQA&#10;AADcAAAADwAAAGRycy9kb3ducmV2LnhtbERPTWvCQBC9C/0PyxR6EbOxB5XUTShiUTwUtK3ncXea&#10;hGZnY3ar0V/vFoTe5vE+Z170thEn6nztWME4SUEQa2dqLhV8fryNZiB8QDbYOCYFF/JQ5A+DOWbG&#10;nXlLp10oRQxhn6GCKoQ2k9Lriiz6xLXEkft2ncUQYVdK0+E5httGPqfpRFqsOTZU2NKiIv2z+7UK&#10;VpvD+Lr5WurVkQ+N3O6H2i7elXp67F9fQATqw7/47l6bOH82hb9n4gU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GtLj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BMD: Bone mineral density</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minimal trauma fracture</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OP: osteoporosis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 (number refers to the MBS item)</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 (number refers to the MBS item)</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 Conditions associated with excess glucocorticoid</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secretion</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 Chronic liver disease, proven malabsorbtive</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disorder, rheumatoid arthritis, or conditions associated</w:t>
                        </w:r>
                      </w:p>
                      <w:p w:rsidR="00224467" w:rsidRDefault="00224467" w:rsidP="00346920">
                        <w:pPr>
                          <w:pStyle w:val="NormalWeb"/>
                          <w:spacing w:before="0" w:beforeAutospacing="0" w:after="0" w:afterAutospacing="0" w:line="276" w:lineRule="auto"/>
                        </w:pPr>
                        <w:r>
                          <w:rPr>
                            <w:rFonts w:ascii="Arial Narrow" w:hAnsi="Arial Narrow"/>
                            <w:sz w:val="18"/>
                            <w:szCs w:val="18"/>
                          </w:rPr>
                          <w:t>with thryoxine excess</w:t>
                        </w:r>
                      </w:p>
                    </w:txbxContent>
                  </v:textbox>
                </v:shape>
                <v:shape id="Text Box 153" o:spid="_x0000_s1056" type="#_x0000_t202" style="position:absolute;left:13867;top:41901;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gysYA&#10;AADcAAAADwAAAGRycy9kb3ducmV2LnhtbESPT2sCQQzF74V+hyGFXqTO2oPI1lGKKBYPgv96jjPp&#10;7tKdzLoz6tZPbw5Cbwnv5b1fxtPO1+pCbawCGxj0M1DENriKCwP73eJtBComZId1YDLwRxGmk+en&#10;MeYuXHlDl20qlIRwzNFAmVKTax1tSR5jPzTEov2E1mOStS20a/Eq4b7W71k21B4rloYSG5qVZH+3&#10;Z29guToObqvD3C5PfKz15rtn/WxtzOtL9/kBKlGX/s2P6y8n+COhlWdkAj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kgysYAAADcAAAADwAAAAAAAAAAAAAAAACYAgAAZHJz&#10;L2Rvd25yZXYueG1sUEsFBgAAAAAEAAQA9QAAAIsDA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T-score  </w:t>
                        </w:r>
                      </w:p>
                      <w:p w:rsidR="00224467" w:rsidRDefault="00224467" w:rsidP="00346920">
                        <w:pPr>
                          <w:pStyle w:val="NormalWeb"/>
                          <w:spacing w:before="0" w:beforeAutospacing="0" w:after="0" w:afterAutospacing="0" w:line="276" w:lineRule="auto"/>
                        </w:pPr>
                        <w:r>
                          <w:rPr>
                            <w:rFonts w:ascii="Arial Narrow" w:hAnsi="Arial Narrow"/>
                            <w:sz w:val="18"/>
                            <w:szCs w:val="18"/>
                          </w:rPr>
                          <w:t>≤-1.0</w:t>
                        </w:r>
                      </w:p>
                    </w:txbxContent>
                  </v:textbox>
                </v:shape>
                <v:shape id="Straight Arrow Connector 201" o:spid="_x0000_s1057" type="#_x0000_t32" style="position:absolute;left:22773;top:4953;width:32;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H5hMMAAADcAAAADwAAAGRycy9kb3ducmV2LnhtbERPTWvCQBC9C/0PyxR6KXVjSq1N3YgI&#10;tYIntdDrkJ1kQ7KzIbvG+O+7BcHbPN7nLFejbcVAva8dK5hNExDEhdM1Vwp+Tl8vCxA+IGtsHZOC&#10;K3lY5Q+TJWbaXfhAwzFUIoawz1CBCaHLpPSFIYt+6jriyJWutxgi7Cupe7zEcNvKNEnm0mLNscFg&#10;RxtDRXM8WwVlqmn23Pya7/c3LDf713QY2q1ST4/j+hNEoDHcxTf3Tsf5iw/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B+YTDAAAA3AAAAA8AAAAAAAAAAAAA&#10;AAAAoQIAAGRycy9kb3ducmV2LnhtbFBLBQYAAAAABAAEAPkAAACRAwAAAAA=&#10;">
                  <v:stroke endarrow="open"/>
                </v:shape>
                <v:shape id="Text Box 153" o:spid="_x0000_s1058" type="#_x0000_t202" style="position:absolute;left:21538;top:41986;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6EcYA&#10;AADcAAAADwAAAGRycy9kb3ducmV2LnhtbESPQW/CMAyF75P4D5GRdpkgZQc0CgFNiAnEYRKwcTaJ&#10;aas1Tmky6Pbr58Mkbrbe83ufZ4vO1+pKbawCGxgNM1DENriKCwMfh7fBC6iYkB3WgcnAD0VYzHsP&#10;M8xduPGOrvtUKAnhmKOBMqUm1zrakjzGYWiIRTuH1mOStS20a/Em4b7Wz1k21h4rloYSG1qWZL/2&#10;397Aensa/W4/V3Z94VOtd8cn65fvxjz2u9cpqERdupv/rzdO8CeCL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a6EcYAAADcAAAADwAAAAAAAAAAAAAAAACYAgAAZHJz&#10;L2Rvd25yZXYueG1sUEsFBgAAAAAEAAQA9QAAAIsDA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T-score</w:t>
                        </w:r>
                      </w:p>
                      <w:p w:rsidR="00224467" w:rsidRDefault="00224467" w:rsidP="00346920">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59" type="#_x0000_t202" style="position:absolute;left:28487;top:41986;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fisMA&#10;AADcAAAADwAAAGRycy9kb3ducmV2LnhtbERPTWsCMRC9C/6HMIKXotn1UOpqFBGLxYOgVc9jMu4u&#10;bibbTapbf31TKHibx/uc6by1lbhR40vHCtJhAoJYO1NyruDw+T54A+EDssHKMSn4IQ/zWbczxcy4&#10;O+/otg+5iCHsM1RQhFBnUnpdkEU/dDVx5C6usRgibHJpGrzHcFvJUZK8Soslx4YCa1oWpK/7b6tg&#10;vTmnj81xpddffK7k7vSi7XKrVL/XLiYgArXhKf53f5g4f5zC3zPx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ofisMAAADcAAAADwAAAAAAAAAAAAAAAACYAgAAZHJzL2Rv&#10;d25yZXYueG1sUEsFBgAAAAAEAAQA9QAAAIgDA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T-score</w:t>
                        </w:r>
                      </w:p>
                      <w:p w:rsidR="00224467" w:rsidRDefault="00224467" w:rsidP="00346920">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60" type="#_x0000_t202" style="position:absolute;left:57183;top:42071;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TNa8UA&#10;AADbAAAADwAAAGRycy9kb3ducmV2LnhtbESPQWvCQBSE70L/w/IKvYjZWERK6iYUsSgeCtrW83P3&#10;NQnNvo3ZrUZ/vVsQPA4z8w0zK3rbiCN1vnasYJykIIi1MzWXCr4+30cvIHxANtg4JgVn8lDkD4MZ&#10;ZsadeEPHbShFhLDPUEEVQptJ6XVFFn3iWuLo/bjOYoiyK6Xp8BThtpHPaTqVFmuOCxW2NK9I/27/&#10;rILlej++rL8XenngfSM3u6G28w+lnh77t1cQgfpwD9/aK6NgOoH/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M1rxQAAANsAAAAPAAAAAAAAAAAAAAAAAJgCAABkcnMv&#10;ZG93bnJldi54bWxQSwUGAAAAAAQABAD1AAAAigM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T-score</w:t>
                        </w:r>
                      </w:p>
                      <w:p w:rsidR="00224467" w:rsidRDefault="00224467" w:rsidP="00346920">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61" type="#_x0000_t202" style="position:absolute;left:50852;top:42071;width:507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o8MUA&#10;AADbAAAADwAAAGRycy9kb3ducmV2LnhtbESPQWvCQBSE70L/w/IKvYjZWFBK6iYUsSgeCtrW83P3&#10;NQnNvo3ZrUZ/vVsQPA4z8w0zK3rbiCN1vnasYJykIIi1MzWXCr4+30cvIHxANtg4JgVn8lDkD4MZ&#10;ZsadeEPHbShFhLDPUEEVQptJ6XVFFn3iWuLo/bjOYoiyK6Xp8BThtpHPaTqVFmuOCxW2NK9I/27/&#10;rILlej++rL8XenngfSM3u6G28w+lnh77t1cQgfpwD9/aK6NgOoH/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GjwxQAAANsAAAAPAAAAAAAAAAAAAAAAAJgCAABkcnMv&#10;ZG93bnJldi54bWxQSwUGAAAAAAQABAD1AAAAigM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T-score</w:t>
                        </w:r>
                      </w:p>
                      <w:p w:rsidR="00224467" w:rsidRDefault="00224467" w:rsidP="00346920">
                        <w:pPr>
                          <w:pStyle w:val="NormalWeb"/>
                          <w:spacing w:before="0" w:beforeAutospacing="0" w:after="0" w:afterAutospacing="0" w:line="276" w:lineRule="auto"/>
                        </w:pPr>
                        <w:r>
                          <w:rPr>
                            <w:rFonts w:ascii="Arial Narrow" w:hAnsi="Arial Narrow"/>
                            <w:sz w:val="18"/>
                            <w:szCs w:val="18"/>
                          </w:rPr>
                          <w:t>≤ -2.5</w:t>
                        </w:r>
                      </w:p>
                    </w:txbxContent>
                  </v:textbox>
                </v:shape>
                <v:shape id="Text Box 153" o:spid="_x0000_s1062" type="#_x0000_t202" style="position:absolute;left:44293;top:42071;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2h8UA&#10;AADbAAAADwAAAGRycy9kb3ducmV2LnhtbESPQWvCQBSE74X+h+UVvIhu9BBKdBOKtFg8CNrq+bn7&#10;TILZt2l2q9Ff7xaEHoeZ+YaZF71txJk6XztWMBknIIi1MzWXCr6/PkavIHxANtg4JgVX8lDkz09z&#10;zIy78IbO21CKCGGfoYIqhDaT0uuKLPqxa4mjd3SdxRBlV0rT4SXCbSOnSZJKizXHhQpbWlSkT9tf&#10;q2C5Okxuq927Xv7woZGb/VDbxVqpwUv/NgMRqA//4Uf70yhIU/j7En+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vaHxQAAANsAAAAPAAAAAAAAAAAAAAAAAJgCAABkcnMv&#10;ZG93bnJldi54bWxQSwUGAAAAAAQABAD1AAAAigM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T-score</w:t>
                        </w:r>
                      </w:p>
                      <w:p w:rsidR="00224467" w:rsidRPr="00974910"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Z-score</w:t>
                        </w:r>
                      </w:p>
                    </w:txbxContent>
                  </v:textbox>
                </v:shape>
                <v:shape id="Text Box 153" o:spid="_x0000_s1063" type="#_x0000_t202" style="position:absolute;left:37997;top:42071;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THMUA&#10;AADbAAAADwAAAGRycy9kb3ducmV2LnhtbESPQWvCQBSE7wX/w/IEL0U39mAlzUZEWhQPgtp6fu6+&#10;JsHs2zS7avTXdwtCj8PMfMNks87W4kKtrxwrGI8SEMTamYoLBZ/7j+EUhA/IBmvHpOBGHmZ57ynD&#10;1Lgrb+myC4WIEPYpKihDaFIpvS7Joh+5hjh63661GKJsC2lavEa4reVLkkykxYrjQokNLUrSp93Z&#10;Kliuj+P7+utdL3/4WMvt4VnbxUapQb+bv4EI1IX/8KO9Mgomr/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lMcxQAAANsAAAAPAAAAAAAAAAAAAAAAAJgCAABkcnMv&#10;ZG93bnJldi54bWxQSwUGAAAAAAQABAD1AAAAigM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T-score</w:t>
                        </w:r>
                      </w:p>
                      <w:p w:rsidR="00224467" w:rsidRDefault="00224467" w:rsidP="00346920">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64" type="#_x0000_t202" style="position:absolute;left:14136;top:48565;width:4762;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HbsEA&#10;AADbAAAADwAAAGRycy9kb3ducmV2LnhtbERPy4rCMBTdC/MP4Q7MRjR1FiIdo4goDi4EX7O+Ta5t&#10;sbmpTdSOX28WgsvDeY+nra3EjRpfOlYw6CcgiLUzJecKDvtlbwTCB2SDlWNS8E8eppOPzhhT4+68&#10;pdsu5CKGsE9RQRFCnUrpdUEWfd/VxJE7ucZiiLDJpWnwHsNtJb+TZCgtlhwbCqxpXpA+765WwWqd&#10;DR7r40KvLpxVcvvX1Xa+Uerrs539gAjUhrf45f41CoZxbPwSf4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Zx27BAAAA2wAAAA8AAAAAAAAAAAAAAAAAmAIAAGRycy9kb3du&#10;cmV2LnhtbFBLBQYAAAAABAAEAPUAAACG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r w:rsidRPr="00974910">
                          <w:rPr>
                            <w:rFonts w:ascii="Arial Narrow" w:hAnsi="Arial Narrow"/>
                            <w:sz w:val="18"/>
                            <w:szCs w:val="18"/>
                          </w:rPr>
                          <w:t>PBS</w:t>
                        </w:r>
                      </w:p>
                      <w:p w:rsidR="00224467" w:rsidRPr="00974910"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drugs</w:t>
                        </w:r>
                      </w:p>
                    </w:txbxContent>
                  </v:textbox>
                </v:shape>
                <v:shape id="Text Box 153" o:spid="_x0000_s1065" type="#_x0000_t202" style="position:absolute;left:28487;top:48575;width:575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i9cUA&#10;AADbAAAADwAAAGRycy9kb3ducmV2LnhtbESPQWvCQBSE7wX/w/IEL0U39iA1zUZEWhQPgtp6fu6+&#10;JsHs2zS7avTXdwtCj8PMfMNks87W4kKtrxwrGI8SEMTamYoLBZ/7j+ErCB+QDdaOScGNPMzy3lOG&#10;qXFX3tJlFwoRIexTVFCG0KRSel2SRT9yDXH0vl1rMUTZFtK0eI1wW8uXJJlIixXHhRIbWpSkT7uz&#10;VbBcH8f39de7Xv7wsZbbw7O2i41Sg343fwMRqAv/4Ud7ZRRMpv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WL1xQAAANsAAAAPAAAAAAAAAAAAAAAAAJgCAABkcnMv&#10;ZG93bnJldi54bWxQSwUGAAAAAAQABAD1AAAAigMAAAAA&#10;" strokeweight=".5pt">
                  <v:textbox>
                    <w:txbxContent>
                      <w:p w:rsidR="00224467" w:rsidRDefault="00224467" w:rsidP="00524DE4">
                        <w:pPr>
                          <w:pStyle w:val="NormalWeb"/>
                          <w:spacing w:before="0" w:beforeAutospacing="0" w:after="0" w:afterAutospacing="0" w:line="276" w:lineRule="auto"/>
                        </w:pPr>
                        <w:r>
                          <w:rPr>
                            <w:rFonts w:ascii="Arial Narrow" w:hAnsi="Arial Narrow"/>
                            <w:sz w:val="18"/>
                            <w:szCs w:val="18"/>
                          </w:rPr>
                          <w:t xml:space="preserve">   NoPBS</w:t>
                        </w:r>
                      </w:p>
                    </w:txbxContent>
                  </v:textbox>
                </v:shape>
                <v:shape id="Text Box 153" o:spid="_x0000_s1066" type="#_x0000_t202" style="position:absolute;left:21538;top:48556;width:575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dtcMA&#10;AADbAAAADwAAAGRycy9kb3ducmV2LnhtbERPy2rCQBTdF/yH4QpuSjPRhZbUUYpUFBcF7WN9M3Ob&#10;hGbupJkxiX59ZyG4PJz3cj3YWnTU+sqxgmmSgiDWzlRcKPj82D49g/AB2WDtmBRcyMN6NXpYYmZc&#10;z0fqTqEQMYR9hgrKEJpMSq9LsugT1xBH7se1FkOEbSFNi30Mt7WcpelcWqw4NpTY0KYk/Xs6WwW7&#10;Qz69Hr7e9O6P81oevx+13bwrNRkPry8gAg3hLr6590bBIq6P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ZdtcMAAADbAAAADwAAAAAAAAAAAAAAAACYAgAAZHJzL2Rv&#10;d25yZXYueG1sUEsFBgAAAAAEAAQA9QAAAIgDAAAAAA==&#10;" strokeweight=".5pt">
                  <v:textbox>
                    <w:txbxContent>
                      <w:p w:rsidR="00224467" w:rsidRDefault="00224467" w:rsidP="00524DE4">
                        <w:pPr>
                          <w:pStyle w:val="NormalWeb"/>
                          <w:spacing w:before="0" w:beforeAutospacing="0" w:after="0" w:afterAutospacing="0" w:line="276" w:lineRule="auto"/>
                        </w:pPr>
                        <w:r>
                          <w:rPr>
                            <w:rFonts w:ascii="Arial Narrow" w:hAnsi="Arial Narrow"/>
                            <w:sz w:val="18"/>
                            <w:szCs w:val="18"/>
                          </w:rPr>
                          <w:t xml:space="preserve">   NoPBS</w:t>
                        </w:r>
                      </w:p>
                    </w:txbxContent>
                  </v:textbox>
                </v:shape>
                <v:shape id="Text Box 153" o:spid="_x0000_s1067" type="#_x0000_t202" style="position:absolute;left:37997;top:48546;width:512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4LsUA&#10;AADbAAAADwAAAGRycy9kb3ducmV2LnhtbESPQWvCQBSE74X+h+UVepG6SQ9aomsooaJ4KKit5+fu&#10;axKafRuzq8b+elcQehxm5htmmve2ESfqfO1YQTpMQBBrZ2ouFXxt5y9vIHxANtg4JgUX8pDPHh+m&#10;mBl35jWdNqEUEcI+QwVVCG0mpdcVWfRD1xJH78d1FkOUXSlNh+cIt418TZKRtFhzXKiwpaIi/bs5&#10;WgWL1T79W31/6MWB941c7wbaFp9KPT/17xMQgfrwH763l0bBOIX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guxQAAANsAAAAPAAAAAAAAAAAAAAAAAJgCAABkcnMv&#10;ZG93bnJldi54bWxQSwUGAAAAAAQABAD1AAAAigMAAAAA&#10;" strokeweight=".5pt">
                  <v:textbox>
                    <w:txbxContent>
                      <w:p w:rsidR="00224467" w:rsidRDefault="00224467" w:rsidP="00524DE4">
                        <w:pPr>
                          <w:pStyle w:val="NormalWeb"/>
                          <w:spacing w:before="0" w:beforeAutospacing="0" w:after="0" w:afterAutospacing="0" w:line="276" w:lineRule="auto"/>
                        </w:pPr>
                        <w:r>
                          <w:rPr>
                            <w:rFonts w:ascii="Arial Narrow" w:hAnsi="Arial Narrow"/>
                            <w:sz w:val="18"/>
                            <w:szCs w:val="18"/>
                          </w:rPr>
                          <w:t xml:space="preserve">   NoBS</w:t>
                        </w:r>
                      </w:p>
                    </w:txbxContent>
                  </v:textbox>
                </v:shape>
                <v:shape id="Text Box 153" o:spid="_x0000_s1068" type="#_x0000_t202" style="position:absolute;left:44768;top:48575;width:4763;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mWcQA&#10;AADbAAAADwAAAGRycy9kb3ducmV2LnhtbESPT2sCMRTE7wW/Q3hCL6JZPVRZjSJisXgQ/Ht+Js/d&#10;xc3Lukl166dvCkKPw8z8hpnMGluKO9W+cKyg30tAEGtnCs4UHPaf3REIH5ANlo5JwQ95mE1bbxNM&#10;jXvwlu67kIkIYZ+igjyEKpXS65ws+p6riKN3cbXFEGWdSVPjI8JtKQdJ8iEtFhwXcqxokZO+7r6t&#10;gtX63H+uj0u9uvG5lNtTR9vFRqn3djMfgwjUhP/wq/1lFAwH8Pc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ZlnEAAAA2w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PBS</w:t>
                        </w:r>
                      </w:p>
                      <w:p w:rsidR="00224467" w:rsidRDefault="00224467" w:rsidP="00346920">
                        <w:pPr>
                          <w:pStyle w:val="NormalWeb"/>
                          <w:spacing w:before="0" w:beforeAutospacing="0" w:after="0" w:afterAutospacing="0" w:line="276" w:lineRule="auto"/>
                        </w:pPr>
                        <w:r>
                          <w:rPr>
                            <w:rFonts w:ascii="Arial Narrow" w:hAnsi="Arial Narrow"/>
                            <w:sz w:val="18"/>
                            <w:szCs w:val="18"/>
                          </w:rPr>
                          <w:t xml:space="preserve">  drugs</w:t>
                        </w:r>
                      </w:p>
                    </w:txbxContent>
                  </v:textbox>
                </v:shape>
                <v:shape id="Text Box 153" o:spid="_x0000_s1069" type="#_x0000_t202" style="position:absolute;left:50973;top:48575;width:689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wsYA&#10;AADbAAAADwAAAGRycy9kb3ducmV2LnhtbESPT2vCQBTE74LfYXlCL6KbtNBK6hpELBYPBf+05+fu&#10;axLMvo3ZrUY/fVco9DjMzG+Yad7ZWpyp9ZVjBek4AUGsnam4ULDfvY0mIHxANlg7JgVX8pDP+r0p&#10;ZsZdeEPnbShEhLDPUEEZQpNJ6XVJFv3YNcTR+3atxRBlW0jT4iXCbS0fk+RZWqw4LpTY0KIkfdz+&#10;WAWr9SG9rT+XenXiQy03X0NtFx9KPQy6+SuIQF34D/+1342Cl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TDwsYAAADbAAAADwAAAAAAAAAAAAAAAACYAgAAZHJz&#10;L2Rvd25yZXYueG1sUEsFBgAAAAAEAAQA9QAAAIsDAAAAAA==&#10;" strokeweight=".5pt">
                  <v:textbox>
                    <w:txbxContent>
                      <w:p w:rsidR="00224467" w:rsidRDefault="00224467" w:rsidP="00524DE4">
                        <w:pPr>
                          <w:pStyle w:val="NormalWeb"/>
                          <w:spacing w:before="0" w:beforeAutospacing="0" w:after="0" w:afterAutospacing="0" w:line="276" w:lineRule="auto"/>
                        </w:pPr>
                        <w:r>
                          <w:rPr>
                            <w:rFonts w:ascii="Arial Narrow" w:hAnsi="Arial Narrow"/>
                            <w:sz w:val="18"/>
                            <w:szCs w:val="18"/>
                          </w:rPr>
                          <w:t xml:space="preserve">   PBSdrugs</w:t>
                        </w:r>
                      </w:p>
                    </w:txbxContent>
                  </v:textbox>
                </v:shape>
                <v:shape id="Text Box 153" o:spid="_x0000_s1070" type="#_x0000_t202" style="position:absolute;left:656;top:16651;width:616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1btsYA&#10;AADbAAAADwAAAGRycy9kb3ducmV2LnhtbESPT2vCQBTE74LfYXlCL6KblNJK6hpELBYPBf+05+fu&#10;axLMvo3ZrUY/fVco9DjMzG+Yad7ZWpyp9ZVjBek4AUGsnam4ULDfvY0mIHxANlg7JgVX8pDP+r0p&#10;ZsZdeEPnbShEhLDPUEEZQpNJ6XVJFv3YNcTR+3atxRBlW0jT4iXCbS0fk+RZWqw4LpTY0KIkfdz+&#10;WAWr9SG9rT+XenXiQy03X0NtFx9KPQy6+SuIQF34D/+1342Cl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1btsYAAADbAAAADwAAAAAAAAAAAAAAAACYAgAAZHJz&#10;L2Rvd25yZXYueG1sUEsFBgAAAAAEAAQA9QAAAIsDA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224467" w:rsidRDefault="00224467" w:rsidP="00346920">
                        <w:pPr>
                          <w:pStyle w:val="NormalWeb"/>
                          <w:spacing w:before="0" w:beforeAutospacing="0" w:after="0" w:afterAutospacing="0" w:line="276" w:lineRule="auto"/>
                        </w:pPr>
                        <w:r>
                          <w:rPr>
                            <w:rFonts w:ascii="Arial Narrow" w:hAnsi="Arial Narrow"/>
                            <w:sz w:val="18"/>
                            <w:szCs w:val="18"/>
                          </w:rPr>
                          <w:t>of OP</w:t>
                        </w:r>
                      </w:p>
                    </w:txbxContent>
                  </v:textbox>
                </v:shape>
                <v:group id="Group 222" o:spid="_x0000_s1071" style="position:absolute;left:81690;top:13507;width:11811;height:24768" coordsize="11811,24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Text Box 123" o:spid="_x0000_s1072" type="#_x0000_t202" style="position:absolute;left:1332;width:8750;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gWsUA&#10;AADbAAAADwAAAGRycy9kb3ducmV2LnhtbESPQWvCQBSE7wX/w/IEL0U39mAlzUZEWhQPgtp6fu6+&#10;JsHs2zS7avTXdwtCj8PMfMNks87W4kKtrxwrGI8SEMTamYoLBZ/7j+EUhA/IBmvHpOBGHmZ57ynD&#10;1Lgrb+myC4WIEPYpKihDaFIpvS7Joh+5hjh63661GKJsC2lavEa4reVLkkykxYrjQokNLUrSp93Z&#10;Kliuj+P7+utdL3/4WMvt4VnbxUapQb+bv4EI1IX/8KO9MgpeJ/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2BaxQAAANsAAAAPAAAAAAAAAAAAAAAAAJgCAABkcnMv&#10;ZG93bnJldi54bWxQSwUGAAAAAAQABAD1AAAAigM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Lifestyle advice</w:t>
                          </w:r>
                        </w:p>
                        <w:p w:rsidR="00224467" w:rsidRDefault="00224467" w:rsidP="00346920">
                          <w:pPr>
                            <w:pStyle w:val="NormalWeb"/>
                            <w:spacing w:before="0" w:beforeAutospacing="0" w:after="0" w:afterAutospacing="0" w:line="276" w:lineRule="auto"/>
                          </w:pPr>
                          <w:r>
                            <w:rPr>
                              <w:rFonts w:ascii="Arial Narrow" w:hAnsi="Arial Narrow"/>
                              <w:sz w:val="18"/>
                              <w:szCs w:val="18"/>
                            </w:rPr>
                            <w:t>+/- Supplements</w:t>
                          </w:r>
                        </w:p>
                      </w:txbxContent>
                    </v:textbox>
                  </v:shape>
                  <v:shape id="Text Box 123" o:spid="_x0000_s1073" type="#_x0000_t202" style="position:absolute;top:19050;width:4762;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wcUA&#10;AADbAAAADwAAAGRycy9kb3ducmV2LnhtbESPQWvCQBSE70L/w/IKvYjZ2IOW1E0oYlE8FLSt5+fu&#10;axKafRuzW43+ercgeBxm5htmVvS2EUfqfO1YwThJQRBrZ2ouFXx9vo9eQPiAbLBxTArO5KHIHwYz&#10;zIw78YaO21CKCGGfoYIqhDaT0uuKLPrEtcTR+3GdxRBlV0rT4SnCbSOf03QiLdYcFypsaV6R/t3+&#10;WQXL9X58WX8v9PLA+0ZudkNt5x9KPT32b68gAvXhHr61V0bBdAr/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8XBxQAAANsAAAAPAAAAAAAAAAAAAAAAAJgCAABkcnMv&#10;ZG93bnJldi54bWxQSwUGAAAAAAQABAD1AAAAigM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Risk of</w:t>
                          </w:r>
                        </w:p>
                        <w:p w:rsidR="00224467" w:rsidRDefault="00224467" w:rsidP="00346920">
                          <w:pPr>
                            <w:pStyle w:val="NormalWeb"/>
                            <w:spacing w:before="0" w:beforeAutospacing="0" w:after="200" w:afterAutospacing="0" w:line="276" w:lineRule="auto"/>
                          </w:pPr>
                          <w:r>
                            <w:rPr>
                              <w:rFonts w:ascii="Arial Narrow" w:hAnsi="Arial Narrow"/>
                              <w:sz w:val="18"/>
                              <w:szCs w:val="18"/>
                            </w:rPr>
                            <w:t>MTF</w:t>
                          </w:r>
                        </w:p>
                      </w:txbxContent>
                    </v:textbox>
                  </v:shape>
                  <v:shape id="Text Box 123" o:spid="_x0000_s1074" type="#_x0000_t202" style="position:absolute;left:7048;top:10287;width:351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BRs8MA&#10;AADbAAAADwAAAGRycy9kb3ducmV2LnhtbERPy2rCQBTdF/yH4QpuSjPRhZbUUYpUFBcF7WN9M3Ob&#10;hGbupJkxiX59ZyG4PJz3cj3YWnTU+sqxgmmSgiDWzlRcKPj82D49g/AB2WDtmBRcyMN6NXpYYmZc&#10;z0fqTqEQMYR9hgrKEJpMSq9LsugT1xBH7se1FkOEbSFNi30Mt7WcpelcWqw4NpTY0KYk/Xs6WwW7&#10;Qz69Hr7e9O6P81oevx+13bwrNRkPry8gAg3hLr6590bBIo6N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BRs8MAAADbAAAADwAAAAAAAAAAAAAAAACYAgAAZHJzL2Rv&#10;d25yZXYueG1sUEsFBgAAAAAEAAQA9QAAAIgDA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075" type="#_x0000_t202" style="position:absolute;left:1206;top:10287;width:309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0KMYA&#10;AADbAAAADwAAAGRycy9kb3ducmV2LnhtbESPT2vCQBTE74LfYXlCL6Kb9NDW1DWIWCweCv5pz8/d&#10;1ySYfRuzW41++q5Q6HGYmd8w07yztThT6yvHCtJxAoJYO1NxoWC/exu9gPAB2WDtmBRcyUM+6/em&#10;mBl34Q2dt6EQEcI+QwVlCE0mpdclWfRj1xBH79u1FkOUbSFNi5cIt7V8TJInabHiuFBiQ4uS9HH7&#10;YxWs1of0tv5c6tWJD7XcfA21XXwo9TDo5q8gAnXhP/zXfjcKnidw/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z0KMYAAADbAAAADwAAAAAAAAAAAAAAAACYAgAAZHJz&#10;L2Rvd25yZXYueG1sUEsFBgAAAAAEAAQA9QAAAIsDA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N</w:t>
                          </w:r>
                          <w:r w:rsidR="006A45F1">
                            <w:rPr>
                              <w:rFonts w:ascii="Arial Narrow" w:hAnsi="Arial Narrow"/>
                              <w:sz w:val="18"/>
                              <w:szCs w:val="18"/>
                            </w:rPr>
                            <w:t>o</w:t>
                          </w:r>
                        </w:p>
                      </w:txbxContent>
                    </v:textbox>
                  </v:shape>
                  <v:shape id="Text Box 123" o:spid="_x0000_s1076" type="#_x0000_t202" style="position:absolute;left:7048;top:19050;width:4763;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tksEA&#10;AADbAAAADwAAAGRycy9kb3ducmV2LnhtbERPy4rCMBTdC/MP4Q7MRjR1FiIdo4goDi4EX7O+Ta5t&#10;sbmpTdSOX28WgsvDeY+nra3EjRpfOlYw6CcgiLUzJecKDvtlbwTCB2SDlWNS8E8eppOPzhhT4+68&#10;pdsu5CKGsE9RQRFCnUrpdUEWfd/VxJE7ucZiiLDJpWnwHsNtJb+TZCgtlhwbCqxpXpA+765WwWqd&#10;DR7r40KvLpxVcvvX1Xa+Uerrs539gAjUhrf45f41CkZxffwSf4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jLZLBAAAA2wAAAA8AAAAAAAAAAAAAAAAAmAIAAGRycy9kb3du&#10;cmV2LnhtbFBLBQYAAAAABAAEAPUAAACGAw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Risk of</w:t>
                          </w:r>
                        </w:p>
                        <w:p w:rsidR="00224467" w:rsidRDefault="00224467" w:rsidP="00346920">
                          <w:pPr>
                            <w:pStyle w:val="NormalWeb"/>
                            <w:spacing w:before="0" w:beforeAutospacing="0" w:after="200" w:afterAutospacing="0" w:line="276" w:lineRule="auto"/>
                          </w:pPr>
                          <w:r>
                            <w:rPr>
                              <w:rFonts w:ascii="Arial Narrow" w:hAnsi="Arial Narrow"/>
                              <w:sz w:val="18"/>
                              <w:szCs w:val="18"/>
                            </w:rPr>
                            <w:t>MTF</w:t>
                          </w:r>
                        </w:p>
                      </w:txbxContent>
                    </v:textbox>
                  </v:shape>
                </v:group>
                <v:shape id="Straight Arrow Connector 299" o:spid="_x0000_s1077" type="#_x0000_t32" style="position:absolute;left:16547;top:9907;width:0;height:1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dFcQAAADbAAAADwAAAGRycy9kb3ducmV2LnhtbESPT2vCQBTE7wW/w/IEL0U3SalKdBUR&#10;ags9+Qe8PrIv2WD2bchuY/z2bqHQ4zAzv2HW28E2oqfO144VpLMEBHHhdM2Vgsv5Y7oE4QOyxsYx&#10;KXiQh+1m9LLGXLs7H6k/hUpECPscFZgQ2lxKXxiy6GeuJY5e6TqLIcqukrrDe4TbRmZJMpcWa44L&#10;BlvaGypupx+roMw0pa+3q/lcvGO5/37L+r45KDUZD7sViEBD+A//tb+0gmU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Kd0VxAAAANsAAAAPAAAAAAAAAAAA&#10;AAAAAKECAABkcnMvZG93bnJldi54bWxQSwUGAAAAAAQABAD5AAAAkgMAAAAA&#10;">
                  <v:stroke endarrow="open"/>
                </v:shape>
                <v:shape id="Straight Arrow Connector 300" o:spid="_x0000_s1078" type="#_x0000_t32" style="position:absolute;left:22773;top:9907;width:32;height:67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IYBcUAAADbAAAADwAAAGRycy9kb3ducmV2LnhtbESPQWvCQBSE7wX/w/IKXorZaEFC6ipF&#10;EEQKou3F2yP7kg3Nvo3ZNcb++q4geBxm5htmsRpsI3rqfO1YwTRJQRAXTtdcKfj53kwyED4ga2wc&#10;k4IbeVgtRy8LzLW78oH6Y6hEhLDPUYEJoc2l9IUhiz5xLXH0StdZDFF2ldQdXiPcNnKWpnNpsea4&#10;YLCltaHi93ixCt4Op7oqy8vXzb//7bN0tz+boldq/Dp8foAINIRn+NHeagXZDO5f4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IYBcUAAADbAAAADwAAAAAAAAAA&#10;AAAAAAChAgAAZHJzL2Rvd25yZXYueG1sUEsFBgAAAAAEAAQA+QAAAJMDAAAAAA==&#10;">
                  <v:stroke endarrow="open"/>
                </v:shape>
                <v:shape id="Straight Arrow Connector 302" o:spid="_x0000_s1079" type="#_x0000_t32" style="position:absolute;left:31706;top:9907;width:0;height:116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fm+cQAAADbAAAADwAAAGRycy9kb3ducmV2LnhtbESPQWvCQBSE70L/w/IKvUjdGNFKmlWK&#10;0FbwZFro9ZF9yYZk34bsNqb/visIHoeZ+YbJ95PtxEiDbxwrWC4SEMSl0w3XCr6/3p+3IHxA1tg5&#10;JgV/5GG/e5jlmGl34TONRahFhLDPUIEJoc+k9KUhi37heuLoVW6wGKIcaqkHvES47WSaJBtpseG4&#10;YLCng6GyLX6tgirVtJy3P+bzZY3V4bRKx7H7UOrpcXp7BRFoCvfwrX3UCrYruH6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b5xAAAANsAAAAPAAAAAAAAAAAA&#10;AAAAAKECAABkcnMvZG93bnJldi54bWxQSwUGAAAAAAQABAD5AAAAkgMAAAAA&#10;">
                  <v:stroke endarrow="open"/>
                </v:shape>
                <v:shapetype id="_x0000_t33" coordsize="21600,21600" o:spt="33" o:oned="t" path="m,l21600,r,21600e" filled="f">
                  <v:stroke joinstyle="miter"/>
                  <v:path arrowok="t" fillok="f" o:connecttype="none"/>
                  <o:lock v:ext="edit" shapetype="t"/>
                </v:shapetype>
                <v:shape id="Elbow Connector 303" o:spid="_x0000_s1080" type="#_x0000_t33" style="position:absolute;left:4263;top:8668;width:8033;height:79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halsQAAADbAAAADwAAAGRycy9kb3ducmV2LnhtbESPQWsCMRSE74L/ITzBi9SsUmTZGkXE&#10;tYWetO39dfO62XbzsiTR3f77RhB6HGbmG2a9HWwrruRD41jBYp6BIK6cbrhW8P5WPuQgQkTW2Dom&#10;Bb8UYLsZj9ZYaNfzia7nWIsE4VCgAhNjV0gZKkMWw9x1xMn7ct5iTNLXUnvsE9y2cpllK2mx4bRg&#10;sKO9oernfLEKymN//PYfpqTny/LQfS5eZ0PulZpOht0TiEhD/A/f2y9aQf4Ity/p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aFqWxAAAANsAAAAPAAAAAAAAAAAA&#10;AAAAAKECAABkcnMvZG93bnJldi54bWxQSwUGAAAAAAQABAD5AAAAkgMAAAAA&#10;">
                  <v:stroke endarrow="open"/>
                </v:shape>
                <v:shape id="Straight Arrow Connector 304" o:spid="_x0000_s1081" type="#_x0000_t32" style="position:absolute;left:4263;top:20842;width:35;height:28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bFsQAAADbAAAADwAAAGRycy9kb3ducmV2LnhtbESPQWvCQBSE70L/w/IKvUjdmKKVNKsU&#10;oVXwZFro9ZF9yYZk34bsNqb/3i0IHoeZ+YbJd5PtxEiDbxwrWC4SEMSl0w3XCr6/Pp43IHxA1tg5&#10;JgV/5GG3fZjlmGl34TONRahFhLDPUIEJoc+k9KUhi37heuLoVW6wGKIcaqkHvES47WSaJGtpseG4&#10;YLCnvaGyLX6tgirVtJy3P+bwusJqf3pJx7H7VOrpcXp/AxFoCvfwrX3UCjYr+P8Sf4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EtsWxAAAANsAAAAPAAAAAAAAAAAA&#10;AAAAAKECAABkcnMvZG93bnJldi54bWxQSwUGAAAAAAQABAD5AAAAkgMAAAAA&#10;">
                  <v:stroke endarrow="open"/>
                </v:shape>
                <v:shape id="Straight Arrow Connector 305" o:spid="_x0000_s1082" type="#_x0000_t32" style="position:absolute;left:16001;top:15878;width:0;height:13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BFYcQAAADbAAAADwAAAGRycy9kb3ducmV2LnhtbESPS2vDMBCE74H8B7GFXEItxyUPXCsh&#10;BJoWcsoDel2stWVirYylOu6/rwqFHoeZ+YYpdqNtxUC9bxwrWCQpCOLS6YZrBbfr2/MGhA/IGlvH&#10;pOCbPOy200mBuXYPPtNwCbWIEPY5KjAhdLmUvjRk0SeuI45e5XqLIcq+lrrHR4TbVmZpupIWG44L&#10;Bjs6GCrvly+roMo0Leb3T/O+XmJ1OL1kw9AelZo9jftXEIHG8B/+a39oBZsV/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wEVhxAAAANsAAAAPAAAAAAAAAAAA&#10;AAAAAKECAABkcnMvZG93bnJldi54bWxQSwUGAAAAAAQABAD5AAAAkgMAAAAA&#10;">
                  <v:stroke endarrow="open"/>
                </v:shape>
                <v:shape id="Straight Arrow Connector 306" o:spid="_x0000_s1083" type="#_x0000_t32" style="position:absolute;left:22963;top:20842;width:0;height:8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g+sQAAADbAAAADwAAAGRycy9kb3ducmV2LnhtbESPS2vDMBCE74H8B7GFXEItxyUPXCsh&#10;BJoWcsoDel2stWVirYylOu6/rwqFHoeZ+YYpdqNtxUC9bxwrWCQpCOLS6YZrBbfr2/MGhA/IGlvH&#10;pOCbPOy200mBuXYPPtNwCbWIEPY5KjAhdLmUvjRk0SeuI45e5XqLIcq+lrrHR4TbVmZpupIWG44L&#10;Bjs6GCrvly+roMo0Leb3T/O+XmJ1OL1kw9AelZo9jftXEIHG8B/+a39oBZs1/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OD6xAAAANsAAAAPAAAAAAAAAAAA&#10;AAAAAKECAABkcnMvZG93bnJldi54bWxQSwUGAAAAAAQABAD5AAAAkgMAAAAA&#10;">
                  <v:stroke endarrow="open"/>
                </v:shape>
                <v:shape id="Straight Arrow Connector 307" o:spid="_x0000_s1084" type="#_x0000_t32" style="position:absolute;left:30961;top:25710;width:3;height:3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0iMEAAADbAAAADwAAAGRycy9kb3ducmV2LnhtbERPz2vCMBS+C/sfwhvsIpq2wymdsYzC&#10;puBpbrDro3ltis1LabK2++/NYeDx4/u9L2bbiZEG3zpWkK4TEMSV0y03Cr6/3lc7ED4ga+wck4I/&#10;8lAcHhZ7zLWb+JPGS2hEDGGfowITQp9L6StDFv3a9cSRq91gMUQ4NFIPOMVw28ksSV6kxZZjg8Ge&#10;SkPV9fJrFdSZpnR5/THH7Qbr8vycjWP3odTT4/z2CiLQHO7if/dJK9jFsfFL/AHy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E3SIwQAAANsAAAAPAAAAAAAAAAAAAAAA&#10;AKECAABkcnMvZG93bnJldi54bWxQSwUGAAAAAAQABAD5AAAAjwMAAAAA&#10;">
                  <v:stroke endarrow="open"/>
                </v:shape>
                <v:shape id="Straight Arrow Connector 308" o:spid="_x0000_s1085" type="#_x0000_t32" style="position:absolute;left:16344;top:39348;width:35;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RE8QAAADbAAAADwAAAGRycy9kb3ducmV2LnhtbESPQWvCQBSE70L/w/IKvZS6MaXWpm5E&#10;hFrBk1ro9ZF9yYZk34bsGuO/7xYEj8PMfMMsV6NtxUC9rx0rmE0TEMSF0zVXCn5OXy8LED4ga2wd&#10;k4IreVjlD5MlZtpd+EDDMVQiQthnqMCE0GVS+sKQRT91HXH0StdbDFH2ldQ9XiLctjJNkrm0WHNc&#10;MNjRxlDRHM9WQZlqmj03v+b7/Q3Lzf41HYZ2q9TT47j+BBFoDPfwrb3TChYf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9ETxAAAANsAAAAPAAAAAAAAAAAA&#10;AAAAAKECAABkcnMvZG93bnJldi54bWxQSwUGAAAAAAQABAD5AAAAkgMAAAAA&#10;">
                  <v:stroke endarrow="open"/>
                </v:shape>
                <v:shape id="Straight Arrow Connector 309" o:spid="_x0000_s1086" type="#_x0000_t32" style="position:absolute;left:24011;top:39351;width:4;height:26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W1NMMAAADbAAAADwAAAGRycy9kb3ducmV2LnhtbERPz2vCMBS+D/wfwhN2GZpug1GrUWQw&#10;GGNQrF68PZrXpti81CbWdn/9chjs+PH93uxG24qBet84VvC8TEAQl043XCs4HT8WKQgfkDW2jknB&#10;RB5229nDBjPt7nygoQi1iCHsM1RgQugyKX1pyKJfuo44cpXrLYYI+1rqHu8x3LbyJUnepMWGY4PB&#10;jt4NlZfiZhU8Hc5NXVW378m//uRp8pVfTTko9Tgf92sQgcbwL/5zf2oFq7g+fo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VtTTDAAAA2wAAAA8AAAAAAAAAAAAA&#10;AAAAoQIAAGRycy9kb3ducmV2LnhtbFBLBQYAAAAABAAEAPkAAACRAwAAAAA=&#10;">
                  <v:stroke endarrow="open"/>
                </v:shape>
                <v:shape id="Straight Arrow Connector 310" o:spid="_x0000_s1087" type="#_x0000_t32" style="position:absolute;left:30963;top:39348;width:1;height:27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kQr8UAAADbAAAADwAAAGRycy9kb3ducmV2LnhtbESPQWvCQBSE70L/w/IKXkQ3WhCNrlIE&#10;QaQg2l68PbIv2dDs25hdY/TXdwuCx2FmvmGW685WoqXGl44VjEcJCOLM6ZILBT/f2+EMhA/IGivH&#10;pOBOHtart94SU+1ufKT2FAoRIexTVGBCqFMpfWbIoh+5mjh6uWsshiibQuoGbxFuKzlJkqm0WHJc&#10;MFjTxlD2e7paBYPjuSzy/Pp19x+PwyzZHy4ma5Xqv3efCxCBuvAKP9s7rWA+hv8v8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kQr8UAAADbAAAADwAAAAAAAAAA&#10;AAAAAAChAgAAZHJzL2Rvd25yZXYueG1sUEsFBgAAAAAEAAQA+QAAAJMDAAAAAA==&#10;">
                  <v:stroke endarrow="open"/>
                </v:shape>
                <v:shape id="Straight Arrow Connector 311" o:spid="_x0000_s1088" type="#_x0000_t32" style="position:absolute;left:16379;top:46096;width:33;height:2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LVv8QAAADbAAAADwAAAGRycy9kb3ducmV2LnhtbESPQWvCQBSE7wX/w/IEL6VujLTW6CaI&#10;YFvwVC30+si+ZIPZtyG7xvTfu4VCj8PMfMNsi9G2YqDeN44VLOYJCOLS6YZrBV/nw9MrCB+QNbaO&#10;ScEPeSjyycMWM+1u/EnDKdQiQthnqMCE0GVS+tKQRT93HXH0KtdbDFH2tdQ93iLctjJNkhdpseG4&#10;YLCjvaHycrpaBVWqafF4+Tbvq2es9sdlOgztm1Kz6bjbgAg0hv/wX/tDK1i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ItW/xAAAANsAAAAPAAAAAAAAAAAA&#10;AAAAAKECAABkcnMvZG93bnJldi54bWxQSwUGAAAAAAQABAD5AAAAkgMAAAAA&#10;">
                  <v:stroke endarrow="open"/>
                </v:shape>
                <v:shape id="Straight Arrow Connector 312" o:spid="_x0000_s1089" type="#_x0000_t32" style="position:absolute;left:24014;top:46181;width:35;height:23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crQ8YAAADbAAAADwAAAGRycy9kb3ducmV2LnhtbESPT2vCQBTE7wW/w/KEXopuWqFodBOk&#10;UCilIP65eHtkX7LB7Ns0u8bYT+8KBY/DzPyGWeWDbURPna8dK3idJiCIC6drrhQc9p+TOQgfkDU2&#10;jknBlTzk2ehphal2F95SvwuViBD2KSowIbSplL4wZNFPXUscvdJ1FkOUXSV1h5cIt418S5J3abHm&#10;uGCwpQ9DxWl3tgpetse6Ksvzz9XP/jbz5Hvza4peqefxsF6CCDSER/i//aUVLG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HK0PGAAAA2wAAAA8AAAAAAAAA&#10;AAAAAAAAoQIAAGRycy9kb3ducmV2LnhtbFBLBQYAAAAABAAEAPkAAACUAwAAAAA=&#10;">
                  <v:stroke endarrow="open"/>
                </v:shape>
                <v:shape id="Straight Arrow Connector 313" o:spid="_x0000_s1090" type="#_x0000_t32" style="position:absolute;left:30999;top:46181;width:3;height:2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oUMQAAADbAAAADwAAAGRycy9kb3ducmV2LnhtbESPQWvCQBSE70L/w/KEXkrdmGrV6CpF&#10;aBU8mRa8PrIv2WD2bchuY/rvu4WCx2FmvmE2u8E2oqfO144VTCcJCOLC6ZorBV+f789LED4ga2wc&#10;k4If8rDbPow2mGl34zP1eahEhLDPUIEJoc2k9IUhi37iWuLola6zGKLsKqk7vEW4bWSaJK/SYs1x&#10;wWBLe0PFNf+2CspU0/TpejGHxRzL/ekl7fvmQ6nH8fC2BhFoCPfwf/uoFax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hQxAAAANsAAAAPAAAAAAAAAAAA&#10;AAAAAKECAABkcnMvZG93bnJldi54bWxQSwUGAAAAAAQABAD5AAAAkgMAAAAA&#10;">
                  <v:stroke endarrow="open"/>
                </v:shape>
                <v:shape id="Straight Arrow Connector 314" o:spid="_x0000_s1091" type="#_x0000_t32" style="position:absolute;left:8216;top:54489;width:227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IWrMYAAADbAAAADwAAAGRycy9kb3ducmV2LnhtbESPQWvCQBSE70L/w/IKXqRubLHY1E0o&#10;QkGKINpeentkX7Kh2bdpdo3RX+8KgsdhZr5hlvlgG9FT52vHCmbTBARx4XTNlYKf78+nBQgfkDU2&#10;jknBiTzk2cNoial2R95Rvw+ViBD2KSowIbSplL4wZNFPXUscvdJ1FkOUXSV1h8cIt418TpJXabHm&#10;uGCwpZWh4m9/sAomu9+6KsvD5uRfzttF8rX9N0Wv1Phx+HgHEWgI9/CtvdYK3uZ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iFqzGAAAA2wAAAA8AAAAAAAAA&#10;AAAAAAAAoQIAAGRycy9kb3ducmV2LnhtbFBLBQYAAAAABAAEAPkAAACUAwAAAAA=&#10;">
                  <v:stroke endarrow="open"/>
                </v:shape>
                <v:line id="Straight Connector 315" o:spid="_x0000_s1092" style="position:absolute;visibility:visible;mso-wrap-style:square" from="30961,52767" to="30961,5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Straight Connector 316" o:spid="_x0000_s1093" style="position:absolute;visibility:visible;mso-wrap-style:square" from="24010,52767" to="24010,5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shape id="Elbow Connector 317" o:spid="_x0000_s1094" type="#_x0000_t33" style="position:absolute;left:41995;top:8668;width:6401;height:293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TsAAAADbAAAADwAAAGRycy9kb3ducmV2LnhtbERPu27CMBTdK/UfrFuJpQIHhgoCBqGq&#10;AaRO5bFf4ksciK8j25Dw9/VQqePReS9WvW3Eg3yoHSsYjzIQxKXTNVcKjodiOAURIrLGxjEpeFKA&#10;1fL1ZYG5dh3/0GMfK5FCOOSowMTY5lKG0pDFMHItceIuzluMCfpKao9dCreNnGTZh7RYc2ow2NKn&#10;ofK2v1sFxabbXP3JFLS9T77a8/j7vZ96pQZv/XoOIlIf/8V/7p1WMEtj05f0A+T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8xk7AAAAA2wAAAA8AAAAAAAAAAAAAAAAA&#10;oQIAAGRycy9kb3ducmV2LnhtbFBLBQYAAAAABAAEAPkAAACOAwAAAAA=&#10;">
                  <v:stroke endarrow="open"/>
                </v:shape>
                <v:shape id="Elbow Connector 318" o:spid="_x0000_s1095" type="#_x0000_t33" style="position:absolute;left:60397;top:8668;width:3992;height:798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WMMsQAAADbAAAADwAAAGRycy9kb3ducmV2LnhtbESPQWvCQBSE74L/YXmCN93oIdXoGmoh&#10;ILSI2h56fGSfSZrs27C71fTfu4VCj8PMfMNs88F04kbON5YVLOYJCOLS6oYrBR/vxWwFwgdkjZ1l&#10;UvBDHvLdeLTFTNs7n+l2CZWIEPYZKqhD6DMpfVmTQT+3PXH0rtYZDFG6SmqH9wg3nVwmSSoNNhwX&#10;auzppaayvXwbBW/79LMsjvr1q2uLwp+W6ZM7o1LTyfC8ARFoCP/hv/ZBK1iv4fdL/AFy9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YwyxAAAANsAAAAPAAAAAAAAAAAA&#10;AAAAAKECAABkcnMvZG93bnJldi54bWxQSwUGAAAAAAQABAD5AAAAkgMAAAAA&#10;">
                  <v:stroke endarrow="open"/>
                </v:shape>
                <v:shape id="Straight Arrow Connector 319" o:spid="_x0000_s1096" type="#_x0000_t32" style="position:absolute;left:48838;top:9907;width:0;height:6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hTQ8UAAADcAAAADwAAAGRycy9kb3ducmV2LnhtbESPQWvCQBCF70L/wzKFXkQ3ptiW1FWK&#10;0Cp40ha8DtlJNpidDdltTP+9cyh4m+G9ee+b1Wb0rRqoj01gA4t5Boq4DLbh2sDP9+fsDVRMyBbb&#10;wGTgjyJs1g+TFRY2XPlIwynVSkI4FmjApdQVWsfSkcc4Dx2xaFXoPSZZ+1rbHq8S7ludZ9mL9tiw&#10;NDjsaOuovJx+vYEqt7SYXs5u97rEant4zoeh/TLm6XH8eAeVaEx38//13gp+Jvj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hTQ8UAAADcAAAADwAAAAAAAAAA&#10;AAAAAAChAgAAZHJzL2Rvd25yZXYueG1sUEsFBgAAAAAEAAQA+QAAAJMDAAAAAA==&#10;">
                  <v:stroke endarrow="open"/>
                </v:shape>
                <v:shape id="Straight Arrow Connector 320" o:spid="_x0000_s1097" type="#_x0000_t32" style="position:absolute;left:56756;top:9907;width:0;height:1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T22MIAAADcAAAADwAAAGRycy9kb3ducmV2LnhtbERPTWvCQBC9C/0Pywi9iG6S0ioxqxTB&#10;ttBTVfA6ZCfZkOxsyK4x/ffdQqG3ebzPKfaT7cRIg28cK0hXCQji0umGawWX83G5AeEDssbOMSn4&#10;Jg/73cOswFy7O3/ReAq1iCHsc1RgQuhzKX1pyKJfuZ44cpUbLIYIh1rqAe8x3HYyS5IXabHh2GCw&#10;p4Ohsj3drIIq05Qu2qt5Xz9jdfh8ysaxe1PqcT69bkEEmsK/+M/9oeP8JIX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T22MIAAADcAAAADwAAAAAAAAAAAAAA&#10;AAChAgAAZHJzL2Rvd25yZXYueG1sUEsFBgAAAAAEAAQA+QAAAJADAAAAAA==&#10;">
                  <v:stroke endarrow="open"/>
                </v:shape>
                <v:shape id="Straight Arrow Connector 321" o:spid="_x0000_s1098" type="#_x0000_t32" style="position:absolute;left:51720;top:9907;width:96;height:116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Zor8IAAADcAAAADwAAAGRycy9kb3ducmV2LnhtbERPTWvCQBC9F/oflhF6Kbox0irRVYpg&#10;FXpqWvA6ZCfZYHY2ZNcY/70rCN7m8T5ntRlsI3rqfO1YwXSSgCAunK65UvD/txsvQPiArLFxTAqu&#10;5GGzfn1ZYabdhX+pz0MlYgj7DBWYENpMSl8YsugnriWOXOk6iyHCrpK6w0sMt41Mk+RTWqw5Nhhs&#10;aWuoOOVnq6BMNU3fT0ezn39guf2ZpX3ffCv1Nhq+liACDeEpfrgPOs5PUrg/Ey+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Zor8IAAADcAAAADwAAAAAAAAAAAAAA&#10;AAChAgAAZHJzL2Rvd25yZXYueG1sUEsFBgAAAAAEAAQA+QAAAJADAAAAAA==&#10;">
                  <v:stroke endarrow="open"/>
                </v:shape>
                <v:shape id="Straight Arrow Connector 322" o:spid="_x0000_s1099" type="#_x0000_t32" style="position:absolute;left:40386;top:15878;width:93;height:13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NNMIAAADcAAAADwAAAGRycy9kb3ducmV2LnhtbERPTWvCQBC9F/oflil4KXVjRFtSNyKC&#10;VvCkFnodspNsSHY2ZNcY/31XKPQ2j/c5q/VoWzFQ72vHCmbTBARx4XTNlYLvy+7tA4QPyBpbx6Tg&#10;Th7W+fPTCjPtbnyi4RwqEUPYZ6jAhNBlUvrCkEU/dR1x5ErXWwwR9pXUPd5iuG1lmiRLabHm2GCw&#10;o62hojlfrYIy1TR7bX7M1/sCy+1xng5Du1dq8jJuPkEEGsO/+M990HF+MofHM/EC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rNNMIAAADcAAAADwAAAAAAAAAAAAAA&#10;AAChAgAAZHJzL2Rvd25yZXYueG1sUEsFBgAAAAAEAAQA+QAAAJADAAAAAA==&#10;">
                  <v:stroke endarrow="open"/>
                </v:shape>
                <v:shape id="Straight Arrow Connector 323" o:spid="_x0000_s1100" type="#_x0000_t32" style="position:absolute;left:46577;top:20842;width:0;height:8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VQMMAAADcAAAADwAAAGRycy9kb3ducmV2LnhtbERPTWvCQBC9F/wPywheSt0YWysxq4hg&#10;W/BULfQ6ZCfZkOxsyK4x/fduodDbPN7n5LvRtmKg3teOFSzmCQjiwumaKwVfl+PTGoQPyBpbx6Tg&#10;hzzstpOHHDPtbvxJwzlUIoawz1CBCaHLpPSFIYt+7jriyJWutxgi7Cupe7zFcNvKNElW0mLNscFg&#10;RwdDRXO+WgVlqmnx2Hyb99cXLA+nZToM7ZtSs+m434AINIZ/8Z/7Q8f5yTP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TVUDDAAAA3AAAAA8AAAAAAAAAAAAA&#10;AAAAoQIAAGRycy9kb3ducmV2LnhtbFBLBQYAAAAABAAEAPkAAACRAwAAAAA=&#10;">
                  <v:stroke endarrow="open"/>
                </v:shape>
                <v:shape id="Straight Arrow Connector 324" o:spid="_x0000_s1101" type="#_x0000_t32" style="position:absolute;left:53042;top:25710;width:0;height:3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1urMIAAADcAAAADwAAAGRycy9kb3ducmV2LnhtbERPS4vCMBC+L+x/CCN4WTS1srpUoyzC&#10;qrAnH7DXoZk2xWZSmmyt/94Igrf5+J6zXPe2Fh21vnKsYDJOQBDnTldcKjiffkZfIHxA1lg7JgU3&#10;8rBevb8tMdPuygfqjqEUMYR9hgpMCE0mpc8NWfRj1xBHrnCtxRBhW0rd4jWG21qmSTKTFiuODQYb&#10;2hjKL8d/q6BINU0+Ln9mN//EYvM7Tbuu3io1HPTfCxCB+vASP917HecnM3g8Ey+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1urMIAAADcAAAADwAAAAAAAAAAAAAA&#10;AAChAgAAZHJzL2Rvd25yZXYueG1sUEsFBgAAAAAEAAQA+QAAAJADAAAAAA==&#10;">
                  <v:stroke endarrow="open"/>
                </v:shape>
                <v:shape id="Straight Arrow Connector 325" o:spid="_x0000_s1102" type="#_x0000_t32" style="position:absolute;left:58959;top:15878;width:96;height:13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N8IAAADcAAAADwAAAGRycy9kb3ducmV2LnhtbERPTWvCQBC9C/6HZQq9iG5MsZY0q4hg&#10;W/BkKvQ6ZCfZkOxsyK4x/ffdQqG3ebzPyfeT7cRIg28cK1ivEhDEpdMN1wqun6flCwgfkDV2jknB&#10;N3nY7+azHDPt7nyhsQi1iCHsM1RgQugzKX1pyKJfuZ44cpUbLIYIh1rqAe8x3HYyTZJnabHh2GCw&#10;p6Ohsi1uVkGValov2i/zvt1gdTw/pePYvSn1+DAdXkEEmsK/+M/9oeP8ZAu/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LN8IAAADcAAAADwAAAAAAAAAAAAAA&#10;AAChAgAAZHJzL2Rvd25yZXYueG1sUEsFBgAAAAAEAAQA+QAAAJADAAAAAA==&#10;">
                  <v:stroke endarrow="open"/>
                </v:shape>
                <v:shape id="Straight Arrow Connector 326" o:spid="_x0000_s1103" type="#_x0000_t32" style="position:absolute;left:64387;top:20842;width:76;height:28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fRcUAAADcAAAADwAAAGRycy9kb3ducmV2LnhtbESPQWvCQBCF70L/wzKFXkQ3ptiW1FWK&#10;0Cp40ha8DtlJNpidDdltTP+9cyh4m+G9ee+b1Wb0rRqoj01gA4t5Boq4DLbh2sDP9+fsDVRMyBbb&#10;wGTgjyJs1g+TFRY2XPlIwynVSkI4FmjApdQVWsfSkcc4Dx2xaFXoPSZZ+1rbHq8S7ludZ9mL9tiw&#10;NDjsaOuovJx+vYEqt7SYXs5u97rEant4zoeh/TLm6XH8eAeVaEx38//13gp+JrT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5fRcUAAADcAAAADwAAAAAAAAAA&#10;AAAAAAChAgAAZHJzL2Rvd25yZXYueG1sUEsFBgAAAAAEAAQA+QAAAJMDAAAAAA==&#10;">
                  <v:stroke endarrow="open"/>
                </v:shape>
                <v:shape id="Elbow Connector 327" o:spid="_x0000_s1104" type="#_x0000_t33" style="position:absolute;left:49619;top:43391;width:1751;height:2044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n+sIAAADcAAAADwAAAGRycy9kb3ducmV2LnhtbERPyWrDMBC9F/oPYgK91XJySGvHcgiF&#10;0l5ysLOcB2m8JNbIWGri/n1VKPQ2j7dOsZ3tIG40+d6xgmWSgiDWzvTcKjge3p9fQfiAbHBwTAq+&#10;ycO2fHwoMDfuzhXd6tCKGMI+RwVdCGMupdcdWfSJG4kj17jJYohwaqWZ8B7D7SBXabqWFnuODR2O&#10;9NaRvtZfVsFp35rzyz6rmtUhu7D80Os5aKWeFvNuAyLQHP7Ff+5PE+enGfw+Ey+Q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Yn+sIAAADcAAAADwAAAAAAAAAAAAAA&#10;AAChAgAAZHJzL2Rvd25yZXYueG1sUEsFBgAAAAAEAAQA+QAAAJADAAAAAA==&#10;">
                  <v:stroke endarrow="open"/>
                </v:shape>
                <v:line id="Straight Connector 328" o:spid="_x0000_s1105" style="position:absolute;visibility:visible;mso-wrap-style:square" from="84486,21518" to="90487,2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shape id="Straight Arrow Connector 329" o:spid="_x0000_s1106" type="#_x0000_t32" style="position:absolute;left:84484;top:21518;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1gBcIAAADcAAAADwAAAGRycy9kb3ducmV2LnhtbERPTWvCQBC9C/0Pywi9iG6S0ioxqxTB&#10;ttBTVfA6ZCfZkOxsyK4x/ffdQqG3ebzPKfaT7cRIg28cK0hXCQji0umGawWX83G5AeEDssbOMSn4&#10;Jg/73cOswFy7O3/ReAq1iCHsc1RgQuhzKX1pyKJfuZ44cpUbLIYIh1rqAe8x3HYyS5IXabHh2GCw&#10;p4Ohsj3drIIq05Qu2qt5Xz9jdfh8ysaxe1PqcT69bkEEmsK/+M/9oeP8NIX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1gBcIAAADcAAAADwAAAAAAAAAAAAAA&#10;AAChAgAAZHJzL2Rvd25yZXYueG1sUEsFBgAAAAAEAAQA+QAAAJADAAAAAA==&#10;">
                  <v:stroke endarrow="open"/>
                </v:shape>
                <v:shape id="Straight Arrow Connector 330" o:spid="_x0000_s1107" type="#_x0000_t32" style="position:absolute;left:90485;top:21518;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sIAAADcAAAADwAAAGRycy9kb3ducmV2LnhtbERPTWvCQBC9F/wPyxS8lLpJRFtSVxGh&#10;KnjSFnodspNsMDsbstsY/70rCN7m8T5nsRpsI3rqfO1YQTpJQBAXTtdcKfj9+X7/BOEDssbGMSm4&#10;kofVcvSywFy7Cx+pP4VKxBD2OSowIbS5lL4wZNFPXEscudJ1FkOEXSV1h5cYbhuZJclcWqw5Nhhs&#10;aWOoOJ/+rYIy05S+nf/M7mOG5eYwzfq+2So1fh3WXyACDeEpfrj3Os5PM7g/Ey+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csIAAADcAAAADwAAAAAAAAAAAAAA&#10;AAChAgAAZHJzL2Rvd25yZXYueG1sUEsFBgAAAAAEAAQA+QAAAJADAAAAAA==&#10;">
                  <v:stroke endarrow="open"/>
                </v:shape>
                <v:line id="Straight Connector 331" o:spid="_x0000_s1108" style="position:absolute;visibility:visible;mso-wrap-style:square" from="87397,17604" to="87448,2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shape id="Straight Arrow Connector 332" o:spid="_x0000_s1109" type="#_x0000_t32" style="position:absolute;left:84482;top:26272;width:2;height:6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RwacMAAADcAAAADwAAAGRycy9kb3ducmV2LnhtbERPS4vCMBC+C/6HMAt7kTV1V0S6RpEF&#10;QWRBfFy8Dc20KdtMuk2s1V9vBMHbfHzPmS06W4mWGl86VjAaJiCIM6dLLhQcD6uPKQgfkDVWjknB&#10;lTws5v3eDFPtLryjdh8KEUPYp6jAhFCnUvrMkEU/dDVx5HLXWAwRNoXUDV5iuK3kZ5JMpMWSY4PB&#10;mn4MZX/7s1Uw2J3KIs/Pv1f/ddtOk83232StUu9v3fIbRKAuvMR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kcGnDAAAA3AAAAA8AAAAAAAAAAAAA&#10;AAAAoQIAAGRycy9kb3ducmV2LnhtbFBLBQYAAAAABAAEAPkAAACRAwAAAAA=&#10;">
                  <v:stroke endarrow="open"/>
                </v:shape>
                <v:shape id="Straight Arrow Connector 333" o:spid="_x0000_s1110" type="#_x0000_t32" style="position:absolute;left:90485;top:26272;width:9;height:6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jV8sMAAADcAAAADwAAAGRycy9kb3ducmV2LnhtbERPS4vCMBC+C/6HMAt7kTV1F0W6RpEF&#10;QWRBfFy8Dc20KdtMuk2s1V9vBMHbfHzPmS06W4mWGl86VjAaJiCIM6dLLhQcD6uPKQgfkDVWjknB&#10;lTws5v3eDFPtLryjdh8KEUPYp6jAhFCnUvrMkEU/dDVx5HLXWAwRNoXUDV5iuK3kZ5JMpMWSY4PB&#10;mn4MZX/7s1Uw2J3KIs/Pv1f/ddtOk83232StUu9v3fIbRKAuvMR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o1fLDAAAA3AAAAA8AAAAAAAAAAAAA&#10;AAAAoQIAAGRycy9kb3ducmV2LnhtbFBLBQYAAAAABAAEAPkAAACRAwAAAAA=&#10;">
                  <v:stroke endarrow="open"/>
                </v:shape>
                <v:shape id="Straight Arrow Connector 334" o:spid="_x0000_s1111" type="#_x0000_t32" style="position:absolute;left:40479;top:39348;width:29;height:2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T4ccIAAADcAAAADwAAAGRycy9kb3ducmV2LnhtbERPS2vCQBC+F/wPywheim6SUpXoKiLU&#10;FnryAV6H7CQbzM6G7DbGf+8WCr3Nx/ec9Xawjeip87VjBeksAUFcOF1zpeBy/pguQfiArLFxTAoe&#10;5GG7Gb2sMdfuzkfqT6ESMYR9jgpMCG0upS8MWfQz1xJHrnSdxRBhV0nd4T2G20ZmSTKXFmuODQZb&#10;2hsqbqcfq6DMNKWvt6v5XLxjuf9+y/q+OSg1GQ+7FYhAQ/gX/7m/dJyfzuH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T4ccIAAADcAAAADwAAAAAAAAAAAAAA&#10;AAChAgAAZHJzL2Rvd25yZXYueG1sUEsFBgAAAAAEAAQA+QAAAJADAAAAAA==&#10;">
                  <v:stroke endarrow="open"/>
                </v:shape>
                <v:shape id="Straight Arrow Connector 336" o:spid="_x0000_s1112" type="#_x0000_t32" style="position:absolute;left:40385;top:46267;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d6sIAAADcAAAADwAAAGRycy9kb3ducmV2LnhtbERPS2vCQBC+F/wPywheim6SUpXoKiLU&#10;FnryAV6H7CQbzM6G7DbGf+8WCr3Nx/ec9Xawjeip87VjBeksAUFcOF1zpeBy/pguQfiArLFxTAoe&#10;5GG7Gb2sMdfuzkfqT6ESMYR9jgpMCG0upS8MWfQz1xJHrnSdxRBhV0nd4T2G20ZmSTKXFmuODQZb&#10;2hsqbqcfq6DMNKWvt6v5XLxjuf9+y/q+OSg1GQ+7FYhAQ/gX/7m/dJyfLuD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hd6sIAAADcAAAADwAAAAAAAAAAAAAA&#10;AAChAgAAZHJzL2Rvd25yZXYueG1sUEsFBgAAAAAEAAQA+QAAAJADAAAAAA==&#10;">
                  <v:stroke endarrow="open"/>
                </v:shape>
                <v:shape id="Straight Arrow Connector 338" o:spid="_x0000_s1113" type="#_x0000_t32" style="position:absolute;left:46957;top:46267;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JmMUAAADcAAAADwAAAGRycy9kb3ducmV2LnhtbESPQWvDMAyF74P9B6NBL6N1krF1ZHXL&#10;KLQb7NSu0KuIlTg0lkPspem/nw6D3STe03ufVpvJd2qkIbaBDeSLDBRxFWzLjYHT927+CiomZItd&#10;YDJwowib9f3dCksbrnyg8ZgaJSEcSzTgUupLrWPlyGNchJ5YtDoMHpOsQ6PtgFcJ950usuxFe2xZ&#10;Ghz2tHVUXY4/3kBdWMofL2f3sXzGevv1VIxjtzdm9jC9v4FKNKV/89/1pxX8XG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fJmMUAAADcAAAADwAAAAAAAAAA&#10;AAAAAAChAgAAZHJzL2Rvd25yZXYueG1sUEsFBgAAAAAEAAQA+QAAAJMDAAAAAA==&#10;">
                  <v:stroke endarrow="open"/>
                </v:shape>
                <v:shape id="Straight Arrow Connector 339" o:spid="_x0000_s1114" type="#_x0000_t32" style="position:absolute;left:53357;top:46267;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tsA8IAAADcAAAADwAAAGRycy9kb3ducmV2LnhtbERPTWvCQBC9F/wPywi9FN0k0qrRVYrQ&#10;WvBUFbwO2Uk2mJ0N2W1M/70rFHqbx/uc9Xawjeip87VjBek0AUFcOF1zpeB8+pgsQPiArLFxTAp+&#10;ycN2M3paY67djb+pP4ZKxBD2OSowIbS5lL4wZNFPXUscudJ1FkOEXSV1h7cYbhuZJcmbtFhzbDDY&#10;0s5QcT3+WAVlpil9uV7Mfv6K5e4wy/q++VTqeTy8r0AEGsK/+M/9peP8dAmPZ+IF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tsA8IAAADcAAAADwAAAAAAAAAAAAAA&#10;AAChAgAAZHJzL2Rvd25yZXYueG1sUEsFBgAAAAAEAAQA+QAAAJADAAAAAA==&#10;">
                  <v:stroke endarrow="open"/>
                </v:shape>
                <v:shape id="Straight Arrow Connector 340" o:spid="_x0000_s1115" type="#_x0000_t32" style="position:absolute;left:46957;top:41247;width:3;height:8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O818YAAADcAAAADwAAAGRycy9kb3ducmV2LnhtbESPQWvCQBCF7wX/wzJCL6VuqiCSuooU&#10;CiIFUXvpbchOssHsbJpdY+yv7xwEbzO8N+99s1wPvlE9dbEObOBtkoEiLoKtuTLwffp8XYCKCdli&#10;E5gM3CjCejV6WmJuw5UP1B9TpSSEY44GXEptrnUsHHmMk9ASi1aGzmOStau07fAq4b7R0yyba481&#10;S4PDlj4cFefjxRt4OfzUVVlevm5x9rdfZLv9ryt6Y57Hw+YdVKIhPcz3660V/KngyzMygV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zvNfGAAAA3AAAAA8AAAAAAAAA&#10;AAAAAAAAoQIAAGRycy9kb3ducmV2LnhtbFBLBQYAAAAABAAEAPkAAACUAwAAAAA=&#10;">
                  <v:stroke endarrow="open"/>
                </v:shape>
                <v:shape id="Straight Arrow Connector 341" o:spid="_x0000_s1116" type="#_x0000_t32" style="position:absolute;left:53357;top:39351;width:0;height:27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GquMIAAADcAAAADwAAAGRycy9kb3ducmV2LnhtbERPTWvCQBC9F/wPyxS8lLpJRFtSVxGh&#10;KnjSFnodspNsMDsbstsY/70rCN7m8T5nsRpsI3rqfO1YQTpJQBAXTtdcKfj9+X7/BOEDssbGMSm4&#10;kofVcvSywFy7Cx+pP4VKxBD2OSowIbS5lL4wZNFPXEscudJ1FkOEXSV1h5cYbhuZJclcWqw5Nhhs&#10;aWOoOJ/+rYIy05S+nf/M7mOG5eYwzfq+2So1fh3WXyACDeEpfrj3Os7PUrg/Ey+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GquMIAAADcAAAADwAAAAAAAAAAAAAA&#10;AAChAgAAZHJzL2Rvd25yZXYueG1sUEsFBgAAAAAEAAQA+QAAAJADAAAAAA==&#10;">
                  <v:stroke endarrow="open"/>
                </v:shape>
                <v:shape id="Straight Arrow Connector 342" o:spid="_x0000_s1117" type="#_x0000_t32" style="position:absolute;left:59549;top:39351;width:0;height:27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M0z8IAAADcAAAADwAAAGRycy9kb3ducmV2LnhtbERP32vCMBB+H/g/hBvsZWhqZHN0RhFh&#10;U9jTVNjr0VybYnMpTVbrf28Ewbf7+H7eYjW4RvTUhdqzhukkA0FceFNzpeF4+Bp/gAgR2WDjmTRc&#10;KMBqOXpaYG78mX+p38dKpBAOOWqwMba5lKGw5DBMfEucuNJ3DmOCXSVNh+cU7hqpsuxdOqw5NVhs&#10;aWOpOO3/nYZSGZq+nv7sdv6G5eZnpvq++db65XlYf4KINMSH+O7emTRfKbg9ky6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M0z8IAAADcAAAADwAAAAAAAAAAAAAA&#10;AAChAgAAZHJzL2Rvd25yZXYueG1sUEsFBgAAAAAEAAQA+QAAAJADAAAAAA==&#10;">
                  <v:stroke endarrow="open"/>
                </v:shape>
                <v:line id="Straight Connector 197" o:spid="_x0000_s1118" style="position:absolute;visibility:visible;mso-wrap-style:square" from="43817,20842" to="43817,5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shape id="Straight Arrow Connector 198" o:spid="_x0000_s1119" type="#_x0000_t32" style="position:absolute;left:43816;top:50602;width:952;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JIMIAAADcAAAADwAAAGRycy9kb3ducmV2LnhtbERPTWvCQBC9C/0PyxR6Ed2Yai2pqxSh&#10;KnjSCl6H7CQbzM6G7DbGf98VBG/zeJ+zWPW2Fh21vnKsYDJOQBDnTldcKjj9/ow+QfiArLF2TApu&#10;5GG1fBksMNPuygfqjqEUMYR9hgpMCE0mpc8NWfRj1xBHrnCtxRBhW0rd4jWG21qmSfIhLVYcGww2&#10;tDaUX45/VkGRapoML2eznc+wWO/f066rN0q9vfbfXyAC9eEpfrh3Os5Pp3B/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JIMIAAADcAAAADwAAAAAAAAAAAAAA&#10;AAChAgAAZHJzL2Rvd25yZXYueG1sUEsFBgAAAAAEAAQA+QAAAJADAAAAAA==&#10;">
                  <v:stroke endarrow="open"/>
                </v:shape>
                <v:shape id="Straight Arrow Connector 252" o:spid="_x0000_s1120" type="#_x0000_t32" style="position:absolute;left:16852;top:54818;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qsu8IAAADcAAAADwAAAGRycy9kb3ducmV2LnhtbERPTWvCQBC9C/0PyxR6Ed2YYi2pGylC&#10;a8GTqeB1yE6yIdnZkN3G9N+7hYK3ebzP2e4m24mRBt84VrBaJiCIS6cbrhWcvz8WryB8QNbYOSYF&#10;v+Rhlz/Mtphpd+UTjUWoRQxhn6ECE0KfSelLQxb90vXEkavcYDFEONRSD3iN4baTaZK8SIsNxwaD&#10;Pe0NlW3xYxVUqabVvL2Yw2aN1f74nI5j96nU0+P0/gYi0BTu4n/3l47z0zX8PRMv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qsu8IAAADcAAAADwAAAAAAAAAAAAAA&#10;AAChAgAAZHJzL2Rvd25yZXYueG1sUEsFBgAAAAAEAAQA+QAAAJADAAAAAA==&#10;">
                  <v:stroke endarrow="open"/>
                </v:shape>
                <v:shape id="Straight Arrow Connector 301" o:spid="_x0000_s1121" type="#_x0000_t32" style="position:absolute;left:23899;top:54818;width:0;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gyzMIAAADcAAAADwAAAGRycy9kb3ducmV2LnhtbERPS4vCMBC+L+x/CCN4WTS1srpUoyzC&#10;qrAnH7DXoZk2xWZSmmyt/94Igrf5+J6zXPe2Fh21vnKsYDJOQBDnTldcKjiffkZfIHxA1lg7JgU3&#10;8rBevb8tMdPuygfqjqEUMYR9hgpMCE0mpc8NWfRj1xBHrnCtxRBhW0rd4jWG21qmSTKTFiuODQYb&#10;2hjKL8d/q6BINU0+Ln9mN//EYvM7Tbuu3io1HPTfCxCB+vASP917HeenM3g8Ey+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gyzMIAAADcAAAADwAAAAAAAAAAAAAA&#10;AAChAgAAZHJzL2Rvd25yZXYueG1sUEsFBgAAAAAEAAQA+QAAAJADAAAAAA==&#10;">
                  <v:stroke endarrow="open"/>
                </v:shape>
                <v:shape id="Straight Arrow Connector 362" o:spid="_x0000_s1122" type="#_x0000_t32" style="position:absolute;left:31113;top:54818;width:0;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SXV8IAAADcAAAADwAAAGRycy9kb3ducmV2LnhtbERPTWvCQBC9C/6HZQq9iG5MsZY0q4hg&#10;W/BkKvQ6ZCfZkOxsyK4x/ffdQqG3ebzPyfeT7cRIg28cK1ivEhDEpdMN1wqun6flCwgfkDV2jknB&#10;N3nY7+azHDPt7nyhsQi1iCHsM1RgQugzKX1pyKJfuZ44cpUbLIYIh1rqAe8x3HYyTZJnabHh2GCw&#10;p6Ohsi1uVkGValov2i/zvt1gdTw/pePYvSn1+DAdXkEEmsK/+M/9oeP8dAu/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SXV8IAAADcAAAADwAAAAAAAAAAAAAA&#10;AAChAgAAZHJzL2Rvd25yZXYueG1sUEsFBgAAAAAEAAQA+QAAAJADAAAAAA==&#10;">
                  <v:stroke endarrow="open"/>
                </v:shape>
                <v:shape id="Straight Arrow Connector 393" o:spid="_x0000_s1123" type="#_x0000_t32" style="position:absolute;left:40273;top:54818;width:0;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z9KMIAAADcAAAADwAAAGRycy9kb3ducmV2LnhtbERPTWvCQBC9C/0PyxR6Ed2YorWpqxSh&#10;KnjSCl6H7CQbzM6G7DbGf98VBG/zeJ+zWPW2Fh21vnKsYDJOQBDnTldcKjj9/ozmIHxA1lg7JgU3&#10;8rBavgwWmGl35QN1x1CKGMI+QwUmhCaT0ueGLPqxa4gjV7jWYoiwLaVu8RrDbS3TJJlJixXHBoMN&#10;rQ3ll+OfVVCkmibDy9lsP6ZYrPfvadfVG6XeXvvvLxCB+vAUP9w7Hed/pnB/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z9KMIAAADcAAAADwAAAAAAAAAAAAAA&#10;AAChAgAAZHJzL2Rvd25yZXYueG1sUEsFBgAAAAAEAAQA+QAAAJADAAAAAA==&#10;">
                  <v:stroke endarrow="open"/>
                </v:shape>
                <v:shape id="Straight Arrow Connector 403" o:spid="_x0000_s1124" type="#_x0000_t32" style="position:absolute;left:47582;top:54818;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BYs8IAAADcAAAADwAAAGRycy9kb3ducmV2LnhtbERPTWvCQBC9C/6HZQpepG6MaNvUVURQ&#10;Cz1VC70O2Uk2mJ0N2TXGf+8KBW/zeJ+zXPe2Fh21vnKsYDpJQBDnTldcKvg97V7fQfiArLF2TApu&#10;5GG9Gg6WmGl35R/qjqEUMYR9hgpMCE0mpc8NWfQT1xBHrnCtxRBhW0rd4jWG21qmSbKQFiuODQYb&#10;2hrKz8eLVVCkmqbj8585vM2x2H7P0q6r90qNXvrNJ4hAfXiK/91fOs7/mM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BYs8IAAADcAAAADwAAAAAAAAAAAAAA&#10;AAChAgAAZHJzL2Rvd25yZXYueG1sUEsFBgAAAAAEAAQA+QAAAJADAAAAAA==&#10;">
                  <v:stroke endarrow="open"/>
                </v:shape>
                <v:shape id="Straight Arrow Connector 425" o:spid="_x0000_s1125" type="#_x0000_t32" style="position:absolute;left:53487;top:54818;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nAx8MAAADcAAAADwAAAGRycy9kb3ducmV2LnhtbERPTWvCQBC9C/0Pywi9lLox1arRVYrQ&#10;KngyLXgdspNsMDsbstuY/vtuoeBtHu9zNrvBNqKnzteOFUwnCQjiwumaKwVfn+/PSxA+IGtsHJOC&#10;H/Kw2z6MNphpd+Mz9XmoRAxhn6ECE0KbSekLQxb9xLXEkStdZzFE2FVSd3iL4baRaZK8Sos1xwaD&#10;Le0NFdf82yooU03Tp+vFHBZzLPenl7Tvmw+lHsfD2xpEoCHcxf/uo47zVzP4eyZe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wMfDAAAA3AAAAA8AAAAAAAAAAAAA&#10;AAAAoQIAAGRycy9kb3ducmV2LnhtbFBLBQYAAAAABAAEAPkAAACRAwAAAAA=&#10;">
                  <v:stroke endarrow="open"/>
                </v:shape>
                <w10:anchorlock/>
              </v:group>
            </w:pict>
          </mc:Fallback>
        </mc:AlternateContent>
      </w:r>
    </w:p>
    <w:p w:rsidR="00F86C9F" w:rsidRPr="00FA270C" w:rsidRDefault="00F86C9F" w:rsidP="00FD3624"/>
    <w:p w:rsidR="00F86C9F" w:rsidRPr="00FA270C" w:rsidRDefault="00A1758F" w:rsidP="00FD3624">
      <w:r>
        <w:rPr>
          <w:noProof/>
          <w:lang w:eastAsia="en-AU"/>
        </w:rPr>
        <mc:AlternateContent>
          <mc:Choice Requires="wpc">
            <w:drawing>
              <wp:inline distT="0" distB="0" distL="0" distR="0" wp14:anchorId="7722E01A" wp14:editId="0FFC49FF">
                <wp:extent cx="10401300" cy="4676775"/>
                <wp:effectExtent l="0" t="0" r="0" b="0"/>
                <wp:docPr id="105" name="Canvas 105" descr="Figure 4 Current clinical management algorithm osteoporosis management of men and women aged 50-69, with risk factors" title="Figure 4 Current clinical management algorithm osteoporosis management of men and women aged 50-69, with risk factors"/>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Text Box 282"/>
                        <wps:cNvSpPr txBox="1">
                          <a:spLocks noChangeArrowheads="1"/>
                        </wps:cNvSpPr>
                        <wps:spPr bwMode="auto">
                          <a:xfrm>
                            <a:off x="448900" y="0"/>
                            <a:ext cx="7582500" cy="2857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24467" w:rsidRDefault="00224467" w:rsidP="00C15B0E">
                              <w:pPr>
                                <w:pStyle w:val="Caption"/>
                              </w:pPr>
                              <w:bookmarkStart w:id="47" w:name="_Ref358199396"/>
                              <w:r>
                                <w:t xml:space="preserve">Figure </w:t>
                              </w:r>
                              <w:r>
                                <w:fldChar w:fldCharType="begin"/>
                              </w:r>
                              <w:r>
                                <w:instrText xml:space="preserve"> SEQ Figure \* ARABIC </w:instrText>
                              </w:r>
                              <w:r>
                                <w:fldChar w:fldCharType="separate"/>
                              </w:r>
                              <w:r w:rsidR="00255656">
                                <w:rPr>
                                  <w:noProof/>
                                </w:rPr>
                                <w:t>4</w:t>
                              </w:r>
                              <w:r>
                                <w:rPr>
                                  <w:noProof/>
                                </w:rPr>
                                <w:fldChar w:fldCharType="end"/>
                              </w:r>
                              <w:bookmarkEnd w:id="47"/>
                              <w:r w:rsidRPr="00C15B0E">
                                <w:t xml:space="preserve"> </w:t>
                              </w:r>
                              <w:r w:rsidRPr="00AA3219">
                                <w:t>C</w:t>
                              </w:r>
                              <w:r>
                                <w:t>urrent c</w:t>
                              </w:r>
                              <w:r w:rsidRPr="00AA3219">
                                <w:t>linical management algorithm</w:t>
                              </w:r>
                              <w:r>
                                <w:t xml:space="preserve"> osteoporosis management of</w:t>
                              </w:r>
                              <w:r w:rsidRPr="00AA3219">
                                <w:t xml:space="preserve"> </w:t>
                              </w:r>
                              <w:r>
                                <w:t>men and women aged 50-69, with risk factors</w:t>
                              </w:r>
                            </w:p>
                          </w:txbxContent>
                        </wps:txbx>
                        <wps:bodyPr rot="0" vert="horz" wrap="square" lIns="91440" tIns="45720" rIns="91440" bIns="45720" anchor="t" anchorCtr="0" upright="1">
                          <a:noAutofit/>
                        </wps:bodyPr>
                      </wps:wsp>
                      <wps:wsp>
                        <wps:cNvPr id="57" name="Text Box 123"/>
                        <wps:cNvSpPr txBox="1">
                          <a:spLocks noChangeArrowheads="1"/>
                        </wps:cNvSpPr>
                        <wps:spPr bwMode="auto">
                          <a:xfrm>
                            <a:off x="3628600" y="398306"/>
                            <a:ext cx="840800" cy="247604"/>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All other factors</w:t>
                              </w:r>
                            </w:p>
                          </w:txbxContent>
                        </wps:txbx>
                        <wps:bodyPr rot="0" vert="horz" wrap="none" lIns="91440" tIns="45720" rIns="91440" bIns="45720" anchor="t" anchorCtr="0" upright="1">
                          <a:noAutofit/>
                        </wps:bodyPr>
                      </wps:wsp>
                      <wps:wsp>
                        <wps:cNvPr id="58" name="Text Box 123"/>
                        <wps:cNvSpPr txBox="1">
                          <a:spLocks noChangeArrowheads="1"/>
                        </wps:cNvSpPr>
                        <wps:spPr bwMode="auto">
                          <a:xfrm>
                            <a:off x="2501900" y="4152967"/>
                            <a:ext cx="476200" cy="390506"/>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59" name="Text Box 123"/>
                        <wps:cNvSpPr txBox="1">
                          <a:spLocks noChangeArrowheads="1"/>
                        </wps:cNvSpPr>
                        <wps:spPr bwMode="auto">
                          <a:xfrm>
                            <a:off x="3206700" y="3695759"/>
                            <a:ext cx="351200" cy="247604"/>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60" name="Text Box 123"/>
                        <wps:cNvSpPr txBox="1">
                          <a:spLocks noChangeArrowheads="1"/>
                        </wps:cNvSpPr>
                        <wps:spPr bwMode="auto">
                          <a:xfrm>
                            <a:off x="2622500" y="3695759"/>
                            <a:ext cx="309200" cy="247604"/>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61" name="Text Box 123"/>
                        <wps:cNvSpPr txBox="1">
                          <a:spLocks noChangeArrowheads="1"/>
                        </wps:cNvSpPr>
                        <wps:spPr bwMode="auto">
                          <a:xfrm>
                            <a:off x="3206700" y="4152967"/>
                            <a:ext cx="476300" cy="390506"/>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62" name="Text Box 123"/>
                        <wps:cNvSpPr txBox="1">
                          <a:spLocks noChangeArrowheads="1"/>
                        </wps:cNvSpPr>
                        <wps:spPr bwMode="auto">
                          <a:xfrm>
                            <a:off x="4487200" y="1465824"/>
                            <a:ext cx="819700" cy="247004"/>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Risk factors (a)</w:t>
                              </w:r>
                            </w:p>
                          </w:txbxContent>
                        </wps:txbx>
                        <wps:bodyPr rot="0" vert="horz" wrap="none" lIns="91440" tIns="45720" rIns="91440" bIns="45720" anchor="t" anchorCtr="0" upright="1">
                          <a:noAutofit/>
                        </wps:bodyPr>
                      </wps:wsp>
                      <wps:wsp>
                        <wps:cNvPr id="63" name="Text Box 123"/>
                        <wps:cNvSpPr txBox="1">
                          <a:spLocks noChangeArrowheads="1"/>
                        </wps:cNvSpPr>
                        <wps:spPr bwMode="auto">
                          <a:xfrm>
                            <a:off x="2682800" y="1465824"/>
                            <a:ext cx="788700" cy="247004"/>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No risk factors</w:t>
                              </w:r>
                            </w:p>
                          </w:txbxContent>
                        </wps:txbx>
                        <wps:bodyPr rot="0" vert="horz" wrap="none" lIns="91440" tIns="45720" rIns="91440" bIns="45720" anchor="t" anchorCtr="0" upright="1">
                          <a:noAutofit/>
                        </wps:bodyPr>
                      </wps:wsp>
                      <wps:wsp>
                        <wps:cNvPr id="128" name="Text Box 123"/>
                        <wps:cNvSpPr txBox="1">
                          <a:spLocks noChangeArrowheads="1"/>
                        </wps:cNvSpPr>
                        <wps:spPr bwMode="auto">
                          <a:xfrm>
                            <a:off x="3232400" y="854414"/>
                            <a:ext cx="1638300" cy="247004"/>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Men and women aged 50-69 years</w:t>
                              </w:r>
                            </w:p>
                          </w:txbxContent>
                        </wps:txbx>
                        <wps:bodyPr rot="0" vert="horz" wrap="none" lIns="91440" tIns="45720" rIns="91440" bIns="45720" anchor="t" anchorCtr="0" upright="1">
                          <a:noAutofit/>
                        </wps:bodyPr>
                      </wps:wsp>
                      <wps:wsp>
                        <wps:cNvPr id="129" name="Text Box 123"/>
                        <wps:cNvSpPr txBox="1">
                          <a:spLocks noChangeArrowheads="1"/>
                        </wps:cNvSpPr>
                        <wps:spPr bwMode="auto">
                          <a:xfrm>
                            <a:off x="4323300" y="4152967"/>
                            <a:ext cx="476300" cy="390506"/>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30" name="Text Box 123"/>
                        <wps:cNvSpPr txBox="1">
                          <a:spLocks noChangeArrowheads="1"/>
                        </wps:cNvSpPr>
                        <wps:spPr bwMode="auto">
                          <a:xfrm>
                            <a:off x="5028200" y="3695759"/>
                            <a:ext cx="351100" cy="247604"/>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131" name="Text Box 123"/>
                        <wps:cNvSpPr txBox="1">
                          <a:spLocks noChangeArrowheads="1"/>
                        </wps:cNvSpPr>
                        <wps:spPr bwMode="auto">
                          <a:xfrm>
                            <a:off x="4444000" y="3695759"/>
                            <a:ext cx="309200" cy="247604"/>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132" name="Text Box 123"/>
                        <wps:cNvSpPr txBox="1">
                          <a:spLocks noChangeArrowheads="1"/>
                        </wps:cNvSpPr>
                        <wps:spPr bwMode="auto">
                          <a:xfrm>
                            <a:off x="5028200" y="4152967"/>
                            <a:ext cx="476200" cy="390506"/>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33" name="Straight Arrow Connector 20"/>
                        <wps:cNvCnPr/>
                        <wps:spPr bwMode="auto">
                          <a:xfrm flipH="1">
                            <a:off x="3081300" y="1712827"/>
                            <a:ext cx="0" cy="3055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4" name="Straight Arrow Connector 21"/>
                        <wps:cNvCnPr/>
                        <wps:spPr bwMode="auto">
                          <a:xfrm flipH="1">
                            <a:off x="4899000" y="1712827"/>
                            <a:ext cx="0" cy="3055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5" name="Straight Connector 22"/>
                        <wps:cNvCnPr/>
                        <wps:spPr bwMode="auto">
                          <a:xfrm>
                            <a:off x="2809800" y="3476656"/>
                            <a:ext cx="5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Straight Arrow Connector 23"/>
                        <wps:cNvCnPr/>
                        <wps:spPr bwMode="auto">
                          <a:xfrm>
                            <a:off x="2809800" y="3476656"/>
                            <a:ext cx="0" cy="2191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7" name="Straight Arrow Connector 24"/>
                        <wps:cNvCnPr/>
                        <wps:spPr bwMode="auto">
                          <a:xfrm>
                            <a:off x="3400400" y="3476656"/>
                            <a:ext cx="0" cy="2191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 name="Straight Connector 25"/>
                        <wps:cNvCnPr/>
                        <wps:spPr bwMode="auto">
                          <a:xfrm>
                            <a:off x="3072700" y="3171851"/>
                            <a:ext cx="0" cy="30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Straight Connector 26"/>
                        <wps:cNvCnPr/>
                        <wps:spPr bwMode="auto">
                          <a:xfrm>
                            <a:off x="4609100" y="3476656"/>
                            <a:ext cx="5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Straight Arrow Connector 27"/>
                        <wps:cNvCnPr/>
                        <wps:spPr bwMode="auto">
                          <a:xfrm>
                            <a:off x="4609100" y="3476656"/>
                            <a:ext cx="0" cy="2191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1" name="Straight Arrow Connector 28"/>
                        <wps:cNvCnPr/>
                        <wps:spPr bwMode="auto">
                          <a:xfrm>
                            <a:off x="5199600" y="3476656"/>
                            <a:ext cx="0" cy="2191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 name="Straight Connector 29"/>
                        <wps:cNvCnPr/>
                        <wps:spPr bwMode="auto">
                          <a:xfrm>
                            <a:off x="4872000" y="3171851"/>
                            <a:ext cx="0" cy="30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Straight Arrow Connector 30"/>
                        <wps:cNvCnPr/>
                        <wps:spPr bwMode="auto">
                          <a:xfrm>
                            <a:off x="2800300" y="3943363"/>
                            <a:ext cx="0" cy="2096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4" name="Straight Arrow Connector 228"/>
                        <wps:cNvCnPr/>
                        <wps:spPr bwMode="auto">
                          <a:xfrm>
                            <a:off x="3382300" y="3943363"/>
                            <a:ext cx="0" cy="2096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5" name="Straight Arrow Connector 229"/>
                        <wps:cNvCnPr/>
                        <wps:spPr bwMode="auto">
                          <a:xfrm>
                            <a:off x="4609100" y="3943363"/>
                            <a:ext cx="0" cy="2096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7" name="Straight Arrow Connector 230"/>
                        <wps:cNvCnPr/>
                        <wps:spPr bwMode="auto">
                          <a:xfrm>
                            <a:off x="5203800" y="3943363"/>
                            <a:ext cx="0" cy="2096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8" name="Straight Connector 231"/>
                        <wps:cNvCnPr/>
                        <wps:spPr bwMode="auto">
                          <a:xfrm>
                            <a:off x="3081300" y="1323921"/>
                            <a:ext cx="181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Straight Arrow Connector 232"/>
                        <wps:cNvCnPr/>
                        <wps:spPr bwMode="auto">
                          <a:xfrm>
                            <a:off x="3072700" y="1323921"/>
                            <a:ext cx="0" cy="1419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0" name="Straight Arrow Connector 233"/>
                        <wps:cNvCnPr/>
                        <wps:spPr bwMode="auto">
                          <a:xfrm>
                            <a:off x="4894200" y="1323921"/>
                            <a:ext cx="4800" cy="1419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1" name="Straight Connector 234"/>
                        <wps:cNvCnPr/>
                        <wps:spPr bwMode="auto">
                          <a:xfrm>
                            <a:off x="4052200" y="1101418"/>
                            <a:ext cx="5400" cy="222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Straight Arrow Connector 235"/>
                        <wps:cNvCnPr/>
                        <wps:spPr bwMode="auto">
                          <a:xfrm>
                            <a:off x="4049000" y="645910"/>
                            <a:ext cx="3200" cy="2085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3" name="Text Box 236"/>
                        <wps:cNvSpPr txBox="1">
                          <a:spLocks noChangeArrowheads="1"/>
                        </wps:cNvSpPr>
                        <wps:spPr bwMode="auto">
                          <a:xfrm>
                            <a:off x="5634900" y="398306"/>
                            <a:ext cx="3078500" cy="781013"/>
                          </a:xfrm>
                          <a:prstGeom prst="rect">
                            <a:avLst/>
                          </a:prstGeom>
                          <a:solidFill>
                            <a:srgbClr val="FFFFFF"/>
                          </a:solidFill>
                          <a:ln w="6350">
                            <a:solidFill>
                              <a:srgbClr val="000000"/>
                            </a:solidFill>
                            <a:miter lim="800000"/>
                            <a:headEnd/>
                            <a:tailEnd/>
                          </a:ln>
                        </wps:spPr>
                        <wps:txbx>
                          <w:txbxContent>
                            <w:p w:rsidR="00224467" w:rsidRPr="00504889" w:rsidRDefault="00224467" w:rsidP="00000A92">
                              <w:pPr>
                                <w:spacing w:after="0"/>
                                <w:rPr>
                                  <w:rFonts w:ascii="Arial Narrow" w:hAnsi="Arial Narrow"/>
                                  <w:sz w:val="18"/>
                                  <w:szCs w:val="18"/>
                                </w:rPr>
                              </w:pPr>
                              <w:r w:rsidRPr="00504889">
                                <w:rPr>
                                  <w:rFonts w:ascii="Arial Narrow" w:hAnsi="Arial Narrow"/>
                                  <w:sz w:val="18"/>
                                  <w:szCs w:val="18"/>
                                </w:rPr>
                                <w:t>Notes: MTF, minimal trauma fracture</w:t>
                              </w:r>
                            </w:p>
                            <w:p w:rsidR="00224467" w:rsidRPr="00504889" w:rsidRDefault="00224467" w:rsidP="00000A92">
                              <w:pPr>
                                <w:spacing w:after="0"/>
                                <w:rPr>
                                  <w:rFonts w:ascii="Arial Narrow" w:hAnsi="Arial Narrow"/>
                                  <w:sz w:val="18"/>
                                  <w:szCs w:val="18"/>
                                </w:rPr>
                              </w:pPr>
                              <w:r w:rsidRPr="00504889">
                                <w:rPr>
                                  <w:rFonts w:ascii="Arial Narrow" w:hAnsi="Arial Narrow"/>
                                  <w:sz w:val="18"/>
                                  <w:szCs w:val="18"/>
                                </w:rPr>
                                <w:t>(a) To be determined</w:t>
                              </w:r>
                            </w:p>
                            <w:p w:rsidR="00224467" w:rsidRPr="00504889" w:rsidRDefault="00224467" w:rsidP="00000A92">
                              <w:pPr>
                                <w:pStyle w:val="NormalWeb"/>
                                <w:spacing w:before="0" w:beforeAutospacing="0" w:after="0" w:afterAutospacing="0" w:line="276" w:lineRule="auto"/>
                                <w:rPr>
                                  <w:color w:val="000000"/>
                                  <w:sz w:val="18"/>
                                  <w:szCs w:val="18"/>
                                </w:rPr>
                              </w:pPr>
                              <w:r w:rsidRPr="00504889">
                                <w:rPr>
                                  <w:rFonts w:ascii="Arial Narrow" w:hAnsi="Arial Narrow"/>
                                  <w:color w:val="000000"/>
                                  <w:sz w:val="18"/>
                                  <w:szCs w:val="18"/>
                                </w:rPr>
                                <w:t>(b) Exercise, sunshine, general bone health awareness</w:t>
                              </w:r>
                            </w:p>
                            <w:p w:rsidR="00224467" w:rsidRPr="00504889" w:rsidRDefault="00224467" w:rsidP="00000A92">
                              <w:pPr>
                                <w:pStyle w:val="NormalWeb"/>
                                <w:spacing w:before="0" w:beforeAutospacing="0" w:after="0" w:afterAutospacing="0" w:line="276" w:lineRule="auto"/>
                                <w:rPr>
                                  <w:color w:val="000000"/>
                                  <w:sz w:val="18"/>
                                  <w:szCs w:val="18"/>
                                </w:rPr>
                              </w:pPr>
                              <w:r w:rsidRPr="00504889">
                                <w:rPr>
                                  <w:rFonts w:ascii="Arial Narrow" w:hAnsi="Arial Narrow"/>
                                  <w:color w:val="000000"/>
                                  <w:sz w:val="18"/>
                                  <w:szCs w:val="18"/>
                                </w:rPr>
                                <w:t>(c) Calcium (1300mg/day), ensure replete vitamin D status &gt;60nmol/L</w:t>
                              </w:r>
                            </w:p>
                          </w:txbxContent>
                        </wps:txbx>
                        <wps:bodyPr rot="0" vert="horz" wrap="none" lIns="91440" tIns="45720" rIns="91440" bIns="45720" anchor="t" anchorCtr="0" upright="1">
                          <a:noAutofit/>
                        </wps:bodyPr>
                      </wps:wsp>
                      <wps:wsp>
                        <wps:cNvPr id="154" name="Text Box 123"/>
                        <wps:cNvSpPr txBox="1">
                          <a:spLocks noChangeArrowheads="1"/>
                        </wps:cNvSpPr>
                        <wps:spPr bwMode="auto">
                          <a:xfrm>
                            <a:off x="1603300" y="2018332"/>
                            <a:ext cx="2174900" cy="409607"/>
                          </a:xfrm>
                          <a:prstGeom prst="rect">
                            <a:avLst/>
                          </a:prstGeom>
                          <a:solidFill>
                            <a:srgbClr val="FFFFFF"/>
                          </a:solidFill>
                          <a:ln w="6350">
                            <a:solidFill>
                              <a:srgbClr val="000000"/>
                            </a:solidFill>
                            <a:miter lim="800000"/>
                            <a:headEnd/>
                            <a:tailEnd/>
                          </a:ln>
                        </wps:spPr>
                        <wps:txbx>
                          <w:txbxContent>
                            <w:p w:rsidR="00224467" w:rsidRDefault="00224467" w:rsidP="00000A92">
                              <w:pPr>
                                <w:pStyle w:val="NormalWeb"/>
                                <w:spacing w:before="0" w:beforeAutospacing="0" w:after="0" w:afterAutospacing="0" w:line="276" w:lineRule="auto"/>
                                <w:jc w:val="center"/>
                              </w:pPr>
                              <w:r>
                                <w:rPr>
                                  <w:rFonts w:ascii="Arial Narrow" w:hAnsi="Arial Narrow"/>
                                  <w:sz w:val="18"/>
                                  <w:szCs w:val="18"/>
                                </w:rPr>
                                <w:t>Clinical assessment, test for vitamin D,</w:t>
                              </w:r>
                            </w:p>
                            <w:p w:rsidR="00224467" w:rsidRDefault="00224467" w:rsidP="00000A92">
                              <w:pPr>
                                <w:pStyle w:val="NormalWeb"/>
                                <w:spacing w:before="0" w:beforeAutospacing="0" w:after="0" w:afterAutospacing="0" w:line="276" w:lineRule="auto"/>
                                <w:jc w:val="center"/>
                              </w:pPr>
                              <w:r>
                                <w:rPr>
                                  <w:rFonts w:ascii="Arial Narrow" w:hAnsi="Arial Narrow"/>
                                  <w:sz w:val="18"/>
                                  <w:szCs w:val="18"/>
                                </w:rPr>
                                <w:t>Including existing fracture risk assessment tools</w:t>
                              </w:r>
                            </w:p>
                          </w:txbxContent>
                        </wps:txbx>
                        <wps:bodyPr rot="0" vert="horz" wrap="none" lIns="91440" tIns="45720" rIns="91440" bIns="45720" anchor="t" anchorCtr="0" upright="1">
                          <a:noAutofit/>
                        </wps:bodyPr>
                      </wps:wsp>
                      <wps:wsp>
                        <wps:cNvPr id="155" name="Text Box 123"/>
                        <wps:cNvSpPr txBox="1">
                          <a:spLocks noChangeArrowheads="1"/>
                        </wps:cNvSpPr>
                        <wps:spPr bwMode="auto">
                          <a:xfrm>
                            <a:off x="4247100" y="2018332"/>
                            <a:ext cx="2174900" cy="409607"/>
                          </a:xfrm>
                          <a:prstGeom prst="rect">
                            <a:avLst/>
                          </a:prstGeom>
                          <a:solidFill>
                            <a:srgbClr val="FFFFFF"/>
                          </a:solidFill>
                          <a:ln w="6350">
                            <a:solidFill>
                              <a:srgbClr val="000000"/>
                            </a:solidFill>
                            <a:miter lim="800000"/>
                            <a:headEnd/>
                            <a:tailEnd/>
                          </a:ln>
                        </wps:spPr>
                        <wps:txbx>
                          <w:txbxContent>
                            <w:p w:rsidR="00224467" w:rsidRDefault="00224467" w:rsidP="00000A92">
                              <w:pPr>
                                <w:pStyle w:val="NormalWeb"/>
                                <w:spacing w:before="0" w:beforeAutospacing="0" w:after="0" w:afterAutospacing="0" w:line="276" w:lineRule="auto"/>
                                <w:jc w:val="center"/>
                              </w:pPr>
                              <w:r>
                                <w:rPr>
                                  <w:rFonts w:ascii="Arial Narrow" w:hAnsi="Arial Narrow"/>
                                  <w:sz w:val="18"/>
                                  <w:szCs w:val="18"/>
                                </w:rPr>
                                <w:t>Clinical assessment, test for vitamin D,</w:t>
                              </w:r>
                            </w:p>
                            <w:p w:rsidR="00224467" w:rsidRDefault="00224467" w:rsidP="00000A92">
                              <w:pPr>
                                <w:pStyle w:val="NormalWeb"/>
                                <w:spacing w:before="0" w:beforeAutospacing="0" w:after="0" w:afterAutospacing="0" w:line="276" w:lineRule="auto"/>
                                <w:jc w:val="center"/>
                              </w:pPr>
                              <w:r>
                                <w:rPr>
                                  <w:rFonts w:ascii="Arial Narrow" w:hAnsi="Arial Narrow"/>
                                  <w:sz w:val="18"/>
                                  <w:szCs w:val="18"/>
                                </w:rPr>
                                <w:t>Including existing fracture risk assessment tools</w:t>
                              </w:r>
                            </w:p>
                          </w:txbxContent>
                        </wps:txbx>
                        <wps:bodyPr rot="0" vert="horz" wrap="none" lIns="91440" tIns="45720" rIns="91440" bIns="45720" anchor="t" anchorCtr="0" upright="1">
                          <a:noAutofit/>
                        </wps:bodyPr>
                      </wps:wsp>
                      <wps:wsp>
                        <wps:cNvPr id="156" name="Text Box 123"/>
                        <wps:cNvSpPr txBox="1">
                          <a:spLocks noChangeArrowheads="1"/>
                        </wps:cNvSpPr>
                        <wps:spPr bwMode="auto">
                          <a:xfrm>
                            <a:off x="2635200" y="2857546"/>
                            <a:ext cx="1010300" cy="409507"/>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Lifestyle advice (b)</w:t>
                              </w:r>
                            </w:p>
                            <w:p w:rsidR="00224467" w:rsidRDefault="00224467" w:rsidP="00346920">
                              <w:pPr>
                                <w:pStyle w:val="NormalWeb"/>
                                <w:spacing w:before="0" w:beforeAutospacing="0" w:after="0" w:afterAutospacing="0" w:line="276" w:lineRule="auto"/>
                              </w:pPr>
                              <w:r>
                                <w:rPr>
                                  <w:rFonts w:ascii="Arial Narrow" w:hAnsi="Arial Narrow"/>
                                  <w:sz w:val="18"/>
                                  <w:szCs w:val="18"/>
                                </w:rPr>
                                <w:t>+/- Supplements (c)</w:t>
                              </w:r>
                            </w:p>
                          </w:txbxContent>
                        </wps:txbx>
                        <wps:bodyPr rot="0" vert="horz" wrap="none" lIns="91440" tIns="45720" rIns="91440" bIns="45720" anchor="t" anchorCtr="0" upright="1">
                          <a:noAutofit/>
                        </wps:bodyPr>
                      </wps:wsp>
                      <wps:wsp>
                        <wps:cNvPr id="157" name="Text Box 123"/>
                        <wps:cNvSpPr txBox="1">
                          <a:spLocks noChangeArrowheads="1"/>
                        </wps:cNvSpPr>
                        <wps:spPr bwMode="auto">
                          <a:xfrm>
                            <a:off x="4456700" y="2857546"/>
                            <a:ext cx="1010300" cy="409507"/>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Lifestyle advice (b)</w:t>
                              </w:r>
                            </w:p>
                            <w:p w:rsidR="00224467" w:rsidRDefault="00224467" w:rsidP="00346920">
                              <w:pPr>
                                <w:pStyle w:val="NormalWeb"/>
                                <w:spacing w:before="0" w:beforeAutospacing="0" w:after="0" w:afterAutospacing="0" w:line="276" w:lineRule="auto"/>
                              </w:pPr>
                              <w:r>
                                <w:rPr>
                                  <w:rFonts w:ascii="Arial Narrow" w:hAnsi="Arial Narrow"/>
                                  <w:sz w:val="18"/>
                                  <w:szCs w:val="18"/>
                                </w:rPr>
                                <w:t>+/- Supplements (c)</w:t>
                              </w:r>
                            </w:p>
                          </w:txbxContent>
                        </wps:txbx>
                        <wps:bodyPr rot="0" vert="horz" wrap="none" lIns="91440" tIns="45720" rIns="91440" bIns="45720" anchor="t" anchorCtr="0" upright="1">
                          <a:noAutofit/>
                        </wps:bodyPr>
                      </wps:wsp>
                      <wps:wsp>
                        <wps:cNvPr id="158" name="Straight Arrow Connector 4"/>
                        <wps:cNvCnPr/>
                        <wps:spPr bwMode="auto">
                          <a:xfrm>
                            <a:off x="3081300" y="2427939"/>
                            <a:ext cx="0" cy="42960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9" name="Straight Arrow Connector 14"/>
                        <wps:cNvCnPr/>
                        <wps:spPr bwMode="auto">
                          <a:xfrm>
                            <a:off x="4899000" y="2427939"/>
                            <a:ext cx="0" cy="42960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5" o:spid="_x0000_s1126" editas="canvas" alt="Title: Figure 4 Current clinical management algorithm osteoporosis management of men and women aged 50-69, with risk factors - Description: Figure 4 Current clinical management algorithm osteoporosis management of men and women aged 50-69, with risk factors" style="width:819pt;height:368.25pt;mso-position-horizontal-relative:char;mso-position-vertical-relative:line" coordsize="104013,4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">
                <v:shape id="_x0000_s1127" type="#_x0000_t75" alt="Figure 4 Current clinical management algorithm osteoporosis management of men and women aged 50-69, with risk factors" style="position:absolute;width:104013;height:46767;visibility:visible;mso-wrap-style:square">
                  <v:fill o:detectmouseclick="t"/>
                  <v:path o:connecttype="none"/>
                </v:shape>
                <v:shape id="Text Box 282" o:spid="_x0000_s1128" type="#_x0000_t202" style="position:absolute;left:4489;width:7582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9lsEA&#10;AADbAAAADwAAAGRycy9kb3ducmV2LnhtbESPT4vCMBTE78J+h/AW9qZpZRWpxiILwp4W/Ht+NM+m&#10;2LyUJKvVT28EweMwM79hFmVvW3EhHxrHCvJRBoK4crrhWsF+tx7OQISIrLF1TApuFKBcfgwWWGh3&#10;5Q1dtrEWCcKhQAUmxq6QMlSGLIaR64iTd3LeYkzS11J7vCa4beU4y6bSYsNpwWBHP4aq8/bfKjjW&#10;9n485J032rbf/He/7fauUerrs1/NQUTq4zv8av9qBZMpPL+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MfZbBAAAA2wAAAA8AAAAAAAAAAAAAAAAAmAIAAGRycy9kb3du&#10;cmV2LnhtbFBLBQYAAAAABAAEAPUAAACGAwAAAAA=&#10;" stroked="f" strokeweight=".5pt">
                  <v:textbox>
                    <w:txbxContent>
                      <w:p w:rsidR="00224467" w:rsidRDefault="00224467" w:rsidP="00C15B0E">
                        <w:pPr>
                          <w:pStyle w:val="Caption"/>
                        </w:pPr>
                        <w:bookmarkStart w:id="48" w:name="_Ref358199396"/>
                        <w:r>
                          <w:t xml:space="preserve">Figure </w:t>
                        </w:r>
                        <w:r>
                          <w:fldChar w:fldCharType="begin"/>
                        </w:r>
                        <w:r>
                          <w:instrText xml:space="preserve"> SEQ Figure \* ARABIC </w:instrText>
                        </w:r>
                        <w:r>
                          <w:fldChar w:fldCharType="separate"/>
                        </w:r>
                        <w:r w:rsidR="00255656">
                          <w:rPr>
                            <w:noProof/>
                          </w:rPr>
                          <w:t>4</w:t>
                        </w:r>
                        <w:r>
                          <w:rPr>
                            <w:noProof/>
                          </w:rPr>
                          <w:fldChar w:fldCharType="end"/>
                        </w:r>
                        <w:bookmarkEnd w:id="48"/>
                        <w:r w:rsidRPr="00C15B0E">
                          <w:t xml:space="preserve"> </w:t>
                        </w:r>
                        <w:r w:rsidRPr="00AA3219">
                          <w:t>C</w:t>
                        </w:r>
                        <w:r>
                          <w:t>urrent c</w:t>
                        </w:r>
                        <w:r w:rsidRPr="00AA3219">
                          <w:t>linical management algorithm</w:t>
                        </w:r>
                        <w:r>
                          <w:t xml:space="preserve"> osteoporosis management of</w:t>
                        </w:r>
                        <w:r w:rsidRPr="00AA3219">
                          <w:t xml:space="preserve"> </w:t>
                        </w:r>
                        <w:r>
                          <w:t>men and women aged 50-69, with risk factors</w:t>
                        </w:r>
                      </w:p>
                    </w:txbxContent>
                  </v:textbox>
                </v:shape>
                <v:shape id="Text Box 123" o:spid="_x0000_s1129" type="#_x0000_t202" style="position:absolute;left:36286;top:3983;width:8408;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ZocYA&#10;AADbAAAADwAAAGRycy9kb3ducmV2LnhtbESPT2vCQBTE74LfYXlCL6KbFNpK6hpELBYPBf+05+fu&#10;axLMvo3ZrUY/fVco9DjMzG+Yad7ZWpyp9ZVjBek4AUGsnam4ULDfvY0mIHxANlg7JgVX8pDP+r0p&#10;ZsZdeEPnbShEhLDPUEEZQpNJ6XVJFv3YNcTR+3atxRBlW0jT4iXCbS0fk+RZWqw4LpTY0KIkfdz+&#10;WAWr9SG9rT+XenXiQy03X0NtFx9KPQy6+SuIQF34D/+1342Cpx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qZocYAAADbAAAADwAAAAAAAAAAAAAAAACYAgAAZHJz&#10;L2Rvd25yZXYueG1sUEsFBgAAAAAEAAQA9QAAAIsDA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All other factors</w:t>
                        </w:r>
                      </w:p>
                    </w:txbxContent>
                  </v:textbox>
                </v:shape>
                <v:shape id="Text Box 123" o:spid="_x0000_s1130" type="#_x0000_t202" style="position:absolute;left:25019;top:41529;width:4762;height:39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N08MA&#10;AADbAAAADwAAAGRycy9kb3ducmV2LnhtbERPy2rCQBTdF/yH4QpuSjNRUErqKEUqiouC9rG+mblN&#10;QjN30syYRL++sxBcHs57uR5sLTpqfeVYwTRJQRBrZyouFHx+bJ+eQfiAbLB2TAou5GG9Gj0sMTOu&#10;5yN1p1CIGMI+QwVlCE0mpdclWfSJa4gj9+NaiyHCtpCmxT6G21rO0nQhLVYcG0psaFOS/j2drYLd&#10;IZ9eD19vevfHeS2P34/abt6VmoyH1xcQgYZwF9/ce6NgHsfG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UN08MAAADbAAAADwAAAAAAAAAAAAAAAACYAgAAZHJzL2Rv&#10;d25yZXYueG1sUEsFBgAAAAAEAAQA9QAAAIgDA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31" type="#_x0000_t202" style="position:absolute;left:32067;top:36957;width:351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oSMYA&#10;AADbAAAADwAAAGRycy9kb3ducmV2LnhtbESPT2vCQBTE74LfYXlCL6KbFFpq6hpELBYPBf+05+fu&#10;axLMvo3ZrUY/fVco9DjMzG+Yad7ZWpyp9ZVjBek4AUGsnam4ULDfvY1eQPiAbLB2TAqu5CGf9XtT&#10;zIy78IbO21CICGGfoYIyhCaT0uuSLPqxa4ij9+1aiyHKtpCmxUuE21o+JsmztFhxXCixoUVJ+rj9&#10;sQpW60N6W38u9erEh1puvobaLj6Uehh081cQgbrwH/5rvxsFTxO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moSMYAAADbAAAADwAAAAAAAAAAAAAAAACYAgAAZHJz&#10;L2Rvd25yZXYueG1sUEsFBgAAAAAEAAQA9QAAAIsDA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132" type="#_x0000_t202" style="position:absolute;left:26225;top:36957;width:309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aMEA&#10;AADbAAAADwAAAGRycy9kb3ducmV2LnhtbERPy4rCMBTdC/MP4Q7MRjR1FiIdo4goDi4EX7O+Ta5t&#10;sbmpTdSOX28WgsvDeY+nra3EjRpfOlYw6CcgiLUzJecKDvtlbwTCB2SDlWNS8E8eppOPzhhT4+68&#10;pdsu5CKGsE9RQRFCnUrpdUEWfd/VxJE7ucZiiLDJpWnwHsNtJb+TZCgtlhwbCqxpXpA+765WwWqd&#10;DR7r40KvLpxVcvvX1Xa+Uerrs539gAjUhrf45f41CoZxffwSf4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vy2jBAAAA2wAAAA8AAAAAAAAAAAAAAAAAmAIAAGRycy9kb3du&#10;cmV2LnhtbFBLBQYAAAAABAAEAPUAAACGAw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133" type="#_x0000_t202" style="position:absolute;left:32067;top:41529;width:4763;height:39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u88UA&#10;AADbAAAADwAAAGRycy9kb3ducmV2LnhtbESPzWrDMBCE74W+g9hCLyWR3UMoTmRTQkNKDoH8ntfS&#10;xjaxVo6lJk6fvioUehxm5htmVgy2FVfqfeNYQTpOQBBrZxquFOx3i9EbCB+QDbaOScGdPBT548MM&#10;M+NuvKHrNlQiQthnqKAOocuk9Lomi37sOuLonVxvMUTZV9L0eItw28rXJJlIiw3HhRo7mtekz9sv&#10;q2C5KtPv1eFDLy9ctnJzfNF2vlbq+Wl4n4IINIT/8F/70yiYpPD7Jf4A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27zxQAAANsAAAAPAAAAAAAAAAAAAAAAAJgCAABkcnMv&#10;ZG93bnJldi54bWxQSwUGAAAAAAQABAD1AAAAigM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34" type="#_x0000_t202" style="position:absolute;left:44872;top:14658;width:8197;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whMUA&#10;AADbAAAADwAAAGRycy9kb3ducmV2LnhtbESPzWrDMBCE74W8g9hALyWR7UMoTpRQQoqLD4X8njfS&#10;xja1Vo6lJm6fvioUehxm5htmsRpsK27U+8axgnSagCDWzjRcKTjsXyfPIHxANtg6JgVf5GG1HD0s&#10;MDfuzlu67UIlIoR9jgrqELpcSq9rsuinriOO3sX1FkOUfSVNj/cIt63MkmQmLTYcF2rsaF2T/th9&#10;WgVFeU6/y+NGF1c+t3J7etJ2/a7U43h4mYMINIT/8F/7zSiYZf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fCExQAAANsAAAAPAAAAAAAAAAAAAAAAAJgCAABkcnMv&#10;ZG93bnJldi54bWxQSwUGAAAAAAQABAD1AAAAigM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Risk factors (a)</w:t>
                        </w:r>
                      </w:p>
                    </w:txbxContent>
                  </v:textbox>
                </v:shape>
                <v:shape id="Text Box 123" o:spid="_x0000_s1135" type="#_x0000_t202" style="position:absolute;left:26828;top:14658;width:7887;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VH8UA&#10;AADbAAAADwAAAGRycy9kb3ducmV2LnhtbESPQWvCQBSE70L/w/IKvYjZWEFK6iYUsSgeCtrW83P3&#10;NQnNvo3ZrUZ/vVsQPA4z8w0zK3rbiCN1vnasYJykIIi1MzWXCr4+30cvIHxANtg4JgVn8lDkD4MZ&#10;ZsadeEPHbShFhLDPUEEVQptJ6XVFFn3iWuLo/bjOYoiyK6Xp8BThtpHPaTqVFmuOCxW2NK9I/27/&#10;rILlej++rL8XenngfSM3u6G28w+lnh77t1cQgfpwD9/aK6NgOoH/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VUfxQAAANsAAAAPAAAAAAAAAAAAAAAAAJgCAABkcnMv&#10;ZG93bnJldi54bWxQSwUGAAAAAAQABAD1AAAAigM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No risk factors</w:t>
                        </w:r>
                      </w:p>
                    </w:txbxContent>
                  </v:textbox>
                </v:shape>
                <v:shape id="Text Box 123" o:spid="_x0000_s1136" type="#_x0000_t202" style="position:absolute;left:32324;top:8544;width:16383;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9/8MYA&#10;AADcAAAADwAAAGRycy9kb3ducmV2LnhtbESPQWsCQQyF70L/w5BCL0Vn9SBl6ygiFouHgtr2HGfi&#10;7uJOZt2Z6tZfbw6Ct4T38t6XyazztTpTG6vABoaDDBSxDa7iwsD37qP/BiomZId1YDLwTxFm06fe&#10;BHMXLryh8zYVSkI45migTKnJtY62JI9xEBpi0Q6h9ZhkbQvtWrxIuK/1KMvG2mPF0lBiQ4uS7HH7&#10;5w2s1vvhdf2ztKsT72u9+X21fvFlzMtzN38HlahLD/P9+tMJ/kho5RmZQE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9/8MYAAADcAAAADwAAAAAAAAAAAAAAAACYAgAAZHJz&#10;L2Rvd25yZXYueG1sUEsFBgAAAAAEAAQA9QAAAIsDA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Men and women aged 50-69 years</w:t>
                        </w:r>
                      </w:p>
                    </w:txbxContent>
                  </v:textbox>
                </v:shape>
                <v:shape id="Text Box 123" o:spid="_x0000_s1137" type="#_x0000_t202" style="position:absolute;left:43233;top:41529;width:4763;height:39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a8QA&#10;AADcAAAADwAAAGRycy9kb3ducmV2LnhtbERPTWvCQBC9F/wPywi9FLOJh1JTV5FgsXgoqK3ncXea&#10;BLOzMbvVtL/eFYTe5vE+ZzrvbSPO1PnasYIsSUEQa2dqLhV87t5GLyB8QDbYOCYFv+RhPhs8TDE3&#10;7sIbOm9DKWII+xwVVCG0uZReV2TRJ64ljty36yyGCLtSmg4vMdw2cpymz9JizbGhwpaKivRx+2MV&#10;rNaH7G/9tdSrEx8audk/aVt8KPU47BevIAL14V98d7+bOH88gdsz8QI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2mv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38" type="#_x0000_t202" style="position:absolute;left:50282;top:36957;width:3511;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lK8YA&#10;AADcAAAADwAAAGRycy9kb3ducmV2LnhtbESPQWsCQQyF7wX/wxChl6KzViiyOkoRi+KhoLae40zc&#10;XbqTWXemuu2vbw4Fbwnv5b0vs0Xna3WlNlaBDYyGGShiG1zFhYGPw9tgAiomZId1YDLwQxEW897D&#10;DHMXbryj6z4VSkI45migTKnJtY62JI9xGBpi0c6h9ZhkbQvtWrxJuK/1c5a9aI8VS0OJDS1Lsl/7&#10;b29gvT2NfrefK7u+8KnWu+OT9ct3Yx773esUVKIu3c3/1xsn+GPBl2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DlK8YAAADcAAAADwAAAAAAAAAAAAAAAACYAgAAZHJz&#10;L2Rvd25yZXYueG1sUEsFBgAAAAAEAAQA9QAAAIsDA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139" type="#_x0000_t202" style="position:absolute;left:44440;top:36957;width:309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AsMMA&#10;AADcAAAADwAAAGRycy9kb3ducmV2LnhtbERPTWsCMRC9C/6HMIKXotm1UGQ1iojF4kHQqucxGXcX&#10;N5PtJtWtv74pFLzN433OdN7aStyo8aVjBekwAUGsnSk5V3D4fB+MQfiAbLByTAp+yMN81u1MMTPu&#10;zju67UMuYgj7DBUUIdSZlF4XZNEPXU0cuYtrLIYIm1yaBu8x3FZylCRv0mLJsaHAmpYF6ev+2ypY&#10;b87pY3Nc6fUXnyu5O71ou9wq1e+1iwmIQG14iv/dHybOf03h75l4gZ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xAsMMAAADcAAAADwAAAAAAAAAAAAAAAACYAgAAZHJzL2Rv&#10;d25yZXYueG1sUEsFBgAAAAAEAAQA9QAAAIgDA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140" type="#_x0000_t202" style="position:absolute;left:50282;top:41529;width:4762;height:39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7ex8QA&#10;AADcAAAADwAAAGRycy9kb3ducmV2LnhtbERPTWvCQBC9F/wPywi9FLOJhSKpq0iwWDwU1NbzuDtN&#10;gtnZmN1q2l/vCkJv83ifM533thFn6nztWEGWpCCItTM1lwo+d2+jCQgfkA02jknBL3mYzwYPU8yN&#10;u/CGzttQihjCPkcFVQhtLqXXFVn0iWuJI/ftOoshwq6UpsNLDLeNHKfpi7RYc2yosKWiIn3c/lgF&#10;q/Uh+1t/LfXqxIdGbvZP2hYfSj0O+8UriEB9+Bff3e8mzn8ew+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O3sf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20" o:spid="_x0000_s1141" type="#_x0000_t32" style="position:absolute;left:30813;top:17128;width:0;height:3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i0fcQAAADcAAAADwAAAGRycy9kb3ducmV2LnhtbERPTWvCQBC9F/oflhG8lLrRgEh0E6RQ&#10;EBFE20tvQ3aSDWZn0+waY399t1DwNo/3OZtitK0YqPeNYwXzWQKCuHS64VrB58f76wqED8gaW8ek&#10;4E4eivz5aYOZdjc+0XAOtYgh7DNUYELoMil9aciin7mOOHKV6y2GCPta6h5vMdy2cpEkS2mx4dhg&#10;sKM3Q+XlfLUKXk5fTV1V18Pdpz/HVbI/fptyUGo6GbdrEIHG8BD/u3c6zk9T+HsmXi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LR9xAAAANwAAAAPAAAAAAAAAAAA&#10;AAAAAKECAABkcnMvZG93bnJldi54bWxQSwUGAAAAAAQABAD5AAAAkgMAAAAA&#10;">
                  <v:stroke endarrow="open"/>
                </v:shape>
                <v:shape id="Straight Arrow Connector 21" o:spid="_x0000_s1142" type="#_x0000_t32" style="position:absolute;left:48990;top:17128;width:0;height:3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EsCcQAAADcAAAADwAAAGRycy9kb3ducmV2LnhtbERPS2vCQBC+C/0PyxS8SN34oITUVYog&#10;iAii7aW3ITvJhmZnY3aN0V/fLQje5uN7zmLV21p01PrKsYLJOAFBnDtdcang+2vzloLwAVlj7ZgU&#10;3MjDavkyWGCm3ZWP1J1CKWII+wwVmBCaTEqfG7Lox64hjlzhWoshwraUusVrDLe1nCbJu7RYcWww&#10;2NDaUP57ulgFo+NPVRbFZX/zs/shTXaHs8k7pYav/ecHiEB9eIof7q2O82dz+H8mX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SwJxAAAANwAAAAPAAAAAAAAAAAA&#10;AAAAAKECAABkcnMvZG93bnJldi54bWxQSwUGAAAAAAQABAD5AAAAkgMAAAAA&#10;">
                  <v:stroke endarrow="open"/>
                </v:shape>
                <v:line id="Straight Connector 22" o:spid="_x0000_s1143" style="position:absolute;visibility:visible;mso-wrap-style:square" from="28098,34766" to="34004,34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shape id="Straight Arrow Connector 23" o:spid="_x0000_s1144" type="#_x0000_t32" style="position:absolute;left:28098;top:34766;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GkEcMAAADcAAAADwAAAGRycy9kb3ducmV2LnhtbERPTWvCQBC9F/oflil4Kbox0lRiVimC&#10;tdCTWvA6ZCfZkOxsyG5j+u/dQqG3ebzPKXaT7cRIg28cK1guEhDEpdMN1wq+Lof5GoQPyBo7x6Tg&#10;hzzsto8PBeba3fhE4znUIoawz1GBCaHPpfSlIYt+4XriyFVusBgiHGqpB7zFcNvJNEkyabHh2GCw&#10;p72hsj1/WwVVqmn53F7N8fUFq/3nKh3H7l2p2dP0tgERaAr/4j/3h47zVxn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hpBHDAAAA3AAAAA8AAAAAAAAAAAAA&#10;AAAAoQIAAGRycy9kb3ducmV2LnhtbFBLBQYAAAAABAAEAPkAAACRAwAAAAA=&#10;">
                  <v:stroke endarrow="open"/>
                </v:shape>
                <v:shape id="Straight Arrow Connector 24" o:spid="_x0000_s1145" type="#_x0000_t32" style="position:absolute;left:34004;top:34766;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BisEAAADcAAAADwAAAGRycy9kb3ducmV2LnhtbERPTYvCMBC9C/6HMMJeZE2tuC5do4iw&#10;ruBpVdjr0EybYjMpTaz1328Ewds83ucs172tRUetrxwrmE4SEMS50xWXCs6n7/dPED4ga6wdk4I7&#10;eVivhoMlZtrd+Je6YyhFDGGfoQITQpNJ6XNDFv3ENcSRK1xrMUTYllK3eIvhtpZpknxIixXHBoMN&#10;bQ3ll+PVKihSTdPx5c/8LOZYbA+ztOvqnVJvo37zBSJQH17ip3uv4/zZAh7PxAv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7QGKwQAAANwAAAAPAAAAAAAAAAAAAAAA&#10;AKECAABkcnMvZG93bnJldi54bWxQSwUGAAAAAAQABAD5AAAAjwMAAAAA&#10;">
                  <v:stroke endarrow="open"/>
                </v:shape>
                <v:line id="Straight Connector 25" o:spid="_x0000_s1146" style="position:absolute;visibility:visible;mso-wrap-style:square" from="30727,31718" to="30727,34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Straight Connector 26" o:spid="_x0000_s1147" style="position:absolute;visibility:visible;mso-wrap-style:square" from="46091,34766" to="51996,34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shape id="Straight Arrow Connector 27" o:spid="_x0000_s1148" type="#_x0000_t32" style="position:absolute;left:46091;top:34766;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Lqg8UAAADcAAAADwAAAGRycy9kb3ducmV2LnhtbESPQWvCQBCF74X+h2UKvRTdGFuV1FWK&#10;UFvoqVbwOmQn2WB2NmS3Mf33nYPgbYb35r1v1tvRt2qgPjaBDcymGSjiMtiGawPHn/fJClRMyBbb&#10;wGTgjyJsN/d3ayxsuPA3DYdUKwnhWKABl1JXaB1LRx7jNHTEolWh95hk7Wtte7xIuG91nmUL7bFh&#10;aXDY0c5ReT78egNVbmn2dD65j+ULVruveT4M7d6Yx4fx7RVUojHdzNfrTyv4z4Ivz8gEe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Lqg8UAAADcAAAADwAAAAAAAAAA&#10;AAAAAAChAgAAZHJzL2Rvd25yZXYueG1sUEsFBgAAAAAEAAQA+QAAAJMDAAAAAA==&#10;">
                  <v:stroke endarrow="open"/>
                </v:shape>
                <v:shape id="Straight Arrow Connector 28" o:spid="_x0000_s1149" type="#_x0000_t32" style="position:absolute;left:51996;top:34766;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5PGMIAAADcAAAADwAAAGRycy9kb3ducmV2LnhtbERPTWvCQBC9F/wPywi9FN0ktirRVYrQ&#10;WvBUFbwO2Uk2mJ0N2W1M/70rFHqbx/uc9Xawjeip87VjBek0AUFcOF1zpeB8+pgsQfiArLFxTAp+&#10;ycN2M3paY67djb+pP4ZKxBD2OSowIbS5lL4wZNFPXUscudJ1FkOEXSV1h7cYbhuZJclcWqw5Nhhs&#10;aWeouB5/rIIy05S+XC9mv3jDcneYZX3ffCr1PB7eVyACDeFf/Of+0nH+awqPZ+IF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5PGMIAAADcAAAADwAAAAAAAAAAAAAA&#10;AAChAgAAZHJzL2Rvd25yZXYueG1sUEsFBgAAAAAEAAQA+QAAAJADAAAAAA==&#10;">
                  <v:stroke endarrow="open"/>
                </v:shape>
                <v:line id="Straight Connector 29" o:spid="_x0000_s1150" style="position:absolute;visibility:visible;mso-wrap-style:square" from="48720,31718" to="48720,34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shape id="Straight Arrow Connector 30" o:spid="_x0000_s1151" type="#_x0000_t32" style="position:absolute;left:28003;top:39433;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shape id="Straight Arrow Connector 228" o:spid="_x0000_s1152" type="#_x0000_t32" style="position:absolute;left:33823;top:39433;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nsgMMAAADcAAAADwAAAGRycy9kb3ducmV2LnhtbERPTWvCQBC9C/0Pywi9lLox1SrRTShC&#10;a6GnaqHXITvJBrOzIbuN6b93BcHbPN7nbIvRtmKg3jeOFcxnCQji0umGawU/x/fnNQgfkDW2jknB&#10;P3ko8ofJFjPtzvxNwyHUIoawz1CBCaHLpPSlIYt+5jriyFWutxgi7GupezzHcNvKNElepcWGY4PB&#10;jnaGytPhzyqoUk3zp9Ov2a+WWO2+XtJhaD+UepyObxsQgcZwF9/cnzrOXyzg+ky8QO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57IDDAAAA3AAAAA8AAAAAAAAAAAAA&#10;AAAAoQIAAGRycy9kb3ducmV2LnhtbFBLBQYAAAAABAAEAPkAAACRAwAAAAA=&#10;">
                  <v:stroke endarrow="open"/>
                </v:shape>
                <v:shape id="Straight Arrow Connector 229" o:spid="_x0000_s1153" type="#_x0000_t32" style="position:absolute;left:46091;top:39433;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VJG8MAAADcAAAADwAAAGRycy9kb3ducmV2LnhtbERPTWvCQBC9C/0PyxR6KXVjWm1J3YgI&#10;tYIntdDrkJ1kQ7KzIbvG+O+7BcHbPN7nLFejbcVAva8dK5hNExDEhdM1Vwp+Tl8vHyB8QNbYOiYF&#10;V/Kwyh8mS8y0u/CBhmOoRAxhn6ECE0KXSekLQxb91HXEkStdbzFE2FdS93iJ4baVaZIspMWaY4PB&#10;jjaGiuZ4tgrKVNPsufk13+9zLDf713QY2q1ST4/j+hNEoDHcxTf3Tsf5b3P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SRvDAAAA3AAAAA8AAAAAAAAAAAAA&#10;AAAAoQIAAGRycy9kb3ducmV2LnhtbFBLBQYAAAAABAAEAPkAAACRAwAAAAA=&#10;">
                  <v:stroke endarrow="open"/>
                </v:shape>
                <v:shape id="Straight Arrow Connector 230" o:spid="_x0000_s1154" type="#_x0000_t32" style="position:absolute;left:52038;top:39433;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ty98MAAADcAAAADwAAAGRycy9kb3ducmV2LnhtbERPTWvCQBC9C/0PyxR6KXVjWmtJ3YgI&#10;tYIntdDrkJ1kQ7KzIbvG+O+7BcHbPN7nLFejbcVAva8dK5hNExDEhdM1Vwp+Tl8vHyB8QNbYOiYF&#10;V/Kwyh8mS8y0u/CBhmOoRAxhn6ECE0KXSekLQxb91HXEkStdbzFE2FdS93iJ4baVaZK8S4s1xwaD&#10;HW0MFc3xbBWUqabZc/NrvhdzLDf713QY2q1ST4/j+hNEoDHcxTf3Tsf5bwv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cvfDAAAA3AAAAA8AAAAAAAAAAAAA&#10;AAAAoQIAAGRycy9kb3ducmV2LnhtbFBLBQYAAAAABAAEAPkAAACRAwAAAAA=&#10;">
                  <v:stroke endarrow="open"/>
                </v:shape>
                <v:line id="Straight Connector 231" o:spid="_x0000_s1155" style="position:absolute;visibility:visible;mso-wrap-style:square" from="30813,13239" to="48942,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shape id="Straight Arrow Connector 232" o:spid="_x0000_s1156" type="#_x0000_t32" style="position:absolute;left:30727;top:13239;width:0;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DHsMAAADcAAAADwAAAGRycy9kb3ducmV2LnhtbERPTWvCQBC9C/0Pywi9lLox1arRVYrQ&#10;KngyLXgdspNsMDsbstuY/vtuoeBtHu9zNrvBNqKnzteOFUwnCQjiwumaKwVfn+/PSxA+IGtsHJOC&#10;H/Kw2z6MNphpd+Mz9XmoRAxhn6ECE0KbSekLQxb9xLXEkStdZzFE2FVSd3iL4baRaZK8Sos1xwaD&#10;Le0NFdf82yooU03Tp+vFHBZzLPenl7Tvmw+lHsfD2xpEoCHcxf/uo47zZyv4eyZe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4Qx7DAAAA3AAAAA8AAAAAAAAAAAAA&#10;AAAAoQIAAGRycy9kb3ducmV2LnhtbFBLBQYAAAAABAAEAPkAAACRAwAAAAA=&#10;">
                  <v:stroke endarrow="open"/>
                </v:shape>
                <v:shape id="Straight Arrow Connector 233" o:spid="_x0000_s1157" type="#_x0000_t32" style="position:absolute;left:48942;top:13239;width:48;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t8XsUAAADcAAAADwAAAGRycy9kb3ducmV2LnhtbESPQWvCQBCF74X+h2WEXopuTLFKdJUi&#10;2Ao91Ra8DtlJNpidDdk1pv++cxB6m+G9ee+bzW70rRqoj01gA/NZBoq4DLbh2sDP92G6AhUTssU2&#10;MBn4pQi77ePDBgsbbvxFwynVSkI4FmjApdQVWsfSkcc4Cx2xaFXoPSZZ+1rbHm8S7ludZ9mr9tiw&#10;NDjsaO+ovJyu3kCVW5o/X87uY7nAav/5kg9D+27M02R8W4NKNKZ/8/36aAV/IfjyjEy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t8XsUAAADcAAAADwAAAAAAAAAA&#10;AAAAAAChAgAAZHJzL2Rvd25yZXYueG1sUEsFBgAAAAAEAAQA+QAAAJMDAAAAAA==&#10;">
                  <v:stroke endarrow="open"/>
                </v:shape>
                <v:line id="Straight Connector 234" o:spid="_x0000_s1158" style="position:absolute;visibility:visible;mso-wrap-style:square" from="40522,11014" to="40576,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shape id="Straight Arrow Connector 235" o:spid="_x0000_s1159" type="#_x0000_t32" style="position:absolute;left:40490;top:6459;width:32;height:2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HssIAAADcAAAADwAAAGRycy9kb3ducmV2LnhtbERPTWvCQBC9C/0PyxR6Ed2YYi2pGylC&#10;a8GTqeB1yE6yIdnZkN3G9N+7hYK3ebzP2e4m24mRBt84VrBaJiCIS6cbrhWcvz8WryB8QNbYOSYF&#10;v+Rhlz/Mtphpd+UTjUWoRQxhn6ECE0KfSelLQxb90vXEkavcYDFEONRSD3iN4baTaZK8SIsNxwaD&#10;Pe0NlW3xYxVUqabVvL2Yw2aN1f74nI5j96nU0+P0/gYi0BTu4n/3l47z1yn8PRMv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HssIAAADcAAAADwAAAAAAAAAAAAAA&#10;AAChAgAAZHJzL2Rvd25yZXYueG1sUEsFBgAAAAAEAAQA+QAAAJADAAAAAA==&#10;">
                  <v:stroke endarrow="open"/>
                </v:shape>
                <v:shape id="Text Box 236" o:spid="_x0000_s1160" type="#_x0000_t202" style="position:absolute;left:56349;top:3983;width:30785;height:7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2e/MQA&#10;AADcAAAADwAAAGRycy9kb3ducmV2LnhtbERPS2vCQBC+C/6HZYReRDdpaZHUNYhYLB4KPtrzuDtN&#10;gtnZmN1q9Nd3hUJv8/E9Z5p3thZnan3lWEE6TkAQa2cqLhTsd2+jCQgfkA3WjknBlTzks35viplx&#10;F97QeRsKEUPYZ6igDKHJpPS6JIt+7BriyH271mKIsC2kafESw20tH5PkRVqsODaU2NCiJH3c/lgF&#10;q/Uhva0/l3p14kMtN19DbRcfSj0MuvkriEBd+Bf/ud9NnP/8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nvzEAAAA3AAAAA8AAAAAAAAAAAAAAAAAmAIAAGRycy9k&#10;b3ducmV2LnhtbFBLBQYAAAAABAAEAPUAAACJAwAAAAA=&#10;" strokeweight=".5pt">
                  <v:textbox>
                    <w:txbxContent>
                      <w:p w:rsidR="00224467" w:rsidRPr="00504889" w:rsidRDefault="00224467" w:rsidP="00000A92">
                        <w:pPr>
                          <w:spacing w:after="0"/>
                          <w:rPr>
                            <w:rFonts w:ascii="Arial Narrow" w:hAnsi="Arial Narrow"/>
                            <w:sz w:val="18"/>
                            <w:szCs w:val="18"/>
                          </w:rPr>
                        </w:pPr>
                        <w:r w:rsidRPr="00504889">
                          <w:rPr>
                            <w:rFonts w:ascii="Arial Narrow" w:hAnsi="Arial Narrow"/>
                            <w:sz w:val="18"/>
                            <w:szCs w:val="18"/>
                          </w:rPr>
                          <w:t>Notes: MTF, minimal trauma fracture</w:t>
                        </w:r>
                      </w:p>
                      <w:p w:rsidR="00224467" w:rsidRPr="00504889" w:rsidRDefault="00224467" w:rsidP="00000A92">
                        <w:pPr>
                          <w:spacing w:after="0"/>
                          <w:rPr>
                            <w:rFonts w:ascii="Arial Narrow" w:hAnsi="Arial Narrow"/>
                            <w:sz w:val="18"/>
                            <w:szCs w:val="18"/>
                          </w:rPr>
                        </w:pPr>
                        <w:r w:rsidRPr="00504889">
                          <w:rPr>
                            <w:rFonts w:ascii="Arial Narrow" w:hAnsi="Arial Narrow"/>
                            <w:sz w:val="18"/>
                            <w:szCs w:val="18"/>
                          </w:rPr>
                          <w:t>(a) To be determined</w:t>
                        </w:r>
                      </w:p>
                      <w:p w:rsidR="00224467" w:rsidRPr="00504889" w:rsidRDefault="00224467" w:rsidP="00000A92">
                        <w:pPr>
                          <w:pStyle w:val="NormalWeb"/>
                          <w:spacing w:before="0" w:beforeAutospacing="0" w:after="0" w:afterAutospacing="0" w:line="276" w:lineRule="auto"/>
                          <w:rPr>
                            <w:color w:val="000000"/>
                            <w:sz w:val="18"/>
                            <w:szCs w:val="18"/>
                          </w:rPr>
                        </w:pPr>
                        <w:r w:rsidRPr="00504889">
                          <w:rPr>
                            <w:rFonts w:ascii="Arial Narrow" w:hAnsi="Arial Narrow"/>
                            <w:color w:val="000000"/>
                            <w:sz w:val="18"/>
                            <w:szCs w:val="18"/>
                          </w:rPr>
                          <w:t>(b) Exercise, sunshine, general bone health awareness</w:t>
                        </w:r>
                      </w:p>
                      <w:p w:rsidR="00224467" w:rsidRPr="00504889" w:rsidRDefault="00224467" w:rsidP="00000A92">
                        <w:pPr>
                          <w:pStyle w:val="NormalWeb"/>
                          <w:spacing w:before="0" w:beforeAutospacing="0" w:after="0" w:afterAutospacing="0" w:line="276" w:lineRule="auto"/>
                          <w:rPr>
                            <w:color w:val="000000"/>
                            <w:sz w:val="18"/>
                            <w:szCs w:val="18"/>
                          </w:rPr>
                        </w:pPr>
                        <w:r w:rsidRPr="00504889">
                          <w:rPr>
                            <w:rFonts w:ascii="Arial Narrow" w:hAnsi="Arial Narrow"/>
                            <w:color w:val="000000"/>
                            <w:sz w:val="18"/>
                            <w:szCs w:val="18"/>
                          </w:rPr>
                          <w:t>(c) Calcium (1300mg/day), ensure replete vitamin D status &gt;60nmol/L</w:t>
                        </w:r>
                      </w:p>
                    </w:txbxContent>
                  </v:textbox>
                </v:shape>
                <v:shape id="Text Box 123" o:spid="_x0000_s1161" type="#_x0000_t202" style="position:absolute;left:16033;top:20183;width:21749;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iMQA&#10;AADcAAAADwAAAGRycy9kb3ducmV2LnhtbERPS2vCQBC+C/6HZYReRDcpbZHUNYhYLB4KPtrzuDtN&#10;gtnZmN1q9Nd3hUJv8/E9Z5p3thZnan3lWEE6TkAQa2cqLhTsd2+jCQgfkA3WjknBlTzks35viplx&#10;F97QeRsKEUPYZ6igDKHJpPS6JIt+7BriyH271mKIsC2kafESw20tH5PkRVqsODaU2NCiJH3c/lgF&#10;q/Uhva0/l3p14kMtN19DbRcfSj0MuvkriEBd+Bf/ud9NnP/8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0BojEAAAA3AAAAA8AAAAAAAAAAAAAAAAAmAIAAGRycy9k&#10;b3ducmV2LnhtbFBLBQYAAAAABAAEAPUAAACJAwAAAAA=&#10;" strokeweight=".5pt">
                  <v:textbox>
                    <w:txbxContent>
                      <w:p w:rsidR="00224467" w:rsidRDefault="00224467" w:rsidP="00000A92">
                        <w:pPr>
                          <w:pStyle w:val="NormalWeb"/>
                          <w:spacing w:before="0" w:beforeAutospacing="0" w:after="0" w:afterAutospacing="0" w:line="276" w:lineRule="auto"/>
                          <w:jc w:val="center"/>
                        </w:pPr>
                        <w:r>
                          <w:rPr>
                            <w:rFonts w:ascii="Arial Narrow" w:hAnsi="Arial Narrow"/>
                            <w:sz w:val="18"/>
                            <w:szCs w:val="18"/>
                          </w:rPr>
                          <w:t>Clinical assessment, test for vitamin D,</w:t>
                        </w:r>
                      </w:p>
                      <w:p w:rsidR="00224467" w:rsidRDefault="00224467" w:rsidP="00000A92">
                        <w:pPr>
                          <w:pStyle w:val="NormalWeb"/>
                          <w:spacing w:before="0" w:beforeAutospacing="0" w:after="0" w:afterAutospacing="0" w:line="276" w:lineRule="auto"/>
                          <w:jc w:val="center"/>
                        </w:pPr>
                        <w:r>
                          <w:rPr>
                            <w:rFonts w:ascii="Arial Narrow" w:hAnsi="Arial Narrow"/>
                            <w:sz w:val="18"/>
                            <w:szCs w:val="18"/>
                          </w:rPr>
                          <w:t>Including existing fracture risk assessment tools</w:t>
                        </w:r>
                      </w:p>
                    </w:txbxContent>
                  </v:textbox>
                </v:shape>
                <v:shape id="Text Box 123" o:spid="_x0000_s1162" type="#_x0000_t202" style="position:absolute;left:42471;top:20183;width:21749;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jE8QA&#10;AADcAAAADwAAAGRycy9kb3ducmV2LnhtbERPTWvCQBC9F/wPywheim4sWCTNRkRaFA+C2noed6dJ&#10;MDubZleN/vpuQehtHu9zsllna3Gh1leOFYxHCQhi7UzFhYLP/cdwCsIHZIO1Y1JwIw+zvPeUYWrc&#10;lbd02YVCxBD2KSooQ2hSKb0uyaIfuYY4ct+utRgibAtpWrzGcFvLlyR5lRYrjg0lNrQoSZ92Z6tg&#10;uT6O7+uvd7384WMtt4dnbRcbpQb9bv4GIlAX/sUP98rE+ZMJ/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4oxPEAAAA3AAAAA8AAAAAAAAAAAAAAAAAmAIAAGRycy9k&#10;b3ducmV2LnhtbFBLBQYAAAAABAAEAPUAAACJAwAAAAA=&#10;" strokeweight=".5pt">
                  <v:textbox>
                    <w:txbxContent>
                      <w:p w:rsidR="00224467" w:rsidRDefault="00224467" w:rsidP="00000A92">
                        <w:pPr>
                          <w:pStyle w:val="NormalWeb"/>
                          <w:spacing w:before="0" w:beforeAutospacing="0" w:after="0" w:afterAutospacing="0" w:line="276" w:lineRule="auto"/>
                          <w:jc w:val="center"/>
                        </w:pPr>
                        <w:r>
                          <w:rPr>
                            <w:rFonts w:ascii="Arial Narrow" w:hAnsi="Arial Narrow"/>
                            <w:sz w:val="18"/>
                            <w:szCs w:val="18"/>
                          </w:rPr>
                          <w:t>Clinical assessment, test for vitamin D,</w:t>
                        </w:r>
                      </w:p>
                      <w:p w:rsidR="00224467" w:rsidRDefault="00224467" w:rsidP="00000A92">
                        <w:pPr>
                          <w:pStyle w:val="NormalWeb"/>
                          <w:spacing w:before="0" w:beforeAutospacing="0" w:after="0" w:afterAutospacing="0" w:line="276" w:lineRule="auto"/>
                          <w:jc w:val="center"/>
                        </w:pPr>
                        <w:r>
                          <w:rPr>
                            <w:rFonts w:ascii="Arial Narrow" w:hAnsi="Arial Narrow"/>
                            <w:sz w:val="18"/>
                            <w:szCs w:val="18"/>
                          </w:rPr>
                          <w:t>Including existing fracture risk assessment tools</w:t>
                        </w:r>
                      </w:p>
                    </w:txbxContent>
                  </v:textbox>
                </v:shape>
                <v:shape id="Text Box 123" o:spid="_x0000_s1163" type="#_x0000_t202" style="position:absolute;left:26352;top:28575;width:10103;height:40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9ZMQA&#10;AADcAAAADwAAAGRycy9kb3ducmV2LnhtbERPTWvCQBC9C/0PyxR6EbOxoJTUTShiUTwUtK3ncXea&#10;hGZnY3ar0V/vFgRv83ifMyt624gjdb52rGCcpCCItTM1lwq+Pt9HLyB8QDbYOCYFZ/JQ5A+DGWbG&#10;nXhDx20oRQxhn6GCKoQ2k9Lriiz6xLXEkftxncUQYVdK0+EphttGPqfpVFqsOTZU2NK8Iv27/bMK&#10;luv9+LL+XujlgfeN3OyG2s4/lHp67N9eQQTqw118c69MnD+Zwv8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qPWT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Lifestyle advice (b)</w:t>
                        </w:r>
                      </w:p>
                      <w:p w:rsidR="00224467" w:rsidRDefault="00224467" w:rsidP="00346920">
                        <w:pPr>
                          <w:pStyle w:val="NormalWeb"/>
                          <w:spacing w:before="0" w:beforeAutospacing="0" w:after="0" w:afterAutospacing="0" w:line="276" w:lineRule="auto"/>
                        </w:pPr>
                        <w:r>
                          <w:rPr>
                            <w:rFonts w:ascii="Arial Narrow" w:hAnsi="Arial Narrow"/>
                            <w:sz w:val="18"/>
                            <w:szCs w:val="18"/>
                          </w:rPr>
                          <w:t>+/- Supplements (c)</w:t>
                        </w:r>
                      </w:p>
                    </w:txbxContent>
                  </v:textbox>
                </v:shape>
                <v:shape id="Text Box 123" o:spid="_x0000_s1164" type="#_x0000_t202" style="position:absolute;left:44567;top:28575;width:10103;height:40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Y/8QA&#10;AADcAAAADwAAAGRycy9kb3ducmV2LnhtbERPS2vCQBC+C/6HZYReRDcptJXUNYhYLB4KPtrzuDtN&#10;gtnZmN1q9Nd3hUJv8/E9Z5p3thZnan3lWEE6TkAQa2cqLhTsd2+jCQgfkA3WjknBlTzks35viplx&#10;F97QeRsKEUPYZ6igDKHJpPS6JIt+7BriyH271mKIsC2kafESw20tH5PkWVqsODaU2NCiJH3c/lgF&#10;q/Uhva0/l3p14kMtN19DbRcfSj0MuvkriEBd+Bf/ud9NnP/0Av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mmP/EAAAA3A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Lifestyle advice (b)</w:t>
                        </w:r>
                      </w:p>
                      <w:p w:rsidR="00224467" w:rsidRDefault="00224467" w:rsidP="00346920">
                        <w:pPr>
                          <w:pStyle w:val="NormalWeb"/>
                          <w:spacing w:before="0" w:beforeAutospacing="0" w:after="0" w:afterAutospacing="0" w:line="276" w:lineRule="auto"/>
                        </w:pPr>
                        <w:r>
                          <w:rPr>
                            <w:rFonts w:ascii="Arial Narrow" w:hAnsi="Arial Narrow"/>
                            <w:sz w:val="18"/>
                            <w:szCs w:val="18"/>
                          </w:rPr>
                          <w:t>+/- Supplements (c)</w:t>
                        </w:r>
                      </w:p>
                    </w:txbxContent>
                  </v:textbox>
                </v:shape>
                <v:shape id="Straight Arrow Connector 4" o:spid="_x0000_s1165" type="#_x0000_t32" style="position:absolute;left:30813;top:24279;width:0;height:4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wWMUAAADcAAAADwAAAGRycy9kb3ducmV2LnhtbESPQWvCQBCF74X+h2WEXopuTLFKdJUi&#10;2Ao91Ra8DtlJNpidDdk1pv++cxB6m+G9ee+bzW70rRqoj01gA/NZBoq4DLbh2sDP92G6AhUTssU2&#10;MBn4pQi77ePDBgsbbvxFwynVSkI4FmjApdQVWsfSkcc4Cx2xaFXoPSZZ+1rbHm8S7ludZ9mr9tiw&#10;NDjsaO+ovJyu3kCVW5o/X87uY7nAav/5kg9D+27M02R8W4NKNKZ/8/36aAV/IbTyjEy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1wWMUAAADcAAAADwAAAAAAAAAA&#10;AAAAAAChAgAAZHJzL2Rvd25yZXYueG1sUEsFBgAAAAAEAAQA+QAAAJMDAAAAAA==&#10;">
                  <v:stroke endarrow="open"/>
                </v:shape>
                <v:shape id="Straight Arrow Connector 14" o:spid="_x0000_s1166" type="#_x0000_t32" style="position:absolute;left:48990;top:24279;width:0;height:4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HVw8MAAADcAAAADwAAAGRycy9kb3ducmV2LnhtbERPTWvCQBC9C/0Pywi9lLoxRavRTShC&#10;a6GnaqHXITvJBrOzIbuN6b93BcHbPN7nbIvRtmKg3jeOFcxnCQji0umGawU/x/fnFQgfkDW2jknB&#10;P3ko8ofJFjPtzvxNwyHUIoawz1CBCaHLpPSlIYt+5jriyFWutxgi7GupezzHcNvKNEmW0mLDscFg&#10;RztD5enwZxVUqab50+nX7F8XWO2+XtJhaD+UepyObxsQgcZwF9/cnzrOX6zh+ky8QO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h1cPDAAAA3AAAAA8AAAAAAAAAAAAA&#10;AAAAoQIAAGRycy9kb3ducmV2LnhtbFBLBQYAAAAABAAEAPkAAACRAwAAAAA=&#10;">
                  <v:stroke endarrow="open"/>
                </v:shape>
                <w10:anchorlock/>
              </v:group>
            </w:pict>
          </mc:Fallback>
        </mc:AlternateContent>
      </w:r>
    </w:p>
    <w:p w:rsidR="00F86C9F" w:rsidRPr="00FA270C" w:rsidRDefault="00A1758F" w:rsidP="00FD3624">
      <w:r>
        <w:rPr>
          <w:noProof/>
          <w:lang w:eastAsia="en-AU"/>
        </w:rPr>
        <w:lastRenderedPageBreak/>
        <mc:AlternateContent>
          <mc:Choice Requires="wpc">
            <w:drawing>
              <wp:inline distT="0" distB="0" distL="0" distR="0" wp14:anchorId="5CAF7B8D" wp14:editId="5323A7BD">
                <wp:extent cx="9448800" cy="4914900"/>
                <wp:effectExtent l="0" t="0" r="0" b="0"/>
                <wp:docPr id="146" name="Canvas 146" descr="Figure 5 Proposed clinical management algorithm for osteoporosis management of men and women aged 50-69, with risk factors" title="Figure 5 Proposed clinical management algorithm for osteoporosis management of men and women aged 50-69, with risk factors"/>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282"/>
                        <wps:cNvSpPr txBox="1">
                          <a:spLocks noChangeArrowheads="1"/>
                        </wps:cNvSpPr>
                        <wps:spPr bwMode="auto">
                          <a:xfrm>
                            <a:off x="448900" y="0"/>
                            <a:ext cx="7811100" cy="257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24467" w:rsidRDefault="00224467" w:rsidP="00C66DED">
                              <w:pPr>
                                <w:pStyle w:val="Caption"/>
                              </w:pPr>
                              <w:bookmarkStart w:id="49" w:name="_Ref358199403"/>
                              <w:r>
                                <w:t xml:space="preserve">Figure </w:t>
                              </w:r>
                              <w:r>
                                <w:fldChar w:fldCharType="begin"/>
                              </w:r>
                              <w:r>
                                <w:instrText xml:space="preserve"> SEQ Figure \* ARABIC </w:instrText>
                              </w:r>
                              <w:r>
                                <w:fldChar w:fldCharType="separate"/>
                              </w:r>
                              <w:r w:rsidR="00255656">
                                <w:rPr>
                                  <w:noProof/>
                                </w:rPr>
                                <w:t>5</w:t>
                              </w:r>
                              <w:r>
                                <w:rPr>
                                  <w:noProof/>
                                </w:rPr>
                                <w:fldChar w:fldCharType="end"/>
                              </w:r>
                              <w:bookmarkEnd w:id="49"/>
                              <w:r w:rsidRPr="00C66DED">
                                <w:t xml:space="preserve"> </w:t>
                              </w:r>
                              <w:r>
                                <w:t>Proposed c</w:t>
                              </w:r>
                              <w:r w:rsidRPr="00AA3219">
                                <w:t xml:space="preserve">linical management algorithm for </w:t>
                              </w:r>
                              <w:r>
                                <w:t>osteoporosis management of men and women aged 50-69, with risk factors</w:t>
                              </w:r>
                            </w:p>
                            <w:p w:rsidR="00224467" w:rsidRDefault="00224467" w:rsidP="00346920">
                              <w:pPr>
                                <w:pStyle w:val="Caption"/>
                                <w:spacing w:after="0"/>
                                <w:ind w:left="1440" w:hanging="1440"/>
                              </w:pPr>
                              <w:r>
                                <w:tab/>
                              </w:r>
                            </w:p>
                          </w:txbxContent>
                        </wps:txbx>
                        <wps:bodyPr rot="0" vert="horz" wrap="square" lIns="91440" tIns="45720" rIns="91440" bIns="45720" anchor="t" anchorCtr="0" upright="1">
                          <a:noAutofit/>
                        </wps:bodyPr>
                      </wps:wsp>
                      <wps:wsp>
                        <wps:cNvPr id="4" name="Text Box 123"/>
                        <wps:cNvSpPr txBox="1">
                          <a:spLocks noChangeArrowheads="1"/>
                        </wps:cNvSpPr>
                        <wps:spPr bwMode="auto">
                          <a:xfrm>
                            <a:off x="2691700" y="257100"/>
                            <a:ext cx="840800" cy="2477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All other factors</w:t>
                              </w:r>
                            </w:p>
                          </w:txbxContent>
                        </wps:txbx>
                        <wps:bodyPr rot="0" vert="horz" wrap="none" lIns="91440" tIns="45720" rIns="91440" bIns="45720" anchor="t" anchorCtr="0" upright="1">
                          <a:noAutofit/>
                        </wps:bodyPr>
                      </wps:wsp>
                      <wps:wsp>
                        <wps:cNvPr id="5" name="Text Box 123"/>
                        <wps:cNvSpPr txBox="1">
                          <a:spLocks noChangeArrowheads="1"/>
                        </wps:cNvSpPr>
                        <wps:spPr bwMode="auto">
                          <a:xfrm>
                            <a:off x="3845800" y="1198500"/>
                            <a:ext cx="819800" cy="2470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Risk factors (a)</w:t>
                              </w:r>
                            </w:p>
                          </w:txbxContent>
                        </wps:txbx>
                        <wps:bodyPr rot="0" vert="horz" wrap="none" lIns="91440" tIns="45720" rIns="91440" bIns="45720" anchor="t" anchorCtr="0" upright="1">
                          <a:noAutofit/>
                        </wps:bodyPr>
                      </wps:wsp>
                      <wps:wsp>
                        <wps:cNvPr id="6" name="Text Box 123"/>
                        <wps:cNvSpPr txBox="1">
                          <a:spLocks noChangeArrowheads="1"/>
                        </wps:cNvSpPr>
                        <wps:spPr bwMode="auto">
                          <a:xfrm>
                            <a:off x="1382600" y="713200"/>
                            <a:ext cx="3477300" cy="2471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Men and women aged 50-69 years (not eligible for existing MBS item numbers)</w:t>
                              </w:r>
                            </w:p>
                          </w:txbxContent>
                        </wps:txbx>
                        <wps:bodyPr rot="0" vert="horz" wrap="none" lIns="91440" tIns="45720" rIns="91440" bIns="45720" anchor="t" anchorCtr="0" upright="1">
                          <a:noAutofit/>
                        </wps:bodyPr>
                      </wps:wsp>
                      <wps:wsp>
                        <wps:cNvPr id="7" name="Text Box 123"/>
                        <wps:cNvSpPr txBox="1">
                          <a:spLocks noChangeArrowheads="1"/>
                        </wps:cNvSpPr>
                        <wps:spPr bwMode="auto">
                          <a:xfrm>
                            <a:off x="6513100" y="693200"/>
                            <a:ext cx="2159700" cy="16243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minimal trauma fracture</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OP: osteoporotic</w:t>
                              </w:r>
                            </w:p>
                            <w:p w:rsidR="00224467" w:rsidRDefault="00224467" w:rsidP="00346920">
                              <w:pPr>
                                <w:pStyle w:val="NormalWeb"/>
                                <w:spacing w:before="0" w:beforeAutospacing="0" w:after="0" w:afterAutospacing="0" w:line="276" w:lineRule="auto"/>
                                <w:rPr>
                                  <w:rFonts w:ascii="Arial Narrow" w:hAnsi="Arial Narrow"/>
                                  <w:sz w:val="18"/>
                                  <w:szCs w:val="18"/>
                                </w:rPr>
                              </w:pPr>
                              <w:r w:rsidRPr="00E32A0F">
                                <w:rPr>
                                  <w:rFonts w:ascii="Arial Narrow" w:hAnsi="Arial Narrow"/>
                                  <w:sz w:val="18"/>
                                  <w:szCs w:val="18"/>
                                </w:rPr>
                                <w:t>(a</w:t>
                              </w:r>
                              <w:r>
                                <w:rPr>
                                  <w:rFonts w:ascii="Arial Narrow" w:hAnsi="Arial Narrow"/>
                                  <w:sz w:val="18"/>
                                  <w:szCs w:val="18"/>
                                </w:rPr>
                                <w:t>) To be determined</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 Exercise, sunshine, general bone health</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awareness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 Calcium (1000-1300mg/d), ensure replete</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Vitamin D status &gt;60nmol/L</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 For T-score ≤-2.5, a repeat DXA would be</w:t>
                              </w:r>
                            </w:p>
                            <w:p w:rsidR="00224467" w:rsidRDefault="00224467" w:rsidP="00346920">
                              <w:pPr>
                                <w:pStyle w:val="NormalWeb"/>
                                <w:spacing w:before="0" w:beforeAutospacing="0" w:after="0" w:afterAutospacing="0" w:line="276" w:lineRule="auto"/>
                              </w:pPr>
                              <w:r>
                                <w:rPr>
                                  <w:rFonts w:ascii="Arial Narrow" w:hAnsi="Arial Narrow"/>
                                  <w:sz w:val="18"/>
                                  <w:szCs w:val="18"/>
                                </w:rPr>
                                <w:t>available through existing MBS 12306 or 12321</w:t>
                              </w:r>
                            </w:p>
                          </w:txbxContent>
                        </wps:txbx>
                        <wps:bodyPr rot="0" vert="horz" wrap="none" lIns="91440" tIns="45720" rIns="91440" bIns="45720" anchor="t" anchorCtr="0" upright="1">
                          <a:noAutofit/>
                        </wps:bodyPr>
                      </wps:wsp>
                      <wps:wsp>
                        <wps:cNvPr id="8" name="Text Box 123"/>
                        <wps:cNvSpPr txBox="1">
                          <a:spLocks noChangeArrowheads="1"/>
                        </wps:cNvSpPr>
                        <wps:spPr bwMode="auto">
                          <a:xfrm>
                            <a:off x="341900" y="2536000"/>
                            <a:ext cx="1010300" cy="4095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Lifestyle advice (b)</w:t>
                              </w:r>
                            </w:p>
                            <w:p w:rsidR="00224467" w:rsidRDefault="00224467" w:rsidP="00346920">
                              <w:pPr>
                                <w:pStyle w:val="NormalWeb"/>
                                <w:spacing w:before="0" w:beforeAutospacing="0" w:after="0" w:afterAutospacing="0" w:line="276" w:lineRule="auto"/>
                              </w:pPr>
                              <w:r>
                                <w:rPr>
                                  <w:rFonts w:ascii="Arial Narrow" w:hAnsi="Arial Narrow"/>
                                  <w:sz w:val="18"/>
                                  <w:szCs w:val="18"/>
                                </w:rPr>
                                <w:t>+/- Supplements (c)</w:t>
                              </w:r>
                            </w:p>
                          </w:txbxContent>
                        </wps:txbx>
                        <wps:bodyPr rot="0" vert="horz" wrap="none" lIns="91440" tIns="45720" rIns="91440" bIns="45720" anchor="t" anchorCtr="0" upright="1">
                          <a:noAutofit/>
                        </wps:bodyPr>
                      </wps:wsp>
                      <wps:wsp>
                        <wps:cNvPr id="9" name="Text Box 123"/>
                        <wps:cNvSpPr txBox="1">
                          <a:spLocks noChangeArrowheads="1"/>
                        </wps:cNvSpPr>
                        <wps:spPr bwMode="auto">
                          <a:xfrm>
                            <a:off x="265700" y="4441000"/>
                            <a:ext cx="476200" cy="3977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0" name="Text Box 123"/>
                        <wps:cNvSpPr txBox="1">
                          <a:spLocks noChangeArrowheads="1"/>
                        </wps:cNvSpPr>
                        <wps:spPr bwMode="auto">
                          <a:xfrm>
                            <a:off x="970500" y="3564700"/>
                            <a:ext cx="351200" cy="2476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11" name="Text Box 123"/>
                        <wps:cNvSpPr txBox="1">
                          <a:spLocks noChangeArrowheads="1"/>
                        </wps:cNvSpPr>
                        <wps:spPr bwMode="auto">
                          <a:xfrm>
                            <a:off x="386300" y="3564700"/>
                            <a:ext cx="309300" cy="2476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12" name="Text Box 123"/>
                        <wps:cNvSpPr txBox="1">
                          <a:spLocks noChangeArrowheads="1"/>
                        </wps:cNvSpPr>
                        <wps:spPr bwMode="auto">
                          <a:xfrm>
                            <a:off x="970500" y="4441000"/>
                            <a:ext cx="476300" cy="3976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3" name="Text Box 123"/>
                        <wps:cNvSpPr txBox="1">
                          <a:spLocks noChangeArrowheads="1"/>
                        </wps:cNvSpPr>
                        <wps:spPr bwMode="auto">
                          <a:xfrm>
                            <a:off x="428900" y="1296200"/>
                            <a:ext cx="788700" cy="2470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No risk factors</w:t>
                              </w:r>
                            </w:p>
                          </w:txbxContent>
                        </wps:txbx>
                        <wps:bodyPr rot="0" vert="horz" wrap="none" lIns="91440" tIns="45720" rIns="91440" bIns="45720" anchor="t" anchorCtr="0" upright="1">
                          <a:noAutofit/>
                        </wps:bodyPr>
                      </wps:wsp>
                      <wps:wsp>
                        <wps:cNvPr id="14" name="Straight Arrow Connector 103"/>
                        <wps:cNvCnPr/>
                        <wps:spPr bwMode="auto">
                          <a:xfrm flipH="1">
                            <a:off x="836500" y="2095900"/>
                            <a:ext cx="8300" cy="439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Straight Connector 104"/>
                        <wps:cNvCnPr/>
                        <wps:spPr bwMode="auto">
                          <a:xfrm>
                            <a:off x="573700" y="3250400"/>
                            <a:ext cx="5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Arrow Connector 105"/>
                        <wps:cNvCnPr/>
                        <wps:spPr bwMode="auto">
                          <a:xfrm>
                            <a:off x="573700" y="3250400"/>
                            <a:ext cx="0" cy="314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Straight Arrow Connector 106"/>
                        <wps:cNvCnPr/>
                        <wps:spPr bwMode="auto">
                          <a:xfrm>
                            <a:off x="1164200" y="3250400"/>
                            <a:ext cx="0" cy="314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Straight Connector 107"/>
                        <wps:cNvCnPr/>
                        <wps:spPr bwMode="auto">
                          <a:xfrm>
                            <a:off x="836500" y="294560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Straight Arrow Connector 108"/>
                        <wps:cNvCnPr/>
                        <wps:spPr bwMode="auto">
                          <a:xfrm>
                            <a:off x="564100" y="3812300"/>
                            <a:ext cx="0" cy="628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Straight Arrow Connector 109"/>
                        <wps:cNvCnPr/>
                        <wps:spPr bwMode="auto">
                          <a:xfrm>
                            <a:off x="1145800" y="3812300"/>
                            <a:ext cx="17800" cy="628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Text Box 123"/>
                        <wps:cNvSpPr txBox="1">
                          <a:spLocks noChangeArrowheads="1"/>
                        </wps:cNvSpPr>
                        <wps:spPr bwMode="auto">
                          <a:xfrm>
                            <a:off x="3346700" y="2534900"/>
                            <a:ext cx="1788800" cy="2470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DXA scan of spine and proximal femur</w:t>
                              </w:r>
                            </w:p>
                          </w:txbxContent>
                        </wps:txbx>
                        <wps:bodyPr rot="0" vert="horz" wrap="none" lIns="91440" tIns="45720" rIns="91440" bIns="45720" anchor="t" anchorCtr="0" upright="1">
                          <a:noAutofit/>
                        </wps:bodyPr>
                      </wps:wsp>
                      <wps:wsp>
                        <wps:cNvPr id="22" name="Text Box 123"/>
                        <wps:cNvSpPr txBox="1">
                          <a:spLocks noChangeArrowheads="1"/>
                        </wps:cNvSpPr>
                        <wps:spPr bwMode="auto">
                          <a:xfrm>
                            <a:off x="2620900" y="3078600"/>
                            <a:ext cx="757500" cy="2470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T-score ≥-1.0</w:t>
                              </w:r>
                            </w:p>
                          </w:txbxContent>
                        </wps:txbx>
                        <wps:bodyPr rot="0" vert="horz" wrap="none" lIns="91440" tIns="45720" rIns="91440" bIns="45720" anchor="t" anchorCtr="0" upright="1">
                          <a:noAutofit/>
                        </wps:bodyPr>
                      </wps:wsp>
                      <wps:wsp>
                        <wps:cNvPr id="23" name="Text Box 123"/>
                        <wps:cNvSpPr txBox="1">
                          <a:spLocks noChangeArrowheads="1"/>
                        </wps:cNvSpPr>
                        <wps:spPr bwMode="auto">
                          <a:xfrm>
                            <a:off x="3687700" y="3078200"/>
                            <a:ext cx="991870" cy="247015"/>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-1.0&gt; T-score &gt;-2.5</w:t>
                              </w:r>
                            </w:p>
                          </w:txbxContent>
                        </wps:txbx>
                        <wps:bodyPr rot="0" vert="horz" wrap="none" lIns="91440" tIns="45720" rIns="91440" bIns="45720" anchor="t" anchorCtr="0" upright="1">
                          <a:noAutofit/>
                        </wps:bodyPr>
                      </wps:wsp>
                      <wps:wsp>
                        <wps:cNvPr id="24" name="Text Box 123"/>
                        <wps:cNvSpPr txBox="1">
                          <a:spLocks noChangeArrowheads="1"/>
                        </wps:cNvSpPr>
                        <wps:spPr bwMode="auto">
                          <a:xfrm>
                            <a:off x="5030700" y="3067200"/>
                            <a:ext cx="757555" cy="247015"/>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200" w:afterAutospacing="0" w:line="276" w:lineRule="auto"/>
                              </w:pPr>
                              <w:r>
                                <w:rPr>
                                  <w:rFonts w:ascii="Arial Narrow" w:hAnsi="Arial Narrow"/>
                                  <w:sz w:val="18"/>
                                  <w:szCs w:val="18"/>
                                </w:rPr>
                                <w:t>T-score ≤-2.5</w:t>
                              </w:r>
                            </w:p>
                          </w:txbxContent>
                        </wps:txbx>
                        <wps:bodyPr rot="0" vert="horz" wrap="none" lIns="91440" tIns="45720" rIns="91440" bIns="45720" anchor="t" anchorCtr="0" upright="1">
                          <a:noAutofit/>
                        </wps:bodyPr>
                      </wps:wsp>
                      <wps:wsp>
                        <wps:cNvPr id="25" name="Text Box 123"/>
                        <wps:cNvSpPr txBox="1">
                          <a:spLocks noChangeArrowheads="1"/>
                        </wps:cNvSpPr>
                        <wps:spPr bwMode="auto">
                          <a:xfrm>
                            <a:off x="2391700" y="3460700"/>
                            <a:ext cx="1080700" cy="449600"/>
                          </a:xfrm>
                          <a:prstGeom prst="rect">
                            <a:avLst/>
                          </a:prstGeom>
                          <a:solidFill>
                            <a:srgbClr val="FFFFFF"/>
                          </a:solidFill>
                          <a:ln w="6350">
                            <a:solidFill>
                              <a:srgbClr val="000000"/>
                            </a:solidFill>
                            <a:miter lim="800000"/>
                            <a:headEnd/>
                            <a:tailEnd/>
                          </a:ln>
                        </wps:spPr>
                        <wps:txbx>
                          <w:txbxContent>
                            <w:p w:rsidR="00224467" w:rsidRPr="00F6627B" w:rsidRDefault="00224467" w:rsidP="00346920">
                              <w:pPr>
                                <w:pStyle w:val="NormalWeb"/>
                                <w:spacing w:before="0" w:beforeAutospacing="0" w:after="0" w:afterAutospacing="0" w:line="276" w:lineRule="auto"/>
                              </w:pPr>
                              <w:r>
                                <w:rPr>
                                  <w:rFonts w:ascii="Arial Narrow" w:hAnsi="Arial Narrow"/>
                                  <w:sz w:val="18"/>
                                  <w:szCs w:val="18"/>
                                </w:rPr>
                                <w:t>No treatment advised</w:t>
                              </w:r>
                            </w:p>
                          </w:txbxContent>
                        </wps:txbx>
                        <wps:bodyPr rot="0" vert="horz" wrap="none" lIns="91440" tIns="45720" rIns="91440" bIns="45720" anchor="t" anchorCtr="0" upright="1">
                          <a:noAutofit/>
                        </wps:bodyPr>
                      </wps:wsp>
                      <wps:wsp>
                        <wps:cNvPr id="26" name="Text Box 123"/>
                        <wps:cNvSpPr txBox="1">
                          <a:spLocks noChangeArrowheads="1"/>
                        </wps:cNvSpPr>
                        <wps:spPr bwMode="auto">
                          <a:xfrm>
                            <a:off x="3575300" y="3458400"/>
                            <a:ext cx="1336000" cy="4654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Consider treating the cause</w:t>
                              </w:r>
                            </w:p>
                            <w:p w:rsidR="00224467" w:rsidRDefault="00224467" w:rsidP="00346920">
                              <w:pPr>
                                <w:pStyle w:val="NormalWeb"/>
                                <w:spacing w:before="0" w:beforeAutospacing="0" w:after="0" w:afterAutospacing="0" w:line="276" w:lineRule="auto"/>
                              </w:pPr>
                              <w:r>
                                <w:rPr>
                                  <w:rFonts w:ascii="Arial Narrow" w:hAnsi="Arial Narrow"/>
                                  <w:sz w:val="18"/>
                                  <w:szCs w:val="18"/>
                                </w:rPr>
                                <w:t>Consider anti-OP therapy</w:t>
                              </w:r>
                            </w:p>
                          </w:txbxContent>
                        </wps:txbx>
                        <wps:bodyPr rot="0" vert="horz" wrap="none" lIns="91440" tIns="45720" rIns="91440" bIns="45720" anchor="t" anchorCtr="0" upright="1">
                          <a:noAutofit/>
                        </wps:bodyPr>
                      </wps:wsp>
                      <wps:wsp>
                        <wps:cNvPr id="27" name="Text Box 123"/>
                        <wps:cNvSpPr txBox="1">
                          <a:spLocks noChangeArrowheads="1"/>
                        </wps:cNvSpPr>
                        <wps:spPr bwMode="auto">
                          <a:xfrm>
                            <a:off x="5091600" y="4629900"/>
                            <a:ext cx="1710700" cy="2248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Repeat scan every 12-24 months (d)</w:t>
                              </w:r>
                            </w:p>
                          </w:txbxContent>
                        </wps:txbx>
                        <wps:bodyPr rot="0" vert="horz" wrap="none" lIns="91440" tIns="45720" rIns="91440" bIns="45720" anchor="t" anchorCtr="0" upright="1">
                          <a:noAutofit/>
                        </wps:bodyPr>
                      </wps:wsp>
                      <wps:wsp>
                        <wps:cNvPr id="28" name="Straight Arrow Connector 121"/>
                        <wps:cNvCnPr/>
                        <wps:spPr bwMode="auto">
                          <a:xfrm>
                            <a:off x="3112100" y="504800"/>
                            <a:ext cx="9800" cy="208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Straight Connector 125"/>
                        <wps:cNvCnPr/>
                        <wps:spPr bwMode="auto">
                          <a:xfrm flipV="1">
                            <a:off x="836500" y="1095300"/>
                            <a:ext cx="3421100" cy="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127"/>
                        <wps:cNvCnPr/>
                        <wps:spPr bwMode="auto">
                          <a:xfrm>
                            <a:off x="3121900" y="960300"/>
                            <a:ext cx="0" cy="14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Arrow Connector 335"/>
                        <wps:cNvCnPr/>
                        <wps:spPr bwMode="auto">
                          <a:xfrm>
                            <a:off x="844800" y="1104800"/>
                            <a:ext cx="300" cy="191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Straight Arrow Connector 337"/>
                        <wps:cNvCnPr/>
                        <wps:spPr bwMode="auto">
                          <a:xfrm>
                            <a:off x="4257600" y="1095300"/>
                            <a:ext cx="0" cy="103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Straight Connector 139"/>
                        <wps:cNvCnPr/>
                        <wps:spPr bwMode="auto">
                          <a:xfrm>
                            <a:off x="2963500" y="2902500"/>
                            <a:ext cx="2428800" cy="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Straight Arrow Connector 140"/>
                        <wps:cNvCnPr/>
                        <wps:spPr bwMode="auto">
                          <a:xfrm>
                            <a:off x="4239800" y="2781900"/>
                            <a:ext cx="0" cy="285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 name="Straight Arrow Connector 141"/>
                        <wps:cNvCnPr/>
                        <wps:spPr bwMode="auto">
                          <a:xfrm flipH="1">
                            <a:off x="2959700" y="2912000"/>
                            <a:ext cx="3100" cy="166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Straight Arrow Connector 142"/>
                        <wps:cNvCnPr/>
                        <wps:spPr bwMode="auto">
                          <a:xfrm>
                            <a:off x="5392300" y="2912000"/>
                            <a:ext cx="13400" cy="1549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Straight Arrow Connector 149"/>
                        <wps:cNvCnPr/>
                        <wps:spPr bwMode="auto">
                          <a:xfrm>
                            <a:off x="2962800" y="3324200"/>
                            <a:ext cx="700" cy="13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 name="Straight Arrow Connector 151"/>
                        <wps:cNvCnPr/>
                        <wps:spPr bwMode="auto">
                          <a:xfrm>
                            <a:off x="4239800" y="3324200"/>
                            <a:ext cx="0" cy="13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Straight Arrow Connector 158"/>
                        <wps:cNvCnPr/>
                        <wps:spPr bwMode="auto">
                          <a:xfrm flipH="1">
                            <a:off x="5405700" y="3324200"/>
                            <a:ext cx="4100" cy="13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Straight Arrow Connector 165"/>
                        <wps:cNvCnPr/>
                        <wps:spPr bwMode="auto">
                          <a:xfrm>
                            <a:off x="4797000" y="3931700"/>
                            <a:ext cx="0" cy="6879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 name="Straight Arrow Connector 166"/>
                        <wps:cNvCnPr/>
                        <wps:spPr bwMode="auto">
                          <a:xfrm>
                            <a:off x="5954300" y="3907700"/>
                            <a:ext cx="0" cy="7119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Text Box 123"/>
                        <wps:cNvSpPr txBox="1">
                          <a:spLocks noChangeArrowheads="1"/>
                        </wps:cNvSpPr>
                        <wps:spPr bwMode="auto">
                          <a:xfrm>
                            <a:off x="5174500" y="4126300"/>
                            <a:ext cx="476300" cy="3980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43" name="Text Box 123"/>
                        <wps:cNvSpPr txBox="1">
                          <a:spLocks noChangeArrowheads="1"/>
                        </wps:cNvSpPr>
                        <wps:spPr bwMode="auto">
                          <a:xfrm>
                            <a:off x="3971500" y="4126300"/>
                            <a:ext cx="476300" cy="3980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44" name="Text Box 123"/>
                        <wps:cNvSpPr txBox="1">
                          <a:spLocks noChangeArrowheads="1"/>
                        </wps:cNvSpPr>
                        <wps:spPr bwMode="auto">
                          <a:xfrm>
                            <a:off x="2726300" y="4126300"/>
                            <a:ext cx="476300" cy="3980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45" name="Straight Arrow Connector 404"/>
                        <wps:cNvCnPr/>
                        <wps:spPr bwMode="auto">
                          <a:xfrm>
                            <a:off x="2962800" y="3931700"/>
                            <a:ext cx="700" cy="194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Straight Arrow Connector 405"/>
                        <wps:cNvCnPr/>
                        <wps:spPr bwMode="auto">
                          <a:xfrm>
                            <a:off x="4208700" y="3928600"/>
                            <a:ext cx="0" cy="197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Straight Arrow Connector 194"/>
                        <wps:cNvCnPr/>
                        <wps:spPr bwMode="auto">
                          <a:xfrm>
                            <a:off x="5409800" y="3931700"/>
                            <a:ext cx="0" cy="194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Text Box 123"/>
                        <wps:cNvSpPr txBox="1">
                          <a:spLocks noChangeArrowheads="1"/>
                        </wps:cNvSpPr>
                        <wps:spPr bwMode="auto">
                          <a:xfrm>
                            <a:off x="5030700" y="3455200"/>
                            <a:ext cx="1336100" cy="4525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Consider treating the cause</w:t>
                              </w:r>
                            </w:p>
                            <w:p w:rsidR="00224467" w:rsidRDefault="00224467" w:rsidP="00346920">
                              <w:pPr>
                                <w:pStyle w:val="NormalWeb"/>
                                <w:spacing w:before="0" w:beforeAutospacing="0" w:after="0" w:afterAutospacing="0" w:line="276" w:lineRule="auto"/>
                              </w:pPr>
                              <w:r>
                                <w:rPr>
                                  <w:rFonts w:ascii="Arial Narrow" w:hAnsi="Arial Narrow"/>
                                  <w:sz w:val="18"/>
                                  <w:szCs w:val="18"/>
                                </w:rPr>
                                <w:t>Treat with anti-OP therapy</w:t>
                              </w:r>
                            </w:p>
                          </w:txbxContent>
                        </wps:txbx>
                        <wps:bodyPr rot="0" vert="horz" wrap="none" lIns="91440" tIns="45720" rIns="91440" bIns="45720" anchor="t" anchorCtr="0" upright="1">
                          <a:noAutofit/>
                        </wps:bodyPr>
                      </wps:wsp>
                      <wps:wsp>
                        <wps:cNvPr id="49" name="Text Box 123"/>
                        <wps:cNvSpPr txBox="1">
                          <a:spLocks noChangeArrowheads="1"/>
                        </wps:cNvSpPr>
                        <wps:spPr bwMode="auto">
                          <a:xfrm>
                            <a:off x="3532200" y="4630400"/>
                            <a:ext cx="1435100" cy="224700"/>
                          </a:xfrm>
                          <a:prstGeom prst="rect">
                            <a:avLst/>
                          </a:prstGeom>
                          <a:solidFill>
                            <a:srgbClr val="FFFFFF"/>
                          </a:solidFill>
                          <a:ln w="6350">
                            <a:solidFill>
                              <a:srgbClr val="000000"/>
                            </a:solidFill>
                            <a:miter lim="800000"/>
                            <a:headEnd/>
                            <a:tailEnd/>
                          </a:ln>
                        </wps:spPr>
                        <wps:txbx>
                          <w:txbxContent>
                            <w:p w:rsidR="00224467" w:rsidRDefault="00224467" w:rsidP="00346920">
                              <w:pPr>
                                <w:pStyle w:val="NormalWeb"/>
                                <w:spacing w:before="0" w:beforeAutospacing="0" w:after="0" w:afterAutospacing="0" w:line="276" w:lineRule="auto"/>
                              </w:pPr>
                              <w:r>
                                <w:rPr>
                                  <w:rFonts w:ascii="Arial Narrow" w:hAnsi="Arial Narrow"/>
                                  <w:sz w:val="18"/>
                                  <w:szCs w:val="18"/>
                                </w:rPr>
                                <w:t>Repeat scan every 24 months</w:t>
                              </w:r>
                            </w:p>
                          </w:txbxContent>
                        </wps:txbx>
                        <wps:bodyPr rot="0" vert="horz" wrap="none" lIns="91440" tIns="45720" rIns="91440" bIns="45720" anchor="t" anchorCtr="0" upright="1">
                          <a:noAutofit/>
                        </wps:bodyPr>
                      </wps:wsp>
                      <wps:wsp>
                        <wps:cNvPr id="50" name="Text Box 123"/>
                        <wps:cNvSpPr txBox="1">
                          <a:spLocks noChangeArrowheads="1"/>
                        </wps:cNvSpPr>
                        <wps:spPr bwMode="auto">
                          <a:xfrm>
                            <a:off x="3488300" y="2137700"/>
                            <a:ext cx="1560200" cy="247600"/>
                          </a:xfrm>
                          <a:prstGeom prst="rect">
                            <a:avLst/>
                          </a:prstGeom>
                          <a:solidFill>
                            <a:srgbClr val="FFFFFF"/>
                          </a:solidFill>
                          <a:ln w="6350">
                            <a:solidFill>
                              <a:srgbClr val="000000"/>
                            </a:solidFill>
                            <a:miter lim="800000"/>
                            <a:headEnd/>
                            <a:tailEnd/>
                          </a:ln>
                        </wps:spPr>
                        <wps:txbx>
                          <w:txbxContent>
                            <w:p w:rsidR="00224467" w:rsidRDefault="00224467" w:rsidP="00A5224F">
                              <w:pPr>
                                <w:pStyle w:val="NormalWeb"/>
                                <w:spacing w:before="0" w:beforeAutospacing="0" w:after="0" w:afterAutospacing="0" w:line="276" w:lineRule="auto"/>
                              </w:pPr>
                              <w:r>
                                <w:rPr>
                                  <w:rFonts w:ascii="Arial Narrow" w:hAnsi="Arial Narrow"/>
                                  <w:sz w:val="18"/>
                                  <w:szCs w:val="18"/>
                                </w:rPr>
                                <w:t>Lifestyle and dietary advice (b, c)</w:t>
                              </w:r>
                            </w:p>
                          </w:txbxContent>
                        </wps:txbx>
                        <wps:bodyPr rot="0" vert="horz" wrap="none" lIns="91440" tIns="45720" rIns="91440" bIns="45720" anchor="t" anchorCtr="0" upright="1">
                          <a:noAutofit/>
                        </wps:bodyPr>
                      </wps:wsp>
                      <wps:wsp>
                        <wps:cNvPr id="51" name="Straight Arrow Connector 238"/>
                        <wps:cNvCnPr/>
                        <wps:spPr bwMode="auto">
                          <a:xfrm>
                            <a:off x="4257600" y="1445500"/>
                            <a:ext cx="0" cy="692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Straight Arrow Connector 239"/>
                        <wps:cNvCnPr/>
                        <wps:spPr bwMode="auto">
                          <a:xfrm>
                            <a:off x="4257600" y="2385100"/>
                            <a:ext cx="0" cy="149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Text Box 123"/>
                        <wps:cNvSpPr txBox="1">
                          <a:spLocks noChangeArrowheads="1"/>
                        </wps:cNvSpPr>
                        <wps:spPr bwMode="auto">
                          <a:xfrm>
                            <a:off x="8500" y="1808700"/>
                            <a:ext cx="2174900" cy="409600"/>
                          </a:xfrm>
                          <a:prstGeom prst="rect">
                            <a:avLst/>
                          </a:prstGeom>
                          <a:solidFill>
                            <a:srgbClr val="FFFFFF"/>
                          </a:solidFill>
                          <a:ln w="6350">
                            <a:solidFill>
                              <a:srgbClr val="000000"/>
                            </a:solidFill>
                            <a:miter lim="800000"/>
                            <a:headEnd/>
                            <a:tailEnd/>
                          </a:ln>
                        </wps:spPr>
                        <wps:txbx>
                          <w:txbxContent>
                            <w:p w:rsidR="00224467" w:rsidRDefault="00224467" w:rsidP="00F6627B">
                              <w:pPr>
                                <w:pStyle w:val="NormalWeb"/>
                                <w:spacing w:before="0" w:beforeAutospacing="0" w:after="0" w:afterAutospacing="0" w:line="276" w:lineRule="auto"/>
                                <w:jc w:val="center"/>
                              </w:pPr>
                              <w:r>
                                <w:rPr>
                                  <w:rFonts w:ascii="Arial Narrow" w:hAnsi="Arial Narrow"/>
                                  <w:sz w:val="18"/>
                                  <w:szCs w:val="18"/>
                                </w:rPr>
                                <w:t>Clinical assessment, test for vitamin D,</w:t>
                              </w:r>
                            </w:p>
                            <w:p w:rsidR="00224467" w:rsidRDefault="00224467" w:rsidP="00F6627B">
                              <w:pPr>
                                <w:pStyle w:val="NormalWeb"/>
                                <w:spacing w:before="0" w:beforeAutospacing="0" w:after="0" w:afterAutospacing="0" w:line="276" w:lineRule="auto"/>
                                <w:jc w:val="center"/>
                              </w:pPr>
                              <w:r>
                                <w:rPr>
                                  <w:rFonts w:ascii="Arial Narrow" w:hAnsi="Arial Narrow"/>
                                  <w:sz w:val="18"/>
                                  <w:szCs w:val="18"/>
                                </w:rPr>
                                <w:t>Including existing fracture risk assessment tools</w:t>
                              </w:r>
                            </w:p>
                          </w:txbxContent>
                        </wps:txbx>
                        <wps:bodyPr rot="0" vert="horz" wrap="none" lIns="91440" tIns="45720" rIns="91440" bIns="45720" anchor="t" anchorCtr="0" upright="1">
                          <a:noAutofit/>
                        </wps:bodyPr>
                      </wps:wsp>
                      <wps:wsp>
                        <wps:cNvPr id="54" name="Text Box 123"/>
                        <wps:cNvSpPr txBox="1">
                          <a:spLocks noChangeArrowheads="1"/>
                        </wps:cNvSpPr>
                        <wps:spPr bwMode="auto">
                          <a:xfrm>
                            <a:off x="3202600" y="1560000"/>
                            <a:ext cx="2174800" cy="409600"/>
                          </a:xfrm>
                          <a:prstGeom prst="rect">
                            <a:avLst/>
                          </a:prstGeom>
                          <a:solidFill>
                            <a:srgbClr val="FFFFFF"/>
                          </a:solidFill>
                          <a:ln w="6350">
                            <a:solidFill>
                              <a:srgbClr val="000000"/>
                            </a:solidFill>
                            <a:miter lim="800000"/>
                            <a:headEnd/>
                            <a:tailEnd/>
                          </a:ln>
                        </wps:spPr>
                        <wps:txbx>
                          <w:txbxContent>
                            <w:p w:rsidR="00224467" w:rsidRDefault="00224467" w:rsidP="00F6627B">
                              <w:pPr>
                                <w:pStyle w:val="NormalWeb"/>
                                <w:spacing w:before="0" w:beforeAutospacing="0" w:after="0" w:afterAutospacing="0" w:line="276" w:lineRule="auto"/>
                                <w:jc w:val="center"/>
                              </w:pPr>
                              <w:r>
                                <w:rPr>
                                  <w:rFonts w:ascii="Arial Narrow" w:hAnsi="Arial Narrow"/>
                                  <w:sz w:val="18"/>
                                  <w:szCs w:val="18"/>
                                </w:rPr>
                                <w:t>Clinical assessment, test for vitamin D,</w:t>
                              </w:r>
                            </w:p>
                            <w:p w:rsidR="00224467" w:rsidRDefault="00224467" w:rsidP="00F6627B">
                              <w:pPr>
                                <w:pStyle w:val="NormalWeb"/>
                                <w:spacing w:before="0" w:beforeAutospacing="0" w:after="0" w:afterAutospacing="0" w:line="276" w:lineRule="auto"/>
                                <w:jc w:val="center"/>
                              </w:pPr>
                              <w:r>
                                <w:rPr>
                                  <w:rFonts w:ascii="Arial Narrow" w:hAnsi="Arial Narrow"/>
                                  <w:sz w:val="18"/>
                                  <w:szCs w:val="18"/>
                                </w:rPr>
                                <w:t>Including existing fracture risk assessment tools</w:t>
                              </w:r>
                            </w:p>
                          </w:txbxContent>
                        </wps:txbx>
                        <wps:bodyPr rot="0" vert="horz" wrap="none" lIns="91440" tIns="45720" rIns="91440" bIns="45720" anchor="t" anchorCtr="0" upright="1">
                          <a:noAutofit/>
                        </wps:bodyPr>
                      </wps:wsp>
                      <wps:wsp>
                        <wps:cNvPr id="55" name="Straight Arrow Connector 242"/>
                        <wps:cNvCnPr/>
                        <wps:spPr bwMode="auto">
                          <a:xfrm>
                            <a:off x="845100" y="1543200"/>
                            <a:ext cx="0" cy="265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6" o:spid="_x0000_s1167" editas="canvas" alt="Title: Figure 5 Proposed clinical management algorithm for osteoporosis management of men and women aged 50-69, with risk factors - Description: Figure 5 Proposed clinical management algorithm for osteoporosis management of men and women aged 50-69, with risk factors" style="width:744pt;height:387pt;mso-position-horizontal-relative:char;mso-position-vertical-relative:line" coordsize="94488,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">
                <v:shape id="_x0000_s1168" type="#_x0000_t75" alt="Figure 5 Proposed clinical management algorithm for osteoporosis management of men and women aged 50-69, with risk factors" style="position:absolute;width:94488;height:49149;visibility:visible;mso-wrap-style:square">
                  <v:fill o:detectmouseclick="t"/>
                  <v:path o:connecttype="none"/>
                </v:shape>
                <v:shape id="Text Box 282" o:spid="_x0000_s1169" type="#_x0000_t202" style="position:absolute;left:4489;width:78111;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AQL8A&#10;AADaAAAADwAAAGRycy9kb3ducmV2LnhtbESPzYoCMRCE74LvEFrwphl3RWQ0igjCnhb8PTeTdjI4&#10;6QxJ1NGnN4Lgsaiqr6j5srW1uJEPlWMFo2EGgrhwuuJSwWG/GUxBhIissXZMCh4UYLnoduaYa3fn&#10;Ld12sRQJwiFHBSbGJpcyFIYshqFriJN3dt5iTNKXUnu8J7it5U+WTaTFitOCwYbWhorL7moVnEr7&#10;PB1HjTfa1mP+fz72B1cp1e+1qxmISG38hj/tP63gF9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QBAvwAAANoAAAAPAAAAAAAAAAAAAAAAAJgCAABkcnMvZG93bnJl&#10;di54bWxQSwUGAAAAAAQABAD1AAAAhAMAAAAA&#10;" stroked="f" strokeweight=".5pt">
                  <v:textbox>
                    <w:txbxContent>
                      <w:p w:rsidR="00224467" w:rsidRDefault="00224467" w:rsidP="00C66DED">
                        <w:pPr>
                          <w:pStyle w:val="Caption"/>
                        </w:pPr>
                        <w:bookmarkStart w:id="50" w:name="_Ref358199403"/>
                        <w:r>
                          <w:t xml:space="preserve">Figure </w:t>
                        </w:r>
                        <w:r>
                          <w:fldChar w:fldCharType="begin"/>
                        </w:r>
                        <w:r>
                          <w:instrText xml:space="preserve"> SEQ Figure \* ARABIC </w:instrText>
                        </w:r>
                        <w:r>
                          <w:fldChar w:fldCharType="separate"/>
                        </w:r>
                        <w:r w:rsidR="00255656">
                          <w:rPr>
                            <w:noProof/>
                          </w:rPr>
                          <w:t>5</w:t>
                        </w:r>
                        <w:r>
                          <w:rPr>
                            <w:noProof/>
                          </w:rPr>
                          <w:fldChar w:fldCharType="end"/>
                        </w:r>
                        <w:bookmarkEnd w:id="50"/>
                        <w:r w:rsidRPr="00C66DED">
                          <w:t xml:space="preserve"> </w:t>
                        </w:r>
                        <w:r>
                          <w:t>Proposed c</w:t>
                        </w:r>
                        <w:r w:rsidRPr="00AA3219">
                          <w:t xml:space="preserve">linical management algorithm for </w:t>
                        </w:r>
                        <w:r>
                          <w:t>osteoporosis management of men and women aged 50-69, with risk factors</w:t>
                        </w:r>
                      </w:p>
                      <w:p w:rsidR="00224467" w:rsidRDefault="00224467" w:rsidP="00346920">
                        <w:pPr>
                          <w:pStyle w:val="Caption"/>
                          <w:spacing w:after="0"/>
                          <w:ind w:left="1440" w:hanging="1440"/>
                        </w:pPr>
                        <w:r>
                          <w:tab/>
                        </w:r>
                      </w:p>
                    </w:txbxContent>
                  </v:textbox>
                </v:shape>
                <v:shape id="Text Box 123" o:spid="_x0000_s1170" type="#_x0000_t202" style="position:absolute;left:26917;top:2571;width:8408;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LycQA&#10;AADaAAAADwAAAGRycy9kb3ducmV2LnhtbESPQWvCQBSE74L/YXlCL8VsLKWU6CaIKBYPgrZ6fu6+&#10;JqHZtzG71dRf3y0UPA4z8w0zK3rbiAt1vnasYJKkIIi1MzWXCj7eV+NXED4gG2wck4If8lDkw8EM&#10;M+OuvKPLPpQiQthnqKAKoc2k9Loiiz5xLXH0Pl1nMUTZldJ0eI1w28inNH2RFmuOCxW2tKhIf+2/&#10;rYL15jS5bQ5LvT7zqZG746O2i61SD6N+PgURqA/38H/7zSh4hr8r8Qb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i8nEAAAA2gAAAA8AAAAAAAAAAAAAAAAAmAIAAGRycy9k&#10;b3ducmV2LnhtbFBLBQYAAAAABAAEAPUAAACJAw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All other factors</w:t>
                        </w:r>
                      </w:p>
                    </w:txbxContent>
                  </v:textbox>
                </v:shape>
                <v:shape id="Text Box 123" o:spid="_x0000_s1171" type="#_x0000_t202" style="position:absolute;left:38458;top:11985;width:8198;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UsQA&#10;AADaAAAADwAAAGRycy9kb3ducmV2LnhtbESPQWvCQBSE74L/YXlCL8VsLLSU6CaIKBYPgrZ6fu6+&#10;JqHZtzG71dRf3y0UPA4z8w0zK3rbiAt1vnasYJKkIIi1MzWXCj7eV+NXED4gG2wck4If8lDkw8EM&#10;M+OuvKPLPpQiQthnqKAKoc2k9Loiiz5xLXH0Pl1nMUTZldJ0eI1w28inNH2RFmuOCxW2tKhIf+2/&#10;rYL15jS5bQ5LvT7zqZG746O2i61SD6N+PgURqA/38H/7zSh4hr8r8Qb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LlLEAAAA2gAAAA8AAAAAAAAAAAAAAAAAmAIAAGRycy9k&#10;b3ducmV2LnhtbFBLBQYAAAAABAAEAPUAAACJAw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Risk factors (a)</w:t>
                        </w:r>
                      </w:p>
                    </w:txbxContent>
                  </v:textbox>
                </v:shape>
                <v:shape id="Text Box 123" o:spid="_x0000_s1172" type="#_x0000_t202" style="position:absolute;left:13826;top:7132;width:34773;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wJcMA&#10;AADaAAAADwAAAGRycy9kb3ducmV2LnhtbESPT4vCMBTE7wt+h/CEvSyaugdZqlFEFMWD4N/zM3m2&#10;xealNlGrn94sLOxxmJnfMMNxY0txp9oXjhX0ugkIYu1MwZmC/W7e+QHhA7LB0jEpeJKH8aj1McTU&#10;uAdv6L4NmYgQ9ikqyEOoUim9zsmi77qKOHpnV1sMUdaZNDU+ItyW8jtJ+tJiwXEhx4qmOenL9mYV&#10;LFan3mt1mOnFlU+l3By/tJ2ulfpsN5MBiEBN+A//tZdGQR9+r8QbIE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6wJcMAAADaAAAADwAAAAAAAAAAAAAAAACYAgAAZHJzL2Rv&#10;d25yZXYueG1sUEsFBgAAAAAEAAQA9QAAAIgDA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Men and women aged 50-69 years (not eligible for existing MBS item numbers)</w:t>
                        </w:r>
                      </w:p>
                    </w:txbxContent>
                  </v:textbox>
                </v:shape>
                <v:shape id="Text Box 123" o:spid="_x0000_s1173" type="#_x0000_t202" style="position:absolute;left:65131;top:6932;width:21597;height:162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VvsUA&#10;AADaAAAADwAAAGRycy9kb3ducmV2LnhtbESPQWvCQBSE74L/YXlCL8Vs7KEt0U0QUSweBG31/Nx9&#10;TUKzb2N2q6m/vlsoeBxm5htmVvS2ERfqfO1YwSRJQRBrZ2ouFXy8r8avIHxANtg4JgU/5KHIh4MZ&#10;ZsZdeUeXfShFhLDPUEEVQptJ6XVFFn3iWuLofbrOYoiyK6Xp8BrhtpFPafosLdYcFypsaVGR/tp/&#10;WwXrzWly2xyWen3mUyN3x0dtF1ulHkb9fAoiUB/u4f/2m1HwAn9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hW+xQAAANoAAAAPAAAAAAAAAAAAAAAAAJgCAABkcnMv&#10;ZG93bnJldi54bWxQSwUGAAAAAAQABAD1AAAAigM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minimal trauma fracture</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OP: osteoporotic</w:t>
                        </w:r>
                      </w:p>
                      <w:p w:rsidR="00224467" w:rsidRDefault="00224467" w:rsidP="00346920">
                        <w:pPr>
                          <w:pStyle w:val="NormalWeb"/>
                          <w:spacing w:before="0" w:beforeAutospacing="0" w:after="0" w:afterAutospacing="0" w:line="276" w:lineRule="auto"/>
                          <w:rPr>
                            <w:rFonts w:ascii="Arial Narrow" w:hAnsi="Arial Narrow"/>
                            <w:sz w:val="18"/>
                            <w:szCs w:val="18"/>
                          </w:rPr>
                        </w:pPr>
                        <w:r w:rsidRPr="00E32A0F">
                          <w:rPr>
                            <w:rFonts w:ascii="Arial Narrow" w:hAnsi="Arial Narrow"/>
                            <w:sz w:val="18"/>
                            <w:szCs w:val="18"/>
                          </w:rPr>
                          <w:t>(a</w:t>
                        </w:r>
                        <w:r>
                          <w:rPr>
                            <w:rFonts w:ascii="Arial Narrow" w:hAnsi="Arial Narrow"/>
                            <w:sz w:val="18"/>
                            <w:szCs w:val="18"/>
                          </w:rPr>
                          <w:t>) To be determined</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 Exercise, sunshine, general bone health</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awareness</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 Calcium (1000-1300mg/d), ensure replete</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Vitamin D status &gt;60nmol/L</w:t>
                        </w:r>
                      </w:p>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 For T-score ≤-2.5, a repeat DXA would be</w:t>
                        </w:r>
                      </w:p>
                      <w:p w:rsidR="00224467" w:rsidRDefault="00224467" w:rsidP="00346920">
                        <w:pPr>
                          <w:pStyle w:val="NormalWeb"/>
                          <w:spacing w:before="0" w:beforeAutospacing="0" w:after="0" w:afterAutospacing="0" w:line="276" w:lineRule="auto"/>
                        </w:pPr>
                        <w:r>
                          <w:rPr>
                            <w:rFonts w:ascii="Arial Narrow" w:hAnsi="Arial Narrow"/>
                            <w:sz w:val="18"/>
                            <w:szCs w:val="18"/>
                          </w:rPr>
                          <w:t>available through existing MBS 12306 or 12321</w:t>
                        </w:r>
                      </w:p>
                    </w:txbxContent>
                  </v:textbox>
                </v:shape>
                <v:shape id="Text Box 123" o:spid="_x0000_s1174" type="#_x0000_t202" style="position:absolute;left:3419;top:25360;width:10103;height:40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BzMEA&#10;AADaAAAADwAAAGRycy9kb3ducmV2LnhtbERPy2rCQBTdC/7DcIVuRCfpQiQ6ioglJQtB+1hfZ26T&#10;0MydNDM10a/vLAouD+e93g62EVfqfO1YQTpPQBBrZ2ouFby/vcyWIHxANtg4JgU38rDdjEdrzIzr&#10;+UTXcyhFDGGfoYIqhDaT0uuKLPq5a4kj9+U6iyHCrpSmwz6G20Y+J8lCWqw5NlTY0r4i/X3+tQry&#10;4pLei4+Dzn/40sjT51Tb/VGpp8mwW4EINISH+N/9ahTErfFKv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gczBAAAA2gAAAA8AAAAAAAAAAAAAAAAAmAIAAGRycy9kb3du&#10;cmV2LnhtbFBLBQYAAAAABAAEAPUAAACGAw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Lifestyle advice (b)</w:t>
                        </w:r>
                      </w:p>
                      <w:p w:rsidR="00224467" w:rsidRDefault="00224467" w:rsidP="00346920">
                        <w:pPr>
                          <w:pStyle w:val="NormalWeb"/>
                          <w:spacing w:before="0" w:beforeAutospacing="0" w:after="0" w:afterAutospacing="0" w:line="276" w:lineRule="auto"/>
                        </w:pPr>
                        <w:r>
                          <w:rPr>
                            <w:rFonts w:ascii="Arial Narrow" w:hAnsi="Arial Narrow"/>
                            <w:sz w:val="18"/>
                            <w:szCs w:val="18"/>
                          </w:rPr>
                          <w:t>+/- Supplements (c)</w:t>
                        </w:r>
                      </w:p>
                    </w:txbxContent>
                  </v:textbox>
                </v:shape>
                <v:shape id="Text Box 123" o:spid="_x0000_s1175" type="#_x0000_t202" style="position:absolute;left:2657;top:44410;width:4762;height:39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kV8UA&#10;AADaAAAADwAAAGRycy9kb3ducmV2LnhtbESPQWvCQBSE74L/YXlCL8Vs7KG00U0QUSweBG31/Nx9&#10;TUKzb2N2q6m/vlsoeBxm5htmVvS2ERfqfO1YwSRJQRBrZ2ouFXy8r8YvIHxANtg4JgU/5KHIh4MZ&#10;ZsZdeUeXfShFhLDPUEEVQptJ6XVFFn3iWuLofbrOYoiyK6Xp8BrhtpFPafosLdYcFypsaVGR/tp/&#10;WwXrzWly2xyWen3mUyN3x0dtF1ulHkb9fAoiUB/u4f/2m1HwCn9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SRXxQAAANoAAAAPAAAAAAAAAAAAAAAAAJgCAABkcnMv&#10;ZG93bnJldi54bWxQSwUGAAAAAAQABAD1AAAAigM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76" type="#_x0000_t202" style="position:absolute;left:9705;top:35647;width:351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4FcUA&#10;AADbAAAADwAAAGRycy9kb3ducmV2LnhtbESPQWsCQQyF7wX/wxDBS9FZPZSyOoqIRfFQ0FbPcSbu&#10;Lu5ktjujbvvrm0Oht4T38t6X2aLztbpTG6vABsajDBSxDa7iwsDnx9vwFVRMyA7rwGTgmyIs5r2n&#10;GeYuPHhP90MqlIRwzNFAmVKTax1tSR7jKDTEol1C6zHJ2hbatfiQcF/rSZa9aI8VS0OJDa1KstfD&#10;zRvY7M7jn91xbTdffK71/vRs/erdmEG/W05BJerSv/nveusEX+jlFxl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bgVxQAAANsAAAAPAAAAAAAAAAAAAAAAAJgCAABkcnMv&#10;ZG93bnJldi54bWxQSwUGAAAAAAQABAD1AAAAigM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177" type="#_x0000_t202" style="position:absolute;left:3863;top:35647;width:3093;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djsMA&#10;AADbAAAADwAAAGRycy9kb3ducmV2LnhtbERPTWvCQBC9F/wPywi9FN2kh1Kiq0iwWDwU1NbzZHdM&#10;gtnZmN3G1F/vFgq9zeN9znw52Eb01PnasYJ0moAg1s7UXCr4PLxNXkH4gGywcUwKfsjDcjF6mGNm&#10;3JV31O9DKWII+wwVVCG0mZReV2TRT11LHLmT6yyGCLtSmg6vMdw28jlJXqTFmmNDhS3lFenz/tsq&#10;2GyL9Lb9WuvNhYtG7o5P2uYfSj2Oh9UMRKAh/Iv/3O8mzk/h95d4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UdjsMAAADbAAAADwAAAAAAAAAAAAAAAACYAgAAZHJzL2Rv&#10;d25yZXYueG1sUEsFBgAAAAAEAAQA9QAAAIgDA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178" type="#_x0000_t202" style="position:absolute;left:9705;top:44410;width:4763;height:39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cIA&#10;AADbAAAADwAAAGRycy9kb3ducmV2LnhtbERPS4vCMBC+C/6HMAteRFM9iFSjLKK4eBB87J7HZLYt&#10;20xqk9XqrzeC4G0+vudM540txYVqXzhWMOgnIIi1MwVnCo6HVW8Mwgdkg6VjUnAjD/NZuzXF1Lgr&#10;7+iyD5mIIexTVJCHUKVSep2TRd93FXHkfl1tMURYZ9LUeI3htpTDJBlJiwXHhhwrWuSk//b/VsF6&#10;cxrcN99LvT7zqZS7n662i61SnY/mcwIiUBPe4pf7y8T5Q3j+E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4P5wgAAANsAAAAPAAAAAAAAAAAAAAAAAJgCAABkcnMvZG93&#10;bnJldi54bWxQSwUGAAAAAAQABAD1AAAAhwM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79" type="#_x0000_t202" style="position:absolute;left:4289;top:12962;width:7887;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smYsIA&#10;AADbAAAADwAAAGRycy9kb3ducmV2LnhtbERPTWsCMRC9C/6HMIKXolktFFmNImJRPAha9Twm4+7i&#10;ZrLdRN3665tCwds83udMZo0txZ1qXzhWMOgnIIi1MwVnCg5fn70RCB+QDZaOScEPeZhN260JpsY9&#10;eEf3fchEDGGfooI8hCqV0uucLPq+q4gjd3G1xRBhnUlT4yOG21IOk+RDWiw4NuRY0SInfd3frILV&#10;5jx4bo5Lvfrmcyl3pzdtF1ulup1mPgYRqAkv8b97beL8d/j7JR4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yZiwgAAANsAAAAPAAAAAAAAAAAAAAAAAJgCAABkcnMvZG93&#10;bnJldi54bWxQSwUGAAAAAAQABAD1AAAAhwM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No risk factors</w:t>
                        </w:r>
                      </w:p>
                    </w:txbxContent>
                  </v:textbox>
                </v:shape>
                <v:shape id="Straight Arrow Connector 103" o:spid="_x0000_s1180" type="#_x0000_t32" style="position:absolute;left:8365;top:20959;width:83;height:43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line id="Straight Connector 104" o:spid="_x0000_s1181" style="position:absolute;visibility:visible;mso-wrap-style:square" from="5737,32504" to="11642,3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Straight Arrow Connector 105" o:spid="_x0000_s1182" type="#_x0000_t32" style="position:absolute;left:5737;top:32504;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shape id="Straight Arrow Connector 106" o:spid="_x0000_s1183" type="#_x0000_t32" style="position:absolute;left:11642;top:32504;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v:line id="Straight Connector 107" o:spid="_x0000_s1184" style="position:absolute;visibility:visible;mso-wrap-style:square" from="8365,29456" to="8365,3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Straight Arrow Connector 108" o:spid="_x0000_s1185" type="#_x0000_t32" style="position:absolute;left:5641;top:38123;width:0;height:6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Straight Arrow Connector 109" o:spid="_x0000_s1186" type="#_x0000_t32" style="position:absolute;left:11458;top:38123;width:178;height:6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Text Box 123" o:spid="_x0000_s1187" type="#_x0000_t202" style="position:absolute;left:33467;top:25349;width:17888;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XM8UA&#10;AADbAAAADwAAAGRycy9kb3ducmV2LnhtbESPQWvCQBSE7wX/w/KEXopu4qGU6CaIKBYPBW31/LL7&#10;moRm38bsVlN/vVso9DjMzDfMohhsKy7U+8axgnSagCDWzjRcKfh430xeQPiAbLB1TAp+yEORjx4W&#10;mBl35T1dDqESEcI+QwV1CF0mpdc1WfRT1xFH79P1FkOUfSVNj9cIt62cJcmztNhwXKixo1VN+uvw&#10;bRVsd2V62x3XenvmspX705O2qzelHsfDcg4i0BD+w3/tV6NglsLvl/gD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SdczxQAAANsAAAAPAAAAAAAAAAAAAAAAAJgCAABkcnMv&#10;ZG93bnJldi54bWxQSwUGAAAAAAQABAD1AAAAigM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DXA scan of spine and proximal femur</w:t>
                        </w:r>
                      </w:p>
                    </w:txbxContent>
                  </v:textbox>
                </v:shape>
                <v:shape id="Text Box 123" o:spid="_x0000_s1188" type="#_x0000_t202" style="position:absolute;left:26209;top:30786;width:757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JRMUA&#10;AADbAAAADwAAAGRycy9kb3ducmV2LnhtbESPT2vCQBTE74V+h+UJXkQ35lAkuopIRfFQ8E97ftl9&#10;TUKzb2N21dhP3xWEHoeZ+Q0zW3S2FldqfeVYwXiUgCDWzlRcKDgd18MJCB+QDdaOScGdPCzmry8z&#10;zIy78Z6uh1CICGGfoYIyhCaT0uuSLPqRa4ij9+1aiyHKtpCmxVuE21qmSfImLVYcF0psaFWS/jlc&#10;rILNLh//7j7f9ebMeS33XwNtVx9K9XvdcgoiUBf+w8/21ihIU3h8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0lExQAAANsAAAAPAAAAAAAAAAAAAAAAAJgCAABkcnMv&#10;ZG93bnJldi54bWxQSwUGAAAAAAQABAD1AAAAigM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T-score ≥-1.0</w:t>
                        </w:r>
                      </w:p>
                    </w:txbxContent>
                  </v:textbox>
                </v:shape>
                <v:shape id="Text Box 123" o:spid="_x0000_s1189" type="#_x0000_t202" style="position:absolute;left:36877;top:30782;width:9918;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s38QA&#10;AADbAAAADwAAAGRycy9kb3ducmV2LnhtbESPT2sCMRTE7wW/Q3hCL6JZLYisRhGxWDwI/j0/k+fu&#10;4uZl3aS69dM3BaHHYWZ+w0xmjS3FnWpfOFbQ7yUgiLUzBWcKDvvP7giED8gGS8ek4Ic8zKattwmm&#10;xj14S/ddyESEsE9RQR5ClUrpdU4Wfc9VxNG7uNpiiLLOpKnxEeG2lIMkGUqLBceFHCta5KSvu2+r&#10;YLU+95/r41Kvbnwu5fbU0XaxUeq93czHIAI14T/8an8ZBYMP+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X7N/EAAAA2wAAAA8AAAAAAAAAAAAAAAAAmAIAAGRycy9k&#10;b3ducmV2LnhtbFBLBQYAAAAABAAEAPUAAACJAw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-1.0&gt; T-score &gt;-2.5</w:t>
                        </w:r>
                      </w:p>
                    </w:txbxContent>
                  </v:textbox>
                </v:shape>
                <v:shape id="Text Box 123" o:spid="_x0000_s1190" type="#_x0000_t202" style="position:absolute;left:50307;top:30672;width:757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50q8QA&#10;AADbAAAADwAAAGRycy9kb3ducmV2LnhtbESPT2sCMRTE7wW/Q3hCL6JZpYisRhGxWDwI/j0/k+fu&#10;4uZl3aS69dM3BaHHYWZ+w0xmjS3FnWpfOFbQ7yUgiLUzBWcKDvvP7giED8gGS8ek4Ic8zKattwmm&#10;xj14S/ddyESEsE9RQR5ClUrpdU4Wfc9VxNG7uNpiiLLOpKnxEeG2lIMkGUqLBceFHCta5KSvu2+r&#10;YLU+95/r41Kvbnwu5fbU0XaxUeq93czHIAI14T/8an8ZBYMP+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dKvEAAAA2wAAAA8AAAAAAAAAAAAAAAAAmAIAAGRycy9k&#10;b3ducmV2LnhtbFBLBQYAAAAABAAEAPUAAACJAwAAAAA=&#10;" strokeweight=".5pt">
                  <v:textbox>
                    <w:txbxContent>
                      <w:p w:rsidR="00224467" w:rsidRDefault="00224467" w:rsidP="00346920">
                        <w:pPr>
                          <w:pStyle w:val="NormalWeb"/>
                          <w:spacing w:before="0" w:beforeAutospacing="0" w:after="200" w:afterAutospacing="0" w:line="276" w:lineRule="auto"/>
                        </w:pPr>
                        <w:r>
                          <w:rPr>
                            <w:rFonts w:ascii="Arial Narrow" w:hAnsi="Arial Narrow"/>
                            <w:sz w:val="18"/>
                            <w:szCs w:val="18"/>
                          </w:rPr>
                          <w:t>T-score ≤-2.5</w:t>
                        </w:r>
                      </w:p>
                    </w:txbxContent>
                  </v:textbox>
                </v:shape>
                <v:shape id="Text Box 123" o:spid="_x0000_s1191" type="#_x0000_t202" style="position:absolute;left:23917;top:34607;width:10807;height:4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RMMQA&#10;AADbAAAADwAAAGRycy9kb3ducmV2LnhtbESPT2sCMRTE7wW/Q3hCL6JZhYqsRhGxWDwI/j0/k+fu&#10;4uZl3aS69dM3BaHHYWZ+w0xmjS3FnWpfOFbQ7yUgiLUzBWcKDvvP7giED8gGS8ek4Ic8zKattwmm&#10;xj14S/ddyESEsE9RQR5ClUrpdU4Wfc9VxNG7uNpiiLLOpKnxEeG2lIMkGUqLBceFHCta5KSvu2+r&#10;YLU+95/r41Kvbnwu5fbU0XaxUeq93czHIAI14T/8an8ZBYMP+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0TDEAAAA2wAAAA8AAAAAAAAAAAAAAAAAmAIAAGRycy9k&#10;b3ducmV2LnhtbFBLBQYAAAAABAAEAPUAAACJAwAAAAA=&#10;" strokeweight=".5pt">
                  <v:textbox>
                    <w:txbxContent>
                      <w:p w:rsidR="00224467" w:rsidRPr="00F6627B" w:rsidRDefault="00224467" w:rsidP="00346920">
                        <w:pPr>
                          <w:pStyle w:val="NormalWeb"/>
                          <w:spacing w:before="0" w:beforeAutospacing="0" w:after="0" w:afterAutospacing="0" w:line="276" w:lineRule="auto"/>
                        </w:pPr>
                        <w:r>
                          <w:rPr>
                            <w:rFonts w:ascii="Arial Narrow" w:hAnsi="Arial Narrow"/>
                            <w:sz w:val="18"/>
                            <w:szCs w:val="18"/>
                          </w:rPr>
                          <w:t>No treatment advised</w:t>
                        </w:r>
                      </w:p>
                    </w:txbxContent>
                  </v:textbox>
                </v:shape>
                <v:shape id="Text Box 123" o:spid="_x0000_s1192" type="#_x0000_t202" style="position:absolute;left:35753;top:34584;width:13360;height:46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PR8UA&#10;AADbAAAADwAAAGRycy9kb3ducmV2LnhtbESPzWrDMBCE74W8g9hALyWR7UMoTpRQQoqLD4X8njfS&#10;xja1Vo6lJm6fvioUehxm5htmsRpsK27U+8axgnSagCDWzjRcKTjsXyfPIHxANtg6JgVf5GG1HD0s&#10;MDfuzlu67UIlIoR9jgrqELpcSq9rsuinriOO3sX1FkOUfSVNj/cIt63MkmQmLTYcF2rsaF2T/th9&#10;WgVFeU6/y+NGF1c+t3J7etJ2/a7U43h4mYMINIT/8F/7zSjIZv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E9HxQAAANsAAAAPAAAAAAAAAAAAAAAAAJgCAABkcnMv&#10;ZG93bnJldi54bWxQSwUGAAAAAAQABAD1AAAAigM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Consider treating the cause</w:t>
                        </w:r>
                      </w:p>
                      <w:p w:rsidR="00224467" w:rsidRDefault="00224467" w:rsidP="00346920">
                        <w:pPr>
                          <w:pStyle w:val="NormalWeb"/>
                          <w:spacing w:before="0" w:beforeAutospacing="0" w:after="0" w:afterAutospacing="0" w:line="276" w:lineRule="auto"/>
                        </w:pPr>
                        <w:r>
                          <w:rPr>
                            <w:rFonts w:ascii="Arial Narrow" w:hAnsi="Arial Narrow"/>
                            <w:sz w:val="18"/>
                            <w:szCs w:val="18"/>
                          </w:rPr>
                          <w:t>Consider anti-OP therapy</w:t>
                        </w:r>
                      </w:p>
                    </w:txbxContent>
                  </v:textbox>
                </v:shape>
                <v:shape id="Text Box 123" o:spid="_x0000_s1193" type="#_x0000_t202" style="position:absolute;left:50916;top:46299;width:17107;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q3MQA&#10;AADbAAAADwAAAGRycy9kb3ducmV2LnhtbESPT2sCMRTE7wW/Q3hCL6JZPVRZjSJisXgQ/Ht+Js/d&#10;xc3Lukl166dvCkKPw8z8hpnMGluKO9W+cKyg30tAEGtnCs4UHPaf3REIH5ANlo5JwQ95mE1bbxNM&#10;jXvwlu67kIkIYZ+igjyEKpXS65ws+p6riKN3cbXFEGWdSVPjI8JtKQdJ8iEtFhwXcqxokZO+7r6t&#10;gtX63H+uj0u9uvG5lNtTR9vFRqn3djMfgwjUhP/wq/1lFAyG8Pc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s6tzEAAAA2w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Repeat scan every 12-24 months (d)</w:t>
                        </w:r>
                      </w:p>
                    </w:txbxContent>
                  </v:textbox>
                </v:shape>
                <v:shape id="Straight Arrow Connector 121" o:spid="_x0000_s1194" type="#_x0000_t32" style="position:absolute;left:31121;top:5048;width:98;height:2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rssAAAADbAAAADwAAAGRycy9kb3ducmV2LnhtbERPy4rCMBTdD/gP4QpuBk2tjEo1igg6&#10;A7PyAW4vzW1TbG5KE2v9+8lCmOXhvNfb3taio9ZXjhVMJwkI4tzpiksF18thvAThA7LG2jEpeJGH&#10;7WbwscZMuyefqDuHUsQQ9hkqMCE0mZQ+N2TRT1xDHLnCtRZDhG0pdYvPGG5rmSbJXFqsODYYbGhv&#10;KL+fH1ZBkWqaft5v5nvxhcX+d5Z2XX1UajTsdysQgfrwL367f7SCNI6N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1K7LAAAAA2wAAAA8AAAAAAAAAAAAAAAAA&#10;oQIAAGRycy9kb3ducmV2LnhtbFBLBQYAAAAABAAEAPkAAACOAwAAAAA=&#10;">
                  <v:stroke endarrow="open"/>
                </v:shape>
                <v:line id="Straight Connector 125" o:spid="_x0000_s1195" style="position:absolute;flip:y;visibility:visible;mso-wrap-style:square" from="8365,10953" to="42576,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Straight Connector 127" o:spid="_x0000_s1196" style="position:absolute;visibility:visible;mso-wrap-style:square" from="31219,9603" to="31219,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Straight Arrow Connector 335" o:spid="_x0000_s1197" type="#_x0000_t32" style="position:absolute;left:8448;top:11048;width:3;height:19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U8sMAAADbAAAADwAAAGRycy9kb3ducmV2LnhtbESPQWvCQBSE70L/w/IKvYhuEtGW1FWK&#10;UCt4UgteH9mXbDD7NmS3Mf77riB4HGbmG2a5Hmwjeup87VhBOk1AEBdO11wp+D19Tz5A+ICssXFM&#10;Cm7kYb16GS0x1+7KB+qPoRIRwj5HBSaENpfSF4Ys+qlriaNXus5iiLKrpO7wGuG2kVmSLKTFmuOC&#10;wZY2horL8c8qKDNN6fhyNj/vcyw3+1nW981WqbfX4esTRKAhPMOP9k4rmKVw/x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WFPLDAAAA2wAAAA8AAAAAAAAAAAAA&#10;AAAAoQIAAGRycy9kb3ducmV2LnhtbFBLBQYAAAAABAAEAPkAAACRAwAAAAA=&#10;">
                  <v:stroke endarrow="open"/>
                </v:shape>
                <v:shape id="Straight Arrow Connector 337" o:spid="_x0000_s1198" type="#_x0000_t32" style="position:absolute;left:42576;top:10953;width:0;height:10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KhcMAAADbAAAADwAAAGRycy9kb3ducmV2LnhtbESPQWvCQBSE7wX/w/KEXkrdGNFKdCMi&#10;tBU8qYVeH9mXbEj2bciuMf33XaHQ4zAz3zDb3WhbMVDva8cK5rMEBHHhdM2Vgq/r++sahA/IGlvH&#10;pOCHPOzyydMWM+3ufKbhEioRIewzVGBC6DIpfWHIop+5jjh6pesthij7Suoe7xFuW5kmyUparDku&#10;GOzoYKhoLjeroEw1zV+ab/P5tsTycFqkw9B+KPU8HfcbEIHG8B/+ax+1gkUK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EioXDAAAA2wAAAA8AAAAAAAAAAAAA&#10;AAAAoQIAAGRycy9kb3ducmV2LnhtbFBLBQYAAAAABAAEAPkAAACRAwAAAAA=&#10;">
                  <v:stroke endarrow="open"/>
                </v:shape>
                <v:line id="Straight Connector 139" o:spid="_x0000_s1199" style="position:absolute;visibility:visible;mso-wrap-style:square" from="29635,29025" to="53923,2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Straight Arrow Connector 140" o:spid="_x0000_s1200" type="#_x0000_t32" style="position:absolute;left:42398;top:27819;width:0;height:2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3asMAAADbAAAADwAAAGRycy9kb3ducmV2LnhtbESPQWvCQBSE74L/YXkFL1I3Rm1L6ioi&#10;qIWeqoVeH9mXbDD7NmTXGP+9KxQ8DjPzDbNc97YWHbW+cqxgOklAEOdOV1wq+D3tXj9A+ICssXZM&#10;Cm7kYb0aDpaYaXflH+qOoRQRwj5DBSaEJpPS54Ys+olriKNXuNZiiLItpW7xGuG2lmmSvEmLFccF&#10;gw1tDeXn48UqKFJN0/H5zxzeF1hsv2dp19V7pUYv/eYTRKA+PMP/7S+tYDaH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ht2rDAAAA2wAAAA8AAAAAAAAAAAAA&#10;AAAAoQIAAGRycy9kb3ducmV2LnhtbFBLBQYAAAAABAAEAPkAAACRAwAAAAA=&#10;">
                  <v:stroke endarrow="open"/>
                </v:shape>
                <v:shape id="Straight Arrow Connector 141" o:spid="_x0000_s1201" type="#_x0000_t32" style="position:absolute;left:29597;top:29120;width:31;height:16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RJlsYAAADbAAAADwAAAGRycy9kb3ducmV2LnhtbESPT2vCQBTE7wW/w/KEXopuWqlIdBOk&#10;UCilIP65eHtkX7LB7Ns0u8bYT+8KBY/DzPyGWeWDbURPna8dK3idJiCIC6drrhQc9p+TBQgfkDU2&#10;jknBlTzk2ehphal2F95SvwuViBD2KSowIbSplL4wZNFPXUscvdJ1FkOUXSV1h5cIt418S5K5tFhz&#10;XDDY0oeh4rQ7WwUv22NdleX55+pnf5tF8r35NUWv1PN4WC9BBBrCI/zf/tIKZu9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ESZbGAAAA2wAAAA8AAAAAAAAA&#10;AAAAAAAAoQIAAGRycy9kb3ducmV2LnhtbFBLBQYAAAAABAAEAPkAAACUAwAAAAA=&#10;">
                  <v:stroke endarrow="open"/>
                </v:shape>
                <v:shape id="Straight Arrow Connector 142" o:spid="_x0000_s1202" type="#_x0000_t32" style="position:absolute;left:53923;top:29120;width:134;height:1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MhsQAAADbAAAADwAAAGRycy9kb3ducmV2LnhtbESPzWrDMBCE74W8g9hAL6WR41CnuFZC&#10;CDQt9JQf6HWx1paxtTKW4jhvXxUKPQ4z8w1TbCfbiZEG3zhWsFwkIIhLpxuuFVzO78+vIHxA1tg5&#10;JgV38rDdzB4KzLW78ZHGU6hFhLDPUYEJoc+l9KUhi37heuLoVW6wGKIcaqkHvEW47WSaJJm02HBc&#10;MNjT3lDZnq5WQZVqWj613+Zj/YLV/muVjmN3UOpxPu3eQASawn/4r/2pFawy+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4yGxAAAANsAAAAPAAAAAAAAAAAA&#10;AAAAAKECAABkcnMvZG93bnJldi54bWxQSwUGAAAAAAQABAD5AAAAkgMAAAAA&#10;">
                  <v:stroke endarrow="open"/>
                </v:shape>
                <v:shape id="Straight Arrow Connector 149" o:spid="_x0000_s1203" type="#_x0000_t32" style="position:absolute;left:29628;top:33242;width:7;height:1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HcMAAADbAAAADwAAAGRycy9kb3ducmV2LnhtbESPQWvCQBSE74L/YXlCL1I3RqwldRUR&#10;agVPVaHXR/YlG8y+Ddk1xn/fFQSPw8x8wyzXva1FR62vHCuYThIQxLnTFZcKzqfv908QPiBrrB2T&#10;gjt5WK+GgyVm2t34l7pjKEWEsM9QgQmhyaT0uSGLfuIa4ugVrrUYomxLqVu8RbitZZokH9JixXHB&#10;YENbQ/nleLUKilTTdHz5Mz+LORbbwyztunqn1Nuo33yBCNSHV/jZ3msFswU8vs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zKR3DAAAA2wAAAA8AAAAAAAAAAAAA&#10;AAAAoQIAAGRycy9kb3ducmV2LnhtbFBLBQYAAAAABAAEAPkAAACRAwAAAAA=&#10;">
                  <v:stroke endarrow="open"/>
                </v:shape>
                <v:shape id="Straight Arrow Connector 151" o:spid="_x0000_s1204" type="#_x0000_t32" style="position:absolute;left:42398;top:33242;width:0;height:1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shape id="Straight Arrow Connector 158" o:spid="_x0000_s1205" type="#_x0000_t32" style="position:absolute;left:54057;top:33242;width:41;height:1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lDk8YAAADbAAAADwAAAGRycy9kb3ducmV2LnhtbESPT2vCQBTE7wW/w/KEXopuWqFodBOk&#10;UCilIP65eHtkX7LB7Ns0u8bYT+8KBY/DzPyGWeWDbURPna8dK3idJiCIC6drrhQc9p+TOQgfkDU2&#10;jknBlTzk2ehphal2F95SvwuViBD2KSowIbSplL4wZNFPXUscvdJ1FkOUXSV1h5cIt418S5J3abHm&#10;uGCwpQ9DxWl3tgpetse6Ksvzz9XP/jbz5Hvza4peqefxsF6CCDSER/i//aUVzB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JQ5PGAAAA2wAAAA8AAAAAAAAA&#10;AAAAAAAAoQIAAGRycy9kb3ducmV2LnhtbFBLBQYAAAAABAAEAPkAAACUAwAAAAA=&#10;">
                  <v:stroke endarrow="open"/>
                </v:shape>
                <v:shape id="Straight Arrow Connector 165" o:spid="_x0000_s1206" type="#_x0000_t32" style="position:absolute;left:47970;top:39317;width:0;height:68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Straight Arrow Connector 166" o:spid="_x0000_s1207" type="#_x0000_t32" style="position:absolute;left:59543;top:39077;width:0;height:7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nj8QAAADbAAAADwAAAGRycy9kb3ducmV2LnhtbESPQWvCQBSE7wX/w/KEXopuEluV6CpF&#10;aC14qgpeH9mXbDD7NmS3Mf33rlDocZiZb5j1drCN6KnztWMF6TQBQVw4XXOl4Hz6mCxB+ICssXFM&#10;Cn7Jw3Yzelpjrt2Nv6k/hkpECPscFZgQ2lxKXxiy6KeuJY5e6TqLIcqukrrDW4TbRmZJMpcWa44L&#10;BlvaGSquxx+roMw0pS/Xi9kv3rDcHWZZ3zefSj2Ph/cViEBD+A//tb+0gtc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GePxAAAANsAAAAPAAAAAAAAAAAA&#10;AAAAAKECAABkcnMvZG93bnJldi54bWxQSwUGAAAAAAQABAD5AAAAkgMAAAAA&#10;">
                  <v:stroke endarrow="open"/>
                </v:shape>
                <v:shape id="Text Box 123" o:spid="_x0000_s1208" type="#_x0000_t202" style="position:absolute;left:51745;top:41263;width:4763;height:39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5MQA&#10;AADbAAAADwAAAGRycy9kb3ducmV2LnhtbESPT2sCMRTE7wW/Q3hCL6JZpYisRhGxWDwI/j0/k+fu&#10;4uZl3aS69dM3BaHHYWZ+w0xmjS3FnWpfOFbQ7yUgiLUzBWcKDvvP7giED8gGS8ek4Ic8zKattwmm&#10;xj14S/ddyESEsE9RQR5ClUrpdU4Wfc9VxNG7uNpiiLLOpKnxEeG2lIMkGUqLBceFHCta5KSvu2+r&#10;YLU+95/r41Kvbnwu5fbU0XaxUeq93czHIAI14T/8an8ZBR8D+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rOTEAAAA2wAAAA8AAAAAAAAAAAAAAAAAmAIAAGRycy9k&#10;b3ducmV2LnhtbFBLBQYAAAAABAAEAPUAAACJAw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209" type="#_x0000_t202" style="position:absolute;left:39715;top:41263;width:4763;height:39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f8YA&#10;AADbAAAADwAAAGRycy9kb3ducmV2LnhtbESPT2vCQBTE74LfYXlCL6KbtKVI6hpELBYPBf+05+fu&#10;axLMvo3ZrUY/fVco9DjMzG+Yad7ZWpyp9ZVjBek4AUGsnam4ULDfvY0mIHxANlg7JgVX8pDP+r0p&#10;ZsZdeEPnbShEhLDPUEEZQpNJ6XVJFv3YNcTR+3atxRBlW0jT4iXCbS0fk+RFWqw4LpTY0KIkfdz+&#10;WAWr9SG9rT+XenXiQy03X0NtFx9KPQy6+SuIQF34D/+1342C5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Jf8YAAADbAAAADwAAAAAAAAAAAAAAAACYAgAAZHJz&#10;L2Rvd25yZXYueG1sUEsFBgAAAAAEAAQA9QAAAIsDA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210" type="#_x0000_t202" style="position:absolute;left:27263;top:41263;width:4763;height:39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RC8UA&#10;AADbAAAADwAAAGRycy9kb3ducmV2LnhtbESPQWvCQBSE7wX/w/IEL0U3FimSZiMiLYoHQW09P3df&#10;k2D2bZpdNfrruwWhx2FmvmGyWWdrcaHWV44VjEcJCGLtTMWFgs/9x3AKwgdkg7VjUnAjD7O895Rh&#10;atyVt3TZhUJECPsUFZQhNKmUXpdk0Y9cQxy9b9daDFG2hTQtXiPc1vIlSV6lxYrjQokNLUrSp93Z&#10;Kliuj+P7+utdL3/4WMvt4VnbxUapQb+bv4EI1IX/8KO9MgomE/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4ZELxQAAANsAAAAPAAAAAAAAAAAAAAAAAJgCAABkcnMv&#10;ZG93bnJldi54bWxQSwUGAAAAAAQABAD1AAAAigM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Risk of</w:t>
                        </w:r>
                      </w:p>
                      <w:p w:rsidR="00224467" w:rsidRDefault="00224467" w:rsidP="00346920">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404" o:spid="_x0000_s1211" type="#_x0000_t32" style="position:absolute;left:29628;top:39317;width:7;height:1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hjMQAAADbAAAADwAAAGRycy9kb3ducmV2LnhtbESPQWvCQBSE70L/w/IKvZS6Ma22pG5E&#10;hFrBk1ro9ZF9yYZk34bsGuO/7xYEj8PMfMMsV6NtxUC9rx0rmE0TEMSF0zVXCn5OXy8fIHxA1tg6&#10;JgVX8rDKHyZLzLS78IGGY6hEhLDPUIEJocuk9IUhi37qOuLola63GKLsK6l7vES4bWWaJAtpsea4&#10;YLCjjaGiOZ6tgjLVNHtufs33+xzLzf41HYZ2q9TT47j+BBFoDPfwrb3TCt7m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q2GMxAAAANsAAAAPAAAAAAAAAAAA&#10;AAAAAKECAABkcnMvZG93bnJldi54bWxQSwUGAAAAAAQABAD5AAAAkgMAAAAA&#10;">
                  <v:stroke endarrow="open"/>
                </v:shape>
                <v:shape id="Straight Arrow Connector 405" o:spid="_x0000_s1212" type="#_x0000_t32" style="position:absolute;left:42087;top:39286;width:0;height:19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QAAADbAAAADwAAAGRycy9kb3ducmV2LnhtbESPQWvCQBSE70L/w/IKvZS6Ma22pG5E&#10;hFrBk1ro9ZF9yYZk34bsGuO/7xYEj8PMfMMsV6NtxUC9rx0rmE0TEMSF0zVXCn5OXy8fIHxA1tg6&#10;JgVX8rDKHyZLzLS78IGGY6hEhLDPUIEJocuk9IUhi37qOuLola63GKLsK6l7vES4bWWaJAtpsea4&#10;YLCjjaGiOZ6tgjLVNHtufs33+x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f/7xAAAANsAAAAPAAAAAAAAAAAA&#10;AAAAAKECAABkcnMvZG93bnJldi54bWxQSwUGAAAAAAQABAD5AAAAkgMAAAAA&#10;">
                  <v:stroke endarrow="open"/>
                </v:shape>
                <v:shape id="Straight Arrow Connector 194" o:spid="_x0000_s1213" type="#_x0000_t32" style="position:absolute;left:54098;top:39317;width:0;height:1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VaYMQAAADbAAAADwAAAGRycy9kb3ducmV2LnhtbESPQWvCQBSE70L/w/IKvZS6Ma21pG5E&#10;hFrBk1ro9ZF9yYZk34bsGuO/7xYEj8PMfMMsV6NtxUC9rx0rmE0TEMSF0zVXCn5OXy8fIHxA1tg6&#10;JgVX8rDKHyZLzLS78IGGY6hEhLDPUIEJocuk9IUhi37qOuLola63GKLsK6l7vES4bWWaJO/SYs1x&#10;wWBHG0NFczxbBWWqafbc/JrvxR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VpgxAAAANsAAAAPAAAAAAAAAAAA&#10;AAAAAKECAABkcnMvZG93bnJldi54bWxQSwUGAAAAAAQABAD5AAAAkgMAAAAA&#10;">
                  <v:stroke endarrow="open"/>
                </v:shape>
                <v:shape id="Text Box 123" o:spid="_x0000_s1214" type="#_x0000_t202" style="position:absolute;left:50307;top:34552;width:13361;height:45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bDsMA&#10;AADbAAAADwAAAGRycy9kb3ducmV2LnhtbERPy2rCQBTdF/yH4QpuSjNRRErqKEUqiouC9rG+mblN&#10;QjN30syYRL++sxBcHs57uR5sLTpqfeVYwTRJQRBrZyouFHx+bJ+eQfiAbLB2TAou5GG9Gj0sMTOu&#10;5yN1p1CIGMI+QwVlCE0mpdclWfSJa4gj9+NaiyHCtpCmxT6G21rO0nQhLVYcG0psaFOS/j2drYLd&#10;IZ9eD19vevfHeS2P34/abt6VmoyH1xcQgYZwF9/ce6NgHsfG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ybDsMAAADbAAAADwAAAAAAAAAAAAAAAACYAgAAZHJzL2Rv&#10;d25yZXYueG1sUEsFBgAAAAAEAAQA9QAAAIgDAAAAAA==&#10;" strokeweight=".5pt">
                  <v:textbox>
                    <w:txbxContent>
                      <w:p w:rsidR="00224467" w:rsidRDefault="00224467"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Consider treating the cause</w:t>
                        </w:r>
                      </w:p>
                      <w:p w:rsidR="00224467" w:rsidRDefault="00224467" w:rsidP="00346920">
                        <w:pPr>
                          <w:pStyle w:val="NormalWeb"/>
                          <w:spacing w:before="0" w:beforeAutospacing="0" w:after="0" w:afterAutospacing="0" w:line="276" w:lineRule="auto"/>
                        </w:pPr>
                        <w:r>
                          <w:rPr>
                            <w:rFonts w:ascii="Arial Narrow" w:hAnsi="Arial Narrow"/>
                            <w:sz w:val="18"/>
                            <w:szCs w:val="18"/>
                          </w:rPr>
                          <w:t>Treat with anti-OP therapy</w:t>
                        </w:r>
                      </w:p>
                    </w:txbxContent>
                  </v:textbox>
                </v:shape>
                <v:shape id="Text Box 123" o:spid="_x0000_s1215" type="#_x0000_t202" style="position:absolute;left:35322;top:46304;width:14351;height:22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lcYA&#10;AADbAAAADwAAAGRycy9kb3ducmV2LnhtbESPT2vCQBTE74LfYXlCL6KblFJq6hpELBYPBf+05+fu&#10;axLMvo3ZrUY/fVco9DjMzG+Yad7ZWpyp9ZVjBek4AUGsnam4ULDfvY1eQPiAbLB2TAqu5CGf9XtT&#10;zIy78IbO21CICGGfoYIyhCaT0uuSLPqxa4ij9+1aiyHKtpCmxUuE21o+JsmztFhxXCixoUVJ+rj9&#10;sQpW60N6W38u9erEh1puvobaLj6Uehh081cQgbrwH/5rvxsFTxO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A+lcYAAADbAAAADwAAAAAAAAAAAAAAAACYAgAAZHJz&#10;L2Rvd25yZXYueG1sUEsFBgAAAAAEAAQA9QAAAIsDAAAAAA==&#10;" strokeweight=".5pt">
                  <v:textbox>
                    <w:txbxContent>
                      <w:p w:rsidR="00224467" w:rsidRDefault="00224467" w:rsidP="00346920">
                        <w:pPr>
                          <w:pStyle w:val="NormalWeb"/>
                          <w:spacing w:before="0" w:beforeAutospacing="0" w:after="0" w:afterAutospacing="0" w:line="276" w:lineRule="auto"/>
                        </w:pPr>
                        <w:r>
                          <w:rPr>
                            <w:rFonts w:ascii="Arial Narrow" w:hAnsi="Arial Narrow"/>
                            <w:sz w:val="18"/>
                            <w:szCs w:val="18"/>
                          </w:rPr>
                          <w:t>Repeat scan every 24 months</w:t>
                        </w:r>
                      </w:p>
                    </w:txbxContent>
                  </v:textbox>
                </v:shape>
                <v:shape id="Text Box 123" o:spid="_x0000_s1216" type="#_x0000_t202" style="position:absolute;left:34883;top:21377;width:1560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B1cMA&#10;AADbAAAADwAAAGRycy9kb3ducmV2LnhtbERPy2rCQBTdF/yH4QpuSjNRUErqKEUqiouC9rG+mblN&#10;QjN30syYRL++sxBcHs57uR5sLTpqfeVYwTRJQRBrZyouFHx+bJ+eQfiAbLB2TAou5GG9Gj0sMTOu&#10;5yN1p1CIGMI+QwVlCE0mpdclWfSJa4gj9+NaiyHCtpCmxT6G21rO0nQhLVYcG0psaFOS/j2drYLd&#10;IZ9eD19vevfHeS2P34/abt6VmoyH1xcQgYZwF9/ce6NgHtfH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MB1cMAAADbAAAADwAAAAAAAAAAAAAAAACYAgAAZHJzL2Rv&#10;d25yZXYueG1sUEsFBgAAAAAEAAQA9QAAAIgDAAAAAA==&#10;" strokeweight=".5pt">
                  <v:textbox>
                    <w:txbxContent>
                      <w:p w:rsidR="00224467" w:rsidRDefault="00224467" w:rsidP="00A5224F">
                        <w:pPr>
                          <w:pStyle w:val="NormalWeb"/>
                          <w:spacing w:before="0" w:beforeAutospacing="0" w:after="0" w:afterAutospacing="0" w:line="276" w:lineRule="auto"/>
                        </w:pPr>
                        <w:r>
                          <w:rPr>
                            <w:rFonts w:ascii="Arial Narrow" w:hAnsi="Arial Narrow"/>
                            <w:sz w:val="18"/>
                            <w:szCs w:val="18"/>
                          </w:rPr>
                          <w:t>Lifestyle and dietary advice (b, c)</w:t>
                        </w:r>
                      </w:p>
                    </w:txbxContent>
                  </v:textbox>
                </v:shape>
                <v:shape id="Straight Arrow Connector 238" o:spid="_x0000_s1217" type="#_x0000_t32" style="position:absolute;left:42576;top:14455;width:0;height:69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xUsMAAADbAAAADwAAAGRycy9kb3ducmV2LnhtbESPQWvCQBSE70L/w/IKvYhukqItqasU&#10;oSp4UgteH9mXbDD7NmS3Mf57tyB4HGbmG2axGmwjeup87VhBOk1AEBdO11wp+D39TD5B+ICssXFM&#10;Cm7kYbV8GS0w1+7KB+qPoRIRwj5HBSaENpfSF4Ys+qlriaNXus5iiLKrpO7wGuG2kVmSzKXFmuOC&#10;wZbWhorL8c8qKDNN6fhyNtuPGZbr/XvW981GqbfX4fsLRKAhPMOP9k4rmK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J8VLDAAAA2wAAAA8AAAAAAAAAAAAA&#10;AAAAoQIAAGRycy9kb3ducmV2LnhtbFBLBQYAAAAABAAEAPkAAACRAwAAAAA=&#10;">
                  <v:stroke endarrow="open"/>
                </v:shape>
                <v:shape id="Straight Arrow Connector 239" o:spid="_x0000_s1218" type="#_x0000_t32" style="position:absolute;left:42576;top:23851;width:0;height:1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tvJcQAAADbAAAADwAAAGRycy9kb3ducmV2LnhtbESPT2vCQBTE7wW/w/KEXopuTPEP0VVE&#10;aC30ZBS8PrIv2WD2bciuMf32bqHQ4zAzv2E2u8E2oqfO144VzKYJCOLC6ZorBZfzx2QFwgdkjY1j&#10;UvBDHnbb0csGM+0efKI+D5WIEPYZKjAhtJmUvjBk0U9dSxy90nUWQ5RdJXWHjwi3jUyTZCEt1hwX&#10;DLZ0MFTc8rtVUKaaZm+3qzku51gevt/Tvm8+lXodD/s1iEBD+A//tb+0gnkK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28lxAAAANsAAAAPAAAAAAAAAAAA&#10;AAAAAKECAABkcnMvZG93bnJldi54bWxQSwUGAAAAAAQABAD5AAAAkgMAAAAA&#10;">
                  <v:stroke endarrow="open"/>
                </v:shape>
                <v:shape id="Text Box 123" o:spid="_x0000_s1219" type="#_x0000_t202" style="position:absolute;left:85;top:18087;width:21749;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fosYA&#10;AADbAAAADwAAAGRycy9kb3ducmV2LnhtbESPT2vCQBTE74LfYXlCL6KbtLRI6hpELBYPBf+05+fu&#10;axLMvo3ZrUY/fVco9DjMzG+Yad7ZWpyp9ZVjBek4AUGsnam4ULDfvY0mIHxANlg7JgVX8pDP+r0p&#10;ZsZdeEPnbShEhLDPUEEZQpNJ6XVJFv3YNcTR+3atxRBlW0jT4iXCbS0fk+RFWqw4LpTY0KIkfdz+&#10;WAWr9SG9rT+XenXiQy03X0NtFx9KPQy6+SuIQF34D/+1342C5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GfosYAAADbAAAADwAAAAAAAAAAAAAAAACYAgAAZHJz&#10;L2Rvd25yZXYueG1sUEsFBgAAAAAEAAQA9QAAAIsDAAAAAA==&#10;" strokeweight=".5pt">
                  <v:textbox>
                    <w:txbxContent>
                      <w:p w:rsidR="00224467" w:rsidRDefault="00224467" w:rsidP="00F6627B">
                        <w:pPr>
                          <w:pStyle w:val="NormalWeb"/>
                          <w:spacing w:before="0" w:beforeAutospacing="0" w:after="0" w:afterAutospacing="0" w:line="276" w:lineRule="auto"/>
                          <w:jc w:val="center"/>
                        </w:pPr>
                        <w:r>
                          <w:rPr>
                            <w:rFonts w:ascii="Arial Narrow" w:hAnsi="Arial Narrow"/>
                            <w:sz w:val="18"/>
                            <w:szCs w:val="18"/>
                          </w:rPr>
                          <w:t>Clinical assessment, test for vitamin D,</w:t>
                        </w:r>
                      </w:p>
                      <w:p w:rsidR="00224467" w:rsidRDefault="00224467" w:rsidP="00F6627B">
                        <w:pPr>
                          <w:pStyle w:val="NormalWeb"/>
                          <w:spacing w:before="0" w:beforeAutospacing="0" w:after="0" w:afterAutospacing="0" w:line="276" w:lineRule="auto"/>
                          <w:jc w:val="center"/>
                        </w:pPr>
                        <w:r>
                          <w:rPr>
                            <w:rFonts w:ascii="Arial Narrow" w:hAnsi="Arial Narrow"/>
                            <w:sz w:val="18"/>
                            <w:szCs w:val="18"/>
                          </w:rPr>
                          <w:t>Including existing fracture risk assessment tools</w:t>
                        </w:r>
                      </w:p>
                    </w:txbxContent>
                  </v:textbox>
                </v:shape>
                <v:shape id="Text Box 123" o:spid="_x0000_s1220" type="#_x0000_t202" style="position:absolute;left:32026;top:15600;width:21748;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gH1sYA&#10;AADbAAAADwAAAGRycy9kb3ducmV2LnhtbESPT2vCQBTE74LfYXlCL6KblLZI6hpELBYPBf+05+fu&#10;axLMvo3ZrUY/fVco9DjMzG+Yad7ZWpyp9ZVjBek4AUGsnam4ULDfvY0mIHxANlg7JgVX8pDP+r0p&#10;ZsZdeEPnbShEhLDPUEEZQpNJ6XVJFv3YNcTR+3atxRBlW0jT4iXCbS0fk+RFWqw4LpTY0KIkfdz+&#10;WAWr9SG9rT+XenXiQy03X0NtFx9KPQy6+SuIQF34D/+1342C5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gH1sYAAADbAAAADwAAAAAAAAAAAAAAAACYAgAAZHJz&#10;L2Rvd25yZXYueG1sUEsFBgAAAAAEAAQA9QAAAIsDAAAAAA==&#10;" strokeweight=".5pt">
                  <v:textbox>
                    <w:txbxContent>
                      <w:p w:rsidR="00224467" w:rsidRDefault="00224467" w:rsidP="00F6627B">
                        <w:pPr>
                          <w:pStyle w:val="NormalWeb"/>
                          <w:spacing w:before="0" w:beforeAutospacing="0" w:after="0" w:afterAutospacing="0" w:line="276" w:lineRule="auto"/>
                          <w:jc w:val="center"/>
                        </w:pPr>
                        <w:r>
                          <w:rPr>
                            <w:rFonts w:ascii="Arial Narrow" w:hAnsi="Arial Narrow"/>
                            <w:sz w:val="18"/>
                            <w:szCs w:val="18"/>
                          </w:rPr>
                          <w:t>Clinical assessment, test for vitamin D,</w:t>
                        </w:r>
                      </w:p>
                      <w:p w:rsidR="00224467" w:rsidRDefault="00224467" w:rsidP="00F6627B">
                        <w:pPr>
                          <w:pStyle w:val="NormalWeb"/>
                          <w:spacing w:before="0" w:beforeAutospacing="0" w:after="0" w:afterAutospacing="0" w:line="276" w:lineRule="auto"/>
                          <w:jc w:val="center"/>
                        </w:pPr>
                        <w:r>
                          <w:rPr>
                            <w:rFonts w:ascii="Arial Narrow" w:hAnsi="Arial Narrow"/>
                            <w:sz w:val="18"/>
                            <w:szCs w:val="18"/>
                          </w:rPr>
                          <w:t>Including existing fracture risk assessment tools</w:t>
                        </w:r>
                      </w:p>
                    </w:txbxContent>
                  </v:textbox>
                </v:shape>
                <v:shape id="Straight Arrow Connector 242" o:spid="_x0000_s1221" type="#_x0000_t32" style="position:absolute;left:8451;top:15432;width:0;height:26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3UcMAAADbAAAADwAAAGRycy9kb3ducmV2LnhtbESPQWvCQBSE70L/w/IKvYhuTIktqasU&#10;oSp4UgteH9mXbDD7NmS3Mf57tyB4HGbmG2axGmwjeup87VjBbJqAIC6crrlS8Hv6mXyC8AFZY+OY&#10;FNzIw2r5Mlpgrt2VD9QfQyUihH2OCkwIbS6lLwxZ9FPXEkevdJ3FEGVXSd3hNcJtI9MkmUuLNccF&#10;gy2tDRWX459VUKaaZuPL2Ww/MizX+/e075uNUm+vw/cXiEBDeIYf7Z1WkG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y91HDAAAA2wAAAA8AAAAAAAAAAAAA&#10;AAAAoQIAAGRycy9kb3ducmV2LnhtbFBLBQYAAAAABAAEAPkAAACRAwAAAAA=&#10;">
                  <v:stroke endarrow="open"/>
                </v:shape>
                <w10:anchorlock/>
              </v:group>
            </w:pict>
          </mc:Fallback>
        </mc:AlternateContent>
      </w:r>
    </w:p>
    <w:p w:rsidR="00F86C9F" w:rsidRPr="00FA270C" w:rsidRDefault="00F86C9F" w:rsidP="00FD3624"/>
    <w:p w:rsidR="00F86C9F" w:rsidRPr="00FA270C" w:rsidRDefault="00F86C9F" w:rsidP="00FD3624">
      <w:pPr>
        <w:sectPr w:rsidR="00F86C9F" w:rsidRPr="00FA270C" w:rsidSect="00346920">
          <w:pgSz w:w="16838" w:h="11906" w:orient="landscape"/>
          <w:pgMar w:top="1440" w:right="1440" w:bottom="1440" w:left="1440" w:header="708" w:footer="708" w:gutter="0"/>
          <w:cols w:space="708"/>
          <w:titlePg/>
          <w:docGrid w:linePitch="360"/>
        </w:sectPr>
      </w:pPr>
    </w:p>
    <w:p w:rsidR="00F86C9F" w:rsidRPr="00FA270C" w:rsidRDefault="00F86C9F" w:rsidP="00FD3624"/>
    <w:p w:rsidR="00F86C9F" w:rsidRPr="00FA270C" w:rsidRDefault="00F86C9F">
      <w:pPr>
        <w:pStyle w:val="Heading1"/>
        <w:rPr>
          <w:lang w:val="en-AU"/>
        </w:rPr>
      </w:pPr>
      <w:bookmarkStart w:id="51" w:name="_Toc361145569"/>
      <w:bookmarkStart w:id="52" w:name="_Toc362968598"/>
      <w:r w:rsidRPr="00FA270C">
        <w:rPr>
          <w:lang w:val="en-AU"/>
        </w:rPr>
        <w:t>Comparator</w:t>
      </w:r>
      <w:bookmarkEnd w:id="51"/>
      <w:bookmarkEnd w:id="52"/>
    </w:p>
    <w:p w:rsidR="00F86C9F" w:rsidRPr="00FA270C" w:rsidRDefault="00F86C9F" w:rsidP="006125CF">
      <w:r w:rsidRPr="00FA270C">
        <w:t xml:space="preserve">Currently people aged 50-69 years do not routinely receive DXA scanning, unless they have a specific condition associated with a current MBS item number. Vulnerability to the condition may be predicted through a clinical assessment, including a test for vitamin D and the use of existing fracture determinant tools. </w:t>
      </w:r>
      <w:r w:rsidR="00353E9C">
        <w:t>Ten</w:t>
      </w:r>
      <w:r w:rsidRPr="00FA270C">
        <w:t xml:space="preserve">-year fracture risk can be </w:t>
      </w:r>
      <w:r w:rsidR="00353E9C">
        <w:t>estimat</w:t>
      </w:r>
      <w:r w:rsidR="00353E9C" w:rsidRPr="00FA270C">
        <w:t xml:space="preserve">ed </w:t>
      </w:r>
      <w:r w:rsidRPr="00FA270C">
        <w:t xml:space="preserve">through </w:t>
      </w:r>
      <w:r w:rsidR="00353E9C">
        <w:t xml:space="preserve">the </w:t>
      </w:r>
      <w:r w:rsidRPr="00FA270C">
        <w:t>use of</w:t>
      </w:r>
      <w:r w:rsidR="00353E9C">
        <w:t xml:space="preserve"> on-line tools such as</w:t>
      </w:r>
      <w:r w:rsidRPr="00FA270C">
        <w:t xml:space="preserve"> the FRAX </w:t>
      </w:r>
      <w:r w:rsidR="00353E9C">
        <w:t>tool</w:t>
      </w:r>
      <w:r w:rsidRPr="00FA270C">
        <w:t xml:space="preserve"> (WHO 2007</w:t>
      </w:r>
      <w:r w:rsidR="00353E9C">
        <w:t>; WHO 2012</w:t>
      </w:r>
      <w:r w:rsidRPr="00FA270C">
        <w:t>). Th</w:t>
      </w:r>
      <w:r w:rsidR="00711C77">
        <w:t>e</w:t>
      </w:r>
      <w:r w:rsidRPr="00FA270C">
        <w:t xml:space="preserve"> </w:t>
      </w:r>
      <w:r w:rsidR="00353E9C">
        <w:t>tool</w:t>
      </w:r>
      <w:r w:rsidR="00353E9C" w:rsidRPr="00FA270C">
        <w:t xml:space="preserve"> </w:t>
      </w:r>
      <w:r w:rsidRPr="00FA270C">
        <w:t xml:space="preserve">can be used in combination with DXA results, or without DXA as a predictor of risk of fracture. Part of the population may take dietary and lifestyle measures to promote good bone health, including supplements (calcium and vitamin D), without a bone mineral density test. These supplements are available without prescription. </w:t>
      </w:r>
    </w:p>
    <w:p w:rsidR="00F86C9F" w:rsidRPr="00FA270C" w:rsidRDefault="00F86C9F" w:rsidP="006125CF">
      <w:r w:rsidRPr="00FA270C">
        <w:t>The comparator is:</w:t>
      </w:r>
    </w:p>
    <w:p w:rsidR="00F86C9F" w:rsidRPr="00FA270C" w:rsidRDefault="00F86C9F" w:rsidP="006125CF">
      <w:pPr>
        <w:pStyle w:val="ListParagraph"/>
        <w:numPr>
          <w:ilvl w:val="0"/>
          <w:numId w:val="29"/>
        </w:numPr>
      </w:pPr>
      <w:r w:rsidRPr="00FA270C">
        <w:t xml:space="preserve">Lifestyle and dietary advice (calcium and vitamin D) based on a clinical assessment by a general practitioner using existing fracture risk assessment tools without the results of a bone mineral density test. This clinical assessment would include a test for vitamin D </w:t>
      </w:r>
      <w:r w:rsidR="00001A36">
        <w:t>sufficiency</w:t>
      </w:r>
      <w:r w:rsidR="00001A36" w:rsidRPr="00FA270C">
        <w:t xml:space="preserve"> </w:t>
      </w:r>
      <w:r w:rsidRPr="00FA270C">
        <w:t>(MBS item 66608).</w:t>
      </w:r>
    </w:p>
    <w:p w:rsidR="00F86C9F" w:rsidRPr="00FA270C" w:rsidRDefault="00F86C9F">
      <w:pPr>
        <w:pStyle w:val="Heading1"/>
        <w:rPr>
          <w:lang w:val="en-AU"/>
        </w:rPr>
      </w:pPr>
      <w:bookmarkStart w:id="53" w:name="_Toc361145570"/>
      <w:bookmarkStart w:id="54" w:name="_Toc362968599"/>
      <w:r w:rsidRPr="00FA270C">
        <w:rPr>
          <w:lang w:val="en-AU"/>
        </w:rPr>
        <w:t>Clinical claim</w:t>
      </w:r>
      <w:bookmarkEnd w:id="53"/>
      <w:bookmarkEnd w:id="54"/>
    </w:p>
    <w:p w:rsidR="00F86C9F" w:rsidRPr="00FA270C" w:rsidRDefault="00F86C9F">
      <w:r w:rsidRPr="00FA270C">
        <w:t>The applicant claims that DXA scanning, when applied to women and men over the age 50</w:t>
      </w:r>
      <w:r>
        <w:t>-69</w:t>
      </w:r>
      <w:r w:rsidRPr="00FA270C">
        <w:t xml:space="preserve"> years and with risk factors for osteoporosis, may facilitate in the identification of those with low bone density who may otherwise have gone on to experience fractures. </w:t>
      </w:r>
    </w:p>
    <w:p w:rsidR="00F86C9F" w:rsidRPr="00FA270C" w:rsidRDefault="00F86C9F">
      <w:r w:rsidRPr="00FA270C">
        <w:t>While part of the population may be readily able to adapt their diet and lifestyle to have an adequate calcium intake and/or sufficient sun exposure to ensure adequate vitamin D levels the patient may be less likely to maintain motivation and persistence with such therapies in the absence of diagnosis. This may also be an issue when supplements are recommended by a GP to maintain bone health.</w:t>
      </w:r>
    </w:p>
    <w:p w:rsidR="00F86C9F" w:rsidRPr="00FA270C" w:rsidRDefault="00F86C9F">
      <w:pPr>
        <w:spacing w:after="0" w:line="240" w:lineRule="auto"/>
        <w:jc w:val="left"/>
      </w:pPr>
      <w:bookmarkStart w:id="55" w:name="_Ref283288109"/>
      <w:r w:rsidRPr="00FA270C">
        <w:br w:type="page"/>
      </w:r>
    </w:p>
    <w:p w:rsidR="00F86C9F" w:rsidRPr="00FA270C" w:rsidRDefault="00F86C9F" w:rsidP="00664A84">
      <w:pPr>
        <w:ind w:left="360"/>
        <w:rPr>
          <w:b/>
        </w:rPr>
      </w:pPr>
      <w:r w:rsidRPr="00FA270C">
        <w:rPr>
          <w:b/>
        </w:rPr>
        <w:lastRenderedPageBreak/>
        <w:t xml:space="preserve">Table </w:t>
      </w:r>
      <w:r w:rsidRPr="00FA270C">
        <w:rPr>
          <w:b/>
        </w:rPr>
        <w:fldChar w:fldCharType="begin"/>
      </w:r>
      <w:r w:rsidRPr="00FA270C">
        <w:rPr>
          <w:b/>
        </w:rPr>
        <w:instrText xml:space="preserve"> SEQ Table \* ARABIC </w:instrText>
      </w:r>
      <w:r w:rsidRPr="00FA270C">
        <w:rPr>
          <w:b/>
        </w:rPr>
        <w:fldChar w:fldCharType="separate"/>
      </w:r>
      <w:r w:rsidR="00255656">
        <w:rPr>
          <w:b/>
          <w:noProof/>
        </w:rPr>
        <w:t>7</w:t>
      </w:r>
      <w:r w:rsidRPr="00FA270C">
        <w:rPr>
          <w:b/>
        </w:rPr>
        <w:fldChar w:fldCharType="end"/>
      </w:r>
      <w:bookmarkEnd w:id="55"/>
      <w:r w:rsidRPr="00FA270C">
        <w:rPr>
          <w:b/>
        </w:rP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F86C9F" w:rsidRPr="00FA270C">
        <w:tc>
          <w:tcPr>
            <w:tcW w:w="1756" w:type="dxa"/>
            <w:gridSpan w:val="2"/>
            <w:vMerge w:val="restart"/>
          </w:tcPr>
          <w:p w:rsidR="00F86C9F" w:rsidRPr="00FA270C" w:rsidRDefault="00F86C9F">
            <w:pPr>
              <w:keepNext/>
              <w:tabs>
                <w:tab w:val="left" w:pos="2835"/>
              </w:tabs>
              <w:spacing w:after="0" w:line="240" w:lineRule="auto"/>
              <w:rPr>
                <w:rFonts w:ascii="Arial Narrow" w:hAnsi="Arial Narrow"/>
                <w:lang w:eastAsia="ja-JP"/>
              </w:rPr>
            </w:pPr>
          </w:p>
        </w:tc>
        <w:tc>
          <w:tcPr>
            <w:tcW w:w="7384" w:type="dxa"/>
            <w:gridSpan w:val="5"/>
          </w:tcPr>
          <w:p w:rsidR="00F86C9F" w:rsidRPr="00FA270C" w:rsidRDefault="00F86C9F">
            <w:pPr>
              <w:keepNext/>
              <w:tabs>
                <w:tab w:val="left" w:pos="2835"/>
              </w:tabs>
              <w:spacing w:after="0" w:line="240" w:lineRule="auto"/>
              <w:jc w:val="center"/>
              <w:rPr>
                <w:rFonts w:ascii="Arial Narrow" w:hAnsi="Arial Narrow"/>
                <w:b/>
                <w:lang w:eastAsia="ja-JP"/>
              </w:rPr>
            </w:pPr>
            <w:r w:rsidRPr="00FA270C">
              <w:rPr>
                <w:rFonts w:ascii="Arial Narrow" w:hAnsi="Arial Narrow"/>
                <w:b/>
                <w:lang w:eastAsia="ja-JP"/>
              </w:rPr>
              <w:t>Comparative effectiveness (DXA scanning) versus comparator</w:t>
            </w:r>
          </w:p>
        </w:tc>
      </w:tr>
      <w:tr w:rsidR="00F86C9F" w:rsidRPr="00FA270C">
        <w:tc>
          <w:tcPr>
            <w:tcW w:w="1756" w:type="dxa"/>
            <w:gridSpan w:val="2"/>
            <w:vMerge/>
          </w:tcPr>
          <w:p w:rsidR="00F86C9F" w:rsidRPr="00FA270C" w:rsidRDefault="00F86C9F">
            <w:pPr>
              <w:keepNext/>
              <w:tabs>
                <w:tab w:val="left" w:pos="2835"/>
              </w:tabs>
              <w:spacing w:after="0" w:line="240" w:lineRule="auto"/>
              <w:rPr>
                <w:rFonts w:ascii="Arial Narrow" w:hAnsi="Arial Narrow"/>
                <w:lang w:eastAsia="ja-JP"/>
              </w:rPr>
            </w:pPr>
          </w:p>
        </w:tc>
        <w:tc>
          <w:tcPr>
            <w:tcW w:w="2560" w:type="dxa"/>
            <w:gridSpan w:val="2"/>
            <w:vAlign w:val="center"/>
          </w:tcPr>
          <w:p w:rsidR="00F86C9F" w:rsidRPr="00FA270C" w:rsidRDefault="00F86C9F">
            <w:pPr>
              <w:keepNext/>
              <w:tabs>
                <w:tab w:val="left" w:pos="2835"/>
              </w:tabs>
              <w:spacing w:after="0" w:line="240" w:lineRule="auto"/>
              <w:jc w:val="center"/>
              <w:rPr>
                <w:rFonts w:ascii="Arial Narrow" w:hAnsi="Arial Narrow"/>
                <w:u w:val="single"/>
                <w:lang w:eastAsia="ja-JP"/>
              </w:rPr>
            </w:pPr>
            <w:r w:rsidRPr="00FA270C">
              <w:rPr>
                <w:rFonts w:ascii="Arial Narrow" w:hAnsi="Arial Narrow"/>
                <w:u w:val="single"/>
                <w:lang w:eastAsia="ja-JP"/>
              </w:rPr>
              <w:t>Superior</w:t>
            </w:r>
          </w:p>
        </w:tc>
        <w:tc>
          <w:tcPr>
            <w:tcW w:w="2369" w:type="dxa"/>
            <w:vAlign w:val="center"/>
          </w:tcPr>
          <w:p w:rsidR="00F86C9F" w:rsidRPr="00FA270C" w:rsidRDefault="00F86C9F">
            <w:pPr>
              <w:keepNext/>
              <w:tabs>
                <w:tab w:val="left" w:pos="2835"/>
              </w:tabs>
              <w:spacing w:after="0" w:line="240" w:lineRule="auto"/>
              <w:jc w:val="center"/>
              <w:rPr>
                <w:rFonts w:ascii="Arial Narrow" w:hAnsi="Arial Narrow"/>
                <w:u w:val="single"/>
                <w:lang w:eastAsia="ja-JP"/>
              </w:rPr>
            </w:pPr>
            <w:r w:rsidRPr="00FA270C">
              <w:rPr>
                <w:rFonts w:ascii="Arial Narrow" w:hAnsi="Arial Narrow"/>
                <w:u w:val="single"/>
                <w:lang w:eastAsia="ja-JP"/>
              </w:rPr>
              <w:t>Non-inferior</w:t>
            </w:r>
          </w:p>
        </w:tc>
        <w:tc>
          <w:tcPr>
            <w:tcW w:w="2455" w:type="dxa"/>
            <w:gridSpan w:val="2"/>
            <w:vAlign w:val="center"/>
          </w:tcPr>
          <w:p w:rsidR="00F86C9F" w:rsidRPr="00FA270C" w:rsidRDefault="00F86C9F">
            <w:pPr>
              <w:keepNext/>
              <w:tabs>
                <w:tab w:val="left" w:pos="2835"/>
              </w:tabs>
              <w:spacing w:after="0" w:line="240" w:lineRule="auto"/>
              <w:jc w:val="center"/>
              <w:rPr>
                <w:rFonts w:ascii="Arial Narrow" w:hAnsi="Arial Narrow"/>
                <w:u w:val="single"/>
                <w:lang w:eastAsia="ja-JP"/>
              </w:rPr>
            </w:pPr>
            <w:r w:rsidRPr="00FA270C">
              <w:rPr>
                <w:rFonts w:ascii="Arial Narrow" w:hAnsi="Arial Narrow"/>
                <w:u w:val="single"/>
                <w:lang w:eastAsia="ja-JP"/>
              </w:rPr>
              <w:t>Inferior</w:t>
            </w:r>
          </w:p>
        </w:tc>
      </w:tr>
      <w:tr w:rsidR="00F86C9F" w:rsidRPr="00FA270C">
        <w:trPr>
          <w:cantSplit/>
          <w:trHeight w:val="20"/>
        </w:trPr>
        <w:tc>
          <w:tcPr>
            <w:tcW w:w="671" w:type="dxa"/>
            <w:vMerge w:val="restart"/>
            <w:textDirection w:val="btLr"/>
            <w:vAlign w:val="center"/>
          </w:tcPr>
          <w:p w:rsidR="00F86C9F" w:rsidRPr="00FA270C" w:rsidRDefault="00F86C9F">
            <w:pPr>
              <w:keepNext/>
              <w:tabs>
                <w:tab w:val="left" w:pos="2835"/>
              </w:tabs>
              <w:spacing w:after="0" w:line="240" w:lineRule="auto"/>
              <w:ind w:left="113" w:right="113"/>
              <w:jc w:val="center"/>
              <w:rPr>
                <w:rFonts w:ascii="Arial Narrow" w:hAnsi="Arial Narrow"/>
                <w:b/>
                <w:lang w:eastAsia="ja-JP"/>
              </w:rPr>
            </w:pPr>
            <w:r w:rsidRPr="00FA270C">
              <w:rPr>
                <w:rFonts w:ascii="Arial Narrow" w:hAnsi="Arial Narrow"/>
                <w:b/>
                <w:lang w:eastAsia="ja-JP"/>
              </w:rPr>
              <w:t>Comparative safety versus comparator</w:t>
            </w:r>
          </w:p>
        </w:tc>
        <w:tc>
          <w:tcPr>
            <w:tcW w:w="1085" w:type="dxa"/>
            <w:vMerge w:val="restart"/>
            <w:vAlign w:val="center"/>
          </w:tcPr>
          <w:p w:rsidR="00F86C9F" w:rsidRPr="00FA270C" w:rsidRDefault="00F86C9F">
            <w:pPr>
              <w:keepNext/>
              <w:tabs>
                <w:tab w:val="left" w:pos="2835"/>
              </w:tabs>
              <w:spacing w:after="0" w:line="240" w:lineRule="auto"/>
              <w:jc w:val="left"/>
              <w:rPr>
                <w:rFonts w:ascii="Arial Narrow" w:hAnsi="Arial Narrow"/>
                <w:u w:val="single"/>
                <w:lang w:eastAsia="ja-JP"/>
              </w:rPr>
            </w:pPr>
            <w:r w:rsidRPr="00FA270C">
              <w:rPr>
                <w:rFonts w:ascii="Arial Narrow" w:hAnsi="Arial Narrow"/>
                <w:u w:val="single"/>
                <w:lang w:eastAsia="ja-JP"/>
              </w:rPr>
              <w:t>Superior</w:t>
            </w:r>
          </w:p>
        </w:tc>
        <w:tc>
          <w:tcPr>
            <w:tcW w:w="2560" w:type="dxa"/>
            <w:gridSpan w:val="2"/>
            <w:vMerge w:val="restart"/>
            <w:vAlign w:val="center"/>
          </w:tcPr>
          <w:p w:rsidR="00F86C9F" w:rsidRPr="00FA270C" w:rsidRDefault="00F86C9F">
            <w:pPr>
              <w:keepNext/>
              <w:tabs>
                <w:tab w:val="left" w:pos="2835"/>
              </w:tabs>
              <w:spacing w:after="0" w:line="240" w:lineRule="auto"/>
              <w:jc w:val="center"/>
              <w:rPr>
                <w:rFonts w:ascii="Arial Narrow" w:hAnsi="Arial Narrow"/>
                <w:lang w:eastAsia="ja-JP"/>
              </w:rPr>
            </w:pPr>
            <w:r w:rsidRPr="00FA270C">
              <w:rPr>
                <w:rFonts w:ascii="Arial Narrow" w:hAnsi="Arial Narrow"/>
                <w:lang w:eastAsia="ja-JP"/>
              </w:rPr>
              <w:t>CEA/CUA</w:t>
            </w:r>
          </w:p>
        </w:tc>
        <w:tc>
          <w:tcPr>
            <w:tcW w:w="2369" w:type="dxa"/>
            <w:vMerge w:val="restart"/>
            <w:vAlign w:val="center"/>
          </w:tcPr>
          <w:p w:rsidR="00F86C9F" w:rsidRPr="00FA270C" w:rsidRDefault="00F86C9F">
            <w:pPr>
              <w:keepNext/>
              <w:tabs>
                <w:tab w:val="left" w:pos="2835"/>
              </w:tabs>
              <w:spacing w:after="0" w:line="240" w:lineRule="auto"/>
              <w:jc w:val="center"/>
              <w:rPr>
                <w:rFonts w:ascii="Arial Narrow" w:hAnsi="Arial Narrow"/>
                <w:lang w:eastAsia="ja-JP"/>
              </w:rPr>
            </w:pPr>
            <w:r w:rsidRPr="00FA270C">
              <w:rPr>
                <w:rFonts w:ascii="Arial Narrow" w:hAnsi="Arial Narrow"/>
                <w:lang w:eastAsia="ja-JP"/>
              </w:rPr>
              <w:t>CEA/CUA</w:t>
            </w:r>
          </w:p>
        </w:tc>
        <w:tc>
          <w:tcPr>
            <w:tcW w:w="1548" w:type="dxa"/>
          </w:tcPr>
          <w:p w:rsidR="00F86C9F" w:rsidRPr="00FA270C" w:rsidRDefault="00F86C9F">
            <w:pPr>
              <w:keepNext/>
              <w:tabs>
                <w:tab w:val="left" w:pos="2835"/>
              </w:tabs>
              <w:spacing w:after="0" w:line="240" w:lineRule="auto"/>
              <w:rPr>
                <w:rFonts w:ascii="Arial Narrow" w:hAnsi="Arial Narrow"/>
                <w:u w:val="single"/>
                <w:lang w:eastAsia="ja-JP"/>
              </w:rPr>
            </w:pPr>
            <w:r w:rsidRPr="00FA270C">
              <w:rPr>
                <w:rFonts w:ascii="Arial Narrow" w:hAnsi="Arial Narrow"/>
                <w:u w:val="single"/>
                <w:lang w:eastAsia="ja-JP"/>
              </w:rPr>
              <w:t>Net clinical benefit</w:t>
            </w:r>
          </w:p>
        </w:tc>
        <w:tc>
          <w:tcPr>
            <w:tcW w:w="907" w:type="dxa"/>
            <w:vAlign w:val="center"/>
          </w:tcPr>
          <w:p w:rsidR="00F86C9F" w:rsidRPr="00FA270C" w:rsidRDefault="00F86C9F">
            <w:pPr>
              <w:keepNext/>
              <w:tabs>
                <w:tab w:val="left" w:pos="2835"/>
              </w:tabs>
              <w:spacing w:after="0" w:line="240" w:lineRule="auto"/>
              <w:jc w:val="center"/>
              <w:rPr>
                <w:rFonts w:ascii="Arial Narrow" w:hAnsi="Arial Narrow"/>
                <w:lang w:eastAsia="ja-JP"/>
              </w:rPr>
            </w:pPr>
            <w:r w:rsidRPr="00FA270C">
              <w:rPr>
                <w:rFonts w:ascii="Arial Narrow" w:hAnsi="Arial Narrow"/>
                <w:lang w:eastAsia="ja-JP"/>
              </w:rPr>
              <w:t>CEA/CUA</w:t>
            </w:r>
          </w:p>
        </w:tc>
      </w:tr>
      <w:tr w:rsidR="00F86C9F" w:rsidRPr="00FA270C">
        <w:trPr>
          <w:cantSplit/>
          <w:trHeight w:val="20"/>
        </w:trPr>
        <w:tc>
          <w:tcPr>
            <w:tcW w:w="671" w:type="dxa"/>
            <w:vMerge/>
          </w:tcPr>
          <w:p w:rsidR="00F86C9F" w:rsidRPr="00FA270C" w:rsidRDefault="00F86C9F">
            <w:pPr>
              <w:tabs>
                <w:tab w:val="left" w:pos="2835"/>
              </w:tabs>
              <w:spacing w:after="0" w:line="240" w:lineRule="auto"/>
              <w:rPr>
                <w:rFonts w:ascii="Arial Narrow" w:hAnsi="Arial Narrow"/>
                <w:lang w:eastAsia="ja-JP"/>
              </w:rPr>
            </w:pPr>
          </w:p>
        </w:tc>
        <w:tc>
          <w:tcPr>
            <w:tcW w:w="1085" w:type="dxa"/>
            <w:vMerge/>
            <w:vAlign w:val="center"/>
          </w:tcPr>
          <w:p w:rsidR="00F86C9F" w:rsidRPr="00FA270C" w:rsidRDefault="00F86C9F">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rsidR="00F86C9F" w:rsidRPr="00FA270C" w:rsidRDefault="00F86C9F">
            <w:pPr>
              <w:tabs>
                <w:tab w:val="left" w:pos="2835"/>
              </w:tabs>
              <w:spacing w:after="0" w:line="240" w:lineRule="auto"/>
              <w:jc w:val="center"/>
              <w:rPr>
                <w:rFonts w:ascii="Arial Narrow" w:hAnsi="Arial Narrow"/>
                <w:lang w:eastAsia="ja-JP"/>
              </w:rPr>
            </w:pPr>
          </w:p>
        </w:tc>
        <w:tc>
          <w:tcPr>
            <w:tcW w:w="2369" w:type="dxa"/>
            <w:vMerge/>
            <w:vAlign w:val="center"/>
          </w:tcPr>
          <w:p w:rsidR="00F86C9F" w:rsidRPr="00FA270C" w:rsidRDefault="00F86C9F">
            <w:pPr>
              <w:tabs>
                <w:tab w:val="left" w:pos="2835"/>
              </w:tabs>
              <w:spacing w:after="0" w:line="240" w:lineRule="auto"/>
              <w:jc w:val="center"/>
              <w:rPr>
                <w:rFonts w:ascii="Arial Narrow" w:hAnsi="Arial Narrow"/>
                <w:lang w:eastAsia="ja-JP"/>
              </w:rPr>
            </w:pPr>
          </w:p>
        </w:tc>
        <w:tc>
          <w:tcPr>
            <w:tcW w:w="1548" w:type="dxa"/>
          </w:tcPr>
          <w:p w:rsidR="00F86C9F" w:rsidRPr="00FA270C" w:rsidRDefault="00F86C9F">
            <w:pPr>
              <w:tabs>
                <w:tab w:val="left" w:pos="2835"/>
              </w:tabs>
              <w:spacing w:after="0" w:line="240" w:lineRule="auto"/>
              <w:rPr>
                <w:rFonts w:ascii="Arial Narrow" w:hAnsi="Arial Narrow"/>
                <w:u w:val="single"/>
                <w:lang w:eastAsia="ja-JP"/>
              </w:rPr>
            </w:pPr>
            <w:r w:rsidRPr="00FA270C">
              <w:rPr>
                <w:rFonts w:ascii="Arial Narrow" w:hAnsi="Arial Narrow"/>
                <w:u w:val="single"/>
                <w:lang w:eastAsia="ja-JP"/>
              </w:rPr>
              <w:t>Neutral benefit</w:t>
            </w:r>
          </w:p>
        </w:tc>
        <w:tc>
          <w:tcPr>
            <w:tcW w:w="907" w:type="dxa"/>
            <w:vAlign w:val="center"/>
          </w:tcPr>
          <w:p w:rsidR="00F86C9F" w:rsidRPr="00FA270C" w:rsidRDefault="00F86C9F">
            <w:pPr>
              <w:tabs>
                <w:tab w:val="left" w:pos="2835"/>
              </w:tabs>
              <w:spacing w:after="0" w:line="240" w:lineRule="auto"/>
              <w:jc w:val="center"/>
              <w:rPr>
                <w:rFonts w:ascii="Arial Narrow" w:hAnsi="Arial Narrow"/>
                <w:lang w:eastAsia="ja-JP"/>
              </w:rPr>
            </w:pPr>
            <w:r w:rsidRPr="00FA270C">
              <w:rPr>
                <w:rFonts w:ascii="Arial Narrow" w:hAnsi="Arial Narrow"/>
                <w:lang w:eastAsia="ja-JP"/>
              </w:rPr>
              <w:t>CEA/CUA*</w:t>
            </w:r>
          </w:p>
        </w:tc>
      </w:tr>
      <w:tr w:rsidR="00F86C9F" w:rsidRPr="00FA270C">
        <w:trPr>
          <w:cantSplit/>
          <w:trHeight w:val="20"/>
        </w:trPr>
        <w:tc>
          <w:tcPr>
            <w:tcW w:w="671" w:type="dxa"/>
            <w:vMerge/>
          </w:tcPr>
          <w:p w:rsidR="00F86C9F" w:rsidRPr="00FA270C" w:rsidRDefault="00F86C9F">
            <w:pPr>
              <w:tabs>
                <w:tab w:val="left" w:pos="2835"/>
              </w:tabs>
              <w:spacing w:after="0" w:line="240" w:lineRule="auto"/>
              <w:rPr>
                <w:rFonts w:ascii="Arial Narrow" w:hAnsi="Arial Narrow"/>
                <w:lang w:eastAsia="ja-JP"/>
              </w:rPr>
            </w:pPr>
          </w:p>
        </w:tc>
        <w:tc>
          <w:tcPr>
            <w:tcW w:w="1085" w:type="dxa"/>
            <w:vMerge/>
            <w:vAlign w:val="center"/>
          </w:tcPr>
          <w:p w:rsidR="00F86C9F" w:rsidRPr="00FA270C" w:rsidRDefault="00F86C9F">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rsidR="00F86C9F" w:rsidRPr="00FA270C" w:rsidRDefault="00F86C9F">
            <w:pPr>
              <w:tabs>
                <w:tab w:val="left" w:pos="2835"/>
              </w:tabs>
              <w:spacing w:after="0" w:line="240" w:lineRule="auto"/>
              <w:jc w:val="center"/>
              <w:rPr>
                <w:rFonts w:ascii="Arial Narrow" w:hAnsi="Arial Narrow"/>
                <w:lang w:eastAsia="ja-JP"/>
              </w:rPr>
            </w:pPr>
          </w:p>
        </w:tc>
        <w:tc>
          <w:tcPr>
            <w:tcW w:w="2369" w:type="dxa"/>
            <w:vMerge/>
            <w:vAlign w:val="center"/>
          </w:tcPr>
          <w:p w:rsidR="00F86C9F" w:rsidRPr="00FA270C" w:rsidRDefault="00F86C9F">
            <w:pPr>
              <w:tabs>
                <w:tab w:val="left" w:pos="2835"/>
              </w:tabs>
              <w:spacing w:after="0" w:line="240" w:lineRule="auto"/>
              <w:jc w:val="center"/>
              <w:rPr>
                <w:rFonts w:ascii="Arial Narrow" w:hAnsi="Arial Narrow"/>
                <w:lang w:eastAsia="ja-JP"/>
              </w:rPr>
            </w:pPr>
          </w:p>
        </w:tc>
        <w:tc>
          <w:tcPr>
            <w:tcW w:w="1548" w:type="dxa"/>
          </w:tcPr>
          <w:p w:rsidR="00F86C9F" w:rsidRPr="00FA270C" w:rsidRDefault="00F86C9F">
            <w:pPr>
              <w:tabs>
                <w:tab w:val="left" w:pos="2835"/>
              </w:tabs>
              <w:spacing w:after="0" w:line="240" w:lineRule="auto"/>
              <w:rPr>
                <w:rFonts w:ascii="Arial Narrow" w:hAnsi="Arial Narrow"/>
                <w:u w:val="single"/>
                <w:lang w:eastAsia="ja-JP"/>
              </w:rPr>
            </w:pPr>
            <w:r w:rsidRPr="00FA270C">
              <w:rPr>
                <w:rFonts w:ascii="Arial Narrow" w:hAnsi="Arial Narrow"/>
                <w:u w:val="single"/>
                <w:lang w:eastAsia="ja-JP"/>
              </w:rPr>
              <w:t>Net harms</w:t>
            </w:r>
          </w:p>
        </w:tc>
        <w:tc>
          <w:tcPr>
            <w:tcW w:w="907" w:type="dxa"/>
            <w:vAlign w:val="center"/>
          </w:tcPr>
          <w:p w:rsidR="00F86C9F" w:rsidRPr="00FA270C" w:rsidRDefault="00F86C9F">
            <w:pPr>
              <w:tabs>
                <w:tab w:val="left" w:pos="2835"/>
              </w:tabs>
              <w:spacing w:after="0" w:line="240" w:lineRule="auto"/>
              <w:jc w:val="center"/>
              <w:rPr>
                <w:rFonts w:ascii="Arial Narrow" w:hAnsi="Arial Narrow"/>
                <w:lang w:eastAsia="ja-JP"/>
              </w:rPr>
            </w:pPr>
            <w:r w:rsidRPr="00FA270C">
              <w:rPr>
                <w:rFonts w:ascii="Arial Narrow" w:hAnsi="Arial Narrow"/>
                <w:lang w:eastAsia="ja-JP"/>
              </w:rPr>
              <w:t>None^</w:t>
            </w:r>
          </w:p>
        </w:tc>
      </w:tr>
      <w:tr w:rsidR="00F86C9F" w:rsidRPr="00FA270C" w:rsidTr="00B40726">
        <w:trPr>
          <w:cantSplit/>
          <w:trHeight w:val="750"/>
        </w:trPr>
        <w:tc>
          <w:tcPr>
            <w:tcW w:w="671" w:type="dxa"/>
            <w:vMerge/>
          </w:tcPr>
          <w:p w:rsidR="00F86C9F" w:rsidRPr="00FA270C" w:rsidRDefault="00F86C9F">
            <w:pPr>
              <w:tabs>
                <w:tab w:val="left" w:pos="2835"/>
              </w:tabs>
              <w:spacing w:after="0" w:line="240" w:lineRule="auto"/>
              <w:rPr>
                <w:rFonts w:ascii="Arial Narrow" w:hAnsi="Arial Narrow"/>
                <w:lang w:eastAsia="ja-JP"/>
              </w:rPr>
            </w:pPr>
          </w:p>
        </w:tc>
        <w:tc>
          <w:tcPr>
            <w:tcW w:w="1085" w:type="dxa"/>
            <w:vAlign w:val="center"/>
          </w:tcPr>
          <w:p w:rsidR="00F86C9F" w:rsidRPr="00FA270C" w:rsidRDefault="00F86C9F">
            <w:pPr>
              <w:tabs>
                <w:tab w:val="left" w:pos="2835"/>
              </w:tabs>
              <w:spacing w:after="0" w:line="240" w:lineRule="auto"/>
              <w:jc w:val="left"/>
              <w:rPr>
                <w:rFonts w:ascii="Arial Narrow" w:hAnsi="Arial Narrow"/>
                <w:u w:val="single"/>
                <w:lang w:eastAsia="ja-JP"/>
              </w:rPr>
            </w:pPr>
            <w:r w:rsidRPr="00FA270C">
              <w:rPr>
                <w:rFonts w:ascii="Arial Narrow" w:hAnsi="Arial Narrow"/>
                <w:u w:val="single"/>
                <w:lang w:eastAsia="ja-JP"/>
              </w:rPr>
              <w:t>Non-inferior</w:t>
            </w:r>
          </w:p>
        </w:tc>
        <w:tc>
          <w:tcPr>
            <w:tcW w:w="2560" w:type="dxa"/>
            <w:gridSpan w:val="2"/>
            <w:shd w:val="clear" w:color="auto" w:fill="C6D9F1"/>
            <w:vAlign w:val="center"/>
          </w:tcPr>
          <w:p w:rsidR="00F86C9F" w:rsidRPr="00FA270C" w:rsidRDefault="00F86C9F">
            <w:pPr>
              <w:tabs>
                <w:tab w:val="left" w:pos="2835"/>
              </w:tabs>
              <w:spacing w:after="0" w:line="240" w:lineRule="auto"/>
              <w:jc w:val="center"/>
              <w:rPr>
                <w:rFonts w:ascii="Arial Narrow" w:hAnsi="Arial Narrow"/>
                <w:sz w:val="18"/>
                <w:szCs w:val="18"/>
                <w:lang w:eastAsia="ja-JP"/>
              </w:rPr>
            </w:pPr>
            <w:r w:rsidRPr="00FA270C">
              <w:rPr>
                <w:rFonts w:ascii="Arial Narrow" w:hAnsi="Arial Narrow"/>
                <w:sz w:val="18"/>
                <w:szCs w:val="18"/>
                <w:lang w:eastAsia="ja-JP"/>
              </w:rPr>
              <w:t>CEA/CUA</w:t>
            </w:r>
          </w:p>
        </w:tc>
        <w:tc>
          <w:tcPr>
            <w:tcW w:w="2369" w:type="dxa"/>
            <w:vAlign w:val="center"/>
          </w:tcPr>
          <w:p w:rsidR="00F86C9F" w:rsidRPr="00FA270C" w:rsidRDefault="00F86C9F">
            <w:pPr>
              <w:tabs>
                <w:tab w:val="left" w:pos="2835"/>
              </w:tabs>
              <w:spacing w:after="0" w:line="240" w:lineRule="auto"/>
              <w:jc w:val="center"/>
              <w:rPr>
                <w:rFonts w:ascii="Arial Narrow" w:hAnsi="Arial Narrow"/>
                <w:lang w:eastAsia="ja-JP"/>
              </w:rPr>
            </w:pPr>
            <w:r w:rsidRPr="00FA270C">
              <w:rPr>
                <w:rFonts w:ascii="Arial Narrow" w:hAnsi="Arial Narrow"/>
                <w:lang w:eastAsia="ja-JP"/>
              </w:rPr>
              <w:t>CEA/CUA*</w:t>
            </w:r>
          </w:p>
        </w:tc>
        <w:tc>
          <w:tcPr>
            <w:tcW w:w="2455" w:type="dxa"/>
            <w:gridSpan w:val="2"/>
            <w:vAlign w:val="center"/>
          </w:tcPr>
          <w:p w:rsidR="00F86C9F" w:rsidRPr="00FA270C" w:rsidRDefault="00F86C9F">
            <w:pPr>
              <w:tabs>
                <w:tab w:val="left" w:pos="2835"/>
              </w:tabs>
              <w:spacing w:after="0" w:line="240" w:lineRule="auto"/>
              <w:jc w:val="center"/>
              <w:rPr>
                <w:rFonts w:ascii="Arial Narrow" w:hAnsi="Arial Narrow"/>
                <w:lang w:eastAsia="ja-JP"/>
              </w:rPr>
            </w:pPr>
            <w:r w:rsidRPr="00FA270C">
              <w:rPr>
                <w:rFonts w:ascii="Arial Narrow" w:hAnsi="Arial Narrow"/>
                <w:lang w:eastAsia="ja-JP"/>
              </w:rPr>
              <w:t>None^</w:t>
            </w:r>
          </w:p>
        </w:tc>
      </w:tr>
      <w:tr w:rsidR="00F86C9F" w:rsidRPr="00FA270C">
        <w:trPr>
          <w:cantSplit/>
          <w:trHeight w:val="20"/>
        </w:trPr>
        <w:tc>
          <w:tcPr>
            <w:tcW w:w="671" w:type="dxa"/>
            <w:vMerge/>
          </w:tcPr>
          <w:p w:rsidR="00F86C9F" w:rsidRPr="00FA270C" w:rsidRDefault="00F86C9F">
            <w:pPr>
              <w:tabs>
                <w:tab w:val="left" w:pos="2835"/>
              </w:tabs>
              <w:spacing w:after="0" w:line="240" w:lineRule="auto"/>
              <w:rPr>
                <w:rFonts w:ascii="Arial Narrow" w:hAnsi="Arial Narrow"/>
                <w:lang w:eastAsia="ja-JP"/>
              </w:rPr>
            </w:pPr>
          </w:p>
        </w:tc>
        <w:tc>
          <w:tcPr>
            <w:tcW w:w="1085" w:type="dxa"/>
            <w:vMerge w:val="restart"/>
            <w:vAlign w:val="center"/>
          </w:tcPr>
          <w:p w:rsidR="00F86C9F" w:rsidRPr="00FA270C" w:rsidRDefault="00F86C9F">
            <w:pPr>
              <w:tabs>
                <w:tab w:val="left" w:pos="2835"/>
              </w:tabs>
              <w:spacing w:after="0" w:line="240" w:lineRule="auto"/>
              <w:jc w:val="left"/>
              <w:rPr>
                <w:rFonts w:ascii="Arial Narrow" w:hAnsi="Arial Narrow"/>
                <w:u w:val="single"/>
                <w:lang w:eastAsia="ja-JP"/>
              </w:rPr>
            </w:pPr>
            <w:r w:rsidRPr="00FA270C">
              <w:rPr>
                <w:rFonts w:ascii="Arial Narrow" w:hAnsi="Arial Narrow"/>
                <w:u w:val="single"/>
                <w:lang w:eastAsia="ja-JP"/>
              </w:rPr>
              <w:t>Inferior</w:t>
            </w:r>
          </w:p>
        </w:tc>
        <w:tc>
          <w:tcPr>
            <w:tcW w:w="1583" w:type="dxa"/>
            <w:vAlign w:val="center"/>
          </w:tcPr>
          <w:p w:rsidR="00F86C9F" w:rsidRPr="00FA270C" w:rsidRDefault="00F86C9F">
            <w:pPr>
              <w:tabs>
                <w:tab w:val="left" w:pos="2835"/>
              </w:tabs>
              <w:spacing w:after="0" w:line="240" w:lineRule="auto"/>
              <w:jc w:val="left"/>
              <w:rPr>
                <w:rFonts w:ascii="Arial Narrow" w:hAnsi="Arial Narrow"/>
                <w:u w:val="single"/>
                <w:lang w:eastAsia="ja-JP"/>
              </w:rPr>
            </w:pPr>
            <w:r w:rsidRPr="00FA270C">
              <w:rPr>
                <w:rFonts w:ascii="Arial Narrow" w:hAnsi="Arial Narrow"/>
                <w:u w:val="single"/>
                <w:lang w:eastAsia="ja-JP"/>
              </w:rPr>
              <w:t>Net clinical benefit</w:t>
            </w:r>
          </w:p>
        </w:tc>
        <w:tc>
          <w:tcPr>
            <w:tcW w:w="977" w:type="dxa"/>
            <w:vAlign w:val="center"/>
          </w:tcPr>
          <w:p w:rsidR="00F86C9F" w:rsidRPr="00FA270C" w:rsidRDefault="00F86C9F">
            <w:pPr>
              <w:tabs>
                <w:tab w:val="left" w:pos="2835"/>
              </w:tabs>
              <w:spacing w:after="0" w:line="240" w:lineRule="auto"/>
              <w:jc w:val="center"/>
              <w:rPr>
                <w:rFonts w:ascii="Arial Narrow" w:hAnsi="Arial Narrow"/>
                <w:lang w:eastAsia="ja-JP"/>
              </w:rPr>
            </w:pPr>
            <w:r w:rsidRPr="00FA270C">
              <w:rPr>
                <w:rFonts w:ascii="Arial Narrow" w:hAnsi="Arial Narrow"/>
                <w:lang w:eastAsia="ja-JP"/>
              </w:rPr>
              <w:t>CEA/CUA</w:t>
            </w:r>
          </w:p>
        </w:tc>
        <w:tc>
          <w:tcPr>
            <w:tcW w:w="2369" w:type="dxa"/>
            <w:vMerge w:val="restart"/>
            <w:vAlign w:val="center"/>
          </w:tcPr>
          <w:p w:rsidR="00F86C9F" w:rsidRPr="00FA270C" w:rsidRDefault="00F86C9F">
            <w:pPr>
              <w:tabs>
                <w:tab w:val="left" w:pos="2835"/>
              </w:tabs>
              <w:spacing w:after="0" w:line="240" w:lineRule="auto"/>
              <w:jc w:val="center"/>
              <w:rPr>
                <w:rFonts w:ascii="Arial Narrow" w:hAnsi="Arial Narrow"/>
                <w:lang w:eastAsia="ja-JP"/>
              </w:rPr>
            </w:pPr>
            <w:r w:rsidRPr="00FA270C">
              <w:rPr>
                <w:rFonts w:ascii="Arial Narrow" w:hAnsi="Arial Narrow"/>
                <w:lang w:eastAsia="ja-JP"/>
              </w:rPr>
              <w:t>None^</w:t>
            </w:r>
          </w:p>
        </w:tc>
        <w:tc>
          <w:tcPr>
            <w:tcW w:w="2455" w:type="dxa"/>
            <w:gridSpan w:val="2"/>
            <w:vMerge w:val="restart"/>
            <w:vAlign w:val="center"/>
          </w:tcPr>
          <w:p w:rsidR="00F86C9F" w:rsidRPr="00FA270C" w:rsidRDefault="00F86C9F">
            <w:pPr>
              <w:tabs>
                <w:tab w:val="left" w:pos="2835"/>
              </w:tabs>
              <w:spacing w:after="0" w:line="240" w:lineRule="auto"/>
              <w:jc w:val="center"/>
              <w:rPr>
                <w:rFonts w:ascii="Arial Narrow" w:hAnsi="Arial Narrow"/>
                <w:lang w:eastAsia="ja-JP"/>
              </w:rPr>
            </w:pPr>
            <w:r w:rsidRPr="00FA270C">
              <w:rPr>
                <w:rFonts w:ascii="Arial Narrow" w:hAnsi="Arial Narrow"/>
                <w:lang w:eastAsia="ja-JP"/>
              </w:rPr>
              <w:t>None^</w:t>
            </w:r>
          </w:p>
        </w:tc>
      </w:tr>
      <w:tr w:rsidR="00F86C9F" w:rsidRPr="00FA270C">
        <w:trPr>
          <w:trHeight w:val="20"/>
        </w:trPr>
        <w:tc>
          <w:tcPr>
            <w:tcW w:w="671" w:type="dxa"/>
            <w:vMerge/>
          </w:tcPr>
          <w:p w:rsidR="00F86C9F" w:rsidRPr="00FA270C" w:rsidRDefault="00F86C9F">
            <w:pPr>
              <w:tabs>
                <w:tab w:val="left" w:pos="2835"/>
              </w:tabs>
              <w:spacing w:after="0" w:line="240" w:lineRule="auto"/>
              <w:rPr>
                <w:rFonts w:ascii="Arial Narrow" w:hAnsi="Arial Narrow"/>
                <w:lang w:eastAsia="ja-JP"/>
              </w:rPr>
            </w:pPr>
          </w:p>
        </w:tc>
        <w:tc>
          <w:tcPr>
            <w:tcW w:w="1085" w:type="dxa"/>
            <w:vMerge/>
          </w:tcPr>
          <w:p w:rsidR="00F86C9F" w:rsidRPr="00FA270C" w:rsidRDefault="00F86C9F">
            <w:pPr>
              <w:tabs>
                <w:tab w:val="left" w:pos="2835"/>
              </w:tabs>
              <w:spacing w:after="0" w:line="240" w:lineRule="auto"/>
              <w:rPr>
                <w:rFonts w:ascii="Arial Narrow" w:hAnsi="Arial Narrow"/>
                <w:lang w:eastAsia="ja-JP"/>
              </w:rPr>
            </w:pPr>
          </w:p>
        </w:tc>
        <w:tc>
          <w:tcPr>
            <w:tcW w:w="1583" w:type="dxa"/>
            <w:vAlign w:val="center"/>
          </w:tcPr>
          <w:p w:rsidR="00F86C9F" w:rsidRPr="00FA270C" w:rsidRDefault="00F86C9F">
            <w:pPr>
              <w:tabs>
                <w:tab w:val="left" w:pos="2835"/>
              </w:tabs>
              <w:spacing w:after="0" w:line="240" w:lineRule="auto"/>
              <w:jc w:val="left"/>
              <w:rPr>
                <w:rFonts w:ascii="Arial Narrow" w:hAnsi="Arial Narrow"/>
                <w:u w:val="single"/>
                <w:lang w:eastAsia="ja-JP"/>
              </w:rPr>
            </w:pPr>
            <w:r w:rsidRPr="00FA270C">
              <w:rPr>
                <w:rFonts w:ascii="Arial Narrow" w:hAnsi="Arial Narrow"/>
                <w:u w:val="single"/>
                <w:lang w:eastAsia="ja-JP"/>
              </w:rPr>
              <w:t>Neutral benefit</w:t>
            </w:r>
          </w:p>
        </w:tc>
        <w:tc>
          <w:tcPr>
            <w:tcW w:w="977" w:type="dxa"/>
            <w:vAlign w:val="center"/>
          </w:tcPr>
          <w:p w:rsidR="00F86C9F" w:rsidRPr="00FA270C" w:rsidRDefault="00F86C9F">
            <w:pPr>
              <w:tabs>
                <w:tab w:val="left" w:pos="2835"/>
              </w:tabs>
              <w:spacing w:after="0" w:line="240" w:lineRule="auto"/>
              <w:jc w:val="center"/>
              <w:rPr>
                <w:rFonts w:ascii="Arial Narrow" w:hAnsi="Arial Narrow"/>
                <w:lang w:eastAsia="ja-JP"/>
              </w:rPr>
            </w:pPr>
            <w:r w:rsidRPr="00FA270C">
              <w:rPr>
                <w:rFonts w:ascii="Arial Narrow" w:hAnsi="Arial Narrow"/>
                <w:lang w:eastAsia="ja-JP"/>
              </w:rPr>
              <w:t>CEA/CUA*</w:t>
            </w:r>
          </w:p>
        </w:tc>
        <w:tc>
          <w:tcPr>
            <w:tcW w:w="2369" w:type="dxa"/>
            <w:vMerge/>
            <w:vAlign w:val="center"/>
          </w:tcPr>
          <w:p w:rsidR="00F86C9F" w:rsidRPr="00FA270C" w:rsidRDefault="00F86C9F">
            <w:pPr>
              <w:tabs>
                <w:tab w:val="left" w:pos="2835"/>
              </w:tabs>
              <w:spacing w:after="0" w:line="240" w:lineRule="auto"/>
              <w:jc w:val="center"/>
              <w:rPr>
                <w:rFonts w:ascii="Arial Narrow" w:hAnsi="Arial Narrow"/>
                <w:lang w:eastAsia="ja-JP"/>
              </w:rPr>
            </w:pPr>
          </w:p>
        </w:tc>
        <w:tc>
          <w:tcPr>
            <w:tcW w:w="2455" w:type="dxa"/>
            <w:gridSpan w:val="2"/>
            <w:vMerge/>
          </w:tcPr>
          <w:p w:rsidR="00F86C9F" w:rsidRPr="00FA270C" w:rsidRDefault="00F86C9F">
            <w:pPr>
              <w:tabs>
                <w:tab w:val="left" w:pos="2835"/>
              </w:tabs>
              <w:spacing w:after="0" w:line="240" w:lineRule="auto"/>
              <w:rPr>
                <w:rFonts w:ascii="Arial Narrow" w:hAnsi="Arial Narrow"/>
                <w:lang w:eastAsia="ja-JP"/>
              </w:rPr>
            </w:pPr>
          </w:p>
        </w:tc>
      </w:tr>
      <w:tr w:rsidR="00F86C9F" w:rsidRPr="00FA270C">
        <w:trPr>
          <w:trHeight w:val="20"/>
        </w:trPr>
        <w:tc>
          <w:tcPr>
            <w:tcW w:w="671" w:type="dxa"/>
            <w:vMerge/>
          </w:tcPr>
          <w:p w:rsidR="00F86C9F" w:rsidRPr="00FA270C" w:rsidRDefault="00F86C9F">
            <w:pPr>
              <w:tabs>
                <w:tab w:val="left" w:pos="2835"/>
              </w:tabs>
              <w:spacing w:after="0" w:line="240" w:lineRule="auto"/>
              <w:rPr>
                <w:rFonts w:ascii="Arial Narrow" w:hAnsi="Arial Narrow"/>
                <w:lang w:eastAsia="ja-JP"/>
              </w:rPr>
            </w:pPr>
          </w:p>
        </w:tc>
        <w:tc>
          <w:tcPr>
            <w:tcW w:w="1085" w:type="dxa"/>
            <w:vMerge/>
          </w:tcPr>
          <w:p w:rsidR="00F86C9F" w:rsidRPr="00FA270C" w:rsidRDefault="00F86C9F">
            <w:pPr>
              <w:tabs>
                <w:tab w:val="left" w:pos="2835"/>
              </w:tabs>
              <w:spacing w:after="0" w:line="240" w:lineRule="auto"/>
              <w:rPr>
                <w:rFonts w:ascii="Arial Narrow" w:hAnsi="Arial Narrow"/>
                <w:lang w:eastAsia="ja-JP"/>
              </w:rPr>
            </w:pPr>
          </w:p>
        </w:tc>
        <w:tc>
          <w:tcPr>
            <w:tcW w:w="1583" w:type="dxa"/>
            <w:vAlign w:val="center"/>
          </w:tcPr>
          <w:p w:rsidR="00F86C9F" w:rsidRPr="00FA270C" w:rsidRDefault="00F86C9F">
            <w:pPr>
              <w:tabs>
                <w:tab w:val="left" w:pos="2835"/>
              </w:tabs>
              <w:spacing w:after="0" w:line="240" w:lineRule="auto"/>
              <w:jc w:val="left"/>
              <w:rPr>
                <w:rFonts w:ascii="Arial Narrow" w:hAnsi="Arial Narrow"/>
                <w:u w:val="single"/>
                <w:lang w:eastAsia="ja-JP"/>
              </w:rPr>
            </w:pPr>
            <w:r w:rsidRPr="00FA270C">
              <w:rPr>
                <w:rFonts w:ascii="Arial Narrow" w:hAnsi="Arial Narrow"/>
                <w:u w:val="single"/>
                <w:lang w:eastAsia="ja-JP"/>
              </w:rPr>
              <w:t>Net harms</w:t>
            </w:r>
          </w:p>
        </w:tc>
        <w:tc>
          <w:tcPr>
            <w:tcW w:w="977" w:type="dxa"/>
            <w:vAlign w:val="center"/>
          </w:tcPr>
          <w:p w:rsidR="00F86C9F" w:rsidRPr="00FA270C" w:rsidRDefault="00F86C9F">
            <w:pPr>
              <w:tabs>
                <w:tab w:val="left" w:pos="2835"/>
              </w:tabs>
              <w:spacing w:after="0" w:line="240" w:lineRule="auto"/>
              <w:jc w:val="center"/>
              <w:rPr>
                <w:rFonts w:ascii="Arial Narrow" w:hAnsi="Arial Narrow"/>
                <w:lang w:eastAsia="ja-JP"/>
              </w:rPr>
            </w:pPr>
            <w:r w:rsidRPr="00FA270C">
              <w:rPr>
                <w:rFonts w:ascii="Arial Narrow" w:hAnsi="Arial Narrow"/>
                <w:lang w:eastAsia="ja-JP"/>
              </w:rPr>
              <w:t>None^</w:t>
            </w:r>
          </w:p>
        </w:tc>
        <w:tc>
          <w:tcPr>
            <w:tcW w:w="2369" w:type="dxa"/>
            <w:vMerge/>
            <w:vAlign w:val="center"/>
          </w:tcPr>
          <w:p w:rsidR="00F86C9F" w:rsidRPr="00FA270C" w:rsidRDefault="00F86C9F">
            <w:pPr>
              <w:tabs>
                <w:tab w:val="left" w:pos="2835"/>
              </w:tabs>
              <w:spacing w:after="0" w:line="240" w:lineRule="auto"/>
              <w:jc w:val="center"/>
              <w:rPr>
                <w:rFonts w:ascii="Arial Narrow" w:hAnsi="Arial Narrow"/>
                <w:lang w:eastAsia="ja-JP"/>
              </w:rPr>
            </w:pPr>
          </w:p>
        </w:tc>
        <w:tc>
          <w:tcPr>
            <w:tcW w:w="2455" w:type="dxa"/>
            <w:gridSpan w:val="2"/>
            <w:vMerge/>
          </w:tcPr>
          <w:p w:rsidR="00F86C9F" w:rsidRPr="00FA270C" w:rsidRDefault="00F86C9F">
            <w:pPr>
              <w:tabs>
                <w:tab w:val="left" w:pos="2835"/>
              </w:tabs>
              <w:spacing w:after="0" w:line="240" w:lineRule="auto"/>
              <w:rPr>
                <w:rFonts w:ascii="Arial Narrow" w:hAnsi="Arial Narrow"/>
                <w:lang w:eastAsia="ja-JP"/>
              </w:rPr>
            </w:pPr>
          </w:p>
        </w:tc>
      </w:tr>
    </w:tbl>
    <w:p w:rsidR="00F86C9F" w:rsidRPr="00FA270C" w:rsidRDefault="00F86C9F">
      <w:pPr>
        <w:tabs>
          <w:tab w:val="left" w:pos="284"/>
        </w:tabs>
        <w:spacing w:after="0" w:line="240" w:lineRule="auto"/>
        <w:ind w:left="284" w:hanging="284"/>
        <w:rPr>
          <w:rFonts w:ascii="Arial Narrow" w:hAnsi="Arial Narrow"/>
          <w:lang w:eastAsia="ja-JP"/>
        </w:rPr>
      </w:pPr>
      <w:r w:rsidRPr="00FA270C">
        <w:rPr>
          <w:rFonts w:ascii="Arial Narrow" w:hAnsi="Arial Narrow"/>
          <w:lang w:eastAsia="ja-JP"/>
        </w:rPr>
        <w:t>Abbreviations:  CEA = cost-effectiveness analysis; CUA = cost-utility analysis</w:t>
      </w:r>
    </w:p>
    <w:p w:rsidR="00F86C9F" w:rsidRPr="00FA270C" w:rsidRDefault="00F86C9F">
      <w:pPr>
        <w:tabs>
          <w:tab w:val="left" w:pos="284"/>
        </w:tabs>
        <w:spacing w:after="0" w:line="240" w:lineRule="auto"/>
        <w:ind w:left="284" w:hanging="284"/>
        <w:rPr>
          <w:rFonts w:ascii="Arial Narrow" w:hAnsi="Arial Narrow"/>
          <w:lang w:eastAsia="ja-JP"/>
        </w:rPr>
      </w:pPr>
      <w:r w:rsidRPr="00FA270C">
        <w:rPr>
          <w:rFonts w:ascii="Arial Narrow" w:hAnsi="Arial Narrow"/>
          <w:lang w:eastAsia="ja-JP"/>
        </w:rPr>
        <w:t>*</w:t>
      </w:r>
      <w:r w:rsidRPr="00FA270C">
        <w:rPr>
          <w:rFonts w:ascii="Arial Narrow" w:hAnsi="Arial Narrow"/>
          <w:lang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w:t>
      </w:r>
      <w:r w:rsidR="0025521C">
        <w:rPr>
          <w:rFonts w:ascii="Arial Narrow" w:hAnsi="Arial Narrow"/>
          <w:lang w:eastAsia="ja-JP"/>
        </w:rPr>
        <w:t>nty around such a conclusion (ie</w:t>
      </w:r>
      <w:r w:rsidRPr="00FA270C">
        <w:rPr>
          <w:rFonts w:ascii="Arial Narrow" w:hAnsi="Arial Narrow"/>
          <w:lang w:eastAsia="ja-JP"/>
        </w:rPr>
        <w:t>,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F86C9F" w:rsidRPr="00FA270C" w:rsidRDefault="00F86C9F">
      <w:pPr>
        <w:tabs>
          <w:tab w:val="left" w:pos="284"/>
        </w:tabs>
        <w:spacing w:line="240" w:lineRule="auto"/>
        <w:rPr>
          <w:rFonts w:ascii="Arial Narrow" w:hAnsi="Arial Narrow"/>
          <w:lang w:eastAsia="ja-JP"/>
        </w:rPr>
      </w:pPr>
      <w:r w:rsidRPr="00FA270C">
        <w:rPr>
          <w:rFonts w:ascii="Arial Narrow" w:hAnsi="Arial Narrow"/>
          <w:lang w:eastAsia="ja-JP"/>
        </w:rPr>
        <w:t>^</w:t>
      </w:r>
      <w:r w:rsidRPr="00FA270C">
        <w:rPr>
          <w:rFonts w:ascii="Arial Narrow" w:hAnsi="Arial Narrow"/>
          <w:lang w:eastAsia="ja-JP"/>
        </w:rPr>
        <w:tab/>
        <w:t>No economic evaluation needs to be presented; MSAC is unlikely to recommend government subsidy of this intervention</w:t>
      </w:r>
    </w:p>
    <w:p w:rsidR="00F86C9F" w:rsidRPr="00FA270C" w:rsidRDefault="00F86C9F">
      <w:pPr>
        <w:rPr>
          <w:rFonts w:ascii="Arial Narrow" w:hAnsi="Arial Narrow"/>
          <w:lang w:eastAsia="ja-JP"/>
        </w:rPr>
      </w:pPr>
      <w:r w:rsidRPr="00FA270C">
        <w:rPr>
          <w:rFonts w:ascii="Arial Narrow" w:hAnsi="Arial Narrow"/>
          <w:lang w:eastAsia="ja-JP"/>
        </w:rPr>
        <w:t xml:space="preserve">The intention is to do a cost utility analysis considering both quality of life and treatment costs under both scenarios. </w:t>
      </w:r>
    </w:p>
    <w:p w:rsidR="00F86C9F" w:rsidRPr="00FA270C" w:rsidRDefault="00F86C9F" w:rsidP="00447C15">
      <w:pPr>
        <w:rPr>
          <w:u w:val="single"/>
          <w:lang w:eastAsia="ja-JP"/>
        </w:rPr>
      </w:pPr>
      <w:r w:rsidRPr="00FA270C">
        <w:rPr>
          <w:u w:val="single"/>
          <w:lang w:eastAsia="ja-JP"/>
        </w:rPr>
        <w:t>Questions for the review relating to the economic evaluation</w:t>
      </w:r>
    </w:p>
    <w:p w:rsidR="00F86C9F" w:rsidRPr="00FA270C" w:rsidRDefault="00F86C9F" w:rsidP="00447C15">
      <w:pPr>
        <w:rPr>
          <w:lang w:eastAsia="ja-JP"/>
        </w:rPr>
      </w:pPr>
      <w:r w:rsidRPr="00FA270C">
        <w:rPr>
          <w:lang w:eastAsia="ja-JP"/>
        </w:rPr>
        <w:t>Cost effectiveness models should be undertaken:</w:t>
      </w:r>
    </w:p>
    <w:p w:rsidR="00F86C9F" w:rsidRPr="00FA270C" w:rsidRDefault="00F86C9F" w:rsidP="00447C15">
      <w:pPr>
        <w:pStyle w:val="ListParagraph"/>
        <w:numPr>
          <w:ilvl w:val="0"/>
          <w:numId w:val="55"/>
        </w:numPr>
        <w:rPr>
          <w:lang w:eastAsia="ja-JP"/>
        </w:rPr>
      </w:pPr>
      <w:r w:rsidRPr="00FA270C">
        <w:rPr>
          <w:lang w:eastAsia="ja-JP"/>
        </w:rPr>
        <w:t>To establish the baseline scenario: What are the downstream costs and outcomes without the proposed intervention?</w:t>
      </w:r>
    </w:p>
    <w:p w:rsidR="00F86C9F" w:rsidRPr="00FA270C" w:rsidRDefault="00F86C9F" w:rsidP="00447C15">
      <w:pPr>
        <w:pStyle w:val="ListParagraph"/>
        <w:numPr>
          <w:ilvl w:val="0"/>
          <w:numId w:val="55"/>
        </w:numPr>
        <w:rPr>
          <w:lang w:eastAsia="ja-JP"/>
        </w:rPr>
      </w:pPr>
      <w:r w:rsidRPr="00FA270C">
        <w:rPr>
          <w:lang w:eastAsia="ja-JP"/>
        </w:rPr>
        <w:t>To assess the proposed scenario: What are the downstream costs and outcomes with the proposed intervention?</w:t>
      </w:r>
    </w:p>
    <w:p w:rsidR="00F86C9F" w:rsidRPr="00FA270C" w:rsidRDefault="00F86C9F" w:rsidP="00447C15">
      <w:pPr>
        <w:pStyle w:val="ListParagraph"/>
        <w:numPr>
          <w:ilvl w:val="0"/>
          <w:numId w:val="55"/>
        </w:numPr>
        <w:rPr>
          <w:lang w:eastAsia="ja-JP"/>
        </w:rPr>
      </w:pPr>
      <w:r w:rsidRPr="00FA270C">
        <w:rPr>
          <w:lang w:eastAsia="ja-JP"/>
        </w:rPr>
        <w:t>As noted throughout the DAP, sensitivity analyses should be undertaken around:</w:t>
      </w:r>
    </w:p>
    <w:p w:rsidR="00F86C9F" w:rsidRPr="00FA270C" w:rsidRDefault="00F86C9F" w:rsidP="00447C15">
      <w:pPr>
        <w:pStyle w:val="ListParagraph"/>
        <w:numPr>
          <w:ilvl w:val="1"/>
          <w:numId w:val="55"/>
        </w:numPr>
        <w:rPr>
          <w:lang w:eastAsia="ja-JP"/>
        </w:rPr>
      </w:pPr>
      <w:r w:rsidRPr="00FA270C">
        <w:rPr>
          <w:lang w:eastAsia="ja-JP"/>
        </w:rPr>
        <w:t>The factors, ages and eligibility criteria as specified in the proposal;</w:t>
      </w:r>
    </w:p>
    <w:p w:rsidR="00F86C9F" w:rsidRPr="00FA270C" w:rsidRDefault="00F86C9F" w:rsidP="00447C15">
      <w:pPr>
        <w:pStyle w:val="ListParagraph"/>
        <w:numPr>
          <w:ilvl w:val="1"/>
          <w:numId w:val="55"/>
        </w:numPr>
        <w:rPr>
          <w:lang w:eastAsia="ja-JP"/>
        </w:rPr>
      </w:pPr>
      <w:r w:rsidRPr="00FA270C">
        <w:rPr>
          <w:lang w:eastAsia="ja-JP"/>
        </w:rPr>
        <w:t>The variables as advised by the available evidence;</w:t>
      </w:r>
    </w:p>
    <w:p w:rsidR="00F86C9F" w:rsidRPr="00FA270C" w:rsidRDefault="00F86C9F" w:rsidP="00447C15">
      <w:pPr>
        <w:pStyle w:val="ListParagraph"/>
        <w:numPr>
          <w:ilvl w:val="1"/>
          <w:numId w:val="55"/>
        </w:numPr>
        <w:rPr>
          <w:lang w:eastAsia="ja-JP"/>
        </w:rPr>
      </w:pPr>
      <w:r w:rsidRPr="00FA270C">
        <w:rPr>
          <w:lang w:eastAsia="ja-JP"/>
        </w:rPr>
        <w:t>The variables as advised by PASC as being informative for sensitivity analyses to inform the final decision making.</w:t>
      </w:r>
    </w:p>
    <w:p w:rsidR="00F86C9F" w:rsidRPr="00FA270C" w:rsidRDefault="00F86C9F" w:rsidP="00447C15">
      <w:pPr>
        <w:pStyle w:val="ListParagraph"/>
        <w:numPr>
          <w:ilvl w:val="0"/>
          <w:numId w:val="55"/>
        </w:numPr>
        <w:rPr>
          <w:lang w:eastAsia="ja-JP"/>
        </w:rPr>
      </w:pPr>
      <w:r w:rsidRPr="00FA270C">
        <w:rPr>
          <w:lang w:eastAsia="ja-JP"/>
        </w:rPr>
        <w:t>The economic analysis should account for different thresholds for therapy and re-treatment as advised by the available evidence.</w:t>
      </w:r>
    </w:p>
    <w:p w:rsidR="00F86C9F" w:rsidRPr="00FA270C" w:rsidRDefault="00F86C9F" w:rsidP="00447C15">
      <w:pPr>
        <w:pStyle w:val="ListParagraph"/>
        <w:numPr>
          <w:ilvl w:val="0"/>
          <w:numId w:val="55"/>
        </w:numPr>
        <w:rPr>
          <w:lang w:eastAsia="ja-JP"/>
        </w:rPr>
      </w:pPr>
      <w:r w:rsidRPr="00FA270C">
        <w:rPr>
          <w:lang w:eastAsia="ja-JP"/>
        </w:rPr>
        <w:t>The economic evaluation should account for any prognostic factors and their impact on lowering bone mineral density, such as specific risk factors, age or gender.</w:t>
      </w:r>
    </w:p>
    <w:p w:rsidR="00F86C9F" w:rsidRPr="00FA270C" w:rsidRDefault="00F86C9F" w:rsidP="00447C15">
      <w:pPr>
        <w:pStyle w:val="ListParagraph"/>
        <w:numPr>
          <w:ilvl w:val="0"/>
          <w:numId w:val="55"/>
        </w:numPr>
        <w:rPr>
          <w:lang w:eastAsia="ja-JP"/>
        </w:rPr>
      </w:pPr>
      <w:r w:rsidRPr="00FA270C">
        <w:rPr>
          <w:lang w:eastAsia="ja-JP"/>
        </w:rPr>
        <w:t>The economic evaluation should account for all patients in the target population who become eligible for current MBS items (for example through age or minimal trauma fracture).</w:t>
      </w:r>
    </w:p>
    <w:p w:rsidR="00F86C9F" w:rsidRPr="00FA270C" w:rsidRDefault="00F86C9F">
      <w:pPr>
        <w:rPr>
          <w:rFonts w:ascii="Arial Narrow" w:hAnsi="Arial Narrow"/>
          <w:lang w:eastAsia="ja-JP"/>
        </w:rPr>
      </w:pPr>
    </w:p>
    <w:p w:rsidR="00F86C9F" w:rsidRPr="00FA270C" w:rsidRDefault="00F86C9F">
      <w:pPr>
        <w:pStyle w:val="Heading1"/>
        <w:rPr>
          <w:lang w:val="en-AU"/>
        </w:rPr>
      </w:pPr>
      <w:bookmarkStart w:id="56" w:name="_Toc361145571"/>
      <w:bookmarkStart w:id="57" w:name="_Toc362968600"/>
      <w:r w:rsidRPr="00FA270C">
        <w:rPr>
          <w:lang w:val="en-AU"/>
        </w:rPr>
        <w:lastRenderedPageBreak/>
        <w:t>Outcomes and health care resources affected by introduction of proposed intervention</w:t>
      </w:r>
      <w:bookmarkEnd w:id="56"/>
      <w:bookmarkEnd w:id="57"/>
    </w:p>
    <w:p w:rsidR="00F86C9F" w:rsidRPr="00FA270C" w:rsidRDefault="00F86C9F">
      <w:pPr>
        <w:pStyle w:val="Heading2"/>
        <w:rPr>
          <w:lang w:val="en-AU"/>
        </w:rPr>
      </w:pPr>
      <w:bookmarkStart w:id="58" w:name="_Toc361145572"/>
      <w:bookmarkStart w:id="59" w:name="_Toc362968601"/>
      <w:r w:rsidRPr="00FA270C">
        <w:rPr>
          <w:lang w:val="en-AU"/>
        </w:rPr>
        <w:t>Outcomes</w:t>
      </w:r>
      <w:bookmarkEnd w:id="58"/>
      <w:bookmarkEnd w:id="59"/>
    </w:p>
    <w:p w:rsidR="00F86C9F" w:rsidRPr="00FA270C" w:rsidRDefault="00F86C9F">
      <w:pPr>
        <w:rPr>
          <w:lang w:eastAsia="ja-JP"/>
        </w:rPr>
      </w:pPr>
      <w:r w:rsidRPr="00FA270C">
        <w:rPr>
          <w:lang w:eastAsia="ja-JP"/>
        </w:rPr>
        <w:t xml:space="preserve">Several outcomes are highlighted in the clinical pathway algorithms. </w:t>
      </w:r>
      <w:r w:rsidR="006A45F1">
        <w:rPr>
          <w:lang w:eastAsia="ja-JP"/>
        </w:rPr>
        <w:t>It is proposed that a</w:t>
      </w:r>
      <w:r w:rsidRPr="00FA270C">
        <w:rPr>
          <w:lang w:eastAsia="ja-JP"/>
        </w:rPr>
        <w:t xml:space="preserve"> difference in outcomes will occur as a result of there being a greater number of patients identified early and treated early; thus delaying the progression of the disease and </w:t>
      </w:r>
      <w:r w:rsidR="00001A36">
        <w:rPr>
          <w:lang w:eastAsia="ja-JP"/>
        </w:rPr>
        <w:t>reducing the incidence of minimal trauma fractures</w:t>
      </w:r>
      <w:r w:rsidRPr="00FA270C">
        <w:rPr>
          <w:lang w:eastAsia="ja-JP"/>
        </w:rPr>
        <w:t xml:space="preserve">.  </w:t>
      </w:r>
    </w:p>
    <w:p w:rsidR="00F86C9F" w:rsidRPr="00FA270C" w:rsidRDefault="00F86C9F" w:rsidP="00211BB5">
      <w:r w:rsidRPr="00FA270C">
        <w:t>Primary effectiveness outcomes:</w:t>
      </w:r>
    </w:p>
    <w:p w:rsidR="00F86C9F" w:rsidRPr="00FA270C" w:rsidRDefault="00F86C9F" w:rsidP="00211BB5">
      <w:pPr>
        <w:pStyle w:val="ListParagraph"/>
        <w:numPr>
          <w:ilvl w:val="0"/>
          <w:numId w:val="30"/>
        </w:numPr>
      </w:pPr>
      <w:r w:rsidRPr="00FA270C">
        <w:t>Incidence of minimal trauma fractures</w:t>
      </w:r>
    </w:p>
    <w:p w:rsidR="00F86C9F" w:rsidRPr="00FA270C" w:rsidRDefault="00F86C9F" w:rsidP="00211BB5">
      <w:pPr>
        <w:pStyle w:val="ListParagraph"/>
        <w:numPr>
          <w:ilvl w:val="0"/>
          <w:numId w:val="30"/>
        </w:numPr>
      </w:pPr>
      <w:r w:rsidRPr="00FA270C">
        <w:t>Incidence of all fractures</w:t>
      </w:r>
    </w:p>
    <w:p w:rsidR="00F86C9F" w:rsidRPr="00FA270C" w:rsidRDefault="00F86C9F" w:rsidP="00211BB5">
      <w:pPr>
        <w:pStyle w:val="ListParagraph"/>
        <w:numPr>
          <w:ilvl w:val="0"/>
          <w:numId w:val="30"/>
        </w:numPr>
      </w:pPr>
      <w:r w:rsidRPr="00FA270C">
        <w:t>Patient-related quality of life</w:t>
      </w:r>
    </w:p>
    <w:p w:rsidR="00F86C9F" w:rsidRPr="00FA270C" w:rsidRDefault="00F86C9F" w:rsidP="00211BB5">
      <w:r w:rsidRPr="00FA270C">
        <w:t>Secondary effectiveness outcomes:</w:t>
      </w:r>
    </w:p>
    <w:p w:rsidR="00001A36" w:rsidRPr="00956396" w:rsidRDefault="00F86C9F" w:rsidP="00001A36">
      <w:pPr>
        <w:pStyle w:val="ListParagraph"/>
        <w:numPr>
          <w:ilvl w:val="0"/>
          <w:numId w:val="30"/>
        </w:numPr>
        <w:rPr>
          <w:strike/>
        </w:rPr>
      </w:pPr>
      <w:r w:rsidRPr="00FA270C">
        <w:t>Change in morbidity/mortality</w:t>
      </w:r>
      <w:r w:rsidR="00001A36" w:rsidRPr="00001A36">
        <w:t xml:space="preserve"> </w:t>
      </w:r>
    </w:p>
    <w:p w:rsidR="00001A36" w:rsidRPr="00252A9B" w:rsidRDefault="00001A36" w:rsidP="00001A36">
      <w:pPr>
        <w:pStyle w:val="ListParagraph"/>
        <w:numPr>
          <w:ilvl w:val="0"/>
          <w:numId w:val="30"/>
        </w:numPr>
        <w:rPr>
          <w:strike/>
        </w:rPr>
      </w:pPr>
      <w:r w:rsidRPr="00001A36">
        <w:t xml:space="preserve">Bone mineral density (for example as </w:t>
      </w:r>
      <w:r>
        <w:t>determined</w:t>
      </w:r>
      <w:r w:rsidRPr="00001A36">
        <w:t xml:space="preserve"> by T-score).</w:t>
      </w:r>
    </w:p>
    <w:p w:rsidR="00F86C9F" w:rsidRPr="00FA270C" w:rsidRDefault="00F86C9F" w:rsidP="00956396">
      <w:pPr>
        <w:pStyle w:val="ListParagraph"/>
      </w:pPr>
    </w:p>
    <w:p w:rsidR="00F86C9F" w:rsidRPr="00FA270C" w:rsidRDefault="00F86C9F" w:rsidP="00211BB5">
      <w:r w:rsidRPr="00FA270C">
        <w:t>Safety outcomes and adverse events:</w:t>
      </w:r>
    </w:p>
    <w:p w:rsidR="00F86C9F" w:rsidRPr="00FA270C" w:rsidRDefault="00F86C9F" w:rsidP="00211BB5">
      <w:pPr>
        <w:pStyle w:val="ListParagraph"/>
        <w:numPr>
          <w:ilvl w:val="0"/>
          <w:numId w:val="32"/>
        </w:numPr>
      </w:pPr>
      <w:bookmarkStart w:id="60" w:name="_Ref329775223"/>
      <w:r w:rsidRPr="00FA270C">
        <w:t xml:space="preserve">Any adverse event or complication related to the DXA scanning or treatments for </w:t>
      </w:r>
      <w:bookmarkEnd w:id="60"/>
      <w:r w:rsidRPr="00FA270C">
        <w:t>osteoporosis</w:t>
      </w:r>
    </w:p>
    <w:p w:rsidR="00F86C9F" w:rsidRPr="00FA270C" w:rsidRDefault="00F86C9F" w:rsidP="00211BB5">
      <w:pPr>
        <w:pStyle w:val="ListParagraph"/>
        <w:numPr>
          <w:ilvl w:val="0"/>
          <w:numId w:val="32"/>
        </w:numPr>
      </w:pPr>
      <w:r w:rsidRPr="00FA270C">
        <w:t>Any adverse event arising from exposure to ionising radiation.</w:t>
      </w:r>
    </w:p>
    <w:tbl>
      <w:tblPr>
        <w:tblW w:w="0" w:type="auto"/>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242"/>
      </w:tblGrid>
      <w:tr w:rsidR="00F86C9F" w:rsidRPr="00FA270C" w:rsidTr="0046515E">
        <w:tc>
          <w:tcPr>
            <w:tcW w:w="9242" w:type="dxa"/>
            <w:tcBorders>
              <w:top w:val="single" w:sz="18" w:space="0" w:color="auto"/>
            </w:tcBorders>
          </w:tcPr>
          <w:p w:rsidR="00F86C9F" w:rsidRPr="00FA270C" w:rsidRDefault="00F86C9F" w:rsidP="0046515E">
            <w:pPr>
              <w:tabs>
                <w:tab w:val="left" w:pos="2835"/>
              </w:tabs>
              <w:spacing w:before="40"/>
              <w:rPr>
                <w:lang w:eastAsia="ja-JP"/>
              </w:rPr>
            </w:pPr>
            <w:r w:rsidRPr="00FA270C">
              <w:rPr>
                <w:lang w:eastAsia="ja-JP"/>
              </w:rPr>
              <w:t>Please note:</w:t>
            </w:r>
          </w:p>
        </w:tc>
      </w:tr>
      <w:tr w:rsidR="00F86C9F" w:rsidRPr="00FA270C" w:rsidTr="0046515E">
        <w:tc>
          <w:tcPr>
            <w:tcW w:w="9242" w:type="dxa"/>
          </w:tcPr>
          <w:p w:rsidR="00001A36" w:rsidRPr="00FA270C" w:rsidRDefault="00F86C9F" w:rsidP="00956396">
            <w:pPr>
              <w:pStyle w:val="ListParagraph"/>
              <w:numPr>
                <w:ilvl w:val="0"/>
                <w:numId w:val="75"/>
              </w:numPr>
            </w:pPr>
            <w:r w:rsidRPr="00FA270C">
              <w:t>It is important to note all risk factors and their impact on loss of bone mineral density or minimal trauma fractures.</w:t>
            </w:r>
          </w:p>
          <w:p w:rsidR="00F86C9F" w:rsidRPr="00FA270C" w:rsidRDefault="00F86C9F" w:rsidP="00A711EF">
            <w:pPr>
              <w:pStyle w:val="ListParagraph"/>
              <w:numPr>
                <w:ilvl w:val="0"/>
                <w:numId w:val="75"/>
              </w:numPr>
              <w:spacing w:after="0"/>
              <w:ind w:left="714" w:hanging="357"/>
            </w:pPr>
            <w:r w:rsidRPr="00FA270C">
              <w:t>All other prognostic factors for bone mineral density loss and minimal trauma fracture should be noted (such as age or gender).</w:t>
            </w:r>
          </w:p>
        </w:tc>
      </w:tr>
      <w:tr w:rsidR="00F86C9F" w:rsidRPr="00FA270C" w:rsidTr="0046515E">
        <w:tc>
          <w:tcPr>
            <w:tcW w:w="9242" w:type="dxa"/>
          </w:tcPr>
          <w:p w:rsidR="00F86C9F" w:rsidRPr="00FA270C" w:rsidRDefault="00F86C9F" w:rsidP="003F6094">
            <w:pPr>
              <w:pStyle w:val="ListParagraph"/>
              <w:numPr>
                <w:ilvl w:val="0"/>
                <w:numId w:val="75"/>
              </w:numPr>
              <w:spacing w:after="0"/>
              <w:ind w:left="714" w:hanging="357"/>
            </w:pPr>
            <w:r w:rsidRPr="00FA270C">
              <w:t>Where possible, the outcome of minimal trauma fracture should be disaggregated to type and location of fracture (eg hip vs</w:t>
            </w:r>
            <w:r w:rsidR="00E968BB">
              <w:t>.</w:t>
            </w:r>
            <w:r w:rsidRPr="00FA270C">
              <w:t xml:space="preserve"> non-hip) as this is important to translate to any possible effects on life-years and quality-adjusted life-years.</w:t>
            </w:r>
          </w:p>
        </w:tc>
      </w:tr>
      <w:tr w:rsidR="00F86C9F" w:rsidRPr="00FA270C" w:rsidTr="0046515E">
        <w:tc>
          <w:tcPr>
            <w:tcW w:w="9242" w:type="dxa"/>
          </w:tcPr>
          <w:p w:rsidR="00F86C9F" w:rsidRPr="00FA270C" w:rsidRDefault="00F86C9F" w:rsidP="003F6094">
            <w:pPr>
              <w:pStyle w:val="ListParagraph"/>
              <w:numPr>
                <w:ilvl w:val="0"/>
                <w:numId w:val="75"/>
              </w:numPr>
              <w:spacing w:after="0"/>
              <w:ind w:left="714" w:hanging="357"/>
            </w:pPr>
            <w:r w:rsidRPr="00FA270C">
              <w:t>The site of the DXA exam (for example, proximal femur, lumbar spine, hip, distal radius) should be reported for all studies where possible. This is to account for any variability related to the site of the body where the testing is conducted.</w:t>
            </w:r>
          </w:p>
        </w:tc>
      </w:tr>
      <w:tr w:rsidR="00F86C9F" w:rsidRPr="00FA270C" w:rsidTr="00001A36">
        <w:trPr>
          <w:trHeight w:val="935"/>
        </w:trPr>
        <w:tc>
          <w:tcPr>
            <w:tcW w:w="9242" w:type="dxa"/>
          </w:tcPr>
          <w:p w:rsidR="00F86C9F" w:rsidRPr="00FA270C" w:rsidRDefault="00F86C9F" w:rsidP="003F6094">
            <w:pPr>
              <w:pStyle w:val="ListParagraph"/>
              <w:numPr>
                <w:ilvl w:val="0"/>
                <w:numId w:val="75"/>
              </w:numPr>
              <w:spacing w:after="0"/>
              <w:ind w:left="714" w:hanging="357"/>
            </w:pPr>
            <w:r w:rsidRPr="00FA270C">
              <w:t>Where men and women are re-tested, it should be noted whether subsequent tests are undertaken on the same machine, or a different machine but the same model, or at the same or different practice. This is to account for any variability of test results between machines.</w:t>
            </w:r>
          </w:p>
        </w:tc>
      </w:tr>
      <w:tr w:rsidR="00F86C9F" w:rsidRPr="00FA270C" w:rsidTr="0046515E">
        <w:tc>
          <w:tcPr>
            <w:tcW w:w="9242" w:type="dxa"/>
            <w:tcBorders>
              <w:bottom w:val="single" w:sz="18" w:space="0" w:color="auto"/>
            </w:tcBorders>
          </w:tcPr>
          <w:p w:rsidR="00F86C9F" w:rsidRPr="00FA270C" w:rsidRDefault="00F86C9F" w:rsidP="00956396">
            <w:pPr>
              <w:pStyle w:val="ListParagraph"/>
              <w:numPr>
                <w:ilvl w:val="0"/>
                <w:numId w:val="75"/>
              </w:numPr>
            </w:pPr>
            <w:r w:rsidRPr="00FA270C">
              <w:t xml:space="preserve">PASC acknowledges that DXA is associated with low radiation doses, but that increasing the </w:t>
            </w:r>
            <w:r w:rsidRPr="00FA270C">
              <w:lastRenderedPageBreak/>
              <w:t>availability of DXA may significantly increase the exposure of the proposed population of otherwise healthy men and women to ionising radiation. This issue should be addressed in the assessment of evidence.</w:t>
            </w:r>
          </w:p>
        </w:tc>
      </w:tr>
    </w:tbl>
    <w:p w:rsidR="00F86C9F" w:rsidRPr="00FA270C" w:rsidRDefault="00F86C9F" w:rsidP="0046515E"/>
    <w:p w:rsidR="00F86C9F" w:rsidRPr="00FA270C" w:rsidRDefault="00F86C9F">
      <w:pPr>
        <w:pStyle w:val="Heading2"/>
        <w:rPr>
          <w:lang w:val="en-AU"/>
        </w:rPr>
      </w:pPr>
      <w:bookmarkStart w:id="61" w:name="_Toc361145573"/>
      <w:bookmarkStart w:id="62" w:name="_Toc362968602"/>
      <w:r w:rsidRPr="00FA270C">
        <w:rPr>
          <w:lang w:val="en-AU"/>
        </w:rPr>
        <w:t>Health care resources</w:t>
      </w:r>
      <w:bookmarkEnd w:id="61"/>
      <w:bookmarkEnd w:id="62"/>
    </w:p>
    <w:p w:rsidR="00F86C9F" w:rsidRPr="00FA270C" w:rsidRDefault="00F86C9F">
      <w:pPr>
        <w:pStyle w:val="Caption"/>
        <w:rPr>
          <w:lang w:val="en-AU"/>
        </w:rPr>
      </w:pPr>
      <w:bookmarkStart w:id="63" w:name="_Ref283143211"/>
      <w:bookmarkStart w:id="64" w:name="_Ref358198341"/>
      <w:bookmarkStart w:id="65" w:name="_Ref283143206"/>
      <w:r w:rsidRPr="00FA270C">
        <w:rPr>
          <w:lang w:val="en-AU"/>
        </w:rPr>
        <w:t xml:space="preserve">Table </w:t>
      </w:r>
      <w:r w:rsidRPr="00FA270C">
        <w:rPr>
          <w:lang w:val="en-AU"/>
        </w:rPr>
        <w:fldChar w:fldCharType="begin"/>
      </w:r>
      <w:r w:rsidRPr="00FA270C">
        <w:rPr>
          <w:lang w:val="en-AU"/>
        </w:rPr>
        <w:instrText xml:space="preserve"> SEQ Table \* ARABIC </w:instrText>
      </w:r>
      <w:r w:rsidRPr="00FA270C">
        <w:rPr>
          <w:lang w:val="en-AU"/>
        </w:rPr>
        <w:fldChar w:fldCharType="separate"/>
      </w:r>
      <w:r w:rsidR="00255656">
        <w:rPr>
          <w:noProof/>
          <w:lang w:val="en-AU"/>
        </w:rPr>
        <w:t>8</w:t>
      </w:r>
      <w:r w:rsidRPr="00FA270C">
        <w:rPr>
          <w:lang w:val="en-AU"/>
        </w:rPr>
        <w:fldChar w:fldCharType="end"/>
      </w:r>
      <w:bookmarkEnd w:id="63"/>
      <w:bookmarkEnd w:id="64"/>
      <w:r w:rsidRPr="00FA270C">
        <w:rPr>
          <w:lang w:val="en-AU"/>
        </w:rPr>
        <w:tab/>
      </w:r>
      <w:r w:rsidRPr="00FA270C">
        <w:rPr>
          <w:lang w:val="en-AU"/>
        </w:rPr>
        <w:tab/>
      </w:r>
      <w:r w:rsidRPr="00FA270C">
        <w:rPr>
          <w:lang w:val="en-AU"/>
        </w:rPr>
        <w:tab/>
        <w:t>List of resources to be considered in the economic analysis</w:t>
      </w:r>
      <w:bookmarkEnd w:id="65"/>
      <w:r w:rsidRPr="00FA270C">
        <w:rPr>
          <w:lang w:val="en-A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F86C9F" w:rsidRPr="00FA270C">
        <w:trPr>
          <w:tblHeader/>
        </w:trPr>
        <w:tc>
          <w:tcPr>
            <w:tcW w:w="1728" w:type="dxa"/>
            <w:vMerge w:val="restart"/>
          </w:tcPr>
          <w:p w:rsidR="00F86C9F" w:rsidRPr="00FA270C" w:rsidRDefault="00F86C9F">
            <w:pPr>
              <w:keepNext/>
              <w:spacing w:after="0" w:line="240" w:lineRule="auto"/>
              <w:rPr>
                <w:rFonts w:ascii="Arial Narrow" w:hAnsi="Arial Narrow"/>
                <w:b/>
                <w:sz w:val="18"/>
              </w:rPr>
            </w:pPr>
          </w:p>
        </w:tc>
        <w:tc>
          <w:tcPr>
            <w:tcW w:w="900" w:type="dxa"/>
            <w:vMerge w:val="restart"/>
            <w:vAlign w:val="center"/>
          </w:tcPr>
          <w:p w:rsidR="00F86C9F" w:rsidRPr="00FA270C" w:rsidRDefault="00F86C9F">
            <w:pPr>
              <w:keepNext/>
              <w:spacing w:after="0" w:line="240" w:lineRule="auto"/>
              <w:jc w:val="center"/>
              <w:rPr>
                <w:rFonts w:ascii="Arial Narrow" w:hAnsi="Arial Narrow"/>
                <w:b/>
                <w:sz w:val="18"/>
              </w:rPr>
            </w:pPr>
            <w:r w:rsidRPr="00FA270C">
              <w:rPr>
                <w:rFonts w:ascii="Arial Narrow" w:hAnsi="Arial Narrow"/>
                <w:b/>
                <w:sz w:val="18"/>
              </w:rPr>
              <w:t>Provider of resource</w:t>
            </w:r>
          </w:p>
        </w:tc>
        <w:tc>
          <w:tcPr>
            <w:tcW w:w="900" w:type="dxa"/>
            <w:vMerge w:val="restart"/>
            <w:vAlign w:val="center"/>
          </w:tcPr>
          <w:p w:rsidR="00F86C9F" w:rsidRPr="00FA270C" w:rsidRDefault="00F86C9F">
            <w:pPr>
              <w:keepNext/>
              <w:spacing w:after="0" w:line="240" w:lineRule="auto"/>
              <w:jc w:val="center"/>
              <w:rPr>
                <w:rFonts w:ascii="Arial Narrow" w:hAnsi="Arial Narrow"/>
                <w:b/>
                <w:sz w:val="18"/>
              </w:rPr>
            </w:pPr>
            <w:r w:rsidRPr="00FA270C">
              <w:rPr>
                <w:rFonts w:ascii="Arial Narrow" w:hAnsi="Arial Narrow"/>
                <w:b/>
                <w:sz w:val="18"/>
              </w:rPr>
              <w:t>Setting in which resource is provided</w:t>
            </w:r>
          </w:p>
        </w:tc>
        <w:tc>
          <w:tcPr>
            <w:tcW w:w="900" w:type="dxa"/>
            <w:vMerge w:val="restart"/>
            <w:vAlign w:val="center"/>
          </w:tcPr>
          <w:p w:rsidR="00F86C9F" w:rsidRPr="00FA270C" w:rsidRDefault="00F86C9F">
            <w:pPr>
              <w:keepNext/>
              <w:spacing w:after="0" w:line="240" w:lineRule="auto"/>
              <w:jc w:val="center"/>
              <w:rPr>
                <w:rFonts w:ascii="Arial Narrow" w:hAnsi="Arial Narrow"/>
                <w:b/>
                <w:sz w:val="18"/>
              </w:rPr>
            </w:pPr>
            <w:r w:rsidRPr="00FA270C">
              <w:rPr>
                <w:rFonts w:ascii="Arial Narrow" w:hAnsi="Arial Narrow"/>
                <w:b/>
                <w:sz w:val="18"/>
              </w:rPr>
              <w:t>Proportion of patients receiving resource</w:t>
            </w:r>
          </w:p>
        </w:tc>
        <w:tc>
          <w:tcPr>
            <w:tcW w:w="898" w:type="dxa"/>
            <w:vMerge w:val="restart"/>
            <w:vAlign w:val="center"/>
          </w:tcPr>
          <w:p w:rsidR="00F86C9F" w:rsidRPr="00FA270C" w:rsidRDefault="00F86C9F">
            <w:pPr>
              <w:keepNext/>
              <w:spacing w:after="0" w:line="240" w:lineRule="auto"/>
              <w:jc w:val="center"/>
              <w:rPr>
                <w:rFonts w:ascii="Arial Narrow" w:hAnsi="Arial Narrow"/>
                <w:b/>
                <w:sz w:val="18"/>
              </w:rPr>
            </w:pPr>
            <w:r w:rsidRPr="00FA270C">
              <w:rPr>
                <w:rFonts w:ascii="Arial Narrow" w:hAnsi="Arial Narrow"/>
                <w:b/>
                <w:sz w:val="18"/>
              </w:rPr>
              <w:t>Number of units of resource per relevant time horizon per patient receiving resource</w:t>
            </w:r>
          </w:p>
        </w:tc>
        <w:tc>
          <w:tcPr>
            <w:tcW w:w="4421" w:type="dxa"/>
            <w:gridSpan w:val="6"/>
          </w:tcPr>
          <w:p w:rsidR="00F86C9F" w:rsidRPr="00FA270C" w:rsidRDefault="00F86C9F">
            <w:pPr>
              <w:keepNext/>
              <w:spacing w:after="0" w:line="240" w:lineRule="auto"/>
              <w:jc w:val="center"/>
              <w:rPr>
                <w:rFonts w:ascii="Arial Narrow" w:hAnsi="Arial Narrow"/>
                <w:b/>
                <w:sz w:val="18"/>
              </w:rPr>
            </w:pPr>
            <w:r w:rsidRPr="00FA270C">
              <w:rPr>
                <w:rFonts w:ascii="Arial Narrow" w:hAnsi="Arial Narrow"/>
                <w:b/>
                <w:sz w:val="18"/>
              </w:rPr>
              <w:t>Disaggregated unit cost</w:t>
            </w:r>
          </w:p>
        </w:tc>
      </w:tr>
      <w:tr w:rsidR="00F86C9F" w:rsidRPr="00FA270C">
        <w:trPr>
          <w:tblHeader/>
        </w:trPr>
        <w:tc>
          <w:tcPr>
            <w:tcW w:w="1728" w:type="dxa"/>
            <w:vMerge/>
          </w:tcPr>
          <w:p w:rsidR="00F86C9F" w:rsidRPr="00FA270C" w:rsidRDefault="00F86C9F">
            <w:pPr>
              <w:keepNext/>
              <w:spacing w:after="0" w:line="240" w:lineRule="auto"/>
              <w:rPr>
                <w:rFonts w:ascii="Arial Narrow" w:hAnsi="Arial Narrow"/>
                <w:sz w:val="18"/>
              </w:rPr>
            </w:pPr>
          </w:p>
        </w:tc>
        <w:tc>
          <w:tcPr>
            <w:tcW w:w="900" w:type="dxa"/>
            <w:vMerge/>
          </w:tcPr>
          <w:p w:rsidR="00F86C9F" w:rsidRPr="00FA270C" w:rsidRDefault="00F86C9F">
            <w:pPr>
              <w:keepNext/>
              <w:spacing w:after="0" w:line="240" w:lineRule="auto"/>
              <w:jc w:val="center"/>
              <w:rPr>
                <w:rFonts w:ascii="Arial Narrow" w:hAnsi="Arial Narrow"/>
                <w:sz w:val="18"/>
              </w:rPr>
            </w:pPr>
          </w:p>
        </w:tc>
        <w:tc>
          <w:tcPr>
            <w:tcW w:w="900" w:type="dxa"/>
            <w:vMerge/>
          </w:tcPr>
          <w:p w:rsidR="00F86C9F" w:rsidRPr="00FA270C" w:rsidRDefault="00F86C9F">
            <w:pPr>
              <w:keepNext/>
              <w:spacing w:after="0" w:line="240" w:lineRule="auto"/>
              <w:jc w:val="center"/>
              <w:rPr>
                <w:rFonts w:ascii="Arial Narrow" w:hAnsi="Arial Narrow"/>
                <w:sz w:val="18"/>
              </w:rPr>
            </w:pPr>
          </w:p>
        </w:tc>
        <w:tc>
          <w:tcPr>
            <w:tcW w:w="900" w:type="dxa"/>
            <w:vMerge/>
          </w:tcPr>
          <w:p w:rsidR="00F86C9F" w:rsidRPr="00FA270C" w:rsidRDefault="00F86C9F">
            <w:pPr>
              <w:keepNext/>
              <w:spacing w:after="0" w:line="240" w:lineRule="auto"/>
              <w:jc w:val="center"/>
              <w:rPr>
                <w:rFonts w:ascii="Arial Narrow" w:hAnsi="Arial Narrow"/>
                <w:sz w:val="18"/>
              </w:rPr>
            </w:pPr>
          </w:p>
        </w:tc>
        <w:tc>
          <w:tcPr>
            <w:tcW w:w="898" w:type="dxa"/>
            <w:vMerge/>
          </w:tcPr>
          <w:p w:rsidR="00F86C9F" w:rsidRPr="00FA270C" w:rsidRDefault="00F86C9F">
            <w:pPr>
              <w:keepNext/>
              <w:spacing w:after="0" w:line="240" w:lineRule="auto"/>
              <w:jc w:val="center"/>
              <w:rPr>
                <w:rFonts w:ascii="Arial Narrow" w:hAnsi="Arial Narrow"/>
                <w:sz w:val="18"/>
              </w:rPr>
            </w:pPr>
          </w:p>
        </w:tc>
        <w:tc>
          <w:tcPr>
            <w:tcW w:w="736" w:type="dxa"/>
            <w:vAlign w:val="center"/>
          </w:tcPr>
          <w:p w:rsidR="00F86C9F" w:rsidRPr="00FA270C" w:rsidRDefault="00F86C9F">
            <w:pPr>
              <w:keepNext/>
              <w:spacing w:after="0" w:line="240" w:lineRule="auto"/>
              <w:jc w:val="center"/>
              <w:rPr>
                <w:rFonts w:ascii="Arial Narrow" w:hAnsi="Arial Narrow"/>
                <w:b/>
                <w:sz w:val="18"/>
              </w:rPr>
            </w:pPr>
            <w:r w:rsidRPr="00FA270C">
              <w:rPr>
                <w:rFonts w:ascii="Arial Narrow" w:hAnsi="Arial Narrow"/>
                <w:b/>
                <w:sz w:val="18"/>
              </w:rPr>
              <w:t>MBS</w:t>
            </w:r>
          </w:p>
        </w:tc>
        <w:tc>
          <w:tcPr>
            <w:tcW w:w="737" w:type="dxa"/>
            <w:vAlign w:val="center"/>
          </w:tcPr>
          <w:p w:rsidR="00F86C9F" w:rsidRPr="00FA270C" w:rsidRDefault="00F86C9F">
            <w:pPr>
              <w:keepNext/>
              <w:spacing w:after="0" w:line="240" w:lineRule="auto"/>
              <w:jc w:val="center"/>
              <w:rPr>
                <w:rFonts w:ascii="Arial Narrow" w:hAnsi="Arial Narrow"/>
                <w:b/>
                <w:sz w:val="18"/>
              </w:rPr>
            </w:pPr>
            <w:r w:rsidRPr="00FA270C">
              <w:rPr>
                <w:rFonts w:ascii="Arial Narrow" w:hAnsi="Arial Narrow"/>
                <w:b/>
                <w:sz w:val="18"/>
              </w:rPr>
              <w:t>Safety nets*</w:t>
            </w:r>
          </w:p>
        </w:tc>
        <w:tc>
          <w:tcPr>
            <w:tcW w:w="737" w:type="dxa"/>
            <w:vAlign w:val="center"/>
          </w:tcPr>
          <w:p w:rsidR="00F86C9F" w:rsidRPr="00FA270C" w:rsidRDefault="00F86C9F">
            <w:pPr>
              <w:keepNext/>
              <w:spacing w:after="0" w:line="240" w:lineRule="auto"/>
              <w:jc w:val="center"/>
              <w:rPr>
                <w:rFonts w:ascii="Arial Narrow" w:hAnsi="Arial Narrow"/>
                <w:b/>
                <w:sz w:val="18"/>
              </w:rPr>
            </w:pPr>
            <w:r w:rsidRPr="00FA270C">
              <w:rPr>
                <w:rFonts w:ascii="Arial Narrow" w:hAnsi="Arial Narrow"/>
                <w:b/>
                <w:sz w:val="18"/>
              </w:rPr>
              <w:t>Other govt budget</w:t>
            </w:r>
          </w:p>
        </w:tc>
        <w:tc>
          <w:tcPr>
            <w:tcW w:w="737" w:type="dxa"/>
            <w:vAlign w:val="center"/>
          </w:tcPr>
          <w:p w:rsidR="00F86C9F" w:rsidRPr="00FA270C" w:rsidRDefault="00F86C9F">
            <w:pPr>
              <w:keepNext/>
              <w:spacing w:after="0" w:line="240" w:lineRule="auto"/>
              <w:jc w:val="center"/>
              <w:rPr>
                <w:rFonts w:ascii="Arial Narrow" w:hAnsi="Arial Narrow"/>
                <w:b/>
                <w:sz w:val="18"/>
              </w:rPr>
            </w:pPr>
            <w:r w:rsidRPr="00FA270C">
              <w:rPr>
                <w:rFonts w:ascii="Arial Narrow" w:hAnsi="Arial Narrow"/>
                <w:b/>
                <w:sz w:val="18"/>
              </w:rPr>
              <w:t>Private health insurer</w:t>
            </w:r>
          </w:p>
        </w:tc>
        <w:tc>
          <w:tcPr>
            <w:tcW w:w="737" w:type="dxa"/>
            <w:vAlign w:val="center"/>
          </w:tcPr>
          <w:p w:rsidR="00F86C9F" w:rsidRPr="00FA270C" w:rsidRDefault="00F86C9F">
            <w:pPr>
              <w:keepNext/>
              <w:spacing w:after="0" w:line="240" w:lineRule="auto"/>
              <w:jc w:val="center"/>
              <w:rPr>
                <w:rFonts w:ascii="Arial Narrow" w:hAnsi="Arial Narrow"/>
                <w:b/>
                <w:sz w:val="18"/>
              </w:rPr>
            </w:pPr>
            <w:r w:rsidRPr="00FA270C">
              <w:rPr>
                <w:rFonts w:ascii="Arial Narrow" w:hAnsi="Arial Narrow"/>
                <w:b/>
                <w:sz w:val="18"/>
              </w:rPr>
              <w:t>Patient</w:t>
            </w:r>
          </w:p>
        </w:tc>
        <w:tc>
          <w:tcPr>
            <w:tcW w:w="737" w:type="dxa"/>
            <w:vAlign w:val="center"/>
          </w:tcPr>
          <w:p w:rsidR="00F86C9F" w:rsidRPr="00FA270C" w:rsidRDefault="00F86C9F">
            <w:pPr>
              <w:keepNext/>
              <w:spacing w:after="0" w:line="240" w:lineRule="auto"/>
              <w:jc w:val="center"/>
              <w:rPr>
                <w:rFonts w:ascii="Arial Narrow" w:hAnsi="Arial Narrow"/>
                <w:b/>
                <w:sz w:val="18"/>
              </w:rPr>
            </w:pPr>
            <w:r w:rsidRPr="00FA270C">
              <w:rPr>
                <w:rFonts w:ascii="Arial Narrow" w:hAnsi="Arial Narrow"/>
                <w:b/>
                <w:sz w:val="18"/>
              </w:rPr>
              <w:t>Total cost</w:t>
            </w:r>
          </w:p>
        </w:tc>
      </w:tr>
      <w:tr w:rsidR="00F86C9F" w:rsidRPr="00FA270C">
        <w:tc>
          <w:tcPr>
            <w:tcW w:w="9747" w:type="dxa"/>
            <w:gridSpan w:val="11"/>
            <w:vAlign w:val="center"/>
          </w:tcPr>
          <w:p w:rsidR="00F86C9F" w:rsidRPr="00FA270C" w:rsidRDefault="00F86C9F">
            <w:pPr>
              <w:spacing w:after="0" w:line="240" w:lineRule="auto"/>
              <w:jc w:val="left"/>
              <w:rPr>
                <w:rFonts w:ascii="Arial Narrow" w:hAnsi="Arial Narrow"/>
                <w:sz w:val="18"/>
                <w:u w:val="single"/>
              </w:rPr>
            </w:pPr>
            <w:r w:rsidRPr="00FA270C">
              <w:rPr>
                <w:rFonts w:ascii="Arial Narrow" w:hAnsi="Arial Narrow"/>
                <w:sz w:val="18"/>
                <w:u w:val="single"/>
              </w:rPr>
              <w:t xml:space="preserve">Resources provided to identify eligible population </w:t>
            </w: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Confirmation of age and risk factor status</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GP</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public</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TBA</w:t>
            </w: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9747" w:type="dxa"/>
            <w:gridSpan w:val="11"/>
            <w:vAlign w:val="center"/>
          </w:tcPr>
          <w:p w:rsidR="00F86C9F" w:rsidRPr="00FA270C" w:rsidRDefault="00F86C9F">
            <w:pPr>
              <w:spacing w:after="0" w:line="240" w:lineRule="auto"/>
              <w:jc w:val="left"/>
              <w:rPr>
                <w:rFonts w:ascii="Arial Narrow" w:hAnsi="Arial Narrow"/>
                <w:sz w:val="18"/>
                <w:u w:val="single"/>
              </w:rPr>
            </w:pPr>
            <w:r w:rsidRPr="00FA270C">
              <w:rPr>
                <w:rFonts w:ascii="Arial Narrow" w:hAnsi="Arial Narrow"/>
                <w:sz w:val="18"/>
                <w:u w:val="single"/>
              </w:rPr>
              <w:t>Resources provided to deliver comparator 1</w:t>
            </w: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 xml:space="preserve">Education and healthy lifestyle promotion </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Government</w:t>
            </w:r>
          </w:p>
          <w:p w:rsidR="00F86C9F" w:rsidRPr="00FA270C" w:rsidRDefault="00F86C9F">
            <w:pPr>
              <w:spacing w:after="0" w:line="240" w:lineRule="auto"/>
              <w:jc w:val="center"/>
              <w:rPr>
                <w:rFonts w:ascii="Arial Narrow" w:hAnsi="Arial Narrow"/>
                <w:sz w:val="18"/>
              </w:rPr>
            </w:pPr>
            <w:r w:rsidRPr="00FA270C">
              <w:rPr>
                <w:rFonts w:ascii="Arial Narrow" w:hAnsi="Arial Narrow"/>
                <w:sz w:val="18"/>
              </w:rPr>
              <w:t>Osteoporosis Australia</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public</w:t>
            </w:r>
          </w:p>
        </w:tc>
        <w:tc>
          <w:tcPr>
            <w:tcW w:w="900" w:type="dxa"/>
          </w:tcPr>
          <w:p w:rsidR="00F86C9F" w:rsidRPr="00FA270C" w:rsidRDefault="00F86C9F" w:rsidP="000A2B2E">
            <w:pPr>
              <w:spacing w:after="0" w:line="240" w:lineRule="auto"/>
              <w:jc w:val="center"/>
              <w:rPr>
                <w:rFonts w:ascii="Arial Narrow" w:hAnsi="Arial Narrow"/>
                <w:sz w:val="18"/>
              </w:rPr>
            </w:pPr>
            <w:r w:rsidRPr="00FA270C">
              <w:rPr>
                <w:rFonts w:ascii="Arial Narrow" w:hAnsi="Arial Narrow"/>
                <w:sz w:val="18"/>
              </w:rPr>
              <w:t>TBA</w:t>
            </w:r>
          </w:p>
        </w:tc>
        <w:tc>
          <w:tcPr>
            <w:tcW w:w="898"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Unknown</w:t>
            </w:r>
          </w:p>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Vitamin D test</w:t>
            </w: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Fee $33.20</w:t>
            </w: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Dietary supplements</w:t>
            </w: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TBA</w:t>
            </w: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Patient cost</w:t>
            </w: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9747" w:type="dxa"/>
            <w:gridSpan w:val="11"/>
            <w:vAlign w:val="center"/>
          </w:tcPr>
          <w:p w:rsidR="00F86C9F" w:rsidRPr="00FA270C" w:rsidRDefault="00F86C9F">
            <w:pPr>
              <w:spacing w:after="0" w:line="240" w:lineRule="auto"/>
              <w:jc w:val="left"/>
              <w:rPr>
                <w:rFonts w:ascii="Arial Narrow" w:hAnsi="Arial Narrow"/>
                <w:sz w:val="18"/>
                <w:u w:val="single"/>
              </w:rPr>
            </w:pPr>
            <w:r w:rsidRPr="00FA270C">
              <w:rPr>
                <w:rFonts w:ascii="Arial Narrow" w:hAnsi="Arial Narrow"/>
                <w:sz w:val="18"/>
                <w:u w:val="single"/>
              </w:rPr>
              <w:t>Resources provided in a</w:t>
            </w:r>
            <w:r w:rsidR="0025521C">
              <w:rPr>
                <w:rFonts w:ascii="Arial Narrow" w:hAnsi="Arial Narrow"/>
                <w:sz w:val="18"/>
                <w:u w:val="single"/>
              </w:rPr>
              <w:t>ssociation with comparator 1 (eg</w:t>
            </w:r>
            <w:r w:rsidRPr="00FA270C">
              <w:rPr>
                <w:rFonts w:ascii="Arial Narrow" w:hAnsi="Arial Narrow"/>
                <w:sz w:val="18"/>
                <w:u w:val="single"/>
              </w:rPr>
              <w:t>, pre-treatments, co-administered interventions, resources used to monitor or in follow-up, resources used in management of adverse events, resources used for treatment of down-stream conditions)</w:t>
            </w: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Costs associated with a fracture</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Public or private hospital</w:t>
            </w: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Costs associated with recovery from a fracture</w:t>
            </w: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Patient cost</w:t>
            </w: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9747" w:type="dxa"/>
            <w:gridSpan w:val="11"/>
            <w:vAlign w:val="center"/>
          </w:tcPr>
          <w:p w:rsidR="00F86C9F" w:rsidRPr="00FA270C" w:rsidRDefault="00F86C9F">
            <w:pPr>
              <w:spacing w:after="0" w:line="240" w:lineRule="auto"/>
              <w:jc w:val="left"/>
              <w:rPr>
                <w:rFonts w:ascii="Arial Narrow" w:hAnsi="Arial Narrow"/>
                <w:sz w:val="18"/>
                <w:u w:val="single"/>
              </w:rPr>
            </w:pPr>
            <w:r w:rsidRPr="00FA270C">
              <w:rPr>
                <w:rFonts w:ascii="Arial Narrow" w:hAnsi="Arial Narrow"/>
                <w:sz w:val="18"/>
                <w:u w:val="single"/>
              </w:rPr>
              <w:t>Resources provided to deliver proposed intervention</w:t>
            </w: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 xml:space="preserve">Dual-Energy X-ray absorptiometry device </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Technician</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Mainly private, but there may be some public</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TBA</w:t>
            </w:r>
          </w:p>
        </w:tc>
        <w:tc>
          <w:tcPr>
            <w:tcW w:w="898" w:type="dxa"/>
          </w:tcPr>
          <w:p w:rsidR="00F86C9F" w:rsidRPr="00FA270C" w:rsidRDefault="00F86C9F" w:rsidP="008E7E82">
            <w:pPr>
              <w:spacing w:after="0" w:line="240" w:lineRule="auto"/>
              <w:jc w:val="center"/>
              <w:rPr>
                <w:rFonts w:ascii="Arial Narrow" w:hAnsi="Arial Narrow"/>
                <w:sz w:val="18"/>
              </w:rPr>
            </w:pPr>
            <w:r w:rsidRPr="00FA270C">
              <w:rPr>
                <w:rFonts w:ascii="Arial Narrow" w:hAnsi="Arial Narrow"/>
                <w:sz w:val="18"/>
              </w:rPr>
              <w:t xml:space="preserve">1 per patient </w:t>
            </w:r>
          </w:p>
        </w:tc>
        <w:tc>
          <w:tcPr>
            <w:tcW w:w="736"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MBS</w:t>
            </w: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GP visit for referral to DXA</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GP</w:t>
            </w: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MBS</w:t>
            </w: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GP visit to discuss results and to provide advice</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GP</w:t>
            </w: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MBS</w:t>
            </w: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9747" w:type="dxa"/>
            <w:gridSpan w:val="11"/>
            <w:vAlign w:val="center"/>
          </w:tcPr>
          <w:p w:rsidR="00F86C9F" w:rsidRPr="00FA270C" w:rsidRDefault="00F86C9F">
            <w:pPr>
              <w:spacing w:after="0" w:line="240" w:lineRule="auto"/>
              <w:jc w:val="left"/>
              <w:rPr>
                <w:rFonts w:ascii="Arial Narrow" w:hAnsi="Arial Narrow"/>
                <w:sz w:val="18"/>
                <w:u w:val="single"/>
              </w:rPr>
            </w:pPr>
            <w:r w:rsidRPr="00FA270C">
              <w:rPr>
                <w:rFonts w:ascii="Arial Narrow" w:hAnsi="Arial Narrow"/>
                <w:sz w:val="18"/>
                <w:u w:val="single"/>
              </w:rPr>
              <w:t>Resources provided in association with proposed intervention</w:t>
            </w: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Dietary supplements</w:t>
            </w: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Patient cost</w:t>
            </w: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Vitamin D test</w:t>
            </w: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TBA</w:t>
            </w: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Fee $33.20</w:t>
            </w: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Treatment</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Pharmacy</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Private</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Unknown</w:t>
            </w:r>
          </w:p>
        </w:tc>
        <w:tc>
          <w:tcPr>
            <w:tcW w:w="898"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Variable**</w:t>
            </w:r>
          </w:p>
        </w:tc>
        <w:tc>
          <w:tcPr>
            <w:tcW w:w="736"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 xml:space="preserve">$37.38 to $589.17 </w:t>
            </w:r>
          </w:p>
        </w:tc>
        <w:tc>
          <w:tcPr>
            <w:tcW w:w="737"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$5.60 to $34.20</w:t>
            </w: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t>Costs associated with a fracture</w:t>
            </w:r>
          </w:p>
        </w:tc>
        <w:tc>
          <w:tcPr>
            <w:tcW w:w="900"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Public or private hospital</w:t>
            </w: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r>
      <w:tr w:rsidR="00F86C9F" w:rsidRPr="00FA270C">
        <w:tc>
          <w:tcPr>
            <w:tcW w:w="1728" w:type="dxa"/>
          </w:tcPr>
          <w:p w:rsidR="00F86C9F" w:rsidRPr="00FA270C" w:rsidRDefault="00F86C9F" w:rsidP="00DA7624">
            <w:pPr>
              <w:pStyle w:val="ListParagraph"/>
              <w:numPr>
                <w:ilvl w:val="2"/>
                <w:numId w:val="5"/>
              </w:numPr>
              <w:spacing w:after="0" w:line="240" w:lineRule="auto"/>
              <w:ind w:left="360" w:hanging="218"/>
              <w:jc w:val="left"/>
              <w:rPr>
                <w:rFonts w:ascii="Arial Narrow" w:hAnsi="Arial Narrow"/>
                <w:sz w:val="18"/>
              </w:rPr>
            </w:pPr>
            <w:r w:rsidRPr="00FA270C">
              <w:rPr>
                <w:rFonts w:ascii="Arial Narrow" w:hAnsi="Arial Narrow"/>
                <w:sz w:val="18"/>
              </w:rPr>
              <w:lastRenderedPageBreak/>
              <w:t>Costs associated with recovery from a fracture</w:t>
            </w: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900" w:type="dxa"/>
          </w:tcPr>
          <w:p w:rsidR="00F86C9F" w:rsidRPr="00FA270C" w:rsidRDefault="00F86C9F">
            <w:pPr>
              <w:spacing w:after="0" w:line="240" w:lineRule="auto"/>
              <w:jc w:val="center"/>
              <w:rPr>
                <w:rFonts w:ascii="Arial Narrow" w:hAnsi="Arial Narrow"/>
                <w:sz w:val="18"/>
              </w:rPr>
            </w:pPr>
          </w:p>
        </w:tc>
        <w:tc>
          <w:tcPr>
            <w:tcW w:w="898" w:type="dxa"/>
          </w:tcPr>
          <w:p w:rsidR="00F86C9F" w:rsidRPr="00FA270C" w:rsidRDefault="00F86C9F">
            <w:pPr>
              <w:spacing w:after="0" w:line="240" w:lineRule="auto"/>
              <w:jc w:val="center"/>
              <w:rPr>
                <w:rFonts w:ascii="Arial Narrow" w:hAnsi="Arial Narrow"/>
                <w:sz w:val="18"/>
              </w:rPr>
            </w:pPr>
          </w:p>
        </w:tc>
        <w:tc>
          <w:tcPr>
            <w:tcW w:w="736"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p>
        </w:tc>
        <w:tc>
          <w:tcPr>
            <w:tcW w:w="737" w:type="dxa"/>
          </w:tcPr>
          <w:p w:rsidR="00F86C9F" w:rsidRPr="00FA270C" w:rsidRDefault="00F86C9F">
            <w:pPr>
              <w:spacing w:after="0" w:line="240" w:lineRule="auto"/>
              <w:jc w:val="center"/>
              <w:rPr>
                <w:rFonts w:ascii="Arial Narrow" w:hAnsi="Arial Narrow"/>
                <w:sz w:val="18"/>
              </w:rPr>
            </w:pPr>
            <w:r w:rsidRPr="00FA270C">
              <w:rPr>
                <w:rFonts w:ascii="Arial Narrow" w:hAnsi="Arial Narrow"/>
                <w:sz w:val="18"/>
              </w:rPr>
              <w:t>Patient cost</w:t>
            </w:r>
          </w:p>
        </w:tc>
        <w:tc>
          <w:tcPr>
            <w:tcW w:w="737" w:type="dxa"/>
          </w:tcPr>
          <w:p w:rsidR="00F86C9F" w:rsidRPr="00FA270C" w:rsidRDefault="00F86C9F">
            <w:pPr>
              <w:spacing w:after="0" w:line="240" w:lineRule="auto"/>
              <w:jc w:val="center"/>
              <w:rPr>
                <w:rFonts w:ascii="Arial Narrow" w:hAnsi="Arial Narrow"/>
                <w:sz w:val="18"/>
              </w:rPr>
            </w:pPr>
          </w:p>
        </w:tc>
      </w:tr>
    </w:tbl>
    <w:p w:rsidR="00F86C9F" w:rsidRPr="00FA270C" w:rsidRDefault="00F86C9F">
      <w:pPr>
        <w:rPr>
          <w:rFonts w:ascii="Arial Narrow" w:hAnsi="Arial Narrow"/>
          <w:sz w:val="18"/>
          <w:szCs w:val="18"/>
        </w:rPr>
      </w:pPr>
      <w:r w:rsidRPr="00FA270C">
        <w:rPr>
          <w:rFonts w:ascii="Arial Narrow" w:hAnsi="Arial Narrow"/>
          <w:sz w:val="18"/>
          <w:szCs w:val="18"/>
        </w:rPr>
        <w:t>*eligible patients will be referred to have a DXA scan performed through their GP or other health professional in each case</w:t>
      </w:r>
      <w:r w:rsidRPr="00FA270C">
        <w:rPr>
          <w:rFonts w:ascii="Arial Narrow" w:hAnsi="Arial Narrow"/>
          <w:sz w:val="18"/>
          <w:szCs w:val="18"/>
        </w:rPr>
        <w:br/>
        <w:t>**although the duration of treatment per prescription varies, prescriptions usually contain sufficient medicine to treat the patient for 28 days.</w:t>
      </w:r>
    </w:p>
    <w:p w:rsidR="00F86C9F" w:rsidRPr="00FA270C" w:rsidRDefault="00F86C9F"/>
    <w:p w:rsidR="00F86C9F" w:rsidRDefault="00F86C9F">
      <w:pPr>
        <w:spacing w:after="0" w:line="240" w:lineRule="auto"/>
        <w:jc w:val="left"/>
        <w:rPr>
          <w:rFonts w:cs="Times New Roman"/>
          <w:b/>
          <w:bCs/>
          <w:color w:val="215868"/>
          <w:sz w:val="32"/>
          <w:szCs w:val="32"/>
        </w:rPr>
      </w:pPr>
      <w:r>
        <w:br w:type="page"/>
      </w:r>
    </w:p>
    <w:p w:rsidR="00F86C9F" w:rsidRPr="00FA270C" w:rsidRDefault="00F86C9F">
      <w:pPr>
        <w:pStyle w:val="Heading1"/>
        <w:rPr>
          <w:lang w:val="en-AU"/>
        </w:rPr>
      </w:pPr>
      <w:bookmarkStart w:id="66" w:name="_Toc361145574"/>
      <w:bookmarkStart w:id="67" w:name="_Toc362968603"/>
      <w:r w:rsidRPr="00FA270C">
        <w:rPr>
          <w:lang w:val="en-AU"/>
        </w:rPr>
        <w:lastRenderedPageBreak/>
        <w:t>Proposed structure of economic evaluation (decision-analytic)</w:t>
      </w:r>
      <w:bookmarkEnd w:id="66"/>
      <w:bookmarkEnd w:id="67"/>
    </w:p>
    <w:p w:rsidR="00F86C9F" w:rsidRPr="00FA270C" w:rsidRDefault="00F86C9F" w:rsidP="00067C6E">
      <w:pPr>
        <w:pStyle w:val="Caption"/>
        <w:rPr>
          <w:b w:val="0"/>
          <w:lang w:val="en-AU"/>
        </w:rPr>
      </w:pPr>
      <w:r w:rsidRPr="00FA270C">
        <w:rPr>
          <w:lang w:val="en-AU"/>
        </w:rPr>
        <w:t xml:space="preserve">Table </w:t>
      </w:r>
      <w:r w:rsidRPr="00FA270C">
        <w:rPr>
          <w:lang w:val="en-AU"/>
        </w:rPr>
        <w:fldChar w:fldCharType="begin"/>
      </w:r>
      <w:r w:rsidRPr="00FA270C">
        <w:rPr>
          <w:lang w:val="en-AU"/>
        </w:rPr>
        <w:instrText xml:space="preserve"> SEQ Table \* ARABIC </w:instrText>
      </w:r>
      <w:r w:rsidRPr="00FA270C">
        <w:rPr>
          <w:lang w:val="en-AU"/>
        </w:rPr>
        <w:fldChar w:fldCharType="separate"/>
      </w:r>
      <w:r w:rsidR="00255656">
        <w:rPr>
          <w:noProof/>
          <w:lang w:val="en-AU"/>
        </w:rPr>
        <w:t>9</w:t>
      </w:r>
      <w:r w:rsidRPr="00FA270C">
        <w:rPr>
          <w:lang w:val="en-AU"/>
        </w:rPr>
        <w:fldChar w:fldCharType="end"/>
      </w:r>
      <w:r w:rsidRPr="00FA270C">
        <w:rPr>
          <w:b w:val="0"/>
          <w:lang w:val="en-AU"/>
        </w:rPr>
        <w:tab/>
      </w:r>
      <w:r w:rsidRPr="00FA270C">
        <w:rPr>
          <w:b w:val="0"/>
          <w:lang w:val="en-AU"/>
        </w:rPr>
        <w:tab/>
      </w:r>
      <w:r w:rsidRPr="00FA270C">
        <w:rPr>
          <w:b w:val="0"/>
          <w:lang w:val="en-AU"/>
        </w:rPr>
        <w:tab/>
        <w:t>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F86C9F" w:rsidRPr="00FA270C" w:rsidTr="00956396">
        <w:tc>
          <w:tcPr>
            <w:tcW w:w="1807" w:type="dxa"/>
            <w:tcBorders>
              <w:top w:val="single" w:sz="4" w:space="0" w:color="auto"/>
              <w:left w:val="nil"/>
              <w:bottom w:val="single" w:sz="4" w:space="0" w:color="auto"/>
              <w:right w:val="nil"/>
            </w:tcBorders>
          </w:tcPr>
          <w:p w:rsidR="00F86C9F" w:rsidRPr="00FA270C" w:rsidRDefault="00F86C9F">
            <w:pPr>
              <w:spacing w:after="0" w:line="240" w:lineRule="auto"/>
              <w:jc w:val="center"/>
              <w:rPr>
                <w:rFonts w:ascii="Arial Narrow" w:hAnsi="Arial Narrow"/>
                <w:b/>
                <w:sz w:val="18"/>
              </w:rPr>
            </w:pPr>
            <w:r w:rsidRPr="00FA270C">
              <w:rPr>
                <w:rFonts w:ascii="Arial Narrow" w:hAnsi="Arial Narrow"/>
                <w:b/>
                <w:sz w:val="18"/>
              </w:rPr>
              <w:t>Patients</w:t>
            </w:r>
          </w:p>
        </w:tc>
        <w:tc>
          <w:tcPr>
            <w:tcW w:w="1808" w:type="dxa"/>
            <w:tcBorders>
              <w:top w:val="single" w:sz="4" w:space="0" w:color="auto"/>
              <w:left w:val="nil"/>
              <w:bottom w:val="single" w:sz="4" w:space="0" w:color="auto"/>
              <w:right w:val="nil"/>
            </w:tcBorders>
          </w:tcPr>
          <w:p w:rsidR="00F86C9F" w:rsidRPr="00FA270C" w:rsidRDefault="00F86C9F">
            <w:pPr>
              <w:spacing w:after="0" w:line="240" w:lineRule="auto"/>
              <w:jc w:val="center"/>
              <w:rPr>
                <w:rFonts w:ascii="Arial Narrow" w:hAnsi="Arial Narrow"/>
                <w:b/>
                <w:sz w:val="18"/>
              </w:rPr>
            </w:pPr>
            <w:r w:rsidRPr="00FA270C">
              <w:rPr>
                <w:rFonts w:ascii="Arial Narrow" w:hAnsi="Arial Narrow"/>
                <w:b/>
                <w:sz w:val="18"/>
              </w:rPr>
              <w:t>Intervention</w:t>
            </w:r>
          </w:p>
        </w:tc>
        <w:tc>
          <w:tcPr>
            <w:tcW w:w="1808" w:type="dxa"/>
            <w:tcBorders>
              <w:top w:val="single" w:sz="4" w:space="0" w:color="auto"/>
              <w:left w:val="nil"/>
              <w:bottom w:val="single" w:sz="4" w:space="0" w:color="auto"/>
              <w:right w:val="nil"/>
            </w:tcBorders>
          </w:tcPr>
          <w:p w:rsidR="00F86C9F" w:rsidRPr="00FA270C" w:rsidRDefault="00F86C9F">
            <w:pPr>
              <w:spacing w:after="0" w:line="240" w:lineRule="auto"/>
              <w:jc w:val="center"/>
              <w:rPr>
                <w:rFonts w:ascii="Arial Narrow" w:hAnsi="Arial Narrow"/>
                <w:b/>
                <w:sz w:val="18"/>
              </w:rPr>
            </w:pPr>
            <w:r w:rsidRPr="00FA270C">
              <w:rPr>
                <w:rFonts w:ascii="Arial Narrow" w:hAnsi="Arial Narrow"/>
                <w:b/>
                <w:sz w:val="18"/>
              </w:rPr>
              <w:t>Comparator</w:t>
            </w:r>
          </w:p>
        </w:tc>
        <w:tc>
          <w:tcPr>
            <w:tcW w:w="1808" w:type="dxa"/>
            <w:tcBorders>
              <w:top w:val="single" w:sz="4" w:space="0" w:color="auto"/>
              <w:left w:val="nil"/>
              <w:bottom w:val="single" w:sz="4" w:space="0" w:color="auto"/>
              <w:right w:val="nil"/>
            </w:tcBorders>
          </w:tcPr>
          <w:p w:rsidR="00F86C9F" w:rsidRPr="00FA270C" w:rsidRDefault="00F86C9F">
            <w:pPr>
              <w:spacing w:after="0" w:line="240" w:lineRule="auto"/>
              <w:jc w:val="center"/>
              <w:rPr>
                <w:rFonts w:ascii="Arial Narrow" w:hAnsi="Arial Narrow"/>
                <w:b/>
                <w:sz w:val="18"/>
              </w:rPr>
            </w:pPr>
            <w:r w:rsidRPr="00FA270C">
              <w:rPr>
                <w:rFonts w:ascii="Arial Narrow" w:hAnsi="Arial Narrow"/>
                <w:b/>
                <w:sz w:val="18"/>
              </w:rPr>
              <w:t>Outcomes to be assessed</w:t>
            </w:r>
          </w:p>
        </w:tc>
        <w:tc>
          <w:tcPr>
            <w:tcW w:w="1808" w:type="dxa"/>
            <w:tcBorders>
              <w:top w:val="single" w:sz="4" w:space="0" w:color="auto"/>
              <w:left w:val="nil"/>
              <w:bottom w:val="single" w:sz="4" w:space="0" w:color="auto"/>
              <w:right w:val="nil"/>
            </w:tcBorders>
          </w:tcPr>
          <w:p w:rsidR="00F86C9F" w:rsidRPr="00FA270C" w:rsidRDefault="00F86C9F">
            <w:pPr>
              <w:spacing w:after="0" w:line="240" w:lineRule="auto"/>
              <w:jc w:val="center"/>
              <w:rPr>
                <w:rFonts w:ascii="Arial Narrow" w:hAnsi="Arial Narrow"/>
                <w:b/>
                <w:sz w:val="18"/>
              </w:rPr>
            </w:pPr>
            <w:r w:rsidRPr="00FA270C">
              <w:rPr>
                <w:rFonts w:ascii="Arial Narrow" w:hAnsi="Arial Narrow"/>
                <w:b/>
                <w:sz w:val="18"/>
              </w:rPr>
              <w:t>Healthcare resources to be considered</w:t>
            </w:r>
          </w:p>
        </w:tc>
      </w:tr>
      <w:tr w:rsidR="00F86C9F" w:rsidRPr="00FA270C" w:rsidTr="00956396">
        <w:trPr>
          <w:trHeight w:val="3296"/>
        </w:trPr>
        <w:tc>
          <w:tcPr>
            <w:tcW w:w="1807" w:type="dxa"/>
            <w:tcBorders>
              <w:top w:val="single" w:sz="4" w:space="0" w:color="auto"/>
              <w:left w:val="nil"/>
              <w:bottom w:val="single" w:sz="4" w:space="0" w:color="auto"/>
              <w:right w:val="nil"/>
            </w:tcBorders>
          </w:tcPr>
          <w:p w:rsidR="00F86C9F" w:rsidRPr="00FA270C" w:rsidRDefault="00F86C9F" w:rsidP="00764635">
            <w:pPr>
              <w:spacing w:after="0" w:line="240" w:lineRule="auto"/>
              <w:jc w:val="left"/>
              <w:rPr>
                <w:rFonts w:ascii="Arial Narrow" w:hAnsi="Arial Narrow"/>
                <w:sz w:val="18"/>
              </w:rPr>
            </w:pPr>
            <w:r w:rsidRPr="00FA270C">
              <w:rPr>
                <w:rFonts w:ascii="Arial Narrow" w:hAnsi="Arial Narrow"/>
                <w:sz w:val="18"/>
              </w:rPr>
              <w:t>Men and women age 50-69 with risk factors for osteoporosis (risk factors undefined).</w:t>
            </w:r>
          </w:p>
          <w:p w:rsidR="00F86C9F" w:rsidRPr="00FA270C" w:rsidRDefault="00F86C9F" w:rsidP="00764635">
            <w:pPr>
              <w:spacing w:after="0" w:line="240" w:lineRule="auto"/>
              <w:jc w:val="left"/>
              <w:rPr>
                <w:rFonts w:ascii="Arial Narrow" w:hAnsi="Arial Narrow"/>
                <w:sz w:val="18"/>
              </w:rPr>
            </w:pPr>
          </w:p>
          <w:p w:rsidR="00F86C9F" w:rsidRPr="00FA270C" w:rsidRDefault="00F86C9F" w:rsidP="00764635">
            <w:pPr>
              <w:spacing w:after="0" w:line="240" w:lineRule="auto"/>
              <w:jc w:val="left"/>
              <w:rPr>
                <w:rFonts w:ascii="Arial Narrow" w:hAnsi="Arial Narrow"/>
                <w:sz w:val="18"/>
              </w:rPr>
            </w:pPr>
            <w:r w:rsidRPr="00FA270C">
              <w:rPr>
                <w:rFonts w:ascii="Arial Narrow" w:hAnsi="Arial Narrow"/>
                <w:sz w:val="18"/>
              </w:rPr>
              <w:t>Subgroups of interest:</w:t>
            </w:r>
          </w:p>
          <w:p w:rsidR="00F86C9F" w:rsidRPr="006A45F1" w:rsidRDefault="00F86C9F" w:rsidP="006A45F1">
            <w:pPr>
              <w:pStyle w:val="ListParagraph"/>
              <w:numPr>
                <w:ilvl w:val="0"/>
                <w:numId w:val="80"/>
              </w:numPr>
              <w:spacing w:after="0" w:line="240" w:lineRule="auto"/>
              <w:ind w:left="113" w:hanging="113"/>
              <w:jc w:val="left"/>
              <w:rPr>
                <w:rFonts w:ascii="Arial Narrow" w:hAnsi="Arial Narrow"/>
                <w:sz w:val="18"/>
              </w:rPr>
            </w:pPr>
            <w:r w:rsidRPr="006A45F1">
              <w:rPr>
                <w:rFonts w:ascii="Arial Narrow" w:hAnsi="Arial Narrow"/>
                <w:sz w:val="18"/>
              </w:rPr>
              <w:t>Data for each risk factor should be reported separately</w:t>
            </w:r>
          </w:p>
          <w:p w:rsidR="00F86C9F" w:rsidRPr="006A45F1" w:rsidRDefault="00F86C9F" w:rsidP="006A45F1">
            <w:pPr>
              <w:pStyle w:val="ListParagraph"/>
              <w:numPr>
                <w:ilvl w:val="0"/>
                <w:numId w:val="80"/>
              </w:numPr>
              <w:spacing w:after="0" w:line="240" w:lineRule="auto"/>
              <w:ind w:left="113" w:hanging="113"/>
              <w:jc w:val="left"/>
              <w:rPr>
                <w:rFonts w:ascii="Arial Narrow" w:hAnsi="Arial Narrow"/>
                <w:sz w:val="18"/>
              </w:rPr>
            </w:pPr>
            <w:r w:rsidRPr="006A45F1">
              <w:rPr>
                <w:rFonts w:ascii="Arial Narrow" w:hAnsi="Arial Narrow"/>
                <w:sz w:val="18"/>
              </w:rPr>
              <w:t>Data corresponding to any other prognostic factor for low mineral density (such as age or gender) should be reported separately.</w:t>
            </w:r>
          </w:p>
          <w:p w:rsidR="00F86C9F" w:rsidRPr="00FA270C" w:rsidRDefault="00F86C9F" w:rsidP="00764635">
            <w:pPr>
              <w:spacing w:after="0" w:line="240" w:lineRule="auto"/>
              <w:jc w:val="left"/>
              <w:rPr>
                <w:rFonts w:ascii="Arial Narrow" w:hAnsi="Arial Narrow"/>
                <w:sz w:val="18"/>
              </w:rPr>
            </w:pPr>
            <w:r w:rsidRPr="00FA270C">
              <w:rPr>
                <w:rFonts w:ascii="Arial Narrow" w:hAnsi="Arial Narrow"/>
                <w:sz w:val="18"/>
              </w:rPr>
              <w:t>Follow-up options:</w:t>
            </w:r>
          </w:p>
          <w:p w:rsidR="00F86C9F" w:rsidRPr="006A45F1" w:rsidRDefault="00F86C9F" w:rsidP="006A45F1">
            <w:pPr>
              <w:pStyle w:val="ListParagraph"/>
              <w:numPr>
                <w:ilvl w:val="0"/>
                <w:numId w:val="81"/>
              </w:numPr>
              <w:spacing w:after="0" w:line="240" w:lineRule="auto"/>
              <w:ind w:left="113" w:hanging="113"/>
              <w:jc w:val="left"/>
              <w:rPr>
                <w:rFonts w:ascii="Arial Narrow" w:hAnsi="Arial Narrow"/>
                <w:sz w:val="18"/>
              </w:rPr>
            </w:pPr>
            <w:r w:rsidRPr="006A45F1">
              <w:rPr>
                <w:rFonts w:ascii="Arial Narrow" w:hAnsi="Arial Narrow"/>
                <w:sz w:val="18"/>
              </w:rPr>
              <w:t>T-score ≥-1.0, no re-test required.</w:t>
            </w:r>
          </w:p>
          <w:p w:rsidR="00F86C9F" w:rsidRPr="006A45F1" w:rsidRDefault="00E445A5" w:rsidP="006A45F1">
            <w:pPr>
              <w:pStyle w:val="ListParagraph"/>
              <w:numPr>
                <w:ilvl w:val="0"/>
                <w:numId w:val="81"/>
              </w:numPr>
              <w:spacing w:after="0" w:line="240" w:lineRule="auto"/>
              <w:ind w:left="113" w:hanging="113"/>
              <w:jc w:val="left"/>
              <w:rPr>
                <w:rFonts w:ascii="Arial Narrow" w:hAnsi="Arial Narrow"/>
                <w:sz w:val="18"/>
              </w:rPr>
            </w:pPr>
            <w:r w:rsidRPr="006A45F1">
              <w:rPr>
                <w:rFonts w:ascii="Arial Narrow" w:hAnsi="Arial Narrow"/>
                <w:sz w:val="18"/>
              </w:rPr>
              <w:t>-1.0&gt; T-score &gt;</w:t>
            </w:r>
            <w:r w:rsidR="007C3FDA" w:rsidRPr="006A45F1">
              <w:rPr>
                <w:rFonts w:ascii="Arial Narrow" w:hAnsi="Arial Narrow"/>
                <w:sz w:val="18"/>
              </w:rPr>
              <w:t>-2.5</w:t>
            </w:r>
            <w:r w:rsidR="00F86C9F" w:rsidRPr="006A45F1">
              <w:rPr>
                <w:rFonts w:ascii="Arial Narrow" w:hAnsi="Arial Narrow"/>
                <w:sz w:val="18"/>
              </w:rPr>
              <w:t>, re-test every 24 months.</w:t>
            </w:r>
          </w:p>
          <w:p w:rsidR="00F86C9F" w:rsidRPr="006A45F1" w:rsidRDefault="00F86C9F" w:rsidP="006A45F1">
            <w:pPr>
              <w:pStyle w:val="ListParagraph"/>
              <w:numPr>
                <w:ilvl w:val="0"/>
                <w:numId w:val="81"/>
              </w:numPr>
              <w:spacing w:after="0" w:line="240" w:lineRule="auto"/>
              <w:ind w:left="113" w:hanging="113"/>
              <w:jc w:val="left"/>
              <w:rPr>
                <w:rFonts w:ascii="Arial Narrow" w:hAnsi="Arial Narrow"/>
                <w:sz w:val="18"/>
              </w:rPr>
            </w:pPr>
            <w:r w:rsidRPr="006A45F1">
              <w:rPr>
                <w:rFonts w:ascii="Arial Narrow" w:hAnsi="Arial Narrow"/>
                <w:sz w:val="18"/>
              </w:rPr>
              <w:t>T-score</w:t>
            </w:r>
            <w:r w:rsidR="00E445A5" w:rsidRPr="006A45F1">
              <w:rPr>
                <w:rFonts w:ascii="Arial Narrow" w:hAnsi="Arial Narrow"/>
                <w:sz w:val="18"/>
              </w:rPr>
              <w:t xml:space="preserve"> </w:t>
            </w:r>
            <w:r w:rsidRPr="006A45F1">
              <w:rPr>
                <w:rFonts w:ascii="Arial Narrow" w:hAnsi="Arial Narrow"/>
                <w:sz w:val="18"/>
              </w:rPr>
              <w:t>≤-2.5, re-test every 12-24 months (repeat test available through MBS item 12306).</w:t>
            </w:r>
          </w:p>
          <w:p w:rsidR="00F86C9F" w:rsidRPr="00FA270C" w:rsidRDefault="00F86C9F" w:rsidP="008206F4">
            <w:pPr>
              <w:spacing w:after="0" w:line="240" w:lineRule="auto"/>
              <w:jc w:val="left"/>
              <w:rPr>
                <w:rFonts w:ascii="Arial Narrow" w:hAnsi="Arial Narrow"/>
                <w:sz w:val="18"/>
              </w:rPr>
            </w:pPr>
            <w:r w:rsidRPr="00FA270C">
              <w:rPr>
                <w:rFonts w:ascii="Arial Narrow" w:hAnsi="Arial Narrow"/>
                <w:sz w:val="18"/>
              </w:rPr>
              <w:t>Exclude:</w:t>
            </w:r>
          </w:p>
          <w:p w:rsidR="00F86C9F" w:rsidRPr="00FA270C" w:rsidRDefault="00F86C9F" w:rsidP="008206F4">
            <w:pPr>
              <w:spacing w:after="0" w:line="240" w:lineRule="auto"/>
              <w:jc w:val="left"/>
              <w:rPr>
                <w:rFonts w:ascii="Arial Narrow" w:hAnsi="Arial Narrow"/>
                <w:sz w:val="18"/>
              </w:rPr>
            </w:pPr>
            <w:r w:rsidRPr="00FA270C">
              <w:rPr>
                <w:rFonts w:ascii="Arial Narrow" w:hAnsi="Arial Narrow"/>
                <w:sz w:val="18"/>
              </w:rPr>
              <w:t>All women at age 70 and over, women with a previous minimal trauma fracture, all women currently eligible for MBS items for scanning for bone mineral density.</w:t>
            </w:r>
          </w:p>
          <w:p w:rsidR="00F86C9F" w:rsidRPr="00FA270C" w:rsidRDefault="00F86C9F" w:rsidP="002153C7">
            <w:pPr>
              <w:spacing w:after="0" w:line="240" w:lineRule="auto"/>
              <w:jc w:val="center"/>
              <w:rPr>
                <w:rFonts w:ascii="Arial Narrow" w:hAnsi="Arial Narrow"/>
                <w:sz w:val="18"/>
              </w:rPr>
            </w:pPr>
          </w:p>
        </w:tc>
        <w:tc>
          <w:tcPr>
            <w:tcW w:w="1808" w:type="dxa"/>
            <w:tcBorders>
              <w:top w:val="single" w:sz="4" w:space="0" w:color="auto"/>
              <w:left w:val="nil"/>
              <w:bottom w:val="single" w:sz="4" w:space="0" w:color="auto"/>
              <w:right w:val="nil"/>
            </w:tcBorders>
          </w:tcPr>
          <w:p w:rsidR="00F86C9F" w:rsidRPr="00FA270C" w:rsidRDefault="00F86C9F" w:rsidP="002E057B">
            <w:pPr>
              <w:spacing w:after="0" w:line="240" w:lineRule="auto"/>
              <w:jc w:val="left"/>
              <w:rPr>
                <w:rFonts w:ascii="Arial Narrow" w:hAnsi="Arial Narrow"/>
                <w:sz w:val="18"/>
              </w:rPr>
            </w:pPr>
            <w:r w:rsidRPr="00FA270C">
              <w:rPr>
                <w:rFonts w:ascii="Arial Narrow" w:hAnsi="Arial Narrow"/>
                <w:sz w:val="18"/>
              </w:rPr>
              <w:t>Dual energy X-ray absorptiometry (DXA) scanning and treatment at the following thresholds:</w:t>
            </w:r>
          </w:p>
          <w:p w:rsidR="00F86C9F" w:rsidRPr="006A45F1" w:rsidRDefault="00F86C9F" w:rsidP="006A45F1">
            <w:pPr>
              <w:pStyle w:val="ListParagraph"/>
              <w:numPr>
                <w:ilvl w:val="0"/>
                <w:numId w:val="82"/>
              </w:numPr>
              <w:spacing w:after="0" w:line="240" w:lineRule="auto"/>
              <w:ind w:left="113" w:hanging="113"/>
              <w:jc w:val="left"/>
              <w:rPr>
                <w:rFonts w:ascii="Arial Narrow" w:hAnsi="Arial Narrow"/>
                <w:sz w:val="18"/>
              </w:rPr>
            </w:pPr>
            <w:r w:rsidRPr="006A45F1">
              <w:rPr>
                <w:rFonts w:ascii="Arial Narrow" w:hAnsi="Arial Narrow"/>
                <w:sz w:val="18"/>
              </w:rPr>
              <w:t>T-score ≥-1.0, no treatment required</w:t>
            </w:r>
          </w:p>
          <w:p w:rsidR="00F86C9F" w:rsidRPr="006A45F1" w:rsidRDefault="00E445A5" w:rsidP="006A45F1">
            <w:pPr>
              <w:pStyle w:val="ListParagraph"/>
              <w:numPr>
                <w:ilvl w:val="0"/>
                <w:numId w:val="82"/>
              </w:numPr>
              <w:spacing w:after="0" w:line="240" w:lineRule="auto"/>
              <w:ind w:left="113" w:hanging="113"/>
              <w:jc w:val="left"/>
              <w:rPr>
                <w:rFonts w:ascii="Arial Narrow" w:hAnsi="Arial Narrow"/>
                <w:sz w:val="18"/>
              </w:rPr>
            </w:pPr>
            <w:r w:rsidRPr="006A45F1">
              <w:rPr>
                <w:rFonts w:ascii="Arial Narrow" w:hAnsi="Arial Narrow"/>
                <w:sz w:val="18"/>
              </w:rPr>
              <w:t>-1.0&gt; T-score &gt;</w:t>
            </w:r>
            <w:r w:rsidR="007C3FDA" w:rsidRPr="006A45F1">
              <w:rPr>
                <w:rFonts w:ascii="Arial Narrow" w:hAnsi="Arial Narrow"/>
                <w:sz w:val="18"/>
              </w:rPr>
              <w:t>-2.5</w:t>
            </w:r>
            <w:r w:rsidR="00F86C9F" w:rsidRPr="006A45F1">
              <w:rPr>
                <w:rFonts w:ascii="Arial Narrow" w:hAnsi="Arial Narrow"/>
                <w:sz w:val="18"/>
              </w:rPr>
              <w:t>, lifestyle and dietary advice, consider anti-resorptive medication</w:t>
            </w:r>
          </w:p>
          <w:p w:rsidR="00F86C9F" w:rsidRPr="006A45F1" w:rsidRDefault="00F86C9F" w:rsidP="006A45F1">
            <w:pPr>
              <w:pStyle w:val="ListParagraph"/>
              <w:numPr>
                <w:ilvl w:val="0"/>
                <w:numId w:val="82"/>
              </w:numPr>
              <w:spacing w:after="0" w:line="240" w:lineRule="auto"/>
              <w:ind w:left="113" w:hanging="113"/>
              <w:jc w:val="left"/>
              <w:rPr>
                <w:rFonts w:ascii="Arial Narrow" w:hAnsi="Arial Narrow"/>
                <w:sz w:val="18"/>
              </w:rPr>
            </w:pPr>
            <w:r w:rsidRPr="006A45F1">
              <w:rPr>
                <w:rFonts w:ascii="Arial Narrow" w:hAnsi="Arial Narrow"/>
                <w:sz w:val="18"/>
              </w:rPr>
              <w:t>T-score≤-2.5, anti-resorptive medication</w:t>
            </w:r>
          </w:p>
          <w:p w:rsidR="00F86C9F" w:rsidRPr="00FA270C" w:rsidRDefault="00F86C9F" w:rsidP="002E057B">
            <w:pPr>
              <w:spacing w:after="0" w:line="240" w:lineRule="auto"/>
              <w:jc w:val="left"/>
              <w:rPr>
                <w:rFonts w:ascii="Arial Narrow" w:hAnsi="Arial Narrow"/>
                <w:sz w:val="18"/>
              </w:rPr>
            </w:pPr>
            <w:r w:rsidRPr="00FA270C">
              <w:rPr>
                <w:rFonts w:ascii="Arial Narrow" w:hAnsi="Arial Narrow"/>
                <w:sz w:val="18"/>
              </w:rPr>
              <w:t>Sensitivity analysis should investigate other options of threshold to therapy as advised by the evidence.</w:t>
            </w:r>
          </w:p>
          <w:p w:rsidR="00F86C9F" w:rsidRPr="00FA270C" w:rsidRDefault="00F86C9F" w:rsidP="002E057B">
            <w:pPr>
              <w:spacing w:after="0" w:line="240" w:lineRule="auto"/>
              <w:jc w:val="left"/>
              <w:rPr>
                <w:rFonts w:ascii="Arial Narrow" w:hAnsi="Arial Narrow"/>
                <w:sz w:val="18"/>
              </w:rPr>
            </w:pPr>
            <w:r w:rsidRPr="00FA270C">
              <w:rPr>
                <w:rFonts w:ascii="Arial Narrow" w:hAnsi="Arial Narrow"/>
                <w:sz w:val="18"/>
              </w:rPr>
              <w:t>QCT is excluded.</w:t>
            </w:r>
          </w:p>
          <w:p w:rsidR="00F86C9F" w:rsidRPr="00FA270C" w:rsidRDefault="00F86C9F" w:rsidP="002E057B">
            <w:pPr>
              <w:spacing w:after="0" w:line="240" w:lineRule="auto"/>
              <w:jc w:val="left"/>
              <w:rPr>
                <w:rFonts w:ascii="Arial Narrow" w:hAnsi="Arial Narrow"/>
                <w:sz w:val="18"/>
              </w:rPr>
            </w:pPr>
            <w:r w:rsidRPr="00FA270C">
              <w:rPr>
                <w:rFonts w:ascii="Arial Narrow" w:hAnsi="Arial Narrow"/>
                <w:sz w:val="18"/>
              </w:rPr>
              <w:t xml:space="preserve"> </w:t>
            </w:r>
          </w:p>
          <w:p w:rsidR="00F86C9F" w:rsidRPr="00FA270C" w:rsidRDefault="00F86C9F" w:rsidP="002E057B">
            <w:pPr>
              <w:spacing w:after="0" w:line="240" w:lineRule="auto"/>
              <w:jc w:val="left"/>
              <w:rPr>
                <w:rFonts w:ascii="Arial Narrow" w:hAnsi="Arial Narrow"/>
                <w:sz w:val="18"/>
              </w:rPr>
            </w:pPr>
          </w:p>
        </w:tc>
        <w:tc>
          <w:tcPr>
            <w:tcW w:w="1808" w:type="dxa"/>
            <w:tcBorders>
              <w:top w:val="single" w:sz="4" w:space="0" w:color="auto"/>
              <w:left w:val="nil"/>
              <w:bottom w:val="single" w:sz="4" w:space="0" w:color="auto"/>
              <w:right w:val="nil"/>
            </w:tcBorders>
          </w:tcPr>
          <w:p w:rsidR="00F86C9F" w:rsidRPr="00FA270C" w:rsidRDefault="00F86C9F" w:rsidP="00ED4120">
            <w:pPr>
              <w:spacing w:after="0" w:line="240" w:lineRule="auto"/>
              <w:jc w:val="left"/>
              <w:rPr>
                <w:rFonts w:ascii="Arial Narrow" w:hAnsi="Arial Narrow"/>
                <w:sz w:val="18"/>
              </w:rPr>
            </w:pPr>
            <w:r w:rsidRPr="00FA270C">
              <w:rPr>
                <w:rFonts w:ascii="Arial Narrow" w:hAnsi="Arial Narrow"/>
                <w:sz w:val="18"/>
              </w:rPr>
              <w:t xml:space="preserve">Clinical assessment including the use of existing fracture risk assessment tools (including vitamin D test) with lifestyle and dietary advice. </w:t>
            </w:r>
          </w:p>
          <w:p w:rsidR="00F86C9F" w:rsidRPr="00FA270C" w:rsidRDefault="00F86C9F" w:rsidP="008B7D53">
            <w:pPr>
              <w:spacing w:after="0" w:line="240" w:lineRule="auto"/>
              <w:jc w:val="left"/>
              <w:rPr>
                <w:rFonts w:ascii="Arial Narrow" w:hAnsi="Arial Narrow"/>
                <w:sz w:val="18"/>
              </w:rPr>
            </w:pPr>
          </w:p>
          <w:p w:rsidR="00F86C9F" w:rsidRPr="00FA270C" w:rsidRDefault="00F86C9F" w:rsidP="008B7D53">
            <w:pPr>
              <w:spacing w:after="0" w:line="240" w:lineRule="auto"/>
              <w:jc w:val="left"/>
              <w:rPr>
                <w:rFonts w:ascii="Arial Narrow" w:hAnsi="Arial Narrow"/>
                <w:sz w:val="18"/>
              </w:rPr>
            </w:pPr>
            <w:r w:rsidRPr="00FA270C">
              <w:rPr>
                <w:rFonts w:ascii="Arial Narrow" w:hAnsi="Arial Narrow"/>
                <w:sz w:val="18"/>
              </w:rPr>
              <w:t>DXA and QCT scanning are excluded</w:t>
            </w:r>
          </w:p>
          <w:p w:rsidR="00F86C9F" w:rsidRPr="00FA270C" w:rsidRDefault="00F86C9F">
            <w:pPr>
              <w:spacing w:after="0" w:line="240" w:lineRule="auto"/>
              <w:jc w:val="left"/>
              <w:rPr>
                <w:rFonts w:ascii="Arial Narrow" w:hAnsi="Arial Narrow"/>
                <w:sz w:val="18"/>
              </w:rPr>
            </w:pPr>
          </w:p>
        </w:tc>
        <w:tc>
          <w:tcPr>
            <w:tcW w:w="1808" w:type="dxa"/>
            <w:tcBorders>
              <w:top w:val="single" w:sz="4" w:space="0" w:color="auto"/>
              <w:left w:val="nil"/>
              <w:bottom w:val="single" w:sz="4" w:space="0" w:color="auto"/>
              <w:right w:val="nil"/>
            </w:tcBorders>
          </w:tcPr>
          <w:p w:rsidR="00F86C9F" w:rsidRPr="00FA270C" w:rsidRDefault="00F86C9F" w:rsidP="002E057B">
            <w:pPr>
              <w:spacing w:after="0" w:line="240" w:lineRule="auto"/>
              <w:rPr>
                <w:rFonts w:ascii="Arial Narrow" w:hAnsi="Arial Narrow"/>
                <w:sz w:val="18"/>
              </w:rPr>
            </w:pPr>
            <w:r w:rsidRPr="00FA270C">
              <w:rPr>
                <w:rFonts w:ascii="Arial Narrow" w:hAnsi="Arial Narrow"/>
                <w:b/>
                <w:sz w:val="18"/>
              </w:rPr>
              <w:t>Primary effectiveness outcomes</w:t>
            </w:r>
            <w:r w:rsidRPr="00FA270C">
              <w:rPr>
                <w:rFonts w:ascii="Arial Narrow" w:hAnsi="Arial Narrow"/>
                <w:sz w:val="18"/>
              </w:rPr>
              <w:t>:</w:t>
            </w:r>
          </w:p>
          <w:p w:rsidR="00F86C9F" w:rsidRPr="00FA270C" w:rsidRDefault="00F86C9F" w:rsidP="0090466A">
            <w:pPr>
              <w:spacing w:after="0" w:line="240" w:lineRule="auto"/>
              <w:rPr>
                <w:rFonts w:ascii="Arial Narrow" w:hAnsi="Arial Narrow"/>
                <w:sz w:val="18"/>
              </w:rPr>
            </w:pPr>
            <w:r w:rsidRPr="00FA270C">
              <w:rPr>
                <w:rFonts w:ascii="Arial Narrow" w:hAnsi="Arial Narrow"/>
                <w:sz w:val="18"/>
              </w:rPr>
              <w:t>•Incidence of minimal trauma fractures</w:t>
            </w:r>
          </w:p>
          <w:p w:rsidR="00F86C9F" w:rsidRPr="00FA270C" w:rsidRDefault="00F86C9F" w:rsidP="0090466A">
            <w:pPr>
              <w:spacing w:after="0" w:line="240" w:lineRule="auto"/>
              <w:rPr>
                <w:rFonts w:ascii="Arial Narrow" w:hAnsi="Arial Narrow"/>
                <w:sz w:val="18"/>
              </w:rPr>
            </w:pPr>
            <w:r w:rsidRPr="00FA270C">
              <w:rPr>
                <w:rFonts w:ascii="Arial Narrow" w:hAnsi="Arial Narrow"/>
                <w:sz w:val="18"/>
              </w:rPr>
              <w:t>•Incidence of all new fractures</w:t>
            </w:r>
          </w:p>
          <w:p w:rsidR="00F86C9F" w:rsidRPr="00FA270C" w:rsidRDefault="00F86C9F" w:rsidP="0090466A">
            <w:pPr>
              <w:spacing w:after="0" w:line="240" w:lineRule="auto"/>
              <w:rPr>
                <w:rFonts w:ascii="Arial Narrow" w:hAnsi="Arial Narrow"/>
                <w:sz w:val="18"/>
              </w:rPr>
            </w:pPr>
            <w:r w:rsidRPr="00FA270C">
              <w:rPr>
                <w:rFonts w:ascii="Arial Narrow" w:hAnsi="Arial Narrow"/>
                <w:sz w:val="18"/>
              </w:rPr>
              <w:t>•Patient-related quality of life</w:t>
            </w:r>
          </w:p>
          <w:p w:rsidR="00F86C9F" w:rsidRPr="00FA270C" w:rsidRDefault="00F86C9F" w:rsidP="00337261">
            <w:pPr>
              <w:spacing w:after="0" w:line="240" w:lineRule="auto"/>
              <w:rPr>
                <w:rFonts w:ascii="Arial Narrow" w:hAnsi="Arial Narrow"/>
                <w:sz w:val="18"/>
              </w:rPr>
            </w:pPr>
            <w:r w:rsidRPr="00FA270C">
              <w:rPr>
                <w:rFonts w:ascii="Arial Narrow" w:hAnsi="Arial Narrow"/>
                <w:sz w:val="18"/>
              </w:rPr>
              <w:tab/>
            </w:r>
          </w:p>
          <w:p w:rsidR="00F86C9F" w:rsidRPr="00FA270C" w:rsidRDefault="00F86C9F" w:rsidP="002E057B">
            <w:pPr>
              <w:spacing w:after="0" w:line="240" w:lineRule="auto"/>
              <w:rPr>
                <w:rFonts w:ascii="Arial Narrow" w:hAnsi="Arial Narrow"/>
                <w:sz w:val="18"/>
              </w:rPr>
            </w:pPr>
            <w:r w:rsidRPr="00FA270C">
              <w:rPr>
                <w:rFonts w:ascii="Arial Narrow" w:hAnsi="Arial Narrow"/>
                <w:b/>
                <w:sz w:val="18"/>
              </w:rPr>
              <w:t>Secondary effectiveness outcomes</w:t>
            </w:r>
            <w:r w:rsidRPr="00FA270C">
              <w:rPr>
                <w:rFonts w:ascii="Arial Narrow" w:hAnsi="Arial Narrow"/>
                <w:sz w:val="18"/>
              </w:rPr>
              <w:t>:</w:t>
            </w:r>
          </w:p>
          <w:p w:rsidR="00F43648" w:rsidRDefault="00F86C9F" w:rsidP="002E057B">
            <w:pPr>
              <w:spacing w:after="0" w:line="240" w:lineRule="auto"/>
              <w:rPr>
                <w:rFonts w:ascii="Arial Narrow" w:hAnsi="Arial Narrow"/>
                <w:sz w:val="18"/>
              </w:rPr>
            </w:pPr>
            <w:r w:rsidRPr="00FA270C">
              <w:rPr>
                <w:rFonts w:ascii="Arial Narrow" w:hAnsi="Arial Narrow"/>
                <w:sz w:val="18"/>
              </w:rPr>
              <w:t>•Change in morbidity/mortality</w:t>
            </w:r>
          </w:p>
          <w:p w:rsidR="00F86C9F" w:rsidRPr="00FA270C" w:rsidRDefault="00956396" w:rsidP="002E057B">
            <w:pPr>
              <w:spacing w:after="0" w:line="240" w:lineRule="auto"/>
              <w:rPr>
                <w:rFonts w:ascii="Arial Narrow" w:hAnsi="Arial Narrow"/>
                <w:sz w:val="18"/>
              </w:rPr>
            </w:pPr>
            <w:r w:rsidRPr="00956396">
              <w:rPr>
                <w:rFonts w:ascii="Arial Narrow" w:hAnsi="Arial Narrow"/>
                <w:sz w:val="18"/>
              </w:rPr>
              <w:t>•</w:t>
            </w:r>
            <w:r w:rsidR="006A45F1">
              <w:rPr>
                <w:rFonts w:ascii="Arial Narrow" w:hAnsi="Arial Narrow"/>
                <w:sz w:val="18"/>
              </w:rPr>
              <w:t xml:space="preserve">Bone </w:t>
            </w:r>
            <w:r w:rsidR="00F43648" w:rsidRPr="00FA270C">
              <w:rPr>
                <w:rFonts w:ascii="Arial Narrow" w:hAnsi="Arial Narrow"/>
                <w:sz w:val="18"/>
              </w:rPr>
              <w:t>mineral density (</w:t>
            </w:r>
            <w:r w:rsidR="00F43648">
              <w:rPr>
                <w:rFonts w:ascii="Arial Narrow" w:hAnsi="Arial Narrow"/>
                <w:sz w:val="18"/>
              </w:rPr>
              <w:t>as determined</w:t>
            </w:r>
            <w:r w:rsidR="00F43648" w:rsidRPr="00FA270C">
              <w:rPr>
                <w:rFonts w:ascii="Arial Narrow" w:hAnsi="Arial Narrow"/>
                <w:sz w:val="18"/>
              </w:rPr>
              <w:t xml:space="preserve"> by T-score)</w:t>
            </w:r>
          </w:p>
          <w:p w:rsidR="00F86C9F" w:rsidRPr="00FA270C" w:rsidRDefault="00F86C9F" w:rsidP="00413ADC">
            <w:pPr>
              <w:spacing w:after="0" w:line="240" w:lineRule="auto"/>
              <w:rPr>
                <w:rFonts w:ascii="Arial Narrow" w:hAnsi="Arial Narrow"/>
                <w:sz w:val="18"/>
              </w:rPr>
            </w:pPr>
          </w:p>
          <w:p w:rsidR="00F86C9F" w:rsidRPr="00FA270C" w:rsidRDefault="00F86C9F" w:rsidP="002E057B">
            <w:pPr>
              <w:spacing w:after="0" w:line="240" w:lineRule="auto"/>
              <w:rPr>
                <w:rFonts w:ascii="Arial Narrow" w:hAnsi="Arial Narrow"/>
                <w:sz w:val="18"/>
              </w:rPr>
            </w:pPr>
            <w:r w:rsidRPr="00FA270C">
              <w:rPr>
                <w:rFonts w:ascii="Arial Narrow" w:hAnsi="Arial Narrow"/>
                <w:b/>
                <w:sz w:val="18"/>
              </w:rPr>
              <w:t>Safety outcomes and adverse events</w:t>
            </w:r>
            <w:r w:rsidRPr="00FA270C">
              <w:rPr>
                <w:rFonts w:ascii="Arial Narrow" w:hAnsi="Arial Narrow"/>
                <w:sz w:val="18"/>
              </w:rPr>
              <w:t>:</w:t>
            </w:r>
          </w:p>
          <w:p w:rsidR="00F86C9F" w:rsidRPr="00FA270C" w:rsidRDefault="006A45F1" w:rsidP="0090466A">
            <w:pPr>
              <w:spacing w:after="0" w:line="240" w:lineRule="auto"/>
              <w:rPr>
                <w:rFonts w:ascii="Arial Narrow" w:hAnsi="Arial Narrow"/>
                <w:sz w:val="18"/>
              </w:rPr>
            </w:pPr>
            <w:r>
              <w:rPr>
                <w:rFonts w:ascii="Arial Narrow" w:hAnsi="Arial Narrow"/>
                <w:sz w:val="18"/>
              </w:rPr>
              <w:t xml:space="preserve">• </w:t>
            </w:r>
            <w:r w:rsidR="00F86C9F" w:rsidRPr="00FA270C">
              <w:rPr>
                <w:rFonts w:ascii="Arial Narrow" w:hAnsi="Arial Narrow"/>
                <w:sz w:val="18"/>
              </w:rPr>
              <w:t xml:space="preserve">Any adverse event or complication related to the DXA scanning or treatments for </w:t>
            </w:r>
            <w:r w:rsidR="00F86C9F">
              <w:rPr>
                <w:rFonts w:ascii="Arial Narrow" w:hAnsi="Arial Narrow"/>
                <w:sz w:val="18"/>
              </w:rPr>
              <w:t>osteoporosis</w:t>
            </w:r>
          </w:p>
          <w:p w:rsidR="00F86C9F" w:rsidRPr="00FA270C" w:rsidRDefault="006A45F1" w:rsidP="0090466A">
            <w:pPr>
              <w:spacing w:after="0" w:line="240" w:lineRule="auto"/>
              <w:rPr>
                <w:rFonts w:ascii="Arial Narrow" w:hAnsi="Arial Narrow"/>
                <w:sz w:val="18"/>
              </w:rPr>
            </w:pPr>
            <w:r>
              <w:rPr>
                <w:rFonts w:ascii="Arial Narrow" w:hAnsi="Arial Narrow"/>
                <w:sz w:val="18"/>
              </w:rPr>
              <w:t xml:space="preserve">• </w:t>
            </w:r>
            <w:r w:rsidR="00F86C9F" w:rsidRPr="00FA270C">
              <w:rPr>
                <w:rFonts w:ascii="Arial Narrow" w:hAnsi="Arial Narrow"/>
                <w:sz w:val="18"/>
              </w:rPr>
              <w:t>Any adverse event arising from exposure to ionising radiation.</w:t>
            </w:r>
          </w:p>
          <w:p w:rsidR="00F86C9F" w:rsidRPr="00FA270C" w:rsidRDefault="00F86C9F" w:rsidP="0090466A">
            <w:pPr>
              <w:spacing w:after="0" w:line="240" w:lineRule="auto"/>
              <w:rPr>
                <w:rFonts w:ascii="Arial Narrow" w:hAnsi="Arial Narrow"/>
                <w:sz w:val="18"/>
              </w:rPr>
            </w:pPr>
          </w:p>
        </w:tc>
        <w:tc>
          <w:tcPr>
            <w:tcW w:w="1808" w:type="dxa"/>
            <w:tcBorders>
              <w:top w:val="single" w:sz="4" w:space="0" w:color="auto"/>
              <w:left w:val="nil"/>
              <w:bottom w:val="single" w:sz="4" w:space="0" w:color="auto"/>
              <w:right w:val="nil"/>
            </w:tcBorders>
          </w:tcPr>
          <w:p w:rsidR="00F86C9F" w:rsidRPr="00FA270C" w:rsidRDefault="00F86C9F" w:rsidP="00067C6E">
            <w:pPr>
              <w:spacing w:after="0" w:line="240" w:lineRule="auto"/>
              <w:jc w:val="center"/>
              <w:rPr>
                <w:rFonts w:ascii="Arial Narrow" w:hAnsi="Arial Narrow"/>
                <w:sz w:val="18"/>
              </w:rPr>
            </w:pPr>
            <w:r w:rsidRPr="00FA270C">
              <w:rPr>
                <w:rFonts w:ascii="Arial Narrow" w:hAnsi="Arial Narrow"/>
                <w:sz w:val="18"/>
              </w:rPr>
              <w:t>See</w:t>
            </w:r>
            <w:r w:rsidRPr="006A45F1">
              <w:rPr>
                <w:rFonts w:ascii="Arial Narrow" w:hAnsi="Arial Narrow"/>
                <w:sz w:val="18"/>
                <w:szCs w:val="18"/>
              </w:rPr>
              <w:t xml:space="preserve"> </w:t>
            </w:r>
            <w:r w:rsidRPr="006A45F1">
              <w:rPr>
                <w:rFonts w:ascii="Arial Narrow" w:hAnsi="Arial Narrow"/>
                <w:sz w:val="18"/>
                <w:szCs w:val="18"/>
              </w:rPr>
              <w:fldChar w:fldCharType="begin"/>
            </w:r>
            <w:r w:rsidRPr="006A45F1">
              <w:rPr>
                <w:rFonts w:ascii="Arial Narrow" w:hAnsi="Arial Narrow"/>
                <w:sz w:val="18"/>
                <w:szCs w:val="18"/>
              </w:rPr>
              <w:instrText xml:space="preserve"> REF _Ref358198341 \h </w:instrText>
            </w:r>
            <w:r w:rsidR="006A45F1" w:rsidRPr="006A45F1">
              <w:rPr>
                <w:rFonts w:ascii="Arial Narrow" w:hAnsi="Arial Narrow"/>
                <w:sz w:val="18"/>
                <w:szCs w:val="18"/>
              </w:rPr>
              <w:instrText xml:space="preserve"> \* MERGEFORMAT </w:instrText>
            </w:r>
            <w:r w:rsidRPr="006A45F1">
              <w:rPr>
                <w:rFonts w:ascii="Arial Narrow" w:hAnsi="Arial Narrow"/>
                <w:sz w:val="18"/>
                <w:szCs w:val="18"/>
              </w:rPr>
            </w:r>
            <w:r w:rsidRPr="006A45F1">
              <w:rPr>
                <w:rFonts w:ascii="Arial Narrow" w:hAnsi="Arial Narrow"/>
                <w:sz w:val="18"/>
                <w:szCs w:val="18"/>
              </w:rPr>
              <w:fldChar w:fldCharType="separate"/>
            </w:r>
            <w:r w:rsidR="00255656" w:rsidRPr="00255656">
              <w:rPr>
                <w:rFonts w:ascii="Arial Narrow" w:hAnsi="Arial Narrow"/>
                <w:sz w:val="18"/>
                <w:szCs w:val="18"/>
              </w:rPr>
              <w:t>Table 8</w:t>
            </w:r>
            <w:r w:rsidRPr="006A45F1">
              <w:rPr>
                <w:rFonts w:ascii="Arial Narrow" w:hAnsi="Arial Narrow"/>
                <w:sz w:val="18"/>
                <w:szCs w:val="18"/>
              </w:rPr>
              <w:fldChar w:fldCharType="end"/>
            </w:r>
            <w:r w:rsidRPr="00FA270C">
              <w:rPr>
                <w:rFonts w:ascii="Arial Narrow" w:hAnsi="Arial Narrow"/>
                <w:sz w:val="18"/>
              </w:rPr>
              <w:t>.</w:t>
            </w:r>
          </w:p>
        </w:tc>
      </w:tr>
    </w:tbl>
    <w:p w:rsidR="00F86C9F" w:rsidRPr="00FA270C" w:rsidRDefault="00F86C9F" w:rsidP="00664A84">
      <w:pPr>
        <w:pStyle w:val="ListParagraph"/>
        <w:rPr>
          <w:rFonts w:ascii="Arial Narrow" w:hAnsi="Arial Narrow"/>
          <w:b/>
          <w:lang w:eastAsia="ja-JP"/>
        </w:rPr>
      </w:pPr>
    </w:p>
    <w:tbl>
      <w:tblPr>
        <w:tblW w:w="0" w:type="auto"/>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242"/>
      </w:tblGrid>
      <w:tr w:rsidR="00F86C9F" w:rsidRPr="00FA270C" w:rsidTr="005D2627">
        <w:tc>
          <w:tcPr>
            <w:tcW w:w="9242" w:type="dxa"/>
            <w:tcBorders>
              <w:top w:val="single" w:sz="18" w:space="0" w:color="auto"/>
            </w:tcBorders>
          </w:tcPr>
          <w:p w:rsidR="00F86C9F" w:rsidRPr="005D2627" w:rsidRDefault="00F86C9F" w:rsidP="00764635">
            <w:pPr>
              <w:contextualSpacing/>
              <w:rPr>
                <w:b/>
                <w:lang w:eastAsia="ja-JP"/>
              </w:rPr>
            </w:pPr>
            <w:r w:rsidRPr="005D2627">
              <w:rPr>
                <w:b/>
                <w:lang w:eastAsia="ja-JP"/>
              </w:rPr>
              <w:t>Please note:</w:t>
            </w:r>
          </w:p>
        </w:tc>
      </w:tr>
      <w:tr w:rsidR="00F86C9F" w:rsidRPr="00FA270C" w:rsidTr="005D2627">
        <w:tc>
          <w:tcPr>
            <w:tcW w:w="9242" w:type="dxa"/>
            <w:tcBorders>
              <w:bottom w:val="single" w:sz="18" w:space="0" w:color="auto"/>
            </w:tcBorders>
          </w:tcPr>
          <w:p w:rsidR="00F86C9F" w:rsidRPr="00FA270C" w:rsidRDefault="00F86C9F" w:rsidP="005D2627">
            <w:pPr>
              <w:tabs>
                <w:tab w:val="left" w:pos="2835"/>
              </w:tabs>
              <w:spacing w:before="40"/>
              <w:rPr>
                <w:lang w:eastAsia="ja-JP"/>
              </w:rPr>
            </w:pPr>
            <w:r w:rsidRPr="00FA270C">
              <w:rPr>
                <w:lang w:eastAsia="ja-JP"/>
              </w:rPr>
              <w:t>It will be important to report all outcomes according to risk factor, or combination of risk factors.</w:t>
            </w:r>
          </w:p>
        </w:tc>
      </w:tr>
    </w:tbl>
    <w:p w:rsidR="00F86C9F" w:rsidRPr="00FA270C" w:rsidRDefault="00F86C9F" w:rsidP="00ED4120">
      <w:r w:rsidRPr="00FA270C">
        <w:rPr>
          <w:lang w:eastAsia="en-US"/>
        </w:rPr>
        <w:t xml:space="preserve">PASC has specified a range of questions which will need to be addressed during the assessment phase. These questions will guide the evaluation and have been raised throughout the DAP. </w:t>
      </w:r>
      <w:r w:rsidRPr="00FA270C">
        <w:t xml:space="preserve">The assessment should address the questions raised throughout the DAP in relation to the population and intervention in order to provide MSAC with the necessary information to make an informed decision. </w:t>
      </w:r>
    </w:p>
    <w:p w:rsidR="00F86C9F" w:rsidRPr="00FA270C" w:rsidRDefault="00F86C9F" w:rsidP="00ED4120">
      <w:pPr>
        <w:rPr>
          <w:lang w:eastAsia="en-US"/>
        </w:rPr>
      </w:pPr>
      <w:r w:rsidRPr="00FA270C">
        <w:rPr>
          <w:lang w:eastAsia="en-US"/>
        </w:rPr>
        <w:t xml:space="preserve">PASC also identified a need to appropriately structure the assessment phase so as to inform on broad issues of testing thresholds and monitoring protocols. Given the number and complexity of the questions for the assessment phase the key components and requests from PASC are summarised in </w:t>
      </w:r>
      <w:r w:rsidR="00CF6C6B">
        <w:fldChar w:fldCharType="begin"/>
      </w:r>
      <w:r w:rsidR="00CF6C6B">
        <w:instrText xml:space="preserve"> REF _Ref356207225 \h  \* MERGEFORMAT </w:instrText>
      </w:r>
      <w:r w:rsidR="00CF6C6B">
        <w:fldChar w:fldCharType="separate"/>
      </w:r>
      <w:r w:rsidR="00255656" w:rsidRPr="00FA270C">
        <w:t xml:space="preserve">Table </w:t>
      </w:r>
      <w:r w:rsidR="00255656">
        <w:t>10</w:t>
      </w:r>
      <w:r w:rsidR="00CF6C6B">
        <w:fldChar w:fldCharType="end"/>
      </w:r>
      <w:r w:rsidRPr="00FA270C">
        <w:rPr>
          <w:lang w:eastAsia="en-US"/>
        </w:rPr>
        <w:t xml:space="preserve"> below.</w:t>
      </w:r>
    </w:p>
    <w:p w:rsidR="00F86C9F" w:rsidRPr="00FA270C" w:rsidRDefault="00F86C9F" w:rsidP="00764635">
      <w:pPr>
        <w:pStyle w:val="Caption"/>
        <w:rPr>
          <w:lang w:val="en-AU"/>
        </w:rPr>
      </w:pPr>
      <w:bookmarkStart w:id="68" w:name="_Ref356207225"/>
      <w:r w:rsidRPr="00FA270C">
        <w:rPr>
          <w:lang w:val="en-AU"/>
        </w:rPr>
        <w:lastRenderedPageBreak/>
        <w:t xml:space="preserve">Table </w:t>
      </w:r>
      <w:r w:rsidRPr="00FA270C">
        <w:rPr>
          <w:lang w:val="en-AU"/>
        </w:rPr>
        <w:fldChar w:fldCharType="begin"/>
      </w:r>
      <w:r w:rsidRPr="00FA270C">
        <w:rPr>
          <w:lang w:val="en-AU"/>
        </w:rPr>
        <w:instrText xml:space="preserve"> SEQ Table \* ARABIC </w:instrText>
      </w:r>
      <w:r w:rsidRPr="00FA270C">
        <w:rPr>
          <w:lang w:val="en-AU"/>
        </w:rPr>
        <w:fldChar w:fldCharType="separate"/>
      </w:r>
      <w:r w:rsidR="00255656">
        <w:rPr>
          <w:noProof/>
          <w:lang w:val="en-AU"/>
        </w:rPr>
        <w:t>10</w:t>
      </w:r>
      <w:r w:rsidRPr="00FA270C">
        <w:rPr>
          <w:lang w:val="en-AU"/>
        </w:rPr>
        <w:fldChar w:fldCharType="end"/>
      </w:r>
      <w:bookmarkEnd w:id="68"/>
      <w:r w:rsidRPr="00FA270C">
        <w:rPr>
          <w:lang w:val="en-AU"/>
        </w:rPr>
        <w:tab/>
        <w:t>Summary of issues relating to the approach to assessment</w:t>
      </w:r>
    </w:p>
    <w:tbl>
      <w:tblPr>
        <w:tblW w:w="5000" w:type="pct"/>
        <w:tblBorders>
          <w:top w:val="single" w:sz="12" w:space="0" w:color="auto"/>
          <w:bottom w:val="single" w:sz="12" w:space="0" w:color="auto"/>
        </w:tblBorders>
        <w:tblLook w:val="00A0" w:firstRow="1" w:lastRow="0" w:firstColumn="1" w:lastColumn="0" w:noHBand="0" w:noVBand="0"/>
      </w:tblPr>
      <w:tblGrid>
        <w:gridCol w:w="1952"/>
        <w:gridCol w:w="7290"/>
      </w:tblGrid>
      <w:tr w:rsidR="00F86C9F" w:rsidRPr="00565BF5" w:rsidTr="005D2627">
        <w:trPr>
          <w:trHeight w:val="418"/>
        </w:trPr>
        <w:tc>
          <w:tcPr>
            <w:tcW w:w="1056" w:type="pct"/>
            <w:tcBorders>
              <w:top w:val="single" w:sz="12" w:space="0" w:color="auto"/>
              <w:bottom w:val="single" w:sz="12" w:space="0" w:color="auto"/>
            </w:tcBorders>
            <w:shd w:val="pct10" w:color="auto" w:fill="auto"/>
          </w:tcPr>
          <w:p w:rsidR="00F86C9F" w:rsidRPr="005D2627" w:rsidRDefault="00F86C9F" w:rsidP="005D2627">
            <w:pPr>
              <w:spacing w:after="0" w:line="240" w:lineRule="auto"/>
              <w:jc w:val="left"/>
              <w:rPr>
                <w:rFonts w:ascii="Arial Narrow" w:eastAsia="Times New Roman" w:hAnsi="Arial Narrow" w:cs="Times New Roman"/>
                <w:b/>
                <w:sz w:val="18"/>
                <w:szCs w:val="18"/>
                <w:lang w:eastAsia="en-US"/>
              </w:rPr>
            </w:pPr>
            <w:r w:rsidRPr="005D2627">
              <w:rPr>
                <w:rFonts w:ascii="Arial Narrow" w:eastAsia="Times New Roman" w:hAnsi="Arial Narrow" w:cs="Times New Roman"/>
                <w:b/>
                <w:sz w:val="18"/>
                <w:szCs w:val="18"/>
                <w:lang w:eastAsia="en-US"/>
              </w:rPr>
              <w:t>Population</w:t>
            </w:r>
          </w:p>
          <w:p w:rsidR="00F86C9F" w:rsidRPr="005D2627" w:rsidRDefault="00F86C9F" w:rsidP="005D2627">
            <w:pPr>
              <w:spacing w:after="0" w:line="240" w:lineRule="auto"/>
              <w:jc w:val="left"/>
              <w:rPr>
                <w:rFonts w:ascii="Arial Narrow" w:eastAsia="Times New Roman" w:hAnsi="Arial Narrow" w:cs="Times New Roman"/>
                <w:b/>
                <w:sz w:val="18"/>
                <w:szCs w:val="18"/>
                <w:lang w:eastAsia="en-US"/>
              </w:rPr>
            </w:pPr>
          </w:p>
        </w:tc>
        <w:tc>
          <w:tcPr>
            <w:tcW w:w="3944" w:type="pct"/>
            <w:tcBorders>
              <w:top w:val="single" w:sz="12" w:space="0" w:color="auto"/>
              <w:bottom w:val="single" w:sz="12" w:space="0" w:color="auto"/>
            </w:tcBorders>
            <w:shd w:val="pct10" w:color="auto" w:fill="auto"/>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Women and men with risk factors for osteoporosis aged 50-69 years.</w:t>
            </w:r>
          </w:p>
        </w:tc>
      </w:tr>
      <w:tr w:rsidR="00F86C9F" w:rsidRPr="00565BF5" w:rsidTr="005D2627">
        <w:trPr>
          <w:trHeight w:val="418"/>
        </w:trPr>
        <w:tc>
          <w:tcPr>
            <w:tcW w:w="1056" w:type="pct"/>
            <w:tcBorders>
              <w:top w:val="single" w:sz="12" w:space="0" w:color="auto"/>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Context</w:t>
            </w:r>
          </w:p>
        </w:tc>
        <w:tc>
          <w:tcPr>
            <w:tcW w:w="3944" w:type="pct"/>
            <w:tcBorders>
              <w:top w:val="single" w:sz="12" w:space="0" w:color="auto"/>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DXA scanning is proposed for women and men with risk factors for osteoporosis aged 50-69 years. PASC has identified a need to inform questions of what specific risk factors for osteoporosis should be considered and how they will be used to form a preliminary assessment of the risk of minimal trauma fracture. An initial list of risk factors is shown </w:t>
            </w:r>
            <w:r w:rsidRPr="006A45F1">
              <w:rPr>
                <w:rFonts w:ascii="Arial Narrow" w:eastAsia="Times New Roman" w:hAnsi="Arial Narrow" w:cs="Times New Roman"/>
                <w:sz w:val="18"/>
                <w:szCs w:val="18"/>
                <w:lang w:eastAsia="en-US"/>
              </w:rPr>
              <w:t xml:space="preserve">in </w:t>
            </w:r>
            <w:r w:rsidRPr="006A45F1">
              <w:rPr>
                <w:rFonts w:ascii="Arial Narrow" w:eastAsia="Times New Roman" w:hAnsi="Arial Narrow" w:cs="Times New Roman"/>
                <w:sz w:val="18"/>
                <w:szCs w:val="18"/>
                <w:lang w:eastAsia="en-US"/>
              </w:rPr>
              <w:fldChar w:fldCharType="begin"/>
            </w:r>
            <w:r w:rsidRPr="006A45F1">
              <w:rPr>
                <w:rFonts w:ascii="Arial Narrow" w:eastAsia="Times New Roman" w:hAnsi="Arial Narrow" w:cs="Times New Roman"/>
                <w:sz w:val="18"/>
                <w:szCs w:val="18"/>
                <w:lang w:eastAsia="en-US"/>
              </w:rPr>
              <w:instrText xml:space="preserve"> REF _Ref358198101 \h </w:instrText>
            </w:r>
            <w:r w:rsidR="006A45F1" w:rsidRPr="006A45F1">
              <w:rPr>
                <w:rFonts w:ascii="Arial Narrow" w:eastAsia="Times New Roman" w:hAnsi="Arial Narrow" w:cs="Times New Roman"/>
                <w:sz w:val="18"/>
                <w:szCs w:val="18"/>
                <w:lang w:eastAsia="en-US"/>
              </w:rPr>
              <w:instrText xml:space="preserve"> \* MERGEFORMAT </w:instrText>
            </w:r>
            <w:r w:rsidRPr="006A45F1">
              <w:rPr>
                <w:rFonts w:ascii="Arial Narrow" w:eastAsia="Times New Roman" w:hAnsi="Arial Narrow" w:cs="Times New Roman"/>
                <w:sz w:val="18"/>
                <w:szCs w:val="18"/>
                <w:lang w:eastAsia="en-US"/>
              </w:rPr>
            </w:r>
            <w:r w:rsidRPr="006A45F1">
              <w:rPr>
                <w:rFonts w:ascii="Arial Narrow" w:eastAsia="Times New Roman" w:hAnsi="Arial Narrow" w:cs="Times New Roman"/>
                <w:sz w:val="18"/>
                <w:szCs w:val="18"/>
                <w:lang w:eastAsia="en-US"/>
              </w:rPr>
              <w:fldChar w:fldCharType="separate"/>
            </w:r>
            <w:r w:rsidR="00255656" w:rsidRPr="00255656">
              <w:rPr>
                <w:rFonts w:ascii="Arial Narrow" w:hAnsi="Arial Narrow"/>
                <w:sz w:val="18"/>
                <w:szCs w:val="18"/>
              </w:rPr>
              <w:t>Table 1</w:t>
            </w:r>
            <w:r w:rsidRPr="006A45F1">
              <w:rPr>
                <w:rFonts w:ascii="Arial Narrow" w:eastAsia="Times New Roman" w:hAnsi="Arial Narrow" w:cs="Times New Roman"/>
                <w:sz w:val="18"/>
                <w:szCs w:val="18"/>
                <w:lang w:eastAsia="en-US"/>
              </w:rPr>
              <w:fldChar w:fldCharType="end"/>
            </w:r>
            <w:r w:rsidRPr="005D2627">
              <w:rPr>
                <w:rFonts w:ascii="Arial Narrow" w:eastAsia="Times New Roman" w:hAnsi="Arial Narrow" w:cs="Times New Roman"/>
                <w:sz w:val="18"/>
                <w:szCs w:val="18"/>
                <w:lang w:eastAsia="en-US"/>
              </w:rPr>
              <w:t>. PASC has also recognised the need to identify criteria of eligibility for access to BMD testing.</w:t>
            </w:r>
          </w:p>
        </w:tc>
      </w:tr>
      <w:tr w:rsidR="00F86C9F" w:rsidRPr="00565BF5" w:rsidTr="005D2627">
        <w:trPr>
          <w:trHeight w:val="418"/>
        </w:trPr>
        <w:tc>
          <w:tcPr>
            <w:tcW w:w="1056" w:type="pct"/>
            <w:tcBorders>
              <w:top w:val="nil"/>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Baseline population</w:t>
            </w:r>
          </w:p>
        </w:tc>
        <w:tc>
          <w:tcPr>
            <w:tcW w:w="3944" w:type="pct"/>
            <w:tcBorders>
              <w:top w:val="nil"/>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The baseline population for this application is age and gender matched patients without specific risk factors for osteoporosis (aged 50-69 years).</w:t>
            </w:r>
          </w:p>
        </w:tc>
      </w:tr>
      <w:tr w:rsidR="00F86C9F" w:rsidRPr="00565BF5" w:rsidTr="005D2627">
        <w:trPr>
          <w:trHeight w:val="418"/>
        </w:trPr>
        <w:tc>
          <w:tcPr>
            <w:tcW w:w="1056" w:type="pct"/>
            <w:tcBorders>
              <w:top w:val="nil"/>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Benchmark population</w:t>
            </w:r>
          </w:p>
        </w:tc>
        <w:tc>
          <w:tcPr>
            <w:tcW w:w="3944" w:type="pct"/>
            <w:tcBorders>
              <w:top w:val="nil"/>
              <w:bottom w:val="nil"/>
            </w:tcBorders>
          </w:tcPr>
          <w:p w:rsidR="00F86C9F" w:rsidRPr="005D2627" w:rsidRDefault="00F86C9F" w:rsidP="005D2627">
            <w:pPr>
              <w:spacing w:after="0" w:line="240" w:lineRule="auto"/>
              <w:contextualSpacing/>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The benchmark population for this population is people aged 70 years and older. These are currently eligible for DXA scanning through the MBS and also eligible for PBS subsidy of anti-resorptive medication.</w:t>
            </w:r>
          </w:p>
        </w:tc>
      </w:tr>
      <w:tr w:rsidR="00F86C9F" w:rsidRPr="00565BF5" w:rsidTr="005D2627">
        <w:trPr>
          <w:trHeight w:val="418"/>
        </w:trPr>
        <w:tc>
          <w:tcPr>
            <w:tcW w:w="1056" w:type="pct"/>
            <w:tcBorders>
              <w:top w:val="nil"/>
              <w:bottom w:val="single" w:sz="12" w:space="0" w:color="auto"/>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Approach to assessment </w:t>
            </w:r>
          </w:p>
        </w:tc>
        <w:tc>
          <w:tcPr>
            <w:tcW w:w="3944" w:type="pct"/>
            <w:tcBorders>
              <w:top w:val="nil"/>
              <w:bottom w:val="single" w:sz="12" w:space="0" w:color="auto"/>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The assessment phase should identify:</w:t>
            </w:r>
          </w:p>
          <w:p w:rsidR="00F86C9F" w:rsidRPr="005D2627" w:rsidRDefault="00F86C9F" w:rsidP="005D2627">
            <w:pPr>
              <w:pStyle w:val="ListParagraph"/>
              <w:numPr>
                <w:ilvl w:val="0"/>
                <w:numId w:val="43"/>
              </w:num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Specific risk factors for OP and the baseline risk of MTF associated with each risk factor</w:t>
            </w:r>
          </w:p>
          <w:p w:rsidR="00F86C9F" w:rsidRPr="005D2627" w:rsidRDefault="00F86C9F" w:rsidP="005D2627">
            <w:pPr>
              <w:pStyle w:val="ListParagraph"/>
              <w:numPr>
                <w:ilvl w:val="0"/>
                <w:numId w:val="43"/>
              </w:num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Threshold scores for re-testing and for therapy for each identified risk factor</w:t>
            </w:r>
          </w:p>
          <w:p w:rsidR="00F86C9F" w:rsidRPr="005D2627" w:rsidRDefault="00F86C9F" w:rsidP="005D2627">
            <w:pPr>
              <w:pStyle w:val="ListParagraph"/>
              <w:numPr>
                <w:ilvl w:val="0"/>
                <w:numId w:val="43"/>
              </w:num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Interrelationships between </w:t>
            </w:r>
            <w:r w:rsidR="00233FBC">
              <w:rPr>
                <w:rFonts w:ascii="Arial Narrow" w:eastAsia="Times New Roman" w:hAnsi="Arial Narrow" w:cs="Times New Roman"/>
                <w:sz w:val="18"/>
                <w:szCs w:val="18"/>
                <w:lang w:eastAsia="en-US"/>
              </w:rPr>
              <w:t xml:space="preserve">multiple </w:t>
            </w:r>
            <w:r w:rsidRPr="005D2627">
              <w:rPr>
                <w:rFonts w:ascii="Arial Narrow" w:eastAsia="Times New Roman" w:hAnsi="Arial Narrow" w:cs="Times New Roman"/>
                <w:sz w:val="18"/>
                <w:szCs w:val="18"/>
                <w:lang w:eastAsia="en-US"/>
              </w:rPr>
              <w:t xml:space="preserve">risk factors for OP </w:t>
            </w:r>
          </w:p>
          <w:p w:rsidR="00F86C9F" w:rsidRPr="005D2627" w:rsidRDefault="00F86C9F" w:rsidP="005D2627">
            <w:pPr>
              <w:pStyle w:val="ListParagraph"/>
              <w:numPr>
                <w:ilvl w:val="0"/>
                <w:numId w:val="43"/>
              </w:num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Any other prognostic factors associated with bone mineral density loss such as age or gender.</w:t>
            </w:r>
          </w:p>
        </w:tc>
      </w:tr>
      <w:tr w:rsidR="00F86C9F" w:rsidRPr="00565BF5" w:rsidTr="005D2627">
        <w:trPr>
          <w:trHeight w:val="396"/>
        </w:trPr>
        <w:tc>
          <w:tcPr>
            <w:tcW w:w="1056" w:type="pct"/>
            <w:tcBorders>
              <w:top w:val="single" w:sz="12" w:space="0" w:color="auto"/>
              <w:bottom w:val="single" w:sz="12" w:space="0" w:color="auto"/>
            </w:tcBorders>
            <w:shd w:val="pct10" w:color="auto" w:fill="auto"/>
          </w:tcPr>
          <w:p w:rsidR="00F86C9F" w:rsidRPr="005D2627" w:rsidRDefault="00F86C9F" w:rsidP="005D2627">
            <w:pPr>
              <w:spacing w:after="0" w:line="240" w:lineRule="auto"/>
              <w:jc w:val="left"/>
              <w:rPr>
                <w:rFonts w:ascii="Arial Narrow" w:eastAsia="Times New Roman" w:hAnsi="Arial Narrow" w:cs="Times New Roman"/>
                <w:b/>
                <w:sz w:val="18"/>
                <w:szCs w:val="18"/>
                <w:lang w:eastAsia="en-US"/>
              </w:rPr>
            </w:pPr>
            <w:r w:rsidRPr="005D2627">
              <w:rPr>
                <w:rFonts w:ascii="Arial Narrow" w:eastAsia="Times New Roman" w:hAnsi="Arial Narrow" w:cs="Times New Roman"/>
                <w:b/>
                <w:sz w:val="18"/>
                <w:szCs w:val="18"/>
                <w:lang w:eastAsia="en-US"/>
              </w:rPr>
              <w:t>Intervention</w:t>
            </w:r>
          </w:p>
        </w:tc>
        <w:tc>
          <w:tcPr>
            <w:tcW w:w="3944" w:type="pct"/>
            <w:tcBorders>
              <w:top w:val="single" w:sz="12" w:space="0" w:color="auto"/>
              <w:bottom w:val="single" w:sz="12" w:space="0" w:color="auto"/>
            </w:tcBorders>
            <w:shd w:val="pct10" w:color="auto" w:fill="auto"/>
          </w:tcPr>
          <w:p w:rsidR="00F86C9F" w:rsidRPr="005D2627" w:rsidRDefault="00F86C9F" w:rsidP="006A45F1">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DXA test for bone mineral density with lifestyle and dietary advice. Therapy with anti-resorptive </w:t>
            </w:r>
            <w:r w:rsidR="006A45F1">
              <w:rPr>
                <w:rFonts w:ascii="Arial Narrow" w:eastAsia="Times New Roman" w:hAnsi="Arial Narrow" w:cs="Times New Roman"/>
                <w:sz w:val="18"/>
                <w:szCs w:val="18"/>
                <w:lang w:eastAsia="en-US"/>
              </w:rPr>
              <w:t>drugs</w:t>
            </w:r>
            <w:r w:rsidRPr="005D2627">
              <w:rPr>
                <w:rFonts w:ascii="Arial Narrow" w:eastAsia="Times New Roman" w:hAnsi="Arial Narrow" w:cs="Times New Roman"/>
                <w:sz w:val="18"/>
                <w:szCs w:val="18"/>
                <w:lang w:eastAsia="en-US"/>
              </w:rPr>
              <w:t xml:space="preserve"> when a threshold T-score is reached.</w:t>
            </w:r>
          </w:p>
        </w:tc>
      </w:tr>
      <w:tr w:rsidR="00F86C9F" w:rsidRPr="00565BF5" w:rsidTr="005D2627">
        <w:trPr>
          <w:trHeight w:val="396"/>
        </w:trPr>
        <w:tc>
          <w:tcPr>
            <w:tcW w:w="1056" w:type="pct"/>
            <w:tcBorders>
              <w:top w:val="single" w:sz="12" w:space="0" w:color="auto"/>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Context</w:t>
            </w:r>
          </w:p>
        </w:tc>
        <w:tc>
          <w:tcPr>
            <w:tcW w:w="3944" w:type="pct"/>
            <w:tcBorders>
              <w:top w:val="single" w:sz="12" w:space="0" w:color="auto"/>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The proposed test is DXA.</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The prop</w:t>
            </w:r>
            <w:r w:rsidR="006A45F1">
              <w:rPr>
                <w:rFonts w:ascii="Arial Narrow" w:eastAsia="Times New Roman" w:hAnsi="Arial Narrow" w:cs="Times New Roman"/>
                <w:sz w:val="18"/>
                <w:szCs w:val="18"/>
                <w:lang w:eastAsia="en-US"/>
              </w:rPr>
              <w:t>osed therapy is anti-resorptive drugs</w:t>
            </w:r>
            <w:r w:rsidRPr="005D2627">
              <w:rPr>
                <w:rFonts w:ascii="Arial Narrow" w:eastAsia="Times New Roman" w:hAnsi="Arial Narrow" w:cs="Times New Roman"/>
                <w:sz w:val="18"/>
                <w:szCs w:val="18"/>
                <w:lang w:eastAsia="en-US"/>
              </w:rPr>
              <w:t>.</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This is a co-dependent application involving prescription medicines which are not currently PBS-subsidised for this purpose. PBAC would need to consider whether to subsidise the subsequent anti-resorptive treatment when indicated by the BMD test result.</w:t>
            </w:r>
          </w:p>
        </w:tc>
      </w:tr>
      <w:tr w:rsidR="00F86C9F" w:rsidRPr="00565BF5" w:rsidTr="005D2627">
        <w:trPr>
          <w:trHeight w:val="396"/>
        </w:trPr>
        <w:tc>
          <w:tcPr>
            <w:tcW w:w="1056" w:type="pct"/>
            <w:tcBorders>
              <w:top w:val="nil"/>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Co-dependency</w:t>
            </w:r>
          </w:p>
        </w:tc>
        <w:tc>
          <w:tcPr>
            <w:tcW w:w="3944" w:type="pct"/>
            <w:tcBorders>
              <w:top w:val="nil"/>
              <w:bottom w:val="nil"/>
            </w:tcBorders>
          </w:tcPr>
          <w:p w:rsidR="00F86C9F" w:rsidRPr="005D2627" w:rsidRDefault="00F86C9F" w:rsidP="00051319">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There is a co-dependency for this DAP. The assessment of evidence will be required to present evidence with regards to the efficacy of the co-dependent medicine in the proportion of the target population for BMD testing who achieve a threshold result to trigger the initiation of prescribed medication. </w:t>
            </w:r>
            <w:r w:rsidRPr="005D2627">
              <w:rPr>
                <w:rFonts w:ascii="Arial Narrow" w:eastAsia="Times New Roman" w:hAnsi="Arial Narrow" w:cs="Times New Roman"/>
                <w:b/>
                <w:sz w:val="18"/>
                <w:szCs w:val="18"/>
                <w:lang w:eastAsia="en-US"/>
              </w:rPr>
              <w:t>At this stage no co-dependent submission has been received</w:t>
            </w:r>
            <w:r w:rsidRPr="005D2627">
              <w:rPr>
                <w:rFonts w:ascii="Arial Narrow" w:eastAsia="Times New Roman" w:hAnsi="Arial Narrow" w:cs="Times New Roman"/>
                <w:sz w:val="18"/>
                <w:szCs w:val="18"/>
                <w:lang w:eastAsia="en-US"/>
              </w:rPr>
              <w:t>.</w:t>
            </w:r>
          </w:p>
        </w:tc>
      </w:tr>
      <w:tr w:rsidR="00F86C9F" w:rsidRPr="00565BF5" w:rsidTr="005D2627">
        <w:trPr>
          <w:trHeight w:val="396"/>
        </w:trPr>
        <w:tc>
          <w:tcPr>
            <w:tcW w:w="1056" w:type="pct"/>
            <w:tcBorders>
              <w:top w:val="nil"/>
              <w:bottom w:val="nil"/>
            </w:tcBorders>
          </w:tcPr>
          <w:p w:rsidR="00F86C9F" w:rsidRPr="005D2627" w:rsidRDefault="00F86C9F" w:rsidP="005D2627">
            <w:pPr>
              <w:spacing w:after="0" w:line="240" w:lineRule="auto"/>
              <w:jc w:val="left"/>
              <w:rPr>
                <w:rFonts w:ascii="Arial Narrow" w:eastAsia="Times New Roman" w:hAnsi="Arial Narrow" w:cs="Times New Roman"/>
                <w:b/>
                <w:sz w:val="18"/>
                <w:szCs w:val="18"/>
                <w:lang w:eastAsia="en-US"/>
              </w:rPr>
            </w:pPr>
            <w:r w:rsidRPr="005D2627">
              <w:rPr>
                <w:rFonts w:ascii="Arial Narrow" w:eastAsia="Times New Roman" w:hAnsi="Arial Narrow" w:cs="Times New Roman"/>
                <w:b/>
                <w:sz w:val="18"/>
                <w:szCs w:val="18"/>
                <w:lang w:eastAsia="en-US"/>
              </w:rPr>
              <w:t>Treatment threshold</w:t>
            </w:r>
          </w:p>
        </w:tc>
        <w:tc>
          <w:tcPr>
            <w:tcW w:w="3944" w:type="pct"/>
            <w:tcBorders>
              <w:top w:val="nil"/>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The proposed threshold is a T-score of less than or equal to -2.5 for the initiation of anti-osteoporotic treatment. </w:t>
            </w:r>
          </w:p>
          <w:p w:rsidR="00F86C9F" w:rsidRPr="005D2627" w:rsidRDefault="00051319" w:rsidP="005D2627">
            <w:pPr>
              <w:spacing w:after="0" w:line="240" w:lineRule="auto"/>
              <w:jc w:val="left"/>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 xml:space="preserve">For </w:t>
            </w:r>
            <w:r w:rsidR="00D8617B">
              <w:rPr>
                <w:rFonts w:ascii="Arial Narrow" w:eastAsia="Times New Roman" w:hAnsi="Arial Narrow" w:cs="Times New Roman"/>
                <w:sz w:val="18"/>
                <w:szCs w:val="18"/>
                <w:lang w:eastAsia="en-US"/>
              </w:rPr>
              <w:t>-1.0&gt; T-score &gt;</w:t>
            </w:r>
            <w:r w:rsidR="007C3FDA" w:rsidRPr="007C3FDA">
              <w:rPr>
                <w:rFonts w:ascii="Arial Narrow" w:eastAsia="Times New Roman" w:hAnsi="Arial Narrow" w:cs="Times New Roman"/>
                <w:sz w:val="18"/>
                <w:szCs w:val="18"/>
                <w:lang w:eastAsia="en-US"/>
              </w:rPr>
              <w:t xml:space="preserve"> -2.5</w:t>
            </w:r>
            <w:r w:rsidR="006A45F1">
              <w:rPr>
                <w:rFonts w:ascii="Arial Narrow" w:eastAsia="Times New Roman" w:hAnsi="Arial Narrow" w:cs="Times New Roman"/>
                <w:sz w:val="18"/>
                <w:szCs w:val="18"/>
                <w:lang w:eastAsia="en-US"/>
              </w:rPr>
              <w:t xml:space="preserve"> </w:t>
            </w:r>
            <w:r w:rsidR="00F86C9F" w:rsidRPr="005D2627">
              <w:rPr>
                <w:rFonts w:ascii="Arial Narrow" w:eastAsia="Times New Roman" w:hAnsi="Arial Narrow" w:cs="Times New Roman"/>
                <w:sz w:val="18"/>
                <w:szCs w:val="18"/>
                <w:lang w:eastAsia="en-US"/>
              </w:rPr>
              <w:t xml:space="preserve">lifestyle and dietary advice would be provided, and consideration would be given to treatment with anti-resorptives. </w:t>
            </w:r>
          </w:p>
        </w:tc>
      </w:tr>
      <w:tr w:rsidR="00F86C9F" w:rsidRPr="00565BF5" w:rsidTr="005D2627">
        <w:trPr>
          <w:trHeight w:val="396"/>
        </w:trPr>
        <w:tc>
          <w:tcPr>
            <w:tcW w:w="1056" w:type="pct"/>
            <w:tcBorders>
              <w:top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Context</w:t>
            </w:r>
          </w:p>
        </w:tc>
        <w:tc>
          <w:tcPr>
            <w:tcW w:w="3944" w:type="pct"/>
            <w:tcBorders>
              <w:top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PASC considered that different BMD thresholds should be examined as the trigger for therapy, as advised by the evidence.</w:t>
            </w:r>
          </w:p>
        </w:tc>
      </w:tr>
      <w:tr w:rsidR="00F86C9F" w:rsidRPr="00565BF5" w:rsidTr="005D2627">
        <w:trPr>
          <w:trHeight w:val="418"/>
        </w:trPr>
        <w:tc>
          <w:tcPr>
            <w:tcW w:w="1056" w:type="pct"/>
            <w:tcBorders>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Approach to assessment</w:t>
            </w:r>
          </w:p>
        </w:tc>
        <w:tc>
          <w:tcPr>
            <w:tcW w:w="3944" w:type="pct"/>
            <w:tcBorders>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The assessment phase should provide evidence to support the proposed threshold for initiating treatment. As part of this the assessment phase should inform on: </w:t>
            </w:r>
          </w:p>
          <w:p w:rsidR="00F86C9F" w:rsidRPr="005D2627" w:rsidRDefault="00E968BB" w:rsidP="005D2627">
            <w:pPr>
              <w:pStyle w:val="ListParagraph"/>
              <w:numPr>
                <w:ilvl w:val="0"/>
                <w:numId w:val="44"/>
              </w:numPr>
              <w:spacing w:after="0" w:line="240" w:lineRule="auto"/>
              <w:jc w:val="left"/>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The extent of bone loss</w:t>
            </w:r>
            <w:r w:rsidR="00F86C9F" w:rsidRPr="005D2627">
              <w:rPr>
                <w:rFonts w:ascii="Arial Narrow" w:eastAsia="Times New Roman" w:hAnsi="Arial Narrow" w:cs="Times New Roman"/>
                <w:sz w:val="18"/>
                <w:szCs w:val="18"/>
                <w:lang w:eastAsia="en-US"/>
              </w:rPr>
              <w:t xml:space="preserve"> in an individual aged 50-69 years with specific risk factors for osteoporosis, but not taking anti-resorptive agents.</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To support the nominated BMD threshold T-score to trigger anti-resorptive treatment. Each threshold should be reported in the context of the risk factor or combination of risk factors, or other prognostic factors associated with bone mineral density loss.</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The assessment phase should also undertake sensitivity analyses to examine T-score thresholds of:</w:t>
            </w:r>
          </w:p>
          <w:p w:rsidR="00F86C9F" w:rsidRPr="005D2627" w:rsidRDefault="00051319" w:rsidP="005D2627">
            <w:pPr>
              <w:pStyle w:val="ListParagraph"/>
              <w:numPr>
                <w:ilvl w:val="0"/>
                <w:numId w:val="44"/>
              </w:numPr>
              <w:spacing w:after="0" w:line="240" w:lineRule="auto"/>
              <w:jc w:val="left"/>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T-</w:t>
            </w:r>
            <w:r w:rsidR="00E445A5">
              <w:rPr>
                <w:rFonts w:ascii="Arial Narrow" w:eastAsia="Times New Roman" w:hAnsi="Arial Narrow" w:cs="Times New Roman"/>
                <w:sz w:val="18"/>
                <w:szCs w:val="18"/>
                <w:lang w:eastAsia="en-US"/>
              </w:rPr>
              <w:t>score &lt;</w:t>
            </w:r>
            <w:r w:rsidR="00F86C9F" w:rsidRPr="005D2627">
              <w:rPr>
                <w:rFonts w:ascii="Arial Narrow" w:eastAsia="Times New Roman" w:hAnsi="Arial Narrow" w:cs="Times New Roman"/>
                <w:sz w:val="18"/>
                <w:szCs w:val="18"/>
                <w:lang w:eastAsia="en-US"/>
              </w:rPr>
              <w:t>-1.5</w:t>
            </w:r>
          </w:p>
          <w:p w:rsidR="00F86C9F" w:rsidRPr="005D2627" w:rsidRDefault="00E445A5" w:rsidP="005D2627">
            <w:pPr>
              <w:pStyle w:val="ListParagraph"/>
              <w:numPr>
                <w:ilvl w:val="0"/>
                <w:numId w:val="44"/>
              </w:numPr>
              <w:spacing w:after="0" w:line="240" w:lineRule="auto"/>
              <w:jc w:val="left"/>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T-score &lt;</w:t>
            </w:r>
            <w:r w:rsidR="00F86C9F" w:rsidRPr="005D2627">
              <w:rPr>
                <w:rFonts w:ascii="Arial Narrow" w:eastAsia="Times New Roman" w:hAnsi="Arial Narrow" w:cs="Times New Roman"/>
                <w:sz w:val="18"/>
                <w:szCs w:val="18"/>
                <w:lang w:eastAsia="en-US"/>
              </w:rPr>
              <w:t>-2</w:t>
            </w:r>
            <w:r>
              <w:rPr>
                <w:rFonts w:ascii="Arial Narrow" w:eastAsia="Times New Roman" w:hAnsi="Arial Narrow" w:cs="Times New Roman"/>
                <w:sz w:val="18"/>
                <w:szCs w:val="18"/>
                <w:lang w:eastAsia="en-US"/>
              </w:rPr>
              <w:t>.0</w:t>
            </w:r>
          </w:p>
          <w:p w:rsidR="00F86C9F" w:rsidRPr="005D2627" w:rsidRDefault="00F86C9F" w:rsidP="005D2627">
            <w:pPr>
              <w:pStyle w:val="ListParagraph"/>
              <w:numPr>
                <w:ilvl w:val="0"/>
                <w:numId w:val="44"/>
              </w:num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Sensitivit</w:t>
            </w:r>
            <w:r w:rsidR="00E445A5">
              <w:rPr>
                <w:rFonts w:ascii="Arial Narrow" w:eastAsia="Times New Roman" w:hAnsi="Arial Narrow" w:cs="Times New Roman"/>
                <w:sz w:val="18"/>
                <w:szCs w:val="18"/>
                <w:lang w:eastAsia="en-US"/>
              </w:rPr>
              <w:t>y analyses around T-scores of -1.0</w:t>
            </w:r>
            <w:r w:rsidRPr="005D2627">
              <w:rPr>
                <w:rFonts w:ascii="Arial Narrow" w:eastAsia="Times New Roman" w:hAnsi="Arial Narrow" w:cs="Times New Roman"/>
                <w:sz w:val="18"/>
                <w:szCs w:val="18"/>
                <w:lang w:eastAsia="en-US"/>
              </w:rPr>
              <w:t>, -2.0 and -2.5</w:t>
            </w:r>
          </w:p>
        </w:tc>
      </w:tr>
      <w:tr w:rsidR="00F86C9F" w:rsidRPr="00565BF5" w:rsidTr="005D2627">
        <w:trPr>
          <w:trHeight w:val="396"/>
        </w:trPr>
        <w:tc>
          <w:tcPr>
            <w:tcW w:w="1056" w:type="pct"/>
            <w:tcBorders>
              <w:top w:val="nil"/>
              <w:bottom w:val="nil"/>
            </w:tcBorders>
          </w:tcPr>
          <w:p w:rsidR="00F86C9F" w:rsidRPr="005D2627" w:rsidRDefault="00F86C9F" w:rsidP="005D2627">
            <w:pPr>
              <w:spacing w:after="0" w:line="240" w:lineRule="auto"/>
              <w:jc w:val="left"/>
              <w:rPr>
                <w:rFonts w:ascii="Arial Narrow" w:eastAsia="Times New Roman" w:hAnsi="Arial Narrow" w:cs="Times New Roman"/>
                <w:b/>
                <w:sz w:val="18"/>
                <w:szCs w:val="18"/>
                <w:lang w:eastAsia="en-US"/>
              </w:rPr>
            </w:pPr>
            <w:r w:rsidRPr="005D2627">
              <w:rPr>
                <w:rFonts w:ascii="Arial Narrow" w:eastAsia="Times New Roman" w:hAnsi="Arial Narrow" w:cs="Times New Roman"/>
                <w:b/>
                <w:sz w:val="18"/>
                <w:szCs w:val="18"/>
                <w:lang w:eastAsia="en-US"/>
              </w:rPr>
              <w:t>Re-testing and monitoring</w:t>
            </w:r>
          </w:p>
        </w:tc>
        <w:tc>
          <w:tcPr>
            <w:tcW w:w="3944" w:type="pct"/>
            <w:tcBorders>
              <w:top w:val="nil"/>
              <w:bottom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The submissions should present evidence to inform questions of </w:t>
            </w:r>
            <w:r w:rsidRPr="005D2627">
              <w:rPr>
                <w:rFonts w:ascii="Arial Narrow" w:eastAsia="Times New Roman" w:hAnsi="Arial Narrow" w:cs="Times New Roman"/>
                <w:b/>
                <w:sz w:val="18"/>
                <w:szCs w:val="18"/>
                <w:lang w:eastAsia="en-US"/>
              </w:rPr>
              <w:t>re-testing</w:t>
            </w:r>
            <w:r w:rsidRPr="005D2627">
              <w:rPr>
                <w:rFonts w:ascii="Arial Narrow" w:eastAsia="Times New Roman" w:hAnsi="Arial Narrow" w:cs="Times New Roman"/>
                <w:sz w:val="18"/>
                <w:szCs w:val="18"/>
                <w:lang w:eastAsia="en-US"/>
              </w:rPr>
              <w:t xml:space="preserve">. </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BMD testing should not be used for the purposes of </w:t>
            </w:r>
            <w:r w:rsidRPr="005D2627">
              <w:rPr>
                <w:rFonts w:ascii="Arial Narrow" w:eastAsia="Times New Roman" w:hAnsi="Arial Narrow" w:cs="Times New Roman"/>
                <w:b/>
                <w:sz w:val="18"/>
                <w:szCs w:val="18"/>
                <w:lang w:eastAsia="en-US"/>
              </w:rPr>
              <w:t xml:space="preserve">monitoring </w:t>
            </w:r>
            <w:r w:rsidRPr="005D2627">
              <w:rPr>
                <w:rFonts w:ascii="Arial Narrow" w:eastAsia="Times New Roman" w:hAnsi="Arial Narrow" w:cs="Times New Roman"/>
                <w:sz w:val="18"/>
                <w:szCs w:val="18"/>
                <w:lang w:eastAsia="en-US"/>
              </w:rPr>
              <w:t xml:space="preserve">in this population. </w:t>
            </w:r>
          </w:p>
        </w:tc>
      </w:tr>
      <w:tr w:rsidR="00F86C9F" w:rsidRPr="00565BF5" w:rsidTr="005D2627">
        <w:trPr>
          <w:trHeight w:val="396"/>
        </w:trPr>
        <w:tc>
          <w:tcPr>
            <w:tcW w:w="1056" w:type="pct"/>
            <w:tcBorders>
              <w:top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Context</w:t>
            </w:r>
          </w:p>
        </w:tc>
        <w:tc>
          <w:tcPr>
            <w:tcW w:w="3944" w:type="pct"/>
            <w:tcBorders>
              <w:top w:val="nil"/>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PASC considers that the timing and frequency of re-testing should be informed by evidence. PASC noted that guidelines from the College of GPs do not recommend retesting within 5-10 years of the initial test. </w:t>
            </w:r>
          </w:p>
        </w:tc>
      </w:tr>
      <w:tr w:rsidR="00F86C9F" w:rsidRPr="00565BF5" w:rsidTr="005D2627">
        <w:trPr>
          <w:trHeight w:val="418"/>
        </w:trPr>
        <w:tc>
          <w:tcPr>
            <w:tcW w:w="1056" w:type="pct"/>
            <w:tcBorders>
              <w:bottom w:val="single" w:sz="12" w:space="0" w:color="auto"/>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Approach to assessment</w:t>
            </w:r>
          </w:p>
        </w:tc>
        <w:tc>
          <w:tcPr>
            <w:tcW w:w="3944" w:type="pct"/>
            <w:tcBorders>
              <w:bottom w:val="single" w:sz="12" w:space="0" w:color="auto"/>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The assessment phase should address questions regarding the rate of bone loss in individuals who do not reach the nominated BMD threshold T-score to trigger anti-resorptive treatment. This should be done with respect to specific risk factors for osteoporosis. </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Sensitivity analyses should investigate the following options of re-testing:</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T-score ≥-1.0: no re-test; re-test every 5 years; re-test every 10 years</w:t>
            </w:r>
          </w:p>
          <w:p w:rsidR="00F86C9F" w:rsidRPr="005D2627" w:rsidRDefault="00D8617B" w:rsidP="005D2627">
            <w:pPr>
              <w:spacing w:after="0" w:line="240" w:lineRule="auto"/>
              <w:jc w:val="left"/>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 xml:space="preserve">T-score between </w:t>
            </w:r>
            <w:r w:rsidR="00E445A5">
              <w:rPr>
                <w:rFonts w:ascii="Arial Narrow" w:eastAsia="Times New Roman" w:hAnsi="Arial Narrow" w:cs="Times New Roman"/>
                <w:sz w:val="18"/>
                <w:szCs w:val="18"/>
                <w:lang w:eastAsia="en-US"/>
              </w:rPr>
              <w:t>-1.0</w:t>
            </w:r>
            <w:r>
              <w:rPr>
                <w:rFonts w:ascii="Arial Narrow" w:eastAsia="Times New Roman" w:hAnsi="Arial Narrow" w:cs="Times New Roman"/>
                <w:sz w:val="18"/>
                <w:szCs w:val="18"/>
                <w:lang w:eastAsia="en-US"/>
              </w:rPr>
              <w:t xml:space="preserve"> and </w:t>
            </w:r>
            <w:r w:rsidR="00D22FD6" w:rsidRPr="00D22FD6">
              <w:rPr>
                <w:rFonts w:ascii="Arial Narrow" w:eastAsia="Times New Roman" w:hAnsi="Arial Narrow" w:cs="Times New Roman"/>
                <w:sz w:val="18"/>
                <w:szCs w:val="18"/>
                <w:lang w:eastAsia="en-US"/>
              </w:rPr>
              <w:t>-2.5</w:t>
            </w:r>
            <w:r w:rsidR="00F86C9F" w:rsidRPr="005D2627">
              <w:rPr>
                <w:rFonts w:ascii="Arial Narrow" w:eastAsia="Times New Roman" w:hAnsi="Arial Narrow" w:cs="Times New Roman"/>
                <w:sz w:val="18"/>
                <w:szCs w:val="18"/>
                <w:lang w:eastAsia="en-US"/>
              </w:rPr>
              <w:t>: re-test every 24 months</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T-score</w:t>
            </w:r>
            <w:r w:rsidR="00E445A5">
              <w:rPr>
                <w:rFonts w:ascii="Arial Narrow" w:eastAsia="Times New Roman" w:hAnsi="Arial Narrow" w:cs="Times New Roman"/>
                <w:sz w:val="18"/>
                <w:szCs w:val="18"/>
                <w:lang w:eastAsia="en-US"/>
              </w:rPr>
              <w:t xml:space="preserve"> </w:t>
            </w:r>
            <w:r w:rsidRPr="005D2627">
              <w:rPr>
                <w:rFonts w:ascii="Arial Narrow" w:eastAsia="Times New Roman" w:hAnsi="Arial Narrow" w:cs="Times New Roman"/>
                <w:sz w:val="18"/>
                <w:szCs w:val="18"/>
                <w:lang w:eastAsia="en-US"/>
              </w:rPr>
              <w:t>≤-2.5: re-test every 12-24 months (MBS item 12306)</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Re-testing as advised by the evidence.</w:t>
            </w:r>
          </w:p>
        </w:tc>
      </w:tr>
      <w:tr w:rsidR="00F86C9F" w:rsidRPr="00565BF5" w:rsidTr="005D2627">
        <w:trPr>
          <w:trHeight w:val="418"/>
        </w:trPr>
        <w:tc>
          <w:tcPr>
            <w:tcW w:w="1056" w:type="pct"/>
            <w:tcBorders>
              <w:top w:val="single" w:sz="12" w:space="0" w:color="auto"/>
              <w:bottom w:val="single" w:sz="12" w:space="0" w:color="auto"/>
            </w:tcBorders>
            <w:shd w:val="pct10" w:color="auto" w:fill="auto"/>
          </w:tcPr>
          <w:p w:rsidR="00F86C9F" w:rsidRPr="005D2627" w:rsidRDefault="00F86C9F" w:rsidP="005D2627">
            <w:pPr>
              <w:spacing w:after="0" w:line="240" w:lineRule="auto"/>
              <w:jc w:val="left"/>
              <w:rPr>
                <w:rFonts w:ascii="Arial Narrow" w:eastAsia="Times New Roman" w:hAnsi="Arial Narrow" w:cs="Times New Roman"/>
                <w:b/>
                <w:sz w:val="18"/>
                <w:szCs w:val="18"/>
                <w:lang w:eastAsia="en-US"/>
              </w:rPr>
            </w:pPr>
            <w:r w:rsidRPr="005D2627">
              <w:rPr>
                <w:rFonts w:ascii="Arial Narrow" w:eastAsia="Times New Roman" w:hAnsi="Arial Narrow" w:cs="Times New Roman"/>
                <w:b/>
                <w:sz w:val="18"/>
                <w:szCs w:val="18"/>
                <w:lang w:eastAsia="en-US"/>
              </w:rPr>
              <w:t>Comparator</w:t>
            </w:r>
          </w:p>
        </w:tc>
        <w:tc>
          <w:tcPr>
            <w:tcW w:w="3944" w:type="pct"/>
            <w:tcBorders>
              <w:top w:val="single" w:sz="12" w:space="0" w:color="auto"/>
              <w:bottom w:val="single" w:sz="12" w:space="0" w:color="auto"/>
            </w:tcBorders>
            <w:shd w:val="pct10" w:color="auto" w:fill="auto"/>
          </w:tcPr>
          <w:p w:rsidR="00F86C9F" w:rsidRPr="005D2627" w:rsidRDefault="00F86C9F" w:rsidP="005A3BB2">
            <w:pPr>
              <w:spacing w:after="0" w:line="240" w:lineRule="auto"/>
              <w:jc w:val="left"/>
              <w:rPr>
                <w:rFonts w:ascii="Arial Narrow" w:eastAsia="Times New Roman" w:hAnsi="Arial Narrow" w:cs="Times New Roman"/>
                <w:sz w:val="18"/>
                <w:szCs w:val="18"/>
                <w:lang w:eastAsia="en-US"/>
              </w:rPr>
            </w:pPr>
            <w:r w:rsidRPr="005D2627">
              <w:rPr>
                <w:rFonts w:ascii="Arial Narrow" w:hAnsi="Arial Narrow" w:cs="Times New Roman"/>
                <w:sz w:val="18"/>
                <w:szCs w:val="18"/>
                <w:lang w:eastAsia="en-US"/>
              </w:rPr>
              <w:t xml:space="preserve">Lifestyle and dietary advice (calcium and vitamin D) based on a general clinical assessment by a general practitioner using existing fracture risk assessment tools (for example the FRAX </w:t>
            </w:r>
            <w:r w:rsidR="005A3BB2">
              <w:rPr>
                <w:rFonts w:ascii="Arial Narrow" w:hAnsi="Arial Narrow" w:cs="Times New Roman"/>
                <w:sz w:val="18"/>
                <w:szCs w:val="18"/>
                <w:lang w:eastAsia="en-US"/>
              </w:rPr>
              <w:t>tool</w:t>
            </w:r>
            <w:r w:rsidRPr="005D2627">
              <w:rPr>
                <w:rFonts w:ascii="Arial Narrow" w:hAnsi="Arial Narrow" w:cs="Times New Roman"/>
                <w:sz w:val="18"/>
                <w:szCs w:val="18"/>
                <w:lang w:eastAsia="en-US"/>
              </w:rPr>
              <w:t>) without the results of a bone mineral density test. This clinical assessment would include a test for vitamin D</w:t>
            </w:r>
            <w:r w:rsidR="005A3BB2">
              <w:rPr>
                <w:rFonts w:ascii="Arial Narrow" w:hAnsi="Arial Narrow" w:cs="Times New Roman"/>
                <w:sz w:val="18"/>
                <w:szCs w:val="18"/>
                <w:lang w:eastAsia="en-US"/>
              </w:rPr>
              <w:t xml:space="preserve"> sufficiency</w:t>
            </w:r>
            <w:r w:rsidR="00956396">
              <w:rPr>
                <w:rFonts w:ascii="Arial Narrow" w:hAnsi="Arial Narrow" w:cs="Times New Roman"/>
                <w:sz w:val="18"/>
                <w:szCs w:val="18"/>
                <w:lang w:eastAsia="en-US"/>
              </w:rPr>
              <w:t xml:space="preserve"> </w:t>
            </w:r>
            <w:r w:rsidRPr="005D2627">
              <w:rPr>
                <w:rFonts w:ascii="Arial Narrow" w:hAnsi="Arial Narrow" w:cs="Times New Roman"/>
                <w:sz w:val="18"/>
                <w:szCs w:val="18"/>
                <w:lang w:eastAsia="en-US"/>
              </w:rPr>
              <w:t>(MBS item 66608).</w:t>
            </w:r>
          </w:p>
        </w:tc>
      </w:tr>
      <w:tr w:rsidR="00F86C9F" w:rsidRPr="00565BF5" w:rsidTr="005D2627">
        <w:trPr>
          <w:trHeight w:val="418"/>
        </w:trPr>
        <w:tc>
          <w:tcPr>
            <w:tcW w:w="1056" w:type="pct"/>
            <w:tcBorders>
              <w:top w:val="single" w:sz="12" w:space="0" w:color="auto"/>
              <w:bottom w:val="single" w:sz="12" w:space="0" w:color="auto"/>
            </w:tcBorders>
            <w:shd w:val="pct10" w:color="auto" w:fill="auto"/>
          </w:tcPr>
          <w:p w:rsidR="00F86C9F" w:rsidRPr="005D2627" w:rsidRDefault="00F86C9F" w:rsidP="005D2627">
            <w:pPr>
              <w:spacing w:after="0" w:line="240" w:lineRule="auto"/>
              <w:jc w:val="left"/>
              <w:rPr>
                <w:rFonts w:ascii="Arial Narrow" w:eastAsia="Times New Roman" w:hAnsi="Arial Narrow" w:cs="Times New Roman"/>
                <w:b/>
                <w:sz w:val="18"/>
                <w:szCs w:val="18"/>
                <w:lang w:eastAsia="en-US"/>
              </w:rPr>
            </w:pPr>
            <w:r w:rsidRPr="005D2627">
              <w:rPr>
                <w:rFonts w:ascii="Arial Narrow" w:eastAsia="Times New Roman" w:hAnsi="Arial Narrow" w:cs="Times New Roman"/>
                <w:b/>
                <w:sz w:val="18"/>
                <w:szCs w:val="18"/>
                <w:lang w:eastAsia="en-US"/>
              </w:rPr>
              <w:t>Outcomes</w:t>
            </w:r>
          </w:p>
        </w:tc>
        <w:tc>
          <w:tcPr>
            <w:tcW w:w="3944" w:type="pct"/>
            <w:tcBorders>
              <w:top w:val="single" w:sz="12" w:space="0" w:color="auto"/>
              <w:bottom w:val="single" w:sz="12" w:space="0" w:color="auto"/>
            </w:tcBorders>
            <w:shd w:val="pct10" w:color="auto" w:fill="auto"/>
          </w:tcPr>
          <w:p w:rsidR="00F86C9F" w:rsidRPr="005D2627" w:rsidRDefault="00F86C9F" w:rsidP="006A45F1">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Outcomes include primary effectiveness, secondary effectiveness and safety outcomes. Minimal trauma fracture </w:t>
            </w:r>
            <w:r w:rsidR="006A45F1">
              <w:rPr>
                <w:rFonts w:ascii="Arial Narrow" w:eastAsia="Times New Roman" w:hAnsi="Arial Narrow" w:cs="Times New Roman"/>
                <w:sz w:val="18"/>
                <w:szCs w:val="18"/>
                <w:lang w:eastAsia="en-US"/>
              </w:rPr>
              <w:t>is a primary effectiveness outcome</w:t>
            </w:r>
            <w:r w:rsidRPr="005D2627">
              <w:rPr>
                <w:rFonts w:ascii="Arial Narrow" w:eastAsia="Times New Roman" w:hAnsi="Arial Narrow" w:cs="Times New Roman"/>
                <w:sz w:val="18"/>
                <w:szCs w:val="18"/>
                <w:lang w:eastAsia="en-US"/>
              </w:rPr>
              <w:t>.</w:t>
            </w:r>
          </w:p>
        </w:tc>
      </w:tr>
      <w:tr w:rsidR="00F86C9F" w:rsidRPr="00565BF5" w:rsidTr="006A45F1">
        <w:trPr>
          <w:trHeight w:val="418"/>
        </w:trPr>
        <w:tc>
          <w:tcPr>
            <w:tcW w:w="1056" w:type="pct"/>
            <w:tcBorders>
              <w:top w:val="single" w:sz="12" w:space="0" w:color="auto"/>
              <w:bottom w:val="nil"/>
            </w:tcBorders>
            <w:shd w:val="clear" w:color="auto" w:fill="auto"/>
          </w:tcPr>
          <w:p w:rsidR="00F86C9F" w:rsidRPr="005D2627" w:rsidRDefault="00F86C9F" w:rsidP="005D2627">
            <w:pPr>
              <w:spacing w:after="0" w:line="240" w:lineRule="auto"/>
              <w:jc w:val="left"/>
              <w:rPr>
                <w:rFonts w:ascii="Arial Narrow" w:eastAsia="Times New Roman" w:hAnsi="Arial Narrow" w:cs="Times New Roman"/>
                <w:b/>
                <w:sz w:val="18"/>
                <w:szCs w:val="18"/>
                <w:lang w:eastAsia="en-US"/>
              </w:rPr>
            </w:pPr>
          </w:p>
        </w:tc>
        <w:tc>
          <w:tcPr>
            <w:tcW w:w="3944" w:type="pct"/>
            <w:tcBorders>
              <w:top w:val="single" w:sz="12" w:space="0" w:color="auto"/>
              <w:bottom w:val="nil"/>
            </w:tcBorders>
            <w:shd w:val="clear" w:color="auto" w:fill="auto"/>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Primary effectiveness outcomes:</w:t>
            </w:r>
          </w:p>
          <w:p w:rsidR="00F86C9F" w:rsidRPr="005D2627" w:rsidRDefault="00F86C9F" w:rsidP="00D22FD6">
            <w:pPr>
              <w:pStyle w:val="ListParagraph"/>
              <w:numPr>
                <w:ilvl w:val="0"/>
                <w:numId w:val="44"/>
              </w:num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Incidence of minimal trauma fractures</w:t>
            </w:r>
          </w:p>
          <w:p w:rsidR="00F86C9F" w:rsidRPr="005D2627" w:rsidRDefault="00F86C9F" w:rsidP="00D22FD6">
            <w:pPr>
              <w:pStyle w:val="ListParagraph"/>
              <w:numPr>
                <w:ilvl w:val="0"/>
                <w:numId w:val="44"/>
              </w:num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Incidence of all new fractures</w:t>
            </w:r>
          </w:p>
          <w:p w:rsidR="00F86C9F" w:rsidRPr="005D2627" w:rsidRDefault="00F86C9F" w:rsidP="00D22FD6">
            <w:pPr>
              <w:pStyle w:val="ListParagraph"/>
              <w:numPr>
                <w:ilvl w:val="0"/>
                <w:numId w:val="44"/>
              </w:num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Patient-related quality of life</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Secondary effectiveness outcomes:</w:t>
            </w:r>
          </w:p>
          <w:p w:rsidR="005A3BB2" w:rsidRPr="00D22FD6" w:rsidRDefault="00F86C9F" w:rsidP="00D22FD6">
            <w:pPr>
              <w:pStyle w:val="ListParagraph"/>
              <w:numPr>
                <w:ilvl w:val="0"/>
                <w:numId w:val="78"/>
              </w:numPr>
              <w:spacing w:after="0" w:line="240" w:lineRule="auto"/>
              <w:jc w:val="left"/>
              <w:rPr>
                <w:rFonts w:ascii="Arial Narrow" w:eastAsia="Times New Roman" w:hAnsi="Arial Narrow" w:cs="Times New Roman"/>
                <w:sz w:val="18"/>
                <w:szCs w:val="18"/>
                <w:lang w:eastAsia="en-US"/>
              </w:rPr>
            </w:pPr>
            <w:r w:rsidRPr="00D22FD6">
              <w:rPr>
                <w:rFonts w:ascii="Arial Narrow" w:eastAsia="Times New Roman" w:hAnsi="Arial Narrow" w:cs="Times New Roman"/>
                <w:sz w:val="18"/>
                <w:szCs w:val="18"/>
                <w:lang w:eastAsia="en-US"/>
              </w:rPr>
              <w:t>Change in morbidity/mortality</w:t>
            </w:r>
            <w:r w:rsidR="005A3BB2" w:rsidRPr="00D22FD6">
              <w:rPr>
                <w:rFonts w:ascii="Arial Narrow" w:eastAsia="Times New Roman" w:hAnsi="Arial Narrow" w:cs="Times New Roman"/>
                <w:sz w:val="18"/>
                <w:szCs w:val="18"/>
                <w:lang w:eastAsia="en-US"/>
              </w:rPr>
              <w:t xml:space="preserve">  </w:t>
            </w:r>
          </w:p>
          <w:p w:rsidR="00F86C9F" w:rsidRPr="00D22FD6" w:rsidRDefault="005A3BB2" w:rsidP="00D22FD6">
            <w:pPr>
              <w:pStyle w:val="ListParagraph"/>
              <w:numPr>
                <w:ilvl w:val="0"/>
                <w:numId w:val="78"/>
              </w:numPr>
              <w:spacing w:after="0" w:line="240" w:lineRule="auto"/>
              <w:jc w:val="left"/>
              <w:rPr>
                <w:rFonts w:ascii="Arial Narrow" w:eastAsia="Times New Roman" w:hAnsi="Arial Narrow" w:cs="Times New Roman"/>
                <w:sz w:val="18"/>
                <w:szCs w:val="18"/>
                <w:lang w:eastAsia="en-US"/>
              </w:rPr>
            </w:pPr>
            <w:r w:rsidRPr="00D22FD6">
              <w:rPr>
                <w:rFonts w:ascii="Arial Narrow" w:eastAsia="Times New Roman" w:hAnsi="Arial Narrow" w:cs="Times New Roman"/>
                <w:sz w:val="18"/>
                <w:szCs w:val="18"/>
                <w:lang w:eastAsia="en-US"/>
              </w:rPr>
              <w:t>Bone mineral density (for example as provided by T-score).</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Safety outcomes and adverse events:</w:t>
            </w:r>
          </w:p>
          <w:p w:rsidR="00F86C9F" w:rsidRPr="00D22FD6" w:rsidRDefault="00F86C9F" w:rsidP="00D22FD6">
            <w:pPr>
              <w:pStyle w:val="ListParagraph"/>
              <w:numPr>
                <w:ilvl w:val="0"/>
                <w:numId w:val="79"/>
              </w:numPr>
              <w:spacing w:after="0" w:line="240" w:lineRule="auto"/>
              <w:jc w:val="left"/>
              <w:rPr>
                <w:rFonts w:ascii="Arial Narrow" w:eastAsia="Times New Roman" w:hAnsi="Arial Narrow" w:cs="Times New Roman"/>
                <w:sz w:val="18"/>
                <w:szCs w:val="18"/>
                <w:lang w:eastAsia="en-US"/>
              </w:rPr>
            </w:pPr>
            <w:r w:rsidRPr="00D22FD6">
              <w:rPr>
                <w:rFonts w:ascii="Arial Narrow" w:eastAsia="Times New Roman" w:hAnsi="Arial Narrow" w:cs="Times New Roman"/>
                <w:sz w:val="18"/>
                <w:szCs w:val="18"/>
                <w:lang w:eastAsia="en-US"/>
              </w:rPr>
              <w:t>Any adverse event or complication related to the DXA scanning or treatments for OP</w:t>
            </w:r>
          </w:p>
          <w:p w:rsidR="00F86C9F" w:rsidRPr="00D22FD6" w:rsidRDefault="00F86C9F" w:rsidP="00D22FD6">
            <w:pPr>
              <w:pStyle w:val="ListParagraph"/>
              <w:numPr>
                <w:ilvl w:val="0"/>
                <w:numId w:val="79"/>
              </w:numPr>
              <w:spacing w:after="0" w:line="240" w:lineRule="auto"/>
              <w:jc w:val="left"/>
              <w:rPr>
                <w:rFonts w:ascii="Arial Narrow" w:eastAsia="Times New Roman" w:hAnsi="Arial Narrow" w:cs="Times New Roman"/>
                <w:sz w:val="18"/>
                <w:szCs w:val="18"/>
                <w:lang w:eastAsia="en-US"/>
              </w:rPr>
            </w:pPr>
            <w:r w:rsidRPr="00D22FD6">
              <w:rPr>
                <w:rFonts w:ascii="Arial Narrow" w:eastAsia="Times New Roman" w:hAnsi="Arial Narrow" w:cs="Times New Roman"/>
                <w:sz w:val="18"/>
                <w:szCs w:val="18"/>
                <w:lang w:eastAsia="en-US"/>
              </w:rPr>
              <w:t>Any adverse event arising from exposure to ionising radiation.</w:t>
            </w:r>
          </w:p>
        </w:tc>
      </w:tr>
      <w:tr w:rsidR="00F86C9F" w:rsidRPr="00565BF5" w:rsidTr="005D2627">
        <w:trPr>
          <w:trHeight w:val="418"/>
        </w:trPr>
        <w:tc>
          <w:tcPr>
            <w:tcW w:w="1056" w:type="pct"/>
            <w:tcBorders>
              <w:top w:val="nil"/>
              <w:bottom w:val="single" w:sz="12" w:space="0" w:color="auto"/>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Approach to assessment</w:t>
            </w:r>
          </w:p>
        </w:tc>
        <w:tc>
          <w:tcPr>
            <w:tcW w:w="3944" w:type="pct"/>
            <w:tcBorders>
              <w:top w:val="nil"/>
              <w:bottom w:val="single" w:sz="12" w:space="0" w:color="auto"/>
            </w:tcBorders>
          </w:tcPr>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It is important to note all risk factors and their impact on loss of bone mineral density or minimal trauma fractures.</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All other prognostic factors for bone mineral density loss and minimal trauma fracture should be noted (such as age or gender).</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Where possible, the outcome of minimal trauma fracture should be disaggregated to t</w:t>
            </w:r>
            <w:r w:rsidR="0025521C">
              <w:rPr>
                <w:rFonts w:ascii="Arial Narrow" w:eastAsia="Times New Roman" w:hAnsi="Arial Narrow" w:cs="Times New Roman"/>
                <w:sz w:val="18"/>
                <w:szCs w:val="18"/>
                <w:lang w:eastAsia="en-US"/>
              </w:rPr>
              <w:t>ype and location of fracture (eg</w:t>
            </w:r>
            <w:r w:rsidRPr="005D2627">
              <w:rPr>
                <w:rFonts w:ascii="Arial Narrow" w:eastAsia="Times New Roman" w:hAnsi="Arial Narrow" w:cs="Times New Roman"/>
                <w:sz w:val="18"/>
                <w:szCs w:val="18"/>
                <w:lang w:eastAsia="en-US"/>
              </w:rPr>
              <w:t xml:space="preserve"> hip vs non-hip) as this is important to translate to any possible effects on life-years and quality-adjusted life-years.</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The location of the DXA exam (for example, proximal femur, lumbar spine, hip, distal radius) should be reported for all studies where possible. </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 xml:space="preserve">Where patients are re-tested, it should be noted whether subsequent tests are undertaken on the same machine, or a different machine but the same model, or at the same or different practice. </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PASC acknowledges that DXA is associated with low radiation doses, but that increasing the availability of DXA may significantly increase the exposure of the proposed population of otherwise healthy men and women to ionising radiation. This issue should be addressed in the assessment of evidence.</w:t>
            </w:r>
          </w:p>
          <w:p w:rsidR="00F86C9F" w:rsidRPr="005D2627" w:rsidRDefault="00F86C9F" w:rsidP="005D2627">
            <w:pPr>
              <w:spacing w:after="0" w:line="240" w:lineRule="auto"/>
              <w:jc w:val="left"/>
              <w:rPr>
                <w:rFonts w:ascii="Arial Narrow" w:eastAsia="Times New Roman" w:hAnsi="Arial Narrow" w:cs="Times New Roman"/>
                <w:sz w:val="18"/>
                <w:szCs w:val="18"/>
                <w:lang w:eastAsia="en-US"/>
              </w:rPr>
            </w:pPr>
            <w:r w:rsidRPr="005D2627">
              <w:rPr>
                <w:rFonts w:ascii="Arial Narrow" w:eastAsia="Times New Roman" w:hAnsi="Arial Narrow" w:cs="Times New Roman"/>
                <w:sz w:val="18"/>
                <w:szCs w:val="18"/>
                <w:lang w:eastAsia="en-US"/>
              </w:rPr>
              <w:t>Outcomes should be separated according to sub-populations where possible.</w:t>
            </w:r>
          </w:p>
        </w:tc>
      </w:tr>
    </w:tbl>
    <w:p w:rsidR="00F86C9F" w:rsidRPr="00FA270C" w:rsidRDefault="00BA3922" w:rsidP="00664A84">
      <w:pPr>
        <w:pStyle w:val="ListParagraph"/>
      </w:pPr>
      <w:r>
        <w:t>OP: osteoporosis</w:t>
      </w:r>
    </w:p>
    <w:p w:rsidR="00F86C9F" w:rsidRPr="00FA270C" w:rsidRDefault="00F86C9F" w:rsidP="002E057B">
      <w:pPr>
        <w:pStyle w:val="Heading1"/>
        <w:tabs>
          <w:tab w:val="left" w:pos="6120"/>
        </w:tabs>
        <w:rPr>
          <w:lang w:val="en-AU"/>
        </w:rPr>
      </w:pPr>
      <w:bookmarkStart w:id="69" w:name="_Toc335747770"/>
      <w:bookmarkStart w:id="70" w:name="_Toc361145575"/>
      <w:bookmarkStart w:id="71" w:name="_Toc362968604"/>
      <w:r w:rsidRPr="00FA270C">
        <w:rPr>
          <w:lang w:val="en-AU"/>
        </w:rPr>
        <w:t>Clinical research questions for public funding</w:t>
      </w:r>
      <w:bookmarkEnd w:id="69"/>
      <w:bookmarkEnd w:id="70"/>
      <w:bookmarkEnd w:id="71"/>
    </w:p>
    <w:p w:rsidR="00F86C9F" w:rsidRPr="00FA270C" w:rsidRDefault="00F86C9F" w:rsidP="002E057B">
      <w:pPr>
        <w:pStyle w:val="ListParagraph"/>
        <w:numPr>
          <w:ilvl w:val="0"/>
          <w:numId w:val="32"/>
        </w:numPr>
      </w:pPr>
      <w:r w:rsidRPr="00FA270C">
        <w:t>What is the safety of DXA and management of bone mineral density compared with no DXA and no bone loss management (or non-prescription bone loss management) f</w:t>
      </w:r>
      <w:r w:rsidR="006A45F1">
        <w:t>or individuals aged 50-69 years</w:t>
      </w:r>
      <w:r w:rsidRPr="00FA270C">
        <w:t xml:space="preserve"> with risk factors?</w:t>
      </w:r>
    </w:p>
    <w:p w:rsidR="00F86C9F" w:rsidRPr="00FA270C" w:rsidRDefault="00F86C9F" w:rsidP="002E057B">
      <w:pPr>
        <w:pStyle w:val="ListParagraph"/>
        <w:numPr>
          <w:ilvl w:val="0"/>
          <w:numId w:val="32"/>
        </w:numPr>
      </w:pPr>
      <w:r w:rsidRPr="00FA270C">
        <w:t>What is the effectiveness of DXA and management of bone mineral density compared with no DXA and no bone loss management (or non-prescription bone loss management) for individuals aged 50-69 years with risk factors?</w:t>
      </w:r>
    </w:p>
    <w:p w:rsidR="00F86C9F" w:rsidRPr="00FA270C" w:rsidRDefault="00F86C9F" w:rsidP="002E057B">
      <w:pPr>
        <w:pStyle w:val="ListParagraph"/>
        <w:numPr>
          <w:ilvl w:val="0"/>
          <w:numId w:val="32"/>
        </w:numPr>
      </w:pPr>
      <w:r w:rsidRPr="00FA270C">
        <w:t>What is the cost effectiveness of DXA and management of bone mineral density compared with no DXA and no bone loss management (or non-prescription bone loss management) for individuals aged 50-69 years with risk factors?</w:t>
      </w:r>
    </w:p>
    <w:p w:rsidR="00F86C9F" w:rsidRPr="00FA270C" w:rsidRDefault="00F86C9F" w:rsidP="00433750">
      <w:pPr>
        <w:pStyle w:val="ListParagraph"/>
        <w:numPr>
          <w:ilvl w:val="1"/>
          <w:numId w:val="32"/>
        </w:numPr>
      </w:pPr>
      <w:r w:rsidRPr="00FA270C">
        <w:t>Sensitivity analyses should be undertaken to provide information on the range of variables identified throughout this DAP.</w:t>
      </w:r>
    </w:p>
    <w:p w:rsidR="00F86C9F" w:rsidRPr="00FA270C" w:rsidRDefault="00F86C9F" w:rsidP="002E057B">
      <w:pPr>
        <w:pStyle w:val="ListParagraph"/>
        <w:numPr>
          <w:ilvl w:val="0"/>
          <w:numId w:val="32"/>
        </w:numPr>
      </w:pPr>
      <w:r w:rsidRPr="00FA270C">
        <w:t>The response to each question should account for:</w:t>
      </w:r>
    </w:p>
    <w:p w:rsidR="00F86C9F" w:rsidRPr="00FA270C" w:rsidRDefault="00F86C9F" w:rsidP="00D93ED3">
      <w:pPr>
        <w:pStyle w:val="ListParagraph"/>
        <w:numPr>
          <w:ilvl w:val="1"/>
          <w:numId w:val="32"/>
        </w:numPr>
      </w:pPr>
      <w:r w:rsidRPr="00FA270C">
        <w:t>What risk factors currently not reflected in the MBS are most relevant for osteoporosis?</w:t>
      </w:r>
    </w:p>
    <w:p w:rsidR="00F86C9F" w:rsidRPr="00FA270C" w:rsidRDefault="00F86C9F" w:rsidP="00D93ED3">
      <w:pPr>
        <w:pStyle w:val="ListParagraph"/>
        <w:numPr>
          <w:ilvl w:val="1"/>
          <w:numId w:val="32"/>
        </w:numPr>
      </w:pPr>
      <w:r w:rsidRPr="00FA270C">
        <w:t xml:space="preserve">For each risk factor identified, what should the threshold be for treatment with anti-resorptive medication? </w:t>
      </w:r>
    </w:p>
    <w:p w:rsidR="00F86C9F" w:rsidRPr="00FA270C" w:rsidRDefault="00F86C9F" w:rsidP="00D93ED3">
      <w:pPr>
        <w:pStyle w:val="ListParagraph"/>
        <w:numPr>
          <w:ilvl w:val="1"/>
          <w:numId w:val="32"/>
        </w:numPr>
      </w:pPr>
      <w:r w:rsidRPr="00FA270C">
        <w:t>How should multiple risk factors and their interactions be considered in terms of treatment with anti-resorptive medication?</w:t>
      </w:r>
    </w:p>
    <w:p w:rsidR="00F86C9F" w:rsidRPr="00FA270C" w:rsidRDefault="00F86C9F" w:rsidP="00D93ED3">
      <w:pPr>
        <w:pStyle w:val="ListParagraph"/>
        <w:numPr>
          <w:ilvl w:val="1"/>
          <w:numId w:val="32"/>
        </w:numPr>
      </w:pPr>
      <w:r w:rsidRPr="00FA270C">
        <w:t>What should be the frequency of re-testing in each identified population?</w:t>
      </w:r>
    </w:p>
    <w:p w:rsidR="00F86C9F" w:rsidRPr="00FA270C" w:rsidRDefault="00F86C9F">
      <w:pPr>
        <w:spacing w:after="0" w:line="240" w:lineRule="auto"/>
        <w:jc w:val="left"/>
        <w:rPr>
          <w:b/>
          <w:color w:val="215868"/>
          <w:szCs w:val="28"/>
          <w:lang w:eastAsia="ja-JP"/>
        </w:rPr>
      </w:pPr>
      <w:r w:rsidRPr="00FA270C">
        <w:br w:type="page"/>
      </w:r>
    </w:p>
    <w:p w:rsidR="00F86C9F" w:rsidRPr="00FA270C" w:rsidRDefault="00F86C9F">
      <w:pPr>
        <w:pStyle w:val="Heading1"/>
        <w:rPr>
          <w:lang w:val="en-AU"/>
        </w:rPr>
      </w:pPr>
      <w:bookmarkStart w:id="72" w:name="_Toc361145576"/>
      <w:bookmarkStart w:id="73" w:name="_Toc362968605"/>
      <w:r w:rsidRPr="00FA270C">
        <w:rPr>
          <w:lang w:val="en-AU"/>
        </w:rPr>
        <w:lastRenderedPageBreak/>
        <w:t>References</w:t>
      </w:r>
      <w:bookmarkEnd w:id="72"/>
      <w:bookmarkEnd w:id="73"/>
    </w:p>
    <w:p w:rsidR="00F86C9F" w:rsidRPr="00FA270C" w:rsidRDefault="00F86C9F" w:rsidP="00BE3BA5">
      <w:r w:rsidRPr="00FA270C">
        <w:t>AIHW 2008. Arthritis and osteoporosis in Australia 2008. Arthritis series no. 8. Cat. no. PHE 106. Australian Institute of Health and Welfare, Canberra: AIHW.</w:t>
      </w:r>
    </w:p>
    <w:p w:rsidR="00F86C9F" w:rsidRPr="00FA270C" w:rsidRDefault="00F86C9F">
      <w:r w:rsidRPr="00FA270C">
        <w:t>AIHW 2010a. ‘Use of health services for arthritis and osteoporosis’. Arthritis series no. 14. Cat. no. PHE 130. Australian Institute of Health and Welfare, Canberra.</w:t>
      </w:r>
    </w:p>
    <w:p w:rsidR="00F86C9F" w:rsidRPr="00FA270C" w:rsidRDefault="00F86C9F">
      <w:r w:rsidRPr="00FA270C">
        <w:t>AIHW 2010b. ‘Medication use for arthritis and osteoporosis’. Cat. no. PHE 121. Australian Institute of Health and Welfare, Canberra.</w:t>
      </w:r>
    </w:p>
    <w:p w:rsidR="00F86C9F" w:rsidRPr="00FA270C" w:rsidRDefault="00F86C9F" w:rsidP="00BE3BA5">
      <w:r w:rsidRPr="00FA270C">
        <w:t xml:space="preserve">AIHW 2011. ‘A snapshot of osteoporosis in Australia 2011’. Arthritis series no. 15. Cat. no. PHE 137. Australian Institute of Health and Welfare, Canberra. </w:t>
      </w:r>
    </w:p>
    <w:p w:rsidR="00F86C9F" w:rsidRPr="00FA270C" w:rsidRDefault="00F86C9F" w:rsidP="000A2B2E">
      <w:r w:rsidRPr="00FA270C">
        <w:t xml:space="preserve">AIHW 2012. Australia’s Health 2012 series no. 13. Cat. no. AUS 156. Australian Institute of Health and Welfare, Canberra. </w:t>
      </w:r>
    </w:p>
    <w:p w:rsidR="00F86C9F" w:rsidRPr="00FA270C" w:rsidRDefault="00F86C9F" w:rsidP="000A2B2E">
      <w:r w:rsidRPr="00FA270C">
        <w:t xml:space="preserve">Albright F., Reifenstein Jr E.C. 1948. ‘The parathyroid glands and metabolic bone disease – selected studies’. </w:t>
      </w:r>
      <w:r w:rsidRPr="00FA270C">
        <w:rPr>
          <w:i/>
        </w:rPr>
        <w:t>The Williams and Wilkins Company, Baltimore</w:t>
      </w:r>
      <w:r w:rsidRPr="00FA270C">
        <w:t>.</w:t>
      </w:r>
    </w:p>
    <w:p w:rsidR="00F86C9F" w:rsidRPr="00FA270C" w:rsidRDefault="00F86C9F">
      <w:r w:rsidRPr="00FA270C">
        <w:t xml:space="preserve">Bilezikian, J.P. 1999. ‘Osteoporosis in Men’, </w:t>
      </w:r>
      <w:r w:rsidRPr="00FA270C">
        <w:rPr>
          <w:i/>
        </w:rPr>
        <w:t>The Journal of Clinical Endocrinology &amp; Metabolism</w:t>
      </w:r>
      <w:r w:rsidRPr="00FA270C">
        <w:t>, 84 (10), 3431-3434.</w:t>
      </w:r>
    </w:p>
    <w:p w:rsidR="00F86C9F" w:rsidRPr="00FA270C" w:rsidRDefault="00F86C9F" w:rsidP="00BE3BA5">
      <w:r w:rsidRPr="00FA270C">
        <w:t xml:space="preserve">Carlsson A, Lindquist B, 1955, ‘A comparison of the intestinal and skeletal effect of vitamin D in relation to dosage’, </w:t>
      </w:r>
      <w:r w:rsidRPr="00FA270C">
        <w:rPr>
          <w:i/>
        </w:rPr>
        <w:t>Acta Physiol Scand</w:t>
      </w:r>
      <w:r w:rsidRPr="00FA270C">
        <w:t xml:space="preserve">, 35, 63-65. </w:t>
      </w:r>
    </w:p>
    <w:p w:rsidR="00F86C9F" w:rsidRPr="00FA270C" w:rsidRDefault="00F86C9F">
      <w:r w:rsidRPr="00FA270C">
        <w:t xml:space="preserve">Center, J.R., Bliuc, D., et al 2007. ‘Risk of subsequent fracture after low-trauma fracture in men and women’. </w:t>
      </w:r>
      <w:r w:rsidRPr="00FA270C">
        <w:rPr>
          <w:i/>
        </w:rPr>
        <w:t xml:space="preserve">Journal of American Medical Association, </w:t>
      </w:r>
      <w:r w:rsidRPr="00FA270C">
        <w:t>297 (4), 387–394.</w:t>
      </w:r>
    </w:p>
    <w:p w:rsidR="00F86C9F" w:rsidRPr="00FA270C" w:rsidRDefault="00F86C9F">
      <w:r w:rsidRPr="00FA270C">
        <w:t xml:space="preserve">Damilakis, J. and Guglielmi, G. 2010. ‘Quality Assurance and Dosimetry in Bone Densitometry’, </w:t>
      </w:r>
      <w:r w:rsidRPr="00FA270C">
        <w:rPr>
          <w:i/>
        </w:rPr>
        <w:t>Radiology Clinics of North America</w:t>
      </w:r>
      <w:r w:rsidRPr="00FA270C">
        <w:t>, 48 (3), 629-640.</w:t>
      </w:r>
    </w:p>
    <w:p w:rsidR="00F86C9F" w:rsidRPr="00FA270C" w:rsidRDefault="00F86C9F">
      <w:r w:rsidRPr="00FA270C">
        <w:t xml:space="preserve">Dasher, L.G., Newton, C.D., et al 2010. ‘Dual X-ray Absorptiometry in Today’s Clinical Practice’, </w:t>
      </w:r>
      <w:r w:rsidRPr="00FA270C">
        <w:rPr>
          <w:i/>
        </w:rPr>
        <w:t>Radiologic Clinics of North America</w:t>
      </w:r>
      <w:r w:rsidRPr="00FA270C">
        <w:t>, 48 (3), 541-560.</w:t>
      </w:r>
    </w:p>
    <w:p w:rsidR="00F86C9F" w:rsidRPr="00FA270C" w:rsidRDefault="00F86C9F">
      <w:r w:rsidRPr="00FA270C">
        <w:t xml:space="preserve">Elders, P.J.M., Netelenbos, J.C., et al 1988. ‘Accelerated vertebral bone loss in relation to menopause: a cross-sectional study on lumbar bone density in 286 women of 46-55 years of age’, </w:t>
      </w:r>
      <w:r w:rsidRPr="00FA270C">
        <w:rPr>
          <w:i/>
        </w:rPr>
        <w:t>Bone and Mineral</w:t>
      </w:r>
      <w:r w:rsidRPr="00FA270C">
        <w:t>, 5 (1), 11-19.</w:t>
      </w:r>
    </w:p>
    <w:p w:rsidR="00F86C9F" w:rsidRPr="00FA270C" w:rsidRDefault="00F86C9F">
      <w:r w:rsidRPr="00FA270C">
        <w:t xml:space="preserve">Ewald, D.P., Eisman, J.A., et al 2009. ‘Population rates of bone densitometry use in Australia, 2001-2005, by sex and rural versus urban location’. </w:t>
      </w:r>
      <w:r w:rsidRPr="00FA270C">
        <w:rPr>
          <w:i/>
        </w:rPr>
        <w:t xml:space="preserve">Medical Journal of Australia, </w:t>
      </w:r>
      <w:r w:rsidRPr="00FA270C">
        <w:t>190 (3), 126-128.</w:t>
      </w:r>
    </w:p>
    <w:p w:rsidR="00F86C9F" w:rsidRPr="00FA270C" w:rsidRDefault="00F86C9F">
      <w:r w:rsidRPr="00FA270C">
        <w:t xml:space="preserve">Henry, M.J., Pasco, J.A., et al 2011. ‘Prevalence of osteoporosis in Australian men and women: Geelong Osteoporosis Study’, </w:t>
      </w:r>
      <w:r w:rsidRPr="00FA270C">
        <w:rPr>
          <w:i/>
        </w:rPr>
        <w:t>Medical Journal of Australia</w:t>
      </w:r>
      <w:r w:rsidRPr="00FA270C">
        <w:t>, 195 (6), 321-322.</w:t>
      </w:r>
    </w:p>
    <w:p w:rsidR="00F86C9F" w:rsidRPr="00FA270C" w:rsidRDefault="00F86C9F" w:rsidP="00BE3BA5">
      <w:r w:rsidRPr="00FA270C">
        <w:lastRenderedPageBreak/>
        <w:t xml:space="preserve">Jones G, Strugnell SA, DeLuca HF, 1998, ‘Current understanding of the molecular actions of vitamin D’, </w:t>
      </w:r>
      <w:r w:rsidRPr="00FA270C">
        <w:rPr>
          <w:i/>
        </w:rPr>
        <w:t xml:space="preserve">Physiological Reviews </w:t>
      </w:r>
      <w:r w:rsidRPr="00FA270C">
        <w:t>78(4), 1193-1231.</w:t>
      </w:r>
    </w:p>
    <w:p w:rsidR="00F86C9F" w:rsidRPr="00FA270C" w:rsidRDefault="00F86C9F">
      <w:r w:rsidRPr="00FA270C">
        <w:t>Marcus, R., Feldman, D., et al 2008 (editors). Osteoporosis (Third Edition), Chapter 2 – The Nature of Osteoporosis, by Marcus R and Bouxsein M. Elsevier Inc. 27-36.</w:t>
      </w:r>
    </w:p>
    <w:p w:rsidR="00F86C9F" w:rsidRPr="00FA270C" w:rsidRDefault="00F86C9F" w:rsidP="00BE3BA5">
      <w:r w:rsidRPr="00FA270C">
        <w:t>Morris H.A., Cleghorn, D.B., Need, A.G., Horowitz, M., Nordin B.E.C. 1995 ‘The 5-year reproducibility of calcium-related biochemical variables in post-menopausal women’ Scand J Clini Lab Invest 55(5):383-389.</w:t>
      </w:r>
    </w:p>
    <w:p w:rsidR="00F86C9F" w:rsidRPr="00FA270C" w:rsidRDefault="00F86C9F" w:rsidP="00BE3BA5">
      <w:r w:rsidRPr="00FA270C">
        <w:t xml:space="preserve">Need A.G., Morris H.A., Horowitz M., Nordin B.E.C., 1993, ‘Effects of skin thickness, age, body fat, and sunlight on serum 25-hydroxyvitamin D’ </w:t>
      </w:r>
      <w:r w:rsidRPr="00FA270C">
        <w:rPr>
          <w:i/>
        </w:rPr>
        <w:t>Am J Clin Nutr</w:t>
      </w:r>
      <w:r w:rsidRPr="00FA270C">
        <w:t>, 58,882-885.</w:t>
      </w:r>
    </w:p>
    <w:p w:rsidR="00F86C9F" w:rsidRPr="00FA270C" w:rsidRDefault="00F86C9F">
      <w:r w:rsidRPr="00FA270C">
        <w:t xml:space="preserve">Nowson, C.A., McGrath, J.J., et al 2012. ‘Working Group of the Australian and New Zealand Bone and Mineral Society, Endocrine Society of Australia and Osteoporosis Australia; Vitamin D and health in adults in Australia and New Zealand: a position statement’, </w:t>
      </w:r>
      <w:r w:rsidRPr="00FA270C">
        <w:rPr>
          <w:i/>
        </w:rPr>
        <w:t>Medical Journal of Australia</w:t>
      </w:r>
      <w:r w:rsidRPr="00FA270C">
        <w:t>, 196 (11), 686-687.</w:t>
      </w:r>
    </w:p>
    <w:p w:rsidR="00F86C9F" w:rsidRPr="00FA270C" w:rsidRDefault="00F86C9F" w:rsidP="00337261">
      <w:r w:rsidRPr="00FA270C">
        <w:t>Osteoporosis Australia 2011, ‘Who gets osteoporosis’ [Internet], available from &lt;</w:t>
      </w:r>
      <w:hyperlink r:id="rId21" w:tooltip="Osteoporosis Australia" w:history="1">
        <w:r w:rsidRPr="00FA270C">
          <w:rPr>
            <w:rStyle w:val="Hyperlink"/>
            <w:rFonts w:cs="Tahoma"/>
          </w:rPr>
          <w:t>http://www.osteoporosis.org.au/about/about-osteoporosis/risk-factors/</w:t>
        </w:r>
      </w:hyperlink>
      <w:r w:rsidRPr="00FA270C">
        <w:t>&gt;, last updated on 6 July 2011.</w:t>
      </w:r>
    </w:p>
    <w:p w:rsidR="00F86C9F" w:rsidRPr="00FA270C" w:rsidRDefault="00F86C9F">
      <w:r w:rsidRPr="00FA270C">
        <w:t>Prostate Cancer Foundation of Australia 2012. [Internet]. Available from:&lt;http://www.prostate.org.au/articleLive/pages/Prostate-Cancer-Statistics.html</w:t>
      </w:r>
      <w:r w:rsidRPr="00FA270C">
        <w:rPr>
          <w:rStyle w:val="Hyperlink"/>
          <w:rFonts w:cs="Tahoma"/>
        </w:rPr>
        <w:t>&gt;,</w:t>
      </w:r>
      <w:r w:rsidRPr="00FA270C">
        <w:t xml:space="preserve">  [Accessed 23 May 2012].</w:t>
      </w:r>
    </w:p>
    <w:p w:rsidR="00B835A2" w:rsidRDefault="00B835A2" w:rsidP="00413ADC">
      <w:r>
        <w:t>RACGP 2010a</w:t>
      </w:r>
      <w:r w:rsidR="00150F35">
        <w:t xml:space="preserve">, </w:t>
      </w:r>
      <w:r w:rsidR="00150F35" w:rsidRPr="0094474D">
        <w:t>Algorithm for the prevention and treatment of osteoporosis in postmenopausal women and older men</w:t>
      </w:r>
      <w:r w:rsidR="00150F35">
        <w:t xml:space="preserve">. </w:t>
      </w:r>
      <w:r w:rsidR="00150F35" w:rsidRPr="0094474D">
        <w:t>The Royal Australian College of General Practitioners, [Internet]. Available from: &lt;http://www.racgp.org.au/guidelines/musculoskeletaldisea</w:t>
      </w:r>
      <w:r w:rsidR="00150F35">
        <w:t>ses/osteoporosis&gt; [Accessed July 2013</w:t>
      </w:r>
      <w:r w:rsidR="00150F35" w:rsidRPr="0094474D">
        <w:t>].</w:t>
      </w:r>
    </w:p>
    <w:p w:rsidR="00F86C9F" w:rsidRPr="00FA270C" w:rsidRDefault="00F86C9F" w:rsidP="00413ADC">
      <w:r w:rsidRPr="00FA270C">
        <w:t>RACGP 2010</w:t>
      </w:r>
      <w:r w:rsidR="00B835A2">
        <w:t>b</w:t>
      </w:r>
      <w:r w:rsidRPr="00FA270C">
        <w:t>. ‘Clinical guideline for the prevention and treatment of osteoporosis in postmenopausal women and older men’, [Internet]. Available from &lt;</w:t>
      </w:r>
      <w:hyperlink r:id="rId22" w:tooltip="This is a link to the RACGP website on Osteoporosis Australia" w:history="1">
        <w:r w:rsidRPr="00FA270C">
          <w:rPr>
            <w:rStyle w:val="Hyperlink"/>
            <w:rFonts w:cs="Tahoma"/>
          </w:rPr>
          <w:t>http://www.racgp.org.au/guidelines/musculoskeletaldiseases/osteoporosis</w:t>
        </w:r>
      </w:hyperlink>
      <w:r w:rsidRPr="00FA270C">
        <w:t>&gt;, accessed 12 October 2012.</w:t>
      </w:r>
    </w:p>
    <w:p w:rsidR="00F86C9F" w:rsidRPr="00FA270C" w:rsidRDefault="00F86C9F">
      <w:r w:rsidRPr="00FA270C">
        <w:t xml:space="preserve">Riggs, B.L. 2000. ‘The mechanisms of estrogen regulation of bone resorption’, </w:t>
      </w:r>
      <w:r w:rsidRPr="00FA270C">
        <w:rPr>
          <w:i/>
        </w:rPr>
        <w:t>The Journal of Clinical Investigation</w:t>
      </w:r>
      <w:r w:rsidRPr="00FA270C">
        <w:t>, 106 (10), 1203-1204.</w:t>
      </w:r>
    </w:p>
    <w:p w:rsidR="00F86C9F" w:rsidRPr="00FA270C" w:rsidRDefault="00F86C9F">
      <w:r w:rsidRPr="00FA270C">
        <w:t xml:space="preserve">Santen, R.J. 2011. ‘Effect of Endocrine Therapies on Bone in Breast Cancer Patients’, </w:t>
      </w:r>
      <w:r w:rsidRPr="00FA270C">
        <w:rPr>
          <w:i/>
        </w:rPr>
        <w:t>Journal of Clinical Endocrinology and Metabolism</w:t>
      </w:r>
      <w:r w:rsidRPr="00FA270C">
        <w:t>, 96 (2), 308-319.</w:t>
      </w:r>
    </w:p>
    <w:p w:rsidR="00F86C9F" w:rsidRPr="00FA270C" w:rsidRDefault="00F86C9F" w:rsidP="000B7D96">
      <w:r w:rsidRPr="00FA270C">
        <w:t xml:space="preserve">Sanders, K.M, Nicholson, G.C, et al 1999a. ‘Health burden of hip and other fractures in Australia beyond 2000’, </w:t>
      </w:r>
      <w:r w:rsidRPr="00FA270C">
        <w:rPr>
          <w:i/>
        </w:rPr>
        <w:t xml:space="preserve">Medical Journal of Australia, </w:t>
      </w:r>
      <w:r w:rsidRPr="00FA270C">
        <w:t>170 (10), 467-470.</w:t>
      </w:r>
    </w:p>
    <w:p w:rsidR="00F86C9F" w:rsidRPr="00FA270C" w:rsidRDefault="00F86C9F" w:rsidP="00337261">
      <w:r w:rsidRPr="00FA270C">
        <w:lastRenderedPageBreak/>
        <w:t xml:space="preserve">Sanders KM, Seeman E, Ugoni AM, Pasco JA, Martin TJ, Skoric B, Nicholson GC, Lotowicz MA. 1999b ‘Age- and gender-specific rate of fractures in Australia: A population based study’, </w:t>
      </w:r>
      <w:r w:rsidRPr="00FA270C">
        <w:rPr>
          <w:i/>
        </w:rPr>
        <w:t>Osteoporos Int</w:t>
      </w:r>
      <w:r w:rsidRPr="00FA270C">
        <w:t xml:space="preserve"> 10,240-247</w:t>
      </w:r>
    </w:p>
    <w:p w:rsidR="00F86C9F" w:rsidRPr="00FA270C" w:rsidRDefault="00F86C9F">
      <w:r w:rsidRPr="00FA270C">
        <w:t>SIGN – Scottish Intercollegiate Guidelines Network – Management of osteoporosis, A national clinical guideline, June 2003. Website: [Accessed June 2011]</w:t>
      </w:r>
    </w:p>
    <w:p w:rsidR="00F86C9F" w:rsidRPr="00FA270C" w:rsidRDefault="00F86C9F" w:rsidP="00BF3308">
      <w:r w:rsidRPr="00FA270C">
        <w:t xml:space="preserve">Smith, M. 2006, ‘Treatment-Related Osteoporosis in Men with Prostate Cancer’, </w:t>
      </w:r>
      <w:r w:rsidRPr="00FA270C">
        <w:rPr>
          <w:i/>
        </w:rPr>
        <w:t>Clin Cancer Res</w:t>
      </w:r>
      <w:r w:rsidRPr="00FA270C">
        <w:t>, 12 (20), 6315s-6319s.</w:t>
      </w:r>
    </w:p>
    <w:p w:rsidR="00F86C9F" w:rsidRPr="00FA270C" w:rsidRDefault="00F86C9F" w:rsidP="008B7D53">
      <w:pPr>
        <w:jc w:val="left"/>
      </w:pPr>
      <w:r w:rsidRPr="00FA270C">
        <w:t xml:space="preserve">WHO 2003. Prevention and management of osteoporosis. WHO technical report series 921. WHO Scientific Group. World Health Organization WHO, Geneva, [Internet]. Available from:&lt; http://libdoc.who.int/trs/CACHE_DUVIE=b7539c2ffad72075a3bfe251c3f847ae/WHO_TRS_921.pdf&gt;, [Accessed 23 May 2012]. </w:t>
      </w:r>
    </w:p>
    <w:p w:rsidR="00F86C9F" w:rsidRPr="00FA270C" w:rsidRDefault="00F86C9F" w:rsidP="00524DE4">
      <w:pPr>
        <w:jc w:val="left"/>
      </w:pPr>
      <w:r w:rsidRPr="00FA270C">
        <w:t>WHO 2007. Assessment of osteoporosis at the primary health care level. Summary Report of a WHO Scientific Group. World Health Organisation WHO, Geneva, [Internet]. Available from:&lt; http://www.shef.ac.uk/FRAX/pdfs/WHO_Technical_Report.pdf&gt;, [Accessed 23 May 2012].</w:t>
      </w:r>
      <w:r w:rsidR="00524DE4" w:rsidRPr="00FA270C">
        <w:t xml:space="preserve"> </w:t>
      </w:r>
    </w:p>
    <w:p w:rsidR="00F86C9F" w:rsidRPr="00FA270C" w:rsidRDefault="00F86C9F">
      <w:pPr>
        <w:spacing w:after="0" w:line="240" w:lineRule="auto"/>
        <w:jc w:val="left"/>
      </w:pPr>
      <w:r w:rsidRPr="00FA270C">
        <w:br w:type="page"/>
      </w:r>
    </w:p>
    <w:p w:rsidR="00F86C9F" w:rsidRPr="00FA270C" w:rsidRDefault="00F86C9F" w:rsidP="002E057B">
      <w:pPr>
        <w:pStyle w:val="Heading1"/>
        <w:rPr>
          <w:lang w:val="en-AU"/>
        </w:rPr>
      </w:pPr>
      <w:bookmarkStart w:id="74" w:name="_Toc335747772"/>
      <w:bookmarkStart w:id="75" w:name="_Ref358199512"/>
      <w:bookmarkStart w:id="76" w:name="_Ref358199730"/>
      <w:bookmarkStart w:id="77" w:name="_Toc361145577"/>
      <w:bookmarkStart w:id="78" w:name="_Toc362968606"/>
      <w:r w:rsidRPr="00FA270C">
        <w:rPr>
          <w:lang w:val="en-AU"/>
        </w:rPr>
        <w:lastRenderedPageBreak/>
        <w:t>Appendix 1</w:t>
      </w:r>
      <w:bookmarkEnd w:id="74"/>
      <w:r w:rsidRPr="00FA270C">
        <w:rPr>
          <w:lang w:val="en-AU"/>
        </w:rPr>
        <w:tab/>
        <w:t>Examples of treatments currently listed on the ARTG for the treatment of osteoporosis</w:t>
      </w:r>
      <w:bookmarkEnd w:id="75"/>
      <w:bookmarkEnd w:id="76"/>
      <w:bookmarkEnd w:id="77"/>
      <w:bookmarkEnd w:id="78"/>
    </w:p>
    <w:tbl>
      <w:tblPr>
        <w:tblW w:w="0" w:type="auto"/>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093"/>
        <w:gridCol w:w="1559"/>
        <w:gridCol w:w="4820"/>
      </w:tblGrid>
      <w:tr w:rsidR="00F86C9F" w:rsidRPr="00FA270C" w:rsidTr="002E057B">
        <w:tc>
          <w:tcPr>
            <w:tcW w:w="2093" w:type="dxa"/>
          </w:tcPr>
          <w:p w:rsidR="00F86C9F" w:rsidRPr="00FA270C" w:rsidRDefault="00F86C9F" w:rsidP="002E057B">
            <w:pPr>
              <w:tabs>
                <w:tab w:val="left" w:pos="2835"/>
              </w:tabs>
              <w:spacing w:after="0"/>
              <w:rPr>
                <w:rFonts w:ascii="Arial Narrow" w:hAnsi="Arial Narrow"/>
                <w:lang w:eastAsia="ja-JP"/>
              </w:rPr>
            </w:pPr>
            <w:r w:rsidRPr="00FA270C">
              <w:rPr>
                <w:rFonts w:ascii="Arial Narrow" w:hAnsi="Arial Narrow"/>
                <w:lang w:eastAsia="ja-JP"/>
              </w:rPr>
              <w:t>ARTG number</w:t>
            </w:r>
          </w:p>
        </w:tc>
        <w:tc>
          <w:tcPr>
            <w:tcW w:w="1559" w:type="dxa"/>
          </w:tcPr>
          <w:p w:rsidR="00F86C9F" w:rsidRPr="00FA270C" w:rsidRDefault="00F86C9F" w:rsidP="002E057B">
            <w:pPr>
              <w:tabs>
                <w:tab w:val="left" w:pos="2835"/>
              </w:tabs>
              <w:spacing w:after="0"/>
              <w:rPr>
                <w:rFonts w:ascii="Arial Narrow" w:hAnsi="Arial Narrow"/>
                <w:lang w:eastAsia="ja-JP"/>
              </w:rPr>
            </w:pPr>
            <w:r w:rsidRPr="00FA270C">
              <w:rPr>
                <w:rFonts w:ascii="Arial Narrow" w:hAnsi="Arial Narrow"/>
                <w:lang w:eastAsia="ja-JP"/>
              </w:rPr>
              <w:t>Product name</w:t>
            </w:r>
          </w:p>
        </w:tc>
        <w:tc>
          <w:tcPr>
            <w:tcW w:w="4820" w:type="dxa"/>
          </w:tcPr>
          <w:p w:rsidR="00F86C9F" w:rsidRPr="00FA270C" w:rsidRDefault="00F86C9F" w:rsidP="002E057B">
            <w:pPr>
              <w:tabs>
                <w:tab w:val="left" w:pos="2835"/>
              </w:tabs>
              <w:spacing w:after="0"/>
              <w:rPr>
                <w:rFonts w:ascii="Arial Narrow" w:hAnsi="Arial Narrow"/>
                <w:lang w:eastAsia="ja-JP"/>
              </w:rPr>
            </w:pPr>
            <w:r w:rsidRPr="00FA270C">
              <w:rPr>
                <w:rFonts w:ascii="Arial Narrow" w:hAnsi="Arial Narrow"/>
                <w:lang w:eastAsia="ja-JP"/>
              </w:rPr>
              <w:t>Approved indication</w:t>
            </w:r>
          </w:p>
        </w:tc>
      </w:tr>
      <w:tr w:rsidR="00F86C9F" w:rsidRPr="00FA270C" w:rsidTr="002E057B">
        <w:tc>
          <w:tcPr>
            <w:tcW w:w="8472" w:type="dxa"/>
            <w:gridSpan w:val="3"/>
          </w:tcPr>
          <w:p w:rsidR="00F86C9F" w:rsidRPr="00FA270C" w:rsidRDefault="00F86C9F" w:rsidP="002E057B">
            <w:pPr>
              <w:tabs>
                <w:tab w:val="left" w:pos="2835"/>
              </w:tabs>
              <w:spacing w:after="0"/>
              <w:rPr>
                <w:rFonts w:ascii="Arial Narrow" w:hAnsi="Arial Narrow"/>
                <w:b/>
                <w:lang w:eastAsia="ja-JP"/>
              </w:rPr>
            </w:pPr>
            <w:r w:rsidRPr="00FA270C">
              <w:rPr>
                <w:rFonts w:ascii="Arial Narrow" w:hAnsi="Arial Narrow"/>
                <w:b/>
                <w:lang w:eastAsia="ja-JP"/>
              </w:rPr>
              <w:t>Selective oestrogen receptor modulators (SERMs)</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161797</w:t>
            </w:r>
          </w:p>
        </w:tc>
        <w:tc>
          <w:tcPr>
            <w:tcW w:w="1559" w:type="dxa"/>
          </w:tcPr>
          <w:p w:rsidR="00F86C9F" w:rsidRPr="00FA270C" w:rsidRDefault="00F86C9F" w:rsidP="002E057B">
            <w:pPr>
              <w:tabs>
                <w:tab w:val="left" w:pos="2835"/>
              </w:tabs>
              <w:spacing w:after="0"/>
              <w:ind w:left="175"/>
              <w:contextualSpacing/>
              <w:rPr>
                <w:rFonts w:ascii="Arial Narrow" w:hAnsi="Arial Narrow"/>
                <w:lang w:eastAsia="ja-JP"/>
              </w:rPr>
            </w:pPr>
            <w:r w:rsidRPr="00FA270C">
              <w:rPr>
                <w:rFonts w:ascii="Arial Narrow" w:hAnsi="Arial Narrow"/>
                <w:lang w:eastAsia="ja-JP"/>
              </w:rPr>
              <w:t>Femarelle</w:t>
            </w:r>
          </w:p>
        </w:tc>
        <w:tc>
          <w:tcPr>
            <w:tcW w:w="4820" w:type="dxa"/>
          </w:tcPr>
          <w:p w:rsidR="00F86C9F" w:rsidRPr="00FA270C" w:rsidRDefault="00F86C9F" w:rsidP="002E057B">
            <w:pPr>
              <w:tabs>
                <w:tab w:val="left" w:pos="2835"/>
              </w:tabs>
              <w:spacing w:after="0"/>
              <w:ind w:left="4"/>
              <w:contextualSpacing/>
              <w:rPr>
                <w:rFonts w:ascii="Arial Narrow" w:hAnsi="Arial Narrow"/>
                <w:lang w:eastAsia="ja-JP"/>
              </w:rPr>
            </w:pPr>
            <w:r w:rsidRPr="00FA270C">
              <w:rPr>
                <w:rFonts w:ascii="Arial Narrow" w:hAnsi="Arial Narrow"/>
                <w:lang w:eastAsia="ja-JP"/>
              </w:rPr>
              <w:t>Standard:</w:t>
            </w:r>
            <w:r w:rsidRPr="00FA270C">
              <w:rPr>
                <w:rFonts w:ascii="Arial Narrow" w:hAnsi="Arial Narrow"/>
              </w:rPr>
              <w:t xml:space="preserve"> </w:t>
            </w:r>
            <w:r w:rsidRPr="00FA270C">
              <w:rPr>
                <w:rFonts w:ascii="Arial Narrow" w:hAnsi="Arial Narrow"/>
                <w:lang w:eastAsia="ja-JP"/>
              </w:rPr>
              <w:t>For the symptomatic relief of menopause.</w:t>
            </w:r>
          </w:p>
          <w:p w:rsidR="00F86C9F" w:rsidRPr="00FA270C" w:rsidRDefault="00F86C9F" w:rsidP="002E057B">
            <w:pPr>
              <w:tabs>
                <w:tab w:val="left" w:pos="2835"/>
              </w:tabs>
              <w:spacing w:after="0"/>
              <w:rPr>
                <w:rFonts w:ascii="Arial Narrow" w:hAnsi="Arial Narrow"/>
                <w:lang w:eastAsia="ja-JP"/>
              </w:rPr>
            </w:pPr>
            <w:r w:rsidRPr="00FA270C">
              <w:rPr>
                <w:rFonts w:ascii="Arial Narrow" w:hAnsi="Arial Narrow"/>
                <w:lang w:eastAsia="ja-JP"/>
              </w:rPr>
              <w:t>Specific: Maintenance of bone health.</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64709</w:t>
            </w:r>
          </w:p>
        </w:tc>
        <w:tc>
          <w:tcPr>
            <w:tcW w:w="1559" w:type="dxa"/>
          </w:tcPr>
          <w:p w:rsidR="00F86C9F" w:rsidRPr="00FA270C" w:rsidRDefault="00F86C9F" w:rsidP="002E057B">
            <w:pPr>
              <w:tabs>
                <w:tab w:val="left" w:pos="2835"/>
              </w:tabs>
              <w:spacing w:after="0"/>
              <w:ind w:left="175"/>
              <w:contextualSpacing/>
              <w:rPr>
                <w:rFonts w:ascii="Arial Narrow" w:hAnsi="Arial Narrow"/>
                <w:lang w:eastAsia="ja-JP"/>
              </w:rPr>
            </w:pPr>
            <w:r w:rsidRPr="00FA270C">
              <w:rPr>
                <w:rFonts w:ascii="Arial Narrow" w:hAnsi="Arial Narrow"/>
                <w:lang w:eastAsia="ja-JP"/>
              </w:rPr>
              <w:t>Evista</w:t>
            </w:r>
          </w:p>
        </w:tc>
        <w:tc>
          <w:tcPr>
            <w:tcW w:w="4820" w:type="dxa"/>
          </w:tcPr>
          <w:p w:rsidR="00F86C9F" w:rsidRPr="00FA270C" w:rsidRDefault="00F86C9F" w:rsidP="002E057B">
            <w:pPr>
              <w:tabs>
                <w:tab w:val="left" w:pos="2835"/>
              </w:tabs>
              <w:spacing w:after="0"/>
              <w:ind w:left="4"/>
              <w:contextualSpacing/>
              <w:rPr>
                <w:rFonts w:ascii="Arial Narrow" w:hAnsi="Arial Narrow"/>
                <w:lang w:eastAsia="ja-JP"/>
              </w:rPr>
            </w:pPr>
            <w:r w:rsidRPr="00FA270C">
              <w:rPr>
                <w:rFonts w:ascii="Arial Narrow" w:hAnsi="Arial Narrow"/>
                <w:lang w:eastAsia="ja-JP"/>
              </w:rPr>
              <w:t>Evista is indicated for the prevention and treatment of osteoporosis in post-menopausal women. Evista is indicated for the reduction in the risk of invasive breast cancer in postmenopausal women with osteoporosis. Evista is indicated for the reduction in the risk of invasive breast cancer in postmenopausal women at high risk of invasive breast cancer.</w:t>
            </w:r>
          </w:p>
        </w:tc>
      </w:tr>
      <w:tr w:rsidR="00F86C9F" w:rsidRPr="00FA270C" w:rsidTr="002E057B">
        <w:tc>
          <w:tcPr>
            <w:tcW w:w="8472" w:type="dxa"/>
            <w:gridSpan w:val="3"/>
          </w:tcPr>
          <w:p w:rsidR="00F86C9F" w:rsidRPr="00FA270C" w:rsidRDefault="00F86C9F" w:rsidP="002E057B">
            <w:pPr>
              <w:tabs>
                <w:tab w:val="left" w:pos="2835"/>
              </w:tabs>
              <w:spacing w:after="0"/>
              <w:ind w:left="720"/>
              <w:contextualSpacing/>
              <w:rPr>
                <w:rFonts w:ascii="Arial Narrow" w:hAnsi="Arial Narrow"/>
                <w:b/>
                <w:lang w:eastAsia="ja-JP"/>
              </w:rPr>
            </w:pPr>
            <w:r w:rsidRPr="00FA270C">
              <w:rPr>
                <w:rFonts w:ascii="Arial Narrow" w:hAnsi="Arial Narrow"/>
                <w:b/>
                <w:lang w:eastAsia="ja-JP"/>
              </w:rPr>
              <w:t xml:space="preserve">Bisphosphonates </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rPr>
            </w:pPr>
            <w:r w:rsidRPr="00FA270C">
              <w:rPr>
                <w:rFonts w:ascii="Arial Narrow" w:hAnsi="Arial Narrow"/>
              </w:rPr>
              <w:t>ARTG number</w:t>
            </w:r>
          </w:p>
        </w:tc>
        <w:tc>
          <w:tcPr>
            <w:tcW w:w="1559" w:type="dxa"/>
          </w:tcPr>
          <w:p w:rsidR="00F86C9F" w:rsidRPr="00FA270C" w:rsidRDefault="00F86C9F" w:rsidP="002E057B">
            <w:pPr>
              <w:tabs>
                <w:tab w:val="left" w:pos="2835"/>
              </w:tabs>
              <w:spacing w:after="0"/>
              <w:ind w:left="34"/>
              <w:contextualSpacing/>
              <w:rPr>
                <w:rFonts w:ascii="Arial Narrow" w:hAnsi="Arial Narrow"/>
              </w:rPr>
            </w:pPr>
            <w:r w:rsidRPr="00FA270C">
              <w:rPr>
                <w:rFonts w:ascii="Arial Narrow" w:hAnsi="Arial Narrow"/>
              </w:rPr>
              <w:t>Product name</w:t>
            </w:r>
          </w:p>
        </w:tc>
        <w:tc>
          <w:tcPr>
            <w:tcW w:w="4820" w:type="dxa"/>
          </w:tcPr>
          <w:p w:rsidR="00F86C9F" w:rsidRPr="00FA270C" w:rsidRDefault="00F86C9F" w:rsidP="002E057B">
            <w:pPr>
              <w:tabs>
                <w:tab w:val="left" w:pos="2835"/>
              </w:tabs>
              <w:spacing w:after="0"/>
              <w:ind w:left="720"/>
              <w:contextualSpacing/>
              <w:rPr>
                <w:rFonts w:ascii="Arial Narrow" w:hAnsi="Arial Narrow"/>
              </w:rPr>
            </w:pPr>
            <w:r w:rsidRPr="00FA270C">
              <w:rPr>
                <w:rFonts w:ascii="Arial Narrow" w:hAnsi="Arial Narrow"/>
              </w:rPr>
              <w:t>Approved indication</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113482,120028,136846,157805, 161137, 53158, 54380, 67262, 68428, 73520, 73772, 76851, 93333, 98944</w:t>
            </w:r>
          </w:p>
        </w:tc>
        <w:tc>
          <w:tcPr>
            <w:tcW w:w="1559" w:type="dxa"/>
          </w:tcPr>
          <w:p w:rsidR="00F86C9F" w:rsidRPr="00FA270C" w:rsidRDefault="00F86C9F" w:rsidP="002E057B">
            <w:pPr>
              <w:tabs>
                <w:tab w:val="left" w:pos="2835"/>
              </w:tabs>
              <w:spacing w:after="0"/>
              <w:ind w:left="175"/>
              <w:contextualSpacing/>
              <w:rPr>
                <w:rFonts w:ascii="Arial Narrow" w:hAnsi="Arial Narrow"/>
                <w:lang w:eastAsia="ja-JP"/>
              </w:rPr>
            </w:pPr>
            <w:r w:rsidRPr="00FA270C">
              <w:rPr>
                <w:rFonts w:ascii="Arial Narrow" w:hAnsi="Arial Narrow"/>
                <w:lang w:eastAsia="ja-JP"/>
              </w:rPr>
              <w:t>Fosamax</w:t>
            </w:r>
          </w:p>
        </w:tc>
        <w:tc>
          <w:tcPr>
            <w:tcW w:w="4820"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Specific: Treatment of osteoporosis in postmenopausal women to prevent fractures, including those of the hip and spine (vertebral compression fractures) and to help ensure vitamin D adequacy and/or to reduce the risk of Vitamin D insufficiency. Treatment of osteoporosis in men to prevent fractures and to help ensure vitamin D adequacy and/or to reduce the risk of Vitamin D insufficiency indicated for the treatment of Paget's disease of bone in men &amp; women.</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46852</w:t>
            </w:r>
          </w:p>
        </w:tc>
        <w:tc>
          <w:tcPr>
            <w:tcW w:w="1559" w:type="dxa"/>
          </w:tcPr>
          <w:p w:rsidR="00F86C9F" w:rsidRPr="00FA270C" w:rsidRDefault="00F86C9F" w:rsidP="002E057B">
            <w:pPr>
              <w:tabs>
                <w:tab w:val="left" w:pos="2835"/>
              </w:tabs>
              <w:spacing w:after="0"/>
              <w:ind w:left="175"/>
              <w:contextualSpacing/>
              <w:rPr>
                <w:rFonts w:ascii="Arial Narrow" w:hAnsi="Arial Narrow"/>
                <w:lang w:eastAsia="ja-JP"/>
              </w:rPr>
            </w:pPr>
            <w:r w:rsidRPr="00FA270C">
              <w:rPr>
                <w:rFonts w:ascii="Arial Narrow" w:hAnsi="Arial Narrow"/>
                <w:lang w:eastAsia="ja-JP"/>
              </w:rPr>
              <w:t>Didrocal</w:t>
            </w:r>
          </w:p>
        </w:tc>
        <w:tc>
          <w:tcPr>
            <w:tcW w:w="4820"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Specific: Treatment of osteoporosis. Osteoporosis must be confirmed by the finding of low bone mass (at least two standard deviations below the gender-specific mean for young adults) or by the presence or history of osteoporotic fracture. Prevention of bone loss in patients for whom long-term treatment with high-dose corticosteroids is either about to be commenced or has been recently initiated</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117667, 138211, 141530, 150618, 166838, 166853, 166942,74135, 74136, 82746</w:t>
            </w:r>
          </w:p>
        </w:tc>
        <w:tc>
          <w:tcPr>
            <w:tcW w:w="1559" w:type="dxa"/>
          </w:tcPr>
          <w:p w:rsidR="00F86C9F" w:rsidRPr="00FA270C" w:rsidRDefault="00F86C9F" w:rsidP="002E057B">
            <w:pPr>
              <w:tabs>
                <w:tab w:val="left" w:pos="2835"/>
              </w:tabs>
              <w:spacing w:after="0"/>
              <w:ind w:left="175"/>
              <w:contextualSpacing/>
              <w:rPr>
                <w:rFonts w:ascii="Arial Narrow" w:hAnsi="Arial Narrow"/>
                <w:lang w:eastAsia="ja-JP"/>
              </w:rPr>
            </w:pPr>
            <w:r w:rsidRPr="00FA270C">
              <w:rPr>
                <w:rFonts w:ascii="Arial Narrow" w:hAnsi="Arial Narrow"/>
                <w:lang w:eastAsia="ja-JP"/>
              </w:rPr>
              <w:t>Actonel</w:t>
            </w:r>
          </w:p>
        </w:tc>
        <w:tc>
          <w:tcPr>
            <w:tcW w:w="4820" w:type="dxa"/>
          </w:tcPr>
          <w:p w:rsidR="00F86C9F" w:rsidRPr="00FA270C" w:rsidRDefault="00F86C9F" w:rsidP="002E057B">
            <w:pPr>
              <w:tabs>
                <w:tab w:val="left" w:pos="2835"/>
              </w:tabs>
              <w:spacing w:after="0"/>
              <w:ind w:left="34"/>
              <w:contextualSpacing/>
              <w:rPr>
                <w:rFonts w:ascii="Arial Narrow" w:hAnsi="Arial Narrow"/>
                <w:lang w:eastAsia="ja-JP"/>
              </w:rPr>
            </w:pPr>
            <w:r w:rsidRPr="00FA270C">
              <w:rPr>
                <w:rFonts w:ascii="Arial Narrow" w:hAnsi="Arial Narrow"/>
                <w:lang w:eastAsia="ja-JP"/>
              </w:rPr>
              <w:t>Specific: Treatment of osteoporosis. Treatment of glucocorticoid-induced osteoporosis. Preservation of bone mineral density in patients on long-term corticosteroid therapy.</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134664</w:t>
            </w:r>
          </w:p>
        </w:tc>
        <w:tc>
          <w:tcPr>
            <w:tcW w:w="1559" w:type="dxa"/>
          </w:tcPr>
          <w:p w:rsidR="00F86C9F" w:rsidRPr="00FA270C" w:rsidRDefault="00F86C9F" w:rsidP="002E057B">
            <w:pPr>
              <w:tabs>
                <w:tab w:val="left" w:pos="2835"/>
              </w:tabs>
              <w:spacing w:after="0"/>
              <w:ind w:left="175"/>
              <w:contextualSpacing/>
              <w:rPr>
                <w:rFonts w:ascii="Arial Narrow" w:hAnsi="Arial Narrow"/>
                <w:lang w:eastAsia="ja-JP"/>
              </w:rPr>
            </w:pPr>
            <w:r w:rsidRPr="00FA270C">
              <w:rPr>
                <w:rFonts w:ascii="Arial Narrow" w:hAnsi="Arial Narrow"/>
                <w:lang w:eastAsia="ja-JP"/>
              </w:rPr>
              <w:t>Aclasta</w:t>
            </w:r>
          </w:p>
        </w:tc>
        <w:tc>
          <w:tcPr>
            <w:tcW w:w="4820" w:type="dxa"/>
          </w:tcPr>
          <w:p w:rsidR="00F86C9F" w:rsidRPr="00FA270C" w:rsidRDefault="00F86C9F" w:rsidP="002E057B">
            <w:pPr>
              <w:tabs>
                <w:tab w:val="left" w:pos="2835"/>
              </w:tabs>
              <w:spacing w:after="0"/>
              <w:ind w:left="34"/>
              <w:contextualSpacing/>
              <w:rPr>
                <w:rFonts w:ascii="Arial Narrow" w:hAnsi="Arial Narrow"/>
                <w:lang w:eastAsia="ja-JP"/>
              </w:rPr>
            </w:pPr>
            <w:r w:rsidRPr="00FA270C">
              <w:rPr>
                <w:rFonts w:ascii="Arial Narrow" w:hAnsi="Arial Narrow"/>
                <w:lang w:eastAsia="ja-JP"/>
              </w:rPr>
              <w:t>Specific: Treatment of osteoporosis in postmenopausal women to reduce the incidence of hip, vertebral and non-vertebral fractures. - Treatment of osteoporosis in patients over 50 years of age with a history of at least one low trauma hip fracture, to reduce the incidence of further fractures. - To increase bone mineral density in men with osteoporosis. - To increase bone mineral density in patients with osteoporosis associated with long term glucocorticoid use. To prevent glucocorticoid-induced bone mineral density loss. - Treatment of Paget's disease of bone.</w:t>
            </w:r>
          </w:p>
        </w:tc>
      </w:tr>
      <w:tr w:rsidR="00F86C9F" w:rsidRPr="00FA270C" w:rsidTr="002E057B">
        <w:tc>
          <w:tcPr>
            <w:tcW w:w="2093" w:type="dxa"/>
          </w:tcPr>
          <w:p w:rsidR="00F86C9F" w:rsidRPr="00FA270C" w:rsidRDefault="00F86C9F" w:rsidP="002E057B">
            <w:pPr>
              <w:tabs>
                <w:tab w:val="left" w:pos="2835"/>
              </w:tabs>
              <w:spacing w:after="0"/>
              <w:rPr>
                <w:rFonts w:ascii="Arial Narrow" w:hAnsi="Arial Narrow"/>
                <w:lang w:eastAsia="ja-JP"/>
              </w:rPr>
            </w:pPr>
          </w:p>
        </w:tc>
        <w:tc>
          <w:tcPr>
            <w:tcW w:w="1559" w:type="dxa"/>
          </w:tcPr>
          <w:p w:rsidR="00F86C9F" w:rsidRPr="00FA270C" w:rsidRDefault="00F86C9F" w:rsidP="002E057B">
            <w:pPr>
              <w:tabs>
                <w:tab w:val="left" w:pos="2835"/>
              </w:tabs>
              <w:spacing w:after="0"/>
              <w:rPr>
                <w:rFonts w:ascii="Arial Narrow" w:hAnsi="Arial Narrow"/>
                <w:lang w:eastAsia="ja-JP"/>
              </w:rPr>
            </w:pPr>
          </w:p>
        </w:tc>
        <w:tc>
          <w:tcPr>
            <w:tcW w:w="4820" w:type="dxa"/>
          </w:tcPr>
          <w:p w:rsidR="00F86C9F" w:rsidRPr="00FA270C" w:rsidRDefault="00F86C9F" w:rsidP="002E057B">
            <w:pPr>
              <w:tabs>
                <w:tab w:val="left" w:pos="2835"/>
              </w:tabs>
              <w:spacing w:after="0"/>
              <w:rPr>
                <w:rFonts w:ascii="Arial Narrow" w:hAnsi="Arial Narrow"/>
                <w:lang w:eastAsia="ja-JP"/>
              </w:rPr>
            </w:pPr>
          </w:p>
        </w:tc>
      </w:tr>
      <w:tr w:rsidR="00F86C9F" w:rsidRPr="00FA270C" w:rsidTr="002E057B">
        <w:tc>
          <w:tcPr>
            <w:tcW w:w="8472" w:type="dxa"/>
            <w:gridSpan w:val="3"/>
          </w:tcPr>
          <w:p w:rsidR="00F86C9F" w:rsidRPr="00FA270C" w:rsidRDefault="00F86C9F" w:rsidP="002E057B">
            <w:pPr>
              <w:tabs>
                <w:tab w:val="left" w:pos="2835"/>
              </w:tabs>
              <w:spacing w:after="0"/>
              <w:ind w:left="720"/>
              <w:contextualSpacing/>
              <w:rPr>
                <w:rFonts w:ascii="Arial Narrow" w:hAnsi="Arial Narrow"/>
                <w:b/>
                <w:lang w:eastAsia="ja-JP"/>
              </w:rPr>
            </w:pPr>
            <w:r w:rsidRPr="00FA270C">
              <w:rPr>
                <w:rFonts w:ascii="Arial Narrow" w:hAnsi="Arial Narrow"/>
                <w:b/>
                <w:lang w:eastAsia="ja-JP"/>
              </w:rPr>
              <w:t>Monoclonal antibodies</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rPr>
            </w:pPr>
            <w:r w:rsidRPr="00FA270C">
              <w:rPr>
                <w:rFonts w:ascii="Arial Narrow" w:hAnsi="Arial Narrow"/>
              </w:rPr>
              <w:t>ARTG number</w:t>
            </w:r>
          </w:p>
        </w:tc>
        <w:tc>
          <w:tcPr>
            <w:tcW w:w="1559" w:type="dxa"/>
          </w:tcPr>
          <w:p w:rsidR="00F86C9F" w:rsidRPr="00FA270C" w:rsidRDefault="00F86C9F" w:rsidP="002E057B">
            <w:pPr>
              <w:tabs>
                <w:tab w:val="left" w:pos="2835"/>
              </w:tabs>
              <w:spacing w:after="0"/>
              <w:ind w:left="34"/>
              <w:contextualSpacing/>
              <w:rPr>
                <w:rFonts w:ascii="Arial Narrow" w:hAnsi="Arial Narrow"/>
              </w:rPr>
            </w:pPr>
            <w:r w:rsidRPr="00FA270C">
              <w:rPr>
                <w:rFonts w:ascii="Arial Narrow" w:hAnsi="Arial Narrow"/>
              </w:rPr>
              <w:t>Product name</w:t>
            </w:r>
          </w:p>
        </w:tc>
        <w:tc>
          <w:tcPr>
            <w:tcW w:w="4820" w:type="dxa"/>
          </w:tcPr>
          <w:p w:rsidR="00F86C9F" w:rsidRPr="00FA270C" w:rsidRDefault="00F86C9F" w:rsidP="002E057B">
            <w:pPr>
              <w:tabs>
                <w:tab w:val="left" w:pos="2835"/>
              </w:tabs>
              <w:spacing w:after="0"/>
              <w:ind w:left="34"/>
              <w:contextualSpacing/>
              <w:rPr>
                <w:rFonts w:ascii="Arial Narrow" w:hAnsi="Arial Narrow"/>
              </w:rPr>
            </w:pPr>
            <w:r w:rsidRPr="00FA270C">
              <w:rPr>
                <w:rFonts w:ascii="Arial Narrow" w:hAnsi="Arial Narrow"/>
              </w:rPr>
              <w:t>Approved indication</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159322, 159323, 159324</w:t>
            </w:r>
          </w:p>
        </w:tc>
        <w:tc>
          <w:tcPr>
            <w:tcW w:w="1559"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Denosumab</w:t>
            </w:r>
          </w:p>
        </w:tc>
        <w:tc>
          <w:tcPr>
            <w:tcW w:w="4820" w:type="dxa"/>
          </w:tcPr>
          <w:p w:rsidR="00F86C9F" w:rsidRPr="00FA270C" w:rsidRDefault="00F86C9F" w:rsidP="002E057B">
            <w:pPr>
              <w:tabs>
                <w:tab w:val="left" w:pos="2835"/>
              </w:tabs>
              <w:spacing w:after="0"/>
              <w:ind w:left="34"/>
              <w:contextualSpacing/>
              <w:rPr>
                <w:rFonts w:ascii="Arial Narrow" w:hAnsi="Arial Narrow"/>
                <w:lang w:eastAsia="ja-JP"/>
              </w:rPr>
            </w:pPr>
            <w:r w:rsidRPr="00FA270C">
              <w:rPr>
                <w:rFonts w:ascii="Arial Narrow" w:hAnsi="Arial Narrow"/>
                <w:lang w:eastAsia="ja-JP"/>
              </w:rPr>
              <w:t>The treatment of osteoporosis in postmenopausal women. Prolia significantly reduces the risk of vertebral, non-vertebral and hip fractures.</w:t>
            </w:r>
          </w:p>
        </w:tc>
      </w:tr>
      <w:tr w:rsidR="00F86C9F" w:rsidRPr="00FA270C" w:rsidTr="002E057B">
        <w:tc>
          <w:tcPr>
            <w:tcW w:w="8472" w:type="dxa"/>
            <w:gridSpan w:val="3"/>
          </w:tcPr>
          <w:p w:rsidR="00F86C9F" w:rsidRPr="00FA270C" w:rsidRDefault="00F86C9F" w:rsidP="002E057B">
            <w:pPr>
              <w:tabs>
                <w:tab w:val="left" w:pos="2835"/>
              </w:tabs>
              <w:spacing w:after="0"/>
              <w:ind w:left="720"/>
              <w:contextualSpacing/>
              <w:rPr>
                <w:rFonts w:ascii="Arial Narrow" w:hAnsi="Arial Narrow"/>
                <w:b/>
                <w:lang w:eastAsia="ja-JP"/>
              </w:rPr>
            </w:pPr>
            <w:r w:rsidRPr="00FA270C">
              <w:rPr>
                <w:rFonts w:ascii="Arial Narrow" w:hAnsi="Arial Narrow"/>
                <w:b/>
                <w:lang w:eastAsia="ja-JP"/>
              </w:rPr>
              <w:t>Parathyroid hormone</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ARTG number</w:t>
            </w:r>
          </w:p>
        </w:tc>
        <w:tc>
          <w:tcPr>
            <w:tcW w:w="1559" w:type="dxa"/>
          </w:tcPr>
          <w:p w:rsidR="00F86C9F" w:rsidRPr="00FA270C" w:rsidRDefault="00F86C9F" w:rsidP="002E057B">
            <w:pPr>
              <w:tabs>
                <w:tab w:val="left" w:pos="2835"/>
              </w:tabs>
              <w:spacing w:after="0"/>
              <w:ind w:left="34"/>
              <w:contextualSpacing/>
              <w:rPr>
                <w:rFonts w:ascii="Arial Narrow" w:hAnsi="Arial Narrow"/>
                <w:lang w:eastAsia="ja-JP"/>
              </w:rPr>
            </w:pPr>
            <w:r w:rsidRPr="00FA270C">
              <w:rPr>
                <w:rFonts w:ascii="Arial Narrow" w:hAnsi="Arial Narrow"/>
                <w:lang w:eastAsia="ja-JP"/>
              </w:rPr>
              <w:t>Product name</w:t>
            </w:r>
          </w:p>
        </w:tc>
        <w:tc>
          <w:tcPr>
            <w:tcW w:w="4820" w:type="dxa"/>
          </w:tcPr>
          <w:p w:rsidR="00F86C9F" w:rsidRPr="00FA270C" w:rsidRDefault="00F86C9F" w:rsidP="002E057B">
            <w:pPr>
              <w:tabs>
                <w:tab w:val="left" w:pos="2835"/>
              </w:tabs>
              <w:spacing w:after="0"/>
              <w:ind w:left="34"/>
              <w:contextualSpacing/>
              <w:rPr>
                <w:rFonts w:ascii="Arial Narrow" w:hAnsi="Arial Narrow"/>
                <w:lang w:eastAsia="ja-JP"/>
              </w:rPr>
            </w:pPr>
            <w:r w:rsidRPr="00FA270C">
              <w:rPr>
                <w:rFonts w:ascii="Arial Narrow" w:hAnsi="Arial Narrow"/>
                <w:lang w:eastAsia="ja-JP"/>
              </w:rPr>
              <w:t>Approved indication</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80333</w:t>
            </w:r>
          </w:p>
        </w:tc>
        <w:tc>
          <w:tcPr>
            <w:tcW w:w="1559" w:type="dxa"/>
          </w:tcPr>
          <w:p w:rsidR="00F86C9F" w:rsidRPr="00FA270C" w:rsidRDefault="00F86C9F" w:rsidP="002E057B">
            <w:pPr>
              <w:tabs>
                <w:tab w:val="left" w:pos="2835"/>
              </w:tabs>
              <w:spacing w:after="0"/>
              <w:ind w:left="34"/>
              <w:contextualSpacing/>
              <w:rPr>
                <w:rFonts w:ascii="Arial Narrow" w:hAnsi="Arial Narrow"/>
                <w:lang w:eastAsia="ja-JP"/>
              </w:rPr>
            </w:pPr>
            <w:r w:rsidRPr="00FA270C">
              <w:rPr>
                <w:rFonts w:ascii="Arial Narrow" w:hAnsi="Arial Narrow"/>
                <w:lang w:eastAsia="ja-JP"/>
              </w:rPr>
              <w:t>Teriparatide</w:t>
            </w:r>
          </w:p>
        </w:tc>
        <w:tc>
          <w:tcPr>
            <w:tcW w:w="4820" w:type="dxa"/>
          </w:tcPr>
          <w:p w:rsidR="00F86C9F" w:rsidRPr="00FA270C" w:rsidRDefault="00F86C9F" w:rsidP="002E057B">
            <w:pPr>
              <w:tabs>
                <w:tab w:val="left" w:pos="2835"/>
              </w:tabs>
              <w:spacing w:after="0"/>
              <w:ind w:left="34"/>
              <w:contextualSpacing/>
              <w:rPr>
                <w:rFonts w:ascii="Arial Narrow" w:hAnsi="Arial Narrow"/>
                <w:lang w:eastAsia="ja-JP"/>
              </w:rPr>
            </w:pPr>
            <w:r w:rsidRPr="00FA270C">
              <w:rPr>
                <w:rFonts w:ascii="Arial Narrow" w:hAnsi="Arial Narrow"/>
                <w:lang w:eastAsia="ja-JP"/>
              </w:rPr>
              <w:t>indicated for the treatment of osteoporosis in postmenopausal women and the treatment of primary osteoporosis in men when other agents are considered unsuitable and when there is a high risk of fractures. Teriparatide is indicated for the treatment of osteoporosis associated with sustained systemic glucocorticoid therapy in women and men at high risk for fracture.</w:t>
            </w:r>
          </w:p>
        </w:tc>
      </w:tr>
      <w:tr w:rsidR="00F86C9F" w:rsidRPr="00FA270C" w:rsidTr="002E057B">
        <w:tc>
          <w:tcPr>
            <w:tcW w:w="2093" w:type="dxa"/>
          </w:tcPr>
          <w:p w:rsidR="00F86C9F" w:rsidRPr="00FA270C" w:rsidRDefault="00F86C9F" w:rsidP="002E057B">
            <w:pPr>
              <w:tabs>
                <w:tab w:val="left" w:pos="2835"/>
              </w:tabs>
              <w:spacing w:after="0"/>
              <w:ind w:left="720"/>
              <w:contextualSpacing/>
              <w:rPr>
                <w:rFonts w:ascii="Arial Narrow" w:hAnsi="Arial Narrow"/>
                <w:lang w:eastAsia="ja-JP"/>
              </w:rPr>
            </w:pPr>
          </w:p>
        </w:tc>
        <w:tc>
          <w:tcPr>
            <w:tcW w:w="1559" w:type="dxa"/>
          </w:tcPr>
          <w:p w:rsidR="00F86C9F" w:rsidRPr="00FA270C" w:rsidRDefault="00F86C9F" w:rsidP="002E057B">
            <w:pPr>
              <w:tabs>
                <w:tab w:val="left" w:pos="2835"/>
              </w:tabs>
              <w:spacing w:after="0"/>
              <w:ind w:left="34"/>
              <w:contextualSpacing/>
              <w:rPr>
                <w:rFonts w:ascii="Arial Narrow" w:hAnsi="Arial Narrow"/>
                <w:lang w:eastAsia="ja-JP"/>
              </w:rPr>
            </w:pPr>
          </w:p>
        </w:tc>
        <w:tc>
          <w:tcPr>
            <w:tcW w:w="4820" w:type="dxa"/>
          </w:tcPr>
          <w:p w:rsidR="00F86C9F" w:rsidRPr="00FA270C" w:rsidRDefault="00F86C9F" w:rsidP="002E057B">
            <w:pPr>
              <w:tabs>
                <w:tab w:val="left" w:pos="2835"/>
              </w:tabs>
              <w:spacing w:after="0"/>
              <w:ind w:left="34"/>
              <w:contextualSpacing/>
              <w:rPr>
                <w:rFonts w:ascii="Arial Narrow" w:hAnsi="Arial Narrow"/>
                <w:lang w:eastAsia="ja-JP"/>
              </w:rPr>
            </w:pPr>
          </w:p>
        </w:tc>
      </w:tr>
      <w:tr w:rsidR="00F86C9F" w:rsidRPr="00FA270C" w:rsidTr="002E057B">
        <w:tc>
          <w:tcPr>
            <w:tcW w:w="8472" w:type="dxa"/>
            <w:gridSpan w:val="3"/>
          </w:tcPr>
          <w:p w:rsidR="00F86C9F" w:rsidRPr="00FA270C" w:rsidRDefault="00F86C9F" w:rsidP="002E057B">
            <w:pPr>
              <w:tabs>
                <w:tab w:val="left" w:pos="2835"/>
              </w:tabs>
              <w:spacing w:after="0"/>
              <w:ind w:left="720"/>
              <w:contextualSpacing/>
              <w:rPr>
                <w:rFonts w:ascii="Arial Narrow" w:hAnsi="Arial Narrow"/>
                <w:b/>
                <w:lang w:eastAsia="ja-JP"/>
              </w:rPr>
            </w:pPr>
            <w:r w:rsidRPr="00FA270C">
              <w:rPr>
                <w:rFonts w:ascii="Arial Narrow" w:hAnsi="Arial Narrow"/>
                <w:b/>
                <w:lang w:eastAsia="ja-JP"/>
              </w:rPr>
              <w:t>Strontium ranelate</w:t>
            </w:r>
          </w:p>
        </w:tc>
      </w:tr>
      <w:tr w:rsidR="00F86C9F" w:rsidRPr="00FA270C" w:rsidTr="002E057B">
        <w:tc>
          <w:tcPr>
            <w:tcW w:w="2093" w:type="dxa"/>
          </w:tcPr>
          <w:p w:rsidR="00F86C9F" w:rsidRPr="00FA270C" w:rsidRDefault="00F86C9F" w:rsidP="002E057B">
            <w:pPr>
              <w:spacing w:after="0"/>
              <w:rPr>
                <w:rFonts w:ascii="Arial Narrow" w:hAnsi="Arial Narrow"/>
              </w:rPr>
            </w:pPr>
            <w:r w:rsidRPr="00FA270C">
              <w:rPr>
                <w:rFonts w:ascii="Arial Narrow" w:hAnsi="Arial Narrow"/>
              </w:rPr>
              <w:t>ARTG number</w:t>
            </w:r>
          </w:p>
        </w:tc>
        <w:tc>
          <w:tcPr>
            <w:tcW w:w="1559" w:type="dxa"/>
          </w:tcPr>
          <w:p w:rsidR="00F86C9F" w:rsidRPr="00FA270C" w:rsidRDefault="00F86C9F" w:rsidP="002E057B">
            <w:pPr>
              <w:spacing w:after="0"/>
              <w:rPr>
                <w:rFonts w:ascii="Arial Narrow" w:hAnsi="Arial Narrow"/>
              </w:rPr>
            </w:pPr>
            <w:r w:rsidRPr="00FA270C">
              <w:rPr>
                <w:rFonts w:ascii="Arial Narrow" w:hAnsi="Arial Narrow"/>
              </w:rPr>
              <w:t>Product name</w:t>
            </w:r>
          </w:p>
        </w:tc>
        <w:tc>
          <w:tcPr>
            <w:tcW w:w="4820" w:type="dxa"/>
          </w:tcPr>
          <w:p w:rsidR="00F86C9F" w:rsidRPr="00FA270C" w:rsidRDefault="00F86C9F" w:rsidP="002E057B">
            <w:pPr>
              <w:spacing w:after="0"/>
              <w:rPr>
                <w:rFonts w:ascii="Arial Narrow" w:hAnsi="Arial Narrow"/>
              </w:rPr>
            </w:pPr>
            <w:r w:rsidRPr="00FA270C">
              <w:rPr>
                <w:rFonts w:ascii="Arial Narrow" w:hAnsi="Arial Narrow"/>
              </w:rPr>
              <w:t>Approved indication</w:t>
            </w:r>
          </w:p>
        </w:tc>
      </w:tr>
      <w:tr w:rsidR="00F86C9F" w:rsidRPr="00FA270C" w:rsidTr="002E057B">
        <w:tc>
          <w:tcPr>
            <w:tcW w:w="2093" w:type="dxa"/>
          </w:tcPr>
          <w:p w:rsidR="00F86C9F" w:rsidRPr="00FA270C" w:rsidRDefault="00F86C9F" w:rsidP="002E057B">
            <w:pPr>
              <w:tabs>
                <w:tab w:val="left" w:pos="2835"/>
              </w:tabs>
              <w:spacing w:after="0"/>
              <w:contextualSpacing/>
              <w:rPr>
                <w:rFonts w:ascii="Arial Narrow" w:hAnsi="Arial Narrow"/>
                <w:lang w:eastAsia="ja-JP"/>
              </w:rPr>
            </w:pPr>
            <w:r w:rsidRPr="00FA270C">
              <w:rPr>
                <w:rFonts w:ascii="Arial Narrow" w:hAnsi="Arial Narrow"/>
                <w:lang w:eastAsia="ja-JP"/>
              </w:rPr>
              <w:t>99978</w:t>
            </w:r>
          </w:p>
        </w:tc>
        <w:tc>
          <w:tcPr>
            <w:tcW w:w="1559" w:type="dxa"/>
          </w:tcPr>
          <w:p w:rsidR="00F86C9F" w:rsidRPr="00FA270C" w:rsidRDefault="00F86C9F" w:rsidP="002E057B">
            <w:pPr>
              <w:tabs>
                <w:tab w:val="left" w:pos="2835"/>
              </w:tabs>
              <w:spacing w:after="0"/>
              <w:ind w:left="34"/>
              <w:contextualSpacing/>
              <w:rPr>
                <w:rFonts w:ascii="Arial Narrow" w:hAnsi="Arial Narrow"/>
                <w:lang w:eastAsia="ja-JP"/>
              </w:rPr>
            </w:pPr>
            <w:r w:rsidRPr="00FA270C">
              <w:rPr>
                <w:rFonts w:ascii="Arial Narrow" w:hAnsi="Arial Narrow"/>
                <w:lang w:eastAsia="ja-JP"/>
              </w:rPr>
              <w:t>Strontium ranelate (Protos)</w:t>
            </w:r>
          </w:p>
        </w:tc>
        <w:tc>
          <w:tcPr>
            <w:tcW w:w="4820" w:type="dxa"/>
          </w:tcPr>
          <w:p w:rsidR="00F86C9F" w:rsidRPr="00FA270C" w:rsidRDefault="00F86C9F" w:rsidP="002E057B">
            <w:pPr>
              <w:tabs>
                <w:tab w:val="left" w:pos="2835"/>
              </w:tabs>
              <w:spacing w:after="0"/>
              <w:ind w:left="34"/>
              <w:contextualSpacing/>
              <w:rPr>
                <w:rFonts w:ascii="Arial Narrow" w:hAnsi="Arial Narrow"/>
                <w:lang w:eastAsia="ja-JP"/>
              </w:rPr>
            </w:pPr>
            <w:r w:rsidRPr="00FA270C">
              <w:rPr>
                <w:rFonts w:ascii="Arial Narrow" w:hAnsi="Arial Narrow"/>
                <w:lang w:eastAsia="ja-JP"/>
              </w:rPr>
              <w:t>Treatment of postmenopausal osteoporosis to reduce the risk of fracture.</w:t>
            </w:r>
          </w:p>
          <w:p w:rsidR="00F86C9F" w:rsidRPr="00FA270C" w:rsidRDefault="00F86C9F" w:rsidP="002E057B">
            <w:pPr>
              <w:tabs>
                <w:tab w:val="left" w:pos="2835"/>
              </w:tabs>
              <w:spacing w:after="0"/>
              <w:ind w:left="34"/>
              <w:contextualSpacing/>
              <w:rPr>
                <w:rFonts w:ascii="Arial Narrow" w:hAnsi="Arial Narrow"/>
                <w:lang w:eastAsia="ja-JP"/>
              </w:rPr>
            </w:pPr>
            <w:r w:rsidRPr="00FA270C">
              <w:rPr>
                <w:rFonts w:ascii="Arial Narrow" w:hAnsi="Arial Narrow"/>
                <w:lang w:eastAsia="ja-JP"/>
              </w:rPr>
              <w:t>Treatment of osteoporosis in men at increased risk of fracture.</w:t>
            </w:r>
          </w:p>
        </w:tc>
      </w:tr>
      <w:tr w:rsidR="00F86C9F" w:rsidRPr="00FA270C" w:rsidTr="002E057B">
        <w:tc>
          <w:tcPr>
            <w:tcW w:w="2093" w:type="dxa"/>
          </w:tcPr>
          <w:p w:rsidR="00F86C9F" w:rsidRPr="00FA270C" w:rsidRDefault="00F86C9F" w:rsidP="002E057B">
            <w:pPr>
              <w:tabs>
                <w:tab w:val="left" w:pos="2835"/>
              </w:tabs>
              <w:spacing w:after="0"/>
              <w:ind w:left="720"/>
              <w:contextualSpacing/>
              <w:rPr>
                <w:rFonts w:ascii="Arial Narrow" w:hAnsi="Arial Narrow"/>
                <w:lang w:eastAsia="ja-JP"/>
              </w:rPr>
            </w:pPr>
          </w:p>
        </w:tc>
        <w:tc>
          <w:tcPr>
            <w:tcW w:w="1559" w:type="dxa"/>
          </w:tcPr>
          <w:p w:rsidR="00F86C9F" w:rsidRPr="00FA270C" w:rsidRDefault="00F86C9F" w:rsidP="002E057B">
            <w:pPr>
              <w:tabs>
                <w:tab w:val="left" w:pos="2835"/>
              </w:tabs>
              <w:spacing w:after="0"/>
              <w:ind w:left="34"/>
              <w:contextualSpacing/>
              <w:rPr>
                <w:rFonts w:ascii="Arial Narrow" w:hAnsi="Arial Narrow"/>
                <w:lang w:eastAsia="ja-JP"/>
              </w:rPr>
            </w:pPr>
          </w:p>
        </w:tc>
        <w:tc>
          <w:tcPr>
            <w:tcW w:w="4820" w:type="dxa"/>
          </w:tcPr>
          <w:p w:rsidR="00F86C9F" w:rsidRPr="00FA270C" w:rsidRDefault="00F86C9F" w:rsidP="002E057B">
            <w:pPr>
              <w:tabs>
                <w:tab w:val="left" w:pos="2835"/>
              </w:tabs>
              <w:spacing w:after="0"/>
              <w:ind w:left="34"/>
              <w:contextualSpacing/>
              <w:rPr>
                <w:rFonts w:ascii="Arial Narrow" w:hAnsi="Arial Narrow"/>
                <w:lang w:eastAsia="ja-JP"/>
              </w:rPr>
            </w:pPr>
          </w:p>
        </w:tc>
      </w:tr>
    </w:tbl>
    <w:p w:rsidR="00F86C9F" w:rsidRPr="00FA270C" w:rsidRDefault="00F86C9F" w:rsidP="002E057B">
      <w:pPr>
        <w:rPr>
          <w:lang w:eastAsia="ja-JP"/>
        </w:rPr>
      </w:pPr>
      <w:r w:rsidRPr="00FA270C">
        <w:t xml:space="preserve">Source: Australian Register of Therapeutic Goods (ARTG) searched on 01/08/2012 &lt; </w:t>
      </w:r>
      <w:hyperlink r:id="rId23" w:tooltip="This is a link to the TGA website" w:history="1">
        <w:r w:rsidRPr="00FA270C">
          <w:rPr>
            <w:rStyle w:val="Hyperlink"/>
            <w:rFonts w:cs="Tahoma"/>
          </w:rPr>
          <w:t>https://www.ebs.tga.gov.au/</w:t>
        </w:r>
      </w:hyperlink>
      <w:r w:rsidRPr="00FA270C">
        <w:t>&gt;</w:t>
      </w:r>
    </w:p>
    <w:p w:rsidR="00F86C9F" w:rsidRPr="00FA270C" w:rsidRDefault="00F86C9F">
      <w:pPr>
        <w:spacing w:after="0" w:line="240" w:lineRule="auto"/>
        <w:jc w:val="left"/>
      </w:pPr>
    </w:p>
    <w:p w:rsidR="00F86C9F" w:rsidRPr="00FA270C" w:rsidRDefault="00F86C9F">
      <w:pPr>
        <w:spacing w:after="0" w:line="240" w:lineRule="auto"/>
        <w:jc w:val="left"/>
      </w:pPr>
      <w:r w:rsidRPr="00FA270C">
        <w:br w:type="page"/>
      </w:r>
    </w:p>
    <w:p w:rsidR="00524DE4" w:rsidRDefault="00F86C9F" w:rsidP="008B7D53">
      <w:pPr>
        <w:pStyle w:val="Heading1"/>
        <w:jc w:val="left"/>
        <w:rPr>
          <w:lang w:val="en-AU"/>
        </w:rPr>
      </w:pPr>
      <w:bookmarkStart w:id="79" w:name="_Ref358199587"/>
      <w:bookmarkStart w:id="80" w:name="_Toc361145578"/>
      <w:bookmarkStart w:id="81" w:name="_Toc362968607"/>
      <w:r w:rsidRPr="00FA270C">
        <w:rPr>
          <w:lang w:val="en-AU"/>
        </w:rPr>
        <w:lastRenderedPageBreak/>
        <w:t>Appendix 2</w:t>
      </w:r>
    </w:p>
    <w:p w:rsidR="00F86C9F" w:rsidRPr="00524DE4" w:rsidRDefault="00F86C9F" w:rsidP="00524DE4">
      <w:pPr>
        <w:rPr>
          <w:b/>
          <w:sz w:val="24"/>
          <w:szCs w:val="24"/>
        </w:rPr>
      </w:pPr>
      <w:r w:rsidRPr="00524DE4">
        <w:rPr>
          <w:b/>
          <w:sz w:val="24"/>
          <w:szCs w:val="24"/>
        </w:rPr>
        <w:t>Indications, contraindications and potential complications of the co-administered interventions</w:t>
      </w:r>
      <w:bookmarkEnd w:id="79"/>
      <w:bookmarkEnd w:id="80"/>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F86C9F" w:rsidRPr="00FA270C">
        <w:tc>
          <w:tcPr>
            <w:tcW w:w="3080"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Co-administered interventions</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p>
        </w:tc>
      </w:tr>
      <w:tr w:rsidR="00F86C9F" w:rsidRPr="00FA270C">
        <w:tc>
          <w:tcPr>
            <w:tcW w:w="9242" w:type="dxa"/>
            <w:gridSpan w:val="3"/>
            <w:tcBorders>
              <w:left w:val="nil"/>
              <w:right w:val="nil"/>
            </w:tcBorders>
          </w:tcPr>
          <w:p w:rsidR="00F86C9F" w:rsidRPr="00FA270C" w:rsidRDefault="00F86C9F">
            <w:pPr>
              <w:spacing w:after="0" w:line="240" w:lineRule="auto"/>
              <w:jc w:val="center"/>
              <w:rPr>
                <w:rFonts w:ascii="Calibri" w:hAnsi="Calibri" w:cs="Calibri"/>
                <w:b/>
                <w:i/>
                <w:sz w:val="18"/>
                <w:szCs w:val="22"/>
                <w:lang w:eastAsia="en-US"/>
              </w:rPr>
            </w:pPr>
            <w:r w:rsidRPr="00FA270C">
              <w:rPr>
                <w:rFonts w:ascii="Calibri" w:hAnsi="Calibri" w:cs="Calibri"/>
                <w:b/>
                <w:sz w:val="18"/>
                <w:szCs w:val="22"/>
                <w:lang w:eastAsia="en-US"/>
              </w:rPr>
              <w:t>Bisphosphonates; Alendronate (Fosamax), Disodium etidronate (Didrocal), Risedronate</w:t>
            </w:r>
            <w:r w:rsidRPr="00FA270C">
              <w:t xml:space="preserve"> (</w:t>
            </w:r>
            <w:r w:rsidRPr="00FA270C">
              <w:rPr>
                <w:rFonts w:ascii="Calibri" w:hAnsi="Calibri" w:cs="Calibri"/>
                <w:b/>
                <w:sz w:val="18"/>
                <w:szCs w:val="22"/>
                <w:lang w:eastAsia="en-US"/>
              </w:rPr>
              <w:t>Actonel), Zoledronic Acid (Aclasta)</w:t>
            </w:r>
            <w:r w:rsidR="00524DE4" w:rsidRPr="00FA270C">
              <w:rPr>
                <w:rFonts w:ascii="Calibri" w:hAnsi="Calibri" w:cs="Calibri"/>
                <w:b/>
                <w:i/>
                <w:sz w:val="18"/>
                <w:szCs w:val="22"/>
                <w:lang w:eastAsia="en-US"/>
              </w:rPr>
              <w:t xml:space="preserve"> </w:t>
            </w:r>
            <w:r w:rsidRPr="00FA270C">
              <w:rPr>
                <w:rFonts w:ascii="Calibri" w:hAnsi="Calibri" w:cs="Calibri"/>
                <w:b/>
                <w:i/>
                <w:sz w:val="18"/>
                <w:szCs w:val="22"/>
                <w:lang w:eastAsia="en-US"/>
              </w:rPr>
              <w:t>[prevention (Grade A), treatment (Grade A)]</w:t>
            </w:r>
          </w:p>
          <w:p w:rsidR="00F86C9F" w:rsidRPr="00FA270C" w:rsidRDefault="00F86C9F">
            <w:pPr>
              <w:spacing w:after="0" w:line="240" w:lineRule="auto"/>
              <w:jc w:val="center"/>
              <w:rPr>
                <w:rFonts w:ascii="Calibri" w:hAnsi="Calibri" w:cs="Calibri"/>
                <w:b/>
                <w:i/>
                <w:sz w:val="18"/>
                <w:szCs w:val="22"/>
                <w:lang w:eastAsia="en-US"/>
              </w:rPr>
            </w:pPr>
            <w:r w:rsidRPr="00FA270C">
              <w:rPr>
                <w:rFonts w:ascii="Calibri" w:eastAsia="Times New Roman" w:hAnsi="Calibri" w:cs="Calibri"/>
                <w:sz w:val="18"/>
                <w:szCs w:val="22"/>
                <w:lang w:eastAsia="en-US"/>
              </w:rPr>
              <w:t xml:space="preserve">ARTG: Fosamax: </w:t>
            </w:r>
            <w:r w:rsidRPr="00FA270C">
              <w:rPr>
                <w:rFonts w:ascii="Arial Narrow" w:hAnsi="Arial Narrow"/>
                <w:lang w:eastAsia="ja-JP"/>
              </w:rPr>
              <w:t>113482,120028,136846,157805, 161137, 53158, 54380, 67262, 68428, 73520, 73772, 76851, 93333, 98944; Dirrocal: 46852; Actonel: 117667, 138211, 141530, 150618, 166838, 166853, 166942,74135, 74136, 82746; Aclasta: 134664; Clodronate: 181921, 181922, 66703, 66704, 80125, 80130</w:t>
            </w:r>
          </w:p>
          <w:p w:rsidR="00F86C9F" w:rsidRPr="00FA270C" w:rsidRDefault="00F86C9F">
            <w:pPr>
              <w:spacing w:after="0" w:line="240" w:lineRule="auto"/>
              <w:jc w:val="center"/>
              <w:rPr>
                <w:rFonts w:ascii="Calibri" w:hAnsi="Calibri" w:cs="Calibri"/>
                <w:sz w:val="18"/>
                <w:szCs w:val="22"/>
                <w:lang w:eastAsia="en-US"/>
              </w:rPr>
            </w:pPr>
          </w:p>
        </w:tc>
      </w:tr>
      <w:tr w:rsidR="00F86C9F" w:rsidRPr="00FA270C">
        <w:tc>
          <w:tcPr>
            <w:tcW w:w="3080"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Contraindication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Side effects</w:t>
            </w:r>
          </w:p>
        </w:tc>
      </w:tr>
      <w:tr w:rsidR="00F86C9F" w:rsidRPr="00FA270C">
        <w:tc>
          <w:tcPr>
            <w:tcW w:w="3080"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Paget's disease of bone</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Prevention and treatment of osteoporosis (including postmenopausal and corticosteroid-induced)</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Hypercalcaemia of malignancy</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Prevention of skeletal-related events in patients with malignancies involving bone</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Prevention and treatment of heterotopic ossification due to spinal cord injury or complicating total hip replacement</w:t>
            </w:r>
          </w:p>
          <w:p w:rsidR="00F86C9F" w:rsidRPr="00FA270C" w:rsidRDefault="00F86C9F">
            <w:pPr>
              <w:spacing w:after="0" w:line="240" w:lineRule="auto"/>
              <w:jc w:val="left"/>
              <w:rPr>
                <w:rFonts w:ascii="Calibri" w:hAnsi="Calibri" w:cs="Calibri"/>
                <w:sz w:val="18"/>
                <w:szCs w:val="22"/>
                <w:lang w:eastAsia="en-US"/>
              </w:rPr>
            </w:pPr>
          </w:p>
        </w:tc>
        <w:tc>
          <w:tcPr>
            <w:tcW w:w="3081"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Abnormalities of the oesophagus which delay oesophageal emptying, such as stricture or achalasia.</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Inability to stand or sit upright for at least 30 minutes.</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Hypersensitivity to any component of bisphosphonates.</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Hypocalcaemia.</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Severe hypercalciuria.</w:t>
            </w:r>
          </w:p>
        </w:tc>
        <w:tc>
          <w:tcPr>
            <w:tcW w:w="3081" w:type="dxa"/>
            <w:tcBorders>
              <w:left w:val="nil"/>
              <w:right w:val="nil"/>
            </w:tcBorders>
          </w:tcPr>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Common</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nausea, vomiting, diarrhoea, headache, hypocalcaemia, musculoskeletal pain (may rarely be severe and/or disabling)</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IV: fever, flu-like symptoms, injection site reaction, increased creatinine concentration, hypophosphataemia, myalgia, bone pain, hypertension</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Infrequent</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oesophagitis, oesophageal erosions and ulcers (mainly with alendronate), gastritis, duodenitis, glossitis, rash</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IV: hypotension, hypomagnesaemia, hypokalaemia</w:t>
            </w: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Rare</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heart failure, renal impairment, ocular inflammation, osteonecrosis of the jaw, allergic reactions including angioedema</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IV: anaphylactic shock</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*Osteonecrosis of the jaw</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 xml:space="preserve">Risk appears to be associated with the potency, route and total dose of bisphosphonate and a history of dental surgery, trauma or disease. </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Possible associations</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Atypical low-energy femoral fractures have occurred rarely during long-term bisphosphonate treatment for osteoporosis. It is possible that bisphosphonates slightly increase the risk of AF, although this association was not found in all studies. Some epidemiological data suggest an association between long-term use of oral bisphosphonates and an increased risk of oesophageal cancer; further evidence is needed.</w:t>
            </w:r>
          </w:p>
          <w:p w:rsidR="00F86C9F" w:rsidRPr="00FA270C" w:rsidRDefault="00F86C9F">
            <w:pPr>
              <w:spacing w:after="0" w:line="240" w:lineRule="auto"/>
              <w:jc w:val="left"/>
              <w:rPr>
                <w:rFonts w:ascii="Calibri" w:hAnsi="Calibri" w:cs="Calibri"/>
                <w:sz w:val="18"/>
                <w:szCs w:val="22"/>
                <w:lang w:eastAsia="en-US"/>
              </w:rPr>
            </w:pPr>
          </w:p>
        </w:tc>
      </w:tr>
      <w:tr w:rsidR="00F86C9F" w:rsidRPr="00FA270C">
        <w:tc>
          <w:tcPr>
            <w:tcW w:w="9242" w:type="dxa"/>
            <w:gridSpan w:val="3"/>
            <w:tcBorders>
              <w:left w:val="nil"/>
              <w:right w:val="nil"/>
            </w:tcBorders>
          </w:tcPr>
          <w:p w:rsidR="00F86C9F" w:rsidRPr="00FA270C" w:rsidRDefault="00F86C9F">
            <w:pPr>
              <w:spacing w:after="0" w:line="240" w:lineRule="auto"/>
              <w:jc w:val="center"/>
              <w:rPr>
                <w:rFonts w:ascii="Calibri" w:hAnsi="Calibri" w:cs="Calibri"/>
                <w:b/>
                <w:sz w:val="18"/>
                <w:szCs w:val="22"/>
                <w:lang w:eastAsia="en-US"/>
              </w:rPr>
            </w:pPr>
            <w:r w:rsidRPr="00FA270C">
              <w:rPr>
                <w:rFonts w:ascii="Calibri" w:hAnsi="Calibri" w:cs="Calibri"/>
                <w:b/>
                <w:sz w:val="18"/>
                <w:szCs w:val="22"/>
                <w:lang w:eastAsia="en-US"/>
              </w:rPr>
              <w:t xml:space="preserve">Hormone Replacement Therapy </w:t>
            </w:r>
          </w:p>
          <w:p w:rsidR="00F86C9F" w:rsidRPr="00FA270C" w:rsidRDefault="00F86C9F">
            <w:pPr>
              <w:spacing w:after="0" w:line="240" w:lineRule="auto"/>
              <w:jc w:val="center"/>
              <w:rPr>
                <w:rFonts w:ascii="Calibri" w:hAnsi="Calibri" w:cs="Calibri"/>
                <w:b/>
                <w:i/>
                <w:sz w:val="18"/>
                <w:szCs w:val="22"/>
                <w:lang w:eastAsia="en-US"/>
              </w:rPr>
            </w:pPr>
            <w:r w:rsidRPr="00FA270C">
              <w:rPr>
                <w:rFonts w:ascii="Calibri" w:hAnsi="Calibri" w:cs="Calibri"/>
                <w:b/>
                <w:sz w:val="18"/>
                <w:szCs w:val="22"/>
                <w:lang w:eastAsia="en-US"/>
              </w:rPr>
              <w:lastRenderedPageBreak/>
              <w:t xml:space="preserve"> </w:t>
            </w:r>
            <w:r w:rsidRPr="00FA270C">
              <w:rPr>
                <w:rFonts w:ascii="Calibri" w:hAnsi="Calibri" w:cs="Calibri"/>
                <w:b/>
                <w:i/>
                <w:sz w:val="18"/>
                <w:szCs w:val="22"/>
                <w:lang w:eastAsia="en-US"/>
              </w:rPr>
              <w:t>[prevention (Grade A), treatment (Grade A)]</w:t>
            </w:r>
          </w:p>
          <w:p w:rsidR="00F86C9F" w:rsidRPr="00FA270C" w:rsidRDefault="00F86C9F">
            <w:pPr>
              <w:spacing w:after="0" w:line="240" w:lineRule="auto"/>
              <w:jc w:val="center"/>
              <w:rPr>
                <w:rFonts w:ascii="Calibri" w:hAnsi="Calibri" w:cs="Calibri"/>
                <w:sz w:val="18"/>
                <w:szCs w:val="22"/>
                <w:lang w:eastAsia="en-US"/>
              </w:rPr>
            </w:pPr>
          </w:p>
        </w:tc>
      </w:tr>
      <w:tr w:rsidR="00F86C9F" w:rsidRPr="00FA270C">
        <w:tc>
          <w:tcPr>
            <w:tcW w:w="3080"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lastRenderedPageBreak/>
              <w:t>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Contraindication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Side effects</w:t>
            </w:r>
          </w:p>
        </w:tc>
      </w:tr>
      <w:tr w:rsidR="00F86C9F" w:rsidRPr="00FA270C">
        <w:tc>
          <w:tcPr>
            <w:tcW w:w="3080"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Prevention of postmenopausal osteoporosis when there is a high risk of fractures and alternative treatment is inappropriate</w:t>
            </w:r>
          </w:p>
        </w:tc>
        <w:tc>
          <w:tcPr>
            <w:tcW w:w="3081"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Breast cancer or other oestrogen-dependent tumour.</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Unexplained vaginal bleeding.</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History of endometriosis</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Uterine fibroids</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Migraine—may be exacerbated or relieved.</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Diabetes—HRT may improve glycaemic control</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Epilepsy</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Treatment with enzyme-inducing drugs</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Smoking</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Systemic lupus erythematosus</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Hereditary angioedema</w:t>
            </w:r>
          </w:p>
          <w:p w:rsidR="00F86C9F" w:rsidRPr="00FA270C" w:rsidRDefault="00F86C9F">
            <w:pPr>
              <w:spacing w:after="0" w:line="240" w:lineRule="auto"/>
              <w:jc w:val="left"/>
              <w:rPr>
                <w:rFonts w:ascii="Calibri" w:hAnsi="Calibri" w:cs="Calibri"/>
                <w:sz w:val="18"/>
                <w:szCs w:val="22"/>
                <w:lang w:eastAsia="en-US"/>
              </w:rPr>
            </w:pPr>
          </w:p>
        </w:tc>
        <w:tc>
          <w:tcPr>
            <w:tcW w:w="3081" w:type="dxa"/>
            <w:tcBorders>
              <w:left w:val="nil"/>
              <w:right w:val="nil"/>
            </w:tcBorders>
          </w:tcPr>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Common</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breast enlargement and tenderness, abnormal mammogram, headache, depression, change in libido, irregular or breakthrough bleeding, spotting, endometrial hyperplasia (oestrogen-only HRT; infrequent with combined HRT), leg cramps, dry eye syndrome (oestrogen-only HRT; infrequent with combined HRT)</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Infrequent</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benign proliferative breast disease, breast cancer, premenstrual-like syndrome, dementia, migraine, cardiovascular events, fluid retention, oedema, increased BP, exacerbation or recurrence of endometriosis, acne, itch, nausea, increased triglycerides, gall stones</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Rare</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cholestatic jaundice, pancreatitis, glucose intolerance, galactorrhoea, visual changes, chloasma, hypersensitivity (angioedema, urticaria), ovarian cancer, endometrial cancer, enlargement of uterine fibroids, enlargement of hepatic haemangiomas</w:t>
            </w:r>
          </w:p>
          <w:p w:rsidR="00F86C9F" w:rsidRPr="00FA270C" w:rsidRDefault="00F86C9F">
            <w:pPr>
              <w:spacing w:after="0" w:line="240" w:lineRule="auto"/>
              <w:jc w:val="left"/>
              <w:rPr>
                <w:rFonts w:ascii="Calibri" w:hAnsi="Calibri" w:cs="Calibri"/>
                <w:sz w:val="18"/>
                <w:szCs w:val="22"/>
                <w:lang w:eastAsia="en-US"/>
              </w:rPr>
            </w:pPr>
          </w:p>
        </w:tc>
      </w:tr>
      <w:tr w:rsidR="00F86C9F" w:rsidRPr="00FA270C">
        <w:tc>
          <w:tcPr>
            <w:tcW w:w="9242" w:type="dxa"/>
            <w:gridSpan w:val="3"/>
            <w:tcBorders>
              <w:left w:val="nil"/>
              <w:right w:val="nil"/>
            </w:tcBorders>
          </w:tcPr>
          <w:p w:rsidR="00F86C9F" w:rsidRPr="00FA270C" w:rsidRDefault="00F86C9F">
            <w:pPr>
              <w:spacing w:after="0" w:line="240" w:lineRule="auto"/>
              <w:jc w:val="center"/>
              <w:rPr>
                <w:rFonts w:ascii="Calibri" w:hAnsi="Calibri" w:cs="Calibri"/>
                <w:b/>
                <w:i/>
                <w:sz w:val="18"/>
                <w:szCs w:val="22"/>
                <w:lang w:eastAsia="en-US"/>
              </w:rPr>
            </w:pPr>
            <w:r w:rsidRPr="00FA270C">
              <w:rPr>
                <w:rFonts w:ascii="Calibri" w:hAnsi="Calibri" w:cs="Calibri"/>
                <w:b/>
                <w:sz w:val="18"/>
                <w:szCs w:val="22"/>
                <w:lang w:eastAsia="en-US"/>
              </w:rPr>
              <w:t>Selective oestrogen receptor modulators (SERMs);</w:t>
            </w:r>
            <w:r w:rsidRPr="00FA270C">
              <w:t xml:space="preserve"> </w:t>
            </w:r>
            <w:r w:rsidRPr="00FA270C">
              <w:rPr>
                <w:rFonts w:ascii="Calibri" w:hAnsi="Calibri" w:cs="Calibri"/>
                <w:b/>
                <w:i/>
                <w:sz w:val="18"/>
                <w:szCs w:val="22"/>
                <w:lang w:eastAsia="en-US"/>
              </w:rPr>
              <w:t>Raloxifene hydrochloride</w:t>
            </w:r>
            <w:r w:rsidRPr="00FA270C">
              <w:rPr>
                <w:rFonts w:ascii="Calibri" w:hAnsi="Calibri" w:cs="Calibri"/>
                <w:b/>
                <w:sz w:val="18"/>
                <w:szCs w:val="22"/>
                <w:lang w:eastAsia="en-US"/>
              </w:rPr>
              <w:t xml:space="preserve"> ( Evista</w:t>
            </w:r>
            <w:r w:rsidRPr="00FA270C">
              <w:rPr>
                <w:rFonts w:ascii="Calibri" w:hAnsi="Calibri" w:cs="Calibri"/>
                <w:b/>
                <w:i/>
                <w:sz w:val="18"/>
                <w:szCs w:val="22"/>
                <w:lang w:eastAsia="en-US"/>
              </w:rPr>
              <w:t>)</w:t>
            </w:r>
          </w:p>
          <w:p w:rsidR="00F86C9F" w:rsidRPr="00FA270C" w:rsidRDefault="00F86C9F">
            <w:pPr>
              <w:spacing w:after="0" w:line="240" w:lineRule="auto"/>
              <w:jc w:val="center"/>
              <w:rPr>
                <w:rFonts w:ascii="Calibri" w:hAnsi="Calibri" w:cs="Calibri"/>
                <w:b/>
                <w:i/>
                <w:sz w:val="18"/>
                <w:szCs w:val="22"/>
                <w:lang w:eastAsia="en-US"/>
              </w:rPr>
            </w:pPr>
            <w:r w:rsidRPr="00FA270C">
              <w:rPr>
                <w:rFonts w:ascii="Calibri" w:hAnsi="Calibri" w:cs="Calibri"/>
                <w:b/>
                <w:i/>
                <w:sz w:val="18"/>
                <w:szCs w:val="22"/>
                <w:lang w:eastAsia="en-US"/>
              </w:rPr>
              <w:t>[treatment (Grade A)]</w:t>
            </w:r>
          </w:p>
          <w:p w:rsidR="00F86C9F" w:rsidRPr="00FA270C" w:rsidRDefault="00F86C9F">
            <w:pPr>
              <w:spacing w:after="0" w:line="240" w:lineRule="auto"/>
              <w:jc w:val="center"/>
              <w:rPr>
                <w:rFonts w:ascii="Calibri" w:hAnsi="Calibri" w:cs="Calibri"/>
                <w:i/>
                <w:sz w:val="18"/>
                <w:szCs w:val="22"/>
                <w:lang w:eastAsia="en-US"/>
              </w:rPr>
            </w:pPr>
            <w:r w:rsidRPr="00FA270C">
              <w:rPr>
                <w:rFonts w:ascii="Calibri" w:eastAsia="Times New Roman" w:hAnsi="Calibri" w:cs="Calibri"/>
                <w:sz w:val="18"/>
                <w:szCs w:val="22"/>
                <w:lang w:eastAsia="en-US"/>
              </w:rPr>
              <w:t>ARTG: Evista:</w:t>
            </w:r>
            <w:r w:rsidRPr="00FA270C">
              <w:t xml:space="preserve"> </w:t>
            </w:r>
            <w:r w:rsidRPr="00FA270C">
              <w:rPr>
                <w:rFonts w:ascii="Calibri" w:eastAsia="Times New Roman" w:hAnsi="Calibri" w:cs="Calibri"/>
                <w:sz w:val="18"/>
                <w:szCs w:val="22"/>
                <w:lang w:eastAsia="en-US"/>
              </w:rPr>
              <w:t>64709; Femarelle: 161797</w:t>
            </w:r>
          </w:p>
        </w:tc>
      </w:tr>
      <w:tr w:rsidR="00F86C9F" w:rsidRPr="00FA270C">
        <w:tc>
          <w:tcPr>
            <w:tcW w:w="3080"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Contraindication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Side effects</w:t>
            </w:r>
          </w:p>
        </w:tc>
      </w:tr>
      <w:tr w:rsidR="00F86C9F" w:rsidRPr="00FA270C">
        <w:tc>
          <w:tcPr>
            <w:tcW w:w="3080"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For the symptomatic relief of menopause.</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 xml:space="preserve">Maintenance of bone health,indicated for the prevention and treatment of osteoporosis. </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Hormone receptor-positive breast cancer</w:t>
            </w:r>
          </w:p>
          <w:p w:rsidR="00F86C9F" w:rsidRPr="00FA270C" w:rsidRDefault="00F86C9F">
            <w:pPr>
              <w:spacing w:after="0" w:line="240" w:lineRule="auto"/>
              <w:jc w:val="left"/>
              <w:rPr>
                <w:rFonts w:ascii="Calibri" w:hAnsi="Calibri" w:cs="Calibri"/>
                <w:sz w:val="18"/>
                <w:szCs w:val="22"/>
                <w:lang w:eastAsia="en-US"/>
              </w:rPr>
            </w:pPr>
          </w:p>
        </w:tc>
        <w:tc>
          <w:tcPr>
            <w:tcW w:w="3081"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Venous thromboembolism (VTE) —contraindicated in patients with a history of VTE or risk factors for VTE . Prolonged immobilisation—increases risk of VTE.</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Women with or at risk of coronary heart disease—increased risk of VTE or fatal stroke.</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History of hypertriglyceridaemia induced by oestrogens—increased risk of hypertriglyceridaemia.</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History of breast cancer—raloxifene is not indicated for treating, or reducing risk of recurrence of, breast cancer.</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hepatic impairment</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Surgery</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Pregnancy</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Breastfeeding</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Contraindicated.</w:t>
            </w:r>
          </w:p>
          <w:p w:rsidR="00F86C9F" w:rsidRPr="00FA270C" w:rsidRDefault="00F86C9F">
            <w:pPr>
              <w:spacing w:after="0" w:line="240" w:lineRule="auto"/>
              <w:jc w:val="left"/>
              <w:rPr>
                <w:rFonts w:ascii="Calibri" w:hAnsi="Calibri" w:cs="Calibri"/>
                <w:sz w:val="18"/>
                <w:szCs w:val="22"/>
                <w:lang w:eastAsia="en-US"/>
              </w:rPr>
            </w:pPr>
          </w:p>
        </w:tc>
        <w:tc>
          <w:tcPr>
            <w:tcW w:w="3081" w:type="dxa"/>
            <w:tcBorders>
              <w:left w:val="nil"/>
              <w:right w:val="nil"/>
            </w:tcBorders>
          </w:tcPr>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Common</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hot flushes, sweating, leg cramps, peripheral oedema, sleep disorders</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Infrequent</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VTE</w:t>
            </w:r>
          </w:p>
          <w:p w:rsidR="00F86C9F" w:rsidRPr="00FA270C" w:rsidRDefault="00F86C9F">
            <w:pPr>
              <w:spacing w:after="0" w:line="240" w:lineRule="auto"/>
              <w:jc w:val="left"/>
              <w:rPr>
                <w:rFonts w:ascii="Calibri" w:hAnsi="Calibri" w:cs="Calibri"/>
                <w:sz w:val="18"/>
                <w:szCs w:val="22"/>
                <w:lang w:eastAsia="en-US"/>
              </w:rPr>
            </w:pPr>
          </w:p>
        </w:tc>
      </w:tr>
      <w:tr w:rsidR="00F86C9F" w:rsidRPr="00FA270C">
        <w:tc>
          <w:tcPr>
            <w:tcW w:w="9242" w:type="dxa"/>
            <w:gridSpan w:val="3"/>
            <w:tcBorders>
              <w:left w:val="nil"/>
              <w:right w:val="nil"/>
            </w:tcBorders>
          </w:tcPr>
          <w:p w:rsidR="00F86C9F" w:rsidRPr="00FA270C" w:rsidRDefault="00F86C9F">
            <w:pPr>
              <w:spacing w:after="0" w:line="240" w:lineRule="auto"/>
              <w:jc w:val="center"/>
              <w:rPr>
                <w:rFonts w:ascii="Calibri" w:hAnsi="Calibri" w:cs="Calibri"/>
                <w:b/>
                <w:i/>
                <w:sz w:val="18"/>
                <w:szCs w:val="22"/>
                <w:lang w:eastAsia="en-US"/>
              </w:rPr>
            </w:pPr>
            <w:r w:rsidRPr="00FA270C">
              <w:rPr>
                <w:rFonts w:ascii="Calibri" w:hAnsi="Calibri" w:cs="Calibri"/>
                <w:b/>
                <w:sz w:val="18"/>
                <w:szCs w:val="22"/>
                <w:lang w:eastAsia="en-US"/>
              </w:rPr>
              <w:t xml:space="preserve">Monoclonal antibodies; </w:t>
            </w:r>
            <w:r w:rsidRPr="00FA270C">
              <w:rPr>
                <w:rFonts w:ascii="Calibri" w:hAnsi="Calibri" w:cs="Calibri"/>
                <w:b/>
                <w:i/>
                <w:sz w:val="18"/>
                <w:szCs w:val="22"/>
                <w:lang w:eastAsia="en-US"/>
              </w:rPr>
              <w:t>Denosumab (</w:t>
            </w:r>
            <w:r w:rsidRPr="00FA270C">
              <w:rPr>
                <w:rFonts w:ascii="Calibri" w:hAnsi="Calibri" w:cs="Calibri"/>
                <w:b/>
                <w:sz w:val="18"/>
                <w:szCs w:val="22"/>
                <w:lang w:eastAsia="en-US"/>
              </w:rPr>
              <w:t>Prolia)</w:t>
            </w:r>
          </w:p>
          <w:p w:rsidR="00F86C9F" w:rsidRPr="00FA270C" w:rsidRDefault="00F86C9F">
            <w:pPr>
              <w:spacing w:after="0" w:line="240" w:lineRule="auto"/>
              <w:jc w:val="center"/>
              <w:rPr>
                <w:rFonts w:ascii="Calibri" w:hAnsi="Calibri" w:cs="Calibri"/>
                <w:b/>
                <w:sz w:val="18"/>
                <w:szCs w:val="22"/>
                <w:lang w:eastAsia="en-US"/>
              </w:rPr>
            </w:pPr>
            <w:r w:rsidRPr="00FA270C">
              <w:rPr>
                <w:rFonts w:ascii="Calibri" w:hAnsi="Calibri" w:cs="Calibri"/>
                <w:b/>
                <w:sz w:val="18"/>
                <w:szCs w:val="22"/>
                <w:lang w:eastAsia="en-US"/>
              </w:rPr>
              <w:t xml:space="preserve"> </w:t>
            </w:r>
            <w:r w:rsidRPr="00FA270C">
              <w:rPr>
                <w:rFonts w:ascii="Calibri" w:eastAsia="Times New Roman" w:hAnsi="Calibri" w:cs="Calibri"/>
                <w:sz w:val="18"/>
                <w:szCs w:val="22"/>
                <w:lang w:eastAsia="en-US"/>
              </w:rPr>
              <w:t>ARTG: 159322,159323, 159324</w:t>
            </w:r>
          </w:p>
        </w:tc>
      </w:tr>
      <w:tr w:rsidR="00F86C9F" w:rsidRPr="00FA270C">
        <w:tc>
          <w:tcPr>
            <w:tcW w:w="3080"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lastRenderedPageBreak/>
              <w:t>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Contraindication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Side effects</w:t>
            </w:r>
          </w:p>
        </w:tc>
      </w:tr>
      <w:tr w:rsidR="00F86C9F" w:rsidRPr="00FA270C">
        <w:tc>
          <w:tcPr>
            <w:tcW w:w="3080"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Treatment of postmenopausal osteoporosis</w:t>
            </w:r>
          </w:p>
          <w:p w:rsidR="00F86C9F" w:rsidRPr="00FA270C" w:rsidRDefault="00F86C9F">
            <w:pPr>
              <w:spacing w:after="0" w:line="240" w:lineRule="auto"/>
              <w:jc w:val="left"/>
              <w:rPr>
                <w:rFonts w:ascii="Calibri" w:hAnsi="Calibri" w:cs="Calibri"/>
                <w:sz w:val="18"/>
                <w:szCs w:val="22"/>
                <w:lang w:eastAsia="en-US"/>
              </w:rPr>
            </w:pPr>
          </w:p>
        </w:tc>
        <w:tc>
          <w:tcPr>
            <w:tcW w:w="3081"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Hypocalcaemia</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Renal increased risk of hypocalcaemia if CrCl &lt;30 mL/minute.</w:t>
            </w:r>
          </w:p>
          <w:p w:rsidR="00F86C9F" w:rsidRPr="00FA270C" w:rsidRDefault="00F86C9F">
            <w:pPr>
              <w:spacing w:after="0" w:line="240" w:lineRule="auto"/>
              <w:jc w:val="left"/>
              <w:rPr>
                <w:rFonts w:ascii="Calibri" w:hAnsi="Calibri" w:cs="Calibri"/>
                <w:sz w:val="18"/>
                <w:szCs w:val="22"/>
                <w:lang w:eastAsia="en-US"/>
              </w:rPr>
            </w:pPr>
          </w:p>
        </w:tc>
        <w:tc>
          <w:tcPr>
            <w:tcW w:w="3081" w:type="dxa"/>
            <w:tcBorders>
              <w:left w:val="nil"/>
              <w:right w:val="nil"/>
            </w:tcBorders>
          </w:tcPr>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Common</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eczema, hypercholesterolaemia</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Infrequent</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skin infections (mainly cellulitis)</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Rare</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hypocalcaemia, osteonecrosis of the jaw</w:t>
            </w:r>
          </w:p>
        </w:tc>
      </w:tr>
      <w:tr w:rsidR="00F86C9F" w:rsidRPr="00FA270C">
        <w:tc>
          <w:tcPr>
            <w:tcW w:w="9242" w:type="dxa"/>
            <w:gridSpan w:val="3"/>
            <w:tcBorders>
              <w:left w:val="nil"/>
              <w:right w:val="nil"/>
            </w:tcBorders>
          </w:tcPr>
          <w:p w:rsidR="00F86C9F" w:rsidRPr="00FA270C" w:rsidRDefault="00F86C9F">
            <w:pPr>
              <w:spacing w:after="0" w:line="240" w:lineRule="auto"/>
              <w:jc w:val="center"/>
              <w:rPr>
                <w:rFonts w:ascii="Calibri" w:hAnsi="Calibri" w:cs="Calibri"/>
                <w:i/>
                <w:sz w:val="18"/>
                <w:szCs w:val="22"/>
                <w:lang w:eastAsia="en-US"/>
              </w:rPr>
            </w:pPr>
            <w:r w:rsidRPr="00FA270C">
              <w:rPr>
                <w:rFonts w:ascii="Calibri" w:hAnsi="Calibri" w:cs="Calibri"/>
                <w:b/>
                <w:sz w:val="18"/>
                <w:szCs w:val="22"/>
                <w:lang w:eastAsia="en-US"/>
              </w:rPr>
              <w:t>Teriparatide (Forteo) (parathyroid hormone)</w:t>
            </w:r>
            <w:r w:rsidRPr="00FA270C">
              <w:rPr>
                <w:rFonts w:ascii="Calibri" w:hAnsi="Calibri" w:cs="Calibri"/>
                <w:i/>
                <w:sz w:val="18"/>
                <w:szCs w:val="22"/>
                <w:lang w:eastAsia="en-US"/>
              </w:rPr>
              <w:t xml:space="preserve"> [treatment – (Grade A)]</w:t>
            </w:r>
          </w:p>
          <w:p w:rsidR="00F86C9F" w:rsidRPr="00FA270C" w:rsidRDefault="00F86C9F">
            <w:pPr>
              <w:spacing w:after="0" w:line="240" w:lineRule="auto"/>
              <w:jc w:val="center"/>
              <w:rPr>
                <w:rFonts w:ascii="Calibri" w:hAnsi="Calibri" w:cs="Calibri"/>
                <w:sz w:val="18"/>
                <w:szCs w:val="22"/>
                <w:lang w:eastAsia="en-US"/>
              </w:rPr>
            </w:pPr>
            <w:r w:rsidRPr="00FA270C">
              <w:rPr>
                <w:rFonts w:ascii="Calibri" w:eastAsia="Times New Roman" w:hAnsi="Calibri" w:cs="Calibri"/>
                <w:sz w:val="18"/>
                <w:szCs w:val="22"/>
                <w:lang w:eastAsia="en-US"/>
              </w:rPr>
              <w:t>ARTG:</w:t>
            </w:r>
            <w:r w:rsidRPr="00FA270C">
              <w:t xml:space="preserve"> </w:t>
            </w:r>
            <w:r w:rsidRPr="00FA270C">
              <w:rPr>
                <w:rFonts w:ascii="Calibri" w:eastAsia="Times New Roman" w:hAnsi="Calibri" w:cs="Calibri"/>
                <w:sz w:val="18"/>
                <w:szCs w:val="22"/>
                <w:lang w:eastAsia="en-US"/>
              </w:rPr>
              <w:t>80333</w:t>
            </w:r>
          </w:p>
        </w:tc>
      </w:tr>
      <w:tr w:rsidR="00F86C9F" w:rsidRPr="00FA270C">
        <w:tc>
          <w:tcPr>
            <w:tcW w:w="3080"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Contraindication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Side effects</w:t>
            </w:r>
          </w:p>
        </w:tc>
      </w:tr>
      <w:tr w:rsidR="00F86C9F" w:rsidRPr="00FA270C">
        <w:tc>
          <w:tcPr>
            <w:tcW w:w="3080"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Postmenopausal osteoporosis when there is a high risk of fractures and other agents are unsuitable</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Primary osteoporosis in men when there is a high risk of fractures and other agents are unsuitable</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Corticosteroid-induced osteoporosis in patients at high risk of fractures</w:t>
            </w:r>
          </w:p>
          <w:p w:rsidR="00F86C9F" w:rsidRPr="00FA270C" w:rsidRDefault="00F86C9F">
            <w:pPr>
              <w:spacing w:after="0" w:line="240" w:lineRule="auto"/>
              <w:jc w:val="left"/>
              <w:rPr>
                <w:rFonts w:ascii="Calibri" w:hAnsi="Calibri" w:cs="Calibri"/>
                <w:b/>
                <w:sz w:val="18"/>
                <w:szCs w:val="22"/>
                <w:lang w:eastAsia="en-US"/>
              </w:rPr>
            </w:pPr>
          </w:p>
        </w:tc>
        <w:tc>
          <w:tcPr>
            <w:tcW w:w="3081"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Paget's disease of bone</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Hyperparathyroidism</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Urolithiasis, hypercalcaemia</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Skeletal malignancies, history of skeletal radiation treatment, unexplained increases in ALP—manufacturer discourages use.</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Treatment with alendronate—may reduce the effectiveness of teriparatide; combination not recommended. Effect of combination with other bisphosphonates is not known.</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Renal</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Limited clinical experience in renal impairment; avoid if CrCl &lt;30mL/minute.</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manufacturer discourages use in children and young adults with open epiphyses.</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Avoid in women planning to conceive or who are not using adequate contraception.</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Pregnancy</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Breastfeeding</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b/>
                <w:sz w:val="18"/>
                <w:szCs w:val="22"/>
                <w:lang w:eastAsia="en-US"/>
              </w:rPr>
            </w:pPr>
          </w:p>
        </w:tc>
        <w:tc>
          <w:tcPr>
            <w:tcW w:w="3081" w:type="dxa"/>
            <w:tcBorders>
              <w:left w:val="nil"/>
              <w:right w:val="nil"/>
            </w:tcBorders>
          </w:tcPr>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Common</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nausea, headache, dizziness, muscle cramp, arthralgia, hyperuricaemia, injection site reactions</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Infrequent</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hypercalcaemia, myalgia, increased ALP</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Rare</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allergic reactions</w:t>
            </w:r>
          </w:p>
          <w:p w:rsidR="00F86C9F" w:rsidRPr="00FA270C" w:rsidRDefault="00F86C9F">
            <w:pPr>
              <w:spacing w:after="0" w:line="240" w:lineRule="auto"/>
              <w:jc w:val="left"/>
              <w:rPr>
                <w:rFonts w:ascii="Calibri" w:hAnsi="Calibri" w:cs="Calibri"/>
                <w:b/>
                <w:sz w:val="18"/>
                <w:szCs w:val="22"/>
                <w:lang w:eastAsia="en-US"/>
              </w:rPr>
            </w:pPr>
          </w:p>
        </w:tc>
      </w:tr>
      <w:tr w:rsidR="00F86C9F" w:rsidRPr="00FA270C" w:rsidTr="00C2776C">
        <w:tc>
          <w:tcPr>
            <w:tcW w:w="9242" w:type="dxa"/>
            <w:gridSpan w:val="3"/>
            <w:tcBorders>
              <w:left w:val="nil"/>
              <w:right w:val="nil"/>
            </w:tcBorders>
          </w:tcPr>
          <w:p w:rsidR="00F86C9F" w:rsidRPr="00FA270C" w:rsidRDefault="00F86C9F" w:rsidP="00C2776C">
            <w:pPr>
              <w:spacing w:after="0" w:line="240" w:lineRule="auto"/>
              <w:jc w:val="center"/>
              <w:rPr>
                <w:rFonts w:ascii="Calibri" w:hAnsi="Calibri" w:cs="Calibri"/>
                <w:sz w:val="18"/>
                <w:szCs w:val="22"/>
                <w:lang w:eastAsia="en-US"/>
              </w:rPr>
            </w:pPr>
            <w:r w:rsidRPr="00FA270C">
              <w:rPr>
                <w:rFonts w:ascii="Calibri" w:hAnsi="Calibri" w:cs="Calibri"/>
                <w:b/>
                <w:sz w:val="18"/>
                <w:szCs w:val="22"/>
                <w:lang w:eastAsia="en-US"/>
              </w:rPr>
              <w:t xml:space="preserve">Strontium Ranelate </w:t>
            </w:r>
            <w:r w:rsidRPr="00FA270C">
              <w:rPr>
                <w:rFonts w:ascii="Calibri" w:hAnsi="Calibri" w:cs="Calibri"/>
                <w:i/>
                <w:sz w:val="18"/>
                <w:szCs w:val="22"/>
                <w:lang w:eastAsia="en-US"/>
              </w:rPr>
              <w:t>(</w:t>
            </w:r>
            <w:r w:rsidRPr="00FA270C">
              <w:rPr>
                <w:rFonts w:ascii="Calibri" w:hAnsi="Calibri" w:cs="Calibri"/>
                <w:b/>
                <w:sz w:val="18"/>
                <w:szCs w:val="22"/>
                <w:lang w:eastAsia="en-US"/>
              </w:rPr>
              <w:t>Protos</w:t>
            </w:r>
            <w:r w:rsidRPr="00FA270C">
              <w:rPr>
                <w:rFonts w:ascii="Calibri" w:hAnsi="Calibri" w:cs="Calibri"/>
                <w:sz w:val="18"/>
                <w:szCs w:val="22"/>
                <w:lang w:eastAsia="en-US"/>
              </w:rPr>
              <w:t>)</w:t>
            </w:r>
          </w:p>
          <w:p w:rsidR="00F86C9F" w:rsidRPr="00FA270C" w:rsidRDefault="00F86C9F" w:rsidP="00C2776C">
            <w:pPr>
              <w:spacing w:after="0" w:line="240" w:lineRule="auto"/>
              <w:jc w:val="center"/>
              <w:rPr>
                <w:rFonts w:ascii="Calibri" w:hAnsi="Calibri" w:cs="Calibri"/>
                <w:sz w:val="18"/>
                <w:szCs w:val="22"/>
                <w:lang w:eastAsia="en-US"/>
              </w:rPr>
            </w:pPr>
            <w:r w:rsidRPr="00FA270C">
              <w:rPr>
                <w:rFonts w:ascii="Calibri" w:hAnsi="Calibri" w:cs="Calibri"/>
                <w:sz w:val="18"/>
                <w:szCs w:val="22"/>
                <w:lang w:eastAsia="en-US"/>
              </w:rPr>
              <w:t xml:space="preserve"> </w:t>
            </w:r>
            <w:r w:rsidRPr="00FA270C">
              <w:rPr>
                <w:rFonts w:ascii="Calibri" w:hAnsi="Calibri" w:cs="Calibri"/>
                <w:i/>
                <w:sz w:val="18"/>
                <w:szCs w:val="22"/>
                <w:lang w:eastAsia="en-US"/>
              </w:rPr>
              <w:t xml:space="preserve"> [treatment – (Grade A)]</w:t>
            </w:r>
          </w:p>
        </w:tc>
      </w:tr>
      <w:tr w:rsidR="00F86C9F" w:rsidRPr="00FA270C" w:rsidTr="00C2776C">
        <w:tc>
          <w:tcPr>
            <w:tcW w:w="3080" w:type="dxa"/>
            <w:tcBorders>
              <w:left w:val="nil"/>
              <w:right w:val="nil"/>
            </w:tcBorders>
          </w:tcPr>
          <w:p w:rsidR="00F86C9F" w:rsidRPr="00FA270C" w:rsidRDefault="00F86C9F" w:rsidP="00C2776C">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Indication</w:t>
            </w:r>
          </w:p>
        </w:tc>
        <w:tc>
          <w:tcPr>
            <w:tcW w:w="3081" w:type="dxa"/>
            <w:tcBorders>
              <w:left w:val="nil"/>
              <w:right w:val="nil"/>
            </w:tcBorders>
          </w:tcPr>
          <w:p w:rsidR="00F86C9F" w:rsidRPr="00FA270C" w:rsidRDefault="00F86C9F" w:rsidP="00C2776C">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Contraindication</w:t>
            </w:r>
          </w:p>
        </w:tc>
        <w:tc>
          <w:tcPr>
            <w:tcW w:w="3081" w:type="dxa"/>
            <w:tcBorders>
              <w:left w:val="nil"/>
              <w:right w:val="nil"/>
            </w:tcBorders>
          </w:tcPr>
          <w:p w:rsidR="00F86C9F" w:rsidRPr="00FA270C" w:rsidRDefault="00F86C9F" w:rsidP="00C2776C">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Side effects</w:t>
            </w:r>
          </w:p>
        </w:tc>
      </w:tr>
      <w:tr w:rsidR="00F86C9F" w:rsidRPr="00FA270C" w:rsidTr="00C2776C">
        <w:tc>
          <w:tcPr>
            <w:tcW w:w="3080" w:type="dxa"/>
            <w:tcBorders>
              <w:left w:val="nil"/>
              <w:right w:val="nil"/>
            </w:tcBorders>
          </w:tcPr>
          <w:p w:rsidR="00F86C9F" w:rsidRPr="00FA270C" w:rsidRDefault="00F86C9F" w:rsidP="00B229A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Treatment of postmenopausal osteoporosis to reduce the risk of fracture.</w:t>
            </w:r>
          </w:p>
          <w:p w:rsidR="00F86C9F" w:rsidRPr="00FA270C" w:rsidRDefault="00F86C9F" w:rsidP="00B229A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Treatment of osteoporosis in men at increased risk of fracture.</w:t>
            </w:r>
          </w:p>
        </w:tc>
        <w:tc>
          <w:tcPr>
            <w:tcW w:w="3081" w:type="dxa"/>
            <w:tcBorders>
              <w:left w:val="nil"/>
              <w:right w:val="nil"/>
            </w:tcBorders>
          </w:tcPr>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r w:rsidRPr="00FA270C">
              <w:rPr>
                <w:rFonts w:ascii="Calibri" w:eastAsia="Times New Roman" w:hAnsi="Calibri" w:cs="Calibri"/>
                <w:color w:val="000000"/>
                <w:sz w:val="18"/>
                <w:szCs w:val="18"/>
                <w:lang w:eastAsia="en-US"/>
              </w:rPr>
              <w:t>Known hypersensitivity to strontium ranelate or to any of the excipients</w:t>
            </w: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r w:rsidRPr="00FA270C">
              <w:rPr>
                <w:rFonts w:ascii="Calibri" w:eastAsia="Times New Roman" w:hAnsi="Calibri" w:cs="Calibri"/>
                <w:color w:val="000000"/>
                <w:sz w:val="18"/>
                <w:szCs w:val="18"/>
                <w:lang w:eastAsia="en-US"/>
              </w:rPr>
              <w:t>Severe renal impairment (see Pharmacokinetics – Special Populations)</w:t>
            </w: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r w:rsidRPr="00FA270C">
              <w:rPr>
                <w:rFonts w:ascii="Calibri" w:eastAsia="Times New Roman" w:hAnsi="Calibri" w:cs="Calibri"/>
                <w:color w:val="000000"/>
                <w:sz w:val="18"/>
                <w:szCs w:val="18"/>
                <w:lang w:eastAsia="en-US"/>
              </w:rPr>
              <w:t>Current or previous venous thromboembolic events (VTE), including deep vein thrombosis and pulmonary embolism.</w:t>
            </w: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r w:rsidRPr="00FA270C">
              <w:rPr>
                <w:rFonts w:ascii="Calibri" w:eastAsia="Times New Roman" w:hAnsi="Calibri" w:cs="Calibri"/>
                <w:color w:val="000000"/>
                <w:sz w:val="18"/>
                <w:szCs w:val="18"/>
                <w:lang w:eastAsia="en-US"/>
              </w:rPr>
              <w:t>Temporary</w:t>
            </w:r>
            <w:r w:rsidR="0025521C">
              <w:rPr>
                <w:rFonts w:ascii="Calibri" w:eastAsia="Times New Roman" w:hAnsi="Calibri" w:cs="Calibri"/>
                <w:color w:val="000000"/>
                <w:sz w:val="18"/>
                <w:szCs w:val="18"/>
                <w:lang w:eastAsia="en-US"/>
              </w:rPr>
              <w:t xml:space="preserve"> or permanent immobilisation (eg</w:t>
            </w:r>
            <w:r w:rsidRPr="00FA270C">
              <w:rPr>
                <w:rFonts w:ascii="Calibri" w:eastAsia="Times New Roman" w:hAnsi="Calibri" w:cs="Calibri"/>
                <w:color w:val="000000"/>
                <w:sz w:val="18"/>
                <w:szCs w:val="18"/>
                <w:lang w:eastAsia="en-US"/>
              </w:rPr>
              <w:t xml:space="preserve"> post-surgical recovery or prolonged bed rest).um ranelate or to any of the excipients </w:t>
            </w: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r w:rsidRPr="00FA270C">
              <w:rPr>
                <w:rFonts w:ascii="Calibri" w:eastAsia="Times New Roman" w:hAnsi="Calibri" w:cs="Calibri"/>
                <w:color w:val="000000"/>
                <w:sz w:val="18"/>
                <w:szCs w:val="18"/>
                <w:lang w:eastAsia="en-US"/>
              </w:rPr>
              <w:lastRenderedPageBreak/>
              <w:t xml:space="preserve">Severe renal impairment (see Pharmacokinetics – Special Populations) </w:t>
            </w: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r w:rsidRPr="00FA270C">
              <w:rPr>
                <w:rFonts w:ascii="Calibri" w:eastAsia="Times New Roman" w:hAnsi="Calibri" w:cs="Calibri"/>
                <w:color w:val="000000"/>
                <w:sz w:val="18"/>
                <w:szCs w:val="18"/>
                <w:lang w:eastAsia="en-US"/>
              </w:rPr>
              <w:t xml:space="preserve">Current or previous venous thromboembolic events (VTE), including deep vein thrombosis and pulmonary embolism. </w:t>
            </w: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p>
          <w:p w:rsidR="00F86C9F" w:rsidRPr="00FA270C" w:rsidRDefault="00F86C9F" w:rsidP="004F4EC1">
            <w:pPr>
              <w:autoSpaceDE w:val="0"/>
              <w:autoSpaceDN w:val="0"/>
              <w:adjustRightInd w:val="0"/>
              <w:spacing w:after="0" w:line="240" w:lineRule="auto"/>
              <w:jc w:val="left"/>
              <w:rPr>
                <w:rFonts w:ascii="Calibri" w:eastAsia="Times New Roman" w:hAnsi="Calibri" w:cs="Calibri"/>
                <w:color w:val="000000"/>
                <w:sz w:val="18"/>
                <w:szCs w:val="18"/>
                <w:lang w:eastAsia="en-US"/>
              </w:rPr>
            </w:pPr>
            <w:r w:rsidRPr="00FA270C">
              <w:rPr>
                <w:rFonts w:ascii="Calibri" w:eastAsia="Times New Roman" w:hAnsi="Calibri" w:cs="Calibri"/>
                <w:color w:val="000000"/>
                <w:sz w:val="18"/>
                <w:szCs w:val="18"/>
                <w:lang w:eastAsia="en-US"/>
              </w:rPr>
              <w:t>· Temporary</w:t>
            </w:r>
            <w:r w:rsidR="0025521C">
              <w:rPr>
                <w:rFonts w:ascii="Calibri" w:eastAsia="Times New Roman" w:hAnsi="Calibri" w:cs="Calibri"/>
                <w:color w:val="000000"/>
                <w:sz w:val="18"/>
                <w:szCs w:val="18"/>
                <w:lang w:eastAsia="en-US"/>
              </w:rPr>
              <w:t xml:space="preserve"> or permanent immobilisation (eg</w:t>
            </w:r>
            <w:r w:rsidRPr="00FA270C">
              <w:rPr>
                <w:rFonts w:ascii="Calibri" w:eastAsia="Times New Roman" w:hAnsi="Calibri" w:cs="Calibri"/>
                <w:color w:val="000000"/>
                <w:sz w:val="18"/>
                <w:szCs w:val="18"/>
                <w:lang w:eastAsia="en-US"/>
              </w:rPr>
              <w:t xml:space="preserve"> post-surgical recovery or prolonged bed rest). </w:t>
            </w:r>
          </w:p>
          <w:p w:rsidR="00F86C9F" w:rsidRPr="00FA270C" w:rsidRDefault="00F86C9F" w:rsidP="00C2776C">
            <w:pPr>
              <w:spacing w:after="0" w:line="240" w:lineRule="auto"/>
              <w:jc w:val="left"/>
              <w:rPr>
                <w:rFonts w:ascii="Calibri" w:hAnsi="Calibri" w:cs="Calibri"/>
                <w:sz w:val="18"/>
                <w:szCs w:val="22"/>
                <w:lang w:eastAsia="en-US"/>
              </w:rPr>
            </w:pPr>
          </w:p>
        </w:tc>
        <w:tc>
          <w:tcPr>
            <w:tcW w:w="3081" w:type="dxa"/>
            <w:tcBorders>
              <w:left w:val="nil"/>
              <w:right w:val="nil"/>
            </w:tcBorders>
          </w:tcPr>
          <w:p w:rsidR="00F86C9F" w:rsidRPr="00FA270C" w:rsidRDefault="00F86C9F" w:rsidP="00C2776C">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lastRenderedPageBreak/>
              <w:t>Common</w:t>
            </w:r>
          </w:p>
          <w:p w:rsidR="00F86C9F" w:rsidRPr="00FA270C" w:rsidRDefault="00F86C9F" w:rsidP="00C2776C">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Headache, disturbances in consciousness, memory loss, nausea, diarrhoea, loose stools, venous thromboembolism, blood creatinine phosphokinase (CPK) increase</w:t>
            </w:r>
          </w:p>
          <w:p w:rsidR="00F86C9F" w:rsidRPr="00FA270C" w:rsidRDefault="00F86C9F" w:rsidP="00C2776C">
            <w:pPr>
              <w:spacing w:after="0" w:line="240" w:lineRule="auto"/>
              <w:jc w:val="left"/>
              <w:rPr>
                <w:rFonts w:ascii="Calibri" w:hAnsi="Calibri" w:cs="Calibri"/>
                <w:sz w:val="18"/>
                <w:szCs w:val="22"/>
                <w:lang w:eastAsia="en-US"/>
              </w:rPr>
            </w:pPr>
          </w:p>
          <w:p w:rsidR="00F86C9F" w:rsidRPr="00FA270C" w:rsidRDefault="00F86C9F" w:rsidP="00C2776C">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Uncommon</w:t>
            </w:r>
          </w:p>
          <w:p w:rsidR="00F86C9F" w:rsidRPr="00FA270C" w:rsidRDefault="00F86C9F" w:rsidP="00C2776C">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Seizures.</w:t>
            </w:r>
          </w:p>
          <w:p w:rsidR="00F86C9F" w:rsidRPr="00FA270C" w:rsidRDefault="00F86C9F" w:rsidP="00C2776C">
            <w:pPr>
              <w:spacing w:after="0" w:line="240" w:lineRule="auto"/>
              <w:jc w:val="left"/>
              <w:rPr>
                <w:rFonts w:ascii="Calibri" w:hAnsi="Calibri" w:cs="Calibri"/>
                <w:sz w:val="18"/>
                <w:szCs w:val="22"/>
                <w:lang w:eastAsia="en-US"/>
              </w:rPr>
            </w:pPr>
          </w:p>
        </w:tc>
      </w:tr>
      <w:tr w:rsidR="00F86C9F" w:rsidRPr="00FA270C">
        <w:tc>
          <w:tcPr>
            <w:tcW w:w="9242" w:type="dxa"/>
            <w:gridSpan w:val="3"/>
            <w:tcBorders>
              <w:left w:val="nil"/>
              <w:right w:val="nil"/>
            </w:tcBorders>
          </w:tcPr>
          <w:p w:rsidR="00F86C9F" w:rsidRPr="00FA270C" w:rsidRDefault="00F86C9F">
            <w:pPr>
              <w:spacing w:after="0" w:line="240" w:lineRule="auto"/>
              <w:jc w:val="center"/>
              <w:rPr>
                <w:rFonts w:ascii="Calibri" w:hAnsi="Calibri" w:cs="Calibri"/>
                <w:i/>
                <w:sz w:val="18"/>
                <w:szCs w:val="22"/>
                <w:lang w:eastAsia="en-US"/>
              </w:rPr>
            </w:pPr>
            <w:r w:rsidRPr="00FA270C">
              <w:rPr>
                <w:rFonts w:ascii="Calibri" w:hAnsi="Calibri" w:cs="Calibri"/>
                <w:b/>
                <w:sz w:val="18"/>
                <w:szCs w:val="22"/>
                <w:lang w:eastAsia="en-US"/>
              </w:rPr>
              <w:lastRenderedPageBreak/>
              <w:t xml:space="preserve">Calcium and vitamin D </w:t>
            </w:r>
            <w:r w:rsidRPr="00FA270C">
              <w:rPr>
                <w:rFonts w:ascii="Calibri" w:hAnsi="Calibri" w:cs="Calibri"/>
                <w:i/>
                <w:sz w:val="18"/>
                <w:szCs w:val="22"/>
                <w:lang w:eastAsia="en-US"/>
              </w:rPr>
              <w:t xml:space="preserve">[prevention (Grade C), treatment (Grade C)] </w:t>
            </w:r>
          </w:p>
          <w:p w:rsidR="00F86C9F" w:rsidRPr="00FA270C" w:rsidRDefault="00F86C9F">
            <w:pPr>
              <w:spacing w:after="0" w:line="240" w:lineRule="auto"/>
              <w:jc w:val="center"/>
              <w:rPr>
                <w:rFonts w:ascii="Calibri" w:hAnsi="Calibri" w:cs="Calibri"/>
                <w:sz w:val="18"/>
                <w:szCs w:val="22"/>
                <w:lang w:eastAsia="en-US"/>
              </w:rPr>
            </w:pPr>
            <w:r w:rsidRPr="00FA270C">
              <w:rPr>
                <w:rFonts w:ascii="Calibri" w:hAnsi="Calibri" w:cs="Calibri"/>
                <w:sz w:val="18"/>
                <w:szCs w:val="22"/>
                <w:lang w:eastAsia="en-US"/>
              </w:rPr>
              <w:t xml:space="preserve"> </w:t>
            </w:r>
          </w:p>
        </w:tc>
      </w:tr>
      <w:tr w:rsidR="00F86C9F" w:rsidRPr="00FA270C">
        <w:tc>
          <w:tcPr>
            <w:tcW w:w="3080"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Contraindication</w:t>
            </w:r>
          </w:p>
        </w:tc>
        <w:tc>
          <w:tcPr>
            <w:tcW w:w="3081" w:type="dxa"/>
            <w:tcBorders>
              <w:left w:val="nil"/>
              <w:right w:val="nil"/>
            </w:tcBorders>
          </w:tcPr>
          <w:p w:rsidR="00F86C9F" w:rsidRPr="00FA270C" w:rsidRDefault="00F86C9F">
            <w:pPr>
              <w:spacing w:after="0" w:line="240" w:lineRule="auto"/>
              <w:jc w:val="center"/>
              <w:rPr>
                <w:rFonts w:ascii="Calibri" w:hAnsi="Calibri" w:cs="Calibri"/>
                <w:b/>
                <w:sz w:val="22"/>
                <w:szCs w:val="22"/>
                <w:lang w:eastAsia="en-US"/>
              </w:rPr>
            </w:pPr>
            <w:r w:rsidRPr="00FA270C">
              <w:rPr>
                <w:rFonts w:ascii="Calibri" w:hAnsi="Calibri" w:cs="Calibri"/>
                <w:b/>
                <w:sz w:val="22"/>
                <w:szCs w:val="22"/>
                <w:lang w:eastAsia="en-US"/>
              </w:rPr>
              <w:t>Side effects</w:t>
            </w:r>
          </w:p>
        </w:tc>
      </w:tr>
      <w:tr w:rsidR="00F86C9F" w:rsidRPr="00FA270C">
        <w:tc>
          <w:tcPr>
            <w:tcW w:w="3080"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Calcium; Adjunctive treatment in osteoporosis</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Vitamin D; Treatment of osteoporosis, when vitamin D supplementation is recommended</w:t>
            </w:r>
          </w:p>
        </w:tc>
        <w:tc>
          <w:tcPr>
            <w:tcW w:w="3081" w:type="dxa"/>
            <w:tcBorders>
              <w:left w:val="nil"/>
              <w:right w:val="nil"/>
            </w:tcBorders>
          </w:tcPr>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Hypercalcaemia</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Hypercalciuria, history of nephrolithiasis</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Treatment with digoxin</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Treatment with calcitriol</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Decreased gastric acidity</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Phenylketonuria</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Sodium restriction</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Renal</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Monitor plasma calcium concentration in renal impairment; if necessary, reduce dosage or stop.</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Vitamin D;</w:t>
            </w:r>
            <w:r w:rsidRPr="00FA270C">
              <w:rPr>
                <w:rFonts w:ascii="Calibri" w:hAnsi="Calibri" w:cs="Calibri"/>
                <w:b/>
                <w:sz w:val="18"/>
                <w:szCs w:val="22"/>
                <w:lang w:eastAsia="en-US"/>
              </w:rPr>
              <w:t xml:space="preserve"> </w:t>
            </w:r>
            <w:r w:rsidRPr="00FA270C">
              <w:rPr>
                <w:rFonts w:ascii="Calibri" w:hAnsi="Calibri" w:cs="Calibri"/>
                <w:sz w:val="18"/>
                <w:szCs w:val="22"/>
                <w:lang w:eastAsia="en-US"/>
              </w:rPr>
              <w:t>Hyperphosphataemia (Vitamin D only)</w:t>
            </w:r>
          </w:p>
          <w:p w:rsidR="00F86C9F" w:rsidRPr="00FA270C" w:rsidRDefault="00F86C9F">
            <w:pPr>
              <w:spacing w:after="0" w:line="240" w:lineRule="auto"/>
              <w:jc w:val="left"/>
              <w:rPr>
                <w:rFonts w:ascii="Calibri" w:hAnsi="Calibri" w:cs="Calibri"/>
                <w:sz w:val="18"/>
                <w:szCs w:val="22"/>
                <w:lang w:eastAsia="en-US"/>
              </w:rPr>
            </w:pPr>
          </w:p>
        </w:tc>
        <w:tc>
          <w:tcPr>
            <w:tcW w:w="3081" w:type="dxa"/>
            <w:tcBorders>
              <w:left w:val="nil"/>
              <w:right w:val="nil"/>
            </w:tcBorders>
          </w:tcPr>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Common</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belching, flatulence, abdominal distension, constipation</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Infrequent</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hypercalcaemia, alkalosis, hypophosphataemia</w:t>
            </w:r>
          </w:p>
          <w:p w:rsidR="00F86C9F" w:rsidRPr="00FA270C" w:rsidRDefault="00F86C9F">
            <w:pPr>
              <w:spacing w:after="0" w:line="240" w:lineRule="auto"/>
              <w:jc w:val="left"/>
              <w:rPr>
                <w:rFonts w:ascii="Calibri" w:hAnsi="Calibri" w:cs="Calibri"/>
                <w:sz w:val="18"/>
                <w:szCs w:val="22"/>
                <w:lang w:eastAsia="en-US"/>
              </w:rPr>
            </w:pPr>
          </w:p>
          <w:p w:rsidR="00F86C9F" w:rsidRPr="00FA270C" w:rsidRDefault="00F86C9F">
            <w:pPr>
              <w:spacing w:after="0" w:line="240" w:lineRule="auto"/>
              <w:jc w:val="left"/>
              <w:rPr>
                <w:rFonts w:ascii="Calibri" w:hAnsi="Calibri" w:cs="Calibri"/>
                <w:i/>
                <w:sz w:val="18"/>
                <w:szCs w:val="22"/>
                <w:lang w:eastAsia="en-US"/>
              </w:rPr>
            </w:pPr>
            <w:r w:rsidRPr="00FA270C">
              <w:rPr>
                <w:rFonts w:ascii="Calibri" w:hAnsi="Calibri" w:cs="Calibri"/>
                <w:i/>
                <w:sz w:val="18"/>
                <w:szCs w:val="22"/>
                <w:lang w:eastAsia="en-US"/>
              </w:rPr>
              <w:t>Rare</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 xml:space="preserve">renal calculi, milk-alkali syndrome </w:t>
            </w: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IV skin necrosis (extravasation), irritation</w:t>
            </w:r>
          </w:p>
          <w:p w:rsidR="00F86C9F" w:rsidRPr="00FA270C" w:rsidRDefault="00F86C9F">
            <w:pPr>
              <w:spacing w:after="0" w:line="240" w:lineRule="auto"/>
              <w:jc w:val="left"/>
              <w:rPr>
                <w:rFonts w:ascii="Calibri" w:hAnsi="Calibri" w:cs="Calibri"/>
                <w:b/>
                <w:sz w:val="18"/>
                <w:szCs w:val="22"/>
                <w:lang w:eastAsia="en-US"/>
              </w:rPr>
            </w:pPr>
          </w:p>
          <w:p w:rsidR="00F86C9F" w:rsidRPr="00FA270C" w:rsidRDefault="00F86C9F">
            <w:pPr>
              <w:spacing w:after="0" w:line="240" w:lineRule="auto"/>
              <w:jc w:val="left"/>
              <w:rPr>
                <w:rFonts w:ascii="Calibri" w:hAnsi="Calibri" w:cs="Calibri"/>
                <w:sz w:val="18"/>
                <w:szCs w:val="22"/>
                <w:lang w:eastAsia="en-US"/>
              </w:rPr>
            </w:pPr>
            <w:r w:rsidRPr="00FA270C">
              <w:rPr>
                <w:rFonts w:ascii="Calibri" w:hAnsi="Calibri" w:cs="Calibri"/>
                <w:sz w:val="18"/>
                <w:szCs w:val="22"/>
                <w:lang w:eastAsia="en-US"/>
              </w:rPr>
              <w:t>Vitamin D; hypercalcaemia, renal and cardiovascular damage may occur because of ectopic calcification.</w:t>
            </w:r>
          </w:p>
          <w:p w:rsidR="00F86C9F" w:rsidRPr="00FA270C" w:rsidRDefault="00F86C9F">
            <w:pPr>
              <w:spacing w:after="0" w:line="240" w:lineRule="auto"/>
              <w:jc w:val="left"/>
              <w:rPr>
                <w:rFonts w:ascii="Calibri" w:hAnsi="Calibri" w:cs="Calibri"/>
                <w:sz w:val="18"/>
                <w:szCs w:val="22"/>
                <w:lang w:eastAsia="en-US"/>
              </w:rPr>
            </w:pPr>
          </w:p>
        </w:tc>
      </w:tr>
      <w:tr w:rsidR="00F86C9F" w:rsidRPr="00FA270C">
        <w:tc>
          <w:tcPr>
            <w:tcW w:w="9242" w:type="dxa"/>
            <w:gridSpan w:val="3"/>
            <w:tcBorders>
              <w:left w:val="nil"/>
              <w:bottom w:val="nil"/>
              <w:right w:val="nil"/>
            </w:tcBorders>
          </w:tcPr>
          <w:p w:rsidR="00F86C9F" w:rsidRPr="00FA270C" w:rsidRDefault="00F86C9F">
            <w:pPr>
              <w:spacing w:after="0" w:line="240" w:lineRule="auto"/>
              <w:jc w:val="left"/>
              <w:rPr>
                <w:rFonts w:ascii="Calibri" w:hAnsi="Calibri" w:cs="Times New Roman"/>
                <w:sz w:val="18"/>
                <w:szCs w:val="22"/>
                <w:lang w:eastAsia="en-US"/>
              </w:rPr>
            </w:pPr>
            <w:r w:rsidRPr="00FA270C">
              <w:rPr>
                <w:rFonts w:ascii="Calibri" w:hAnsi="Calibri" w:cs="Times New Roman"/>
                <w:sz w:val="16"/>
                <w:szCs w:val="22"/>
                <w:lang w:eastAsia="en-US"/>
              </w:rPr>
              <w:t xml:space="preserve">All information obtained from the Australian Medicines Handbook (AMH), January 2012  or the </w:t>
            </w:r>
            <w:r w:rsidR="00235F11">
              <w:rPr>
                <w:rFonts w:ascii="Calibri" w:hAnsi="Calibri" w:cs="Times New Roman"/>
                <w:sz w:val="16"/>
                <w:szCs w:val="22"/>
                <w:lang w:eastAsia="en-US"/>
              </w:rPr>
              <w:t>RACGP</w:t>
            </w:r>
            <w:r w:rsidRPr="00FA270C">
              <w:rPr>
                <w:rFonts w:ascii="Calibri" w:hAnsi="Calibri" w:cs="Times New Roman"/>
                <w:sz w:val="16"/>
                <w:szCs w:val="22"/>
                <w:lang w:eastAsia="en-US"/>
              </w:rPr>
              <w:t xml:space="preserve"> clinical guidelines 2010</w:t>
            </w:r>
          </w:p>
        </w:tc>
      </w:tr>
    </w:tbl>
    <w:p w:rsidR="00F86C9F" w:rsidRPr="00FA270C" w:rsidRDefault="00F86C9F"/>
    <w:p w:rsidR="00F86C9F" w:rsidRPr="00FA270C" w:rsidRDefault="00F86C9F" w:rsidP="00B34994"/>
    <w:p w:rsidR="00F86C9F" w:rsidRPr="00FA270C" w:rsidRDefault="00F86C9F">
      <w:pPr>
        <w:spacing w:after="0" w:line="240" w:lineRule="auto"/>
        <w:jc w:val="left"/>
        <w:sectPr w:rsidR="00F86C9F" w:rsidRPr="00FA270C" w:rsidSect="00D61C4E">
          <w:pgSz w:w="11906" w:h="16838"/>
          <w:pgMar w:top="1440" w:right="1440" w:bottom="1440" w:left="1440" w:header="708" w:footer="708" w:gutter="0"/>
          <w:cols w:space="708"/>
          <w:titlePg/>
          <w:docGrid w:linePitch="360"/>
        </w:sectPr>
      </w:pPr>
    </w:p>
    <w:p w:rsidR="00524DE4" w:rsidRDefault="00F86C9F" w:rsidP="00CA22E7">
      <w:pPr>
        <w:pStyle w:val="Heading1"/>
        <w:rPr>
          <w:lang w:val="en-AU"/>
        </w:rPr>
      </w:pPr>
      <w:bookmarkStart w:id="82" w:name="_Toc335747774"/>
      <w:bookmarkStart w:id="83" w:name="_Ref358199632"/>
      <w:bookmarkStart w:id="84" w:name="_Ref358199818"/>
      <w:bookmarkStart w:id="85" w:name="_Toc361145579"/>
      <w:bookmarkStart w:id="86" w:name="_Toc362968608"/>
      <w:r w:rsidRPr="00FA270C">
        <w:rPr>
          <w:lang w:val="en-AU"/>
        </w:rPr>
        <w:lastRenderedPageBreak/>
        <w:t>Appendix 3</w:t>
      </w:r>
      <w:bookmarkEnd w:id="82"/>
    </w:p>
    <w:p w:rsidR="00F86C9F" w:rsidRPr="00524DE4" w:rsidRDefault="00F86C9F" w:rsidP="00524DE4">
      <w:pPr>
        <w:rPr>
          <w:b/>
          <w:sz w:val="24"/>
          <w:szCs w:val="24"/>
        </w:rPr>
      </w:pPr>
      <w:r w:rsidRPr="00524DE4">
        <w:rPr>
          <w:b/>
          <w:sz w:val="24"/>
          <w:szCs w:val="24"/>
        </w:rPr>
        <w:t>PBS listed pharmaceuticals (by drug) for the treatment of diseases of bone structure and mineralisation</w:t>
      </w:r>
      <w:bookmarkEnd w:id="83"/>
      <w:bookmarkEnd w:id="84"/>
      <w:bookmarkEnd w:id="85"/>
      <w:bookmarkEnd w:id="86"/>
    </w:p>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1438"/>
        <w:gridCol w:w="1273"/>
        <w:gridCol w:w="8721"/>
        <w:gridCol w:w="1234"/>
      </w:tblGrid>
      <w:tr w:rsidR="00F86C9F" w:rsidRPr="00FA270C" w:rsidTr="004F02CF">
        <w:tc>
          <w:tcPr>
            <w:tcW w:w="1744" w:type="dxa"/>
          </w:tcPr>
          <w:p w:rsidR="00F86C9F" w:rsidRPr="00FA270C" w:rsidRDefault="00F86C9F" w:rsidP="004F02CF">
            <w:pPr>
              <w:spacing w:after="0" w:line="240" w:lineRule="auto"/>
              <w:jc w:val="left"/>
              <w:rPr>
                <w:rFonts w:ascii="Calibri" w:hAnsi="Calibri" w:cs="Times New Roman"/>
                <w:b/>
                <w:lang w:eastAsia="en-US"/>
              </w:rPr>
            </w:pPr>
            <w:r w:rsidRPr="00FA270C">
              <w:rPr>
                <w:rFonts w:ascii="Calibri" w:hAnsi="Calibri" w:cs="Times New Roman"/>
                <w:b/>
                <w:lang w:eastAsia="en-US"/>
              </w:rPr>
              <w:t>Drug</w:t>
            </w:r>
          </w:p>
        </w:tc>
        <w:tc>
          <w:tcPr>
            <w:tcW w:w="1438" w:type="dxa"/>
          </w:tcPr>
          <w:p w:rsidR="00F86C9F" w:rsidRPr="00FA270C" w:rsidRDefault="00F86C9F" w:rsidP="004F02CF">
            <w:pPr>
              <w:spacing w:after="0" w:line="240" w:lineRule="auto"/>
              <w:jc w:val="left"/>
              <w:rPr>
                <w:rFonts w:ascii="Calibri" w:hAnsi="Calibri" w:cs="Times New Roman"/>
                <w:b/>
                <w:lang w:eastAsia="en-US"/>
              </w:rPr>
            </w:pPr>
            <w:r w:rsidRPr="00FA270C">
              <w:rPr>
                <w:rFonts w:ascii="Calibri" w:hAnsi="Calibri" w:cs="Times New Roman"/>
                <w:b/>
                <w:lang w:eastAsia="en-US"/>
              </w:rPr>
              <w:t>strength</w:t>
            </w:r>
          </w:p>
        </w:tc>
        <w:tc>
          <w:tcPr>
            <w:tcW w:w="1273" w:type="dxa"/>
          </w:tcPr>
          <w:p w:rsidR="00F86C9F" w:rsidRPr="00FA270C" w:rsidRDefault="00F86C9F" w:rsidP="004F02CF">
            <w:pPr>
              <w:spacing w:after="0" w:line="240" w:lineRule="auto"/>
              <w:jc w:val="left"/>
              <w:rPr>
                <w:rFonts w:ascii="Calibri" w:hAnsi="Calibri" w:cs="Times New Roman"/>
                <w:b/>
                <w:lang w:eastAsia="en-US"/>
              </w:rPr>
            </w:pPr>
            <w:r w:rsidRPr="00FA270C">
              <w:rPr>
                <w:rFonts w:ascii="Calibri" w:hAnsi="Calibri" w:cs="Times New Roman"/>
                <w:b/>
                <w:lang w:eastAsia="en-US"/>
              </w:rPr>
              <w:t>Indication code</w:t>
            </w:r>
          </w:p>
        </w:tc>
        <w:tc>
          <w:tcPr>
            <w:tcW w:w="8721" w:type="dxa"/>
          </w:tcPr>
          <w:p w:rsidR="00F86C9F" w:rsidRPr="00FA270C" w:rsidRDefault="00F86C9F" w:rsidP="004F02CF">
            <w:pPr>
              <w:spacing w:after="0" w:line="240" w:lineRule="auto"/>
              <w:jc w:val="left"/>
              <w:rPr>
                <w:rFonts w:ascii="Calibri" w:hAnsi="Calibri" w:cs="Times New Roman"/>
                <w:b/>
                <w:lang w:eastAsia="en-US"/>
              </w:rPr>
            </w:pPr>
            <w:r w:rsidRPr="00FA270C">
              <w:rPr>
                <w:rFonts w:ascii="Calibri" w:hAnsi="Calibri" w:cs="Times New Roman"/>
                <w:b/>
                <w:lang w:eastAsia="en-US"/>
              </w:rPr>
              <w:t>Specific indication</w:t>
            </w:r>
          </w:p>
        </w:tc>
        <w:tc>
          <w:tcPr>
            <w:tcW w:w="1234" w:type="dxa"/>
          </w:tcPr>
          <w:p w:rsidR="00F86C9F" w:rsidRPr="00FA270C" w:rsidRDefault="00F86C9F" w:rsidP="004F02CF">
            <w:pPr>
              <w:spacing w:after="0" w:line="240" w:lineRule="auto"/>
              <w:jc w:val="left"/>
              <w:rPr>
                <w:rFonts w:ascii="Calibri" w:hAnsi="Calibri" w:cs="Times New Roman"/>
                <w:b/>
                <w:lang w:eastAsia="en-US"/>
              </w:rPr>
            </w:pPr>
            <w:r w:rsidRPr="00FA270C">
              <w:rPr>
                <w:rFonts w:ascii="Calibri" w:hAnsi="Calibri" w:cs="Times New Roman"/>
                <w:b/>
                <w:lang w:eastAsia="en-US"/>
              </w:rPr>
              <w:t>BMD / T-score</w:t>
            </w:r>
          </w:p>
        </w:tc>
      </w:tr>
      <w:tr w:rsidR="00F86C9F" w:rsidRPr="00FA270C" w:rsidTr="004F02CF">
        <w:tc>
          <w:tcPr>
            <w:tcW w:w="14410" w:type="dxa"/>
            <w:gridSpan w:val="5"/>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b/>
                <w:lang w:eastAsia="en-US"/>
              </w:rPr>
              <w:t>Bisphosphonates</w:t>
            </w: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Alendronate Sodium</w:t>
            </w:r>
          </w:p>
        </w:tc>
        <w:tc>
          <w:tcPr>
            <w:tcW w:w="1438"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40 mg alendronic acid</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3256</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Symptomatic Paget disease of bone</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70 mg alendronic acid</w:t>
            </w:r>
          </w:p>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4122</w:t>
            </w:r>
          </w:p>
          <w:p w:rsidR="00F86C9F" w:rsidRPr="00FA270C" w:rsidRDefault="00F86C9F" w:rsidP="004F02CF">
            <w:pPr>
              <w:spacing w:after="0" w:line="240" w:lineRule="auto"/>
              <w:jc w:val="left"/>
              <w:rPr>
                <w:rFonts w:ascii="Calibri" w:hAnsi="Calibri" w:cs="Times New Roman"/>
                <w:lang w:eastAsia="en-US"/>
              </w:rPr>
            </w:pP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Corticosteroid-induced osteoporosis in a patient currently on long-term (≥ 3 months), high-dose (7.5 mg/day prednisolone or equivalent) corticosteroid therapy.</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Duration and dose of corticosteroid therapy together with the date, site (femoral neck or lumbar spine) and score of the qualifying BMD measurement must be documented in the patient’s medical records when treatment is initiated. </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w:t>
            </w:r>
            <w:r w:rsidRPr="00FA270C">
              <w:rPr>
                <w:rFonts w:ascii="Calibri" w:hAnsi="Calibri" w:cs="Times New Roman"/>
                <w:lang w:eastAsia="en-US"/>
              </w:rPr>
              <w:t>-1.5</w:t>
            </w:r>
          </w:p>
        </w:tc>
      </w:tr>
      <w:tr w:rsidR="00F86C9F" w:rsidRPr="00FA270C" w:rsidTr="004F02CF">
        <w:trPr>
          <w:trHeight w:val="319"/>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4133</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or older.</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≤-2.5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4123</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Fracture must have been demonstrated radiologically and the year of plain x-ray, CT or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w:t>
            </w:r>
            <w:r w:rsidRPr="00FA270C">
              <w:rPr>
                <w:rFonts w:ascii="Calibri" w:hAnsi="Calibri" w:cs="Calibri"/>
                <w:lang w:eastAsia="en-US"/>
              </w:rPr>
              <w:t>≥</w:t>
            </w:r>
            <w:r w:rsidRPr="00FA270C">
              <w:rPr>
                <w:rFonts w:ascii="Calibri" w:hAnsi="Calibri" w:cs="Times New Roman"/>
                <w:lang w:eastAsia="en-US"/>
              </w:rPr>
              <w:t xml:space="preserve">20% reduction in height of the anterior or mid portion of a vertebral body relative to the posterior height of that body or a </w:t>
            </w:r>
            <w:r w:rsidRPr="00FA270C">
              <w:rPr>
                <w:rFonts w:ascii="Calibri" w:hAnsi="Calibri" w:cs="Calibri"/>
                <w:lang w:eastAsia="en-US"/>
              </w:rPr>
              <w:t xml:space="preserve">≥ </w:t>
            </w:r>
            <w:r w:rsidRPr="00FA270C">
              <w:rPr>
                <w:rFonts w:ascii="Calibri" w:hAnsi="Calibri" w:cs="Times New Roman"/>
                <w:lang w:eastAsia="en-US"/>
              </w:rPr>
              <w:t>20%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lastRenderedPageBreak/>
              <w:t>Alendronate Sodium with Colecalciferol</w:t>
            </w: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70 mg alendronic acid +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70 micrograms colecalciferol</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c>
          <w:tcPr>
            <w:tcW w:w="8721" w:type="dxa"/>
          </w:tcPr>
          <w:p w:rsidR="00F86C9F" w:rsidRPr="00FA270C" w:rsidRDefault="00F86C9F" w:rsidP="004F02CF">
            <w:pPr>
              <w:tabs>
                <w:tab w:val="left" w:pos="1476"/>
              </w:tabs>
              <w:spacing w:after="0" w:line="240" w:lineRule="auto"/>
              <w:jc w:val="left"/>
              <w:rPr>
                <w:rFonts w:ascii="Calibri" w:hAnsi="Calibri" w:cs="Times New Roman"/>
                <w:lang w:eastAsia="en-US"/>
              </w:rPr>
            </w:pPr>
            <w:r w:rsidRPr="00FA270C">
              <w:rPr>
                <w:rFonts w:ascii="Calibri" w:hAnsi="Calibri" w:cs="Times New Roman"/>
                <w:lang w:eastAsia="en-US"/>
              </w:rPr>
              <w:t xml:space="preserve">For preservation of bone mineral density in patients on long-term glucocorticoid therapy where patients are undergoing continuous treatment with a dose </w:t>
            </w:r>
            <w:r w:rsidRPr="00FA270C">
              <w:rPr>
                <w:rFonts w:ascii="Calibri" w:hAnsi="Calibri" w:cs="Calibri"/>
                <w:lang w:eastAsia="en-US"/>
              </w:rPr>
              <w:t>≥</w:t>
            </w:r>
            <w:r w:rsidRPr="00FA270C">
              <w:rPr>
                <w:rFonts w:ascii="Calibri" w:hAnsi="Calibri" w:cs="Times New Roman"/>
                <w:lang w:eastAsia="en-US"/>
              </w:rPr>
              <w:t>7.5 mg of prednisone or equivalent per day. Prescribers need to demonstrate that the patient has been on continuous therapy for</w:t>
            </w:r>
            <w:r w:rsidRPr="00FA270C">
              <w:rPr>
                <w:rFonts w:ascii="Calibri" w:hAnsi="Calibri" w:cs="Calibri"/>
                <w:lang w:eastAsia="en-US"/>
              </w:rPr>
              <w:t>≥</w:t>
            </w:r>
            <w:r w:rsidRPr="00FA270C">
              <w:rPr>
                <w:rFonts w:ascii="Calibri" w:hAnsi="Calibri" w:cs="Times New Roman"/>
                <w:lang w:eastAsia="en-US"/>
              </w:rPr>
              <w:t xml:space="preserve"> 3 months and demonstrate that the patient is osteopenic.</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&lt;-1.0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4070</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Corticosteroid-induced osteoporosis in a patient currently on long-term (≥ 3 months), high-dose (7.5 mg/day prednisolone or equivalent) corticosteroid therapy.</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≤-1.5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4087</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or older.</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≤-2.5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4087</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Fracture must have been demonstrated radiologically and the year of plain x-ray, CT or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w:t>
            </w:r>
            <w:r w:rsidRPr="00FA270C">
              <w:rPr>
                <w:rFonts w:ascii="Calibri" w:hAnsi="Calibri" w:cs="Calibri"/>
                <w:lang w:eastAsia="en-US"/>
              </w:rPr>
              <w:t>≥</w:t>
            </w:r>
            <w:r w:rsidRPr="00FA270C">
              <w:rPr>
                <w:rFonts w:ascii="Calibri" w:hAnsi="Calibri" w:cs="Times New Roman"/>
                <w:lang w:eastAsia="en-US"/>
              </w:rPr>
              <w:t xml:space="preserve">20% reduction in height of the anterior or mid portion of a vertebral body relative to the posterior height of that body or a </w:t>
            </w:r>
            <w:r w:rsidRPr="00FA270C">
              <w:rPr>
                <w:rFonts w:ascii="Calibri" w:hAnsi="Calibri" w:cs="Calibri"/>
                <w:lang w:eastAsia="en-US"/>
              </w:rPr>
              <w:t xml:space="preserve">≥ </w:t>
            </w:r>
            <w:r w:rsidRPr="00FA270C">
              <w:rPr>
                <w:rFonts w:ascii="Calibri" w:hAnsi="Calibri" w:cs="Times New Roman"/>
                <w:lang w:eastAsia="en-US"/>
              </w:rPr>
              <w:t>20%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70 mg +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140 microg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For preservation of bone mineral density in patients on long-term glucocorticoid therapy where patients are undergoing continuous treatment with a dose </w:t>
            </w:r>
            <w:r w:rsidRPr="00FA270C">
              <w:rPr>
                <w:rFonts w:ascii="Calibri" w:hAnsi="Calibri" w:cs="Calibri"/>
                <w:lang w:eastAsia="en-US"/>
              </w:rPr>
              <w:t>≥</w:t>
            </w:r>
            <w:r w:rsidRPr="00FA270C">
              <w:rPr>
                <w:rFonts w:ascii="Calibri" w:hAnsi="Calibri" w:cs="Times New Roman"/>
                <w:lang w:eastAsia="en-US"/>
              </w:rPr>
              <w:t>7.5 mg of prednisone or equivalent per day. Prescribers need to demonstrate that the patient has been on continuous therapy for</w:t>
            </w:r>
            <w:r w:rsidRPr="00FA270C">
              <w:rPr>
                <w:rFonts w:ascii="Calibri" w:hAnsi="Calibri" w:cs="Calibri"/>
                <w:lang w:eastAsia="en-US"/>
              </w:rPr>
              <w:t>≥</w:t>
            </w:r>
            <w:r w:rsidRPr="00FA270C">
              <w:rPr>
                <w:rFonts w:ascii="Calibri" w:hAnsi="Calibri" w:cs="Times New Roman"/>
                <w:lang w:eastAsia="en-US"/>
              </w:rPr>
              <w:t xml:space="preserve"> 3 months and demonstrate that the patient is osteopenic.</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&lt;-1.0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4122 </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Corticosteroid-induced osteoporosis in a patient currently on long-term (≥ 3 months), high-dose (7.5 mg/day prednisolone or equivalent) corticosteroid therapy.</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Patient must not receive concomitant treatment with any other PBS-subscribed anti-resorptive agent for </w:t>
            </w:r>
            <w:r w:rsidRPr="00FA270C">
              <w:rPr>
                <w:rFonts w:ascii="Calibri" w:hAnsi="Calibri" w:cs="Calibri"/>
                <w:lang w:eastAsia="en-US"/>
              </w:rPr>
              <w:lastRenderedPageBreak/>
              <w:t>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lastRenderedPageBreak/>
              <w:t>≤-1.5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4133</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or older.</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≤-2.5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4123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Fracture must have been demonstrated radiologically and the year of plain x-ray, CT or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w:t>
            </w:r>
            <w:r w:rsidRPr="00FA270C">
              <w:rPr>
                <w:rFonts w:ascii="Calibri" w:hAnsi="Calibri" w:cs="Calibri"/>
                <w:lang w:eastAsia="en-US"/>
              </w:rPr>
              <w:t>≥</w:t>
            </w:r>
            <w:r w:rsidRPr="00FA270C">
              <w:rPr>
                <w:rFonts w:ascii="Calibri" w:hAnsi="Calibri" w:cs="Times New Roman"/>
                <w:lang w:eastAsia="en-US"/>
              </w:rPr>
              <w:t xml:space="preserve">20% reduction in height of the anterior or mid portion of a vertebral body relative to the posterior height of that body or a </w:t>
            </w:r>
            <w:r w:rsidRPr="00FA270C">
              <w:rPr>
                <w:rFonts w:ascii="Calibri" w:hAnsi="Calibri" w:cs="Calibri"/>
                <w:lang w:eastAsia="en-US"/>
              </w:rPr>
              <w:t xml:space="preserve">≥ </w:t>
            </w:r>
            <w:r w:rsidRPr="00FA270C">
              <w:rPr>
                <w:rFonts w:ascii="Calibri" w:hAnsi="Calibri" w:cs="Times New Roman"/>
                <w:lang w:eastAsia="en-US"/>
              </w:rPr>
              <w:t>20%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Alendronate Sodium with Colecalciferol and Calcium Carbonate</w:t>
            </w: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70 mg + 140 microg + 500 mg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For preservation of bone mineral density in patients on long-term glucocorticoid therapy where patients are undergoing continuous treatment with a dose </w:t>
            </w:r>
            <w:r w:rsidRPr="00FA270C">
              <w:rPr>
                <w:rFonts w:ascii="Calibri" w:hAnsi="Calibri" w:cs="Calibri"/>
                <w:lang w:eastAsia="en-US"/>
              </w:rPr>
              <w:t>≥</w:t>
            </w:r>
            <w:r w:rsidRPr="00FA270C">
              <w:rPr>
                <w:rFonts w:ascii="Calibri" w:hAnsi="Calibri" w:cs="Times New Roman"/>
                <w:lang w:eastAsia="en-US"/>
              </w:rPr>
              <w:t>7.5 mg of prednisone or equivalent per day. Prescribers need to demonstrate that the patient has been on continuous therapy for</w:t>
            </w:r>
            <w:r w:rsidRPr="00FA270C">
              <w:rPr>
                <w:rFonts w:ascii="Calibri" w:hAnsi="Calibri" w:cs="Calibri"/>
                <w:lang w:eastAsia="en-US"/>
              </w:rPr>
              <w:t>≥</w:t>
            </w:r>
            <w:r w:rsidRPr="00FA270C">
              <w:rPr>
                <w:rFonts w:ascii="Calibri" w:hAnsi="Calibri" w:cs="Times New Roman"/>
                <w:lang w:eastAsia="en-US"/>
              </w:rPr>
              <w:t xml:space="preserve"> 3 months and demonstrate that the patient is osteopenic.</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&lt;-1.0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4122 </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Corticosteroid-induced osteoporosis in a patient currently on long-term (≥ 3 months), high-dose (7.5 mg/day prednisolone or equivalent) corticosteroid therapy.</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≤-1.5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4133</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or older.</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lastRenderedPageBreak/>
              <w:t>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lastRenderedPageBreak/>
              <w:t>≤-2.5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4123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Fracture must have been demonstrated radiologically and the year of plain x-ray, CT or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w:t>
            </w:r>
            <w:r w:rsidRPr="00FA270C">
              <w:rPr>
                <w:rFonts w:ascii="Calibri" w:hAnsi="Calibri" w:cs="Calibri"/>
                <w:lang w:eastAsia="en-US"/>
              </w:rPr>
              <w:t>≥</w:t>
            </w:r>
            <w:r w:rsidRPr="00FA270C">
              <w:rPr>
                <w:rFonts w:ascii="Calibri" w:hAnsi="Calibri" w:cs="Times New Roman"/>
                <w:lang w:eastAsia="en-US"/>
              </w:rPr>
              <w:t xml:space="preserve">20% reduction in height of the anterior or mid portion of a vertebral body relative to the posterior height of that body or a </w:t>
            </w:r>
            <w:r w:rsidRPr="00FA270C">
              <w:rPr>
                <w:rFonts w:ascii="Calibri" w:hAnsi="Calibri" w:cs="Calibri"/>
                <w:lang w:eastAsia="en-US"/>
              </w:rPr>
              <w:t xml:space="preserve">≥ </w:t>
            </w:r>
            <w:r w:rsidRPr="00FA270C">
              <w:rPr>
                <w:rFonts w:ascii="Calibri" w:hAnsi="Calibri" w:cs="Times New Roman"/>
                <w:lang w:eastAsia="en-US"/>
              </w:rPr>
              <w:t>20%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Risedronate Sodium</w:t>
            </w: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5 mg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N/R</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For preservation of bone mineral density in patients on long-term glucocorticoid therapy where patients are undergoing continuous treatment with a dose </w:t>
            </w:r>
            <w:r w:rsidRPr="00FA270C">
              <w:rPr>
                <w:rFonts w:ascii="Calibri" w:hAnsi="Calibri" w:cs="Calibri"/>
                <w:lang w:eastAsia="en-US"/>
              </w:rPr>
              <w:t>≥</w:t>
            </w:r>
            <w:r w:rsidRPr="00FA270C">
              <w:rPr>
                <w:rFonts w:ascii="Calibri" w:hAnsi="Calibri" w:cs="Times New Roman"/>
                <w:lang w:eastAsia="en-US"/>
              </w:rPr>
              <w:t>7.5 mg of prednisone or equivalent per day. Prescribers need to demonstrate that the patient has been on continuous therapy for</w:t>
            </w:r>
            <w:r w:rsidRPr="00FA270C">
              <w:rPr>
                <w:rFonts w:ascii="Calibri" w:hAnsi="Calibri" w:cs="Calibri"/>
                <w:lang w:eastAsia="en-US"/>
              </w:rPr>
              <w:t>≥</w:t>
            </w:r>
            <w:r w:rsidRPr="00FA270C">
              <w:rPr>
                <w:rFonts w:ascii="Calibri" w:hAnsi="Calibri" w:cs="Times New Roman"/>
                <w:lang w:eastAsia="en-US"/>
              </w:rPr>
              <w:t xml:space="preserve"> 3 months and demonstrate that the patient is osteopenic.</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&lt;-1.0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 xml:space="preserve">4122 </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Corticosteroid-induced osteoporosis in a patient currently on long-term (≥ 3 months), high-dose (7.5 mg/day prednisolone or equivalent) corticosteroid therapy.</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 xml:space="preserve">≤-1.5 </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4117</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or older.</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4123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Fracture must have been demonstrated radiologically and the year of plain x-ray, CT or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w:t>
            </w:r>
            <w:r w:rsidRPr="00FA270C">
              <w:rPr>
                <w:rFonts w:ascii="Calibri" w:hAnsi="Calibri" w:cs="Calibri"/>
                <w:lang w:eastAsia="en-US"/>
              </w:rPr>
              <w:t>≥</w:t>
            </w:r>
            <w:r w:rsidRPr="00FA270C">
              <w:rPr>
                <w:rFonts w:ascii="Calibri" w:hAnsi="Calibri" w:cs="Times New Roman"/>
                <w:lang w:eastAsia="en-US"/>
              </w:rPr>
              <w:t xml:space="preserve">20% reduction in height of the anterior or mid portion of a vertebral body relative to the posterior height of that body or a </w:t>
            </w:r>
            <w:r w:rsidRPr="00FA270C">
              <w:rPr>
                <w:rFonts w:ascii="Calibri" w:hAnsi="Calibri" w:cs="Calibri"/>
                <w:lang w:eastAsia="en-US"/>
              </w:rPr>
              <w:t xml:space="preserve">≥ </w:t>
            </w:r>
            <w:r w:rsidRPr="00FA270C">
              <w:rPr>
                <w:rFonts w:ascii="Calibri" w:hAnsi="Calibri" w:cs="Times New Roman"/>
                <w:lang w:eastAsia="en-US"/>
              </w:rPr>
              <w:t>20%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30 mg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3256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Symptomatic Paget disease of bone</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35 mg </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N/R</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w:t>
            </w:r>
            <w:r w:rsidRPr="00FA270C">
              <w:rPr>
                <w:rFonts w:ascii="Calibri" w:hAnsi="Calibri" w:cs="Times New Roman"/>
                <w:lang w:eastAsia="en-US"/>
              </w:rPr>
              <w:lastRenderedPageBreak/>
              <w:t>equivalent per day. Prescribers need to demonstrate that the patient has been on continuous therapy for 3 months or more and demonstrate that the patient is osteopenic.</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lastRenderedPageBreak/>
              <w:t>&lt;-1.0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 xml:space="preserve">4122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Corticosteroid-induced osteoporosis in a patient currently on long-term (≥ 3 months), high-dose (7.5 mg/day prednisolone or equivalent) corticosteroid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≤-1.5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4117</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or older.</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4123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Fracture must have been demonstrated radiologically and the year of plain x-ray, CT or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w:t>
            </w:r>
            <w:r w:rsidRPr="00FA270C">
              <w:rPr>
                <w:rFonts w:ascii="Calibri" w:hAnsi="Calibri" w:cs="Calibri"/>
                <w:lang w:eastAsia="en-US"/>
              </w:rPr>
              <w:t>≥</w:t>
            </w:r>
            <w:r w:rsidRPr="00FA270C">
              <w:rPr>
                <w:rFonts w:ascii="Calibri" w:hAnsi="Calibri" w:cs="Times New Roman"/>
                <w:lang w:eastAsia="en-US"/>
              </w:rPr>
              <w:t xml:space="preserve">20% reduction in height of the anterior or mid portion of a vertebral body relative to the posterior height of that body or a </w:t>
            </w:r>
            <w:r w:rsidRPr="00FA270C">
              <w:rPr>
                <w:rFonts w:ascii="Calibri" w:hAnsi="Calibri" w:cs="Calibri"/>
                <w:lang w:eastAsia="en-US"/>
              </w:rPr>
              <w:t xml:space="preserve">≥ </w:t>
            </w:r>
            <w:r w:rsidRPr="00FA270C">
              <w:rPr>
                <w:rFonts w:ascii="Calibri" w:hAnsi="Calibri" w:cs="Times New Roman"/>
                <w:lang w:eastAsia="en-US"/>
              </w:rPr>
              <w:t>20%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Tablet 35 mg (enteric coated)</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osteopenic.</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&lt;-1.0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 xml:space="preserve">4122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Corticosteroid-induced osteoporosis in a patient currently on long-term (≥ 3 months), high-dose (7.5 mg/day prednisolone or equivalent) corticosteroid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≤-1.5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4117</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or older.</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4123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lastRenderedPageBreak/>
              <w:t xml:space="preserve">Fracture must have been demonstrated radiologically and the year of plain x-ray, CT or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w:t>
            </w:r>
            <w:r w:rsidRPr="00FA270C">
              <w:rPr>
                <w:rFonts w:ascii="Calibri" w:hAnsi="Calibri" w:cs="Calibri"/>
                <w:lang w:eastAsia="en-US"/>
              </w:rPr>
              <w:t>≥</w:t>
            </w:r>
            <w:r w:rsidRPr="00FA270C">
              <w:rPr>
                <w:rFonts w:ascii="Calibri" w:hAnsi="Calibri" w:cs="Times New Roman"/>
                <w:lang w:eastAsia="en-US"/>
              </w:rPr>
              <w:t xml:space="preserve">20% reduction in height of the anterior or mid portion of a vertebral body relative to the posterior height of that body or a </w:t>
            </w:r>
            <w:r w:rsidRPr="00FA270C">
              <w:rPr>
                <w:rFonts w:ascii="Calibri" w:hAnsi="Calibri" w:cs="Calibri"/>
                <w:lang w:eastAsia="en-US"/>
              </w:rPr>
              <w:t xml:space="preserve">≥ </w:t>
            </w:r>
            <w:r w:rsidRPr="00FA270C">
              <w:rPr>
                <w:rFonts w:ascii="Calibri" w:hAnsi="Calibri" w:cs="Times New Roman"/>
                <w:lang w:eastAsia="en-US"/>
              </w:rPr>
              <w:t>20%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lastRenderedPageBreak/>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150 mg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 xml:space="preserve">4122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Corticosteroid-induced osteoporosis in a patient currently on long-term (≥ 3 months), high-dose (7.5 mg/day prednisolone or equivalent) corticosteroid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≤-1.5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4117</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or older.</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4123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Fracture must have been demonstrated radiologically and the year of plain x-ray, CT or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w:t>
            </w:r>
            <w:r w:rsidRPr="00FA270C">
              <w:rPr>
                <w:rFonts w:ascii="Calibri" w:hAnsi="Calibri" w:cs="Calibri"/>
                <w:lang w:eastAsia="en-US"/>
              </w:rPr>
              <w:t>≥</w:t>
            </w:r>
            <w:r w:rsidRPr="00FA270C">
              <w:rPr>
                <w:rFonts w:ascii="Calibri" w:hAnsi="Calibri" w:cs="Times New Roman"/>
                <w:lang w:eastAsia="en-US"/>
              </w:rPr>
              <w:t xml:space="preserve">20% reduction in height of the anterior or mid portion of a vertebral body relative to the posterior height of that body or a </w:t>
            </w:r>
            <w:r w:rsidRPr="00FA270C">
              <w:rPr>
                <w:rFonts w:ascii="Calibri" w:hAnsi="Calibri" w:cs="Calibri"/>
                <w:lang w:eastAsia="en-US"/>
              </w:rPr>
              <w:t xml:space="preserve">≥ </w:t>
            </w:r>
            <w:r w:rsidRPr="00FA270C">
              <w:rPr>
                <w:rFonts w:ascii="Calibri" w:hAnsi="Calibri" w:cs="Times New Roman"/>
                <w:lang w:eastAsia="en-US"/>
              </w:rPr>
              <w:t>20%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Risedronate Sodium and Calcium Carbonate</w:t>
            </w: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35 mg + 500 mg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N/R</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osteopenic.</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&lt;-1.0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 xml:space="preserve">4122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Corticosteroid-induced osteoporosis in a patient currently on long-term (≥ 3 months), high-dose (7.5 mg/day prednisolone or equivalent) corticosteroid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≤-1.5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4117</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or older.</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4123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Fracture must have been demonstrated radiologically and the year of plain x-ray, CT or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w:t>
            </w:r>
            <w:r w:rsidRPr="00FA270C">
              <w:rPr>
                <w:rFonts w:ascii="Calibri" w:hAnsi="Calibri" w:cs="Calibri"/>
                <w:lang w:eastAsia="en-US"/>
              </w:rPr>
              <w:t>≥</w:t>
            </w:r>
            <w:r w:rsidRPr="00FA270C">
              <w:rPr>
                <w:rFonts w:ascii="Calibri" w:hAnsi="Calibri" w:cs="Times New Roman"/>
                <w:lang w:eastAsia="en-US"/>
              </w:rPr>
              <w:t xml:space="preserve">20% reduction in height of the anterior or mid portion of a vertebral body relative to the posterior height of that body or a </w:t>
            </w:r>
            <w:r w:rsidRPr="00FA270C">
              <w:rPr>
                <w:rFonts w:ascii="Calibri" w:hAnsi="Calibri" w:cs="Calibri"/>
                <w:lang w:eastAsia="en-US"/>
              </w:rPr>
              <w:t xml:space="preserve">≥ </w:t>
            </w:r>
            <w:r w:rsidRPr="00FA270C">
              <w:rPr>
                <w:rFonts w:ascii="Calibri" w:hAnsi="Calibri" w:cs="Times New Roman"/>
                <w:lang w:eastAsia="en-US"/>
              </w:rPr>
              <w:t>20%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lastRenderedPageBreak/>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35 mg + 1.25g (enteric coated)</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osteopenic.</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&lt;-1.0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 xml:space="preserve">4122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Corticosteroid-induced osteoporosis in a patient currently on long-term (≥ 3 months), high-dose (7.5 mg/day prednisolone or equivalent) corticosteroid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≤-1.5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4117</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or older.</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4123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Fracture must have been demonstrated radiologically and the year of plain x-ray, CT or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w:t>
            </w:r>
            <w:r w:rsidRPr="00FA270C">
              <w:rPr>
                <w:rFonts w:ascii="Calibri" w:hAnsi="Calibri" w:cs="Calibri"/>
                <w:lang w:eastAsia="en-US"/>
              </w:rPr>
              <w:t>≥</w:t>
            </w:r>
            <w:r w:rsidRPr="00FA270C">
              <w:rPr>
                <w:rFonts w:ascii="Calibri" w:hAnsi="Calibri" w:cs="Times New Roman"/>
                <w:lang w:eastAsia="en-US"/>
              </w:rPr>
              <w:t xml:space="preserve">20% reduction in height of the anterior or mid portion of a vertebral body relative to the posterior height of that body or a </w:t>
            </w:r>
            <w:r w:rsidRPr="00FA270C">
              <w:rPr>
                <w:rFonts w:ascii="Calibri" w:hAnsi="Calibri" w:cs="Calibri"/>
                <w:lang w:eastAsia="en-US"/>
              </w:rPr>
              <w:t xml:space="preserve">≥ </w:t>
            </w:r>
            <w:r w:rsidRPr="00FA270C">
              <w:rPr>
                <w:rFonts w:ascii="Calibri" w:hAnsi="Calibri" w:cs="Times New Roman"/>
                <w:lang w:eastAsia="en-US"/>
              </w:rPr>
              <w:t>20%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Risedronate Sodium and Calcium Carbonate with Colecalciferol</w:t>
            </w: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35 mg + 2.5 g + 22 microg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 N/R</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Prescribers need to demonstrate that the patient has been on continuous therapy for 3 months or more and demonstrate that the patient is osteopenic.</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&lt;-1.0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 xml:space="preserve">4122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t xml:space="preserve">Corticosteroid-induced osteoporosis in a patient currently on long-term (≥ 3 months), high-dose (7.5 </w:t>
            </w:r>
            <w:r w:rsidRPr="00FA270C">
              <w:rPr>
                <w:rFonts w:ascii="Calibri" w:hAnsi="Calibri" w:cs="Calibri"/>
              </w:rPr>
              <w:lastRenderedPageBreak/>
              <w:t>mg/day prednisolone or equivalent) corticosteroid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rPr>
              <w:lastRenderedPageBreak/>
              <w:t>≤-1.5</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4117</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or older.</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≤-3.0</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4123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Patient must not receive concomitant treatment with any other PBS-subscribed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Fracture must have been demonstrated radiologically and the year of plain x-ray, CT or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w:t>
            </w:r>
            <w:r w:rsidRPr="00FA270C">
              <w:rPr>
                <w:rFonts w:ascii="Calibri" w:hAnsi="Calibri" w:cs="Calibri"/>
                <w:lang w:eastAsia="en-US"/>
              </w:rPr>
              <w:t>≥</w:t>
            </w:r>
            <w:r w:rsidRPr="00FA270C">
              <w:rPr>
                <w:rFonts w:ascii="Calibri" w:hAnsi="Calibri" w:cs="Times New Roman"/>
                <w:lang w:eastAsia="en-US"/>
              </w:rPr>
              <w:t xml:space="preserve">20% reduction in height of the anterior or mid portion of a vertebral body relative to the posterior height of that body or a </w:t>
            </w:r>
            <w:r w:rsidRPr="00FA270C">
              <w:rPr>
                <w:rFonts w:ascii="Calibri" w:hAnsi="Calibri" w:cs="Calibri"/>
                <w:lang w:eastAsia="en-US"/>
              </w:rPr>
              <w:t xml:space="preserve">≥ </w:t>
            </w:r>
            <w:r w:rsidRPr="00FA270C">
              <w:rPr>
                <w:rFonts w:ascii="Calibri" w:hAnsi="Calibri" w:cs="Times New Roman"/>
                <w:lang w:eastAsia="en-US"/>
              </w:rPr>
              <w:t>20%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rPr>
          <w:trHeight w:val="405"/>
        </w:trPr>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Disodium Etidronate</w:t>
            </w: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200 mg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3257 </w:t>
            </w:r>
          </w:p>
          <w:p w:rsidR="00F86C9F" w:rsidRPr="00FA270C" w:rsidRDefault="00F86C9F" w:rsidP="004F02CF">
            <w:pPr>
              <w:spacing w:after="0" w:line="240" w:lineRule="auto"/>
              <w:jc w:val="left"/>
              <w:rPr>
                <w:rFonts w:ascii="Calibri" w:hAnsi="Calibri" w:cs="Times New Roman"/>
                <w:lang w:eastAsia="en-US"/>
              </w:rPr>
            </w:pP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Paget disease of bone when calcitonin has been found to be unsatisfactory due to lack of efficacy</w:t>
            </w:r>
          </w:p>
        </w:tc>
        <w:tc>
          <w:tcPr>
            <w:tcW w:w="123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rPr>
          <w:trHeight w:val="180"/>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3258</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Paget disease of bone when calcitonin has been found to be unsatisfactory due to unacceptable side effects</w:t>
            </w:r>
          </w:p>
        </w:tc>
        <w:tc>
          <w:tcPr>
            <w:tcW w:w="1234" w:type="dxa"/>
            <w:vMerge/>
          </w:tcPr>
          <w:p w:rsidR="00F86C9F" w:rsidRPr="00FA270C" w:rsidRDefault="00F86C9F" w:rsidP="004F02CF">
            <w:pPr>
              <w:spacing w:after="0" w:line="240" w:lineRule="auto"/>
              <w:jc w:val="left"/>
              <w:rPr>
                <w:rFonts w:ascii="Calibri" w:hAnsi="Calibri" w:cs="Times New Roman"/>
                <w:lang w:eastAsia="en-US"/>
              </w:rPr>
            </w:pPr>
          </w:p>
        </w:tc>
      </w:tr>
      <w:tr w:rsidR="00F86C9F" w:rsidRPr="00FA270C" w:rsidTr="004F02CF">
        <w:trPr>
          <w:trHeight w:val="274"/>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1153</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Heterotopic ossification</w:t>
            </w:r>
          </w:p>
        </w:tc>
        <w:tc>
          <w:tcPr>
            <w:tcW w:w="1234" w:type="dxa"/>
            <w:vMerge/>
          </w:tcPr>
          <w:p w:rsidR="00F86C9F" w:rsidRPr="00FA270C" w:rsidRDefault="00F86C9F" w:rsidP="004F02CF">
            <w:pPr>
              <w:spacing w:after="0" w:line="240" w:lineRule="auto"/>
              <w:jc w:val="left"/>
              <w:rPr>
                <w:rFonts w:ascii="Calibri" w:hAnsi="Calibri" w:cs="Times New Roman"/>
                <w:lang w:eastAsia="en-US"/>
              </w:rPr>
            </w:pPr>
          </w:p>
        </w:tc>
      </w:tr>
      <w:tr w:rsidR="00F86C9F" w:rsidRPr="00FA270C" w:rsidTr="004F02CF">
        <w:tc>
          <w:tcPr>
            <w:tcW w:w="174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Disodium Etidronate and Calcium Carbonate</w:t>
            </w:r>
          </w:p>
        </w:tc>
        <w:tc>
          <w:tcPr>
            <w:tcW w:w="1438"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200 mg + 1.25g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2646</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patients with fracture due to minimal trauma</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Dosodium Pamidronate</w:t>
            </w:r>
          </w:p>
        </w:tc>
        <w:tc>
          <w:tcPr>
            <w:tcW w:w="1438"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15 mg/5 mL injection, 1 x 5</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3341</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Hypercalcaemia of malignancy refractory to anti-neoplastic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30 mg/10 mL injection, 1 x 10 mL vial</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3341</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Hypercalcaemia of malignancy refractory to anti-neoplastic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60 mg/10 mL injection, 1 x 10 mL vial</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3341</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Hypercalcaemia of malignancy refractory to anti-neoplastic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rPr>
          <w:trHeight w:val="315"/>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90 mg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3341</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Hypercalcaemia of malignancy refractory to anti-neoplastic therapy</w:t>
            </w:r>
          </w:p>
        </w:tc>
        <w:tc>
          <w:tcPr>
            <w:tcW w:w="123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rPr>
          <w:trHeight w:val="234"/>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3342</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Multiple myeloma</w:t>
            </w:r>
          </w:p>
        </w:tc>
        <w:tc>
          <w:tcPr>
            <w:tcW w:w="1234" w:type="dxa"/>
            <w:vMerge/>
          </w:tcPr>
          <w:p w:rsidR="00F86C9F" w:rsidRPr="00FA270C" w:rsidRDefault="00F86C9F" w:rsidP="004F02CF">
            <w:pPr>
              <w:spacing w:after="0" w:line="240" w:lineRule="auto"/>
              <w:jc w:val="left"/>
              <w:rPr>
                <w:rFonts w:ascii="Calibri" w:hAnsi="Calibri" w:cs="Times New Roman"/>
                <w:lang w:eastAsia="en-US"/>
              </w:rPr>
            </w:pPr>
          </w:p>
        </w:tc>
      </w:tr>
      <w:tr w:rsidR="00F86C9F" w:rsidRPr="00FA270C" w:rsidTr="004F02CF">
        <w:trPr>
          <w:trHeight w:val="255"/>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3343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Bone metastases from breast cancer</w:t>
            </w:r>
          </w:p>
        </w:tc>
        <w:tc>
          <w:tcPr>
            <w:tcW w:w="1234" w:type="dxa"/>
            <w:vMerge/>
          </w:tcPr>
          <w:p w:rsidR="00F86C9F" w:rsidRPr="00FA270C" w:rsidRDefault="00F86C9F" w:rsidP="004F02CF">
            <w:pPr>
              <w:spacing w:after="0" w:line="240" w:lineRule="auto"/>
              <w:jc w:val="left"/>
              <w:rPr>
                <w:rFonts w:ascii="Calibri" w:hAnsi="Calibri" w:cs="Times New Roman"/>
                <w:lang w:eastAsia="en-US"/>
              </w:rPr>
            </w:pP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 vials powder 15 mg + 4 ampoules solvent 5 ml</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3341</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Treatment of hypercalcaemia of malignancy refractory to anti-neoplastic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p w:rsidR="00F86C9F" w:rsidRPr="00FA270C" w:rsidRDefault="00F86C9F" w:rsidP="004F02CF">
            <w:pPr>
              <w:spacing w:after="0" w:line="240" w:lineRule="auto"/>
              <w:jc w:val="center"/>
              <w:rPr>
                <w:rFonts w:ascii="Calibri" w:hAnsi="Calibri" w:cs="Times New Roman"/>
                <w:lang w:eastAsia="en-US"/>
              </w:rPr>
            </w:pP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Calibri"/>
                <w:lang w:eastAsia="en-US"/>
              </w:rPr>
            </w:pP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2 vials powder 30 mg + 2 ampoules solvent 10 ml</w:t>
            </w:r>
          </w:p>
        </w:tc>
        <w:tc>
          <w:tcPr>
            <w:tcW w:w="1273"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3256 </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Paget disease of bone</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Calibri"/>
                <w:lang w:eastAsia="en-US"/>
              </w:rPr>
            </w:pP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Concentrated injection 15 mg in 5 mL</w:t>
            </w:r>
          </w:p>
        </w:tc>
        <w:tc>
          <w:tcPr>
            <w:tcW w:w="1273"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N/R</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 xml:space="preserve">3256 </w:t>
            </w:r>
          </w:p>
        </w:tc>
        <w:tc>
          <w:tcPr>
            <w:tcW w:w="8721"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Treatment of hypercalcaemia of malignancy refractory to anti-neoplastic therapy</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Symptomatic Paget disease of bone</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Calibri"/>
                <w:lang w:eastAsia="en-US"/>
              </w:rPr>
            </w:pP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Concentrated injection 30 mg in 10 mL</w:t>
            </w:r>
          </w:p>
        </w:tc>
        <w:tc>
          <w:tcPr>
            <w:tcW w:w="1273"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N/R</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 xml:space="preserve">3256 </w:t>
            </w:r>
          </w:p>
        </w:tc>
        <w:tc>
          <w:tcPr>
            <w:tcW w:w="8721"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Treatment of hypercalcaemia of malignancy refractory to anti-neoplastic therapy</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Symptomatic Paget disease of bone</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Calibri"/>
                <w:lang w:eastAsia="en-US"/>
              </w:rPr>
            </w:pP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Concentrated injection 60 mg in 10 mL</w:t>
            </w:r>
          </w:p>
        </w:tc>
        <w:tc>
          <w:tcPr>
            <w:tcW w:w="1273"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N/R</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 xml:space="preserve">3256 </w:t>
            </w:r>
          </w:p>
        </w:tc>
        <w:tc>
          <w:tcPr>
            <w:tcW w:w="8721"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Treatment of hypercalcaemia of malignancy refractory to anti-neoplastic therapy</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Symptomatic Paget disease of bone</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N/A</w:t>
            </w:r>
          </w:p>
        </w:tc>
      </w:tr>
      <w:tr w:rsidR="00F86C9F" w:rsidRPr="00FA270C" w:rsidTr="004F02CF">
        <w:tc>
          <w:tcPr>
            <w:tcW w:w="1744" w:type="dxa"/>
          </w:tcPr>
          <w:p w:rsidR="00F86C9F" w:rsidRPr="00FA270C" w:rsidRDefault="00F86C9F" w:rsidP="004F02CF">
            <w:pPr>
              <w:spacing w:after="0" w:line="240" w:lineRule="auto"/>
              <w:jc w:val="left"/>
              <w:rPr>
                <w:rFonts w:ascii="Calibri" w:hAnsi="Calibri" w:cs="Calibri"/>
                <w:lang w:eastAsia="en-US"/>
              </w:rPr>
            </w:pP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Concentrated injection 90 mg in 10 mL</w:t>
            </w:r>
          </w:p>
        </w:tc>
        <w:tc>
          <w:tcPr>
            <w:tcW w:w="1273"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N/R</w:t>
            </w:r>
          </w:p>
        </w:tc>
        <w:tc>
          <w:tcPr>
            <w:tcW w:w="8721"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Treatment of hypercalcaemia of malignancy refractory to anti-neoplastic therapy</w:t>
            </w:r>
          </w:p>
        </w:tc>
        <w:tc>
          <w:tcPr>
            <w:tcW w:w="1234"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N/A</w:t>
            </w:r>
          </w:p>
        </w:tc>
      </w:tr>
      <w:tr w:rsidR="00F86C9F" w:rsidRPr="00FA270C" w:rsidTr="004F02CF">
        <w:tc>
          <w:tcPr>
            <w:tcW w:w="1744" w:type="dxa"/>
          </w:tcPr>
          <w:p w:rsidR="00F86C9F" w:rsidRPr="00FA270C" w:rsidRDefault="00F86C9F" w:rsidP="004F02CF">
            <w:pPr>
              <w:spacing w:after="0" w:line="240" w:lineRule="auto"/>
              <w:jc w:val="left"/>
              <w:rPr>
                <w:rFonts w:ascii="Calibri" w:hAnsi="Calibri" w:cs="Calibri"/>
                <w:lang w:eastAsia="en-US"/>
              </w:rPr>
            </w:pP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90 mg injection [1 x 90 mg vial] (&amp;) inert substance diluent [1 x 10 mL ampoule], 1 pack</w:t>
            </w:r>
          </w:p>
        </w:tc>
        <w:tc>
          <w:tcPr>
            <w:tcW w:w="1273"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N/R</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Hypercalcaemia of malignancy refractory to anti-neoplastic therapy</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Multiple myeloma</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Bone metastases from breast cancer</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744" w:type="dxa"/>
          </w:tcPr>
          <w:p w:rsidR="00F86C9F" w:rsidRPr="00FA270C" w:rsidRDefault="00F86C9F" w:rsidP="004F02CF">
            <w:pPr>
              <w:spacing w:after="0" w:line="240" w:lineRule="auto"/>
              <w:jc w:val="left"/>
              <w:rPr>
                <w:rFonts w:ascii="Calibri" w:hAnsi="Calibri" w:cs="Calibri"/>
                <w:lang w:eastAsia="en-US"/>
              </w:rPr>
            </w:pP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30 mg injection [2 x 30 mg vials] (&amp;) inert substance </w:t>
            </w:r>
            <w:r w:rsidRPr="00FA270C">
              <w:rPr>
                <w:rFonts w:ascii="Calibri" w:hAnsi="Calibri" w:cs="Calibri"/>
                <w:lang w:eastAsia="en-US"/>
              </w:rPr>
              <w:lastRenderedPageBreak/>
              <w:t>diluent [2 x 10 mL ampoules], 1 pack</w:t>
            </w:r>
          </w:p>
        </w:tc>
        <w:tc>
          <w:tcPr>
            <w:tcW w:w="1273"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lastRenderedPageBreak/>
              <w:t>N/R</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 xml:space="preserve">3256 </w:t>
            </w:r>
          </w:p>
        </w:tc>
        <w:tc>
          <w:tcPr>
            <w:tcW w:w="8721"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Treatment of hypercalcaemia of malignancy refractory to anti-neoplastic therapy</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Symptomatic Paget disease of bone</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N/A</w:t>
            </w:r>
          </w:p>
        </w:tc>
      </w:tr>
      <w:tr w:rsidR="00F86C9F" w:rsidRPr="00FA270C" w:rsidTr="004F02CF">
        <w:tc>
          <w:tcPr>
            <w:tcW w:w="1744" w:type="dxa"/>
          </w:tcPr>
          <w:p w:rsidR="00F86C9F" w:rsidRPr="00FA270C" w:rsidRDefault="00F86C9F" w:rsidP="004F02CF">
            <w:pPr>
              <w:spacing w:after="0" w:line="240" w:lineRule="auto"/>
              <w:jc w:val="left"/>
              <w:rPr>
                <w:rFonts w:ascii="Calibri" w:hAnsi="Calibri" w:cs="Calibri"/>
                <w:lang w:eastAsia="en-US"/>
              </w:rPr>
            </w:pP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15 mg injection [4 x 15 mg vials] (&amp;) inert substance diluent [4 x 5 mL ampoules]</w:t>
            </w:r>
          </w:p>
        </w:tc>
        <w:tc>
          <w:tcPr>
            <w:tcW w:w="1273"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N/R</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 xml:space="preserve">3256 </w:t>
            </w:r>
          </w:p>
        </w:tc>
        <w:tc>
          <w:tcPr>
            <w:tcW w:w="8721" w:type="dxa"/>
          </w:tcPr>
          <w:p w:rsidR="00F86C9F" w:rsidRPr="00FA270C" w:rsidRDefault="00F86C9F" w:rsidP="004F02CF">
            <w:pPr>
              <w:spacing w:after="0" w:line="240" w:lineRule="auto"/>
              <w:jc w:val="left"/>
              <w:rPr>
                <w:rFonts w:ascii="Calibri" w:hAnsi="Calibri" w:cs="Calibri"/>
              </w:rPr>
            </w:pPr>
            <w:r w:rsidRPr="00FA270C">
              <w:rPr>
                <w:rFonts w:ascii="Calibri" w:hAnsi="Calibri" w:cs="Calibri"/>
              </w:rPr>
              <w:t>Treatment of hypercalcaemia of malignancy refractory to anti-neoplastic therapy</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Symptomatic Paget disease of bone</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rPr>
              <w:t>N/A</w:t>
            </w:r>
          </w:p>
        </w:tc>
      </w:tr>
      <w:tr w:rsidR="00F86C9F" w:rsidRPr="00FA270C" w:rsidTr="004F02CF">
        <w:tc>
          <w:tcPr>
            <w:tcW w:w="1744" w:type="dxa"/>
          </w:tcPr>
          <w:p w:rsidR="00F86C9F" w:rsidRPr="00FA270C" w:rsidRDefault="00F86C9F" w:rsidP="004F02CF">
            <w:pPr>
              <w:spacing w:after="0" w:line="240" w:lineRule="auto"/>
              <w:jc w:val="left"/>
              <w:rPr>
                <w:rFonts w:ascii="Calibri" w:hAnsi="Calibri" w:cs="Calibri"/>
                <w:lang w:eastAsia="en-US"/>
              </w:rPr>
            </w:pPr>
          </w:p>
        </w:tc>
        <w:tc>
          <w:tcPr>
            <w:tcW w:w="1438" w:type="dxa"/>
          </w:tcPr>
          <w:p w:rsidR="00F86C9F" w:rsidRPr="00FA270C" w:rsidRDefault="00F86C9F" w:rsidP="004F02CF">
            <w:pPr>
              <w:spacing w:after="0" w:line="240" w:lineRule="auto"/>
              <w:jc w:val="left"/>
              <w:rPr>
                <w:rFonts w:ascii="Calibri" w:hAnsi="Calibri" w:cs="Calibri"/>
                <w:lang w:eastAsia="en-US"/>
              </w:rPr>
            </w:pPr>
          </w:p>
        </w:tc>
        <w:tc>
          <w:tcPr>
            <w:tcW w:w="1273" w:type="dxa"/>
          </w:tcPr>
          <w:p w:rsidR="00F86C9F" w:rsidRPr="00FA270C" w:rsidRDefault="00F86C9F" w:rsidP="004F02CF">
            <w:pPr>
              <w:spacing w:after="0" w:line="240" w:lineRule="auto"/>
              <w:jc w:val="left"/>
              <w:rPr>
                <w:rFonts w:ascii="Calibri" w:hAnsi="Calibri" w:cs="Calibri"/>
              </w:rPr>
            </w:pPr>
          </w:p>
        </w:tc>
        <w:tc>
          <w:tcPr>
            <w:tcW w:w="8721" w:type="dxa"/>
          </w:tcPr>
          <w:p w:rsidR="00F86C9F" w:rsidRPr="00FA270C" w:rsidRDefault="00F86C9F" w:rsidP="004F02CF">
            <w:pPr>
              <w:spacing w:after="0" w:line="240" w:lineRule="auto"/>
              <w:jc w:val="left"/>
              <w:rPr>
                <w:rFonts w:ascii="Calibri" w:hAnsi="Calibri" w:cs="Calibri"/>
              </w:rPr>
            </w:pPr>
          </w:p>
        </w:tc>
        <w:tc>
          <w:tcPr>
            <w:tcW w:w="1234" w:type="dxa"/>
          </w:tcPr>
          <w:p w:rsidR="00F86C9F" w:rsidRPr="00FA270C" w:rsidRDefault="00F86C9F" w:rsidP="004F02CF">
            <w:pPr>
              <w:spacing w:after="0" w:line="240" w:lineRule="auto"/>
              <w:jc w:val="left"/>
              <w:rPr>
                <w:rFonts w:ascii="Calibri" w:hAnsi="Calibri" w:cs="Calibri"/>
              </w:rPr>
            </w:pPr>
          </w:p>
        </w:tc>
      </w:tr>
      <w:tr w:rsidR="00F86C9F" w:rsidRPr="00FA270C" w:rsidTr="004F02CF">
        <w:tc>
          <w:tcPr>
            <w:tcW w:w="174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Clodronate sodium</w:t>
            </w: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400 mg</w:t>
            </w:r>
          </w:p>
        </w:tc>
        <w:tc>
          <w:tcPr>
            <w:tcW w:w="1273"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N/R</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Maintenance treatment of hypercalcaemia of malignancy refractory to anti-neoplastic therapy;</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Multiple myeloma</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Bone metastases from breast cancer</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744" w:type="dxa"/>
          </w:tcPr>
          <w:p w:rsidR="00F86C9F" w:rsidRPr="00FA270C" w:rsidRDefault="00F86C9F" w:rsidP="004F02CF">
            <w:pPr>
              <w:spacing w:after="0" w:line="240" w:lineRule="auto"/>
              <w:jc w:val="left"/>
              <w:rPr>
                <w:rFonts w:ascii="Calibri" w:hAnsi="Calibri" w:cs="Calibri"/>
                <w:lang w:eastAsia="en-US"/>
              </w:rPr>
            </w:pP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800 mg</w:t>
            </w:r>
          </w:p>
        </w:tc>
        <w:tc>
          <w:tcPr>
            <w:tcW w:w="1273"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N/R</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Maintenance treatment of hypercalcaemia of malignancy refractory to anti-neoplastic therapy;</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Multiple myeloma</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Bone metastases from breast cancer</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74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-Tiludronate Disodium</w:t>
            </w: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200 mg</w:t>
            </w:r>
          </w:p>
        </w:tc>
        <w:tc>
          <w:tcPr>
            <w:tcW w:w="1273"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3256 </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Symptomatic Paget disease of bone</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74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-Ibandronic Acid</w:t>
            </w:r>
          </w:p>
        </w:tc>
        <w:tc>
          <w:tcPr>
            <w:tcW w:w="1438"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6 mg/6 mL injection, 1 x 6 mL vial</w:t>
            </w:r>
          </w:p>
        </w:tc>
        <w:tc>
          <w:tcPr>
            <w:tcW w:w="1273"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3343 </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Bone metastases from breast cancer</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744" w:type="dxa"/>
          </w:tcPr>
          <w:p w:rsidR="00F86C9F" w:rsidRPr="00FA270C" w:rsidRDefault="00F86C9F" w:rsidP="004F02CF">
            <w:pPr>
              <w:spacing w:after="0" w:line="240" w:lineRule="auto"/>
              <w:jc w:val="left"/>
              <w:rPr>
                <w:rFonts w:ascii="Calibri" w:hAnsi="Calibri" w:cs="Times New Roman"/>
                <w:lang w:eastAsia="en-US"/>
              </w:rPr>
            </w:pPr>
          </w:p>
        </w:tc>
        <w:tc>
          <w:tcPr>
            <w:tcW w:w="1438"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50 mg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N/R</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Bone metastases from breast cancer</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Zoledronic Acid</w:t>
            </w:r>
          </w:p>
        </w:tc>
        <w:tc>
          <w:tcPr>
            <w:tcW w:w="1438"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 mg/5 mL injection, 1 x 5 mL vial </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N/R</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3342</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3343</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4052</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3341</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Multiple myeloma</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Bone metastases from breast cancer</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Bone metastases from castration-resistant prostate cancer</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Treatment of hypercalcaemia of malignancy refractory to anti-neoplastic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5 mg/100 mL injection, 1 x 100 mL vial</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4100</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Corticosteroid-induced osteoporosis in a patient currently on (prednisolone or equivalent) corticosteroid therapy.</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Patient must currently be on long-term (at least 3 months), high-dose (at least 7.5 mg per day prednisolone or equivalent) corticosteroid therapy,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have a Bone Mineral Density (BMD) T-score of -1.5 or less,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lastRenderedPageBreak/>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not receive concomitant treatment with any other PBS-subsidised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not receive more than one PBS-subsidised treatment per year.</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The duration and dose of corticosteroid therapy together with the date, site (femoral neck or lumbar spine) and score of the qualifying BMD measurement must be documented in the patient's medical records when treatment is initiated. </w:t>
            </w:r>
          </w:p>
          <w:p w:rsidR="00F86C9F" w:rsidRPr="00FA270C" w:rsidRDefault="00F86C9F" w:rsidP="004F02CF">
            <w:pPr>
              <w:spacing w:after="0" w:line="240" w:lineRule="auto"/>
              <w:jc w:val="left"/>
              <w:rPr>
                <w:rFonts w:ascii="Calibri" w:hAnsi="Calibri" w:cs="Calibri"/>
                <w:lang w:eastAsia="en-US"/>
              </w:rPr>
            </w:pP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lastRenderedPageBreak/>
              <w:t>≤</w:t>
            </w:r>
            <w:r w:rsidRPr="00FA270C">
              <w:rPr>
                <w:rFonts w:ascii="Calibri" w:hAnsi="Calibri" w:cs="Times New Roman"/>
                <w:lang w:eastAsia="en-US"/>
              </w:rPr>
              <w:t>-1.5</w:t>
            </w:r>
          </w:p>
        </w:tc>
      </w:tr>
      <w:tr w:rsidR="00F86C9F" w:rsidRPr="00FA270C" w:rsidTr="004F02CF">
        <w:trPr>
          <w:trHeight w:val="351"/>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4149</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The Population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be aged 70 years or older,</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have a Bone Mineral Density (BMD) T-score of -3.0 or less,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not receive concomitant treatment with any other PBS-subsidised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not receive more than one PBS-subsidised treatment per year.</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≤-3.0</w:t>
            </w:r>
          </w:p>
        </w:tc>
      </w:tr>
      <w:tr w:rsidR="00F86C9F" w:rsidRPr="00FA270C" w:rsidTr="004F02CF">
        <w:trPr>
          <w:trHeight w:val="351"/>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4157</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have fracture due to minimal trauma,</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not receive concomitant treatment with any other PBS-subsidised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not receive more than one PBS-subsidised treatment per year.</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The fracture must have been demonstrated radiologically and the year of plain x-ray or computed tomography (CT) scan or magnetic resonance imaging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N/R</w:t>
            </w:r>
          </w:p>
        </w:tc>
      </w:tr>
      <w:tr w:rsidR="00F86C9F" w:rsidRPr="00FA270C" w:rsidTr="004F02CF">
        <w:trPr>
          <w:trHeight w:val="732"/>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N/R</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Symptomatic Paget disease of bone.</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Only 1 treatment each year per patient will be PBS-subsidised</w:t>
            </w:r>
          </w:p>
          <w:p w:rsidR="00F86C9F" w:rsidRPr="00FA270C" w:rsidRDefault="00F86C9F" w:rsidP="004F02CF">
            <w:pPr>
              <w:spacing w:after="0" w:line="240" w:lineRule="auto"/>
              <w:jc w:val="left"/>
              <w:rPr>
                <w:rFonts w:ascii="Calibri" w:hAnsi="Calibri" w:cs="Times New Roman"/>
                <w:lang w:eastAsia="en-US"/>
              </w:rPr>
            </w:pPr>
          </w:p>
        </w:tc>
        <w:tc>
          <w:tcPr>
            <w:tcW w:w="1234" w:type="dxa"/>
          </w:tcPr>
          <w:p w:rsidR="00F86C9F" w:rsidRPr="00FA270C" w:rsidRDefault="00F86C9F" w:rsidP="004F02CF">
            <w:pPr>
              <w:spacing w:after="0" w:line="240" w:lineRule="auto"/>
              <w:jc w:val="left"/>
              <w:rPr>
                <w:rFonts w:ascii="Calibri" w:hAnsi="Calibri" w:cs="Times New Roman"/>
                <w:lang w:eastAsia="en-US"/>
              </w:rPr>
            </w:pPr>
          </w:p>
        </w:tc>
      </w:tr>
      <w:tr w:rsidR="00F86C9F" w:rsidRPr="00FA270C" w:rsidTr="004F02CF">
        <w:trPr>
          <w:trHeight w:val="351"/>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3947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 in a patient aged 70 years of age or older</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≤-3.0</w:t>
            </w: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3946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 in a patient with fracture due to minimal trauma</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rPr>
          <w:trHeight w:val="496"/>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t>N/R</w:t>
            </w:r>
          </w:p>
          <w:p w:rsidR="00F86C9F" w:rsidRPr="00FA270C" w:rsidRDefault="00F86C9F" w:rsidP="004F02CF">
            <w:pPr>
              <w:spacing w:after="0" w:line="240" w:lineRule="auto"/>
              <w:jc w:val="left"/>
              <w:rPr>
                <w:rFonts w:ascii="Calibri" w:hAnsi="Calibri" w:cs="Times New Roman"/>
                <w:lang w:eastAsia="en-US"/>
              </w:rPr>
            </w:pP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Symptomatic Paget disease of bone</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Only 1 treatment each year per patient will be PBS-subsidised</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rPr>
          <w:trHeight w:val="315"/>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 mg/5 mL injection, 1 x 5 mL vial10 mg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3342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Multiple myeloma</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rPr>
          <w:trHeight w:val="360"/>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3343</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Bone metastases from breast cancer</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rPr>
          <w:trHeight w:val="165"/>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4052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Bone metastases from castration-resistant prostate cancer</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rPr>
          <w:trHeight w:val="407"/>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3341</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hypercalcaemia of malignancy refractory to anti-neoplastic therapy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4410" w:type="dxa"/>
            <w:gridSpan w:val="5"/>
          </w:tcPr>
          <w:p w:rsidR="00F86C9F" w:rsidRPr="00FA270C" w:rsidRDefault="00F86C9F" w:rsidP="004F02CF">
            <w:pPr>
              <w:spacing w:after="0" w:line="240" w:lineRule="auto"/>
              <w:jc w:val="left"/>
              <w:rPr>
                <w:rFonts w:ascii="Calibri" w:hAnsi="Calibri" w:cs="Times New Roman"/>
                <w:b/>
                <w:lang w:eastAsia="en-US"/>
              </w:rPr>
            </w:pPr>
            <w:r w:rsidRPr="00FA270C">
              <w:rPr>
                <w:rFonts w:ascii="Calibri" w:hAnsi="Calibri" w:cs="Times New Roman"/>
                <w:b/>
                <w:lang w:eastAsia="en-US"/>
              </w:rPr>
              <w:t>Selective estrogen receptor modulator (SERM)</w:t>
            </w:r>
          </w:p>
        </w:tc>
      </w:tr>
      <w:tr w:rsidR="00F86C9F" w:rsidRPr="00FA270C" w:rsidTr="004F02CF">
        <w:tc>
          <w:tcPr>
            <w:tcW w:w="174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raloxifene hydrochloride</w:t>
            </w:r>
          </w:p>
        </w:tc>
        <w:tc>
          <w:tcPr>
            <w:tcW w:w="1438"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60 mg</w:t>
            </w:r>
          </w:p>
        </w:tc>
        <w:tc>
          <w:tcPr>
            <w:tcW w:w="1273" w:type="dxa"/>
          </w:tcPr>
          <w:p w:rsidR="00F86C9F" w:rsidRPr="00FA270C" w:rsidDel="00216E4A"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4071</w:t>
            </w:r>
          </w:p>
          <w:p w:rsidR="00F86C9F" w:rsidRPr="00FA270C" w:rsidRDefault="00F86C9F" w:rsidP="004F02CF">
            <w:pPr>
              <w:spacing w:after="0" w:line="240" w:lineRule="auto"/>
              <w:jc w:val="left"/>
              <w:rPr>
                <w:rFonts w:ascii="Calibri" w:hAnsi="Calibri" w:cs="Times New Roman"/>
                <w:lang w:eastAsia="en-US"/>
              </w:rPr>
            </w:pP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post-menopausal osteoporosis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have fracture due to minimal trauma,</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not receive concomitant treatment with any other PBS-subsidised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The fracture must have been demonstrated radiologically and the year of plain x-ray or computed tomography (CT) scan or magnetic resonance imaging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c>
          <w:tcPr>
            <w:tcW w:w="14410" w:type="dxa"/>
            <w:gridSpan w:val="5"/>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b/>
                <w:lang w:eastAsia="en-US"/>
              </w:rPr>
              <w:t>Monoclonal antibody</w:t>
            </w: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Denosumab</w:t>
            </w:r>
          </w:p>
        </w:tc>
        <w:tc>
          <w:tcPr>
            <w:tcW w:w="1438"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120 mg/1.7ml</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4158</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4150</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Bone metastases from breast cancer</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Bone metastases from castration-resistant prostate cancer</w:t>
            </w: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rPr>
          <w:trHeight w:val="369"/>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60 mg/ml</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4094</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The Population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be female,</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Population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be aged 70 years or older,</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lastRenderedPageBreak/>
              <w:t>Patient must have a Bone Mineral Density (BMD) T-score of -2.5 or less,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not receive concomitant treatment with any other PBS-subsidised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tc>
        <w:tc>
          <w:tcPr>
            <w:tcW w:w="123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lastRenderedPageBreak/>
              <w:t>≤</w:t>
            </w:r>
            <w:r w:rsidRPr="00FA270C">
              <w:rPr>
                <w:rFonts w:ascii="Calibri" w:hAnsi="Calibri" w:cs="Times New Roman"/>
                <w:lang w:eastAsia="en-US"/>
              </w:rPr>
              <w:t>-2.5</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N/A</w:t>
            </w:r>
          </w:p>
        </w:tc>
      </w:tr>
      <w:tr w:rsidR="00F86C9F" w:rsidRPr="00FA270C" w:rsidTr="004F02CF">
        <w:trPr>
          <w:trHeight w:val="351"/>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4145</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post-menopausal osteoporosis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have fracture due to minimal trauma,</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not receive concomitant treatment with any other PBS-subsidised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The fracture must have been demonstrated radiologically and the year of plain x-ray or computed tomography (CT) scan or magnetic resonance imaging (MRI) scan must be documented in the patient's medical records when treatment is initiated.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vMerge/>
          </w:tcPr>
          <w:p w:rsidR="00F86C9F" w:rsidRPr="00FA270C" w:rsidRDefault="00F86C9F" w:rsidP="004F02CF">
            <w:pPr>
              <w:spacing w:after="0" w:line="240" w:lineRule="auto"/>
              <w:jc w:val="left"/>
              <w:rPr>
                <w:rFonts w:ascii="Calibri" w:hAnsi="Calibri" w:cs="Calibri"/>
                <w:lang w:eastAsia="en-US"/>
              </w:rPr>
            </w:pP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Carbamazepine</w:t>
            </w: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200 mg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Continuing therapy only.</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Note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Times New Roman"/>
                <w:lang w:eastAsia="en-US"/>
              </w:rPr>
              <w:t>For item codes 2419H and 1706T, pharmaceutical benefits that have the form tablet 200 mg are equivalent for the purposes of substitution.</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N/R</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Times New Roman"/>
                <w:lang w:eastAsia="en-US"/>
              </w:rPr>
              <w:t xml:space="preserve">For item codes 5040G and 1724R, pharmaceutical benefits that have the form tablet 200 mg are equivalent for the purposes of substitution. </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4455" w:type="dxa"/>
            <w:gridSpan w:val="3"/>
          </w:tcPr>
          <w:p w:rsidR="00F86C9F" w:rsidRPr="00FA270C" w:rsidRDefault="00F86C9F" w:rsidP="004F02CF">
            <w:pPr>
              <w:spacing w:after="0" w:line="240" w:lineRule="auto"/>
              <w:jc w:val="left"/>
              <w:rPr>
                <w:rFonts w:ascii="Calibri" w:hAnsi="Calibri" w:cs="Times New Roman"/>
                <w:b/>
                <w:lang w:eastAsia="en-US"/>
              </w:rPr>
            </w:pPr>
            <w:r w:rsidRPr="00FA270C">
              <w:rPr>
                <w:rFonts w:ascii="Calibri" w:hAnsi="Calibri" w:cs="Times New Roman"/>
                <w:b/>
                <w:lang w:eastAsia="en-US"/>
              </w:rPr>
              <w:t>Parathyroid Hormone</w:t>
            </w:r>
          </w:p>
        </w:tc>
        <w:tc>
          <w:tcPr>
            <w:tcW w:w="8721" w:type="dxa"/>
          </w:tcPr>
          <w:p w:rsidR="00F86C9F" w:rsidRPr="00FA270C" w:rsidRDefault="00F86C9F" w:rsidP="004F02CF">
            <w:pPr>
              <w:spacing w:after="0" w:line="240" w:lineRule="auto"/>
              <w:jc w:val="left"/>
              <w:rPr>
                <w:rFonts w:ascii="Calibri" w:hAnsi="Calibri" w:cs="Calibri"/>
                <w:lang w:eastAsia="en-US"/>
              </w:rPr>
            </w:pPr>
          </w:p>
        </w:tc>
        <w:tc>
          <w:tcPr>
            <w:tcW w:w="1234" w:type="dxa"/>
          </w:tcPr>
          <w:p w:rsidR="00F86C9F" w:rsidRPr="00FA270C" w:rsidRDefault="00F86C9F" w:rsidP="004F02CF">
            <w:pPr>
              <w:spacing w:after="0" w:line="240" w:lineRule="auto"/>
              <w:jc w:val="left"/>
              <w:rPr>
                <w:rFonts w:ascii="Calibri" w:hAnsi="Calibri" w:cs="Calibri"/>
                <w:lang w:eastAsia="en-US"/>
              </w:rPr>
            </w:pPr>
          </w:p>
        </w:tc>
      </w:tr>
      <w:tr w:rsidR="00F86C9F" w:rsidRPr="00FA270C" w:rsidTr="004F02CF">
        <w:trPr>
          <w:trHeight w:val="8604"/>
        </w:trPr>
        <w:tc>
          <w:tcPr>
            <w:tcW w:w="1744"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lastRenderedPageBreak/>
              <w:t>Teriparatide</w:t>
            </w: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20 microgram/dose injection, 1 x 2.4 mL cartridge</w:t>
            </w:r>
          </w:p>
        </w:tc>
        <w:tc>
          <w:tcPr>
            <w:tcW w:w="1273"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 </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Initial treatment, as the sole PBS-subsidised agent, by a specialist or consultant physician, for severe, established osteoporosis in a patient with a very high risk of fracture who: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has a bone mineral density (BMD) T-score of -3.0 or less; and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(b) has had 2 or more fractures due to minimal trauma; and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(c) has experienced at least 1 symptomatic new fracture after at least 12 months continuous therapy with an anti-resorptive agent at adequate doses.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If treatment with anti-resorptive therapy is contraindicated according to the relevant TGA-approved Product Information, details of the contraindication must be provided at the time of application.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 Details of accepted toxicities including severity can be found on the Medicare Australia website at www.medicareaustralia.gov.au and must be provided at the time of application.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Times New Roman"/>
                <w:lang w:eastAsia="en-US"/>
              </w:rPr>
              <w:t xml:space="preserve">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months, disodium etidronate 200 mg with calcium carbonate 1.25 g per day, strontium ranelate 2 g per day and zoledronic acid 5 mg per annum.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Details of prior anti-resorptive therapy, fracture history including the date(s), site(s), the symptoms associated with the fracture(s) which developed during the course of anti-resorptive therapy and the score of the qualifying BMD measurement must be provided to Medicare Australia at the time of application.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Note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No applications for increased maximum quantities and/or repeats will be authorised. </w:t>
            </w:r>
          </w:p>
          <w:p w:rsidR="00F86C9F" w:rsidRPr="00FA270C" w:rsidRDefault="00F86C9F" w:rsidP="004F02CF">
            <w:pPr>
              <w:spacing w:after="0" w:line="240" w:lineRule="auto"/>
              <w:jc w:val="left"/>
              <w:rPr>
                <w:rFonts w:ascii="Calibri" w:hAnsi="Calibri" w:cs="Calibri"/>
                <w:lang w:eastAsia="en-US"/>
              </w:rPr>
            </w:pPr>
          </w:p>
        </w:tc>
        <w:tc>
          <w:tcPr>
            <w:tcW w:w="1234" w:type="dxa"/>
            <w:vMerge w:val="restart"/>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≤-3.0</w:t>
            </w:r>
          </w:p>
        </w:tc>
      </w:tr>
      <w:tr w:rsidR="00F86C9F" w:rsidRPr="00FA270C" w:rsidTr="004F02CF">
        <w:trPr>
          <w:trHeight w:val="2210"/>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vMerge/>
          </w:tcPr>
          <w:p w:rsidR="00F86C9F" w:rsidRPr="00FA270C" w:rsidRDefault="00F86C9F" w:rsidP="004F02CF">
            <w:pPr>
              <w:spacing w:after="0" w:line="240" w:lineRule="auto"/>
              <w:jc w:val="left"/>
              <w:rPr>
                <w:rFonts w:ascii="Calibri" w:hAnsi="Calibri" w:cs="Times New Roman"/>
                <w:lang w:eastAsia="en-US"/>
              </w:rPr>
            </w:pP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Continuing treatment for severe established osteoporosis where the patient has previously been issued with an authority prescription for this drug. </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Teriparatide must only be used for a lifetime maximum of 18 months therapy (18 pens). Up to a maximum of 18 pens will be reimbursed through the PBS.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Note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No applications for increased maximum quantities and/or repeats will be authorised.</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Continuing treatment for severe established osteoporosis where the patient has previously been issued with an authority prescription for this drug. </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Teriparatide must only be used for a lifetime maximum of 18 months therapy (18 pens). Up to a maximum of 18 pens will be reimbursed through the PBS. </w:t>
            </w:r>
          </w:p>
          <w:p w:rsidR="00F86C9F" w:rsidRPr="00FA270C" w:rsidRDefault="00F86C9F" w:rsidP="004F02CF">
            <w:pPr>
              <w:spacing w:after="0" w:line="240" w:lineRule="auto"/>
              <w:jc w:val="left"/>
              <w:rPr>
                <w:rFonts w:ascii="Calibri" w:hAnsi="Calibri" w:cs="Times New Roman"/>
                <w:lang w:eastAsia="en-US"/>
              </w:rPr>
            </w:pP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Note </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No applications for increased maximum quantities and/or repeats will be authorised.</w:t>
            </w:r>
          </w:p>
        </w:tc>
        <w:tc>
          <w:tcPr>
            <w:tcW w:w="1234" w:type="dxa"/>
            <w:vMerge/>
          </w:tcPr>
          <w:p w:rsidR="00F86C9F" w:rsidRPr="00FA270C" w:rsidRDefault="00F86C9F" w:rsidP="004F02CF">
            <w:pPr>
              <w:spacing w:after="0" w:line="240" w:lineRule="auto"/>
              <w:jc w:val="left"/>
              <w:rPr>
                <w:rFonts w:ascii="Calibri" w:hAnsi="Calibri" w:cs="Calibri"/>
                <w:lang w:eastAsia="en-US"/>
              </w:rPr>
            </w:pP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b/>
                <w:lang w:eastAsia="en-US"/>
              </w:rPr>
            </w:pPr>
            <w:r w:rsidRPr="00FA270C">
              <w:rPr>
                <w:rFonts w:ascii="Calibri" w:hAnsi="Calibri" w:cs="Times New Roman"/>
                <w:b/>
                <w:lang w:eastAsia="en-US"/>
              </w:rPr>
              <w:t>strontium ranelate</w:t>
            </w: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2 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4117</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Osteoporosis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The Population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be aged 70 years or older,</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have a Bone Mineral Density (BMD) T-score of -3.0 or less,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not receive concomitant treatment with any other PBS-subsidised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p w:rsidR="00F86C9F" w:rsidRPr="00FA270C" w:rsidRDefault="00F86C9F" w:rsidP="004F02CF">
            <w:pPr>
              <w:spacing w:after="0" w:line="240" w:lineRule="auto"/>
              <w:jc w:val="left"/>
              <w:rPr>
                <w:rFonts w:ascii="Calibri" w:hAnsi="Calibri" w:cs="Calibri"/>
                <w:lang w:eastAsia="en-US"/>
              </w:rPr>
            </w:pPr>
          </w:p>
        </w:tc>
        <w:tc>
          <w:tcPr>
            <w:tcW w:w="1234"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Calibri"/>
                <w:lang w:eastAsia="en-US"/>
              </w:rPr>
              <w:t>≤</w:t>
            </w:r>
            <w:r w:rsidRPr="00FA270C">
              <w:rPr>
                <w:rFonts w:ascii="Calibri" w:hAnsi="Calibri" w:cs="Times New Roman"/>
                <w:lang w:eastAsia="en-US"/>
              </w:rPr>
              <w:t>-3.0</w:t>
            </w:r>
          </w:p>
        </w:tc>
      </w:tr>
      <w:tr w:rsidR="00F86C9F" w:rsidRPr="00FA270C" w:rsidTr="004F02CF">
        <w:trPr>
          <w:trHeight w:val="296"/>
        </w:trPr>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4123</w:t>
            </w:r>
          </w:p>
        </w:tc>
        <w:tc>
          <w:tcPr>
            <w:tcW w:w="8721"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Established osteoporosis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have fracture due to minimal trauma,</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AND the Clinical criteria is:</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Patient must not receive concomitant treatment with any other PBS-subsidised anti-resorptive agent for this condition.</w:t>
            </w:r>
          </w:p>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The fracture must have been demonstrated radiologically and the year of plain x-ray or computed tomography (CT) scan or magnetic resonance imaging (MRI) scan must be documented in the patient's medical records when treatment is initiated.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Times New Roman"/>
                <w:lang w:eastAsia="en-US"/>
              </w:rPr>
              <w:lastRenderedPageBreak/>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lastRenderedPageBreak/>
              <w:t>N/A</w:t>
            </w:r>
          </w:p>
        </w:tc>
      </w:tr>
      <w:tr w:rsidR="00F86C9F" w:rsidRPr="00FA270C" w:rsidTr="004F02CF">
        <w:tc>
          <w:tcPr>
            <w:tcW w:w="1744" w:type="dxa"/>
            <w:vMerge w:val="restart"/>
          </w:tcPr>
          <w:p w:rsidR="00F86C9F" w:rsidRPr="00FA270C" w:rsidRDefault="00F86C9F" w:rsidP="004F02CF">
            <w:pPr>
              <w:spacing w:after="0" w:line="240" w:lineRule="auto"/>
              <w:jc w:val="left"/>
              <w:rPr>
                <w:rFonts w:ascii="Calibri" w:hAnsi="Calibri" w:cs="Times New Roman"/>
                <w:b/>
                <w:lang w:eastAsia="en-US"/>
              </w:rPr>
            </w:pPr>
            <w:r w:rsidRPr="00FA270C">
              <w:rPr>
                <w:rFonts w:ascii="Calibri" w:hAnsi="Calibri" w:cs="Times New Roman"/>
                <w:b/>
                <w:lang w:eastAsia="en-US"/>
              </w:rPr>
              <w:lastRenderedPageBreak/>
              <w:t>Calcitriol</w:t>
            </w:r>
          </w:p>
        </w:tc>
        <w:tc>
          <w:tcPr>
            <w:tcW w:w="1438" w:type="dxa"/>
            <w:vMerge w:val="restart"/>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0.25 microg</w:t>
            </w: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1165</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Times New Roman"/>
                <w:lang w:eastAsia="en-US"/>
              </w:rPr>
              <w:t>Hypocalcaemia due to renal disease.</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1166</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Times New Roman"/>
                <w:lang w:eastAsia="en-US"/>
              </w:rPr>
              <w:t>Hypoparathyroidism.</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1167 </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Times New Roman"/>
                <w:lang w:eastAsia="en-US"/>
              </w:rPr>
              <w:t>Hypophosphataemic rickets.</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 xml:space="preserve">1467 </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Times New Roman"/>
                <w:lang w:eastAsia="en-US"/>
              </w:rPr>
              <w:t>Vitamin D-resistant rickets.</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744" w:type="dxa"/>
            <w:vMerge/>
          </w:tcPr>
          <w:p w:rsidR="00F86C9F" w:rsidRPr="00FA270C" w:rsidRDefault="00F86C9F" w:rsidP="004F02CF">
            <w:pPr>
              <w:spacing w:after="0" w:line="240" w:lineRule="auto"/>
              <w:jc w:val="left"/>
              <w:rPr>
                <w:rFonts w:ascii="Calibri" w:hAnsi="Calibri" w:cs="Times New Roman"/>
                <w:lang w:eastAsia="en-US"/>
              </w:rPr>
            </w:pPr>
          </w:p>
        </w:tc>
        <w:tc>
          <w:tcPr>
            <w:tcW w:w="1438" w:type="dxa"/>
            <w:vMerge/>
          </w:tcPr>
          <w:p w:rsidR="00F86C9F" w:rsidRPr="00FA270C" w:rsidRDefault="00F86C9F" w:rsidP="004F02CF">
            <w:pPr>
              <w:spacing w:after="0" w:line="240" w:lineRule="auto"/>
              <w:jc w:val="left"/>
              <w:rPr>
                <w:rFonts w:ascii="Calibri" w:hAnsi="Calibri" w:cs="Times New Roman"/>
                <w:lang w:eastAsia="en-US"/>
              </w:rPr>
            </w:pPr>
          </w:p>
        </w:tc>
        <w:tc>
          <w:tcPr>
            <w:tcW w:w="1273" w:type="dxa"/>
          </w:tcPr>
          <w:p w:rsidR="00F86C9F" w:rsidRPr="00FA270C" w:rsidRDefault="00F86C9F" w:rsidP="004F02CF">
            <w:pPr>
              <w:spacing w:after="0" w:line="240" w:lineRule="auto"/>
              <w:jc w:val="left"/>
              <w:rPr>
                <w:rFonts w:ascii="Calibri" w:hAnsi="Calibri" w:cs="Times New Roman"/>
                <w:lang w:eastAsia="en-US"/>
              </w:rPr>
            </w:pPr>
            <w:r w:rsidRPr="00FA270C">
              <w:rPr>
                <w:rFonts w:ascii="Calibri" w:hAnsi="Calibri" w:cs="Times New Roman"/>
                <w:lang w:eastAsia="en-US"/>
              </w:rPr>
              <w:t>2636</w:t>
            </w:r>
          </w:p>
        </w:tc>
        <w:tc>
          <w:tcPr>
            <w:tcW w:w="8721"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Times New Roman"/>
                <w:lang w:eastAsia="en-US"/>
              </w:rPr>
              <w:t>Established osteoporosis in patients with fracture due to minimal trauma.</w:t>
            </w:r>
          </w:p>
        </w:tc>
        <w:tc>
          <w:tcPr>
            <w:tcW w:w="1234" w:type="dxa"/>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N/A</w:t>
            </w:r>
          </w:p>
        </w:tc>
      </w:tr>
      <w:tr w:rsidR="00F86C9F" w:rsidRPr="00FA270C" w:rsidTr="004F02CF">
        <w:tc>
          <w:tcPr>
            <w:tcW w:w="14410" w:type="dxa"/>
            <w:gridSpan w:val="5"/>
          </w:tcPr>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1153 Heterotopic ossification.</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1165 Hypocalcaemia due to renal disease.</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1166Hypoparathyroidism.</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1167 Hypophosphataemic rickets.</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1467 Vitamin D-resistant rickets.</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2636Treatment for established osteoporosis in patients with fracture due to minimal trauma. The fracture must have been demonstrated radiologically and the year of plain x-ray or CT-scan or MRI scan must be documented in the patient's medical records when treatment is initiated.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2645 Treatment as the sole PBS-subsidised anti-resorptive agent for osteoporosis in a patient aged 70 years of age or older with a Bone Mineral Density </w:t>
            </w:r>
            <w:r w:rsidR="00915900">
              <w:rPr>
                <w:rFonts w:ascii="Calibri" w:hAnsi="Calibri" w:cs="Calibri"/>
                <w:lang w:eastAsia="en-US"/>
              </w:rPr>
              <w:t xml:space="preserve">(BMD) T-score of -3.0 or less. </w:t>
            </w:r>
            <w:r w:rsidRPr="00FA270C">
              <w:rPr>
                <w:rFonts w:ascii="Calibri" w:hAnsi="Calibri" w:cs="Calibri"/>
                <w:lang w:eastAsia="en-US"/>
              </w:rPr>
              <w:t xml:space="preserve">The date, site (femoral neck or lumbar spine) and score of the qualifying BMD measurement must be documented in the patient's medical records when treatment is initiated. </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2646 Treatment as the sole PBS-subsidised anti-resorptive agent for established osteoporosis in patients with fracture due to minimal trauma. The fracture must have been demonstrated radiologically and the year of plain x-ray or CT-scan or MRI scan must be documented in the patient's medical records when treatment is initiated.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Note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Anti-resorptive agents in established osteoporosis include alendronate sodium, risedronate sodium, denosumab, disodium etidronate, raloxifene hydrochloride, strontium ranelate and zoledronic acid.</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lastRenderedPageBreak/>
              <w:t xml:space="preserve">2647 Treatment as the sole PBS-subsidised anti-resorptive agent for established post-menopausal osteoporosis in patients with fracture due to minimal trauma. The fracture must have been demonstrated radiologically and the year of plain x-ray or CT-scan or MRI scan must be documented in the patient's medical records when treatment is initiated. </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Note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Anti-resorptive agents in established osteoporosis include alendronate sodium, risedronate sodium, denosumab, disodium etidronate, raloxifene hydrochloride, strontium ranelate and zoledronic acid.</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2758 Treatment as the sole PBS-subsidised anti-resorptive agent for osteoporosis in a woman aged 70 years or older with a bone mineral density (BMD) T-score of -3.0 or less. </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The date, site (femoral neck or lumbar spine) and score of the qualifying BMD measurement must be documented in the patient's medical records when treatment is initiated. </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3070 Treatment as the sole PBS-subsidised anti-resorptive agent for corticosteroid-induced osteoporosis in a patient currently on long-term (at least 3 months), high-dose (at least 7.5 mg per day prednisolone or equivalent) corticosteroid therapy with a Bone Mineral Density (BMD) T-score of -1.5 or less. The duration and dose of corticosteroid therapy together with the date, site (femoral neck or lumbar spine) and score of the qualifying BMD measurement must be documented in the patient's medical records when treatment is initiated.</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3256 Symptomatic Paget disease of bone.</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3257 Symptomatic Paget disease of bone when calcitonin has been found to be unsatisfactory due to lack of efficacy</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3258 Symptomatic Paget disease of bone when calcitonin has been found to be unsatisfactory due to unacceptable side effects</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3341Treatment of hypercalcaemia of malignancy refractory to anti-neoplastic therapy</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3342 Multiple myeloma</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3343 Bone metastases from breast cancer</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3256 Symptomatic Paget disease of bone.</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lastRenderedPageBreak/>
              <w:t>3257 Symptomatic Paget disease of bone when calcitonin has been found to be unsatisfactory due to lack of efficacy.</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3258 Symptomatic Paget disease of bone when calcitonin has been found to be unsatisfactory due to unacceptable side effects.</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3933 Treatment as the sole PBS-subsidised anti-resorptive agent for osteoporosis in a patient aged 70 years of age or older with a Bone Mineral Density (BMD) T-score of -2.5 or less. The date, site (femoral neck or lumbar spine) and score of the qualifying BMD measurement must be documented in the patient's medical records when treatment is initiated.</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3945 Treatment as the sole PBS-subsidised anti-resorptive agent for corticosteroid-induced osteoporosis in a patient currently on long-term (at least 3 months), high-dose (at least 7.5 mg per day prednisolone or equivalent) corticosteroid therapy with a Bone Mineral Density (BMD) T-score of -1.5 or less.</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3946 Treatment as the sole PBS-subsidised anti-resorptive agent for established osteoporosis in a patient with fracture due to minimal trauma.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In all cases, the fracture must have been demonstrated radiologically and the year of plain x-ray or CT-scan or MRI scan must be documented in the patient's medical records when treatment is initiated.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Only 1 treatment each year per patient will be PBS-subsidised.</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3947 Treatment as the sole PBS-subsidised anti-resorptive agent for osteoporosis in a patient aged 70 years of age or older with a Bone Mineral Density (BMD) T-score of -3.0 or less.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The date, site (femoral neck or lumbar spine) and score of the qualifying BMD measurement must be documented in the patient's medical records when treatment is initiated.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Only 1 treatment each year per patient will be PBS-subsidised.</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3987</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Treatment as the sole PBS-subsidised anti-resorptive agent for established post-menopausal osteoporosis in a woman with fracture due to minimal trauma. The fracture must have been demonstrated radiologically and the year of plain x-ray or CT-scan or MRI scan must be documented in the patient's medical records when treatment is initiated.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 xml:space="preserve">Note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Anti-resorptive agents in established osteoporosis include alendronate sodium, risedronate sodium, denosumab, disodium etidronate, raloxifene hydrochloride, strontium ranelate and zoledronic acid.</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4052Bone metastases from castration-resistant prostate cancer.</w:t>
            </w:r>
          </w:p>
          <w:p w:rsidR="00F86C9F" w:rsidRPr="00FA270C" w:rsidRDefault="00F86C9F" w:rsidP="004F02CF">
            <w:pPr>
              <w:spacing w:after="0" w:line="240" w:lineRule="auto"/>
              <w:jc w:val="left"/>
              <w:rPr>
                <w:rFonts w:ascii="Calibri" w:hAnsi="Calibri" w:cs="Calibri"/>
                <w:lang w:eastAsia="en-US"/>
              </w:rPr>
            </w:pP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lastRenderedPageBreak/>
              <w:t xml:space="preserve">4054 Treatment as the sole PBS-subsidised anti-resorptive agent for osteoporosis in a woman aged 70 years of age or older with a Bone Mineral Density (BMD) T-score of -2.5 or less. </w:t>
            </w:r>
          </w:p>
          <w:p w:rsidR="00F86C9F" w:rsidRPr="00FA270C" w:rsidRDefault="00F86C9F" w:rsidP="004F02CF">
            <w:pPr>
              <w:spacing w:after="0" w:line="240" w:lineRule="auto"/>
              <w:jc w:val="left"/>
              <w:rPr>
                <w:rFonts w:ascii="Calibri" w:hAnsi="Calibri" w:cs="Calibri"/>
                <w:lang w:eastAsia="en-US"/>
              </w:rPr>
            </w:pPr>
            <w:r w:rsidRPr="00FA270C">
              <w:rPr>
                <w:rFonts w:ascii="Calibri" w:hAnsi="Calibri" w:cs="Calibri"/>
                <w:lang w:eastAsia="en-US"/>
              </w:rPr>
              <w:t>The date, site (femoral neck or lumbar spine) and score of the qualifying BMD measurement must be documented in the patient's medical records when treatment is initiated.</w:t>
            </w:r>
          </w:p>
        </w:tc>
      </w:tr>
    </w:tbl>
    <w:p w:rsidR="00F86C9F" w:rsidRPr="00FA270C" w:rsidRDefault="00F86C9F" w:rsidP="000C2E0A">
      <w:pPr>
        <w:spacing w:after="200" w:line="276" w:lineRule="auto"/>
        <w:jc w:val="left"/>
        <w:rPr>
          <w:rFonts w:ascii="Calibri" w:eastAsia="Times New Roman" w:hAnsi="Calibri" w:cs="Times New Roman"/>
          <w:sz w:val="22"/>
          <w:szCs w:val="22"/>
          <w:lang w:eastAsia="en-US"/>
        </w:rPr>
      </w:pPr>
      <w:r w:rsidRPr="00FA270C">
        <w:rPr>
          <w:rFonts w:ascii="Calibri" w:eastAsia="Times New Roman" w:hAnsi="Calibri" w:cs="Times New Roman"/>
          <w:sz w:val="22"/>
          <w:szCs w:val="22"/>
          <w:lang w:eastAsia="en-US"/>
        </w:rPr>
        <w:lastRenderedPageBreak/>
        <w:t>Source: Pharmaceutical Benefits Scheme (PBS) as on 01/09/2012 &lt;</w:t>
      </w:r>
      <w:hyperlink r:id="rId24" w:tooltip="This is a link to the PBS website" w:history="1">
        <w:r w:rsidRPr="00FA270C">
          <w:rPr>
            <w:rStyle w:val="Hyperlink"/>
            <w:rFonts w:ascii="Calibri" w:eastAsia="Times New Roman" w:hAnsi="Calibri"/>
            <w:sz w:val="22"/>
            <w:szCs w:val="22"/>
            <w:lang w:eastAsia="en-US"/>
          </w:rPr>
          <w:t>http://www.pbs.gov.au/browse/body-system?depth=3&amp;codes=m05b</w:t>
        </w:r>
      </w:hyperlink>
      <w:r w:rsidRPr="00FA270C">
        <w:rPr>
          <w:rFonts w:ascii="Calibri" w:eastAsia="Times New Roman" w:hAnsi="Calibri" w:cs="Times New Roman"/>
          <w:sz w:val="22"/>
          <w:szCs w:val="22"/>
          <w:lang w:eastAsia="en-US"/>
        </w:rPr>
        <w:t xml:space="preserve">&gt;. Authority required to access details of indication for each drug. </w:t>
      </w:r>
    </w:p>
    <w:p w:rsidR="00F86C9F" w:rsidRPr="00FA270C" w:rsidRDefault="00F86C9F" w:rsidP="00CA22E7"/>
    <w:p w:rsidR="00F86C9F" w:rsidRPr="00FA270C" w:rsidRDefault="00F86C9F" w:rsidP="00CA22E7">
      <w:pPr>
        <w:spacing w:after="0" w:line="240" w:lineRule="auto"/>
        <w:jc w:val="left"/>
      </w:pPr>
      <w:r w:rsidRPr="00FA270C">
        <w:br w:type="page"/>
      </w:r>
    </w:p>
    <w:p w:rsidR="00524DE4" w:rsidRDefault="00F86C9F" w:rsidP="00CA22E7">
      <w:pPr>
        <w:pStyle w:val="Heading1"/>
        <w:rPr>
          <w:lang w:val="en-AU"/>
        </w:rPr>
      </w:pPr>
      <w:bookmarkStart w:id="87" w:name="_Toc335747775"/>
      <w:bookmarkStart w:id="88" w:name="_Ref358199661"/>
      <w:bookmarkStart w:id="89" w:name="_Ref358199841"/>
      <w:bookmarkStart w:id="90" w:name="_Toc361145580"/>
      <w:bookmarkStart w:id="91" w:name="_Toc362968609"/>
      <w:r w:rsidRPr="00FA270C">
        <w:rPr>
          <w:lang w:val="en-AU"/>
        </w:rPr>
        <w:lastRenderedPageBreak/>
        <w:t>Appendix 4</w:t>
      </w:r>
      <w:bookmarkEnd w:id="87"/>
    </w:p>
    <w:p w:rsidR="00F86C9F" w:rsidRPr="00524DE4" w:rsidRDefault="00F86C9F" w:rsidP="00524DE4">
      <w:pPr>
        <w:rPr>
          <w:b/>
          <w:sz w:val="24"/>
          <w:szCs w:val="24"/>
        </w:rPr>
      </w:pPr>
      <w:r w:rsidRPr="00524DE4">
        <w:rPr>
          <w:b/>
          <w:sz w:val="24"/>
          <w:szCs w:val="24"/>
        </w:rPr>
        <w:t>PBS listed pharmaceuticals (by indication) for treatment of diseases of bone structure and mineralisation</w:t>
      </w:r>
      <w:bookmarkEnd w:id="88"/>
      <w:bookmarkEnd w:id="89"/>
      <w:bookmarkEnd w:id="90"/>
      <w:bookmarkEnd w:id="91"/>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961"/>
        <w:gridCol w:w="4536"/>
      </w:tblGrid>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Indication</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ARTG</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PBS (indicated T-score)</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Prevention and/or treatment of osteoporosis</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Alendronate sodium:120028, 76851; Risedronate sodium: 141530, 150618, 166838, 166853, 166942, 74135, 82746</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 xml:space="preserve">Treatment for established osteoporosis (T-score </w:t>
            </w:r>
            <w:r w:rsidRPr="005D2627">
              <w:rPr>
                <w:rFonts w:ascii="Calibri" w:eastAsia="Times New Roman" w:hAnsi="Calibri" w:cs="Calibri"/>
                <w:lang w:eastAsia="en-US"/>
              </w:rPr>
              <w:t>≤</w:t>
            </w:r>
            <w:r w:rsidRPr="005D2627">
              <w:rPr>
                <w:rFonts w:ascii="Calibri" w:eastAsia="Times New Roman" w:hAnsi="Calibri" w:cs="Times New Roman"/>
                <w:lang w:eastAsia="en-US"/>
              </w:rPr>
              <w:t>-2.0) (MBS item 12321)</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Alendronate sodium: 76851, 9333, 161137, 73520, 67262, 73772; Disodium etidronate: 46852</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14283" w:type="dxa"/>
            <w:gridSpan w:val="3"/>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b/>
                <w:lang w:eastAsia="en-US"/>
              </w:rPr>
              <w:t xml:space="preserve">Risk factors for osteoporosis </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Postmenopausal women, with fracture</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Alendronate sodium: 157805, 68428, 120028, 53158, 67262, 76851, 98944; Disodium etidronate: 46852; Zoledronic acid: 134664</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Raloxifene hydrochloride , Raloxifene hydrochloride (with fractures), Denosumab (with fractures), Strontium ranelate (with fractures)</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Previous fractures (including minimal trauma fractures)(MBS item 12306, 12321)</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 xml:space="preserve">Alendronate sodium: 161137, 67262, 73772, 76851, 93333, </w:t>
            </w:r>
            <w:r w:rsidRPr="005D2627">
              <w:rPr>
                <w:rFonts w:ascii="Calibri" w:eastAsia="Times New Roman" w:hAnsi="Calibri" w:cs="Calibri"/>
                <w:lang w:eastAsia="en-US"/>
              </w:rPr>
              <w:t xml:space="preserve">98944; </w:t>
            </w:r>
            <w:r w:rsidRPr="005D2627">
              <w:rPr>
                <w:rFonts w:ascii="Calibri" w:eastAsia="Times New Roman" w:hAnsi="Calibri" w:cs="Calibri"/>
                <w:iCs/>
                <w:lang w:eastAsia="en-US"/>
              </w:rPr>
              <w:t>Zoledronic acid: 134664</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 xml:space="preserve">Alendronate sodium , Alendronate sodium with Colecalciferol , Alendronate sodium with Colecalciferol and Calcium carbonate , Risedronate sodium , Risedronate sodium and Calcium carbonate , Risedronate sodium and Calcium carbonate with Colecalciferol , Disodium etidronate and Calcium carbonate , Zolendronic acid , Denosumab (for postmenopausal women), Teriparatide (≤-3.0), Strontium ranelate (for postmenopausal women), Raloxifene hydrochloride (for postmenopausal women), Calcitriol . </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70 years or over (MBS item 12323)</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Alendronate sodium (≤-2.5), Alendronate sodium with Colecalciferol (≤-2.5), Alendronate sodium with Colecalciferol and Calcium carbonate (≤-2.5), Risedronate sodium (≤-3.0), Risedronate sodium and Calcium carbonate (≤-3.0), Risedronate sodium and Calcium carbonate with Colecalciferol (≤-3.0), Zolendronic acid (≤-3.0), Denosumab (≤-2.5), Strontium ranelate (≤-3.0 for women)</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Corticosteroids use (MBS item 12312)</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 xml:space="preserve">Alendronate sodium: 68428, 80333, 53158, 67262, 76851, 9333, 98944; Disodium etidronate: 46852; Risedronate </w:t>
            </w:r>
            <w:r w:rsidRPr="005D2627">
              <w:rPr>
                <w:rFonts w:ascii="Calibri" w:eastAsia="Times New Roman" w:hAnsi="Calibri" w:cs="Times New Roman"/>
                <w:lang w:eastAsia="en-US"/>
              </w:rPr>
              <w:lastRenderedPageBreak/>
              <w:t xml:space="preserve">sodium: 117667, 138211, 141530, 150618, 166838, 166853, 166942, 74135, 82746; Zoledronic acid: 134664; </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lastRenderedPageBreak/>
              <w:t xml:space="preserve">Alendronate sodium (≤-1.5), Alendronate sodium with Colecalciferol (≤-1.5), Alendronate sodium with </w:t>
            </w:r>
            <w:r w:rsidRPr="005D2627">
              <w:rPr>
                <w:rFonts w:ascii="Calibri" w:eastAsia="Times New Roman" w:hAnsi="Calibri" w:cs="Times New Roman"/>
                <w:lang w:eastAsia="en-US"/>
              </w:rPr>
              <w:lastRenderedPageBreak/>
              <w:t>Colecalciferol and Calcium carbonate (≤-1.5), Risedronate sodium (≤-1.0 if patients on steroids for &gt; 3 months), Risedronate sodium (≤-1.5), Risedronate sodium and Calcium carbonate (NR), Risedronate sodium and Calcium carbonate with Colecalciferol (≤-1.5), Zolendronic acid (≤-1.5)</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lastRenderedPageBreak/>
              <w:t>Male Hypogonadism (MBS item 12312)</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Famale Hypogonadismlasting &gt;6 months before age of 45 (MBS item 12312)</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Primary Hyperparathyroidism (MBS item 12315)</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Chronic renal disease (MBS item 12315)</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Chronic liver disease (MBS item 12315)</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Rheumatoid arthritis (MBS item 12315)</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Conditions associated with thyroxine excess (MBS item 12315)</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Proven malabsorptive disorders (MBS item 12315)</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Breast cancer patients receiving aromatase inhibitor treatment</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HIV</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Paget’s disease *</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Risedronate sodium: 74136</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Alendronate sodium, Risedronate sodium, Disodium etidronate, Disodium pamidronate, Zolendronic acid, Tiludronate disodium</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Heterotopic ossification*</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Disodium etidronate</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hypercalcaemia of malignancy*</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 xml:space="preserve">Sodium clodronate tetrahydrate: 181921, 181922, 66703, 66704, </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Disodium pamidronate, Sodium clodronate tetrahydrate, Zolendronic acid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Multiple myeloma*</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Disodium pamidronate, Sodium clodronate tetrahydrate, Zolendronic acid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Bone metastases from breast cancer*</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Ibandronic acid, Disodium pamidronate, Sodium clodronate tetrahydrate, Zolendronic acid</w:t>
            </w:r>
          </w:p>
        </w:tc>
      </w:tr>
      <w:tr w:rsidR="00F86C9F" w:rsidRPr="00FA270C" w:rsidTr="005D2627">
        <w:tc>
          <w:tcPr>
            <w:tcW w:w="478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Bone metastases from prostate cancer*</w:t>
            </w:r>
          </w:p>
        </w:tc>
        <w:tc>
          <w:tcPr>
            <w:tcW w:w="4961"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 drug specifically indicated</w:t>
            </w:r>
          </w:p>
        </w:tc>
        <w:tc>
          <w:tcPr>
            <w:tcW w:w="4536" w:type="dxa"/>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Zolendronic acid</w:t>
            </w:r>
          </w:p>
        </w:tc>
      </w:tr>
      <w:tr w:rsidR="00F86C9F" w:rsidRPr="00FA270C" w:rsidTr="005D2627">
        <w:tc>
          <w:tcPr>
            <w:tcW w:w="14283" w:type="dxa"/>
            <w:gridSpan w:val="3"/>
          </w:tcPr>
          <w:p w:rsidR="00F86C9F" w:rsidRPr="005D2627" w:rsidRDefault="00F86C9F" w:rsidP="005D2627">
            <w:pPr>
              <w:spacing w:after="0" w:line="240" w:lineRule="auto"/>
              <w:jc w:val="left"/>
              <w:rPr>
                <w:rFonts w:ascii="Calibri" w:eastAsia="Times New Roman" w:hAnsi="Calibri" w:cs="Times New Roman"/>
                <w:lang w:eastAsia="en-US"/>
              </w:rPr>
            </w:pPr>
            <w:r w:rsidRPr="005D2627">
              <w:rPr>
                <w:rFonts w:ascii="Calibri" w:eastAsia="Times New Roman" w:hAnsi="Calibri" w:cs="Times New Roman"/>
                <w:lang w:eastAsia="en-US"/>
              </w:rPr>
              <w:t>*not considered as a risk factor for osteoporosis; NR: Not reported.</w:t>
            </w:r>
          </w:p>
        </w:tc>
      </w:tr>
    </w:tbl>
    <w:p w:rsidR="00F86C9F" w:rsidRPr="00FA270C" w:rsidRDefault="00F86C9F" w:rsidP="000C2E0A">
      <w:pPr>
        <w:spacing w:after="200" w:line="276" w:lineRule="auto"/>
        <w:jc w:val="left"/>
        <w:rPr>
          <w:rFonts w:ascii="Calibri" w:eastAsia="Times New Roman" w:hAnsi="Calibri" w:cs="Times New Roman"/>
          <w:sz w:val="22"/>
          <w:szCs w:val="22"/>
          <w:lang w:eastAsia="en-US"/>
        </w:rPr>
        <w:sectPr w:rsidR="00F86C9F" w:rsidRPr="00FA270C" w:rsidSect="000C2E0A">
          <w:pgSz w:w="16838" w:h="11906" w:orient="landscape"/>
          <w:pgMar w:top="1440" w:right="1440" w:bottom="1440" w:left="1440" w:header="708" w:footer="708" w:gutter="0"/>
          <w:cols w:space="708"/>
          <w:titlePg/>
          <w:docGrid w:linePitch="360"/>
        </w:sectPr>
      </w:pPr>
      <w:r w:rsidRPr="00FA270C">
        <w:rPr>
          <w:rFonts w:ascii="Calibri" w:eastAsia="Times New Roman" w:hAnsi="Calibri" w:cs="Times New Roman"/>
          <w:sz w:val="22"/>
          <w:szCs w:val="22"/>
          <w:lang w:eastAsia="en-US"/>
        </w:rPr>
        <w:t>Source: Pharmaceutical Benefits Scheme (PBS) as on 01/09/2012 &lt;</w:t>
      </w:r>
      <w:hyperlink r:id="rId25" w:tooltip="This is a link to the PBS website" w:history="1">
        <w:r w:rsidRPr="00FA270C">
          <w:rPr>
            <w:rStyle w:val="Hyperlink"/>
            <w:rFonts w:ascii="Calibri" w:eastAsia="Times New Roman" w:hAnsi="Calibri"/>
            <w:sz w:val="22"/>
            <w:szCs w:val="22"/>
            <w:lang w:eastAsia="en-US"/>
          </w:rPr>
          <w:t>http://www.pbs.gov.au/browse/body-system?depth=3&amp;codes=m05b</w:t>
        </w:r>
      </w:hyperlink>
      <w:r w:rsidRPr="00FA270C">
        <w:rPr>
          <w:rFonts w:ascii="Calibri" w:eastAsia="Times New Roman" w:hAnsi="Calibri" w:cs="Times New Roman"/>
          <w:sz w:val="22"/>
          <w:szCs w:val="22"/>
          <w:lang w:eastAsia="en-US"/>
        </w:rPr>
        <w:t xml:space="preserve">&gt;. Authority required to access details of indication for each drug (including indicated T-score) </w:t>
      </w:r>
    </w:p>
    <w:p w:rsidR="00F86C9F" w:rsidRPr="00FA270C" w:rsidRDefault="00F86C9F" w:rsidP="00664A84">
      <w:pPr>
        <w:pStyle w:val="Heading1"/>
        <w:rPr>
          <w:lang w:val="en-AU"/>
        </w:rPr>
      </w:pPr>
      <w:bookmarkStart w:id="92" w:name="_Ref358199752"/>
      <w:bookmarkStart w:id="93" w:name="_Toc361145581"/>
      <w:bookmarkStart w:id="94" w:name="_Toc362968610"/>
      <w:r w:rsidRPr="00FA270C">
        <w:rPr>
          <w:lang w:val="en-AU"/>
        </w:rPr>
        <w:lastRenderedPageBreak/>
        <w:t xml:space="preserve">Appendix 5 </w:t>
      </w:r>
      <w:r w:rsidRPr="00FA270C">
        <w:rPr>
          <w:lang w:val="en-AU"/>
        </w:rPr>
        <w:tab/>
        <w:t>Medicare Benefits Schedule - Note D1.27</w:t>
      </w:r>
      <w:bookmarkEnd w:id="92"/>
      <w:bookmarkEnd w:id="93"/>
      <w:bookmarkEnd w:id="94"/>
    </w:p>
    <w:p w:rsidR="00F86C9F" w:rsidRPr="00FA270C" w:rsidRDefault="00F86C9F" w:rsidP="00CA22E7">
      <w:pPr>
        <w:rPr>
          <w:rFonts w:ascii="Arial Narrow" w:hAnsi="Arial Narrow"/>
        </w:rPr>
      </w:pPr>
      <w:r w:rsidRPr="00FA270C">
        <w:rPr>
          <w:rFonts w:ascii="Arial Narrow" w:hAnsi="Arial Narrow"/>
        </w:rPr>
        <w:t xml:space="preserve">Category 2 - DIAGNOSTIC PROCEDURES AND INVESTIGATIONS D1.27  Bone Densitometry - (Items 12306 to 12323)  </w:t>
      </w:r>
    </w:p>
    <w:p w:rsidR="00F86C9F" w:rsidRPr="00FA270C" w:rsidRDefault="00F86C9F" w:rsidP="00CA22E7">
      <w:pPr>
        <w:rPr>
          <w:rFonts w:ascii="Arial Narrow" w:hAnsi="Arial Narrow"/>
        </w:rPr>
      </w:pPr>
      <w:r w:rsidRPr="00FA270C">
        <w:rPr>
          <w:rFonts w:ascii="Arial Narrow" w:hAnsi="Arial Narrow"/>
        </w:rPr>
        <w:t>Item 12321 is intended to allow for bone mineral density measurement following a si</w:t>
      </w:r>
      <w:r w:rsidR="0025521C">
        <w:rPr>
          <w:rFonts w:ascii="Arial Narrow" w:hAnsi="Arial Narrow"/>
        </w:rPr>
        <w:t>gnificant change in therapy - eg</w:t>
      </w:r>
      <w:r w:rsidRPr="00FA270C">
        <w:rPr>
          <w:rFonts w:ascii="Arial Narrow" w:hAnsi="Arial Narrow"/>
        </w:rPr>
        <w:t xml:space="preserve"> a change in the class of drugs - rather than for a change in the dosage regimen.</w:t>
      </w:r>
    </w:p>
    <w:p w:rsidR="00F86C9F" w:rsidRPr="00FA270C" w:rsidRDefault="00F86C9F" w:rsidP="00CA22E7">
      <w:pPr>
        <w:rPr>
          <w:rFonts w:ascii="Arial Narrow" w:hAnsi="Arial Narrow"/>
        </w:rPr>
      </w:pPr>
      <w:r w:rsidRPr="00FA270C">
        <w:rPr>
          <w:rFonts w:ascii="Arial Narrow" w:hAnsi="Arial Narrow"/>
        </w:rPr>
        <w:t xml:space="preserve">Item 12323 enables the payment of a Medicare benefit for a bone densitometry service performed on a </w:t>
      </w:r>
      <w:r w:rsidR="00915900">
        <w:rPr>
          <w:rFonts w:ascii="Arial Narrow" w:hAnsi="Arial Narrow"/>
        </w:rPr>
        <w:t xml:space="preserve">patient aged 70 years or over. </w:t>
      </w:r>
      <w:r w:rsidRPr="00FA270C">
        <w:rPr>
          <w:rFonts w:ascii="Arial Narrow" w:hAnsi="Arial Narrow"/>
        </w:rPr>
        <w:t xml:space="preserve">The Government has decided to expand access to Medicare subsidised bone mineral density testing to coincide with the expanded eligibility for the osteoporosis medication 'alendronate' under the Pharmaceutical Benefits Scheme.  </w:t>
      </w:r>
    </w:p>
    <w:p w:rsidR="00F86C9F" w:rsidRPr="00FA270C" w:rsidRDefault="00F86C9F" w:rsidP="00CA22E7">
      <w:pPr>
        <w:rPr>
          <w:rFonts w:ascii="Arial Narrow" w:hAnsi="Arial Narrow"/>
        </w:rPr>
      </w:pPr>
      <w:r w:rsidRPr="00FA270C">
        <w:rPr>
          <w:rFonts w:ascii="Arial Narrow" w:hAnsi="Arial Narrow"/>
        </w:rPr>
        <w:t>An examination under any of these items covers the measurement of 2 or more sites, interpretat</w:t>
      </w:r>
      <w:r w:rsidR="00915900">
        <w:rPr>
          <w:rFonts w:ascii="Arial Narrow" w:hAnsi="Arial Narrow"/>
        </w:rPr>
        <w:t xml:space="preserve">ion and provision of a report. </w:t>
      </w:r>
      <w:r w:rsidRPr="00FA270C">
        <w:rPr>
          <w:rFonts w:ascii="Arial Narrow" w:hAnsi="Arial Narrow"/>
        </w:rPr>
        <w:t>Two or more sites must include the measurement of bone density of the lu</w:t>
      </w:r>
      <w:r w:rsidR="00915900">
        <w:rPr>
          <w:rFonts w:ascii="Arial Narrow" w:hAnsi="Arial Narrow"/>
        </w:rPr>
        <w:t xml:space="preserve">mbar spine and proximal femur. </w:t>
      </w:r>
      <w:r w:rsidRPr="00FA270C">
        <w:rPr>
          <w:rFonts w:ascii="Arial Narrow" w:hAnsi="Arial Narrow"/>
        </w:rPr>
        <w:t>If technical difficulties preclude measurement at these sites, other sites can be used fo</w:t>
      </w:r>
      <w:r w:rsidR="00915900">
        <w:rPr>
          <w:rFonts w:ascii="Arial Narrow" w:hAnsi="Arial Narrow"/>
        </w:rPr>
        <w:t xml:space="preserve">r the purpose of measurements. </w:t>
      </w:r>
      <w:r w:rsidRPr="00FA270C">
        <w:rPr>
          <w:rFonts w:ascii="Arial Narrow" w:hAnsi="Arial Narrow"/>
        </w:rPr>
        <w:t>The measurement of bone mineral density at either forearms or both heels or in combination is excluded for the purpose of Medicare benefit.</w:t>
      </w:r>
    </w:p>
    <w:p w:rsidR="00F86C9F" w:rsidRPr="00FA270C" w:rsidRDefault="00F86C9F" w:rsidP="00CA22E7">
      <w:pPr>
        <w:rPr>
          <w:rFonts w:ascii="Arial Narrow" w:hAnsi="Arial Narrow"/>
        </w:rPr>
      </w:pPr>
      <w:r w:rsidRPr="00FA270C">
        <w:rPr>
          <w:rFonts w:ascii="Arial Narrow" w:hAnsi="Arial Narrow"/>
        </w:rPr>
        <w:t>Referrals</w:t>
      </w:r>
    </w:p>
    <w:p w:rsidR="00F86C9F" w:rsidRPr="00FA270C" w:rsidRDefault="00F86C9F" w:rsidP="00CA22E7">
      <w:pPr>
        <w:rPr>
          <w:rFonts w:ascii="Arial Narrow" w:hAnsi="Arial Narrow"/>
        </w:rPr>
      </w:pPr>
      <w:r w:rsidRPr="00FA270C">
        <w:rPr>
          <w:rFonts w:ascii="Arial Narrow" w:hAnsi="Arial Narrow"/>
        </w:rPr>
        <w:t>Bone densitometry services are available on the basis of referral by a medical practitioner to a speci</w:t>
      </w:r>
      <w:r w:rsidR="00915900">
        <w:rPr>
          <w:rFonts w:ascii="Arial Narrow" w:hAnsi="Arial Narrow"/>
        </w:rPr>
        <w:t xml:space="preserve">alist or consultant physician. </w:t>
      </w:r>
      <w:r w:rsidRPr="00FA270C">
        <w:rPr>
          <w:rFonts w:ascii="Arial Narrow" w:hAnsi="Arial Narrow"/>
        </w:rPr>
        <w:t>However, providers of bone densitometry to whom a patient is referred for management may determine that a bone densitometry service is required in line with the provisions of Items 12306, 12309, 12312, 12315, 12318, 12321 and 12323.</w:t>
      </w:r>
    </w:p>
    <w:p w:rsidR="00F86C9F" w:rsidRPr="00FA270C" w:rsidRDefault="00F86C9F" w:rsidP="00CA22E7">
      <w:pPr>
        <w:rPr>
          <w:rFonts w:ascii="Arial Narrow" w:hAnsi="Arial Narrow"/>
        </w:rPr>
      </w:pPr>
      <w:r w:rsidRPr="00FA270C">
        <w:rPr>
          <w:rFonts w:ascii="Arial Narrow" w:hAnsi="Arial Narrow"/>
        </w:rPr>
        <w:t>For Items 12306 and 12309 the referral should specify the indication for the test, namely:</w:t>
      </w:r>
    </w:p>
    <w:p w:rsidR="00F86C9F" w:rsidRPr="00FA270C" w:rsidRDefault="00F86C9F" w:rsidP="00CA22E7">
      <w:pPr>
        <w:rPr>
          <w:rFonts w:ascii="Arial Narrow" w:hAnsi="Arial Narrow"/>
        </w:rPr>
      </w:pPr>
      <w:r w:rsidRPr="00FA270C">
        <w:rPr>
          <w:rFonts w:ascii="Arial Narrow" w:hAnsi="Arial Narrow"/>
        </w:rPr>
        <w:t xml:space="preserve"> (a) 1 or more fractures occurring after minimal trauma; or</w:t>
      </w:r>
    </w:p>
    <w:p w:rsidR="00F86C9F" w:rsidRPr="00FA270C" w:rsidRDefault="00F86C9F" w:rsidP="00CA22E7">
      <w:pPr>
        <w:rPr>
          <w:rFonts w:ascii="Arial Narrow" w:hAnsi="Arial Narrow"/>
        </w:rPr>
      </w:pPr>
      <w:r w:rsidRPr="00FA270C">
        <w:rPr>
          <w:rFonts w:ascii="Arial Narrow" w:hAnsi="Arial Narrow"/>
        </w:rPr>
        <w:t xml:space="preserve"> (b) monitoring of low bone mineral density proven by previous bone densitometry.</w:t>
      </w:r>
    </w:p>
    <w:p w:rsidR="00F86C9F" w:rsidRPr="00FA270C" w:rsidRDefault="00F86C9F" w:rsidP="00CA22E7">
      <w:pPr>
        <w:rPr>
          <w:rFonts w:ascii="Arial Narrow" w:hAnsi="Arial Narrow"/>
        </w:rPr>
      </w:pPr>
      <w:r w:rsidRPr="00FA270C">
        <w:rPr>
          <w:rFonts w:ascii="Arial Narrow" w:hAnsi="Arial Narrow"/>
        </w:rPr>
        <w:t>For Item 12312 the referral should specify the indication for the test, namely:</w:t>
      </w:r>
    </w:p>
    <w:p w:rsidR="00F86C9F" w:rsidRPr="00FA270C" w:rsidRDefault="00F86C9F" w:rsidP="00CA22E7">
      <w:pPr>
        <w:rPr>
          <w:rFonts w:ascii="Arial Narrow" w:hAnsi="Arial Narrow"/>
        </w:rPr>
      </w:pPr>
      <w:r w:rsidRPr="00FA270C">
        <w:rPr>
          <w:rFonts w:ascii="Arial Narrow" w:hAnsi="Arial Narrow"/>
        </w:rPr>
        <w:t xml:space="preserve"> (a) prolonged glucocorticoid therapy;</w:t>
      </w:r>
    </w:p>
    <w:p w:rsidR="00F86C9F" w:rsidRPr="00FA270C" w:rsidRDefault="00F86C9F" w:rsidP="00CA22E7">
      <w:pPr>
        <w:rPr>
          <w:rFonts w:ascii="Arial Narrow" w:hAnsi="Arial Narrow"/>
        </w:rPr>
      </w:pPr>
      <w:r w:rsidRPr="00FA270C">
        <w:rPr>
          <w:rFonts w:ascii="Arial Narrow" w:hAnsi="Arial Narrow"/>
        </w:rPr>
        <w:t xml:space="preserve"> (b) conditions associated with excess glucocorticoid secretion;</w:t>
      </w:r>
    </w:p>
    <w:p w:rsidR="00F86C9F" w:rsidRPr="00FA270C" w:rsidRDefault="00F86C9F" w:rsidP="00CA22E7">
      <w:pPr>
        <w:rPr>
          <w:rFonts w:ascii="Arial Narrow" w:hAnsi="Arial Narrow"/>
        </w:rPr>
      </w:pPr>
      <w:r w:rsidRPr="00FA270C">
        <w:rPr>
          <w:rFonts w:ascii="Arial Narrow" w:hAnsi="Arial Narrow"/>
        </w:rPr>
        <w:t xml:space="preserve"> (c) male hypogonadism; or</w:t>
      </w:r>
    </w:p>
    <w:p w:rsidR="00F86C9F" w:rsidRPr="00FA270C" w:rsidRDefault="00F86C9F" w:rsidP="00CA22E7">
      <w:pPr>
        <w:rPr>
          <w:rFonts w:ascii="Arial Narrow" w:hAnsi="Arial Narrow"/>
        </w:rPr>
      </w:pPr>
      <w:r w:rsidRPr="00FA270C">
        <w:rPr>
          <w:rFonts w:ascii="Arial Narrow" w:hAnsi="Arial Narrow"/>
        </w:rPr>
        <w:t xml:space="preserve"> (d) female hypogonadism lasting more than 6 months before the age of 45.</w:t>
      </w:r>
    </w:p>
    <w:p w:rsidR="00F86C9F" w:rsidRPr="00FA270C" w:rsidRDefault="00F86C9F" w:rsidP="00CA22E7">
      <w:pPr>
        <w:rPr>
          <w:rFonts w:ascii="Arial Narrow" w:hAnsi="Arial Narrow"/>
        </w:rPr>
      </w:pPr>
      <w:r w:rsidRPr="00FA270C">
        <w:rPr>
          <w:rFonts w:ascii="Arial Narrow" w:hAnsi="Arial Narrow"/>
        </w:rPr>
        <w:t>For Item 12315 the referral should specify the indication for the test, namely:</w:t>
      </w:r>
    </w:p>
    <w:p w:rsidR="00F86C9F" w:rsidRPr="00FA270C" w:rsidRDefault="00F86C9F" w:rsidP="00CA22E7">
      <w:pPr>
        <w:rPr>
          <w:rFonts w:ascii="Arial Narrow" w:hAnsi="Arial Narrow"/>
        </w:rPr>
      </w:pPr>
      <w:r w:rsidRPr="00FA270C">
        <w:rPr>
          <w:rFonts w:ascii="Arial Narrow" w:hAnsi="Arial Narrow"/>
        </w:rPr>
        <w:t xml:space="preserve"> (a) primary hyperparathyroidism;</w:t>
      </w:r>
    </w:p>
    <w:p w:rsidR="00F86C9F" w:rsidRPr="00FA270C" w:rsidRDefault="00F86C9F" w:rsidP="00CA22E7">
      <w:pPr>
        <w:rPr>
          <w:rFonts w:ascii="Arial Narrow" w:hAnsi="Arial Narrow"/>
        </w:rPr>
      </w:pPr>
      <w:r w:rsidRPr="00FA270C">
        <w:rPr>
          <w:rFonts w:ascii="Arial Narrow" w:hAnsi="Arial Narrow"/>
        </w:rPr>
        <w:t xml:space="preserve"> (b) chronic liver disease;</w:t>
      </w:r>
    </w:p>
    <w:p w:rsidR="00F86C9F" w:rsidRPr="00FA270C" w:rsidRDefault="00F86C9F" w:rsidP="00CA22E7">
      <w:pPr>
        <w:rPr>
          <w:rFonts w:ascii="Arial Narrow" w:hAnsi="Arial Narrow"/>
        </w:rPr>
      </w:pPr>
      <w:r w:rsidRPr="00FA270C">
        <w:rPr>
          <w:rFonts w:ascii="Arial Narrow" w:hAnsi="Arial Narrow"/>
        </w:rPr>
        <w:t xml:space="preserve"> (c) chronic renal disease;</w:t>
      </w:r>
    </w:p>
    <w:p w:rsidR="00F86C9F" w:rsidRPr="00FA270C" w:rsidRDefault="00F86C9F" w:rsidP="00CA22E7">
      <w:pPr>
        <w:rPr>
          <w:rFonts w:ascii="Arial Narrow" w:hAnsi="Arial Narrow"/>
        </w:rPr>
      </w:pPr>
      <w:r w:rsidRPr="00FA270C">
        <w:rPr>
          <w:rFonts w:ascii="Arial Narrow" w:hAnsi="Arial Narrow"/>
        </w:rPr>
        <w:lastRenderedPageBreak/>
        <w:t xml:space="preserve"> (d) proven malabsorptive disorders;</w:t>
      </w:r>
    </w:p>
    <w:p w:rsidR="00F86C9F" w:rsidRPr="00FA270C" w:rsidRDefault="00F86C9F" w:rsidP="00CA22E7">
      <w:pPr>
        <w:rPr>
          <w:rFonts w:ascii="Arial Narrow" w:hAnsi="Arial Narrow"/>
        </w:rPr>
      </w:pPr>
      <w:r w:rsidRPr="00FA270C">
        <w:rPr>
          <w:rFonts w:ascii="Arial Narrow" w:hAnsi="Arial Narrow"/>
        </w:rPr>
        <w:t xml:space="preserve"> (e) rheumatoid arthritis; or</w:t>
      </w:r>
    </w:p>
    <w:p w:rsidR="00F86C9F" w:rsidRPr="00FA270C" w:rsidRDefault="00F86C9F" w:rsidP="00CA22E7">
      <w:pPr>
        <w:rPr>
          <w:rFonts w:ascii="Arial Narrow" w:hAnsi="Arial Narrow"/>
        </w:rPr>
      </w:pPr>
      <w:r w:rsidRPr="00FA270C">
        <w:rPr>
          <w:rFonts w:ascii="Arial Narrow" w:hAnsi="Arial Narrow"/>
        </w:rPr>
        <w:t xml:space="preserve"> (f) conditions associated with thyroxine excess.</w:t>
      </w:r>
    </w:p>
    <w:p w:rsidR="00F86C9F" w:rsidRPr="00FA270C" w:rsidRDefault="00F86C9F" w:rsidP="00CA22E7">
      <w:pPr>
        <w:rPr>
          <w:rFonts w:ascii="Arial Narrow" w:hAnsi="Arial Narrow"/>
        </w:rPr>
      </w:pPr>
      <w:r w:rsidRPr="00FA270C">
        <w:rPr>
          <w:rFonts w:ascii="Arial Narrow" w:hAnsi="Arial Narrow"/>
        </w:rPr>
        <w:t>For Item 12318 the referral should specify the indication for the test, namely:</w:t>
      </w:r>
    </w:p>
    <w:p w:rsidR="00F86C9F" w:rsidRPr="00FA270C" w:rsidRDefault="00F86C9F" w:rsidP="00CA22E7">
      <w:pPr>
        <w:rPr>
          <w:rFonts w:ascii="Arial Narrow" w:hAnsi="Arial Narrow"/>
        </w:rPr>
      </w:pPr>
      <w:r w:rsidRPr="00FA270C">
        <w:rPr>
          <w:rFonts w:ascii="Arial Narrow" w:hAnsi="Arial Narrow"/>
        </w:rPr>
        <w:t xml:space="preserve"> (a) prolonged glucocorticoid therapy;</w:t>
      </w:r>
    </w:p>
    <w:p w:rsidR="00F86C9F" w:rsidRPr="00FA270C" w:rsidRDefault="00F86C9F" w:rsidP="00CA22E7">
      <w:pPr>
        <w:rPr>
          <w:rFonts w:ascii="Arial Narrow" w:hAnsi="Arial Narrow"/>
        </w:rPr>
      </w:pPr>
      <w:r w:rsidRPr="00FA270C">
        <w:rPr>
          <w:rFonts w:ascii="Arial Narrow" w:hAnsi="Arial Narrow"/>
        </w:rPr>
        <w:t xml:space="preserve"> (b) conditions associated with excess glucocorticoid secretion;</w:t>
      </w:r>
    </w:p>
    <w:p w:rsidR="00F86C9F" w:rsidRPr="00FA270C" w:rsidRDefault="00F86C9F" w:rsidP="00CA22E7">
      <w:pPr>
        <w:rPr>
          <w:rFonts w:ascii="Arial Narrow" w:hAnsi="Arial Narrow"/>
        </w:rPr>
      </w:pPr>
      <w:r w:rsidRPr="00FA270C">
        <w:rPr>
          <w:rFonts w:ascii="Arial Narrow" w:hAnsi="Arial Narrow"/>
        </w:rPr>
        <w:t xml:space="preserve"> (c) male hypogonadism;</w:t>
      </w:r>
    </w:p>
    <w:p w:rsidR="00F86C9F" w:rsidRPr="00FA270C" w:rsidRDefault="00F86C9F" w:rsidP="00CA22E7">
      <w:pPr>
        <w:rPr>
          <w:rFonts w:ascii="Arial Narrow" w:hAnsi="Arial Narrow"/>
        </w:rPr>
      </w:pPr>
      <w:r w:rsidRPr="00FA270C">
        <w:rPr>
          <w:rFonts w:ascii="Arial Narrow" w:hAnsi="Arial Narrow"/>
        </w:rPr>
        <w:t xml:space="preserve"> (d) female hypogonadism lasting more than 6 months before the age of 45;</w:t>
      </w:r>
    </w:p>
    <w:p w:rsidR="00F86C9F" w:rsidRPr="00FA270C" w:rsidRDefault="00F86C9F" w:rsidP="00CA22E7">
      <w:pPr>
        <w:rPr>
          <w:rFonts w:ascii="Arial Narrow" w:hAnsi="Arial Narrow"/>
        </w:rPr>
      </w:pPr>
      <w:r w:rsidRPr="00FA270C">
        <w:rPr>
          <w:rFonts w:ascii="Arial Narrow" w:hAnsi="Arial Narrow"/>
        </w:rPr>
        <w:t xml:space="preserve"> (e) primary hyperparathyroidism;</w:t>
      </w:r>
    </w:p>
    <w:p w:rsidR="00F86C9F" w:rsidRPr="00FA270C" w:rsidRDefault="00F86C9F" w:rsidP="00CA22E7">
      <w:pPr>
        <w:rPr>
          <w:rFonts w:ascii="Arial Narrow" w:hAnsi="Arial Narrow"/>
        </w:rPr>
      </w:pPr>
      <w:r w:rsidRPr="00FA270C">
        <w:rPr>
          <w:rFonts w:ascii="Arial Narrow" w:hAnsi="Arial Narrow"/>
        </w:rPr>
        <w:t xml:space="preserve"> (f) chronic liver disease;</w:t>
      </w:r>
    </w:p>
    <w:p w:rsidR="00F86C9F" w:rsidRPr="00FA270C" w:rsidRDefault="00F86C9F" w:rsidP="00CA22E7">
      <w:pPr>
        <w:rPr>
          <w:rFonts w:ascii="Arial Narrow" w:hAnsi="Arial Narrow"/>
        </w:rPr>
      </w:pPr>
      <w:r w:rsidRPr="00FA270C">
        <w:rPr>
          <w:rFonts w:ascii="Arial Narrow" w:hAnsi="Arial Narrow"/>
        </w:rPr>
        <w:t xml:space="preserve"> (g) chronic renal disease;</w:t>
      </w:r>
    </w:p>
    <w:p w:rsidR="00F86C9F" w:rsidRPr="00FA270C" w:rsidRDefault="00F86C9F" w:rsidP="00CA22E7">
      <w:pPr>
        <w:rPr>
          <w:rFonts w:ascii="Arial Narrow" w:hAnsi="Arial Narrow"/>
        </w:rPr>
      </w:pPr>
      <w:r w:rsidRPr="00FA270C">
        <w:rPr>
          <w:rFonts w:ascii="Arial Narrow" w:hAnsi="Arial Narrow"/>
        </w:rPr>
        <w:t xml:space="preserve"> (h) proven malabsorptive disorders;</w:t>
      </w:r>
    </w:p>
    <w:p w:rsidR="00F86C9F" w:rsidRPr="00FA270C" w:rsidRDefault="00F86C9F" w:rsidP="00CA22E7">
      <w:pPr>
        <w:rPr>
          <w:rFonts w:ascii="Arial Narrow" w:hAnsi="Arial Narrow"/>
        </w:rPr>
      </w:pPr>
      <w:r w:rsidRPr="00FA270C">
        <w:rPr>
          <w:rFonts w:ascii="Arial Narrow" w:hAnsi="Arial Narrow"/>
        </w:rPr>
        <w:t xml:space="preserve"> (i) rheumatoid arthritis; or</w:t>
      </w:r>
    </w:p>
    <w:p w:rsidR="00F86C9F" w:rsidRPr="00FA270C" w:rsidRDefault="00F86C9F" w:rsidP="00CA22E7">
      <w:pPr>
        <w:rPr>
          <w:rFonts w:ascii="Arial Narrow" w:hAnsi="Arial Narrow"/>
        </w:rPr>
      </w:pPr>
      <w:r w:rsidRPr="00FA270C">
        <w:rPr>
          <w:rFonts w:ascii="Arial Narrow" w:hAnsi="Arial Narrow"/>
        </w:rPr>
        <w:t xml:space="preserve"> (j) conditions associated with thyroxine excess.</w:t>
      </w:r>
    </w:p>
    <w:p w:rsidR="00F86C9F" w:rsidRPr="00FA270C" w:rsidRDefault="00F86C9F" w:rsidP="00CA22E7">
      <w:pPr>
        <w:rPr>
          <w:rFonts w:ascii="Arial Narrow" w:hAnsi="Arial Narrow"/>
        </w:rPr>
      </w:pPr>
      <w:r w:rsidRPr="00FA270C">
        <w:rPr>
          <w:rFonts w:ascii="Arial Narrow" w:hAnsi="Arial Narrow"/>
        </w:rPr>
        <w:t>Definitions</w:t>
      </w:r>
    </w:p>
    <w:p w:rsidR="00F86C9F" w:rsidRPr="00FA270C" w:rsidRDefault="00F86C9F" w:rsidP="00CA22E7">
      <w:pPr>
        <w:rPr>
          <w:rFonts w:ascii="Arial Narrow" w:hAnsi="Arial Narrow"/>
        </w:rPr>
      </w:pPr>
      <w:r w:rsidRPr="00FA270C">
        <w:rPr>
          <w:rFonts w:ascii="Arial Narrow" w:hAnsi="Arial Narrow"/>
        </w:rPr>
        <w:t>Low bone mineral density is present when the bone (organ) mineral density falls more than 1.5 standard deviations below the age matched mean or more than 2.5 standard deviations below the young normal mean at the same site and in the same gender.</w:t>
      </w:r>
    </w:p>
    <w:p w:rsidR="00F86C9F" w:rsidRPr="00FA270C" w:rsidRDefault="00F86C9F" w:rsidP="00CA22E7">
      <w:pPr>
        <w:rPr>
          <w:rFonts w:ascii="Arial Narrow" w:hAnsi="Arial Narrow"/>
        </w:rPr>
      </w:pPr>
      <w:r w:rsidRPr="00FA270C">
        <w:rPr>
          <w:rFonts w:ascii="Arial Narrow" w:hAnsi="Arial Narrow"/>
        </w:rPr>
        <w:t>For Items 12312 and 12318</w:t>
      </w:r>
    </w:p>
    <w:p w:rsidR="00F86C9F" w:rsidRPr="00FA270C" w:rsidRDefault="00F86C9F" w:rsidP="00CA22E7">
      <w:pPr>
        <w:rPr>
          <w:rFonts w:ascii="Arial Narrow" w:hAnsi="Arial Narrow"/>
        </w:rPr>
      </w:pPr>
      <w:r w:rsidRPr="00FA270C">
        <w:rPr>
          <w:rFonts w:ascii="Arial Narrow" w:hAnsi="Arial Narrow"/>
        </w:rPr>
        <w:t xml:space="preserve"> (a) 'Prolonged glucocorticoid therapy' is defined as the commencement of a dosage of inhaled glucocorticoid equivalent to or greater than 800 micrograms beclomethasone dipropionate or budesonide per day; or</w:t>
      </w:r>
    </w:p>
    <w:p w:rsidR="00F86C9F" w:rsidRPr="00FA270C" w:rsidRDefault="00F86C9F" w:rsidP="00CA22E7">
      <w:pPr>
        <w:rPr>
          <w:rFonts w:ascii="Arial Narrow" w:hAnsi="Arial Narrow"/>
        </w:rPr>
      </w:pPr>
      <w:r w:rsidRPr="00FA270C">
        <w:rPr>
          <w:rFonts w:ascii="Arial Narrow" w:hAnsi="Arial Narrow"/>
        </w:rPr>
        <w:t xml:space="preserve"> (b) a supraphysiological glucocorticoid dosage equivalent to or greater than 7.5 mg prednisolone in an adult taken orally per day;</w:t>
      </w:r>
    </w:p>
    <w:p w:rsidR="00F86C9F" w:rsidRPr="00FA270C" w:rsidRDefault="00F86C9F" w:rsidP="00CA22E7">
      <w:pPr>
        <w:rPr>
          <w:rFonts w:ascii="Arial Narrow" w:hAnsi="Arial Narrow"/>
        </w:rPr>
      </w:pPr>
      <w:r w:rsidRPr="00FA270C">
        <w:rPr>
          <w:rFonts w:ascii="Arial Narrow" w:hAnsi="Arial Narrow"/>
        </w:rPr>
        <w:t>for a period anticipated to last for at least 4 months.</w:t>
      </w:r>
    </w:p>
    <w:p w:rsidR="00F86C9F" w:rsidRPr="00FA270C" w:rsidRDefault="00F86C9F" w:rsidP="00CA22E7">
      <w:pPr>
        <w:rPr>
          <w:rFonts w:ascii="Arial Narrow" w:hAnsi="Arial Narrow"/>
        </w:rPr>
      </w:pPr>
      <w:r w:rsidRPr="00FA270C">
        <w:rPr>
          <w:rFonts w:ascii="Arial Narrow" w:hAnsi="Arial Narrow"/>
        </w:rPr>
        <w:t>Glucocorticoid therapy must be contemporaneous with the current scan. Patients no longer on steroids would not qualify for benefits.</w:t>
      </w:r>
    </w:p>
    <w:p w:rsidR="00F86C9F" w:rsidRPr="00FA270C" w:rsidRDefault="00F86C9F" w:rsidP="00CA22E7">
      <w:pPr>
        <w:rPr>
          <w:rFonts w:ascii="Arial Narrow" w:hAnsi="Arial Narrow"/>
        </w:rPr>
      </w:pPr>
      <w:r w:rsidRPr="00FA270C">
        <w:rPr>
          <w:rFonts w:ascii="Arial Narrow" w:hAnsi="Arial Narrow"/>
        </w:rPr>
        <w:t>For Items 12312 and 12318</w:t>
      </w:r>
    </w:p>
    <w:p w:rsidR="00F86C9F" w:rsidRPr="00FA270C" w:rsidRDefault="00F86C9F" w:rsidP="00CA22E7">
      <w:pPr>
        <w:rPr>
          <w:rFonts w:ascii="Arial Narrow" w:hAnsi="Arial Narrow"/>
        </w:rPr>
      </w:pPr>
      <w:r w:rsidRPr="00FA270C">
        <w:rPr>
          <w:rFonts w:ascii="Arial Narrow" w:hAnsi="Arial Narrow"/>
        </w:rPr>
        <w:t xml:space="preserve"> (a) Male hypogonadism is defined as serum testosterone levels below the age matched normal range.</w:t>
      </w:r>
    </w:p>
    <w:p w:rsidR="00F86C9F" w:rsidRPr="00FA270C" w:rsidRDefault="00F86C9F" w:rsidP="00CA22E7">
      <w:pPr>
        <w:rPr>
          <w:rFonts w:ascii="Arial Narrow" w:hAnsi="Arial Narrow"/>
        </w:rPr>
      </w:pPr>
      <w:r w:rsidRPr="00FA270C">
        <w:rPr>
          <w:rFonts w:ascii="Arial Narrow" w:hAnsi="Arial Narrow"/>
        </w:rPr>
        <w:lastRenderedPageBreak/>
        <w:t xml:space="preserve"> (b) Female hypogonadism is defined as serum oestrogen levels below the age matched normal range.</w:t>
      </w:r>
    </w:p>
    <w:p w:rsidR="00F86C9F" w:rsidRPr="00FA270C" w:rsidRDefault="00F86C9F" w:rsidP="00CA22E7">
      <w:pPr>
        <w:rPr>
          <w:rFonts w:ascii="Arial Narrow" w:hAnsi="Arial Narrow"/>
        </w:rPr>
      </w:pPr>
      <w:r w:rsidRPr="00FA270C">
        <w:rPr>
          <w:rFonts w:ascii="Arial Narrow" w:hAnsi="Arial Narrow"/>
        </w:rPr>
        <w:t>For Items 12315 and 12318</w:t>
      </w:r>
    </w:p>
    <w:p w:rsidR="00F86C9F" w:rsidRPr="00FA270C" w:rsidRDefault="00F86C9F" w:rsidP="00CA22E7">
      <w:pPr>
        <w:rPr>
          <w:rFonts w:ascii="Arial Narrow" w:hAnsi="Arial Narrow"/>
        </w:rPr>
      </w:pPr>
      <w:r w:rsidRPr="00FA270C">
        <w:rPr>
          <w:rFonts w:ascii="Arial Narrow" w:hAnsi="Arial Narrow"/>
        </w:rPr>
        <w:t>A malabsorptive disorder is defined as one or more of the following:</w:t>
      </w:r>
    </w:p>
    <w:p w:rsidR="00F86C9F" w:rsidRPr="00FA270C" w:rsidRDefault="00F86C9F" w:rsidP="00CA22E7">
      <w:pPr>
        <w:rPr>
          <w:rFonts w:ascii="Arial Narrow" w:hAnsi="Arial Narrow"/>
        </w:rPr>
      </w:pPr>
      <w:r w:rsidRPr="00FA270C">
        <w:rPr>
          <w:rFonts w:ascii="Arial Narrow" w:hAnsi="Arial Narrow"/>
        </w:rPr>
        <w:t xml:space="preserve"> (a) malabsorption of fat, defined as faecal fat estimated at greater than 18 gm per 72 hours on a normal fat diet; or</w:t>
      </w:r>
    </w:p>
    <w:p w:rsidR="00F86C9F" w:rsidRPr="00FA270C" w:rsidRDefault="00F86C9F" w:rsidP="00CA22E7">
      <w:pPr>
        <w:rPr>
          <w:rFonts w:ascii="Arial Narrow" w:hAnsi="Arial Narrow"/>
        </w:rPr>
      </w:pPr>
      <w:r w:rsidRPr="00FA270C">
        <w:rPr>
          <w:rFonts w:ascii="Arial Narrow" w:hAnsi="Arial Narrow"/>
        </w:rPr>
        <w:t xml:space="preserve"> (b) bowel disease with presumptive vitamin D malabsorption as indicated by a sub-normal circulating 25-hydroxyvitamin D level; or</w:t>
      </w:r>
    </w:p>
    <w:p w:rsidR="00F86C9F" w:rsidRPr="00FA270C" w:rsidRDefault="00F86C9F" w:rsidP="00CA22E7">
      <w:pPr>
        <w:rPr>
          <w:rFonts w:ascii="Arial Narrow" w:hAnsi="Arial Narrow"/>
        </w:rPr>
      </w:pPr>
      <w:r w:rsidRPr="00FA270C">
        <w:rPr>
          <w:rFonts w:ascii="Arial Narrow" w:hAnsi="Arial Narrow"/>
        </w:rPr>
        <w:t xml:space="preserve"> (c)</w:t>
      </w:r>
      <w:bookmarkStart w:id="95" w:name="_GoBack"/>
      <w:bookmarkEnd w:id="95"/>
      <w:r w:rsidRPr="00FA270C">
        <w:rPr>
          <w:rFonts w:ascii="Arial Narrow" w:hAnsi="Arial Narrow"/>
        </w:rPr>
        <w:t xml:space="preserve"> histologically proven Coeliac disease.</w:t>
      </w:r>
    </w:p>
    <w:p w:rsidR="00F86C9F" w:rsidRPr="00FA270C" w:rsidRDefault="00F86C9F" w:rsidP="00CA22E7">
      <w:pPr>
        <w:rPr>
          <w:rFonts w:ascii="Arial Narrow" w:hAnsi="Arial Narrow"/>
        </w:rPr>
      </w:pPr>
      <w:r w:rsidRPr="00FA270C">
        <w:rPr>
          <w:rFonts w:ascii="Arial Narrow" w:hAnsi="Arial Narrow"/>
        </w:rPr>
        <w:t>Related Items: 12306, 12309, 12312, 12315, 12318, 12321, 12323</w:t>
      </w:r>
    </w:p>
    <w:p w:rsidR="00F86C9F" w:rsidRPr="00FA270C" w:rsidRDefault="00F86C9F" w:rsidP="00CA22E7">
      <w:pPr>
        <w:rPr>
          <w:rFonts w:ascii="Arial Narrow" w:hAnsi="Arial Narrow"/>
        </w:rPr>
      </w:pPr>
    </w:p>
    <w:p w:rsidR="00F86C9F" w:rsidRPr="00FA270C" w:rsidRDefault="00F86C9F">
      <w:pPr>
        <w:spacing w:after="0" w:line="240" w:lineRule="auto"/>
        <w:jc w:val="left"/>
      </w:pPr>
    </w:p>
    <w:tbl>
      <w:tblPr>
        <w:tblW w:w="5000" w:type="pct"/>
        <w:tblCellSpacing w:w="0" w:type="dxa"/>
        <w:tblCellMar>
          <w:left w:w="0" w:type="dxa"/>
          <w:right w:w="0" w:type="dxa"/>
        </w:tblCellMar>
        <w:tblLook w:val="00A0" w:firstRow="1" w:lastRow="0" w:firstColumn="1" w:lastColumn="0" w:noHBand="0" w:noVBand="0"/>
      </w:tblPr>
      <w:tblGrid>
        <w:gridCol w:w="9026"/>
      </w:tblGrid>
      <w:tr w:rsidR="00F86C9F" w:rsidRPr="00FA270C" w:rsidTr="00CA22E7">
        <w:trPr>
          <w:tblCellSpacing w:w="0" w:type="dxa"/>
        </w:trPr>
        <w:tc>
          <w:tcPr>
            <w:tcW w:w="0" w:type="auto"/>
            <w:vAlign w:val="center"/>
          </w:tcPr>
          <w:p w:rsidR="00F86C9F" w:rsidRPr="00FA270C" w:rsidRDefault="00F86C9F" w:rsidP="00EC59E4">
            <w:pPr>
              <w:spacing w:after="80" w:line="240" w:lineRule="auto"/>
            </w:pPr>
          </w:p>
        </w:tc>
      </w:tr>
    </w:tbl>
    <w:p w:rsidR="00F86C9F" w:rsidRPr="00FA270C" w:rsidRDefault="00F86C9F"/>
    <w:sectPr w:rsidR="00F86C9F" w:rsidRPr="00FA270C" w:rsidSect="000C2E0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4A" w:rsidRDefault="00515E4A">
      <w:r>
        <w:separator/>
      </w:r>
    </w:p>
  </w:endnote>
  <w:endnote w:type="continuationSeparator" w:id="0">
    <w:p w:rsidR="00515E4A" w:rsidRDefault="0051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E4" w:rsidRDefault="00524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67" w:rsidRDefault="00224467">
    <w:pPr>
      <w:pStyle w:val="Footer"/>
      <w:jc w:val="right"/>
    </w:pPr>
    <w:r>
      <w:fldChar w:fldCharType="begin"/>
    </w:r>
    <w:r>
      <w:instrText xml:space="preserve"> PAGE   \* MERGEFORMAT </w:instrText>
    </w:r>
    <w:r>
      <w:fldChar w:fldCharType="separate"/>
    </w:r>
    <w:r w:rsidR="00524DE4">
      <w:rPr>
        <w:noProof/>
      </w:rPr>
      <w:t>68</w:t>
    </w:r>
    <w:r>
      <w:rPr>
        <w:noProof/>
      </w:rPr>
      <w:fldChar w:fldCharType="end"/>
    </w:r>
  </w:p>
  <w:p w:rsidR="00224467" w:rsidRDefault="002244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67" w:rsidRDefault="00224467">
    <w:pPr>
      <w:pStyle w:val="Footer"/>
      <w:jc w:val="right"/>
    </w:pPr>
    <w:r>
      <w:fldChar w:fldCharType="begin"/>
    </w:r>
    <w:r>
      <w:instrText xml:space="preserve"> PAGE   \* MERGEFORMAT </w:instrText>
    </w:r>
    <w:r>
      <w:fldChar w:fldCharType="separate"/>
    </w:r>
    <w:r w:rsidR="00524DE4">
      <w:rPr>
        <w:noProof/>
      </w:rPr>
      <w:t>66</w:t>
    </w:r>
    <w:r>
      <w:rPr>
        <w:noProof/>
      </w:rPr>
      <w:fldChar w:fldCharType="end"/>
    </w:r>
  </w:p>
  <w:p w:rsidR="00224467" w:rsidRDefault="00224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4A" w:rsidRDefault="00515E4A">
      <w:r>
        <w:separator/>
      </w:r>
    </w:p>
  </w:footnote>
  <w:footnote w:type="continuationSeparator" w:id="0">
    <w:p w:rsidR="00515E4A" w:rsidRDefault="00515E4A">
      <w:r>
        <w:continuationSeparator/>
      </w:r>
    </w:p>
  </w:footnote>
  <w:footnote w:id="1">
    <w:p w:rsidR="00224467" w:rsidRDefault="00224467">
      <w:pPr>
        <w:pStyle w:val="FootnoteText"/>
      </w:pPr>
      <w:r>
        <w:rPr>
          <w:rStyle w:val="FootnoteReference"/>
        </w:rPr>
        <w:footnoteRef/>
      </w:r>
      <w:r>
        <w:t xml:space="preserve"> It is recognized that an unintended knock on effect of this proposal is that there may be situation where there are individuals aged between 45-50 with hypogonadism who are not eligible for DXA. This will be addressed in the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67" w:rsidRDefault="00524DE4">
    <w:pPr>
      <w:pStyle w:val="Header"/>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1108" o:spid="_x0000_s2049" type="#_x0000_t136" style="position:absolute;margin-left:0;margin-top:0;width:381.75pt;height:254.5pt;rotation:315;z-index:-25165875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67" w:rsidRDefault="00524DE4">
    <w:pPr>
      <w:pStyle w:val="Header"/>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1109" o:spid="_x0000_s2050" type="#_x0000_t136" style="position:absolute;margin-left:0;margin-top:0;width:381.75pt;height:254.5pt;rotation:315;z-index:-25165772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67" w:rsidRDefault="00524DE4">
    <w:pPr>
      <w:pStyle w:val="Header"/>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1107" o:spid="_x0000_s2051" type="#_x0000_t136" style="position:absolute;margin-left:0;margin-top:0;width:381.75pt;height:254.5pt;rotation:315;z-index:-25165977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2E1"/>
    <w:multiLevelType w:val="hybridMultilevel"/>
    <w:tmpl w:val="D184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708AB"/>
    <w:multiLevelType w:val="hybridMultilevel"/>
    <w:tmpl w:val="FF8E848C"/>
    <w:lvl w:ilvl="0" w:tplc="FDF8B84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24666D8"/>
    <w:multiLevelType w:val="hybridMultilevel"/>
    <w:tmpl w:val="DDA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23748"/>
    <w:multiLevelType w:val="hybridMultilevel"/>
    <w:tmpl w:val="9DBCA74C"/>
    <w:lvl w:ilvl="0" w:tplc="280CCA8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BC775F8"/>
    <w:multiLevelType w:val="hybridMultilevel"/>
    <w:tmpl w:val="09DA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DA5072"/>
    <w:multiLevelType w:val="hybridMultilevel"/>
    <w:tmpl w:val="305A5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624C0"/>
    <w:multiLevelType w:val="hybridMultilevel"/>
    <w:tmpl w:val="F2F402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5EB069D"/>
    <w:multiLevelType w:val="hybridMultilevel"/>
    <w:tmpl w:val="B76E986E"/>
    <w:lvl w:ilvl="0" w:tplc="EC0071E8">
      <w:numFmt w:val="bullet"/>
      <w:lvlText w:val="•"/>
      <w:lvlJc w:val="left"/>
      <w:pPr>
        <w:ind w:left="1440" w:hanging="72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761197F"/>
    <w:multiLevelType w:val="hybridMultilevel"/>
    <w:tmpl w:val="825A4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6A6E41"/>
    <w:multiLevelType w:val="hybridMultilevel"/>
    <w:tmpl w:val="E51E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340426"/>
    <w:multiLevelType w:val="hybridMultilevel"/>
    <w:tmpl w:val="C97C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E13128"/>
    <w:multiLevelType w:val="hybridMultilevel"/>
    <w:tmpl w:val="F6C4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FE6ABF"/>
    <w:multiLevelType w:val="hybridMultilevel"/>
    <w:tmpl w:val="BAE09EF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DEA5B73"/>
    <w:multiLevelType w:val="hybridMultilevel"/>
    <w:tmpl w:val="160405C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EAF4651"/>
    <w:multiLevelType w:val="hybridMultilevel"/>
    <w:tmpl w:val="84E84DCE"/>
    <w:lvl w:ilvl="0" w:tplc="5B68372A">
      <w:start w:val="17"/>
      <w:numFmt w:val="bullet"/>
      <w:lvlText w:val="-"/>
      <w:lvlJc w:val="left"/>
      <w:pPr>
        <w:ind w:left="2517" w:hanging="360"/>
      </w:pPr>
      <w:rPr>
        <w:rFonts w:ascii="Tahoma" w:eastAsia="SimSu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966FAF"/>
    <w:multiLevelType w:val="hybridMultilevel"/>
    <w:tmpl w:val="AD7C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FE7132"/>
    <w:multiLevelType w:val="hybridMultilevel"/>
    <w:tmpl w:val="C5E0A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0502DF"/>
    <w:multiLevelType w:val="hybridMultilevel"/>
    <w:tmpl w:val="B54A5126"/>
    <w:lvl w:ilvl="0" w:tplc="5B68372A">
      <w:start w:val="17"/>
      <w:numFmt w:val="bullet"/>
      <w:lvlText w:val="-"/>
      <w:lvlJc w:val="left"/>
      <w:pPr>
        <w:ind w:left="2517" w:hanging="360"/>
      </w:pPr>
      <w:rPr>
        <w:rFonts w:ascii="Tahoma" w:eastAsia="SimSun" w:hAnsi="Tahoma" w:hint="default"/>
      </w:rPr>
    </w:lvl>
    <w:lvl w:ilvl="1" w:tplc="04090003" w:tentative="1">
      <w:start w:val="1"/>
      <w:numFmt w:val="bullet"/>
      <w:lvlText w:val="o"/>
      <w:lvlJc w:val="left"/>
      <w:pPr>
        <w:ind w:left="3237" w:hanging="360"/>
      </w:pPr>
      <w:rPr>
        <w:rFonts w:ascii="Courier New" w:hAnsi="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8">
    <w:nsid w:val="210A2E02"/>
    <w:multiLevelType w:val="singleLevel"/>
    <w:tmpl w:val="87E8459A"/>
    <w:lvl w:ilvl="0">
      <w:start w:val="1"/>
      <w:numFmt w:val="bullet"/>
      <w:pStyle w:val="Bullet12"/>
      <w:lvlText w:val=""/>
      <w:lvlJc w:val="left"/>
      <w:pPr>
        <w:tabs>
          <w:tab w:val="num" w:pos="357"/>
        </w:tabs>
        <w:ind w:left="357" w:hanging="357"/>
      </w:pPr>
      <w:rPr>
        <w:rFonts w:ascii="Symbol" w:hAnsi="Symbol" w:hint="default"/>
        <w:sz w:val="20"/>
      </w:rPr>
    </w:lvl>
  </w:abstractNum>
  <w:abstractNum w:abstractNumId="19">
    <w:nsid w:val="2192219E"/>
    <w:multiLevelType w:val="hybridMultilevel"/>
    <w:tmpl w:val="A7A87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21">
    <w:nsid w:val="29141D74"/>
    <w:multiLevelType w:val="hybridMultilevel"/>
    <w:tmpl w:val="672C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3C2308"/>
    <w:multiLevelType w:val="hybridMultilevel"/>
    <w:tmpl w:val="32F6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95C5DCB"/>
    <w:multiLevelType w:val="hybridMultilevel"/>
    <w:tmpl w:val="00D2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035AF8"/>
    <w:multiLevelType w:val="hybridMultilevel"/>
    <w:tmpl w:val="698EF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F50415F"/>
    <w:multiLevelType w:val="hybridMultilevel"/>
    <w:tmpl w:val="33743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0130F30"/>
    <w:multiLevelType w:val="hybridMultilevel"/>
    <w:tmpl w:val="CE82F584"/>
    <w:lvl w:ilvl="0" w:tplc="E4CA9AC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318D3168"/>
    <w:multiLevelType w:val="hybridMultilevel"/>
    <w:tmpl w:val="3A60D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25237EA"/>
    <w:multiLevelType w:val="hybridMultilevel"/>
    <w:tmpl w:val="8C96C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3FC03B3"/>
    <w:multiLevelType w:val="hybridMultilevel"/>
    <w:tmpl w:val="0270C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57E6162"/>
    <w:multiLevelType w:val="hybridMultilevel"/>
    <w:tmpl w:val="4F9C7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7A57A1F"/>
    <w:multiLevelType w:val="hybridMultilevel"/>
    <w:tmpl w:val="ED9879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8832C63"/>
    <w:multiLevelType w:val="hybridMultilevel"/>
    <w:tmpl w:val="FE3E5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88C07EC"/>
    <w:multiLevelType w:val="hybridMultilevel"/>
    <w:tmpl w:val="44DAA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F113829"/>
    <w:multiLevelType w:val="hybridMultilevel"/>
    <w:tmpl w:val="0A76B19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40694892"/>
    <w:multiLevelType w:val="hybridMultilevel"/>
    <w:tmpl w:val="91805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3096D9B"/>
    <w:multiLevelType w:val="hybridMultilevel"/>
    <w:tmpl w:val="4340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33760D1"/>
    <w:multiLevelType w:val="hybridMultilevel"/>
    <w:tmpl w:val="ECC8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3880096"/>
    <w:multiLevelType w:val="hybridMultilevel"/>
    <w:tmpl w:val="2C66D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3DA3FC5"/>
    <w:multiLevelType w:val="hybridMultilevel"/>
    <w:tmpl w:val="7354F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3FB25DF"/>
    <w:multiLevelType w:val="hybridMultilevel"/>
    <w:tmpl w:val="2FB6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46349DB"/>
    <w:multiLevelType w:val="hybridMultilevel"/>
    <w:tmpl w:val="1C961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79C79AE"/>
    <w:multiLevelType w:val="hybridMultilevel"/>
    <w:tmpl w:val="4558C796"/>
    <w:lvl w:ilvl="0" w:tplc="D8085B6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nsid w:val="4829082D"/>
    <w:multiLevelType w:val="hybridMultilevel"/>
    <w:tmpl w:val="9C0E634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nsid w:val="48E009E2"/>
    <w:multiLevelType w:val="hybridMultilevel"/>
    <w:tmpl w:val="9738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AF972FE"/>
    <w:multiLevelType w:val="hybridMultilevel"/>
    <w:tmpl w:val="7256C00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4D033E80"/>
    <w:multiLevelType w:val="hybridMultilevel"/>
    <w:tmpl w:val="DB1C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E751E1A"/>
    <w:multiLevelType w:val="hybridMultilevel"/>
    <w:tmpl w:val="20F4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1712030"/>
    <w:multiLevelType w:val="hybridMultilevel"/>
    <w:tmpl w:val="FE965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18D63CF"/>
    <w:multiLevelType w:val="hybridMultilevel"/>
    <w:tmpl w:val="9AE23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46D2FFE"/>
    <w:multiLevelType w:val="hybridMultilevel"/>
    <w:tmpl w:val="E5849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6856E7F"/>
    <w:multiLevelType w:val="hybridMultilevel"/>
    <w:tmpl w:val="79A0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8E4799D"/>
    <w:multiLevelType w:val="hybridMultilevel"/>
    <w:tmpl w:val="C2FCF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9C11055"/>
    <w:multiLevelType w:val="hybridMultilevel"/>
    <w:tmpl w:val="96FE3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56">
    <w:nsid w:val="61401A3C"/>
    <w:multiLevelType w:val="hybridMultilevel"/>
    <w:tmpl w:val="2F30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3062F38"/>
    <w:multiLevelType w:val="hybridMultilevel"/>
    <w:tmpl w:val="486A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5B760F4"/>
    <w:multiLevelType w:val="hybridMultilevel"/>
    <w:tmpl w:val="6846B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71D1559"/>
    <w:multiLevelType w:val="hybridMultilevel"/>
    <w:tmpl w:val="7D9C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61">
    <w:nsid w:val="69DE2931"/>
    <w:multiLevelType w:val="hybridMultilevel"/>
    <w:tmpl w:val="E7786300"/>
    <w:lvl w:ilvl="0" w:tplc="C83C2202">
      <w:numFmt w:val="bullet"/>
      <w:lvlText w:val="•"/>
      <w:lvlJc w:val="left"/>
      <w:pPr>
        <w:ind w:left="1080" w:hanging="720"/>
      </w:pPr>
      <w:rPr>
        <w:rFonts w:ascii="Tahoma" w:eastAsia="SimSu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9F3695A"/>
    <w:multiLevelType w:val="hybridMultilevel"/>
    <w:tmpl w:val="85163B9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3">
    <w:nsid w:val="6B125366"/>
    <w:multiLevelType w:val="hybridMultilevel"/>
    <w:tmpl w:val="720E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B25261C"/>
    <w:multiLevelType w:val="hybridMultilevel"/>
    <w:tmpl w:val="7306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ED653DB"/>
    <w:multiLevelType w:val="hybridMultilevel"/>
    <w:tmpl w:val="89FC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1575819"/>
    <w:multiLevelType w:val="hybridMultilevel"/>
    <w:tmpl w:val="DE9CC56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7">
    <w:nsid w:val="7218430D"/>
    <w:multiLevelType w:val="hybridMultilevel"/>
    <w:tmpl w:val="25300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2AD2DB7"/>
    <w:multiLevelType w:val="hybridMultilevel"/>
    <w:tmpl w:val="1A2EB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2D639F6"/>
    <w:multiLevelType w:val="hybridMultilevel"/>
    <w:tmpl w:val="C7DA7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48440BC"/>
    <w:multiLevelType w:val="hybridMultilevel"/>
    <w:tmpl w:val="771282E2"/>
    <w:lvl w:ilvl="0" w:tplc="841A6E1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1">
    <w:nsid w:val="74937930"/>
    <w:multiLevelType w:val="hybridMultilevel"/>
    <w:tmpl w:val="F222BF7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2">
    <w:nsid w:val="771542B9"/>
    <w:multiLevelType w:val="hybridMultilevel"/>
    <w:tmpl w:val="D024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7A25BF8"/>
    <w:multiLevelType w:val="hybridMultilevel"/>
    <w:tmpl w:val="1DEE99E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4">
    <w:nsid w:val="77EA2C21"/>
    <w:multiLevelType w:val="hybridMultilevel"/>
    <w:tmpl w:val="4DFE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A71154C"/>
    <w:multiLevelType w:val="hybridMultilevel"/>
    <w:tmpl w:val="C9EE3A64"/>
    <w:lvl w:ilvl="0" w:tplc="4FBE8D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6">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77">
    <w:nsid w:val="7B1D6189"/>
    <w:multiLevelType w:val="hybridMultilevel"/>
    <w:tmpl w:val="402E98B8"/>
    <w:lvl w:ilvl="0" w:tplc="D6BC821E">
      <w:start w:val="1"/>
      <w:numFmt w:val="bullet"/>
      <w:pStyle w:val="Bullet6"/>
      <w:lvlText w:val=""/>
      <w:lvlJc w:val="left"/>
      <w:pPr>
        <w:tabs>
          <w:tab w:val="num" w:pos="578"/>
        </w:tabs>
        <w:ind w:left="578" w:hanging="360"/>
      </w:pPr>
      <w:rPr>
        <w:rFonts w:ascii="Symbol" w:hAnsi="Symbol" w:hint="default"/>
        <w:sz w:val="20"/>
      </w:rPr>
    </w:lvl>
    <w:lvl w:ilvl="1" w:tplc="0C090003" w:tentative="1">
      <w:start w:val="1"/>
      <w:numFmt w:val="bullet"/>
      <w:lvlText w:val="o"/>
      <w:lvlJc w:val="left"/>
      <w:pPr>
        <w:tabs>
          <w:tab w:val="num" w:pos="1658"/>
        </w:tabs>
        <w:ind w:left="1658" w:hanging="360"/>
      </w:pPr>
      <w:rPr>
        <w:rFonts w:ascii="Courier New" w:hAnsi="Courier New" w:hint="default"/>
      </w:rPr>
    </w:lvl>
    <w:lvl w:ilvl="2" w:tplc="0C090005" w:tentative="1">
      <w:start w:val="1"/>
      <w:numFmt w:val="bullet"/>
      <w:lvlText w:val=""/>
      <w:lvlJc w:val="left"/>
      <w:pPr>
        <w:tabs>
          <w:tab w:val="num" w:pos="2378"/>
        </w:tabs>
        <w:ind w:left="2378" w:hanging="360"/>
      </w:pPr>
      <w:rPr>
        <w:rFonts w:ascii="Wingdings" w:hAnsi="Wingdings" w:hint="default"/>
      </w:rPr>
    </w:lvl>
    <w:lvl w:ilvl="3" w:tplc="0C090001" w:tentative="1">
      <w:start w:val="1"/>
      <w:numFmt w:val="bullet"/>
      <w:lvlText w:val=""/>
      <w:lvlJc w:val="left"/>
      <w:pPr>
        <w:tabs>
          <w:tab w:val="num" w:pos="3098"/>
        </w:tabs>
        <w:ind w:left="3098" w:hanging="360"/>
      </w:pPr>
      <w:rPr>
        <w:rFonts w:ascii="Symbol" w:hAnsi="Symbol" w:hint="default"/>
      </w:rPr>
    </w:lvl>
    <w:lvl w:ilvl="4" w:tplc="0C090003" w:tentative="1">
      <w:start w:val="1"/>
      <w:numFmt w:val="bullet"/>
      <w:lvlText w:val="o"/>
      <w:lvlJc w:val="left"/>
      <w:pPr>
        <w:tabs>
          <w:tab w:val="num" w:pos="3818"/>
        </w:tabs>
        <w:ind w:left="3818" w:hanging="360"/>
      </w:pPr>
      <w:rPr>
        <w:rFonts w:ascii="Courier New" w:hAnsi="Courier New" w:hint="default"/>
      </w:rPr>
    </w:lvl>
    <w:lvl w:ilvl="5" w:tplc="0C090005" w:tentative="1">
      <w:start w:val="1"/>
      <w:numFmt w:val="bullet"/>
      <w:lvlText w:val=""/>
      <w:lvlJc w:val="left"/>
      <w:pPr>
        <w:tabs>
          <w:tab w:val="num" w:pos="4538"/>
        </w:tabs>
        <w:ind w:left="4538" w:hanging="360"/>
      </w:pPr>
      <w:rPr>
        <w:rFonts w:ascii="Wingdings" w:hAnsi="Wingdings" w:hint="default"/>
      </w:rPr>
    </w:lvl>
    <w:lvl w:ilvl="6" w:tplc="0C090001" w:tentative="1">
      <w:start w:val="1"/>
      <w:numFmt w:val="bullet"/>
      <w:lvlText w:val=""/>
      <w:lvlJc w:val="left"/>
      <w:pPr>
        <w:tabs>
          <w:tab w:val="num" w:pos="5258"/>
        </w:tabs>
        <w:ind w:left="5258" w:hanging="360"/>
      </w:pPr>
      <w:rPr>
        <w:rFonts w:ascii="Symbol" w:hAnsi="Symbol" w:hint="default"/>
      </w:rPr>
    </w:lvl>
    <w:lvl w:ilvl="7" w:tplc="0C090003" w:tentative="1">
      <w:start w:val="1"/>
      <w:numFmt w:val="bullet"/>
      <w:lvlText w:val="o"/>
      <w:lvlJc w:val="left"/>
      <w:pPr>
        <w:tabs>
          <w:tab w:val="num" w:pos="5978"/>
        </w:tabs>
        <w:ind w:left="5978" w:hanging="360"/>
      </w:pPr>
      <w:rPr>
        <w:rFonts w:ascii="Courier New" w:hAnsi="Courier New" w:hint="default"/>
      </w:rPr>
    </w:lvl>
    <w:lvl w:ilvl="8" w:tplc="0C090005" w:tentative="1">
      <w:start w:val="1"/>
      <w:numFmt w:val="bullet"/>
      <w:lvlText w:val=""/>
      <w:lvlJc w:val="left"/>
      <w:pPr>
        <w:tabs>
          <w:tab w:val="num" w:pos="6698"/>
        </w:tabs>
        <w:ind w:left="6698" w:hanging="360"/>
      </w:pPr>
      <w:rPr>
        <w:rFonts w:ascii="Wingdings" w:hAnsi="Wingdings" w:hint="default"/>
      </w:rPr>
    </w:lvl>
  </w:abstractNum>
  <w:abstractNum w:abstractNumId="78">
    <w:nsid w:val="7BBE0BEA"/>
    <w:multiLevelType w:val="hybridMultilevel"/>
    <w:tmpl w:val="8162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D2E22D9"/>
    <w:multiLevelType w:val="hybridMultilevel"/>
    <w:tmpl w:val="7982018C"/>
    <w:lvl w:ilvl="0" w:tplc="5670664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0">
    <w:nsid w:val="7D795693"/>
    <w:multiLevelType w:val="hybridMultilevel"/>
    <w:tmpl w:val="7634448C"/>
    <w:lvl w:ilvl="0" w:tplc="0A245EC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7F9130A7"/>
    <w:multiLevelType w:val="hybridMultilevel"/>
    <w:tmpl w:val="7D8A7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6"/>
  </w:num>
  <w:num w:numId="2">
    <w:abstractNumId w:val="20"/>
  </w:num>
  <w:num w:numId="3">
    <w:abstractNumId w:val="51"/>
  </w:num>
  <w:num w:numId="4">
    <w:abstractNumId w:val="55"/>
  </w:num>
  <w:num w:numId="5">
    <w:abstractNumId w:val="60"/>
  </w:num>
  <w:num w:numId="6">
    <w:abstractNumId w:val="57"/>
  </w:num>
  <w:num w:numId="7">
    <w:abstractNumId w:val="49"/>
  </w:num>
  <w:num w:numId="8">
    <w:abstractNumId w:val="75"/>
  </w:num>
  <w:num w:numId="9">
    <w:abstractNumId w:val="26"/>
  </w:num>
  <w:num w:numId="10">
    <w:abstractNumId w:val="36"/>
  </w:num>
  <w:num w:numId="11">
    <w:abstractNumId w:val="70"/>
  </w:num>
  <w:num w:numId="12">
    <w:abstractNumId w:val="11"/>
  </w:num>
  <w:num w:numId="13">
    <w:abstractNumId w:val="64"/>
  </w:num>
  <w:num w:numId="14">
    <w:abstractNumId w:val="1"/>
  </w:num>
  <w:num w:numId="15">
    <w:abstractNumId w:val="18"/>
  </w:num>
  <w:num w:numId="16">
    <w:abstractNumId w:val="77"/>
  </w:num>
  <w:num w:numId="17">
    <w:abstractNumId w:val="31"/>
  </w:num>
  <w:num w:numId="18">
    <w:abstractNumId w:val="61"/>
  </w:num>
  <w:num w:numId="19">
    <w:abstractNumId w:val="29"/>
  </w:num>
  <w:num w:numId="20">
    <w:abstractNumId w:val="17"/>
  </w:num>
  <w:num w:numId="21">
    <w:abstractNumId w:val="3"/>
  </w:num>
  <w:num w:numId="22">
    <w:abstractNumId w:val="14"/>
  </w:num>
  <w:num w:numId="23">
    <w:abstractNumId w:val="2"/>
  </w:num>
  <w:num w:numId="24">
    <w:abstractNumId w:val="80"/>
  </w:num>
  <w:num w:numId="25">
    <w:abstractNumId w:val="34"/>
  </w:num>
  <w:num w:numId="26">
    <w:abstractNumId w:val="10"/>
  </w:num>
  <w:num w:numId="27">
    <w:abstractNumId w:val="40"/>
  </w:num>
  <w:num w:numId="28">
    <w:abstractNumId w:val="66"/>
  </w:num>
  <w:num w:numId="29">
    <w:abstractNumId w:val="33"/>
  </w:num>
  <w:num w:numId="30">
    <w:abstractNumId w:val="41"/>
  </w:num>
  <w:num w:numId="31">
    <w:abstractNumId w:val="8"/>
  </w:num>
  <w:num w:numId="32">
    <w:abstractNumId w:val="5"/>
  </w:num>
  <w:num w:numId="33">
    <w:abstractNumId w:val="43"/>
  </w:num>
  <w:num w:numId="34">
    <w:abstractNumId w:val="45"/>
  </w:num>
  <w:num w:numId="35">
    <w:abstractNumId w:val="27"/>
  </w:num>
  <w:num w:numId="36">
    <w:abstractNumId w:val="54"/>
  </w:num>
  <w:num w:numId="37">
    <w:abstractNumId w:val="6"/>
  </w:num>
  <w:num w:numId="38">
    <w:abstractNumId w:val="78"/>
  </w:num>
  <w:num w:numId="39">
    <w:abstractNumId w:val="81"/>
  </w:num>
  <w:num w:numId="40">
    <w:abstractNumId w:val="52"/>
  </w:num>
  <w:num w:numId="41">
    <w:abstractNumId w:val="74"/>
  </w:num>
  <w:num w:numId="42">
    <w:abstractNumId w:val="72"/>
  </w:num>
  <w:num w:numId="43">
    <w:abstractNumId w:val="63"/>
  </w:num>
  <w:num w:numId="44">
    <w:abstractNumId w:val="15"/>
  </w:num>
  <w:num w:numId="45">
    <w:abstractNumId w:val="47"/>
  </w:num>
  <w:num w:numId="46">
    <w:abstractNumId w:val="65"/>
  </w:num>
  <w:num w:numId="47">
    <w:abstractNumId w:val="46"/>
  </w:num>
  <w:num w:numId="48">
    <w:abstractNumId w:val="32"/>
  </w:num>
  <w:num w:numId="49">
    <w:abstractNumId w:val="53"/>
  </w:num>
  <w:num w:numId="50">
    <w:abstractNumId w:val="35"/>
  </w:num>
  <w:num w:numId="51">
    <w:abstractNumId w:val="37"/>
  </w:num>
  <w:num w:numId="52">
    <w:abstractNumId w:val="44"/>
  </w:num>
  <w:num w:numId="53">
    <w:abstractNumId w:val="42"/>
  </w:num>
  <w:num w:numId="54">
    <w:abstractNumId w:val="79"/>
  </w:num>
  <w:num w:numId="55">
    <w:abstractNumId w:val="28"/>
  </w:num>
  <w:num w:numId="56">
    <w:abstractNumId w:val="58"/>
  </w:num>
  <w:num w:numId="57">
    <w:abstractNumId w:val="13"/>
  </w:num>
  <w:num w:numId="58">
    <w:abstractNumId w:val="16"/>
  </w:num>
  <w:num w:numId="59">
    <w:abstractNumId w:val="73"/>
  </w:num>
  <w:num w:numId="60">
    <w:abstractNumId w:val="12"/>
  </w:num>
  <w:num w:numId="61">
    <w:abstractNumId w:val="56"/>
  </w:num>
  <w:num w:numId="62">
    <w:abstractNumId w:val="71"/>
  </w:num>
  <w:num w:numId="63">
    <w:abstractNumId w:val="68"/>
  </w:num>
  <w:num w:numId="64">
    <w:abstractNumId w:val="62"/>
  </w:num>
  <w:num w:numId="65">
    <w:abstractNumId w:val="39"/>
  </w:num>
  <w:num w:numId="66">
    <w:abstractNumId w:val="19"/>
  </w:num>
  <w:num w:numId="67">
    <w:abstractNumId w:val="69"/>
  </w:num>
  <w:num w:numId="68">
    <w:abstractNumId w:val="7"/>
  </w:num>
  <w:num w:numId="69">
    <w:abstractNumId w:val="0"/>
  </w:num>
  <w:num w:numId="70">
    <w:abstractNumId w:val="67"/>
  </w:num>
  <w:num w:numId="71">
    <w:abstractNumId w:val="59"/>
  </w:num>
  <w:num w:numId="72">
    <w:abstractNumId w:val="24"/>
  </w:num>
  <w:num w:numId="73">
    <w:abstractNumId w:val="50"/>
  </w:num>
  <w:num w:numId="74">
    <w:abstractNumId w:val="48"/>
  </w:num>
  <w:num w:numId="75">
    <w:abstractNumId w:val="21"/>
  </w:num>
  <w:num w:numId="76">
    <w:abstractNumId w:val="25"/>
  </w:num>
  <w:num w:numId="77">
    <w:abstractNumId w:val="30"/>
  </w:num>
  <w:num w:numId="78">
    <w:abstractNumId w:val="9"/>
  </w:num>
  <w:num w:numId="79">
    <w:abstractNumId w:val="23"/>
  </w:num>
  <w:num w:numId="80">
    <w:abstractNumId w:val="4"/>
  </w:num>
  <w:num w:numId="81">
    <w:abstractNumId w:val="22"/>
  </w:num>
  <w:num w:numId="8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DF"/>
    <w:rsid w:val="00000A47"/>
    <w:rsid w:val="00000A92"/>
    <w:rsid w:val="00000B60"/>
    <w:rsid w:val="00001A36"/>
    <w:rsid w:val="00012F99"/>
    <w:rsid w:val="00013D14"/>
    <w:rsid w:val="00014F5C"/>
    <w:rsid w:val="00036C31"/>
    <w:rsid w:val="00051319"/>
    <w:rsid w:val="00051BE5"/>
    <w:rsid w:val="000543E9"/>
    <w:rsid w:val="0005688A"/>
    <w:rsid w:val="000579C4"/>
    <w:rsid w:val="00067C6E"/>
    <w:rsid w:val="00073FE3"/>
    <w:rsid w:val="000844F7"/>
    <w:rsid w:val="000A2B2E"/>
    <w:rsid w:val="000A2E37"/>
    <w:rsid w:val="000A4AEC"/>
    <w:rsid w:val="000B4444"/>
    <w:rsid w:val="000B7D96"/>
    <w:rsid w:val="000C04F8"/>
    <w:rsid w:val="000C2E0A"/>
    <w:rsid w:val="000C6102"/>
    <w:rsid w:val="000D0338"/>
    <w:rsid w:val="000D0FE4"/>
    <w:rsid w:val="000D3DDB"/>
    <w:rsid w:val="000E0063"/>
    <w:rsid w:val="000E0F5B"/>
    <w:rsid w:val="000E2457"/>
    <w:rsid w:val="000E507D"/>
    <w:rsid w:val="000E518A"/>
    <w:rsid w:val="000F473F"/>
    <w:rsid w:val="000F5E05"/>
    <w:rsid w:val="00102878"/>
    <w:rsid w:val="00103EDF"/>
    <w:rsid w:val="00107C0D"/>
    <w:rsid w:val="001102AF"/>
    <w:rsid w:val="00110FEC"/>
    <w:rsid w:val="00125C64"/>
    <w:rsid w:val="00125F84"/>
    <w:rsid w:val="001328DF"/>
    <w:rsid w:val="0013444B"/>
    <w:rsid w:val="00134998"/>
    <w:rsid w:val="00135FD8"/>
    <w:rsid w:val="001371FB"/>
    <w:rsid w:val="00141F13"/>
    <w:rsid w:val="00144F79"/>
    <w:rsid w:val="00146D0E"/>
    <w:rsid w:val="00150DF5"/>
    <w:rsid w:val="00150F35"/>
    <w:rsid w:val="00155ABF"/>
    <w:rsid w:val="001601B6"/>
    <w:rsid w:val="0016279E"/>
    <w:rsid w:val="001641F0"/>
    <w:rsid w:val="00167078"/>
    <w:rsid w:val="00173EA2"/>
    <w:rsid w:val="00182476"/>
    <w:rsid w:val="00183E52"/>
    <w:rsid w:val="001919DA"/>
    <w:rsid w:val="001A630E"/>
    <w:rsid w:val="001B02F0"/>
    <w:rsid w:val="001B374E"/>
    <w:rsid w:val="001B5994"/>
    <w:rsid w:val="001B637F"/>
    <w:rsid w:val="001B64D8"/>
    <w:rsid w:val="001E1ECF"/>
    <w:rsid w:val="00200ED1"/>
    <w:rsid w:val="00211BB5"/>
    <w:rsid w:val="00214072"/>
    <w:rsid w:val="002153C7"/>
    <w:rsid w:val="00216E4A"/>
    <w:rsid w:val="00221DF2"/>
    <w:rsid w:val="00222A99"/>
    <w:rsid w:val="00224109"/>
    <w:rsid w:val="00224467"/>
    <w:rsid w:val="00226C41"/>
    <w:rsid w:val="00227F5F"/>
    <w:rsid w:val="00230949"/>
    <w:rsid w:val="00233FBC"/>
    <w:rsid w:val="00235E03"/>
    <w:rsid w:val="00235F11"/>
    <w:rsid w:val="0023611B"/>
    <w:rsid w:val="00247007"/>
    <w:rsid w:val="0025521C"/>
    <w:rsid w:val="00255656"/>
    <w:rsid w:val="002605E9"/>
    <w:rsid w:val="0027297D"/>
    <w:rsid w:val="00276842"/>
    <w:rsid w:val="00277B48"/>
    <w:rsid w:val="0028096A"/>
    <w:rsid w:val="00282601"/>
    <w:rsid w:val="00283EFF"/>
    <w:rsid w:val="00283FB3"/>
    <w:rsid w:val="00297A27"/>
    <w:rsid w:val="00297EFE"/>
    <w:rsid w:val="002A4D3C"/>
    <w:rsid w:val="002C288C"/>
    <w:rsid w:val="002C3ADB"/>
    <w:rsid w:val="002D1EF3"/>
    <w:rsid w:val="002D2218"/>
    <w:rsid w:val="002D288A"/>
    <w:rsid w:val="002E057B"/>
    <w:rsid w:val="002F1C24"/>
    <w:rsid w:val="0030146D"/>
    <w:rsid w:val="00301C41"/>
    <w:rsid w:val="0030418F"/>
    <w:rsid w:val="00306E0E"/>
    <w:rsid w:val="0030748F"/>
    <w:rsid w:val="003204C2"/>
    <w:rsid w:val="00330F68"/>
    <w:rsid w:val="00337261"/>
    <w:rsid w:val="003408D5"/>
    <w:rsid w:val="00341520"/>
    <w:rsid w:val="003424F9"/>
    <w:rsid w:val="00345E44"/>
    <w:rsid w:val="00346711"/>
    <w:rsid w:val="00346920"/>
    <w:rsid w:val="003536F1"/>
    <w:rsid w:val="00353E9C"/>
    <w:rsid w:val="00354C5D"/>
    <w:rsid w:val="00356378"/>
    <w:rsid w:val="00374A7F"/>
    <w:rsid w:val="00376248"/>
    <w:rsid w:val="003776BB"/>
    <w:rsid w:val="003810E9"/>
    <w:rsid w:val="00397833"/>
    <w:rsid w:val="003A1452"/>
    <w:rsid w:val="003A21F1"/>
    <w:rsid w:val="003B0175"/>
    <w:rsid w:val="003B45A5"/>
    <w:rsid w:val="003C02E5"/>
    <w:rsid w:val="003C061C"/>
    <w:rsid w:val="003C3F18"/>
    <w:rsid w:val="003C5E8B"/>
    <w:rsid w:val="003D00A0"/>
    <w:rsid w:val="003D0815"/>
    <w:rsid w:val="003D6A92"/>
    <w:rsid w:val="003D6E54"/>
    <w:rsid w:val="003E10BF"/>
    <w:rsid w:val="003F3AAD"/>
    <w:rsid w:val="003F6094"/>
    <w:rsid w:val="004011A6"/>
    <w:rsid w:val="00406B35"/>
    <w:rsid w:val="00412660"/>
    <w:rsid w:val="00413ADC"/>
    <w:rsid w:val="004142D0"/>
    <w:rsid w:val="00421B57"/>
    <w:rsid w:val="00432760"/>
    <w:rsid w:val="00433659"/>
    <w:rsid w:val="00433750"/>
    <w:rsid w:val="00437D76"/>
    <w:rsid w:val="00441B5B"/>
    <w:rsid w:val="00445973"/>
    <w:rsid w:val="00446D5B"/>
    <w:rsid w:val="00447C15"/>
    <w:rsid w:val="00452E57"/>
    <w:rsid w:val="00456FBC"/>
    <w:rsid w:val="004617D1"/>
    <w:rsid w:val="00462E5F"/>
    <w:rsid w:val="0046515E"/>
    <w:rsid w:val="0046730F"/>
    <w:rsid w:val="004704AC"/>
    <w:rsid w:val="00477F36"/>
    <w:rsid w:val="00485219"/>
    <w:rsid w:val="004857BD"/>
    <w:rsid w:val="0048598B"/>
    <w:rsid w:val="0049504C"/>
    <w:rsid w:val="00496152"/>
    <w:rsid w:val="004A706F"/>
    <w:rsid w:val="004A797A"/>
    <w:rsid w:val="004C3B67"/>
    <w:rsid w:val="004E4953"/>
    <w:rsid w:val="004E7305"/>
    <w:rsid w:val="004F02CF"/>
    <w:rsid w:val="004F0F93"/>
    <w:rsid w:val="004F3478"/>
    <w:rsid w:val="004F4EC1"/>
    <w:rsid w:val="00504889"/>
    <w:rsid w:val="00504BCC"/>
    <w:rsid w:val="00506CB0"/>
    <w:rsid w:val="005116C7"/>
    <w:rsid w:val="00511759"/>
    <w:rsid w:val="005147C3"/>
    <w:rsid w:val="00515E4A"/>
    <w:rsid w:val="00524DE4"/>
    <w:rsid w:val="00524F3B"/>
    <w:rsid w:val="005256CB"/>
    <w:rsid w:val="005317B6"/>
    <w:rsid w:val="00535521"/>
    <w:rsid w:val="00536C11"/>
    <w:rsid w:val="005503EE"/>
    <w:rsid w:val="00551DC6"/>
    <w:rsid w:val="00554E3A"/>
    <w:rsid w:val="005561EF"/>
    <w:rsid w:val="00562DA9"/>
    <w:rsid w:val="00565BF5"/>
    <w:rsid w:val="005664FA"/>
    <w:rsid w:val="005728FA"/>
    <w:rsid w:val="00576ADF"/>
    <w:rsid w:val="00580876"/>
    <w:rsid w:val="00582E61"/>
    <w:rsid w:val="0059545E"/>
    <w:rsid w:val="00596ED0"/>
    <w:rsid w:val="005A0A52"/>
    <w:rsid w:val="005A1274"/>
    <w:rsid w:val="005A3BB2"/>
    <w:rsid w:val="005B0465"/>
    <w:rsid w:val="005B2438"/>
    <w:rsid w:val="005B5260"/>
    <w:rsid w:val="005C2C46"/>
    <w:rsid w:val="005C62F5"/>
    <w:rsid w:val="005C6D86"/>
    <w:rsid w:val="005D2627"/>
    <w:rsid w:val="005D478A"/>
    <w:rsid w:val="005E1F11"/>
    <w:rsid w:val="005E66D9"/>
    <w:rsid w:val="005F17B3"/>
    <w:rsid w:val="005F1A20"/>
    <w:rsid w:val="005F3785"/>
    <w:rsid w:val="005F6411"/>
    <w:rsid w:val="00612077"/>
    <w:rsid w:val="006125CF"/>
    <w:rsid w:val="00621CBC"/>
    <w:rsid w:val="006273B6"/>
    <w:rsid w:val="00646172"/>
    <w:rsid w:val="00656275"/>
    <w:rsid w:val="00663E6B"/>
    <w:rsid w:val="00664A84"/>
    <w:rsid w:val="00665274"/>
    <w:rsid w:val="00666E3F"/>
    <w:rsid w:val="00670A56"/>
    <w:rsid w:val="00671C5D"/>
    <w:rsid w:val="00672681"/>
    <w:rsid w:val="00676D04"/>
    <w:rsid w:val="0068701A"/>
    <w:rsid w:val="00693945"/>
    <w:rsid w:val="006A11F9"/>
    <w:rsid w:val="006A3BEF"/>
    <w:rsid w:val="006A45F1"/>
    <w:rsid w:val="006A6983"/>
    <w:rsid w:val="006A7138"/>
    <w:rsid w:val="006B0EAE"/>
    <w:rsid w:val="006B110F"/>
    <w:rsid w:val="006D434F"/>
    <w:rsid w:val="006D560E"/>
    <w:rsid w:val="006E6917"/>
    <w:rsid w:val="007078CA"/>
    <w:rsid w:val="00711C77"/>
    <w:rsid w:val="00712E37"/>
    <w:rsid w:val="00714CB1"/>
    <w:rsid w:val="0073066C"/>
    <w:rsid w:val="00732737"/>
    <w:rsid w:val="0074540E"/>
    <w:rsid w:val="00747073"/>
    <w:rsid w:val="00755890"/>
    <w:rsid w:val="00764635"/>
    <w:rsid w:val="00765584"/>
    <w:rsid w:val="00766296"/>
    <w:rsid w:val="00771EEC"/>
    <w:rsid w:val="00783B29"/>
    <w:rsid w:val="00794F2D"/>
    <w:rsid w:val="007B03DA"/>
    <w:rsid w:val="007C3FDA"/>
    <w:rsid w:val="007D4D23"/>
    <w:rsid w:val="007D6167"/>
    <w:rsid w:val="007D7EAF"/>
    <w:rsid w:val="007E0A7C"/>
    <w:rsid w:val="007E5C9A"/>
    <w:rsid w:val="007E6836"/>
    <w:rsid w:val="007E7788"/>
    <w:rsid w:val="007F35A3"/>
    <w:rsid w:val="007F4CA3"/>
    <w:rsid w:val="0081295A"/>
    <w:rsid w:val="008206F4"/>
    <w:rsid w:val="00834D0C"/>
    <w:rsid w:val="00841372"/>
    <w:rsid w:val="008433B7"/>
    <w:rsid w:val="00846CF9"/>
    <w:rsid w:val="008504A1"/>
    <w:rsid w:val="00855368"/>
    <w:rsid w:val="008561F1"/>
    <w:rsid w:val="00882B96"/>
    <w:rsid w:val="00884E60"/>
    <w:rsid w:val="00892B2F"/>
    <w:rsid w:val="0089378F"/>
    <w:rsid w:val="008948BA"/>
    <w:rsid w:val="00895C95"/>
    <w:rsid w:val="008A20AB"/>
    <w:rsid w:val="008A5B78"/>
    <w:rsid w:val="008B4884"/>
    <w:rsid w:val="008B62B7"/>
    <w:rsid w:val="008B6B15"/>
    <w:rsid w:val="008B7D53"/>
    <w:rsid w:val="008C3DA4"/>
    <w:rsid w:val="008C7DE0"/>
    <w:rsid w:val="008D2E40"/>
    <w:rsid w:val="008E3DCE"/>
    <w:rsid w:val="008E4C5D"/>
    <w:rsid w:val="008E7E82"/>
    <w:rsid w:val="008F264D"/>
    <w:rsid w:val="008F3E08"/>
    <w:rsid w:val="008F4F66"/>
    <w:rsid w:val="0090466A"/>
    <w:rsid w:val="00907904"/>
    <w:rsid w:val="00914C07"/>
    <w:rsid w:val="00915900"/>
    <w:rsid w:val="00915CB6"/>
    <w:rsid w:val="009247C4"/>
    <w:rsid w:val="00930560"/>
    <w:rsid w:val="00956396"/>
    <w:rsid w:val="0095709E"/>
    <w:rsid w:val="00960732"/>
    <w:rsid w:val="00960BC5"/>
    <w:rsid w:val="00963A6D"/>
    <w:rsid w:val="0096664F"/>
    <w:rsid w:val="009744E5"/>
    <w:rsid w:val="00974910"/>
    <w:rsid w:val="009837F9"/>
    <w:rsid w:val="00983E22"/>
    <w:rsid w:val="00996399"/>
    <w:rsid w:val="009A1A4C"/>
    <w:rsid w:val="009B6C0D"/>
    <w:rsid w:val="009C0C54"/>
    <w:rsid w:val="009C0EC8"/>
    <w:rsid w:val="009C2234"/>
    <w:rsid w:val="009D00C5"/>
    <w:rsid w:val="009D01BE"/>
    <w:rsid w:val="009D0DC1"/>
    <w:rsid w:val="009D158F"/>
    <w:rsid w:val="009D552E"/>
    <w:rsid w:val="009E1C48"/>
    <w:rsid w:val="009E205D"/>
    <w:rsid w:val="009F2C92"/>
    <w:rsid w:val="009F3AC9"/>
    <w:rsid w:val="009F690E"/>
    <w:rsid w:val="00A0033A"/>
    <w:rsid w:val="00A024E9"/>
    <w:rsid w:val="00A048D0"/>
    <w:rsid w:val="00A106CA"/>
    <w:rsid w:val="00A1758F"/>
    <w:rsid w:val="00A2379B"/>
    <w:rsid w:val="00A257BE"/>
    <w:rsid w:val="00A31D5C"/>
    <w:rsid w:val="00A43045"/>
    <w:rsid w:val="00A5224F"/>
    <w:rsid w:val="00A52462"/>
    <w:rsid w:val="00A530E1"/>
    <w:rsid w:val="00A564F7"/>
    <w:rsid w:val="00A61996"/>
    <w:rsid w:val="00A63172"/>
    <w:rsid w:val="00A70AF6"/>
    <w:rsid w:val="00A70C8D"/>
    <w:rsid w:val="00A711EF"/>
    <w:rsid w:val="00A71805"/>
    <w:rsid w:val="00A73751"/>
    <w:rsid w:val="00A8522E"/>
    <w:rsid w:val="00A8586B"/>
    <w:rsid w:val="00A90CB0"/>
    <w:rsid w:val="00AA3219"/>
    <w:rsid w:val="00AA763F"/>
    <w:rsid w:val="00AB4138"/>
    <w:rsid w:val="00AC7407"/>
    <w:rsid w:val="00AD06BC"/>
    <w:rsid w:val="00AD41A5"/>
    <w:rsid w:val="00AD5943"/>
    <w:rsid w:val="00AE0E91"/>
    <w:rsid w:val="00AF64F8"/>
    <w:rsid w:val="00B03A97"/>
    <w:rsid w:val="00B06D8A"/>
    <w:rsid w:val="00B12F69"/>
    <w:rsid w:val="00B1617B"/>
    <w:rsid w:val="00B223BB"/>
    <w:rsid w:val="00B229AF"/>
    <w:rsid w:val="00B259BF"/>
    <w:rsid w:val="00B34994"/>
    <w:rsid w:val="00B4044F"/>
    <w:rsid w:val="00B40726"/>
    <w:rsid w:val="00B415DB"/>
    <w:rsid w:val="00B503C8"/>
    <w:rsid w:val="00B536A8"/>
    <w:rsid w:val="00B53BD7"/>
    <w:rsid w:val="00B60574"/>
    <w:rsid w:val="00B64F70"/>
    <w:rsid w:val="00B66C0D"/>
    <w:rsid w:val="00B6740F"/>
    <w:rsid w:val="00B71671"/>
    <w:rsid w:val="00B74CC1"/>
    <w:rsid w:val="00B75918"/>
    <w:rsid w:val="00B8081B"/>
    <w:rsid w:val="00B835A2"/>
    <w:rsid w:val="00B8370B"/>
    <w:rsid w:val="00B856B6"/>
    <w:rsid w:val="00BA123D"/>
    <w:rsid w:val="00BA3922"/>
    <w:rsid w:val="00BB54B9"/>
    <w:rsid w:val="00BC0F0D"/>
    <w:rsid w:val="00BC4FA4"/>
    <w:rsid w:val="00BC58F0"/>
    <w:rsid w:val="00BD593D"/>
    <w:rsid w:val="00BE2948"/>
    <w:rsid w:val="00BE2C41"/>
    <w:rsid w:val="00BE3BA5"/>
    <w:rsid w:val="00BE56EA"/>
    <w:rsid w:val="00BE7A54"/>
    <w:rsid w:val="00BF128E"/>
    <w:rsid w:val="00BF1C57"/>
    <w:rsid w:val="00BF3308"/>
    <w:rsid w:val="00C04EA6"/>
    <w:rsid w:val="00C06CC5"/>
    <w:rsid w:val="00C15B0E"/>
    <w:rsid w:val="00C2776C"/>
    <w:rsid w:val="00C27D9E"/>
    <w:rsid w:val="00C37FCF"/>
    <w:rsid w:val="00C4116D"/>
    <w:rsid w:val="00C46695"/>
    <w:rsid w:val="00C55DC9"/>
    <w:rsid w:val="00C574F7"/>
    <w:rsid w:val="00C606D6"/>
    <w:rsid w:val="00C65CE3"/>
    <w:rsid w:val="00C66DED"/>
    <w:rsid w:val="00C738B9"/>
    <w:rsid w:val="00C745B1"/>
    <w:rsid w:val="00C75363"/>
    <w:rsid w:val="00C75B9D"/>
    <w:rsid w:val="00C7737E"/>
    <w:rsid w:val="00C87088"/>
    <w:rsid w:val="00C90BEC"/>
    <w:rsid w:val="00C932CB"/>
    <w:rsid w:val="00C9616A"/>
    <w:rsid w:val="00C968E5"/>
    <w:rsid w:val="00C96ADF"/>
    <w:rsid w:val="00CA22E7"/>
    <w:rsid w:val="00CA26AA"/>
    <w:rsid w:val="00CA2F76"/>
    <w:rsid w:val="00CA409A"/>
    <w:rsid w:val="00CA7FD1"/>
    <w:rsid w:val="00CB0717"/>
    <w:rsid w:val="00CC13AE"/>
    <w:rsid w:val="00CD5BEB"/>
    <w:rsid w:val="00CD79FD"/>
    <w:rsid w:val="00CE2F19"/>
    <w:rsid w:val="00CF0167"/>
    <w:rsid w:val="00CF3D81"/>
    <w:rsid w:val="00CF3EC1"/>
    <w:rsid w:val="00CF6C6B"/>
    <w:rsid w:val="00D07387"/>
    <w:rsid w:val="00D10965"/>
    <w:rsid w:val="00D16BA6"/>
    <w:rsid w:val="00D1729B"/>
    <w:rsid w:val="00D22FD6"/>
    <w:rsid w:val="00D236ED"/>
    <w:rsid w:val="00D34295"/>
    <w:rsid w:val="00D450CE"/>
    <w:rsid w:val="00D45275"/>
    <w:rsid w:val="00D463C2"/>
    <w:rsid w:val="00D470B1"/>
    <w:rsid w:val="00D47F3B"/>
    <w:rsid w:val="00D550E3"/>
    <w:rsid w:val="00D55DF4"/>
    <w:rsid w:val="00D570EA"/>
    <w:rsid w:val="00D57495"/>
    <w:rsid w:val="00D61C4E"/>
    <w:rsid w:val="00D7002C"/>
    <w:rsid w:val="00D703C8"/>
    <w:rsid w:val="00D71EDB"/>
    <w:rsid w:val="00D76F3B"/>
    <w:rsid w:val="00D84F25"/>
    <w:rsid w:val="00D8617B"/>
    <w:rsid w:val="00D86DA7"/>
    <w:rsid w:val="00D90124"/>
    <w:rsid w:val="00D93ED3"/>
    <w:rsid w:val="00D9770E"/>
    <w:rsid w:val="00DA17C6"/>
    <w:rsid w:val="00DA559A"/>
    <w:rsid w:val="00DA7624"/>
    <w:rsid w:val="00DB1E52"/>
    <w:rsid w:val="00DB3691"/>
    <w:rsid w:val="00DB6FE8"/>
    <w:rsid w:val="00DB756E"/>
    <w:rsid w:val="00DC26F9"/>
    <w:rsid w:val="00DC4924"/>
    <w:rsid w:val="00DC4EDC"/>
    <w:rsid w:val="00DD648F"/>
    <w:rsid w:val="00DE456D"/>
    <w:rsid w:val="00DF3070"/>
    <w:rsid w:val="00DF3198"/>
    <w:rsid w:val="00DF5BCB"/>
    <w:rsid w:val="00E018A8"/>
    <w:rsid w:val="00E02562"/>
    <w:rsid w:val="00E04588"/>
    <w:rsid w:val="00E1188B"/>
    <w:rsid w:val="00E15255"/>
    <w:rsid w:val="00E16D90"/>
    <w:rsid w:val="00E2221F"/>
    <w:rsid w:val="00E26522"/>
    <w:rsid w:val="00E30BA4"/>
    <w:rsid w:val="00E32A0F"/>
    <w:rsid w:val="00E401CB"/>
    <w:rsid w:val="00E4449C"/>
    <w:rsid w:val="00E445A5"/>
    <w:rsid w:val="00E50818"/>
    <w:rsid w:val="00E521B6"/>
    <w:rsid w:val="00E56BBE"/>
    <w:rsid w:val="00E57C52"/>
    <w:rsid w:val="00E61047"/>
    <w:rsid w:val="00E61648"/>
    <w:rsid w:val="00E712BF"/>
    <w:rsid w:val="00E75A44"/>
    <w:rsid w:val="00E8217D"/>
    <w:rsid w:val="00E85F99"/>
    <w:rsid w:val="00E864F7"/>
    <w:rsid w:val="00E968BB"/>
    <w:rsid w:val="00EA2C03"/>
    <w:rsid w:val="00EA3023"/>
    <w:rsid w:val="00EA4769"/>
    <w:rsid w:val="00EB1BE8"/>
    <w:rsid w:val="00EB3FC2"/>
    <w:rsid w:val="00EC2832"/>
    <w:rsid w:val="00EC4C01"/>
    <w:rsid w:val="00EC4CB5"/>
    <w:rsid w:val="00EC59E4"/>
    <w:rsid w:val="00ED4120"/>
    <w:rsid w:val="00ED4BA8"/>
    <w:rsid w:val="00ED5E50"/>
    <w:rsid w:val="00ED750B"/>
    <w:rsid w:val="00EE10A8"/>
    <w:rsid w:val="00EE24F3"/>
    <w:rsid w:val="00EE6371"/>
    <w:rsid w:val="00EF1B4A"/>
    <w:rsid w:val="00EF2B31"/>
    <w:rsid w:val="00F05EFD"/>
    <w:rsid w:val="00F10845"/>
    <w:rsid w:val="00F20106"/>
    <w:rsid w:val="00F231BC"/>
    <w:rsid w:val="00F26AC1"/>
    <w:rsid w:val="00F36F7F"/>
    <w:rsid w:val="00F371FB"/>
    <w:rsid w:val="00F43648"/>
    <w:rsid w:val="00F50CCB"/>
    <w:rsid w:val="00F60A9C"/>
    <w:rsid w:val="00F6627B"/>
    <w:rsid w:val="00F70D28"/>
    <w:rsid w:val="00F732F1"/>
    <w:rsid w:val="00F75101"/>
    <w:rsid w:val="00F762E1"/>
    <w:rsid w:val="00F84CE1"/>
    <w:rsid w:val="00F86C9F"/>
    <w:rsid w:val="00F87DD6"/>
    <w:rsid w:val="00F941C2"/>
    <w:rsid w:val="00F94D8B"/>
    <w:rsid w:val="00F970CA"/>
    <w:rsid w:val="00F97484"/>
    <w:rsid w:val="00FA270C"/>
    <w:rsid w:val="00FA608A"/>
    <w:rsid w:val="00FA6C56"/>
    <w:rsid w:val="00FB06A8"/>
    <w:rsid w:val="00FB1284"/>
    <w:rsid w:val="00FB4418"/>
    <w:rsid w:val="00FB59FF"/>
    <w:rsid w:val="00FC0BCA"/>
    <w:rsid w:val="00FC52DD"/>
    <w:rsid w:val="00FC55AC"/>
    <w:rsid w:val="00FC65F9"/>
    <w:rsid w:val="00FD0143"/>
    <w:rsid w:val="00FD3624"/>
    <w:rsid w:val="00FD6AD0"/>
    <w:rsid w:val="00FE1807"/>
    <w:rsid w:val="00FE64FD"/>
    <w:rsid w:val="00FE6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locked="0" w:semiHidden="0" w:uiPriority="39" w:unhideWhenUsed="0"/>
    <w:lsdException w:name="toc 2" w:locked="0" w:semiHidden="0" w:uiPriority="39" w:unhideWhenUsed="0"/>
    <w:lsdException w:name="toc 3" w:uiPriority="39"/>
    <w:lsdException w:name="toc 4" w:uiPriority="39"/>
    <w:lsdException w:name="toc 5" w:uiPriority="39"/>
    <w:lsdException w:name="toc 6" w:uiPriority="39"/>
    <w:lsdException w:name="toc 7" w:locked="0" w:semiHidden="0" w:uiPriority="0" w:unhideWhenUsed="0"/>
    <w:lsdException w:name="toc 8" w:locked="0" w:semiHidden="0" w:uiPriority="0" w:unhideWhenUsed="0"/>
    <w:lsdException w:name="toc 9" w:locked="0" w:semiHidden="0" w:uiPriority="0" w:unhideWhenUsed="0"/>
    <w:lsdException w:name="caption" w:locked="0" w:semiHidden="0" w:uiPriority="0" w:unhideWhenUsed="0" w:qFormat="1"/>
    <w:lsdException w:name="Title" w:locked="0" w:semiHidden="0" w:uiPriority="0" w:unhideWhenUsed="0" w:qFormat="1"/>
    <w:lsdException w:name="Default Paragraph Font" w:locked="0" w:semiHidden="0" w:uiPriority="0" w:unhideWhenUsed="0"/>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F347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C4116D"/>
    <w:pPr>
      <w:keepNext/>
      <w:spacing w:before="360" w:after="160"/>
      <w:outlineLvl w:val="0"/>
    </w:pPr>
    <w:rPr>
      <w:rFonts w:cs="Times New Roman"/>
      <w:b/>
      <w:bCs/>
      <w:color w:val="215868"/>
      <w:sz w:val="32"/>
      <w:szCs w:val="32"/>
      <w:lang w:val="en-US"/>
    </w:rPr>
  </w:style>
  <w:style w:type="paragraph" w:styleId="Heading2">
    <w:name w:val="heading 2"/>
    <w:basedOn w:val="Normal"/>
    <w:next w:val="Normal"/>
    <w:link w:val="Heading2Char"/>
    <w:uiPriority w:val="99"/>
    <w:qFormat/>
    <w:rsid w:val="00C4116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C4116D"/>
    <w:pPr>
      <w:keepNext/>
      <w:spacing w:after="120"/>
      <w:outlineLvl w:val="2"/>
    </w:pPr>
    <w:rPr>
      <w:rFonts w:cs="Times New Roman"/>
      <w:color w:val="41A7BF"/>
      <w:lang w:val="en-US"/>
    </w:rPr>
  </w:style>
  <w:style w:type="paragraph" w:styleId="Heading4">
    <w:name w:val="heading 4"/>
    <w:basedOn w:val="Normal"/>
    <w:next w:val="Normal"/>
    <w:link w:val="Heading4Char"/>
    <w:uiPriority w:val="99"/>
    <w:qFormat/>
    <w:rsid w:val="00C4116D"/>
    <w:pPr>
      <w:keepNext/>
      <w:numPr>
        <w:ilvl w:val="3"/>
        <w:numId w:val="1"/>
      </w:numPr>
      <w:outlineLvl w:val="3"/>
    </w:pPr>
    <w:rPr>
      <w:rFonts w:ascii="Times New Roman" w:hAnsi="Times New Roman" w:cs="Times New Roman"/>
      <w:u w:val="single"/>
      <w:lang w:val="en-US"/>
    </w:rPr>
  </w:style>
  <w:style w:type="paragraph" w:styleId="Heading5">
    <w:name w:val="heading 5"/>
    <w:basedOn w:val="Normal"/>
    <w:next w:val="Normal"/>
    <w:link w:val="Heading5Char"/>
    <w:uiPriority w:val="99"/>
    <w:qFormat/>
    <w:rsid w:val="00C4116D"/>
    <w:pPr>
      <w:keepNext/>
      <w:numPr>
        <w:ilvl w:val="4"/>
        <w:numId w:val="1"/>
      </w:numPr>
      <w:tabs>
        <w:tab w:val="left" w:pos="709"/>
      </w:tabs>
      <w:outlineLvl w:val="4"/>
    </w:pPr>
    <w:rPr>
      <w:rFonts w:ascii="Times New Roman" w:hAnsi="Times New Roman" w:cs="Times New Roman"/>
      <w:b/>
      <w:i/>
      <w:lang w:val="en-US"/>
    </w:rPr>
  </w:style>
  <w:style w:type="paragraph" w:styleId="Heading6">
    <w:name w:val="heading 6"/>
    <w:basedOn w:val="Normal"/>
    <w:next w:val="Normal"/>
    <w:link w:val="Heading6Char"/>
    <w:uiPriority w:val="99"/>
    <w:qFormat/>
    <w:rsid w:val="00C4116D"/>
    <w:pPr>
      <w:keepNext/>
      <w:numPr>
        <w:ilvl w:val="5"/>
        <w:numId w:val="1"/>
      </w:numPr>
      <w:jc w:val="center"/>
      <w:outlineLvl w:val="5"/>
    </w:pPr>
    <w:rPr>
      <w:rFonts w:ascii="Times New Roman" w:hAnsi="Times New Roman" w:cs="Times New Roman"/>
      <w:b/>
      <w:lang w:val="en-US"/>
    </w:rPr>
  </w:style>
  <w:style w:type="paragraph" w:styleId="Heading7">
    <w:name w:val="heading 7"/>
    <w:basedOn w:val="Normal"/>
    <w:next w:val="Normal"/>
    <w:link w:val="Heading7Char"/>
    <w:uiPriority w:val="99"/>
    <w:qFormat/>
    <w:rsid w:val="00C4116D"/>
    <w:pPr>
      <w:keepNext/>
      <w:outlineLvl w:val="6"/>
    </w:pPr>
    <w:rPr>
      <w:rFonts w:ascii="Times New Roman" w:hAnsi="Times New Roman" w:cs="Times New Roman"/>
      <w:i/>
      <w:lang w:val="en-US"/>
    </w:rPr>
  </w:style>
  <w:style w:type="paragraph" w:styleId="Heading8">
    <w:name w:val="heading 8"/>
    <w:basedOn w:val="Normal"/>
    <w:next w:val="Normal"/>
    <w:link w:val="Heading8Char"/>
    <w:uiPriority w:val="99"/>
    <w:qFormat/>
    <w:rsid w:val="00C4116D"/>
    <w:pPr>
      <w:keepNext/>
      <w:numPr>
        <w:ilvl w:val="7"/>
        <w:numId w:val="1"/>
      </w:numPr>
      <w:spacing w:line="288" w:lineRule="auto"/>
      <w:jc w:val="center"/>
      <w:outlineLvl w:val="7"/>
    </w:pPr>
    <w:rPr>
      <w:rFonts w:ascii="Times New Roman" w:hAnsi="Times New Roman" w:cs="Times New Roman"/>
      <w:lang w:val="en-US"/>
    </w:rPr>
  </w:style>
  <w:style w:type="paragraph" w:styleId="Heading9">
    <w:name w:val="heading 9"/>
    <w:basedOn w:val="Normal"/>
    <w:next w:val="Normal"/>
    <w:link w:val="Heading9Char"/>
    <w:uiPriority w:val="99"/>
    <w:qFormat/>
    <w:rsid w:val="00C4116D"/>
    <w:pPr>
      <w:keepNext/>
      <w:numPr>
        <w:ilvl w:val="8"/>
        <w:numId w:val="1"/>
      </w:numPr>
      <w:outlineLvl w:val="8"/>
    </w:pPr>
    <w:rPr>
      <w:rFonts w:ascii="Times New Roman" w:hAnsi="Times New Roman" w:cs="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16D"/>
    <w:rPr>
      <w:rFonts w:ascii="Tahoma" w:eastAsia="SimSun" w:hAnsi="Tahoma" w:cs="Times New Roman"/>
      <w:b/>
      <w:color w:val="215868"/>
      <w:sz w:val="32"/>
      <w:lang w:eastAsia="zh-CN"/>
    </w:rPr>
  </w:style>
  <w:style w:type="character" w:customStyle="1" w:styleId="Heading2Char">
    <w:name w:val="Heading 2 Char"/>
    <w:basedOn w:val="DefaultParagraphFont"/>
    <w:link w:val="Heading2"/>
    <w:uiPriority w:val="99"/>
    <w:locked/>
    <w:rsid w:val="00C4116D"/>
    <w:rPr>
      <w:rFonts w:ascii="Tahoma" w:eastAsia="SimSun" w:hAnsi="Tahoma" w:cs="Times New Roman"/>
      <w:b/>
      <w:color w:val="215868"/>
      <w:sz w:val="28"/>
      <w:lang w:val="en-GB" w:eastAsia="ja-JP"/>
    </w:rPr>
  </w:style>
  <w:style w:type="character" w:customStyle="1" w:styleId="Heading3Char">
    <w:name w:val="Heading 3 Char"/>
    <w:basedOn w:val="DefaultParagraphFont"/>
    <w:link w:val="Heading3"/>
    <w:uiPriority w:val="99"/>
    <w:locked/>
    <w:rsid w:val="00C4116D"/>
    <w:rPr>
      <w:rFonts w:ascii="Tahoma" w:eastAsia="SimSun" w:hAnsi="Tahoma" w:cs="Times New Roman"/>
      <w:color w:val="41A7BF"/>
      <w:sz w:val="20"/>
      <w:lang w:eastAsia="zh-CN"/>
    </w:rPr>
  </w:style>
  <w:style w:type="character" w:customStyle="1" w:styleId="Heading4Char">
    <w:name w:val="Heading 4 Char"/>
    <w:basedOn w:val="DefaultParagraphFont"/>
    <w:link w:val="Heading4"/>
    <w:uiPriority w:val="99"/>
    <w:locked/>
    <w:rsid w:val="00C4116D"/>
    <w:rPr>
      <w:rFonts w:ascii="Times New Roman" w:eastAsia="SimSun" w:hAnsi="Times New Roman" w:cs="Times New Roman"/>
      <w:sz w:val="20"/>
      <w:szCs w:val="20"/>
      <w:u w:val="single"/>
      <w:lang w:eastAsia="zh-CN"/>
    </w:rPr>
  </w:style>
  <w:style w:type="character" w:customStyle="1" w:styleId="Heading5Char">
    <w:name w:val="Heading 5 Char"/>
    <w:basedOn w:val="DefaultParagraphFont"/>
    <w:link w:val="Heading5"/>
    <w:uiPriority w:val="99"/>
    <w:locked/>
    <w:rsid w:val="00C4116D"/>
    <w:rPr>
      <w:rFonts w:ascii="Times New Roman" w:eastAsia="SimSun" w:hAnsi="Times New Roman" w:cs="Times New Roman"/>
      <w:b/>
      <w:i/>
      <w:sz w:val="20"/>
      <w:szCs w:val="20"/>
      <w:lang w:eastAsia="zh-CN"/>
    </w:rPr>
  </w:style>
  <w:style w:type="character" w:customStyle="1" w:styleId="Heading6Char">
    <w:name w:val="Heading 6 Char"/>
    <w:basedOn w:val="DefaultParagraphFont"/>
    <w:link w:val="Heading6"/>
    <w:uiPriority w:val="99"/>
    <w:locked/>
    <w:rsid w:val="00C4116D"/>
    <w:rPr>
      <w:rFonts w:ascii="Times New Roman" w:eastAsia="SimSun" w:hAnsi="Times New Roman" w:cs="Times New Roman"/>
      <w:b/>
      <w:sz w:val="20"/>
      <w:szCs w:val="20"/>
      <w:lang w:eastAsia="zh-CN"/>
    </w:rPr>
  </w:style>
  <w:style w:type="character" w:customStyle="1" w:styleId="Heading7Char">
    <w:name w:val="Heading 7 Char"/>
    <w:basedOn w:val="DefaultParagraphFont"/>
    <w:link w:val="Heading7"/>
    <w:uiPriority w:val="99"/>
    <w:locked/>
    <w:rsid w:val="00C4116D"/>
    <w:rPr>
      <w:rFonts w:ascii="Times New Roman" w:eastAsia="SimSun" w:hAnsi="Times New Roman" w:cs="Times New Roman"/>
      <w:i/>
      <w:sz w:val="20"/>
      <w:lang w:eastAsia="zh-CN"/>
    </w:rPr>
  </w:style>
  <w:style w:type="character" w:customStyle="1" w:styleId="Heading8Char">
    <w:name w:val="Heading 8 Char"/>
    <w:basedOn w:val="DefaultParagraphFont"/>
    <w:link w:val="Heading8"/>
    <w:uiPriority w:val="99"/>
    <w:locked/>
    <w:rsid w:val="00C4116D"/>
    <w:rPr>
      <w:rFonts w:ascii="Times New Roman" w:eastAsia="SimSun" w:hAnsi="Times New Roman" w:cs="Times New Roman"/>
      <w:sz w:val="20"/>
      <w:szCs w:val="20"/>
      <w:lang w:eastAsia="zh-CN"/>
    </w:rPr>
  </w:style>
  <w:style w:type="character" w:customStyle="1" w:styleId="Heading9Char">
    <w:name w:val="Heading 9 Char"/>
    <w:basedOn w:val="DefaultParagraphFont"/>
    <w:link w:val="Heading9"/>
    <w:uiPriority w:val="99"/>
    <w:locked/>
    <w:rsid w:val="00C4116D"/>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C4116D"/>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C4116D"/>
    <w:pPr>
      <w:spacing w:line="240" w:lineRule="auto"/>
    </w:pPr>
    <w:rPr>
      <w:rFonts w:cs="Times New Roman"/>
      <w:sz w:val="16"/>
      <w:szCs w:val="16"/>
      <w:lang w:val="en-US"/>
    </w:rPr>
  </w:style>
  <w:style w:type="character" w:customStyle="1" w:styleId="BalloonTextChar">
    <w:name w:val="Balloon Text Char"/>
    <w:basedOn w:val="DefaultParagraphFont"/>
    <w:link w:val="BalloonText"/>
    <w:uiPriority w:val="99"/>
    <w:locked/>
    <w:rsid w:val="00C4116D"/>
    <w:rPr>
      <w:rFonts w:ascii="Tahoma" w:eastAsia="SimSun" w:hAnsi="Tahoma" w:cs="Times New Roman"/>
      <w:sz w:val="16"/>
      <w:lang w:eastAsia="zh-CN"/>
    </w:rPr>
  </w:style>
  <w:style w:type="paragraph" w:customStyle="1" w:styleId="Bulletedtext">
    <w:name w:val="Bulleted text"/>
    <w:basedOn w:val="Normal"/>
    <w:uiPriority w:val="99"/>
    <w:rsid w:val="00C4116D"/>
    <w:pPr>
      <w:tabs>
        <w:tab w:val="left" w:pos="2835"/>
      </w:tabs>
    </w:pPr>
  </w:style>
  <w:style w:type="paragraph" w:customStyle="1" w:styleId="Bulletedtext2ndlevel">
    <w:name w:val="Bulleted text 2nd level"/>
    <w:basedOn w:val="Normal"/>
    <w:uiPriority w:val="99"/>
    <w:rsid w:val="00C4116D"/>
    <w:pPr>
      <w:tabs>
        <w:tab w:val="num" w:pos="720"/>
      </w:tabs>
      <w:ind w:left="720" w:hanging="360"/>
      <w:jc w:val="left"/>
    </w:pPr>
  </w:style>
  <w:style w:type="paragraph" w:customStyle="1" w:styleId="Captioncontinued">
    <w:name w:val="Caption (continued)"/>
    <w:basedOn w:val="Normal"/>
    <w:next w:val="Normal"/>
    <w:uiPriority w:val="99"/>
    <w:rsid w:val="00C4116D"/>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C4116D"/>
    <w:rPr>
      <w:i/>
      <w:sz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C4116D"/>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C4116D"/>
    <w:rPr>
      <w:rFonts w:cs="Times New Roman"/>
      <w:sz w:val="16"/>
    </w:rPr>
  </w:style>
  <w:style w:type="paragraph" w:styleId="CommentText">
    <w:name w:val="annotation text"/>
    <w:basedOn w:val="Normal"/>
    <w:link w:val="CommentTextChar"/>
    <w:uiPriority w:val="99"/>
    <w:semiHidden/>
    <w:rsid w:val="00C4116D"/>
    <w:rPr>
      <w:rFonts w:ascii="Times New Roman" w:hAnsi="Times New Roman" w:cs="Times New Roman"/>
      <w:lang w:val="en-US"/>
    </w:rPr>
  </w:style>
  <w:style w:type="character" w:customStyle="1" w:styleId="CommentTextChar">
    <w:name w:val="Comment Text Char"/>
    <w:basedOn w:val="DefaultParagraphFont"/>
    <w:link w:val="CommentText"/>
    <w:uiPriority w:val="99"/>
    <w:semiHidden/>
    <w:locked/>
    <w:rsid w:val="00C4116D"/>
    <w:rPr>
      <w:rFonts w:ascii="Times New Roman" w:eastAsia="SimSun" w:hAnsi="Times New Roman" w:cs="Times New Roman"/>
      <w:sz w:val="20"/>
      <w:lang w:eastAsia="zh-CN"/>
    </w:rPr>
  </w:style>
  <w:style w:type="paragraph" w:styleId="CommentSubject">
    <w:name w:val="annotation subject"/>
    <w:basedOn w:val="CommentText"/>
    <w:next w:val="CommentText"/>
    <w:link w:val="CommentSubjectChar"/>
    <w:uiPriority w:val="99"/>
    <w:semiHidden/>
    <w:rsid w:val="00C4116D"/>
    <w:rPr>
      <w:b/>
      <w:bCs/>
    </w:rPr>
  </w:style>
  <w:style w:type="character" w:customStyle="1" w:styleId="CommentSubjectChar">
    <w:name w:val="Comment Subject Char"/>
    <w:basedOn w:val="CommentTextChar"/>
    <w:link w:val="CommentSubject"/>
    <w:uiPriority w:val="99"/>
    <w:semiHidden/>
    <w:locked/>
    <w:rsid w:val="00C4116D"/>
    <w:rPr>
      <w:rFonts w:ascii="Times New Roman" w:eastAsia="SimSun" w:hAnsi="Times New Roman" w:cs="Times New Roman"/>
      <w:b/>
      <w:sz w:val="20"/>
      <w:lang w:eastAsia="zh-CN"/>
    </w:rPr>
  </w:style>
  <w:style w:type="paragraph" w:customStyle="1" w:styleId="Execsummary">
    <w:name w:val="Exec summary"/>
    <w:basedOn w:val="Normal"/>
    <w:uiPriority w:val="99"/>
    <w:semiHidden/>
    <w:rsid w:val="00C4116D"/>
    <w:pPr>
      <w:spacing w:line="288" w:lineRule="auto"/>
    </w:pPr>
    <w:rPr>
      <w:sz w:val="22"/>
    </w:rPr>
  </w:style>
  <w:style w:type="paragraph" w:styleId="Footer">
    <w:name w:val="footer"/>
    <w:basedOn w:val="Normal"/>
    <w:link w:val="FooterChar"/>
    <w:uiPriority w:val="99"/>
    <w:rsid w:val="00C4116D"/>
    <w:pPr>
      <w:tabs>
        <w:tab w:val="center" w:pos="4320"/>
        <w:tab w:val="right" w:pos="8640"/>
      </w:tabs>
    </w:pPr>
    <w:rPr>
      <w:rFonts w:ascii="Times New Roman" w:hAnsi="Times New Roman" w:cs="Times New Roman"/>
      <w:lang w:val="en-US"/>
    </w:rPr>
  </w:style>
  <w:style w:type="character" w:customStyle="1" w:styleId="FooterChar">
    <w:name w:val="Footer Char"/>
    <w:basedOn w:val="DefaultParagraphFont"/>
    <w:link w:val="Footer"/>
    <w:uiPriority w:val="99"/>
    <w:locked/>
    <w:rsid w:val="00C4116D"/>
    <w:rPr>
      <w:rFonts w:ascii="Times New Roman" w:eastAsia="SimSun" w:hAnsi="Times New Roman" w:cs="Times New Roman"/>
      <w:sz w:val="20"/>
      <w:lang w:eastAsia="zh-CN"/>
    </w:rPr>
  </w:style>
  <w:style w:type="character" w:styleId="FootnoteReference">
    <w:name w:val="footnote reference"/>
    <w:basedOn w:val="DefaultParagraphFont"/>
    <w:uiPriority w:val="99"/>
    <w:semiHidden/>
    <w:rsid w:val="00C4116D"/>
    <w:rPr>
      <w:rFonts w:cs="Times New Roman"/>
      <w:vertAlign w:val="superscript"/>
    </w:rPr>
  </w:style>
  <w:style w:type="paragraph" w:styleId="FootnoteText">
    <w:name w:val="footnote text"/>
    <w:basedOn w:val="Normal"/>
    <w:link w:val="FootnoteTextChar"/>
    <w:uiPriority w:val="99"/>
    <w:semiHidden/>
    <w:rsid w:val="00C4116D"/>
    <w:pPr>
      <w:spacing w:line="240" w:lineRule="auto"/>
      <w:jc w:val="left"/>
    </w:pPr>
    <w:rPr>
      <w:rFonts w:ascii="Calibri" w:eastAsia="Calibri" w:hAnsi="Calibri" w:cs="Times New Roman"/>
      <w:lang w:val="en-US" w:eastAsia="en-US"/>
    </w:rPr>
  </w:style>
  <w:style w:type="character" w:customStyle="1" w:styleId="FootnoteTextChar">
    <w:name w:val="Footnote Text Char"/>
    <w:basedOn w:val="DefaultParagraphFont"/>
    <w:link w:val="FootnoteText"/>
    <w:uiPriority w:val="99"/>
    <w:semiHidden/>
    <w:locked/>
    <w:rsid w:val="00C4116D"/>
    <w:rPr>
      <w:rFonts w:cs="Times New Roman"/>
      <w:sz w:val="20"/>
    </w:rPr>
  </w:style>
  <w:style w:type="paragraph" w:customStyle="1" w:styleId="GMHEADING1">
    <w:name w:val="GMHEADING1"/>
    <w:basedOn w:val="Normal"/>
    <w:next w:val="Normal"/>
    <w:uiPriority w:val="99"/>
    <w:rsid w:val="00C4116D"/>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C4116D"/>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C4116D"/>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C4116D"/>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C4116D"/>
    <w:pPr>
      <w:tabs>
        <w:tab w:val="right" w:pos="9240"/>
      </w:tabs>
      <w:spacing w:line="240" w:lineRule="auto"/>
      <w:ind w:right="28"/>
      <w:jc w:val="left"/>
    </w:pPr>
    <w:rPr>
      <w:rFonts w:ascii="Times New Roman" w:hAnsi="Times New Roman" w:cs="Times New Roman"/>
      <w:u w:val="single"/>
      <w:lang w:val="en-US"/>
    </w:rPr>
  </w:style>
  <w:style w:type="character" w:customStyle="1" w:styleId="HeaderChar">
    <w:name w:val="Header Char"/>
    <w:basedOn w:val="DefaultParagraphFont"/>
    <w:link w:val="Header"/>
    <w:uiPriority w:val="99"/>
    <w:locked/>
    <w:rsid w:val="00C4116D"/>
    <w:rPr>
      <w:rFonts w:ascii="Times New Roman" w:eastAsia="SimSun" w:hAnsi="Times New Roman" w:cs="Times New Roman"/>
      <w:sz w:val="20"/>
      <w:u w:val="single"/>
      <w:lang w:eastAsia="zh-CN"/>
    </w:rPr>
  </w:style>
  <w:style w:type="character" w:styleId="Hyperlink">
    <w:name w:val="Hyperlink"/>
    <w:basedOn w:val="DefaultParagraphFont"/>
    <w:uiPriority w:val="99"/>
    <w:rsid w:val="00C4116D"/>
    <w:rPr>
      <w:rFonts w:cs="Times New Roman"/>
      <w:color w:val="0000FF"/>
      <w:u w:val="single"/>
    </w:rPr>
  </w:style>
  <w:style w:type="paragraph" w:customStyle="1" w:styleId="Numberedtext">
    <w:name w:val="Numbered text"/>
    <w:basedOn w:val="Normal"/>
    <w:uiPriority w:val="99"/>
    <w:semiHidden/>
    <w:rsid w:val="00C4116D"/>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C4116D"/>
    <w:pPr>
      <w:tabs>
        <w:tab w:val="left" w:pos="0"/>
      </w:tabs>
      <w:spacing w:before="40" w:after="40" w:line="288" w:lineRule="auto"/>
      <w:jc w:val="left"/>
    </w:pPr>
    <w:rPr>
      <w:sz w:val="22"/>
      <w:szCs w:val="22"/>
    </w:rPr>
  </w:style>
  <w:style w:type="character" w:styleId="PageNumber">
    <w:name w:val="page number"/>
    <w:basedOn w:val="DefaultParagraphFont"/>
    <w:uiPriority w:val="99"/>
    <w:rsid w:val="00C4116D"/>
    <w:rPr>
      <w:rFonts w:cs="Times New Roman"/>
    </w:rPr>
  </w:style>
  <w:style w:type="paragraph" w:customStyle="1" w:styleId="Source">
    <w:name w:val="Source"/>
    <w:basedOn w:val="Normal"/>
    <w:uiPriority w:val="99"/>
    <w:rsid w:val="00C4116D"/>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C4116D"/>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C4116D"/>
    <w:rPr>
      <w:rFonts w:eastAsia="SimSun"/>
      <w:sz w:val="18"/>
      <w:lang w:val="en-AU" w:eastAsia="en-US"/>
    </w:rPr>
  </w:style>
  <w:style w:type="paragraph" w:customStyle="1" w:styleId="Spaceundertable">
    <w:name w:val="Space under table"/>
    <w:basedOn w:val="Normal"/>
    <w:uiPriority w:val="99"/>
    <w:rsid w:val="00C4116D"/>
    <w:pPr>
      <w:numPr>
        <w:numId w:val="4"/>
      </w:numPr>
      <w:spacing w:line="240" w:lineRule="auto"/>
      <w:jc w:val="left"/>
    </w:pPr>
    <w:rPr>
      <w:sz w:val="8"/>
      <w:szCs w:val="8"/>
    </w:rPr>
  </w:style>
  <w:style w:type="paragraph" w:customStyle="1" w:styleId="Style1">
    <w:name w:val="Style1"/>
    <w:basedOn w:val="GMHeading2"/>
    <w:uiPriority w:val="99"/>
    <w:rsid w:val="00C4116D"/>
  </w:style>
  <w:style w:type="paragraph" w:customStyle="1" w:styleId="Style2">
    <w:name w:val="Style2"/>
    <w:basedOn w:val="GMHeading3"/>
    <w:uiPriority w:val="99"/>
    <w:rsid w:val="00C4116D"/>
  </w:style>
  <w:style w:type="table" w:styleId="TableGrid">
    <w:name w:val="Table Grid"/>
    <w:basedOn w:val="TableNormal"/>
    <w:uiPriority w:val="99"/>
    <w:rsid w:val="00C4116D"/>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C4116D"/>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C4116D"/>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C4116D"/>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C4116D"/>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C4116D"/>
    <w:pPr>
      <w:numPr>
        <w:numId w:val="2"/>
      </w:numPr>
      <w:spacing w:before="40" w:after="40" w:line="240" w:lineRule="auto"/>
      <w:jc w:val="left"/>
    </w:pPr>
  </w:style>
  <w:style w:type="paragraph" w:customStyle="1" w:styleId="Tabletextbullettedv2">
    <w:name w:val="Table text bulletted v2"/>
    <w:basedOn w:val="Tabletextbulleted"/>
    <w:uiPriority w:val="99"/>
    <w:rsid w:val="00C4116D"/>
    <w:pPr>
      <w:numPr>
        <w:numId w:val="0"/>
      </w:numPr>
      <w:spacing w:before="20" w:after="20"/>
    </w:pPr>
    <w:rPr>
      <w:lang w:val="en-US"/>
    </w:rPr>
  </w:style>
  <w:style w:type="paragraph" w:customStyle="1" w:styleId="Tabletextindentleft">
    <w:name w:val="Table text indent left"/>
    <w:basedOn w:val="TableText1left"/>
    <w:uiPriority w:val="99"/>
    <w:semiHidden/>
    <w:rsid w:val="00C4116D"/>
    <w:pPr>
      <w:ind w:left="252"/>
    </w:pPr>
    <w:rPr>
      <w:lang w:val="en-AU"/>
    </w:rPr>
  </w:style>
  <w:style w:type="paragraph" w:customStyle="1" w:styleId="TabletextindentedlistA">
    <w:name w:val="Table text indented list A"/>
    <w:aliases w:val="B,C"/>
    <w:basedOn w:val="Tabletextbulleted"/>
    <w:uiPriority w:val="99"/>
    <w:rsid w:val="00C4116D"/>
    <w:pPr>
      <w:numPr>
        <w:numId w:val="0"/>
      </w:numPr>
      <w:tabs>
        <w:tab w:val="left" w:pos="284"/>
        <w:tab w:val="left" w:pos="2835"/>
      </w:tabs>
    </w:pPr>
  </w:style>
  <w:style w:type="paragraph" w:customStyle="1" w:styleId="TabletextRelativeRisksRR">
    <w:name w:val="Table text Relative Risks (RR)"/>
    <w:basedOn w:val="Normal"/>
    <w:uiPriority w:val="99"/>
    <w:semiHidden/>
    <w:rsid w:val="00C4116D"/>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C4116D"/>
    <w:pPr>
      <w:spacing w:after="170" w:line="280" w:lineRule="atLeast"/>
    </w:pPr>
    <w:rPr>
      <w:lang w:val="en-US"/>
    </w:rPr>
  </w:style>
  <w:style w:type="paragraph" w:styleId="Title">
    <w:name w:val="Title"/>
    <w:basedOn w:val="Normal"/>
    <w:link w:val="TitleChar"/>
    <w:uiPriority w:val="99"/>
    <w:qFormat/>
    <w:rsid w:val="00C4116D"/>
    <w:pPr>
      <w:spacing w:before="240" w:after="60"/>
      <w:jc w:val="center"/>
      <w:outlineLvl w:val="0"/>
    </w:pPr>
    <w:rPr>
      <w:rFonts w:ascii="Arial" w:hAnsi="Arial" w:cs="Times New Roman"/>
      <w:b/>
      <w:bCs/>
      <w:kern w:val="28"/>
      <w:sz w:val="32"/>
      <w:szCs w:val="32"/>
      <w:lang w:val="en-US"/>
    </w:rPr>
  </w:style>
  <w:style w:type="character" w:customStyle="1" w:styleId="TitleChar">
    <w:name w:val="Title Char"/>
    <w:basedOn w:val="DefaultParagraphFont"/>
    <w:link w:val="Title"/>
    <w:uiPriority w:val="99"/>
    <w:locked/>
    <w:rsid w:val="00C4116D"/>
    <w:rPr>
      <w:rFonts w:ascii="Arial" w:eastAsia="SimSun" w:hAnsi="Arial" w:cs="Times New Roman"/>
      <w:b/>
      <w:kern w:val="28"/>
      <w:sz w:val="32"/>
      <w:lang w:eastAsia="zh-CN"/>
    </w:rPr>
  </w:style>
  <w:style w:type="paragraph" w:customStyle="1" w:styleId="TOCheading">
    <w:name w:val="TOC (heading)"/>
    <w:basedOn w:val="Normal"/>
    <w:next w:val="Normal"/>
    <w:uiPriority w:val="99"/>
    <w:rsid w:val="00C4116D"/>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C4116D"/>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C4116D"/>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C4116D"/>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C4116D"/>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C4116D"/>
    <w:pPr>
      <w:tabs>
        <w:tab w:val="right" w:leader="dot" w:pos="9469"/>
      </w:tabs>
      <w:ind w:left="960"/>
    </w:pPr>
  </w:style>
  <w:style w:type="paragraph" w:styleId="TOC6">
    <w:name w:val="toc 6"/>
    <w:basedOn w:val="Normal"/>
    <w:next w:val="Normal"/>
    <w:uiPriority w:val="99"/>
    <w:semiHidden/>
    <w:rsid w:val="00C4116D"/>
    <w:pPr>
      <w:tabs>
        <w:tab w:val="right" w:leader="dot" w:pos="9469"/>
      </w:tabs>
      <w:ind w:left="1200"/>
    </w:pPr>
  </w:style>
  <w:style w:type="paragraph" w:styleId="TOCHeading0">
    <w:name w:val="TOC Heading"/>
    <w:basedOn w:val="Heading1"/>
    <w:next w:val="Normal"/>
    <w:uiPriority w:val="39"/>
    <w:qFormat/>
    <w:rsid w:val="00C4116D"/>
    <w:pPr>
      <w:keepLines/>
      <w:spacing w:before="480" w:line="276" w:lineRule="auto"/>
      <w:jc w:val="left"/>
      <w:outlineLvl w:val="9"/>
    </w:pPr>
    <w:rPr>
      <w:rFonts w:eastAsia="Times New Roman"/>
      <w:bCs w:val="0"/>
      <w:lang w:eastAsia="en-US"/>
    </w:rPr>
  </w:style>
  <w:style w:type="paragraph" w:styleId="ListParagraph">
    <w:name w:val="List Paragraph"/>
    <w:basedOn w:val="Normal"/>
    <w:uiPriority w:val="99"/>
    <w:qFormat/>
    <w:rsid w:val="00C4116D"/>
    <w:pPr>
      <w:ind w:left="720"/>
      <w:contextualSpacing/>
    </w:pPr>
  </w:style>
  <w:style w:type="paragraph" w:styleId="NoSpacing">
    <w:name w:val="No Spacing"/>
    <w:link w:val="NoSpacingChar"/>
    <w:uiPriority w:val="99"/>
    <w:qFormat/>
    <w:rsid w:val="00C4116D"/>
    <w:rPr>
      <w:rFonts w:eastAsia="Times New Roman"/>
      <w:lang w:val="en-US" w:eastAsia="en-US"/>
    </w:rPr>
  </w:style>
  <w:style w:type="character" w:customStyle="1" w:styleId="NoSpacingChar">
    <w:name w:val="No Spacing Char"/>
    <w:link w:val="NoSpacing"/>
    <w:uiPriority w:val="99"/>
    <w:locked/>
    <w:rsid w:val="00C4116D"/>
    <w:rPr>
      <w:rFonts w:eastAsia="Times New Roman"/>
      <w:sz w:val="22"/>
      <w:lang w:val="en-US" w:eastAsia="en-US"/>
    </w:rPr>
  </w:style>
  <w:style w:type="character" w:styleId="FollowedHyperlink">
    <w:name w:val="FollowedHyperlink"/>
    <w:basedOn w:val="DefaultParagraphFont"/>
    <w:uiPriority w:val="99"/>
    <w:semiHidden/>
    <w:rsid w:val="00C4116D"/>
    <w:rPr>
      <w:rFonts w:cs="Times New Roman"/>
      <w:color w:val="800080"/>
      <w:u w:val="single"/>
    </w:rPr>
  </w:style>
  <w:style w:type="paragraph" w:customStyle="1" w:styleId="CharChar1CharCharCharChar">
    <w:name w:val="Char Char1 Char Char Char Char"/>
    <w:basedOn w:val="Normal"/>
    <w:uiPriority w:val="99"/>
    <w:rsid w:val="00C4116D"/>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4116D"/>
    <w:pPr>
      <w:keepNext/>
      <w:spacing w:after="0" w:line="240" w:lineRule="auto"/>
      <w:jc w:val="left"/>
    </w:pPr>
    <w:rPr>
      <w:rFonts w:ascii="Trebuchet MS" w:eastAsia="Times New Roman" w:hAnsi="Trebuchet MS" w:cs="Times New Roman"/>
      <w:sz w:val="18"/>
      <w:lang w:eastAsia="en-US"/>
    </w:rPr>
  </w:style>
  <w:style w:type="character" w:customStyle="1" w:styleId="addmd1">
    <w:name w:val="addmd1"/>
    <w:basedOn w:val="DefaultParagraphFont"/>
    <w:uiPriority w:val="99"/>
    <w:rsid w:val="00C4116D"/>
    <w:rPr>
      <w:rFonts w:cs="Times New Roman"/>
      <w:sz w:val="20"/>
      <w:szCs w:val="20"/>
    </w:rPr>
  </w:style>
  <w:style w:type="table" w:styleId="LightShading">
    <w:name w:val="Light Shading"/>
    <w:basedOn w:val="TableNormal"/>
    <w:uiPriority w:val="99"/>
    <w:rsid w:val="00C4116D"/>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eGrid3">
    <w:name w:val="Table Grid3"/>
    <w:uiPriority w:val="99"/>
    <w:rsid w:val="00C4116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C4116D"/>
    <w:pPr>
      <w:spacing w:line="240" w:lineRule="auto"/>
      <w:jc w:val="left"/>
    </w:pPr>
    <w:rPr>
      <w:rFonts w:ascii="Bookman Old Style" w:eastAsia="Times New Roman" w:hAnsi="Bookman Old Style" w:cs="Times New Roman"/>
      <w:noProof/>
      <w:sz w:val="42"/>
      <w:lang w:val="en-US" w:eastAsia="en-US"/>
    </w:rPr>
  </w:style>
  <w:style w:type="character" w:customStyle="1" w:styleId="BodyText2Char">
    <w:name w:val="Body Text 2 Char"/>
    <w:basedOn w:val="DefaultParagraphFont"/>
    <w:link w:val="BodyText2"/>
    <w:uiPriority w:val="99"/>
    <w:locked/>
    <w:rsid w:val="00C4116D"/>
    <w:rPr>
      <w:rFonts w:ascii="Bookman Old Style" w:hAnsi="Bookman Old Style" w:cs="Times New Roman"/>
      <w:noProof/>
      <w:sz w:val="42"/>
      <w:lang w:val="en-US" w:eastAsia="en-US"/>
    </w:rPr>
  </w:style>
  <w:style w:type="paragraph" w:customStyle="1" w:styleId="Protocolheading1">
    <w:name w:val="Protocol heading 1"/>
    <w:basedOn w:val="Normal"/>
    <w:uiPriority w:val="99"/>
    <w:rsid w:val="00C4116D"/>
    <w:pPr>
      <w:spacing w:after="0" w:line="240" w:lineRule="auto"/>
      <w:jc w:val="left"/>
    </w:pPr>
    <w:rPr>
      <w:rFonts w:ascii="Arial" w:eastAsia="Times New Roman" w:hAnsi="Arial" w:cs="Times New Roman"/>
      <w:b/>
      <w:sz w:val="52"/>
      <w:szCs w:val="24"/>
      <w:lang w:eastAsia="en-US"/>
    </w:rPr>
  </w:style>
  <w:style w:type="paragraph" w:customStyle="1" w:styleId="Protocolheading3">
    <w:name w:val="Protocol heading 3"/>
    <w:basedOn w:val="Normal"/>
    <w:uiPriority w:val="99"/>
    <w:rsid w:val="00C4116D"/>
    <w:pPr>
      <w:spacing w:after="0" w:line="240" w:lineRule="auto"/>
      <w:jc w:val="left"/>
    </w:pPr>
    <w:rPr>
      <w:rFonts w:ascii="Arial" w:eastAsia="Times New Roman" w:hAnsi="Arial" w:cs="Times New Roman"/>
      <w:b/>
      <w:sz w:val="44"/>
      <w:szCs w:val="24"/>
      <w:lang w:eastAsia="en-US"/>
    </w:rPr>
  </w:style>
  <w:style w:type="paragraph" w:customStyle="1" w:styleId="Protocolnormal">
    <w:name w:val="Protocol normal"/>
    <w:basedOn w:val="Normal"/>
    <w:link w:val="ProtocolnormalChar"/>
    <w:uiPriority w:val="99"/>
    <w:rsid w:val="00C4116D"/>
    <w:pPr>
      <w:spacing w:after="0" w:line="240" w:lineRule="auto"/>
      <w:jc w:val="left"/>
    </w:pPr>
    <w:rPr>
      <w:rFonts w:ascii="Arial" w:eastAsia="Times New Roman" w:hAnsi="Arial" w:cs="Times New Roman"/>
      <w:sz w:val="22"/>
      <w:szCs w:val="24"/>
      <w:lang w:eastAsia="en-US"/>
    </w:rPr>
  </w:style>
  <w:style w:type="character" w:customStyle="1" w:styleId="ProtocolnormalChar">
    <w:name w:val="Protocol normal Char"/>
    <w:basedOn w:val="DefaultParagraphFont"/>
    <w:link w:val="Protocolnormal"/>
    <w:uiPriority w:val="99"/>
    <w:locked/>
    <w:rsid w:val="00C4116D"/>
    <w:rPr>
      <w:rFonts w:ascii="Arial" w:hAnsi="Arial" w:cs="Times New Roman"/>
      <w:sz w:val="24"/>
      <w:szCs w:val="24"/>
      <w:lang w:eastAsia="en-US"/>
    </w:rPr>
  </w:style>
  <w:style w:type="paragraph" w:styleId="BodyText">
    <w:name w:val="Body Text"/>
    <w:basedOn w:val="Normal"/>
    <w:link w:val="BodyTextChar"/>
    <w:uiPriority w:val="99"/>
    <w:rsid w:val="00C4116D"/>
    <w:pPr>
      <w:spacing w:after="120" w:line="240" w:lineRule="auto"/>
      <w:jc w:val="left"/>
    </w:pPr>
    <w:rPr>
      <w:rFonts w:ascii="Bookman Old Style" w:eastAsia="Times New Roman" w:hAnsi="Bookman Old Style" w:cs="Times New Roman"/>
      <w:sz w:val="22"/>
      <w:lang w:eastAsia="en-US"/>
    </w:rPr>
  </w:style>
  <w:style w:type="character" w:customStyle="1" w:styleId="BodyTextChar">
    <w:name w:val="Body Text Char"/>
    <w:basedOn w:val="DefaultParagraphFont"/>
    <w:link w:val="BodyText"/>
    <w:uiPriority w:val="99"/>
    <w:locked/>
    <w:rsid w:val="00C4116D"/>
    <w:rPr>
      <w:rFonts w:ascii="Bookman Old Style" w:hAnsi="Bookman Old Style" w:cs="Times New Roman"/>
      <w:sz w:val="22"/>
      <w:lang w:eastAsia="en-US"/>
    </w:rPr>
  </w:style>
  <w:style w:type="paragraph" w:styleId="BodyTextIndent">
    <w:name w:val="Body Text Indent"/>
    <w:basedOn w:val="Normal"/>
    <w:link w:val="BodyTextIndentChar"/>
    <w:uiPriority w:val="99"/>
    <w:rsid w:val="00C4116D"/>
    <w:pPr>
      <w:spacing w:after="120" w:line="240" w:lineRule="auto"/>
      <w:ind w:left="283"/>
      <w:jc w:val="left"/>
    </w:pPr>
    <w:rPr>
      <w:rFonts w:ascii="Bookman Old Style" w:eastAsia="Times New Roman" w:hAnsi="Bookman Old Style" w:cs="Times New Roman"/>
      <w:sz w:val="22"/>
      <w:lang w:eastAsia="en-US"/>
    </w:rPr>
  </w:style>
  <w:style w:type="character" w:customStyle="1" w:styleId="BodyTextIndentChar">
    <w:name w:val="Body Text Indent Char"/>
    <w:basedOn w:val="DefaultParagraphFont"/>
    <w:link w:val="BodyTextIndent"/>
    <w:uiPriority w:val="99"/>
    <w:locked/>
    <w:rsid w:val="00C4116D"/>
    <w:rPr>
      <w:rFonts w:ascii="Bookman Old Style" w:hAnsi="Bookman Old Style" w:cs="Times New Roman"/>
      <w:sz w:val="22"/>
      <w:lang w:eastAsia="en-US"/>
    </w:rPr>
  </w:style>
  <w:style w:type="paragraph" w:styleId="BodyTextIndent2">
    <w:name w:val="Body Text Indent 2"/>
    <w:basedOn w:val="Normal"/>
    <w:link w:val="BodyTextIndent2Char"/>
    <w:uiPriority w:val="99"/>
    <w:rsid w:val="00C4116D"/>
    <w:pPr>
      <w:spacing w:after="120" w:line="480" w:lineRule="auto"/>
      <w:ind w:left="283"/>
      <w:jc w:val="left"/>
    </w:pPr>
    <w:rPr>
      <w:rFonts w:ascii="Bookman Old Style" w:eastAsia="Times New Roman" w:hAnsi="Bookman Old Style" w:cs="Times New Roman"/>
      <w:sz w:val="22"/>
      <w:lang w:eastAsia="en-US"/>
    </w:rPr>
  </w:style>
  <w:style w:type="character" w:customStyle="1" w:styleId="BodyTextIndent2Char">
    <w:name w:val="Body Text Indent 2 Char"/>
    <w:basedOn w:val="DefaultParagraphFont"/>
    <w:link w:val="BodyTextIndent2"/>
    <w:uiPriority w:val="99"/>
    <w:locked/>
    <w:rsid w:val="00C4116D"/>
    <w:rPr>
      <w:rFonts w:ascii="Bookman Old Style" w:hAnsi="Bookman Old Style" w:cs="Times New Roman"/>
      <w:sz w:val="22"/>
      <w:lang w:eastAsia="en-US"/>
    </w:rPr>
  </w:style>
  <w:style w:type="paragraph" w:customStyle="1" w:styleId="TableNotes">
    <w:name w:val="TableNotes"/>
    <w:basedOn w:val="TableText"/>
    <w:link w:val="TableNotesChar"/>
    <w:uiPriority w:val="99"/>
    <w:rsid w:val="00C4116D"/>
    <w:pPr>
      <w:keepNext w:val="0"/>
      <w:keepLines/>
      <w:ind w:left="1440" w:hanging="720"/>
    </w:pPr>
    <w:rPr>
      <w:rFonts w:ascii="Arial Narrow" w:hAnsi="Arial Narrow"/>
      <w:sz w:val="16"/>
    </w:rPr>
  </w:style>
  <w:style w:type="paragraph" w:customStyle="1" w:styleId="TableText0">
    <w:name w:val="Table Text"/>
    <w:basedOn w:val="BodyText"/>
    <w:uiPriority w:val="99"/>
    <w:rsid w:val="00C4116D"/>
    <w:pPr>
      <w:spacing w:after="0"/>
    </w:pPr>
    <w:rPr>
      <w:rFonts w:ascii="Arial Narrow" w:hAnsi="Arial Narrow" w:cs="Arial"/>
      <w:sz w:val="24"/>
      <w:szCs w:val="24"/>
    </w:rPr>
  </w:style>
  <w:style w:type="paragraph" w:customStyle="1" w:styleId="TableHeading">
    <w:name w:val="TableHeading"/>
    <w:basedOn w:val="TableText"/>
    <w:uiPriority w:val="99"/>
    <w:rsid w:val="00C4116D"/>
    <w:pPr>
      <w:spacing w:before="40" w:after="40"/>
    </w:pPr>
    <w:rPr>
      <w:rFonts w:ascii="Arial Narrow" w:hAnsi="Arial Narrow"/>
      <w:b/>
    </w:rPr>
  </w:style>
  <w:style w:type="paragraph" w:customStyle="1" w:styleId="TableName">
    <w:name w:val="TableName"/>
    <w:basedOn w:val="TableText"/>
    <w:link w:val="TableNameChar"/>
    <w:uiPriority w:val="99"/>
    <w:rsid w:val="00C4116D"/>
    <w:pPr>
      <w:spacing w:before="120" w:after="120"/>
      <w:ind w:left="1800" w:hanging="1080"/>
    </w:pPr>
    <w:rPr>
      <w:rFonts w:ascii="Arial Narrow" w:hAnsi="Arial Narrow"/>
      <w:b/>
      <w:sz w:val="20"/>
    </w:rPr>
  </w:style>
  <w:style w:type="paragraph" w:customStyle="1" w:styleId="TableHeading0">
    <w:name w:val="Table Heading"/>
    <w:basedOn w:val="TableText0"/>
    <w:next w:val="TableText0"/>
    <w:uiPriority w:val="99"/>
    <w:rsid w:val="00C4116D"/>
    <w:pPr>
      <w:keepNext/>
      <w:spacing w:before="40" w:after="40"/>
    </w:pPr>
    <w:rPr>
      <w:rFonts w:ascii="Arial" w:hAnsi="Arial" w:cs="Times New Roman"/>
      <w:b/>
      <w:sz w:val="18"/>
      <w:szCs w:val="20"/>
      <w:lang w:val="en-GB"/>
    </w:rPr>
  </w:style>
  <w:style w:type="character" w:customStyle="1" w:styleId="TableNameChar">
    <w:name w:val="TableName Char"/>
    <w:basedOn w:val="DefaultParagraphFont"/>
    <w:link w:val="TableName"/>
    <w:uiPriority w:val="99"/>
    <w:locked/>
    <w:rsid w:val="00C4116D"/>
    <w:rPr>
      <w:rFonts w:ascii="Arial Narrow" w:hAnsi="Arial Narrow" w:cs="Times New Roman"/>
      <w:b/>
      <w:lang w:eastAsia="en-US"/>
    </w:rPr>
  </w:style>
  <w:style w:type="character" w:customStyle="1" w:styleId="TableNotesChar">
    <w:name w:val="TableNotes Char"/>
    <w:basedOn w:val="DefaultParagraphFont"/>
    <w:link w:val="TableNotes"/>
    <w:uiPriority w:val="99"/>
    <w:locked/>
    <w:rsid w:val="00C4116D"/>
    <w:rPr>
      <w:rFonts w:ascii="Arial Narrow" w:hAnsi="Arial Narrow" w:cs="Times New Roman"/>
      <w:sz w:val="16"/>
      <w:lang w:eastAsia="en-US"/>
    </w:rPr>
  </w:style>
  <w:style w:type="table" w:customStyle="1" w:styleId="TableGrid1">
    <w:name w:val="Table Grid1"/>
    <w:uiPriority w:val="99"/>
    <w:rsid w:val="00C4116D"/>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C4116D"/>
    <w:pPr>
      <w:spacing w:after="180" w:line="240" w:lineRule="auto"/>
      <w:jc w:val="left"/>
    </w:pPr>
    <w:rPr>
      <w:rFonts w:ascii="Garamond" w:eastAsia="Times New Roman" w:hAnsi="Garamond" w:cs="Times New Roman"/>
      <w:sz w:val="24"/>
      <w:szCs w:val="24"/>
      <w:lang w:val="en-US" w:eastAsia="en-US"/>
    </w:rPr>
  </w:style>
  <w:style w:type="character" w:customStyle="1" w:styleId="DateChar">
    <w:name w:val="Date Char"/>
    <w:basedOn w:val="DefaultParagraphFont"/>
    <w:link w:val="Date"/>
    <w:uiPriority w:val="99"/>
    <w:locked/>
    <w:rsid w:val="00C4116D"/>
    <w:rPr>
      <w:rFonts w:ascii="Garamond" w:hAnsi="Garamond" w:cs="Times New Roman"/>
      <w:sz w:val="24"/>
      <w:szCs w:val="24"/>
      <w:lang w:val="en-US" w:eastAsia="en-US"/>
    </w:rPr>
  </w:style>
  <w:style w:type="character" w:customStyle="1" w:styleId="mainsubheader1">
    <w:name w:val="mainsubheader1"/>
    <w:basedOn w:val="DefaultParagraphFont"/>
    <w:uiPriority w:val="99"/>
    <w:rsid w:val="00C4116D"/>
    <w:rPr>
      <w:rFonts w:cs="Times New Roman"/>
      <w:b/>
      <w:bCs/>
    </w:rPr>
  </w:style>
  <w:style w:type="paragraph" w:styleId="NormalWeb">
    <w:name w:val="Normal (Web)"/>
    <w:basedOn w:val="Normal"/>
    <w:uiPriority w:val="99"/>
    <w:rsid w:val="00C4116D"/>
    <w:pPr>
      <w:spacing w:before="100" w:beforeAutospacing="1" w:after="100" w:afterAutospacing="1" w:line="240" w:lineRule="auto"/>
      <w:jc w:val="left"/>
    </w:pPr>
    <w:rPr>
      <w:rFonts w:ascii="Times New Roman" w:eastAsia="Times New Roman" w:hAnsi="Times New Roman" w:cs="Times New Roman"/>
      <w:sz w:val="24"/>
      <w:lang w:val="en-US" w:eastAsia="en-US"/>
    </w:rPr>
  </w:style>
  <w:style w:type="paragraph" w:customStyle="1" w:styleId="Bullet12">
    <w:name w:val="Bullet+12"/>
    <w:basedOn w:val="Normal"/>
    <w:uiPriority w:val="99"/>
    <w:rsid w:val="00C4116D"/>
    <w:pPr>
      <w:numPr>
        <w:numId w:val="15"/>
      </w:numPr>
      <w:spacing w:line="240" w:lineRule="auto"/>
      <w:jc w:val="left"/>
    </w:pPr>
    <w:rPr>
      <w:rFonts w:ascii="Times New Roman" w:eastAsia="Times New Roman" w:hAnsi="Times New Roman" w:cs="Times New Roman"/>
      <w:sz w:val="24"/>
      <w:lang w:eastAsia="en-US"/>
    </w:rPr>
  </w:style>
  <w:style w:type="paragraph" w:customStyle="1" w:styleId="Bullet6">
    <w:name w:val="Bullet+6"/>
    <w:basedOn w:val="Normal"/>
    <w:uiPriority w:val="99"/>
    <w:rsid w:val="00C4116D"/>
    <w:pPr>
      <w:numPr>
        <w:numId w:val="16"/>
      </w:numPr>
      <w:spacing w:after="0" w:line="240" w:lineRule="auto"/>
      <w:jc w:val="left"/>
    </w:pPr>
    <w:rPr>
      <w:rFonts w:ascii="Times New Roman" w:eastAsia="Times New Roman" w:hAnsi="Times New Roman" w:cs="Times New Roman"/>
      <w:sz w:val="24"/>
      <w:szCs w:val="24"/>
      <w:lang w:eastAsia="en-AU"/>
    </w:rPr>
  </w:style>
  <w:style w:type="paragraph" w:customStyle="1" w:styleId="Default">
    <w:name w:val="Default"/>
    <w:uiPriority w:val="99"/>
    <w:rsid w:val="00C4116D"/>
    <w:pPr>
      <w:autoSpaceDE w:val="0"/>
      <w:autoSpaceDN w:val="0"/>
      <w:adjustRightInd w:val="0"/>
    </w:pPr>
    <w:rPr>
      <w:rFonts w:ascii="Arial" w:eastAsia="Times New Roman" w:hAnsi="Arial" w:cs="Arial"/>
      <w:color w:val="000000"/>
      <w:sz w:val="24"/>
      <w:szCs w:val="24"/>
    </w:rPr>
  </w:style>
  <w:style w:type="table" w:customStyle="1" w:styleId="TableGrid2">
    <w:name w:val="Table Grid2"/>
    <w:uiPriority w:val="99"/>
    <w:rsid w:val="00C4116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locked/>
    <w:rsid w:val="000A2B2E"/>
    <w:pPr>
      <w:spacing w:after="0" w:line="240" w:lineRule="auto"/>
    </w:pPr>
  </w:style>
  <w:style w:type="character" w:customStyle="1" w:styleId="EndnoteTextChar">
    <w:name w:val="Endnote Text Char"/>
    <w:basedOn w:val="DefaultParagraphFont"/>
    <w:link w:val="EndnoteText"/>
    <w:uiPriority w:val="99"/>
    <w:semiHidden/>
    <w:locked/>
    <w:rsid w:val="000A2B2E"/>
    <w:rPr>
      <w:rFonts w:ascii="Tahoma" w:eastAsia="SimSun" w:hAnsi="Tahoma" w:cs="Tahoma"/>
      <w:sz w:val="20"/>
      <w:szCs w:val="20"/>
      <w:lang w:val="en-AU" w:eastAsia="zh-CN"/>
    </w:rPr>
  </w:style>
  <w:style w:type="character" w:styleId="EndnoteReference">
    <w:name w:val="endnote reference"/>
    <w:basedOn w:val="DefaultParagraphFont"/>
    <w:uiPriority w:val="99"/>
    <w:semiHidden/>
    <w:locked/>
    <w:rsid w:val="000A2B2E"/>
    <w:rPr>
      <w:rFonts w:cs="Times New Roman"/>
      <w:vertAlign w:val="superscript"/>
    </w:rPr>
  </w:style>
  <w:style w:type="paragraph" w:styleId="Revision">
    <w:name w:val="Revision"/>
    <w:hidden/>
    <w:uiPriority w:val="99"/>
    <w:semiHidden/>
    <w:rsid w:val="00D86DA7"/>
    <w:rPr>
      <w:rFonts w:ascii="Tahoma" w:eastAsia="SimSun" w:hAnsi="Tahoma" w:cs="Tahoma"/>
      <w:sz w:val="20"/>
      <w:szCs w:val="20"/>
      <w:lang w:eastAsia="zh-CN"/>
    </w:rPr>
  </w:style>
  <w:style w:type="table" w:customStyle="1" w:styleId="TableGrid4">
    <w:name w:val="Table Grid4"/>
    <w:uiPriority w:val="99"/>
    <w:rsid w:val="00CA409A"/>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33726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highlight">
    <w:name w:val="highlight"/>
    <w:basedOn w:val="DefaultParagraphFont"/>
    <w:uiPriority w:val="99"/>
    <w:rsid w:val="00337261"/>
    <w:rPr>
      <w:rFonts w:cs="Times New Roman"/>
    </w:rPr>
  </w:style>
  <w:style w:type="table" w:customStyle="1" w:styleId="TableGrid41">
    <w:name w:val="Table Grid41"/>
    <w:uiPriority w:val="99"/>
    <w:rsid w:val="00337261"/>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locked="0" w:semiHidden="0" w:uiPriority="39" w:unhideWhenUsed="0"/>
    <w:lsdException w:name="toc 2" w:locked="0" w:semiHidden="0" w:uiPriority="39" w:unhideWhenUsed="0"/>
    <w:lsdException w:name="toc 3" w:uiPriority="39"/>
    <w:lsdException w:name="toc 4" w:uiPriority="39"/>
    <w:lsdException w:name="toc 5" w:uiPriority="39"/>
    <w:lsdException w:name="toc 6" w:uiPriority="39"/>
    <w:lsdException w:name="toc 7" w:locked="0" w:semiHidden="0" w:uiPriority="0" w:unhideWhenUsed="0"/>
    <w:lsdException w:name="toc 8" w:locked="0" w:semiHidden="0" w:uiPriority="0" w:unhideWhenUsed="0"/>
    <w:lsdException w:name="toc 9" w:locked="0" w:semiHidden="0" w:uiPriority="0" w:unhideWhenUsed="0"/>
    <w:lsdException w:name="caption" w:locked="0" w:semiHidden="0" w:uiPriority="0" w:unhideWhenUsed="0" w:qFormat="1"/>
    <w:lsdException w:name="Title" w:locked="0" w:semiHidden="0" w:uiPriority="0" w:unhideWhenUsed="0" w:qFormat="1"/>
    <w:lsdException w:name="Default Paragraph Font" w:locked="0" w:semiHidden="0" w:uiPriority="0" w:unhideWhenUsed="0"/>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F347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C4116D"/>
    <w:pPr>
      <w:keepNext/>
      <w:spacing w:before="360" w:after="160"/>
      <w:outlineLvl w:val="0"/>
    </w:pPr>
    <w:rPr>
      <w:rFonts w:cs="Times New Roman"/>
      <w:b/>
      <w:bCs/>
      <w:color w:val="215868"/>
      <w:sz w:val="32"/>
      <w:szCs w:val="32"/>
      <w:lang w:val="en-US"/>
    </w:rPr>
  </w:style>
  <w:style w:type="paragraph" w:styleId="Heading2">
    <w:name w:val="heading 2"/>
    <w:basedOn w:val="Normal"/>
    <w:next w:val="Normal"/>
    <w:link w:val="Heading2Char"/>
    <w:uiPriority w:val="99"/>
    <w:qFormat/>
    <w:rsid w:val="00C4116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C4116D"/>
    <w:pPr>
      <w:keepNext/>
      <w:spacing w:after="120"/>
      <w:outlineLvl w:val="2"/>
    </w:pPr>
    <w:rPr>
      <w:rFonts w:cs="Times New Roman"/>
      <w:color w:val="41A7BF"/>
      <w:lang w:val="en-US"/>
    </w:rPr>
  </w:style>
  <w:style w:type="paragraph" w:styleId="Heading4">
    <w:name w:val="heading 4"/>
    <w:basedOn w:val="Normal"/>
    <w:next w:val="Normal"/>
    <w:link w:val="Heading4Char"/>
    <w:uiPriority w:val="99"/>
    <w:qFormat/>
    <w:rsid w:val="00C4116D"/>
    <w:pPr>
      <w:keepNext/>
      <w:numPr>
        <w:ilvl w:val="3"/>
        <w:numId w:val="1"/>
      </w:numPr>
      <w:outlineLvl w:val="3"/>
    </w:pPr>
    <w:rPr>
      <w:rFonts w:ascii="Times New Roman" w:hAnsi="Times New Roman" w:cs="Times New Roman"/>
      <w:u w:val="single"/>
      <w:lang w:val="en-US"/>
    </w:rPr>
  </w:style>
  <w:style w:type="paragraph" w:styleId="Heading5">
    <w:name w:val="heading 5"/>
    <w:basedOn w:val="Normal"/>
    <w:next w:val="Normal"/>
    <w:link w:val="Heading5Char"/>
    <w:uiPriority w:val="99"/>
    <w:qFormat/>
    <w:rsid w:val="00C4116D"/>
    <w:pPr>
      <w:keepNext/>
      <w:numPr>
        <w:ilvl w:val="4"/>
        <w:numId w:val="1"/>
      </w:numPr>
      <w:tabs>
        <w:tab w:val="left" w:pos="709"/>
      </w:tabs>
      <w:outlineLvl w:val="4"/>
    </w:pPr>
    <w:rPr>
      <w:rFonts w:ascii="Times New Roman" w:hAnsi="Times New Roman" w:cs="Times New Roman"/>
      <w:b/>
      <w:i/>
      <w:lang w:val="en-US"/>
    </w:rPr>
  </w:style>
  <w:style w:type="paragraph" w:styleId="Heading6">
    <w:name w:val="heading 6"/>
    <w:basedOn w:val="Normal"/>
    <w:next w:val="Normal"/>
    <w:link w:val="Heading6Char"/>
    <w:uiPriority w:val="99"/>
    <w:qFormat/>
    <w:rsid w:val="00C4116D"/>
    <w:pPr>
      <w:keepNext/>
      <w:numPr>
        <w:ilvl w:val="5"/>
        <w:numId w:val="1"/>
      </w:numPr>
      <w:jc w:val="center"/>
      <w:outlineLvl w:val="5"/>
    </w:pPr>
    <w:rPr>
      <w:rFonts w:ascii="Times New Roman" w:hAnsi="Times New Roman" w:cs="Times New Roman"/>
      <w:b/>
      <w:lang w:val="en-US"/>
    </w:rPr>
  </w:style>
  <w:style w:type="paragraph" w:styleId="Heading7">
    <w:name w:val="heading 7"/>
    <w:basedOn w:val="Normal"/>
    <w:next w:val="Normal"/>
    <w:link w:val="Heading7Char"/>
    <w:uiPriority w:val="99"/>
    <w:qFormat/>
    <w:rsid w:val="00C4116D"/>
    <w:pPr>
      <w:keepNext/>
      <w:outlineLvl w:val="6"/>
    </w:pPr>
    <w:rPr>
      <w:rFonts w:ascii="Times New Roman" w:hAnsi="Times New Roman" w:cs="Times New Roman"/>
      <w:i/>
      <w:lang w:val="en-US"/>
    </w:rPr>
  </w:style>
  <w:style w:type="paragraph" w:styleId="Heading8">
    <w:name w:val="heading 8"/>
    <w:basedOn w:val="Normal"/>
    <w:next w:val="Normal"/>
    <w:link w:val="Heading8Char"/>
    <w:uiPriority w:val="99"/>
    <w:qFormat/>
    <w:rsid w:val="00C4116D"/>
    <w:pPr>
      <w:keepNext/>
      <w:numPr>
        <w:ilvl w:val="7"/>
        <w:numId w:val="1"/>
      </w:numPr>
      <w:spacing w:line="288" w:lineRule="auto"/>
      <w:jc w:val="center"/>
      <w:outlineLvl w:val="7"/>
    </w:pPr>
    <w:rPr>
      <w:rFonts w:ascii="Times New Roman" w:hAnsi="Times New Roman" w:cs="Times New Roman"/>
      <w:lang w:val="en-US"/>
    </w:rPr>
  </w:style>
  <w:style w:type="paragraph" w:styleId="Heading9">
    <w:name w:val="heading 9"/>
    <w:basedOn w:val="Normal"/>
    <w:next w:val="Normal"/>
    <w:link w:val="Heading9Char"/>
    <w:uiPriority w:val="99"/>
    <w:qFormat/>
    <w:rsid w:val="00C4116D"/>
    <w:pPr>
      <w:keepNext/>
      <w:numPr>
        <w:ilvl w:val="8"/>
        <w:numId w:val="1"/>
      </w:numPr>
      <w:outlineLvl w:val="8"/>
    </w:pPr>
    <w:rPr>
      <w:rFonts w:ascii="Times New Roman" w:hAnsi="Times New Roman" w:cs="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16D"/>
    <w:rPr>
      <w:rFonts w:ascii="Tahoma" w:eastAsia="SimSun" w:hAnsi="Tahoma" w:cs="Times New Roman"/>
      <w:b/>
      <w:color w:val="215868"/>
      <w:sz w:val="32"/>
      <w:lang w:eastAsia="zh-CN"/>
    </w:rPr>
  </w:style>
  <w:style w:type="character" w:customStyle="1" w:styleId="Heading2Char">
    <w:name w:val="Heading 2 Char"/>
    <w:basedOn w:val="DefaultParagraphFont"/>
    <w:link w:val="Heading2"/>
    <w:uiPriority w:val="99"/>
    <w:locked/>
    <w:rsid w:val="00C4116D"/>
    <w:rPr>
      <w:rFonts w:ascii="Tahoma" w:eastAsia="SimSun" w:hAnsi="Tahoma" w:cs="Times New Roman"/>
      <w:b/>
      <w:color w:val="215868"/>
      <w:sz w:val="28"/>
      <w:lang w:val="en-GB" w:eastAsia="ja-JP"/>
    </w:rPr>
  </w:style>
  <w:style w:type="character" w:customStyle="1" w:styleId="Heading3Char">
    <w:name w:val="Heading 3 Char"/>
    <w:basedOn w:val="DefaultParagraphFont"/>
    <w:link w:val="Heading3"/>
    <w:uiPriority w:val="99"/>
    <w:locked/>
    <w:rsid w:val="00C4116D"/>
    <w:rPr>
      <w:rFonts w:ascii="Tahoma" w:eastAsia="SimSun" w:hAnsi="Tahoma" w:cs="Times New Roman"/>
      <w:color w:val="41A7BF"/>
      <w:sz w:val="20"/>
      <w:lang w:eastAsia="zh-CN"/>
    </w:rPr>
  </w:style>
  <w:style w:type="character" w:customStyle="1" w:styleId="Heading4Char">
    <w:name w:val="Heading 4 Char"/>
    <w:basedOn w:val="DefaultParagraphFont"/>
    <w:link w:val="Heading4"/>
    <w:uiPriority w:val="99"/>
    <w:locked/>
    <w:rsid w:val="00C4116D"/>
    <w:rPr>
      <w:rFonts w:ascii="Times New Roman" w:eastAsia="SimSun" w:hAnsi="Times New Roman" w:cs="Times New Roman"/>
      <w:sz w:val="20"/>
      <w:szCs w:val="20"/>
      <w:u w:val="single"/>
      <w:lang w:eastAsia="zh-CN"/>
    </w:rPr>
  </w:style>
  <w:style w:type="character" w:customStyle="1" w:styleId="Heading5Char">
    <w:name w:val="Heading 5 Char"/>
    <w:basedOn w:val="DefaultParagraphFont"/>
    <w:link w:val="Heading5"/>
    <w:uiPriority w:val="99"/>
    <w:locked/>
    <w:rsid w:val="00C4116D"/>
    <w:rPr>
      <w:rFonts w:ascii="Times New Roman" w:eastAsia="SimSun" w:hAnsi="Times New Roman" w:cs="Times New Roman"/>
      <w:b/>
      <w:i/>
      <w:sz w:val="20"/>
      <w:szCs w:val="20"/>
      <w:lang w:eastAsia="zh-CN"/>
    </w:rPr>
  </w:style>
  <w:style w:type="character" w:customStyle="1" w:styleId="Heading6Char">
    <w:name w:val="Heading 6 Char"/>
    <w:basedOn w:val="DefaultParagraphFont"/>
    <w:link w:val="Heading6"/>
    <w:uiPriority w:val="99"/>
    <w:locked/>
    <w:rsid w:val="00C4116D"/>
    <w:rPr>
      <w:rFonts w:ascii="Times New Roman" w:eastAsia="SimSun" w:hAnsi="Times New Roman" w:cs="Times New Roman"/>
      <w:b/>
      <w:sz w:val="20"/>
      <w:szCs w:val="20"/>
      <w:lang w:eastAsia="zh-CN"/>
    </w:rPr>
  </w:style>
  <w:style w:type="character" w:customStyle="1" w:styleId="Heading7Char">
    <w:name w:val="Heading 7 Char"/>
    <w:basedOn w:val="DefaultParagraphFont"/>
    <w:link w:val="Heading7"/>
    <w:uiPriority w:val="99"/>
    <w:locked/>
    <w:rsid w:val="00C4116D"/>
    <w:rPr>
      <w:rFonts w:ascii="Times New Roman" w:eastAsia="SimSun" w:hAnsi="Times New Roman" w:cs="Times New Roman"/>
      <w:i/>
      <w:sz w:val="20"/>
      <w:lang w:eastAsia="zh-CN"/>
    </w:rPr>
  </w:style>
  <w:style w:type="character" w:customStyle="1" w:styleId="Heading8Char">
    <w:name w:val="Heading 8 Char"/>
    <w:basedOn w:val="DefaultParagraphFont"/>
    <w:link w:val="Heading8"/>
    <w:uiPriority w:val="99"/>
    <w:locked/>
    <w:rsid w:val="00C4116D"/>
    <w:rPr>
      <w:rFonts w:ascii="Times New Roman" w:eastAsia="SimSun" w:hAnsi="Times New Roman" w:cs="Times New Roman"/>
      <w:sz w:val="20"/>
      <w:szCs w:val="20"/>
      <w:lang w:eastAsia="zh-CN"/>
    </w:rPr>
  </w:style>
  <w:style w:type="character" w:customStyle="1" w:styleId="Heading9Char">
    <w:name w:val="Heading 9 Char"/>
    <w:basedOn w:val="DefaultParagraphFont"/>
    <w:link w:val="Heading9"/>
    <w:uiPriority w:val="99"/>
    <w:locked/>
    <w:rsid w:val="00C4116D"/>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C4116D"/>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C4116D"/>
    <w:pPr>
      <w:spacing w:line="240" w:lineRule="auto"/>
    </w:pPr>
    <w:rPr>
      <w:rFonts w:cs="Times New Roman"/>
      <w:sz w:val="16"/>
      <w:szCs w:val="16"/>
      <w:lang w:val="en-US"/>
    </w:rPr>
  </w:style>
  <w:style w:type="character" w:customStyle="1" w:styleId="BalloonTextChar">
    <w:name w:val="Balloon Text Char"/>
    <w:basedOn w:val="DefaultParagraphFont"/>
    <w:link w:val="BalloonText"/>
    <w:uiPriority w:val="99"/>
    <w:locked/>
    <w:rsid w:val="00C4116D"/>
    <w:rPr>
      <w:rFonts w:ascii="Tahoma" w:eastAsia="SimSun" w:hAnsi="Tahoma" w:cs="Times New Roman"/>
      <w:sz w:val="16"/>
      <w:lang w:eastAsia="zh-CN"/>
    </w:rPr>
  </w:style>
  <w:style w:type="paragraph" w:customStyle="1" w:styleId="Bulletedtext">
    <w:name w:val="Bulleted text"/>
    <w:basedOn w:val="Normal"/>
    <w:uiPriority w:val="99"/>
    <w:rsid w:val="00C4116D"/>
    <w:pPr>
      <w:tabs>
        <w:tab w:val="left" w:pos="2835"/>
      </w:tabs>
    </w:pPr>
  </w:style>
  <w:style w:type="paragraph" w:customStyle="1" w:styleId="Bulletedtext2ndlevel">
    <w:name w:val="Bulleted text 2nd level"/>
    <w:basedOn w:val="Normal"/>
    <w:uiPriority w:val="99"/>
    <w:rsid w:val="00C4116D"/>
    <w:pPr>
      <w:tabs>
        <w:tab w:val="num" w:pos="720"/>
      </w:tabs>
      <w:ind w:left="720" w:hanging="360"/>
      <w:jc w:val="left"/>
    </w:pPr>
  </w:style>
  <w:style w:type="paragraph" w:customStyle="1" w:styleId="Captioncontinued">
    <w:name w:val="Caption (continued)"/>
    <w:basedOn w:val="Normal"/>
    <w:next w:val="Normal"/>
    <w:uiPriority w:val="99"/>
    <w:rsid w:val="00C4116D"/>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C4116D"/>
    <w:rPr>
      <w:i/>
      <w:sz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C4116D"/>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C4116D"/>
    <w:rPr>
      <w:rFonts w:cs="Times New Roman"/>
      <w:sz w:val="16"/>
    </w:rPr>
  </w:style>
  <w:style w:type="paragraph" w:styleId="CommentText">
    <w:name w:val="annotation text"/>
    <w:basedOn w:val="Normal"/>
    <w:link w:val="CommentTextChar"/>
    <w:uiPriority w:val="99"/>
    <w:semiHidden/>
    <w:rsid w:val="00C4116D"/>
    <w:rPr>
      <w:rFonts w:ascii="Times New Roman" w:hAnsi="Times New Roman" w:cs="Times New Roman"/>
      <w:lang w:val="en-US"/>
    </w:rPr>
  </w:style>
  <w:style w:type="character" w:customStyle="1" w:styleId="CommentTextChar">
    <w:name w:val="Comment Text Char"/>
    <w:basedOn w:val="DefaultParagraphFont"/>
    <w:link w:val="CommentText"/>
    <w:uiPriority w:val="99"/>
    <w:semiHidden/>
    <w:locked/>
    <w:rsid w:val="00C4116D"/>
    <w:rPr>
      <w:rFonts w:ascii="Times New Roman" w:eastAsia="SimSun" w:hAnsi="Times New Roman" w:cs="Times New Roman"/>
      <w:sz w:val="20"/>
      <w:lang w:eastAsia="zh-CN"/>
    </w:rPr>
  </w:style>
  <w:style w:type="paragraph" w:styleId="CommentSubject">
    <w:name w:val="annotation subject"/>
    <w:basedOn w:val="CommentText"/>
    <w:next w:val="CommentText"/>
    <w:link w:val="CommentSubjectChar"/>
    <w:uiPriority w:val="99"/>
    <w:semiHidden/>
    <w:rsid w:val="00C4116D"/>
    <w:rPr>
      <w:b/>
      <w:bCs/>
    </w:rPr>
  </w:style>
  <w:style w:type="character" w:customStyle="1" w:styleId="CommentSubjectChar">
    <w:name w:val="Comment Subject Char"/>
    <w:basedOn w:val="CommentTextChar"/>
    <w:link w:val="CommentSubject"/>
    <w:uiPriority w:val="99"/>
    <w:semiHidden/>
    <w:locked/>
    <w:rsid w:val="00C4116D"/>
    <w:rPr>
      <w:rFonts w:ascii="Times New Roman" w:eastAsia="SimSun" w:hAnsi="Times New Roman" w:cs="Times New Roman"/>
      <w:b/>
      <w:sz w:val="20"/>
      <w:lang w:eastAsia="zh-CN"/>
    </w:rPr>
  </w:style>
  <w:style w:type="paragraph" w:customStyle="1" w:styleId="Execsummary">
    <w:name w:val="Exec summary"/>
    <w:basedOn w:val="Normal"/>
    <w:uiPriority w:val="99"/>
    <w:semiHidden/>
    <w:rsid w:val="00C4116D"/>
    <w:pPr>
      <w:spacing w:line="288" w:lineRule="auto"/>
    </w:pPr>
    <w:rPr>
      <w:sz w:val="22"/>
    </w:rPr>
  </w:style>
  <w:style w:type="paragraph" w:styleId="Footer">
    <w:name w:val="footer"/>
    <w:basedOn w:val="Normal"/>
    <w:link w:val="FooterChar"/>
    <w:uiPriority w:val="99"/>
    <w:rsid w:val="00C4116D"/>
    <w:pPr>
      <w:tabs>
        <w:tab w:val="center" w:pos="4320"/>
        <w:tab w:val="right" w:pos="8640"/>
      </w:tabs>
    </w:pPr>
    <w:rPr>
      <w:rFonts w:ascii="Times New Roman" w:hAnsi="Times New Roman" w:cs="Times New Roman"/>
      <w:lang w:val="en-US"/>
    </w:rPr>
  </w:style>
  <w:style w:type="character" w:customStyle="1" w:styleId="FooterChar">
    <w:name w:val="Footer Char"/>
    <w:basedOn w:val="DefaultParagraphFont"/>
    <w:link w:val="Footer"/>
    <w:uiPriority w:val="99"/>
    <w:locked/>
    <w:rsid w:val="00C4116D"/>
    <w:rPr>
      <w:rFonts w:ascii="Times New Roman" w:eastAsia="SimSun" w:hAnsi="Times New Roman" w:cs="Times New Roman"/>
      <w:sz w:val="20"/>
      <w:lang w:eastAsia="zh-CN"/>
    </w:rPr>
  </w:style>
  <w:style w:type="character" w:styleId="FootnoteReference">
    <w:name w:val="footnote reference"/>
    <w:basedOn w:val="DefaultParagraphFont"/>
    <w:uiPriority w:val="99"/>
    <w:semiHidden/>
    <w:rsid w:val="00C4116D"/>
    <w:rPr>
      <w:rFonts w:cs="Times New Roman"/>
      <w:vertAlign w:val="superscript"/>
    </w:rPr>
  </w:style>
  <w:style w:type="paragraph" w:styleId="FootnoteText">
    <w:name w:val="footnote text"/>
    <w:basedOn w:val="Normal"/>
    <w:link w:val="FootnoteTextChar"/>
    <w:uiPriority w:val="99"/>
    <w:semiHidden/>
    <w:rsid w:val="00C4116D"/>
    <w:pPr>
      <w:spacing w:line="240" w:lineRule="auto"/>
      <w:jc w:val="left"/>
    </w:pPr>
    <w:rPr>
      <w:rFonts w:ascii="Calibri" w:eastAsia="Calibri" w:hAnsi="Calibri" w:cs="Times New Roman"/>
      <w:lang w:val="en-US" w:eastAsia="en-US"/>
    </w:rPr>
  </w:style>
  <w:style w:type="character" w:customStyle="1" w:styleId="FootnoteTextChar">
    <w:name w:val="Footnote Text Char"/>
    <w:basedOn w:val="DefaultParagraphFont"/>
    <w:link w:val="FootnoteText"/>
    <w:uiPriority w:val="99"/>
    <w:semiHidden/>
    <w:locked/>
    <w:rsid w:val="00C4116D"/>
    <w:rPr>
      <w:rFonts w:cs="Times New Roman"/>
      <w:sz w:val="20"/>
    </w:rPr>
  </w:style>
  <w:style w:type="paragraph" w:customStyle="1" w:styleId="GMHEADING1">
    <w:name w:val="GMHEADING1"/>
    <w:basedOn w:val="Normal"/>
    <w:next w:val="Normal"/>
    <w:uiPriority w:val="99"/>
    <w:rsid w:val="00C4116D"/>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C4116D"/>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C4116D"/>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C4116D"/>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C4116D"/>
    <w:pPr>
      <w:tabs>
        <w:tab w:val="right" w:pos="9240"/>
      </w:tabs>
      <w:spacing w:line="240" w:lineRule="auto"/>
      <w:ind w:right="28"/>
      <w:jc w:val="left"/>
    </w:pPr>
    <w:rPr>
      <w:rFonts w:ascii="Times New Roman" w:hAnsi="Times New Roman" w:cs="Times New Roman"/>
      <w:u w:val="single"/>
      <w:lang w:val="en-US"/>
    </w:rPr>
  </w:style>
  <w:style w:type="character" w:customStyle="1" w:styleId="HeaderChar">
    <w:name w:val="Header Char"/>
    <w:basedOn w:val="DefaultParagraphFont"/>
    <w:link w:val="Header"/>
    <w:uiPriority w:val="99"/>
    <w:locked/>
    <w:rsid w:val="00C4116D"/>
    <w:rPr>
      <w:rFonts w:ascii="Times New Roman" w:eastAsia="SimSun" w:hAnsi="Times New Roman" w:cs="Times New Roman"/>
      <w:sz w:val="20"/>
      <w:u w:val="single"/>
      <w:lang w:eastAsia="zh-CN"/>
    </w:rPr>
  </w:style>
  <w:style w:type="character" w:styleId="Hyperlink">
    <w:name w:val="Hyperlink"/>
    <w:basedOn w:val="DefaultParagraphFont"/>
    <w:uiPriority w:val="99"/>
    <w:rsid w:val="00C4116D"/>
    <w:rPr>
      <w:rFonts w:cs="Times New Roman"/>
      <w:color w:val="0000FF"/>
      <w:u w:val="single"/>
    </w:rPr>
  </w:style>
  <w:style w:type="paragraph" w:customStyle="1" w:styleId="Numberedtext">
    <w:name w:val="Numbered text"/>
    <w:basedOn w:val="Normal"/>
    <w:uiPriority w:val="99"/>
    <w:semiHidden/>
    <w:rsid w:val="00C4116D"/>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C4116D"/>
    <w:pPr>
      <w:tabs>
        <w:tab w:val="left" w:pos="0"/>
      </w:tabs>
      <w:spacing w:before="40" w:after="40" w:line="288" w:lineRule="auto"/>
      <w:jc w:val="left"/>
    </w:pPr>
    <w:rPr>
      <w:sz w:val="22"/>
      <w:szCs w:val="22"/>
    </w:rPr>
  </w:style>
  <w:style w:type="character" w:styleId="PageNumber">
    <w:name w:val="page number"/>
    <w:basedOn w:val="DefaultParagraphFont"/>
    <w:uiPriority w:val="99"/>
    <w:rsid w:val="00C4116D"/>
    <w:rPr>
      <w:rFonts w:cs="Times New Roman"/>
    </w:rPr>
  </w:style>
  <w:style w:type="paragraph" w:customStyle="1" w:styleId="Source">
    <w:name w:val="Source"/>
    <w:basedOn w:val="Normal"/>
    <w:uiPriority w:val="99"/>
    <w:rsid w:val="00C4116D"/>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C4116D"/>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C4116D"/>
    <w:rPr>
      <w:rFonts w:eastAsia="SimSun"/>
      <w:sz w:val="18"/>
      <w:lang w:val="en-AU" w:eastAsia="en-US"/>
    </w:rPr>
  </w:style>
  <w:style w:type="paragraph" w:customStyle="1" w:styleId="Spaceundertable">
    <w:name w:val="Space under table"/>
    <w:basedOn w:val="Normal"/>
    <w:uiPriority w:val="99"/>
    <w:rsid w:val="00C4116D"/>
    <w:pPr>
      <w:numPr>
        <w:numId w:val="4"/>
      </w:numPr>
      <w:spacing w:line="240" w:lineRule="auto"/>
      <w:jc w:val="left"/>
    </w:pPr>
    <w:rPr>
      <w:sz w:val="8"/>
      <w:szCs w:val="8"/>
    </w:rPr>
  </w:style>
  <w:style w:type="paragraph" w:customStyle="1" w:styleId="Style1">
    <w:name w:val="Style1"/>
    <w:basedOn w:val="GMHeading2"/>
    <w:uiPriority w:val="99"/>
    <w:rsid w:val="00C4116D"/>
  </w:style>
  <w:style w:type="paragraph" w:customStyle="1" w:styleId="Style2">
    <w:name w:val="Style2"/>
    <w:basedOn w:val="GMHeading3"/>
    <w:uiPriority w:val="99"/>
    <w:rsid w:val="00C4116D"/>
  </w:style>
  <w:style w:type="table" w:styleId="TableGrid">
    <w:name w:val="Table Grid"/>
    <w:basedOn w:val="TableNormal"/>
    <w:uiPriority w:val="99"/>
    <w:rsid w:val="00C4116D"/>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C4116D"/>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C4116D"/>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C4116D"/>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C4116D"/>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C4116D"/>
    <w:pPr>
      <w:numPr>
        <w:numId w:val="2"/>
      </w:numPr>
      <w:spacing w:before="40" w:after="40" w:line="240" w:lineRule="auto"/>
      <w:jc w:val="left"/>
    </w:pPr>
  </w:style>
  <w:style w:type="paragraph" w:customStyle="1" w:styleId="Tabletextbullettedv2">
    <w:name w:val="Table text bulletted v2"/>
    <w:basedOn w:val="Tabletextbulleted"/>
    <w:uiPriority w:val="99"/>
    <w:rsid w:val="00C4116D"/>
    <w:pPr>
      <w:numPr>
        <w:numId w:val="0"/>
      </w:numPr>
      <w:spacing w:before="20" w:after="20"/>
    </w:pPr>
    <w:rPr>
      <w:lang w:val="en-US"/>
    </w:rPr>
  </w:style>
  <w:style w:type="paragraph" w:customStyle="1" w:styleId="Tabletextindentleft">
    <w:name w:val="Table text indent left"/>
    <w:basedOn w:val="TableText1left"/>
    <w:uiPriority w:val="99"/>
    <w:semiHidden/>
    <w:rsid w:val="00C4116D"/>
    <w:pPr>
      <w:ind w:left="252"/>
    </w:pPr>
    <w:rPr>
      <w:lang w:val="en-AU"/>
    </w:rPr>
  </w:style>
  <w:style w:type="paragraph" w:customStyle="1" w:styleId="TabletextindentedlistA">
    <w:name w:val="Table text indented list A"/>
    <w:aliases w:val="B,C"/>
    <w:basedOn w:val="Tabletextbulleted"/>
    <w:uiPriority w:val="99"/>
    <w:rsid w:val="00C4116D"/>
    <w:pPr>
      <w:numPr>
        <w:numId w:val="0"/>
      </w:numPr>
      <w:tabs>
        <w:tab w:val="left" w:pos="284"/>
        <w:tab w:val="left" w:pos="2835"/>
      </w:tabs>
    </w:pPr>
  </w:style>
  <w:style w:type="paragraph" w:customStyle="1" w:styleId="TabletextRelativeRisksRR">
    <w:name w:val="Table text Relative Risks (RR)"/>
    <w:basedOn w:val="Normal"/>
    <w:uiPriority w:val="99"/>
    <w:semiHidden/>
    <w:rsid w:val="00C4116D"/>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C4116D"/>
    <w:pPr>
      <w:spacing w:after="170" w:line="280" w:lineRule="atLeast"/>
    </w:pPr>
    <w:rPr>
      <w:lang w:val="en-US"/>
    </w:rPr>
  </w:style>
  <w:style w:type="paragraph" w:styleId="Title">
    <w:name w:val="Title"/>
    <w:basedOn w:val="Normal"/>
    <w:link w:val="TitleChar"/>
    <w:uiPriority w:val="99"/>
    <w:qFormat/>
    <w:rsid w:val="00C4116D"/>
    <w:pPr>
      <w:spacing w:before="240" w:after="60"/>
      <w:jc w:val="center"/>
      <w:outlineLvl w:val="0"/>
    </w:pPr>
    <w:rPr>
      <w:rFonts w:ascii="Arial" w:hAnsi="Arial" w:cs="Times New Roman"/>
      <w:b/>
      <w:bCs/>
      <w:kern w:val="28"/>
      <w:sz w:val="32"/>
      <w:szCs w:val="32"/>
      <w:lang w:val="en-US"/>
    </w:rPr>
  </w:style>
  <w:style w:type="character" w:customStyle="1" w:styleId="TitleChar">
    <w:name w:val="Title Char"/>
    <w:basedOn w:val="DefaultParagraphFont"/>
    <w:link w:val="Title"/>
    <w:uiPriority w:val="99"/>
    <w:locked/>
    <w:rsid w:val="00C4116D"/>
    <w:rPr>
      <w:rFonts w:ascii="Arial" w:eastAsia="SimSun" w:hAnsi="Arial" w:cs="Times New Roman"/>
      <w:b/>
      <w:kern w:val="28"/>
      <w:sz w:val="32"/>
      <w:lang w:eastAsia="zh-CN"/>
    </w:rPr>
  </w:style>
  <w:style w:type="paragraph" w:customStyle="1" w:styleId="TOCheading">
    <w:name w:val="TOC (heading)"/>
    <w:basedOn w:val="Normal"/>
    <w:next w:val="Normal"/>
    <w:uiPriority w:val="99"/>
    <w:rsid w:val="00C4116D"/>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C4116D"/>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C4116D"/>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C4116D"/>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C4116D"/>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C4116D"/>
    <w:pPr>
      <w:tabs>
        <w:tab w:val="right" w:leader="dot" w:pos="9469"/>
      </w:tabs>
      <w:ind w:left="960"/>
    </w:pPr>
  </w:style>
  <w:style w:type="paragraph" w:styleId="TOC6">
    <w:name w:val="toc 6"/>
    <w:basedOn w:val="Normal"/>
    <w:next w:val="Normal"/>
    <w:uiPriority w:val="99"/>
    <w:semiHidden/>
    <w:rsid w:val="00C4116D"/>
    <w:pPr>
      <w:tabs>
        <w:tab w:val="right" w:leader="dot" w:pos="9469"/>
      </w:tabs>
      <w:ind w:left="1200"/>
    </w:pPr>
  </w:style>
  <w:style w:type="paragraph" w:styleId="TOCHeading0">
    <w:name w:val="TOC Heading"/>
    <w:basedOn w:val="Heading1"/>
    <w:next w:val="Normal"/>
    <w:uiPriority w:val="39"/>
    <w:qFormat/>
    <w:rsid w:val="00C4116D"/>
    <w:pPr>
      <w:keepLines/>
      <w:spacing w:before="480" w:line="276" w:lineRule="auto"/>
      <w:jc w:val="left"/>
      <w:outlineLvl w:val="9"/>
    </w:pPr>
    <w:rPr>
      <w:rFonts w:eastAsia="Times New Roman"/>
      <w:bCs w:val="0"/>
      <w:lang w:eastAsia="en-US"/>
    </w:rPr>
  </w:style>
  <w:style w:type="paragraph" w:styleId="ListParagraph">
    <w:name w:val="List Paragraph"/>
    <w:basedOn w:val="Normal"/>
    <w:uiPriority w:val="99"/>
    <w:qFormat/>
    <w:rsid w:val="00C4116D"/>
    <w:pPr>
      <w:ind w:left="720"/>
      <w:contextualSpacing/>
    </w:pPr>
  </w:style>
  <w:style w:type="paragraph" w:styleId="NoSpacing">
    <w:name w:val="No Spacing"/>
    <w:link w:val="NoSpacingChar"/>
    <w:uiPriority w:val="99"/>
    <w:qFormat/>
    <w:rsid w:val="00C4116D"/>
    <w:rPr>
      <w:rFonts w:eastAsia="Times New Roman"/>
      <w:lang w:val="en-US" w:eastAsia="en-US"/>
    </w:rPr>
  </w:style>
  <w:style w:type="character" w:customStyle="1" w:styleId="NoSpacingChar">
    <w:name w:val="No Spacing Char"/>
    <w:link w:val="NoSpacing"/>
    <w:uiPriority w:val="99"/>
    <w:locked/>
    <w:rsid w:val="00C4116D"/>
    <w:rPr>
      <w:rFonts w:eastAsia="Times New Roman"/>
      <w:sz w:val="22"/>
      <w:lang w:val="en-US" w:eastAsia="en-US"/>
    </w:rPr>
  </w:style>
  <w:style w:type="character" w:styleId="FollowedHyperlink">
    <w:name w:val="FollowedHyperlink"/>
    <w:basedOn w:val="DefaultParagraphFont"/>
    <w:uiPriority w:val="99"/>
    <w:semiHidden/>
    <w:rsid w:val="00C4116D"/>
    <w:rPr>
      <w:rFonts w:cs="Times New Roman"/>
      <w:color w:val="800080"/>
      <w:u w:val="single"/>
    </w:rPr>
  </w:style>
  <w:style w:type="paragraph" w:customStyle="1" w:styleId="CharChar1CharCharCharChar">
    <w:name w:val="Char Char1 Char Char Char Char"/>
    <w:basedOn w:val="Normal"/>
    <w:uiPriority w:val="99"/>
    <w:rsid w:val="00C4116D"/>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4116D"/>
    <w:pPr>
      <w:keepNext/>
      <w:spacing w:after="0" w:line="240" w:lineRule="auto"/>
      <w:jc w:val="left"/>
    </w:pPr>
    <w:rPr>
      <w:rFonts w:ascii="Trebuchet MS" w:eastAsia="Times New Roman" w:hAnsi="Trebuchet MS" w:cs="Times New Roman"/>
      <w:sz w:val="18"/>
      <w:lang w:eastAsia="en-US"/>
    </w:rPr>
  </w:style>
  <w:style w:type="character" w:customStyle="1" w:styleId="addmd1">
    <w:name w:val="addmd1"/>
    <w:basedOn w:val="DefaultParagraphFont"/>
    <w:uiPriority w:val="99"/>
    <w:rsid w:val="00C4116D"/>
    <w:rPr>
      <w:rFonts w:cs="Times New Roman"/>
      <w:sz w:val="20"/>
      <w:szCs w:val="20"/>
    </w:rPr>
  </w:style>
  <w:style w:type="table" w:styleId="LightShading">
    <w:name w:val="Light Shading"/>
    <w:basedOn w:val="TableNormal"/>
    <w:uiPriority w:val="99"/>
    <w:rsid w:val="00C4116D"/>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eGrid3">
    <w:name w:val="Table Grid3"/>
    <w:uiPriority w:val="99"/>
    <w:rsid w:val="00C4116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C4116D"/>
    <w:pPr>
      <w:spacing w:line="240" w:lineRule="auto"/>
      <w:jc w:val="left"/>
    </w:pPr>
    <w:rPr>
      <w:rFonts w:ascii="Bookman Old Style" w:eastAsia="Times New Roman" w:hAnsi="Bookman Old Style" w:cs="Times New Roman"/>
      <w:noProof/>
      <w:sz w:val="42"/>
      <w:lang w:val="en-US" w:eastAsia="en-US"/>
    </w:rPr>
  </w:style>
  <w:style w:type="character" w:customStyle="1" w:styleId="BodyText2Char">
    <w:name w:val="Body Text 2 Char"/>
    <w:basedOn w:val="DefaultParagraphFont"/>
    <w:link w:val="BodyText2"/>
    <w:uiPriority w:val="99"/>
    <w:locked/>
    <w:rsid w:val="00C4116D"/>
    <w:rPr>
      <w:rFonts w:ascii="Bookman Old Style" w:hAnsi="Bookman Old Style" w:cs="Times New Roman"/>
      <w:noProof/>
      <w:sz w:val="42"/>
      <w:lang w:val="en-US" w:eastAsia="en-US"/>
    </w:rPr>
  </w:style>
  <w:style w:type="paragraph" w:customStyle="1" w:styleId="Protocolheading1">
    <w:name w:val="Protocol heading 1"/>
    <w:basedOn w:val="Normal"/>
    <w:uiPriority w:val="99"/>
    <w:rsid w:val="00C4116D"/>
    <w:pPr>
      <w:spacing w:after="0" w:line="240" w:lineRule="auto"/>
      <w:jc w:val="left"/>
    </w:pPr>
    <w:rPr>
      <w:rFonts w:ascii="Arial" w:eastAsia="Times New Roman" w:hAnsi="Arial" w:cs="Times New Roman"/>
      <w:b/>
      <w:sz w:val="52"/>
      <w:szCs w:val="24"/>
      <w:lang w:eastAsia="en-US"/>
    </w:rPr>
  </w:style>
  <w:style w:type="paragraph" w:customStyle="1" w:styleId="Protocolheading3">
    <w:name w:val="Protocol heading 3"/>
    <w:basedOn w:val="Normal"/>
    <w:uiPriority w:val="99"/>
    <w:rsid w:val="00C4116D"/>
    <w:pPr>
      <w:spacing w:after="0" w:line="240" w:lineRule="auto"/>
      <w:jc w:val="left"/>
    </w:pPr>
    <w:rPr>
      <w:rFonts w:ascii="Arial" w:eastAsia="Times New Roman" w:hAnsi="Arial" w:cs="Times New Roman"/>
      <w:b/>
      <w:sz w:val="44"/>
      <w:szCs w:val="24"/>
      <w:lang w:eastAsia="en-US"/>
    </w:rPr>
  </w:style>
  <w:style w:type="paragraph" w:customStyle="1" w:styleId="Protocolnormal">
    <w:name w:val="Protocol normal"/>
    <w:basedOn w:val="Normal"/>
    <w:link w:val="ProtocolnormalChar"/>
    <w:uiPriority w:val="99"/>
    <w:rsid w:val="00C4116D"/>
    <w:pPr>
      <w:spacing w:after="0" w:line="240" w:lineRule="auto"/>
      <w:jc w:val="left"/>
    </w:pPr>
    <w:rPr>
      <w:rFonts w:ascii="Arial" w:eastAsia="Times New Roman" w:hAnsi="Arial" w:cs="Times New Roman"/>
      <w:sz w:val="22"/>
      <w:szCs w:val="24"/>
      <w:lang w:eastAsia="en-US"/>
    </w:rPr>
  </w:style>
  <w:style w:type="character" w:customStyle="1" w:styleId="ProtocolnormalChar">
    <w:name w:val="Protocol normal Char"/>
    <w:basedOn w:val="DefaultParagraphFont"/>
    <w:link w:val="Protocolnormal"/>
    <w:uiPriority w:val="99"/>
    <w:locked/>
    <w:rsid w:val="00C4116D"/>
    <w:rPr>
      <w:rFonts w:ascii="Arial" w:hAnsi="Arial" w:cs="Times New Roman"/>
      <w:sz w:val="24"/>
      <w:szCs w:val="24"/>
      <w:lang w:eastAsia="en-US"/>
    </w:rPr>
  </w:style>
  <w:style w:type="paragraph" w:styleId="BodyText">
    <w:name w:val="Body Text"/>
    <w:basedOn w:val="Normal"/>
    <w:link w:val="BodyTextChar"/>
    <w:uiPriority w:val="99"/>
    <w:rsid w:val="00C4116D"/>
    <w:pPr>
      <w:spacing w:after="120" w:line="240" w:lineRule="auto"/>
      <w:jc w:val="left"/>
    </w:pPr>
    <w:rPr>
      <w:rFonts w:ascii="Bookman Old Style" w:eastAsia="Times New Roman" w:hAnsi="Bookman Old Style" w:cs="Times New Roman"/>
      <w:sz w:val="22"/>
      <w:lang w:eastAsia="en-US"/>
    </w:rPr>
  </w:style>
  <w:style w:type="character" w:customStyle="1" w:styleId="BodyTextChar">
    <w:name w:val="Body Text Char"/>
    <w:basedOn w:val="DefaultParagraphFont"/>
    <w:link w:val="BodyText"/>
    <w:uiPriority w:val="99"/>
    <w:locked/>
    <w:rsid w:val="00C4116D"/>
    <w:rPr>
      <w:rFonts w:ascii="Bookman Old Style" w:hAnsi="Bookman Old Style" w:cs="Times New Roman"/>
      <w:sz w:val="22"/>
      <w:lang w:eastAsia="en-US"/>
    </w:rPr>
  </w:style>
  <w:style w:type="paragraph" w:styleId="BodyTextIndent">
    <w:name w:val="Body Text Indent"/>
    <w:basedOn w:val="Normal"/>
    <w:link w:val="BodyTextIndentChar"/>
    <w:uiPriority w:val="99"/>
    <w:rsid w:val="00C4116D"/>
    <w:pPr>
      <w:spacing w:after="120" w:line="240" w:lineRule="auto"/>
      <w:ind w:left="283"/>
      <w:jc w:val="left"/>
    </w:pPr>
    <w:rPr>
      <w:rFonts w:ascii="Bookman Old Style" w:eastAsia="Times New Roman" w:hAnsi="Bookman Old Style" w:cs="Times New Roman"/>
      <w:sz w:val="22"/>
      <w:lang w:eastAsia="en-US"/>
    </w:rPr>
  </w:style>
  <w:style w:type="character" w:customStyle="1" w:styleId="BodyTextIndentChar">
    <w:name w:val="Body Text Indent Char"/>
    <w:basedOn w:val="DefaultParagraphFont"/>
    <w:link w:val="BodyTextIndent"/>
    <w:uiPriority w:val="99"/>
    <w:locked/>
    <w:rsid w:val="00C4116D"/>
    <w:rPr>
      <w:rFonts w:ascii="Bookman Old Style" w:hAnsi="Bookman Old Style" w:cs="Times New Roman"/>
      <w:sz w:val="22"/>
      <w:lang w:eastAsia="en-US"/>
    </w:rPr>
  </w:style>
  <w:style w:type="paragraph" w:styleId="BodyTextIndent2">
    <w:name w:val="Body Text Indent 2"/>
    <w:basedOn w:val="Normal"/>
    <w:link w:val="BodyTextIndent2Char"/>
    <w:uiPriority w:val="99"/>
    <w:rsid w:val="00C4116D"/>
    <w:pPr>
      <w:spacing w:after="120" w:line="480" w:lineRule="auto"/>
      <w:ind w:left="283"/>
      <w:jc w:val="left"/>
    </w:pPr>
    <w:rPr>
      <w:rFonts w:ascii="Bookman Old Style" w:eastAsia="Times New Roman" w:hAnsi="Bookman Old Style" w:cs="Times New Roman"/>
      <w:sz w:val="22"/>
      <w:lang w:eastAsia="en-US"/>
    </w:rPr>
  </w:style>
  <w:style w:type="character" w:customStyle="1" w:styleId="BodyTextIndent2Char">
    <w:name w:val="Body Text Indent 2 Char"/>
    <w:basedOn w:val="DefaultParagraphFont"/>
    <w:link w:val="BodyTextIndent2"/>
    <w:uiPriority w:val="99"/>
    <w:locked/>
    <w:rsid w:val="00C4116D"/>
    <w:rPr>
      <w:rFonts w:ascii="Bookman Old Style" w:hAnsi="Bookman Old Style" w:cs="Times New Roman"/>
      <w:sz w:val="22"/>
      <w:lang w:eastAsia="en-US"/>
    </w:rPr>
  </w:style>
  <w:style w:type="paragraph" w:customStyle="1" w:styleId="TableNotes">
    <w:name w:val="TableNotes"/>
    <w:basedOn w:val="TableText"/>
    <w:link w:val="TableNotesChar"/>
    <w:uiPriority w:val="99"/>
    <w:rsid w:val="00C4116D"/>
    <w:pPr>
      <w:keepNext w:val="0"/>
      <w:keepLines/>
      <w:ind w:left="1440" w:hanging="720"/>
    </w:pPr>
    <w:rPr>
      <w:rFonts w:ascii="Arial Narrow" w:hAnsi="Arial Narrow"/>
      <w:sz w:val="16"/>
    </w:rPr>
  </w:style>
  <w:style w:type="paragraph" w:customStyle="1" w:styleId="TableText0">
    <w:name w:val="Table Text"/>
    <w:basedOn w:val="BodyText"/>
    <w:uiPriority w:val="99"/>
    <w:rsid w:val="00C4116D"/>
    <w:pPr>
      <w:spacing w:after="0"/>
    </w:pPr>
    <w:rPr>
      <w:rFonts w:ascii="Arial Narrow" w:hAnsi="Arial Narrow" w:cs="Arial"/>
      <w:sz w:val="24"/>
      <w:szCs w:val="24"/>
    </w:rPr>
  </w:style>
  <w:style w:type="paragraph" w:customStyle="1" w:styleId="TableHeading">
    <w:name w:val="TableHeading"/>
    <w:basedOn w:val="TableText"/>
    <w:uiPriority w:val="99"/>
    <w:rsid w:val="00C4116D"/>
    <w:pPr>
      <w:spacing w:before="40" w:after="40"/>
    </w:pPr>
    <w:rPr>
      <w:rFonts w:ascii="Arial Narrow" w:hAnsi="Arial Narrow"/>
      <w:b/>
    </w:rPr>
  </w:style>
  <w:style w:type="paragraph" w:customStyle="1" w:styleId="TableName">
    <w:name w:val="TableName"/>
    <w:basedOn w:val="TableText"/>
    <w:link w:val="TableNameChar"/>
    <w:uiPriority w:val="99"/>
    <w:rsid w:val="00C4116D"/>
    <w:pPr>
      <w:spacing w:before="120" w:after="120"/>
      <w:ind w:left="1800" w:hanging="1080"/>
    </w:pPr>
    <w:rPr>
      <w:rFonts w:ascii="Arial Narrow" w:hAnsi="Arial Narrow"/>
      <w:b/>
      <w:sz w:val="20"/>
    </w:rPr>
  </w:style>
  <w:style w:type="paragraph" w:customStyle="1" w:styleId="TableHeading0">
    <w:name w:val="Table Heading"/>
    <w:basedOn w:val="TableText0"/>
    <w:next w:val="TableText0"/>
    <w:uiPriority w:val="99"/>
    <w:rsid w:val="00C4116D"/>
    <w:pPr>
      <w:keepNext/>
      <w:spacing w:before="40" w:after="40"/>
    </w:pPr>
    <w:rPr>
      <w:rFonts w:ascii="Arial" w:hAnsi="Arial" w:cs="Times New Roman"/>
      <w:b/>
      <w:sz w:val="18"/>
      <w:szCs w:val="20"/>
      <w:lang w:val="en-GB"/>
    </w:rPr>
  </w:style>
  <w:style w:type="character" w:customStyle="1" w:styleId="TableNameChar">
    <w:name w:val="TableName Char"/>
    <w:basedOn w:val="DefaultParagraphFont"/>
    <w:link w:val="TableName"/>
    <w:uiPriority w:val="99"/>
    <w:locked/>
    <w:rsid w:val="00C4116D"/>
    <w:rPr>
      <w:rFonts w:ascii="Arial Narrow" w:hAnsi="Arial Narrow" w:cs="Times New Roman"/>
      <w:b/>
      <w:lang w:eastAsia="en-US"/>
    </w:rPr>
  </w:style>
  <w:style w:type="character" w:customStyle="1" w:styleId="TableNotesChar">
    <w:name w:val="TableNotes Char"/>
    <w:basedOn w:val="DefaultParagraphFont"/>
    <w:link w:val="TableNotes"/>
    <w:uiPriority w:val="99"/>
    <w:locked/>
    <w:rsid w:val="00C4116D"/>
    <w:rPr>
      <w:rFonts w:ascii="Arial Narrow" w:hAnsi="Arial Narrow" w:cs="Times New Roman"/>
      <w:sz w:val="16"/>
      <w:lang w:eastAsia="en-US"/>
    </w:rPr>
  </w:style>
  <w:style w:type="table" w:customStyle="1" w:styleId="TableGrid1">
    <w:name w:val="Table Grid1"/>
    <w:uiPriority w:val="99"/>
    <w:rsid w:val="00C4116D"/>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C4116D"/>
    <w:pPr>
      <w:spacing w:after="180" w:line="240" w:lineRule="auto"/>
      <w:jc w:val="left"/>
    </w:pPr>
    <w:rPr>
      <w:rFonts w:ascii="Garamond" w:eastAsia="Times New Roman" w:hAnsi="Garamond" w:cs="Times New Roman"/>
      <w:sz w:val="24"/>
      <w:szCs w:val="24"/>
      <w:lang w:val="en-US" w:eastAsia="en-US"/>
    </w:rPr>
  </w:style>
  <w:style w:type="character" w:customStyle="1" w:styleId="DateChar">
    <w:name w:val="Date Char"/>
    <w:basedOn w:val="DefaultParagraphFont"/>
    <w:link w:val="Date"/>
    <w:uiPriority w:val="99"/>
    <w:locked/>
    <w:rsid w:val="00C4116D"/>
    <w:rPr>
      <w:rFonts w:ascii="Garamond" w:hAnsi="Garamond" w:cs="Times New Roman"/>
      <w:sz w:val="24"/>
      <w:szCs w:val="24"/>
      <w:lang w:val="en-US" w:eastAsia="en-US"/>
    </w:rPr>
  </w:style>
  <w:style w:type="character" w:customStyle="1" w:styleId="mainsubheader1">
    <w:name w:val="mainsubheader1"/>
    <w:basedOn w:val="DefaultParagraphFont"/>
    <w:uiPriority w:val="99"/>
    <w:rsid w:val="00C4116D"/>
    <w:rPr>
      <w:rFonts w:cs="Times New Roman"/>
      <w:b/>
      <w:bCs/>
    </w:rPr>
  </w:style>
  <w:style w:type="paragraph" w:styleId="NormalWeb">
    <w:name w:val="Normal (Web)"/>
    <w:basedOn w:val="Normal"/>
    <w:uiPriority w:val="99"/>
    <w:rsid w:val="00C4116D"/>
    <w:pPr>
      <w:spacing w:before="100" w:beforeAutospacing="1" w:after="100" w:afterAutospacing="1" w:line="240" w:lineRule="auto"/>
      <w:jc w:val="left"/>
    </w:pPr>
    <w:rPr>
      <w:rFonts w:ascii="Times New Roman" w:eastAsia="Times New Roman" w:hAnsi="Times New Roman" w:cs="Times New Roman"/>
      <w:sz w:val="24"/>
      <w:lang w:val="en-US" w:eastAsia="en-US"/>
    </w:rPr>
  </w:style>
  <w:style w:type="paragraph" w:customStyle="1" w:styleId="Bullet12">
    <w:name w:val="Bullet+12"/>
    <w:basedOn w:val="Normal"/>
    <w:uiPriority w:val="99"/>
    <w:rsid w:val="00C4116D"/>
    <w:pPr>
      <w:numPr>
        <w:numId w:val="15"/>
      </w:numPr>
      <w:spacing w:line="240" w:lineRule="auto"/>
      <w:jc w:val="left"/>
    </w:pPr>
    <w:rPr>
      <w:rFonts w:ascii="Times New Roman" w:eastAsia="Times New Roman" w:hAnsi="Times New Roman" w:cs="Times New Roman"/>
      <w:sz w:val="24"/>
      <w:lang w:eastAsia="en-US"/>
    </w:rPr>
  </w:style>
  <w:style w:type="paragraph" w:customStyle="1" w:styleId="Bullet6">
    <w:name w:val="Bullet+6"/>
    <w:basedOn w:val="Normal"/>
    <w:uiPriority w:val="99"/>
    <w:rsid w:val="00C4116D"/>
    <w:pPr>
      <w:numPr>
        <w:numId w:val="16"/>
      </w:numPr>
      <w:spacing w:after="0" w:line="240" w:lineRule="auto"/>
      <w:jc w:val="left"/>
    </w:pPr>
    <w:rPr>
      <w:rFonts w:ascii="Times New Roman" w:eastAsia="Times New Roman" w:hAnsi="Times New Roman" w:cs="Times New Roman"/>
      <w:sz w:val="24"/>
      <w:szCs w:val="24"/>
      <w:lang w:eastAsia="en-AU"/>
    </w:rPr>
  </w:style>
  <w:style w:type="paragraph" w:customStyle="1" w:styleId="Default">
    <w:name w:val="Default"/>
    <w:uiPriority w:val="99"/>
    <w:rsid w:val="00C4116D"/>
    <w:pPr>
      <w:autoSpaceDE w:val="0"/>
      <w:autoSpaceDN w:val="0"/>
      <w:adjustRightInd w:val="0"/>
    </w:pPr>
    <w:rPr>
      <w:rFonts w:ascii="Arial" w:eastAsia="Times New Roman" w:hAnsi="Arial" w:cs="Arial"/>
      <w:color w:val="000000"/>
      <w:sz w:val="24"/>
      <w:szCs w:val="24"/>
    </w:rPr>
  </w:style>
  <w:style w:type="table" w:customStyle="1" w:styleId="TableGrid2">
    <w:name w:val="Table Grid2"/>
    <w:uiPriority w:val="99"/>
    <w:rsid w:val="00C4116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locked/>
    <w:rsid w:val="000A2B2E"/>
    <w:pPr>
      <w:spacing w:after="0" w:line="240" w:lineRule="auto"/>
    </w:pPr>
  </w:style>
  <w:style w:type="character" w:customStyle="1" w:styleId="EndnoteTextChar">
    <w:name w:val="Endnote Text Char"/>
    <w:basedOn w:val="DefaultParagraphFont"/>
    <w:link w:val="EndnoteText"/>
    <w:uiPriority w:val="99"/>
    <w:semiHidden/>
    <w:locked/>
    <w:rsid w:val="000A2B2E"/>
    <w:rPr>
      <w:rFonts w:ascii="Tahoma" w:eastAsia="SimSun" w:hAnsi="Tahoma" w:cs="Tahoma"/>
      <w:sz w:val="20"/>
      <w:szCs w:val="20"/>
      <w:lang w:val="en-AU" w:eastAsia="zh-CN"/>
    </w:rPr>
  </w:style>
  <w:style w:type="character" w:styleId="EndnoteReference">
    <w:name w:val="endnote reference"/>
    <w:basedOn w:val="DefaultParagraphFont"/>
    <w:uiPriority w:val="99"/>
    <w:semiHidden/>
    <w:locked/>
    <w:rsid w:val="000A2B2E"/>
    <w:rPr>
      <w:rFonts w:cs="Times New Roman"/>
      <w:vertAlign w:val="superscript"/>
    </w:rPr>
  </w:style>
  <w:style w:type="paragraph" w:styleId="Revision">
    <w:name w:val="Revision"/>
    <w:hidden/>
    <w:uiPriority w:val="99"/>
    <w:semiHidden/>
    <w:rsid w:val="00D86DA7"/>
    <w:rPr>
      <w:rFonts w:ascii="Tahoma" w:eastAsia="SimSun" w:hAnsi="Tahoma" w:cs="Tahoma"/>
      <w:sz w:val="20"/>
      <w:szCs w:val="20"/>
      <w:lang w:eastAsia="zh-CN"/>
    </w:rPr>
  </w:style>
  <w:style w:type="table" w:customStyle="1" w:styleId="TableGrid4">
    <w:name w:val="Table Grid4"/>
    <w:uiPriority w:val="99"/>
    <w:rsid w:val="00CA409A"/>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33726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highlight">
    <w:name w:val="highlight"/>
    <w:basedOn w:val="DefaultParagraphFont"/>
    <w:uiPriority w:val="99"/>
    <w:rsid w:val="00337261"/>
    <w:rPr>
      <w:rFonts w:cs="Times New Roman"/>
    </w:rPr>
  </w:style>
  <w:style w:type="table" w:customStyle="1" w:styleId="TableGrid41">
    <w:name w:val="Table Grid41"/>
    <w:uiPriority w:val="99"/>
    <w:rsid w:val="00337261"/>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4593">
      <w:marLeft w:val="0"/>
      <w:marRight w:val="0"/>
      <w:marTop w:val="0"/>
      <w:marBottom w:val="0"/>
      <w:divBdr>
        <w:top w:val="none" w:sz="0" w:space="0" w:color="auto"/>
        <w:left w:val="none" w:sz="0" w:space="0" w:color="auto"/>
        <w:bottom w:val="none" w:sz="0" w:space="0" w:color="auto"/>
        <w:right w:val="none" w:sz="0" w:space="0" w:color="auto"/>
      </w:divBdr>
      <w:divsChild>
        <w:div w:id="958994623">
          <w:marLeft w:val="0"/>
          <w:marRight w:val="0"/>
          <w:marTop w:val="0"/>
          <w:marBottom w:val="0"/>
          <w:divBdr>
            <w:top w:val="none" w:sz="0" w:space="0" w:color="auto"/>
            <w:left w:val="none" w:sz="0" w:space="0" w:color="auto"/>
            <w:bottom w:val="none" w:sz="0" w:space="0" w:color="auto"/>
            <w:right w:val="none" w:sz="0" w:space="0" w:color="auto"/>
          </w:divBdr>
          <w:divsChild>
            <w:div w:id="958994625">
              <w:marLeft w:val="0"/>
              <w:marRight w:val="0"/>
              <w:marTop w:val="0"/>
              <w:marBottom w:val="0"/>
              <w:divBdr>
                <w:top w:val="none" w:sz="0" w:space="0" w:color="auto"/>
                <w:left w:val="none" w:sz="0" w:space="0" w:color="auto"/>
                <w:bottom w:val="none" w:sz="0" w:space="0" w:color="auto"/>
                <w:right w:val="none" w:sz="0" w:space="0" w:color="auto"/>
              </w:divBdr>
              <w:divsChild>
                <w:div w:id="958994618">
                  <w:marLeft w:val="0"/>
                  <w:marRight w:val="0"/>
                  <w:marTop w:val="0"/>
                  <w:marBottom w:val="0"/>
                  <w:divBdr>
                    <w:top w:val="none" w:sz="0" w:space="0" w:color="auto"/>
                    <w:left w:val="none" w:sz="0" w:space="0" w:color="auto"/>
                    <w:bottom w:val="none" w:sz="0" w:space="0" w:color="auto"/>
                    <w:right w:val="none" w:sz="0" w:space="0" w:color="auto"/>
                  </w:divBdr>
                  <w:divsChild>
                    <w:div w:id="958994617">
                      <w:marLeft w:val="0"/>
                      <w:marRight w:val="0"/>
                      <w:marTop w:val="0"/>
                      <w:marBottom w:val="0"/>
                      <w:divBdr>
                        <w:top w:val="none" w:sz="0" w:space="0" w:color="auto"/>
                        <w:left w:val="none" w:sz="0" w:space="0" w:color="auto"/>
                        <w:bottom w:val="none" w:sz="0" w:space="0" w:color="auto"/>
                        <w:right w:val="none" w:sz="0" w:space="0" w:color="auto"/>
                      </w:divBdr>
                      <w:divsChild>
                        <w:div w:id="958994594">
                          <w:marLeft w:val="0"/>
                          <w:marRight w:val="0"/>
                          <w:marTop w:val="0"/>
                          <w:marBottom w:val="0"/>
                          <w:divBdr>
                            <w:top w:val="none" w:sz="0" w:space="0" w:color="auto"/>
                            <w:left w:val="none" w:sz="0" w:space="0" w:color="auto"/>
                            <w:bottom w:val="none" w:sz="0" w:space="0" w:color="auto"/>
                            <w:right w:val="none" w:sz="0" w:space="0" w:color="auto"/>
                          </w:divBdr>
                          <w:divsChild>
                            <w:div w:id="958994619">
                              <w:marLeft w:val="0"/>
                              <w:marRight w:val="0"/>
                              <w:marTop w:val="0"/>
                              <w:marBottom w:val="0"/>
                              <w:divBdr>
                                <w:top w:val="none" w:sz="0" w:space="0" w:color="auto"/>
                                <w:left w:val="none" w:sz="0" w:space="0" w:color="auto"/>
                                <w:bottom w:val="none" w:sz="0" w:space="0" w:color="auto"/>
                                <w:right w:val="none" w:sz="0" w:space="0" w:color="auto"/>
                              </w:divBdr>
                              <w:divsChild>
                                <w:div w:id="9589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994596">
      <w:marLeft w:val="0"/>
      <w:marRight w:val="0"/>
      <w:marTop w:val="0"/>
      <w:marBottom w:val="0"/>
      <w:divBdr>
        <w:top w:val="none" w:sz="0" w:space="0" w:color="auto"/>
        <w:left w:val="none" w:sz="0" w:space="0" w:color="auto"/>
        <w:bottom w:val="none" w:sz="0" w:space="0" w:color="auto"/>
        <w:right w:val="none" w:sz="0" w:space="0" w:color="auto"/>
      </w:divBdr>
      <w:divsChild>
        <w:div w:id="958994616">
          <w:marLeft w:val="240"/>
          <w:marRight w:val="240"/>
          <w:marTop w:val="360"/>
          <w:marBottom w:val="0"/>
          <w:divBdr>
            <w:top w:val="none" w:sz="0" w:space="0" w:color="auto"/>
            <w:left w:val="none" w:sz="0" w:space="0" w:color="auto"/>
            <w:bottom w:val="none" w:sz="0" w:space="0" w:color="auto"/>
            <w:right w:val="none" w:sz="0" w:space="0" w:color="auto"/>
          </w:divBdr>
          <w:divsChild>
            <w:div w:id="958994603">
              <w:marLeft w:val="480"/>
              <w:marRight w:val="480"/>
              <w:marTop w:val="240"/>
              <w:marBottom w:val="0"/>
              <w:divBdr>
                <w:top w:val="none" w:sz="0" w:space="0" w:color="auto"/>
                <w:left w:val="none" w:sz="0" w:space="0" w:color="auto"/>
                <w:bottom w:val="none" w:sz="0" w:space="0" w:color="auto"/>
                <w:right w:val="none" w:sz="0" w:space="0" w:color="auto"/>
              </w:divBdr>
              <w:divsChild>
                <w:div w:id="958994605">
                  <w:marLeft w:val="720"/>
                  <w:marRight w:val="720"/>
                  <w:marTop w:val="0"/>
                  <w:marBottom w:val="0"/>
                  <w:divBdr>
                    <w:top w:val="none" w:sz="0" w:space="0" w:color="auto"/>
                    <w:left w:val="none" w:sz="0" w:space="0" w:color="auto"/>
                    <w:bottom w:val="none" w:sz="0" w:space="0" w:color="auto"/>
                    <w:right w:val="none" w:sz="0" w:space="0" w:color="auto"/>
                  </w:divBdr>
                  <w:divsChild>
                    <w:div w:id="9589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94598">
      <w:marLeft w:val="0"/>
      <w:marRight w:val="0"/>
      <w:marTop w:val="0"/>
      <w:marBottom w:val="0"/>
      <w:divBdr>
        <w:top w:val="none" w:sz="0" w:space="0" w:color="auto"/>
        <w:left w:val="none" w:sz="0" w:space="0" w:color="auto"/>
        <w:bottom w:val="none" w:sz="0" w:space="0" w:color="auto"/>
        <w:right w:val="none" w:sz="0" w:space="0" w:color="auto"/>
      </w:divBdr>
      <w:divsChild>
        <w:div w:id="958994611">
          <w:marLeft w:val="0"/>
          <w:marRight w:val="0"/>
          <w:marTop w:val="0"/>
          <w:marBottom w:val="0"/>
          <w:divBdr>
            <w:top w:val="none" w:sz="0" w:space="0" w:color="auto"/>
            <w:left w:val="none" w:sz="0" w:space="0" w:color="auto"/>
            <w:bottom w:val="none" w:sz="0" w:space="0" w:color="auto"/>
            <w:right w:val="none" w:sz="0" w:space="0" w:color="auto"/>
          </w:divBdr>
          <w:divsChild>
            <w:div w:id="9589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4602">
      <w:marLeft w:val="0"/>
      <w:marRight w:val="0"/>
      <w:marTop w:val="0"/>
      <w:marBottom w:val="0"/>
      <w:divBdr>
        <w:top w:val="none" w:sz="0" w:space="0" w:color="auto"/>
        <w:left w:val="none" w:sz="0" w:space="0" w:color="auto"/>
        <w:bottom w:val="none" w:sz="0" w:space="0" w:color="auto"/>
        <w:right w:val="none" w:sz="0" w:space="0" w:color="auto"/>
      </w:divBdr>
      <w:divsChild>
        <w:div w:id="958994600">
          <w:marLeft w:val="240"/>
          <w:marRight w:val="240"/>
          <w:marTop w:val="360"/>
          <w:marBottom w:val="0"/>
          <w:divBdr>
            <w:top w:val="none" w:sz="0" w:space="0" w:color="auto"/>
            <w:left w:val="none" w:sz="0" w:space="0" w:color="auto"/>
            <w:bottom w:val="none" w:sz="0" w:space="0" w:color="auto"/>
            <w:right w:val="none" w:sz="0" w:space="0" w:color="auto"/>
          </w:divBdr>
          <w:divsChild>
            <w:div w:id="958994597">
              <w:marLeft w:val="480"/>
              <w:marRight w:val="480"/>
              <w:marTop w:val="240"/>
              <w:marBottom w:val="0"/>
              <w:divBdr>
                <w:top w:val="none" w:sz="0" w:space="0" w:color="auto"/>
                <w:left w:val="none" w:sz="0" w:space="0" w:color="auto"/>
                <w:bottom w:val="none" w:sz="0" w:space="0" w:color="auto"/>
                <w:right w:val="none" w:sz="0" w:space="0" w:color="auto"/>
              </w:divBdr>
              <w:divsChild>
                <w:div w:id="958994610">
                  <w:marLeft w:val="720"/>
                  <w:marRight w:val="720"/>
                  <w:marTop w:val="0"/>
                  <w:marBottom w:val="0"/>
                  <w:divBdr>
                    <w:top w:val="none" w:sz="0" w:space="0" w:color="auto"/>
                    <w:left w:val="none" w:sz="0" w:space="0" w:color="auto"/>
                    <w:bottom w:val="none" w:sz="0" w:space="0" w:color="auto"/>
                    <w:right w:val="none" w:sz="0" w:space="0" w:color="auto"/>
                  </w:divBdr>
                  <w:divsChild>
                    <w:div w:id="9589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94607">
      <w:marLeft w:val="0"/>
      <w:marRight w:val="0"/>
      <w:marTop w:val="0"/>
      <w:marBottom w:val="0"/>
      <w:divBdr>
        <w:top w:val="none" w:sz="0" w:space="0" w:color="auto"/>
        <w:left w:val="none" w:sz="0" w:space="0" w:color="auto"/>
        <w:bottom w:val="none" w:sz="0" w:space="0" w:color="auto"/>
        <w:right w:val="none" w:sz="0" w:space="0" w:color="auto"/>
      </w:divBdr>
      <w:divsChild>
        <w:div w:id="958994595">
          <w:marLeft w:val="0"/>
          <w:marRight w:val="0"/>
          <w:marTop w:val="0"/>
          <w:marBottom w:val="0"/>
          <w:divBdr>
            <w:top w:val="none" w:sz="0" w:space="0" w:color="auto"/>
            <w:left w:val="none" w:sz="0" w:space="0" w:color="auto"/>
            <w:bottom w:val="none" w:sz="0" w:space="0" w:color="auto"/>
            <w:right w:val="none" w:sz="0" w:space="0" w:color="auto"/>
          </w:divBdr>
          <w:divsChild>
            <w:div w:id="9589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4609">
      <w:marLeft w:val="0"/>
      <w:marRight w:val="0"/>
      <w:marTop w:val="0"/>
      <w:marBottom w:val="0"/>
      <w:divBdr>
        <w:top w:val="none" w:sz="0" w:space="0" w:color="auto"/>
        <w:left w:val="none" w:sz="0" w:space="0" w:color="auto"/>
        <w:bottom w:val="none" w:sz="0" w:space="0" w:color="auto"/>
        <w:right w:val="none" w:sz="0" w:space="0" w:color="auto"/>
      </w:divBdr>
      <w:divsChild>
        <w:div w:id="958994599">
          <w:marLeft w:val="0"/>
          <w:marRight w:val="0"/>
          <w:marTop w:val="0"/>
          <w:marBottom w:val="150"/>
          <w:divBdr>
            <w:top w:val="single" w:sz="6" w:space="15" w:color="FFFFFF"/>
            <w:left w:val="none" w:sz="0" w:space="0" w:color="auto"/>
            <w:bottom w:val="none" w:sz="0" w:space="0" w:color="auto"/>
            <w:right w:val="none" w:sz="0" w:space="0" w:color="auto"/>
          </w:divBdr>
          <w:divsChild>
            <w:div w:id="9589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4615">
      <w:marLeft w:val="0"/>
      <w:marRight w:val="0"/>
      <w:marTop w:val="0"/>
      <w:marBottom w:val="0"/>
      <w:divBdr>
        <w:top w:val="none" w:sz="0" w:space="0" w:color="auto"/>
        <w:left w:val="none" w:sz="0" w:space="0" w:color="auto"/>
        <w:bottom w:val="none" w:sz="0" w:space="0" w:color="auto"/>
        <w:right w:val="none" w:sz="0" w:space="0" w:color="auto"/>
      </w:divBdr>
      <w:divsChild>
        <w:div w:id="958994601">
          <w:marLeft w:val="0"/>
          <w:marRight w:val="0"/>
          <w:marTop w:val="0"/>
          <w:marBottom w:val="150"/>
          <w:divBdr>
            <w:top w:val="single" w:sz="6" w:space="15" w:color="FFFFFF"/>
            <w:left w:val="none" w:sz="0" w:space="0" w:color="auto"/>
            <w:bottom w:val="none" w:sz="0" w:space="0" w:color="auto"/>
            <w:right w:val="none" w:sz="0" w:space="0" w:color="auto"/>
          </w:divBdr>
          <w:divsChild>
            <w:div w:id="9589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4627">
      <w:marLeft w:val="0"/>
      <w:marRight w:val="0"/>
      <w:marTop w:val="0"/>
      <w:marBottom w:val="0"/>
      <w:divBdr>
        <w:top w:val="none" w:sz="0" w:space="0" w:color="auto"/>
        <w:left w:val="none" w:sz="0" w:space="0" w:color="auto"/>
        <w:bottom w:val="none" w:sz="0" w:space="0" w:color="auto"/>
        <w:right w:val="none" w:sz="0" w:space="0" w:color="auto"/>
      </w:divBdr>
      <w:divsChild>
        <w:div w:id="958994626">
          <w:marLeft w:val="0"/>
          <w:marRight w:val="0"/>
          <w:marTop w:val="0"/>
          <w:marBottom w:val="0"/>
          <w:divBdr>
            <w:top w:val="none" w:sz="0" w:space="0" w:color="auto"/>
            <w:left w:val="none" w:sz="0" w:space="0" w:color="auto"/>
            <w:bottom w:val="none" w:sz="0" w:space="0" w:color="auto"/>
            <w:right w:val="none" w:sz="0" w:space="0" w:color="auto"/>
          </w:divBdr>
          <w:divsChild>
            <w:div w:id="958994620">
              <w:marLeft w:val="0"/>
              <w:marRight w:val="0"/>
              <w:marTop w:val="630"/>
              <w:marBottom w:val="0"/>
              <w:divBdr>
                <w:top w:val="single" w:sz="12" w:space="0" w:color="EBEFF9"/>
                <w:left w:val="none" w:sz="0" w:space="0" w:color="auto"/>
                <w:bottom w:val="none" w:sz="0" w:space="0" w:color="auto"/>
                <w:right w:val="none" w:sz="0" w:space="0" w:color="auto"/>
              </w:divBdr>
              <w:divsChild>
                <w:div w:id="958994622">
                  <w:marLeft w:val="0"/>
                  <w:marRight w:val="0"/>
                  <w:marTop w:val="0"/>
                  <w:marBottom w:val="0"/>
                  <w:divBdr>
                    <w:top w:val="none" w:sz="0" w:space="0" w:color="auto"/>
                    <w:left w:val="none" w:sz="0" w:space="0" w:color="auto"/>
                    <w:bottom w:val="none" w:sz="0" w:space="0" w:color="auto"/>
                    <w:right w:val="none" w:sz="0" w:space="0" w:color="auto"/>
                  </w:divBdr>
                  <w:divsChild>
                    <w:div w:id="958994628">
                      <w:marLeft w:val="0"/>
                      <w:marRight w:val="150"/>
                      <w:marTop w:val="0"/>
                      <w:marBottom w:val="90"/>
                      <w:divBdr>
                        <w:top w:val="none" w:sz="0" w:space="0" w:color="auto"/>
                        <w:left w:val="none" w:sz="0" w:space="0" w:color="auto"/>
                        <w:bottom w:val="none" w:sz="0" w:space="0" w:color="auto"/>
                        <w:right w:val="none" w:sz="0" w:space="0" w:color="auto"/>
                      </w:divBdr>
                      <w:divsChild>
                        <w:div w:id="958994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8994632">
      <w:marLeft w:val="0"/>
      <w:marRight w:val="0"/>
      <w:marTop w:val="0"/>
      <w:marBottom w:val="0"/>
      <w:divBdr>
        <w:top w:val="none" w:sz="0" w:space="0" w:color="auto"/>
        <w:left w:val="none" w:sz="0" w:space="0" w:color="auto"/>
        <w:bottom w:val="none" w:sz="0" w:space="0" w:color="auto"/>
        <w:right w:val="none" w:sz="0" w:space="0" w:color="auto"/>
      </w:divBdr>
      <w:divsChild>
        <w:div w:id="958994592">
          <w:marLeft w:val="0"/>
          <w:marRight w:val="0"/>
          <w:marTop w:val="0"/>
          <w:marBottom w:val="0"/>
          <w:divBdr>
            <w:top w:val="none" w:sz="0" w:space="0" w:color="auto"/>
            <w:left w:val="none" w:sz="0" w:space="0" w:color="auto"/>
            <w:bottom w:val="none" w:sz="0" w:space="0" w:color="auto"/>
            <w:right w:val="none" w:sz="0" w:space="0" w:color="auto"/>
          </w:divBdr>
          <w:divsChild>
            <w:div w:id="958994630">
              <w:marLeft w:val="0"/>
              <w:marRight w:val="0"/>
              <w:marTop w:val="0"/>
              <w:marBottom w:val="0"/>
              <w:divBdr>
                <w:top w:val="none" w:sz="0" w:space="0" w:color="auto"/>
                <w:left w:val="none" w:sz="0" w:space="0" w:color="auto"/>
                <w:bottom w:val="none" w:sz="0" w:space="0" w:color="auto"/>
                <w:right w:val="none" w:sz="0" w:space="0" w:color="auto"/>
              </w:divBdr>
              <w:divsChild>
                <w:div w:id="958994631">
                  <w:marLeft w:val="0"/>
                  <w:marRight w:val="0"/>
                  <w:marTop w:val="0"/>
                  <w:marBottom w:val="0"/>
                  <w:divBdr>
                    <w:top w:val="none" w:sz="0" w:space="0" w:color="auto"/>
                    <w:left w:val="none" w:sz="0" w:space="0" w:color="auto"/>
                    <w:bottom w:val="none" w:sz="0" w:space="0" w:color="auto"/>
                    <w:right w:val="none" w:sz="0" w:space="0" w:color="auto"/>
                  </w:divBdr>
                  <w:divsChild>
                    <w:div w:id="958994629">
                      <w:marLeft w:val="0"/>
                      <w:marRight w:val="0"/>
                      <w:marTop w:val="0"/>
                      <w:marBottom w:val="0"/>
                      <w:divBdr>
                        <w:top w:val="none" w:sz="0" w:space="0" w:color="auto"/>
                        <w:left w:val="none" w:sz="0" w:space="0" w:color="auto"/>
                        <w:bottom w:val="none" w:sz="0" w:space="0" w:color="auto"/>
                        <w:right w:val="none" w:sz="0" w:space="0" w:color="auto"/>
                      </w:divBdr>
                    </w:div>
                    <w:div w:id="9589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9.health.gov.au/mbs/search.cf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steoporosis.org.au/about/about-osteoporosis/risk-factors/" TargetMode="External"/><Relationship Id="rId7" Type="http://schemas.openxmlformats.org/officeDocument/2006/relationships/footnotes" Target="footnotes.xml"/><Relationship Id="rId12" Type="http://schemas.openxmlformats.org/officeDocument/2006/relationships/hyperlink" Target="http://www9.health.gov.au/mbs/search.cfm" TargetMode="External"/><Relationship Id="rId17" Type="http://schemas.openxmlformats.org/officeDocument/2006/relationships/footer" Target="footer1.xml"/><Relationship Id="rId25" Type="http://schemas.openxmlformats.org/officeDocument/2006/relationships/hyperlink" Target="http://www.pbs.gov.au/browse/body-system?depth=3&amp;codes=m05b"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ef.ac.uk/FRAX/tool.jsp?country=31" TargetMode="External"/><Relationship Id="rId24" Type="http://schemas.openxmlformats.org/officeDocument/2006/relationships/hyperlink" Target="http://www.pbs.gov.au/browse/body-system?depth=3&amp;codes=m05b"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ebs.tga.gov.au/" TargetMode="Externa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bs.tga.gov.au/" TargetMode="External"/><Relationship Id="rId22" Type="http://schemas.openxmlformats.org/officeDocument/2006/relationships/hyperlink" Target="http://www.racgp.org.au/guidelines/musculoskeletaldiseases/osteoporosi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B6AAE-AFA0-4A86-BF64-E59DA537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19863</Words>
  <Characters>118847</Characters>
  <Application>Microsoft Office Word</Application>
  <DocSecurity>0</DocSecurity>
  <Lines>990</Lines>
  <Paragraphs>276</Paragraphs>
  <ScaleCrop>false</ScaleCrop>
  <HeadingPairs>
    <vt:vector size="2" baseType="variant">
      <vt:variant>
        <vt:lpstr>Title</vt:lpstr>
      </vt:variant>
      <vt:variant>
        <vt:i4>1</vt:i4>
      </vt:variant>
    </vt:vector>
  </HeadingPairs>
  <TitlesOfParts>
    <vt:vector size="1" baseType="lpstr">
      <vt:lpstr>RPT 2012-2-30 Draft PASC DAP MSAC 1162 Bone Densinometry YA</vt:lpstr>
    </vt:vector>
  </TitlesOfParts>
  <Company>Royal Australasian College Of Surgeons</Company>
  <LinksUpToDate>false</LinksUpToDate>
  <CharactersWithSpaces>138434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2012-2-30 Draft PASC DAP MSAC 1162 Bone Densinometry YA</dc:title>
  <dc:creator>Liliana Bulfone;Yasoba Atukorale</dc:creator>
  <cp:lastModifiedBy>Orr Audrey</cp:lastModifiedBy>
  <cp:revision>2</cp:revision>
  <cp:lastPrinted>2013-07-11T00:59:00Z</cp:lastPrinted>
  <dcterms:created xsi:type="dcterms:W3CDTF">2013-07-30T07:36:00Z</dcterms:created>
  <dcterms:modified xsi:type="dcterms:W3CDTF">2013-07-30T07:36:00Z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0x0101002B6F9FCD24CBB346A11AD7167871477407004F00217124198449ADBEB644F7AB073C</vt:lpwstr>
  </property>
  <property fmtid="{D5CDD505-2E9C-101B-9397-08002B2CF9AE}" pid="9" name="_dlc_DocIdItemGuid">
    <vt:lpwstr>f3dbdf51-8ce0-4296-aea0-1194e50c560d</vt:lpwstr>
  </property>
  <property fmtid="{D5CDD505-2E9C-101B-9397-08002B2CF9AE}" pid="10" name="DivisionDepartment">
    <vt:lpwstr>44;#ASERNIP-S|8b0290f0-6ce3-44aa-8a36-de68dd8a5b57</vt:lpwstr>
  </property>
  <property fmtid="{D5CDD505-2E9C-101B-9397-08002B2CF9AE}" pid="11" name="Email Category">
    <vt:lpwstr/>
  </property>
  <property fmtid="{D5CDD505-2E9C-101B-9397-08002B2CF9AE}" pid="12" name="Email CC">
    <vt:lpwstr/>
  </property>
  <property fmtid="{D5CDD505-2E9C-101B-9397-08002B2CF9AE}" pid="13" name="Email From Name">
    <vt:lpwstr/>
  </property>
  <property fmtid="{D5CDD505-2E9C-101B-9397-08002B2CF9AE}" pid="14" name="Email BCC">
    <vt:lpwstr/>
  </property>
  <property fmtid="{D5CDD505-2E9C-101B-9397-08002B2CF9AE}" pid="15" name="Email To">
    <vt:lpwstr/>
  </property>
  <property fmtid="{D5CDD505-2E9C-101B-9397-08002B2CF9AE}" pid="16" name="Email Body">
    <vt:lpwstr/>
  </property>
  <property fmtid="{D5CDD505-2E9C-101B-9397-08002B2CF9AE}" pid="17" name="Email ID">
    <vt:lpwstr/>
  </property>
  <property fmtid="{D5CDD505-2E9C-101B-9397-08002B2CF9AE}" pid="18" name="Email Subject">
    <vt:lpwstr/>
  </property>
  <property fmtid="{D5CDD505-2E9C-101B-9397-08002B2CF9AE}" pid="19" name="Document Descriptor">
    <vt:lpwstr>25;#Report|ba56f6cc-8f84-4a3b-96b2-bf20f9fa14db</vt:lpwstr>
  </property>
  <property fmtid="{D5CDD505-2E9C-101B-9397-08002B2CF9AE}" pid="20" name="Email Conversation">
    <vt:lpwstr/>
  </property>
  <property fmtid="{D5CDD505-2E9C-101B-9397-08002B2CF9AE}" pid="21" name="Email From">
    <vt:lpwstr/>
  </property>
  <property fmtid="{D5CDD505-2E9C-101B-9397-08002B2CF9AE}" pid="22" name="Email Type">
    <vt:lpwstr/>
  </property>
  <property fmtid="{D5CDD505-2E9C-101B-9397-08002B2CF9AE}" pid="23" name="Classification">
    <vt:lpwstr>78;#Correspondence|11e0ce20-eb6b-471c-bb26-bdf9ede17ea3</vt:lpwstr>
  </property>
  <property fmtid="{D5CDD505-2E9C-101B-9397-08002B2CF9AE}" pid="24" name="Email Attachment Count">
    <vt:lpwstr/>
  </property>
  <property fmtid="{D5CDD505-2E9C-101B-9397-08002B2CF9AE}" pid="25" name="RACS ID">
    <vt:lpwstr/>
  </property>
  <property fmtid="{D5CDD505-2E9C-101B-9397-08002B2CF9AE}" pid="26" name="Document DescriptorTaxHTField0">
    <vt:lpwstr>Reportba56f6cc-8f84-4a3b-96b2-bf20f9fa14db</vt:lpwstr>
  </property>
  <property fmtid="{D5CDD505-2E9C-101B-9397-08002B2CF9AE}" pid="27" name="Month">
    <vt:lpwstr>April</vt:lpwstr>
  </property>
  <property fmtid="{D5CDD505-2E9C-101B-9397-08002B2CF9AE}" pid="28" name="OBS_Solutions_Records_Capture">
    <vt:lpwstr/>
  </property>
  <property fmtid="{D5CDD505-2E9C-101B-9397-08002B2CF9AE}" pid="29" name="DivisionDepartmentTaxHTField0">
    <vt:lpwstr>ASERNIP-S8b0290f0-6ce3-44aa-8a36-de68dd8a5b57</vt:lpwstr>
  </property>
  <property fmtid="{D5CDD505-2E9C-101B-9397-08002B2CF9AE}" pid="30" name="f6d9c0923ae7485f95fe8a10f40d9332">
    <vt:lpwstr>Correspondence11e0ce20-eb6b-471c-bb26-bdf9ede17ea3</vt:lpwstr>
  </property>
  <property fmtid="{D5CDD505-2E9C-101B-9397-08002B2CF9AE}" pid="31" name="TaxCatchAll">
    <vt:lpwstr>25;#;#78;#;#44;#</vt:lpwstr>
  </property>
  <property fmtid="{D5CDD505-2E9C-101B-9397-08002B2CF9AE}" pid="32" name="Year">
    <vt:lpwstr>2012</vt:lpwstr>
  </property>
  <property fmtid="{D5CDD505-2E9C-101B-9397-08002B2CF9AE}" pid="33" name="Topic">
    <vt:lpwstr>3</vt:lpwstr>
  </property>
  <property fmtid="{D5CDD505-2E9C-101B-9397-08002B2CF9AE}" pid="34" name="_dlc_DocId">
    <vt:lpwstr>D0000061218</vt:lpwstr>
  </property>
  <property fmtid="{D5CDD505-2E9C-101B-9397-08002B2CF9AE}" pid="35" name="_dlc_DocIdUrl">
    <vt:lpwstr>http://rex.surgeons.org/sites/projects/RAASMSAC/_layouts/DocIdRedir.aspx?ID=D0000061218, D0000061218</vt:lpwstr>
  </property>
</Properties>
</file>