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B4" w:rsidRDefault="006379B4">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6379B4">
        <w:trPr>
          <w:trHeight w:val="8339"/>
        </w:trPr>
        <w:tc>
          <w:tcPr>
            <w:tcW w:w="5000" w:type="pct"/>
          </w:tcPr>
          <w:p w:rsidR="006379B4" w:rsidRDefault="006379B4">
            <w:pPr>
              <w:pStyle w:val="NoSpacing"/>
              <w:spacing w:after="240" w:line="312" w:lineRule="auto"/>
              <w:rPr>
                <w:rFonts w:ascii="Tahoma" w:hAnsi="Tahoma" w:cs="Tahoma"/>
                <w:sz w:val="44"/>
                <w:szCs w:val="56"/>
                <w:lang w:val="en-AU"/>
              </w:rPr>
            </w:pPr>
            <w:r>
              <w:rPr>
                <w:rFonts w:ascii="Tahoma" w:hAnsi="Tahoma" w:cs="Tahoma"/>
                <w:sz w:val="44"/>
                <w:szCs w:val="56"/>
                <w:lang w:val="en-AU"/>
              </w:rPr>
              <w:t>1317</w:t>
            </w:r>
          </w:p>
          <w:p w:rsidR="006379B4" w:rsidRDefault="006379B4" w:rsidP="0069266E">
            <w:pPr>
              <w:pStyle w:val="NoSpacing"/>
              <w:spacing w:after="240" w:line="312" w:lineRule="auto"/>
              <w:rPr>
                <w:rFonts w:ascii="Tahoma" w:hAnsi="Tahoma" w:cs="Tahoma"/>
                <w:sz w:val="48"/>
                <w:szCs w:val="56"/>
              </w:rPr>
            </w:pPr>
            <w:r>
              <w:rPr>
                <w:rFonts w:ascii="Tahoma" w:hAnsi="Tahoma" w:cs="Tahoma"/>
                <w:sz w:val="44"/>
                <w:szCs w:val="56"/>
                <w:lang w:val="en-AU"/>
              </w:rPr>
              <w:t xml:space="preserve">Final decision analytic protocol (DAP) to guide the assessment of </w:t>
            </w:r>
            <w:r>
              <w:rPr>
                <w:rFonts w:ascii="Tahoma" w:hAnsi="Tahoma" w:cs="Tahoma"/>
                <w:bCs/>
                <w:sz w:val="44"/>
                <w:szCs w:val="56"/>
              </w:rPr>
              <w:t xml:space="preserve">bone mineral density using Dual Energy X-Ray Absorptiometry (DXA) in patients with HIV </w:t>
            </w:r>
          </w:p>
        </w:tc>
      </w:tr>
      <w:tr w:rsidR="006379B4">
        <w:tc>
          <w:tcPr>
            <w:tcW w:w="5000" w:type="pct"/>
          </w:tcPr>
          <w:p w:rsidR="006379B4" w:rsidRDefault="00D36E61">
            <w:pPr>
              <w:pStyle w:val="NoSpacing"/>
              <w:spacing w:after="240" w:line="312" w:lineRule="auto"/>
              <w:rPr>
                <w:rFonts w:ascii="Tahoma" w:hAnsi="Tahoma" w:cs="Tahoma"/>
                <w:sz w:val="32"/>
                <w:szCs w:val="40"/>
              </w:rPr>
            </w:pPr>
            <w:r>
              <w:rPr>
                <w:rFonts w:ascii="Tahoma" w:hAnsi="Tahoma" w:cs="Tahoma"/>
                <w:sz w:val="32"/>
                <w:szCs w:val="40"/>
                <w:lang w:val="en-AU"/>
              </w:rPr>
              <w:t xml:space="preserve">July </w:t>
            </w:r>
            <w:r w:rsidR="006379B4">
              <w:rPr>
                <w:rFonts w:ascii="Tahoma" w:hAnsi="Tahoma" w:cs="Tahoma"/>
                <w:sz w:val="32"/>
                <w:szCs w:val="40"/>
                <w:lang w:val="en-AU"/>
              </w:rPr>
              <w:t>2013</w:t>
            </w:r>
          </w:p>
        </w:tc>
      </w:tr>
    </w:tbl>
    <w:p w:rsidR="006379B4" w:rsidRDefault="006379B4"/>
    <w:p w:rsidR="006379B4" w:rsidRPr="0063152E" w:rsidRDefault="006379B4">
      <w:pPr>
        <w:rPr>
          <w:b/>
          <w:i/>
          <w:sz w:val="22"/>
          <w:szCs w:val="28"/>
          <w:lang w:val="en-US" w:eastAsia="en-US"/>
        </w:rPr>
      </w:pPr>
      <w:r>
        <w:br w:type="page"/>
      </w:r>
    </w:p>
    <w:sdt>
      <w:sdtPr>
        <w:id w:val="270829019"/>
        <w:docPartObj>
          <w:docPartGallery w:val="Table of Contents"/>
          <w:docPartUnique/>
        </w:docPartObj>
      </w:sdtPr>
      <w:sdtEndPr>
        <w:rPr>
          <w:rFonts w:eastAsia="SimSun"/>
          <w:bCs/>
          <w:noProof/>
          <w:color w:val="auto"/>
          <w:sz w:val="20"/>
          <w:szCs w:val="20"/>
          <w:lang w:val="en-AU" w:eastAsia="zh-CN"/>
        </w:rPr>
      </w:sdtEndPr>
      <w:sdtContent>
        <w:p w:rsidR="0069266E" w:rsidRDefault="0069266E">
          <w:pPr>
            <w:pStyle w:val="TOCHeading0"/>
          </w:pPr>
          <w:r>
            <w:t>Table of Contents</w:t>
          </w:r>
        </w:p>
        <w:p w:rsidR="0069266E" w:rsidRDefault="0069266E">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2969217" w:history="1">
            <w:r w:rsidRPr="00185053">
              <w:rPr>
                <w:rStyle w:val="Hyperlink"/>
              </w:rPr>
              <w:t>MSAC and PASC</w:t>
            </w:r>
            <w:r>
              <w:rPr>
                <w:webHidden/>
              </w:rPr>
              <w:tab/>
            </w:r>
            <w:r>
              <w:rPr>
                <w:webHidden/>
              </w:rPr>
              <w:fldChar w:fldCharType="begin"/>
            </w:r>
            <w:r>
              <w:rPr>
                <w:webHidden/>
              </w:rPr>
              <w:instrText xml:space="preserve"> PAGEREF _Toc362969217 \h </w:instrText>
            </w:r>
            <w:r>
              <w:rPr>
                <w:webHidden/>
              </w:rPr>
            </w:r>
            <w:r>
              <w:rPr>
                <w:webHidden/>
              </w:rPr>
              <w:fldChar w:fldCharType="separate"/>
            </w:r>
            <w:r>
              <w:rPr>
                <w:webHidden/>
              </w:rPr>
              <w:t>3</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18" w:history="1">
            <w:r w:rsidRPr="00185053">
              <w:rPr>
                <w:rStyle w:val="Hyperlink"/>
              </w:rPr>
              <w:t>Purpose of this document</w:t>
            </w:r>
            <w:r>
              <w:rPr>
                <w:webHidden/>
              </w:rPr>
              <w:tab/>
            </w:r>
            <w:r>
              <w:rPr>
                <w:webHidden/>
              </w:rPr>
              <w:fldChar w:fldCharType="begin"/>
            </w:r>
            <w:r>
              <w:rPr>
                <w:webHidden/>
              </w:rPr>
              <w:instrText xml:space="preserve"> PAGEREF _Toc362969218 \h </w:instrText>
            </w:r>
            <w:r>
              <w:rPr>
                <w:webHidden/>
              </w:rPr>
            </w:r>
            <w:r>
              <w:rPr>
                <w:webHidden/>
              </w:rPr>
              <w:fldChar w:fldCharType="separate"/>
            </w:r>
            <w:r>
              <w:rPr>
                <w:webHidden/>
              </w:rPr>
              <w:t>3</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19" w:history="1">
            <w:r w:rsidRPr="00185053">
              <w:rPr>
                <w:rStyle w:val="Hyperlink"/>
              </w:rPr>
              <w:t>Purpose of application</w:t>
            </w:r>
            <w:r>
              <w:rPr>
                <w:webHidden/>
              </w:rPr>
              <w:tab/>
            </w:r>
            <w:r>
              <w:rPr>
                <w:webHidden/>
              </w:rPr>
              <w:fldChar w:fldCharType="begin"/>
            </w:r>
            <w:r>
              <w:rPr>
                <w:webHidden/>
              </w:rPr>
              <w:instrText xml:space="preserve"> PAGEREF _Toc362969219 \h </w:instrText>
            </w:r>
            <w:r>
              <w:rPr>
                <w:webHidden/>
              </w:rPr>
            </w:r>
            <w:r>
              <w:rPr>
                <w:webHidden/>
              </w:rPr>
              <w:fldChar w:fldCharType="separate"/>
            </w:r>
            <w:r>
              <w:rPr>
                <w:webHidden/>
              </w:rPr>
              <w:t>4</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20" w:history="1">
            <w:r w:rsidRPr="00185053">
              <w:rPr>
                <w:rStyle w:val="Hyperlink"/>
              </w:rPr>
              <w:t>Intervention</w:t>
            </w:r>
            <w:r>
              <w:rPr>
                <w:webHidden/>
              </w:rPr>
              <w:tab/>
            </w:r>
            <w:r>
              <w:rPr>
                <w:webHidden/>
              </w:rPr>
              <w:fldChar w:fldCharType="begin"/>
            </w:r>
            <w:r>
              <w:rPr>
                <w:webHidden/>
              </w:rPr>
              <w:instrText xml:space="preserve"> PAGEREF _Toc362969220 \h </w:instrText>
            </w:r>
            <w:r>
              <w:rPr>
                <w:webHidden/>
              </w:rPr>
            </w:r>
            <w:r>
              <w:rPr>
                <w:webHidden/>
              </w:rPr>
              <w:fldChar w:fldCharType="separate"/>
            </w:r>
            <w:r>
              <w:rPr>
                <w:webHidden/>
              </w:rPr>
              <w:t>4</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1" w:history="1">
            <w:r w:rsidRPr="00185053">
              <w:rPr>
                <w:rStyle w:val="Hyperlink"/>
              </w:rPr>
              <w:t>Description</w:t>
            </w:r>
            <w:r>
              <w:rPr>
                <w:webHidden/>
              </w:rPr>
              <w:tab/>
            </w:r>
            <w:r>
              <w:rPr>
                <w:webHidden/>
              </w:rPr>
              <w:fldChar w:fldCharType="begin"/>
            </w:r>
            <w:r>
              <w:rPr>
                <w:webHidden/>
              </w:rPr>
              <w:instrText xml:space="preserve"> PAGEREF _Toc362969221 \h </w:instrText>
            </w:r>
            <w:r>
              <w:rPr>
                <w:webHidden/>
              </w:rPr>
            </w:r>
            <w:r>
              <w:rPr>
                <w:webHidden/>
              </w:rPr>
              <w:fldChar w:fldCharType="separate"/>
            </w:r>
            <w:r>
              <w:rPr>
                <w:webHidden/>
              </w:rPr>
              <w:t>4</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2" w:history="1">
            <w:r w:rsidRPr="00185053">
              <w:rPr>
                <w:rStyle w:val="Hyperlink"/>
              </w:rPr>
              <w:t>Bone loss in HIV infected patients</w:t>
            </w:r>
            <w:r>
              <w:rPr>
                <w:webHidden/>
              </w:rPr>
              <w:tab/>
            </w:r>
            <w:r>
              <w:rPr>
                <w:webHidden/>
              </w:rPr>
              <w:fldChar w:fldCharType="begin"/>
            </w:r>
            <w:r>
              <w:rPr>
                <w:webHidden/>
              </w:rPr>
              <w:instrText xml:space="preserve"> PAGEREF _Toc362969222 \h </w:instrText>
            </w:r>
            <w:r>
              <w:rPr>
                <w:webHidden/>
              </w:rPr>
            </w:r>
            <w:r>
              <w:rPr>
                <w:webHidden/>
              </w:rPr>
              <w:fldChar w:fldCharType="separate"/>
            </w:r>
            <w:r>
              <w:rPr>
                <w:webHidden/>
              </w:rPr>
              <w:t>5</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3" w:history="1">
            <w:r w:rsidRPr="00185053">
              <w:rPr>
                <w:rStyle w:val="Hyperlink"/>
              </w:rPr>
              <w:t>Bone loss associated with antiretroviral therapy</w:t>
            </w:r>
            <w:r>
              <w:rPr>
                <w:webHidden/>
              </w:rPr>
              <w:tab/>
            </w:r>
            <w:r>
              <w:rPr>
                <w:webHidden/>
              </w:rPr>
              <w:fldChar w:fldCharType="begin"/>
            </w:r>
            <w:r>
              <w:rPr>
                <w:webHidden/>
              </w:rPr>
              <w:instrText xml:space="preserve"> PAGEREF _Toc362969223 \h </w:instrText>
            </w:r>
            <w:r>
              <w:rPr>
                <w:webHidden/>
              </w:rPr>
            </w:r>
            <w:r>
              <w:rPr>
                <w:webHidden/>
              </w:rPr>
              <w:fldChar w:fldCharType="separate"/>
            </w:r>
            <w:r>
              <w:rPr>
                <w:webHidden/>
              </w:rPr>
              <w:t>6</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4" w:history="1">
            <w:r w:rsidRPr="00185053">
              <w:rPr>
                <w:rStyle w:val="Hyperlink"/>
              </w:rPr>
              <w:t>Methods for detecting BMD</w:t>
            </w:r>
            <w:r>
              <w:rPr>
                <w:webHidden/>
              </w:rPr>
              <w:tab/>
            </w:r>
            <w:r>
              <w:rPr>
                <w:webHidden/>
              </w:rPr>
              <w:fldChar w:fldCharType="begin"/>
            </w:r>
            <w:r>
              <w:rPr>
                <w:webHidden/>
              </w:rPr>
              <w:instrText xml:space="preserve"> PAGEREF _Toc362969224 \h </w:instrText>
            </w:r>
            <w:r>
              <w:rPr>
                <w:webHidden/>
              </w:rPr>
            </w:r>
            <w:r>
              <w:rPr>
                <w:webHidden/>
              </w:rPr>
              <w:fldChar w:fldCharType="separate"/>
            </w:r>
            <w:r>
              <w:rPr>
                <w:webHidden/>
              </w:rPr>
              <w:t>7</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5" w:history="1">
            <w:r w:rsidRPr="00185053">
              <w:rPr>
                <w:rStyle w:val="Hyperlink"/>
              </w:rPr>
              <w:t>Fracture risk</w:t>
            </w:r>
            <w:r>
              <w:rPr>
                <w:webHidden/>
              </w:rPr>
              <w:tab/>
            </w:r>
            <w:r>
              <w:rPr>
                <w:webHidden/>
              </w:rPr>
              <w:fldChar w:fldCharType="begin"/>
            </w:r>
            <w:r>
              <w:rPr>
                <w:webHidden/>
              </w:rPr>
              <w:instrText xml:space="preserve"> PAGEREF _Toc362969225 \h </w:instrText>
            </w:r>
            <w:r>
              <w:rPr>
                <w:webHidden/>
              </w:rPr>
            </w:r>
            <w:r>
              <w:rPr>
                <w:webHidden/>
              </w:rPr>
              <w:fldChar w:fldCharType="separate"/>
            </w:r>
            <w:r>
              <w:rPr>
                <w:webHidden/>
              </w:rPr>
              <w:t>7</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26" w:history="1">
            <w:r w:rsidRPr="00185053">
              <w:rPr>
                <w:rStyle w:val="Hyperlink"/>
              </w:rPr>
              <w:t>Administration, dose, frequency of administration, duration of the intervention</w:t>
            </w:r>
            <w:r>
              <w:rPr>
                <w:webHidden/>
              </w:rPr>
              <w:tab/>
            </w:r>
            <w:r>
              <w:rPr>
                <w:webHidden/>
              </w:rPr>
              <w:fldChar w:fldCharType="begin"/>
            </w:r>
            <w:r>
              <w:rPr>
                <w:webHidden/>
              </w:rPr>
              <w:instrText xml:space="preserve"> PAGEREF _Toc362969226 \h </w:instrText>
            </w:r>
            <w:r>
              <w:rPr>
                <w:webHidden/>
              </w:rPr>
            </w:r>
            <w:r>
              <w:rPr>
                <w:webHidden/>
              </w:rPr>
              <w:fldChar w:fldCharType="separate"/>
            </w:r>
            <w:r>
              <w:rPr>
                <w:webHidden/>
              </w:rPr>
              <w:t>8</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7" w:history="1">
            <w:r w:rsidRPr="00185053">
              <w:rPr>
                <w:rStyle w:val="Hyperlink"/>
              </w:rPr>
              <w:t>Co-administered interventions</w:t>
            </w:r>
            <w:r>
              <w:rPr>
                <w:webHidden/>
              </w:rPr>
              <w:tab/>
            </w:r>
            <w:r>
              <w:rPr>
                <w:webHidden/>
              </w:rPr>
              <w:fldChar w:fldCharType="begin"/>
            </w:r>
            <w:r>
              <w:rPr>
                <w:webHidden/>
              </w:rPr>
              <w:instrText xml:space="preserve"> PAGEREF _Toc362969227 \h </w:instrText>
            </w:r>
            <w:r>
              <w:rPr>
                <w:webHidden/>
              </w:rPr>
            </w:r>
            <w:r>
              <w:rPr>
                <w:webHidden/>
              </w:rPr>
              <w:fldChar w:fldCharType="separate"/>
            </w:r>
            <w:r>
              <w:rPr>
                <w:webHidden/>
              </w:rPr>
              <w:t>9</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28" w:history="1">
            <w:r w:rsidRPr="00185053">
              <w:rPr>
                <w:rStyle w:val="Hyperlink"/>
              </w:rPr>
              <w:t>Background</w:t>
            </w:r>
            <w:r>
              <w:rPr>
                <w:webHidden/>
              </w:rPr>
              <w:tab/>
            </w:r>
            <w:r>
              <w:rPr>
                <w:webHidden/>
              </w:rPr>
              <w:fldChar w:fldCharType="begin"/>
            </w:r>
            <w:r>
              <w:rPr>
                <w:webHidden/>
              </w:rPr>
              <w:instrText xml:space="preserve"> PAGEREF _Toc362969228 \h </w:instrText>
            </w:r>
            <w:r>
              <w:rPr>
                <w:webHidden/>
              </w:rPr>
            </w:r>
            <w:r>
              <w:rPr>
                <w:webHidden/>
              </w:rPr>
              <w:fldChar w:fldCharType="separate"/>
            </w:r>
            <w:r>
              <w:rPr>
                <w:webHidden/>
              </w:rPr>
              <w:t>12</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29" w:history="1">
            <w:r w:rsidRPr="00185053">
              <w:rPr>
                <w:rStyle w:val="Hyperlink"/>
              </w:rPr>
              <w:t>Current arrangements for public reimbursement</w:t>
            </w:r>
            <w:r>
              <w:rPr>
                <w:webHidden/>
              </w:rPr>
              <w:tab/>
            </w:r>
            <w:r>
              <w:rPr>
                <w:webHidden/>
              </w:rPr>
              <w:fldChar w:fldCharType="begin"/>
            </w:r>
            <w:r>
              <w:rPr>
                <w:webHidden/>
              </w:rPr>
              <w:instrText xml:space="preserve"> PAGEREF _Toc362969229 \h </w:instrText>
            </w:r>
            <w:r>
              <w:rPr>
                <w:webHidden/>
              </w:rPr>
            </w:r>
            <w:r>
              <w:rPr>
                <w:webHidden/>
              </w:rPr>
              <w:fldChar w:fldCharType="separate"/>
            </w:r>
            <w:r>
              <w:rPr>
                <w:webHidden/>
              </w:rPr>
              <w:t>12</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30" w:history="1">
            <w:r w:rsidRPr="00185053">
              <w:rPr>
                <w:rStyle w:val="Hyperlink"/>
              </w:rPr>
              <w:t>Regulatory status</w:t>
            </w:r>
            <w:r>
              <w:rPr>
                <w:webHidden/>
              </w:rPr>
              <w:tab/>
            </w:r>
            <w:r>
              <w:rPr>
                <w:webHidden/>
              </w:rPr>
              <w:fldChar w:fldCharType="begin"/>
            </w:r>
            <w:r>
              <w:rPr>
                <w:webHidden/>
              </w:rPr>
              <w:instrText xml:space="preserve"> PAGEREF _Toc362969230 \h </w:instrText>
            </w:r>
            <w:r>
              <w:rPr>
                <w:webHidden/>
              </w:rPr>
            </w:r>
            <w:r>
              <w:rPr>
                <w:webHidden/>
              </w:rPr>
              <w:fldChar w:fldCharType="separate"/>
            </w:r>
            <w:r>
              <w:rPr>
                <w:webHidden/>
              </w:rPr>
              <w:t>15</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31" w:history="1">
            <w:r w:rsidRPr="00185053">
              <w:rPr>
                <w:rStyle w:val="Hyperlink"/>
              </w:rPr>
              <w:t>DXA scanning</w:t>
            </w:r>
            <w:r>
              <w:rPr>
                <w:webHidden/>
              </w:rPr>
              <w:tab/>
            </w:r>
            <w:r>
              <w:rPr>
                <w:webHidden/>
              </w:rPr>
              <w:fldChar w:fldCharType="begin"/>
            </w:r>
            <w:r>
              <w:rPr>
                <w:webHidden/>
              </w:rPr>
              <w:instrText xml:space="preserve"> PAGEREF _Toc362969231 \h </w:instrText>
            </w:r>
            <w:r>
              <w:rPr>
                <w:webHidden/>
              </w:rPr>
            </w:r>
            <w:r>
              <w:rPr>
                <w:webHidden/>
              </w:rPr>
              <w:fldChar w:fldCharType="separate"/>
            </w:r>
            <w:r>
              <w:rPr>
                <w:webHidden/>
              </w:rPr>
              <w:t>15</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32" w:history="1">
            <w:r w:rsidRPr="00185053">
              <w:rPr>
                <w:rStyle w:val="Hyperlink"/>
              </w:rPr>
              <w:t>Patient population</w:t>
            </w:r>
            <w:r>
              <w:rPr>
                <w:webHidden/>
              </w:rPr>
              <w:tab/>
            </w:r>
            <w:r>
              <w:rPr>
                <w:webHidden/>
              </w:rPr>
              <w:fldChar w:fldCharType="begin"/>
            </w:r>
            <w:r>
              <w:rPr>
                <w:webHidden/>
              </w:rPr>
              <w:instrText xml:space="preserve"> PAGEREF _Toc362969232 \h </w:instrText>
            </w:r>
            <w:r>
              <w:rPr>
                <w:webHidden/>
              </w:rPr>
            </w:r>
            <w:r>
              <w:rPr>
                <w:webHidden/>
              </w:rPr>
              <w:fldChar w:fldCharType="separate"/>
            </w:r>
            <w:r>
              <w:rPr>
                <w:webHidden/>
              </w:rPr>
              <w:t>16</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33" w:history="1">
            <w:r w:rsidRPr="00185053">
              <w:rPr>
                <w:rStyle w:val="Hyperlink"/>
              </w:rPr>
              <w:t>Proposed MBS listing</w:t>
            </w:r>
            <w:r>
              <w:rPr>
                <w:webHidden/>
              </w:rPr>
              <w:tab/>
            </w:r>
            <w:r>
              <w:rPr>
                <w:webHidden/>
              </w:rPr>
              <w:fldChar w:fldCharType="begin"/>
            </w:r>
            <w:r>
              <w:rPr>
                <w:webHidden/>
              </w:rPr>
              <w:instrText xml:space="preserve"> PAGEREF _Toc362969233 \h </w:instrText>
            </w:r>
            <w:r>
              <w:rPr>
                <w:webHidden/>
              </w:rPr>
            </w:r>
            <w:r>
              <w:rPr>
                <w:webHidden/>
              </w:rPr>
              <w:fldChar w:fldCharType="separate"/>
            </w:r>
            <w:r>
              <w:rPr>
                <w:webHidden/>
              </w:rPr>
              <w:t>18</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34" w:history="1">
            <w:r w:rsidRPr="00185053">
              <w:rPr>
                <w:rStyle w:val="Hyperlink"/>
              </w:rPr>
              <w:t>Clinical place for proposed intervention</w:t>
            </w:r>
            <w:r>
              <w:rPr>
                <w:webHidden/>
              </w:rPr>
              <w:tab/>
            </w:r>
            <w:r>
              <w:rPr>
                <w:webHidden/>
              </w:rPr>
              <w:fldChar w:fldCharType="begin"/>
            </w:r>
            <w:r>
              <w:rPr>
                <w:webHidden/>
              </w:rPr>
              <w:instrText xml:space="preserve"> PAGEREF _Toc362969234 \h </w:instrText>
            </w:r>
            <w:r>
              <w:rPr>
                <w:webHidden/>
              </w:rPr>
            </w:r>
            <w:r>
              <w:rPr>
                <w:webHidden/>
              </w:rPr>
              <w:fldChar w:fldCharType="separate"/>
            </w:r>
            <w:r>
              <w:rPr>
                <w:webHidden/>
              </w:rPr>
              <w:t>19</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35" w:history="1">
            <w:r w:rsidRPr="00185053">
              <w:rPr>
                <w:rStyle w:val="Hyperlink"/>
              </w:rPr>
              <w:t>Comparator</w:t>
            </w:r>
            <w:r>
              <w:rPr>
                <w:webHidden/>
              </w:rPr>
              <w:tab/>
            </w:r>
            <w:r>
              <w:rPr>
                <w:webHidden/>
              </w:rPr>
              <w:fldChar w:fldCharType="begin"/>
            </w:r>
            <w:r>
              <w:rPr>
                <w:webHidden/>
              </w:rPr>
              <w:instrText xml:space="preserve"> PAGEREF _Toc362969235 \h </w:instrText>
            </w:r>
            <w:r>
              <w:rPr>
                <w:webHidden/>
              </w:rPr>
            </w:r>
            <w:r>
              <w:rPr>
                <w:webHidden/>
              </w:rPr>
              <w:fldChar w:fldCharType="separate"/>
            </w:r>
            <w:r>
              <w:rPr>
                <w:webHidden/>
              </w:rPr>
              <w:t>23</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36" w:history="1">
            <w:r w:rsidRPr="00185053">
              <w:rPr>
                <w:rStyle w:val="Hyperlink"/>
              </w:rPr>
              <w:t>Clinical claim</w:t>
            </w:r>
            <w:r>
              <w:rPr>
                <w:webHidden/>
              </w:rPr>
              <w:tab/>
            </w:r>
            <w:r>
              <w:rPr>
                <w:webHidden/>
              </w:rPr>
              <w:fldChar w:fldCharType="begin"/>
            </w:r>
            <w:r>
              <w:rPr>
                <w:webHidden/>
              </w:rPr>
              <w:instrText xml:space="preserve"> PAGEREF _Toc362969236 \h </w:instrText>
            </w:r>
            <w:r>
              <w:rPr>
                <w:webHidden/>
              </w:rPr>
            </w:r>
            <w:r>
              <w:rPr>
                <w:webHidden/>
              </w:rPr>
              <w:fldChar w:fldCharType="separate"/>
            </w:r>
            <w:r>
              <w:rPr>
                <w:webHidden/>
              </w:rPr>
              <w:t>23</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37" w:history="1">
            <w:r w:rsidRPr="00185053">
              <w:rPr>
                <w:rStyle w:val="Hyperlink"/>
              </w:rPr>
              <w:t>Outcomes and health care resources affected by introduction of proposed intervention</w:t>
            </w:r>
            <w:r>
              <w:rPr>
                <w:webHidden/>
              </w:rPr>
              <w:tab/>
            </w:r>
            <w:r>
              <w:rPr>
                <w:webHidden/>
              </w:rPr>
              <w:fldChar w:fldCharType="begin"/>
            </w:r>
            <w:r>
              <w:rPr>
                <w:webHidden/>
              </w:rPr>
              <w:instrText xml:space="preserve"> PAGEREF _Toc362969237 \h </w:instrText>
            </w:r>
            <w:r>
              <w:rPr>
                <w:webHidden/>
              </w:rPr>
            </w:r>
            <w:r>
              <w:rPr>
                <w:webHidden/>
              </w:rPr>
              <w:fldChar w:fldCharType="separate"/>
            </w:r>
            <w:r>
              <w:rPr>
                <w:webHidden/>
              </w:rPr>
              <w:t>25</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38" w:history="1">
            <w:r w:rsidRPr="00185053">
              <w:rPr>
                <w:rStyle w:val="Hyperlink"/>
              </w:rPr>
              <w:t>Outcomes</w:t>
            </w:r>
            <w:r>
              <w:rPr>
                <w:webHidden/>
              </w:rPr>
              <w:tab/>
            </w:r>
            <w:r>
              <w:rPr>
                <w:webHidden/>
              </w:rPr>
              <w:fldChar w:fldCharType="begin"/>
            </w:r>
            <w:r>
              <w:rPr>
                <w:webHidden/>
              </w:rPr>
              <w:instrText xml:space="preserve"> PAGEREF _Toc362969238 \h </w:instrText>
            </w:r>
            <w:r>
              <w:rPr>
                <w:webHidden/>
              </w:rPr>
            </w:r>
            <w:r>
              <w:rPr>
                <w:webHidden/>
              </w:rPr>
              <w:fldChar w:fldCharType="separate"/>
            </w:r>
            <w:r>
              <w:rPr>
                <w:webHidden/>
              </w:rPr>
              <w:t>25</w:t>
            </w:r>
            <w:r>
              <w:rPr>
                <w:webHidden/>
              </w:rPr>
              <w:fldChar w:fldCharType="end"/>
            </w:r>
          </w:hyperlink>
        </w:p>
        <w:p w:rsidR="0069266E" w:rsidRDefault="0069266E">
          <w:pPr>
            <w:pStyle w:val="TOC2"/>
            <w:rPr>
              <w:rFonts w:asciiTheme="minorHAnsi" w:eastAsiaTheme="minorEastAsia" w:hAnsiTheme="minorHAnsi" w:cstheme="minorBidi"/>
              <w:sz w:val="22"/>
              <w:szCs w:val="22"/>
              <w:lang w:val="en-AU" w:eastAsia="en-AU"/>
            </w:rPr>
          </w:pPr>
          <w:hyperlink w:anchor="_Toc362969239" w:history="1">
            <w:r w:rsidRPr="00185053">
              <w:rPr>
                <w:rStyle w:val="Hyperlink"/>
              </w:rPr>
              <w:t>Health care resources</w:t>
            </w:r>
            <w:r>
              <w:rPr>
                <w:webHidden/>
              </w:rPr>
              <w:tab/>
            </w:r>
            <w:r>
              <w:rPr>
                <w:webHidden/>
              </w:rPr>
              <w:fldChar w:fldCharType="begin"/>
            </w:r>
            <w:r>
              <w:rPr>
                <w:webHidden/>
              </w:rPr>
              <w:instrText xml:space="preserve"> PAGEREF _Toc362969239 \h </w:instrText>
            </w:r>
            <w:r>
              <w:rPr>
                <w:webHidden/>
              </w:rPr>
            </w:r>
            <w:r>
              <w:rPr>
                <w:webHidden/>
              </w:rPr>
              <w:fldChar w:fldCharType="separate"/>
            </w:r>
            <w:r>
              <w:rPr>
                <w:webHidden/>
              </w:rPr>
              <w:t>26</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40" w:history="1">
            <w:r w:rsidRPr="00185053">
              <w:rPr>
                <w:rStyle w:val="Hyperlink"/>
              </w:rPr>
              <w:t>Proposed structure of economic evaluation (decision-analytic)</w:t>
            </w:r>
            <w:r>
              <w:rPr>
                <w:webHidden/>
              </w:rPr>
              <w:tab/>
            </w:r>
            <w:r>
              <w:rPr>
                <w:webHidden/>
              </w:rPr>
              <w:fldChar w:fldCharType="begin"/>
            </w:r>
            <w:r>
              <w:rPr>
                <w:webHidden/>
              </w:rPr>
              <w:instrText xml:space="preserve"> PAGEREF _Toc362969240 \h </w:instrText>
            </w:r>
            <w:r>
              <w:rPr>
                <w:webHidden/>
              </w:rPr>
            </w:r>
            <w:r>
              <w:rPr>
                <w:webHidden/>
              </w:rPr>
              <w:fldChar w:fldCharType="separate"/>
            </w:r>
            <w:r>
              <w:rPr>
                <w:webHidden/>
              </w:rPr>
              <w:t>28</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41" w:history="1">
            <w:r w:rsidRPr="00185053">
              <w:rPr>
                <w:rStyle w:val="Hyperlink"/>
              </w:rPr>
              <w:t>Clinical research questions for public funding</w:t>
            </w:r>
            <w:r>
              <w:rPr>
                <w:webHidden/>
              </w:rPr>
              <w:tab/>
            </w:r>
            <w:r>
              <w:rPr>
                <w:webHidden/>
              </w:rPr>
              <w:fldChar w:fldCharType="begin"/>
            </w:r>
            <w:r>
              <w:rPr>
                <w:webHidden/>
              </w:rPr>
              <w:instrText xml:space="preserve"> PAGEREF _Toc362969241 \h </w:instrText>
            </w:r>
            <w:r>
              <w:rPr>
                <w:webHidden/>
              </w:rPr>
            </w:r>
            <w:r>
              <w:rPr>
                <w:webHidden/>
              </w:rPr>
              <w:fldChar w:fldCharType="separate"/>
            </w:r>
            <w:r>
              <w:rPr>
                <w:webHidden/>
              </w:rPr>
              <w:t>30</w:t>
            </w:r>
            <w:r>
              <w:rPr>
                <w:webHidden/>
              </w:rPr>
              <w:fldChar w:fldCharType="end"/>
            </w:r>
          </w:hyperlink>
        </w:p>
        <w:p w:rsidR="0069266E" w:rsidRDefault="0069266E">
          <w:pPr>
            <w:pStyle w:val="TOC1"/>
            <w:rPr>
              <w:rFonts w:asciiTheme="minorHAnsi" w:eastAsiaTheme="minorEastAsia" w:hAnsiTheme="minorHAnsi" w:cstheme="minorBidi"/>
              <w:b w:val="0"/>
              <w:sz w:val="22"/>
              <w:szCs w:val="22"/>
              <w:lang w:eastAsia="en-AU"/>
            </w:rPr>
          </w:pPr>
          <w:hyperlink w:anchor="_Toc362969242" w:history="1">
            <w:r w:rsidRPr="00185053">
              <w:rPr>
                <w:rStyle w:val="Hyperlink"/>
              </w:rPr>
              <w:t>References</w:t>
            </w:r>
            <w:r>
              <w:rPr>
                <w:webHidden/>
              </w:rPr>
              <w:tab/>
            </w:r>
            <w:r>
              <w:rPr>
                <w:webHidden/>
              </w:rPr>
              <w:fldChar w:fldCharType="begin"/>
            </w:r>
            <w:r>
              <w:rPr>
                <w:webHidden/>
              </w:rPr>
              <w:instrText xml:space="preserve"> PAGEREF _Toc362969242 \h </w:instrText>
            </w:r>
            <w:r>
              <w:rPr>
                <w:webHidden/>
              </w:rPr>
            </w:r>
            <w:r>
              <w:rPr>
                <w:webHidden/>
              </w:rPr>
              <w:fldChar w:fldCharType="separate"/>
            </w:r>
            <w:r>
              <w:rPr>
                <w:webHidden/>
              </w:rPr>
              <w:t>32</w:t>
            </w:r>
            <w:r>
              <w:rPr>
                <w:webHidden/>
              </w:rPr>
              <w:fldChar w:fldCharType="end"/>
            </w:r>
          </w:hyperlink>
        </w:p>
        <w:p w:rsidR="0069266E" w:rsidRDefault="0069266E">
          <w:pPr>
            <w:pStyle w:val="TOC1"/>
            <w:tabs>
              <w:tab w:val="left" w:pos="1800"/>
            </w:tabs>
            <w:rPr>
              <w:rFonts w:asciiTheme="minorHAnsi" w:eastAsiaTheme="minorEastAsia" w:hAnsiTheme="minorHAnsi" w:cstheme="minorBidi"/>
              <w:b w:val="0"/>
              <w:sz w:val="22"/>
              <w:szCs w:val="22"/>
              <w:lang w:eastAsia="en-AU"/>
            </w:rPr>
          </w:pPr>
          <w:hyperlink w:anchor="_Toc362969243" w:history="1">
            <w:r w:rsidRPr="00185053">
              <w:rPr>
                <w:rStyle w:val="Hyperlink"/>
                <w:bCs/>
                <w:lang w:val="en-US"/>
              </w:rPr>
              <w:t>Appendix 1</w:t>
            </w:r>
            <w:r>
              <w:rPr>
                <w:rFonts w:asciiTheme="minorHAnsi" w:eastAsiaTheme="minorEastAsia" w:hAnsiTheme="minorHAnsi" w:cstheme="minorBidi"/>
                <w:b w:val="0"/>
                <w:sz w:val="22"/>
                <w:szCs w:val="22"/>
                <w:lang w:eastAsia="en-AU"/>
              </w:rPr>
              <w:tab/>
            </w:r>
            <w:r w:rsidRPr="00185053">
              <w:rPr>
                <w:rStyle w:val="Hyperlink"/>
                <w:bCs/>
                <w:lang w:val="en-US"/>
              </w:rPr>
              <w:t>Examples of treatments currently listed on the ARTG for the treatment of osteoporosis</w:t>
            </w:r>
            <w:r>
              <w:rPr>
                <w:webHidden/>
              </w:rPr>
              <w:tab/>
            </w:r>
            <w:r>
              <w:rPr>
                <w:webHidden/>
              </w:rPr>
              <w:fldChar w:fldCharType="begin"/>
            </w:r>
            <w:r>
              <w:rPr>
                <w:webHidden/>
              </w:rPr>
              <w:instrText xml:space="preserve"> PAGEREF _Toc362969243 \h </w:instrText>
            </w:r>
            <w:r>
              <w:rPr>
                <w:webHidden/>
              </w:rPr>
            </w:r>
            <w:r>
              <w:rPr>
                <w:webHidden/>
              </w:rPr>
              <w:fldChar w:fldCharType="separate"/>
            </w:r>
            <w:r>
              <w:rPr>
                <w:webHidden/>
              </w:rPr>
              <w:t>35</w:t>
            </w:r>
            <w:r>
              <w:rPr>
                <w:webHidden/>
              </w:rPr>
              <w:fldChar w:fldCharType="end"/>
            </w:r>
          </w:hyperlink>
        </w:p>
        <w:p w:rsidR="0069266E" w:rsidRDefault="0069266E">
          <w:pPr>
            <w:pStyle w:val="TOC1"/>
            <w:tabs>
              <w:tab w:val="left" w:pos="1800"/>
            </w:tabs>
            <w:rPr>
              <w:rFonts w:asciiTheme="minorHAnsi" w:eastAsiaTheme="minorEastAsia" w:hAnsiTheme="minorHAnsi" w:cstheme="minorBidi"/>
              <w:b w:val="0"/>
              <w:sz w:val="22"/>
              <w:szCs w:val="22"/>
              <w:lang w:eastAsia="en-AU"/>
            </w:rPr>
          </w:pPr>
          <w:hyperlink w:anchor="_Toc362969244" w:history="1">
            <w:r w:rsidRPr="00185053">
              <w:rPr>
                <w:rStyle w:val="Hyperlink"/>
                <w:bCs/>
                <w:lang w:val="en-US"/>
              </w:rPr>
              <w:t>Appendix 2</w:t>
            </w:r>
            <w:r>
              <w:rPr>
                <w:rFonts w:asciiTheme="minorHAnsi" w:eastAsiaTheme="minorEastAsia" w:hAnsiTheme="minorHAnsi" w:cstheme="minorBidi"/>
                <w:b w:val="0"/>
                <w:sz w:val="22"/>
                <w:szCs w:val="22"/>
                <w:lang w:eastAsia="en-AU"/>
              </w:rPr>
              <w:tab/>
            </w:r>
            <w:r w:rsidRPr="00185053">
              <w:rPr>
                <w:rStyle w:val="Hyperlink"/>
                <w:bCs/>
                <w:lang w:val="en-US"/>
              </w:rPr>
              <w:t>Indications, contraindications and potential complications of the co-administered interventions</w:t>
            </w:r>
            <w:r>
              <w:rPr>
                <w:webHidden/>
              </w:rPr>
              <w:tab/>
            </w:r>
            <w:r>
              <w:rPr>
                <w:webHidden/>
              </w:rPr>
              <w:fldChar w:fldCharType="begin"/>
            </w:r>
            <w:r>
              <w:rPr>
                <w:webHidden/>
              </w:rPr>
              <w:instrText xml:space="preserve"> PAGEREF _Toc362969244 \h </w:instrText>
            </w:r>
            <w:r>
              <w:rPr>
                <w:webHidden/>
              </w:rPr>
            </w:r>
            <w:r>
              <w:rPr>
                <w:webHidden/>
              </w:rPr>
              <w:fldChar w:fldCharType="separate"/>
            </w:r>
            <w:r>
              <w:rPr>
                <w:webHidden/>
              </w:rPr>
              <w:t>37</w:t>
            </w:r>
            <w:r>
              <w:rPr>
                <w:webHidden/>
              </w:rPr>
              <w:fldChar w:fldCharType="end"/>
            </w:r>
          </w:hyperlink>
        </w:p>
        <w:p w:rsidR="0069266E" w:rsidRDefault="0069266E">
          <w:pPr>
            <w:pStyle w:val="TOC1"/>
            <w:tabs>
              <w:tab w:val="left" w:pos="1800"/>
            </w:tabs>
            <w:rPr>
              <w:rFonts w:asciiTheme="minorHAnsi" w:eastAsiaTheme="minorEastAsia" w:hAnsiTheme="minorHAnsi" w:cstheme="minorBidi"/>
              <w:b w:val="0"/>
              <w:sz w:val="22"/>
              <w:szCs w:val="22"/>
              <w:lang w:eastAsia="en-AU"/>
            </w:rPr>
          </w:pPr>
          <w:hyperlink w:anchor="_Toc362969245" w:history="1">
            <w:r w:rsidRPr="00185053">
              <w:rPr>
                <w:rStyle w:val="Hyperlink"/>
                <w:bCs/>
                <w:lang w:val="en-US"/>
              </w:rPr>
              <w:t>Appendix 3</w:t>
            </w:r>
            <w:r>
              <w:rPr>
                <w:rFonts w:asciiTheme="minorHAnsi" w:eastAsiaTheme="minorEastAsia" w:hAnsiTheme="minorHAnsi" w:cstheme="minorBidi"/>
                <w:b w:val="0"/>
                <w:sz w:val="22"/>
                <w:szCs w:val="22"/>
                <w:lang w:eastAsia="en-AU"/>
              </w:rPr>
              <w:tab/>
            </w:r>
            <w:r w:rsidRPr="00185053">
              <w:rPr>
                <w:rStyle w:val="Hyperlink"/>
                <w:bCs/>
                <w:lang w:val="en-US"/>
              </w:rPr>
              <w:t>PBS listed pharmaceuticals (by drug) for the treatment of diseases of bone structure and mineralisation</w:t>
            </w:r>
            <w:r>
              <w:rPr>
                <w:webHidden/>
              </w:rPr>
              <w:tab/>
            </w:r>
            <w:r>
              <w:rPr>
                <w:webHidden/>
              </w:rPr>
              <w:fldChar w:fldCharType="begin"/>
            </w:r>
            <w:r>
              <w:rPr>
                <w:webHidden/>
              </w:rPr>
              <w:instrText xml:space="preserve"> PAGEREF _Toc362969245 \h </w:instrText>
            </w:r>
            <w:r>
              <w:rPr>
                <w:webHidden/>
              </w:rPr>
            </w:r>
            <w:r>
              <w:rPr>
                <w:webHidden/>
              </w:rPr>
              <w:fldChar w:fldCharType="separate"/>
            </w:r>
            <w:r>
              <w:rPr>
                <w:webHidden/>
              </w:rPr>
              <w:t>41</w:t>
            </w:r>
            <w:r>
              <w:rPr>
                <w:webHidden/>
              </w:rPr>
              <w:fldChar w:fldCharType="end"/>
            </w:r>
          </w:hyperlink>
        </w:p>
        <w:p w:rsidR="0069266E" w:rsidRDefault="0069266E">
          <w:pPr>
            <w:pStyle w:val="TOC1"/>
            <w:tabs>
              <w:tab w:val="left" w:pos="1800"/>
            </w:tabs>
            <w:rPr>
              <w:rFonts w:asciiTheme="minorHAnsi" w:eastAsiaTheme="minorEastAsia" w:hAnsiTheme="minorHAnsi" w:cstheme="minorBidi"/>
              <w:b w:val="0"/>
              <w:sz w:val="22"/>
              <w:szCs w:val="22"/>
              <w:lang w:eastAsia="en-AU"/>
            </w:rPr>
          </w:pPr>
          <w:hyperlink w:anchor="_Toc362969246" w:history="1">
            <w:r w:rsidRPr="00185053">
              <w:rPr>
                <w:rStyle w:val="Hyperlink"/>
                <w:bCs/>
                <w:lang w:val="en-US"/>
              </w:rPr>
              <w:t>Appendix 4</w:t>
            </w:r>
            <w:r>
              <w:rPr>
                <w:rFonts w:asciiTheme="minorHAnsi" w:eastAsiaTheme="minorEastAsia" w:hAnsiTheme="minorHAnsi" w:cstheme="minorBidi"/>
                <w:b w:val="0"/>
                <w:sz w:val="22"/>
                <w:szCs w:val="22"/>
                <w:lang w:eastAsia="en-AU"/>
              </w:rPr>
              <w:tab/>
            </w:r>
            <w:r w:rsidRPr="00185053">
              <w:rPr>
                <w:rStyle w:val="Hyperlink"/>
                <w:bCs/>
                <w:lang w:val="en-US"/>
              </w:rPr>
              <w:t>PBS listed pharmaceuticals (by indication) for treatment of diseases of bone structure and mineralisation</w:t>
            </w:r>
            <w:r>
              <w:rPr>
                <w:webHidden/>
              </w:rPr>
              <w:tab/>
            </w:r>
            <w:r>
              <w:rPr>
                <w:webHidden/>
              </w:rPr>
              <w:fldChar w:fldCharType="begin"/>
            </w:r>
            <w:r>
              <w:rPr>
                <w:webHidden/>
              </w:rPr>
              <w:instrText xml:space="preserve"> PAGEREF _Toc362969246 \h </w:instrText>
            </w:r>
            <w:r>
              <w:rPr>
                <w:webHidden/>
              </w:rPr>
            </w:r>
            <w:r>
              <w:rPr>
                <w:webHidden/>
              </w:rPr>
              <w:fldChar w:fldCharType="separate"/>
            </w:r>
            <w:r>
              <w:rPr>
                <w:webHidden/>
              </w:rPr>
              <w:t>60</w:t>
            </w:r>
            <w:r>
              <w:rPr>
                <w:webHidden/>
              </w:rPr>
              <w:fldChar w:fldCharType="end"/>
            </w:r>
          </w:hyperlink>
        </w:p>
        <w:p w:rsidR="0069266E" w:rsidRDefault="0069266E">
          <w:pPr>
            <w:pStyle w:val="TOC1"/>
            <w:tabs>
              <w:tab w:val="left" w:pos="1800"/>
            </w:tabs>
            <w:rPr>
              <w:rFonts w:asciiTheme="minorHAnsi" w:eastAsiaTheme="minorEastAsia" w:hAnsiTheme="minorHAnsi" w:cstheme="minorBidi"/>
              <w:b w:val="0"/>
              <w:sz w:val="22"/>
              <w:szCs w:val="22"/>
              <w:lang w:eastAsia="en-AU"/>
            </w:rPr>
          </w:pPr>
          <w:hyperlink w:anchor="_Toc362969247" w:history="1">
            <w:r w:rsidRPr="00185053">
              <w:rPr>
                <w:rStyle w:val="Hyperlink"/>
                <w:bCs/>
                <w:lang w:val="en-US"/>
              </w:rPr>
              <w:t xml:space="preserve">Appendix 5 </w:t>
            </w:r>
            <w:r>
              <w:rPr>
                <w:rFonts w:asciiTheme="minorHAnsi" w:eastAsiaTheme="minorEastAsia" w:hAnsiTheme="minorHAnsi" w:cstheme="minorBidi"/>
                <w:b w:val="0"/>
                <w:sz w:val="22"/>
                <w:szCs w:val="22"/>
                <w:lang w:eastAsia="en-AU"/>
              </w:rPr>
              <w:tab/>
            </w:r>
            <w:r w:rsidRPr="00185053">
              <w:rPr>
                <w:rStyle w:val="Hyperlink"/>
                <w:bCs/>
                <w:lang w:val="en-US"/>
              </w:rPr>
              <w:t>Medicare Benefits Schedule - Note D1.27</w:t>
            </w:r>
            <w:r>
              <w:rPr>
                <w:webHidden/>
              </w:rPr>
              <w:tab/>
            </w:r>
            <w:r>
              <w:rPr>
                <w:webHidden/>
              </w:rPr>
              <w:fldChar w:fldCharType="begin"/>
            </w:r>
            <w:r>
              <w:rPr>
                <w:webHidden/>
              </w:rPr>
              <w:instrText xml:space="preserve"> PAGEREF _Toc362969247 \h </w:instrText>
            </w:r>
            <w:r>
              <w:rPr>
                <w:webHidden/>
              </w:rPr>
            </w:r>
            <w:r>
              <w:rPr>
                <w:webHidden/>
              </w:rPr>
              <w:fldChar w:fldCharType="separate"/>
            </w:r>
            <w:r>
              <w:rPr>
                <w:webHidden/>
              </w:rPr>
              <w:t>62</w:t>
            </w:r>
            <w:r>
              <w:rPr>
                <w:webHidden/>
              </w:rPr>
              <w:fldChar w:fldCharType="end"/>
            </w:r>
          </w:hyperlink>
        </w:p>
        <w:p w:rsidR="0069266E" w:rsidRDefault="0069266E">
          <w:r>
            <w:rPr>
              <w:b/>
              <w:bCs/>
              <w:noProof/>
            </w:rPr>
            <w:fldChar w:fldCharType="end"/>
          </w:r>
        </w:p>
      </w:sdtContent>
    </w:sdt>
    <w:p w:rsidR="006379B4" w:rsidRPr="00CF6D1F" w:rsidRDefault="006379B4">
      <w:r w:rsidRPr="00CF6D1F">
        <w:br w:type="page"/>
      </w:r>
    </w:p>
    <w:p w:rsidR="006379B4" w:rsidRPr="00561D38" w:rsidRDefault="006379B4" w:rsidP="00561D38">
      <w:pPr>
        <w:pStyle w:val="Heading1"/>
      </w:pPr>
      <w:bookmarkStart w:id="1" w:name="_Toc283297629"/>
      <w:bookmarkStart w:id="2" w:name="_Toc335902655"/>
      <w:bookmarkStart w:id="3" w:name="_Toc362969217"/>
      <w:bookmarkEnd w:id="0"/>
      <w:r w:rsidRPr="00561D38">
        <w:lastRenderedPageBreak/>
        <w:t>MSAC and PASC</w:t>
      </w:r>
      <w:bookmarkEnd w:id="1"/>
      <w:bookmarkEnd w:id="2"/>
      <w:bookmarkEnd w:id="3"/>
    </w:p>
    <w:p w:rsidR="006379B4" w:rsidRPr="00CF6D1F" w:rsidRDefault="006379B4">
      <w:r w:rsidRPr="00CF6D1F">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6379B4" w:rsidRPr="00CF6D1F" w:rsidRDefault="006379B4">
      <w:r w:rsidRPr="00CF6D1F">
        <w:t>The Protocol Advisory Sub-Committee (PASC) is a standing sub-committee of MSAC. Its primary objective is the determination of protocols to guide clinical and economic assessments of medical interventions proposed for public funding.</w:t>
      </w:r>
    </w:p>
    <w:p w:rsidR="006379B4" w:rsidRPr="00561D38" w:rsidRDefault="006379B4" w:rsidP="00561D38">
      <w:pPr>
        <w:pStyle w:val="Heading2"/>
      </w:pPr>
      <w:bookmarkStart w:id="4" w:name="_Toc283297630"/>
      <w:bookmarkStart w:id="5" w:name="_Toc335902656"/>
      <w:bookmarkStart w:id="6" w:name="_Toc362969218"/>
      <w:r w:rsidRPr="00561D38">
        <w:t>Purpose of this document</w:t>
      </w:r>
      <w:bookmarkEnd w:id="4"/>
      <w:bookmarkEnd w:id="5"/>
      <w:bookmarkEnd w:id="6"/>
    </w:p>
    <w:p w:rsidR="006379B4" w:rsidRPr="00CF6D1F" w:rsidRDefault="006379B4">
      <w:r w:rsidRPr="00CF6D1F">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6379B4" w:rsidRPr="00CF6D1F" w:rsidRDefault="006379B4">
      <w:r w:rsidRPr="00CF6D1F">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6379B4" w:rsidRPr="00CF6D1F" w:rsidRDefault="006379B4">
      <w:pPr>
        <w:pStyle w:val="ListParagraph"/>
      </w:pPr>
      <w:r w:rsidRPr="00CF6D1F">
        <w:rPr>
          <w:b/>
          <w:u w:val="single"/>
        </w:rPr>
        <w:t>P</w:t>
      </w:r>
      <w:r w:rsidRPr="00CF6D1F">
        <w:t>atients – specification of the characteristics of the patients in whom the intervention is to be considered for use;</w:t>
      </w:r>
    </w:p>
    <w:p w:rsidR="006379B4" w:rsidRPr="00CF6D1F" w:rsidRDefault="006379B4">
      <w:pPr>
        <w:pStyle w:val="ListParagraph"/>
      </w:pPr>
      <w:r w:rsidRPr="00CF6D1F">
        <w:rPr>
          <w:b/>
          <w:u w:val="single"/>
        </w:rPr>
        <w:t>I</w:t>
      </w:r>
      <w:r w:rsidRPr="00CF6D1F">
        <w:t>ntervention – specification of the proposed intervention</w:t>
      </w:r>
    </w:p>
    <w:p w:rsidR="006379B4" w:rsidRPr="00CF6D1F" w:rsidRDefault="006379B4">
      <w:pPr>
        <w:pStyle w:val="ListParagraph"/>
      </w:pPr>
      <w:r w:rsidRPr="00CF6D1F">
        <w:rPr>
          <w:b/>
          <w:u w:val="single"/>
        </w:rPr>
        <w:t>C</w:t>
      </w:r>
      <w:r w:rsidRPr="00CF6D1F">
        <w:t>omparator – specification of the therapy most likely to be replaced by the proposed intervention</w:t>
      </w:r>
    </w:p>
    <w:p w:rsidR="006379B4" w:rsidRPr="00CF6D1F" w:rsidRDefault="006379B4">
      <w:pPr>
        <w:pStyle w:val="ListParagraph"/>
      </w:pPr>
      <w:r w:rsidRPr="00CF6D1F">
        <w:rPr>
          <w:b/>
          <w:u w:val="single"/>
        </w:rPr>
        <w:t>O</w:t>
      </w:r>
      <w:r w:rsidRPr="00CF6D1F">
        <w:t>utcomes – specification of the health outcomes and the healthcare resources likely to be affected by the introduction of the proposed intervention</w:t>
      </w:r>
    </w:p>
    <w:p w:rsidR="006379B4" w:rsidRPr="0063152E" w:rsidRDefault="006379B4">
      <w:pPr>
        <w:rPr>
          <w:szCs w:val="32"/>
        </w:rPr>
      </w:pPr>
      <w:r w:rsidRPr="00CF6D1F">
        <w:br w:type="page"/>
      </w:r>
    </w:p>
    <w:p w:rsidR="006379B4" w:rsidRPr="00561D38" w:rsidRDefault="006379B4" w:rsidP="00561D38">
      <w:pPr>
        <w:pStyle w:val="Heading1"/>
      </w:pPr>
      <w:bookmarkStart w:id="7" w:name="_Toc335902657"/>
      <w:bookmarkStart w:id="8" w:name="_Toc362969219"/>
      <w:r w:rsidRPr="00561D38">
        <w:lastRenderedPageBreak/>
        <w:t>Purpose of application</w:t>
      </w:r>
      <w:bookmarkEnd w:id="7"/>
      <w:bookmarkEnd w:id="8"/>
    </w:p>
    <w:p w:rsidR="006379B4" w:rsidRPr="00CF6D1F" w:rsidRDefault="006379B4" w:rsidP="00561D38">
      <w:r w:rsidRPr="00E6107F">
        <w:t>The Department of Health an</w:t>
      </w:r>
      <w:r w:rsidRPr="00894F35">
        <w:t>d Ageing received a proposal for the listing</w:t>
      </w:r>
      <w:r w:rsidRPr="00E6107F">
        <w:t xml:space="preserve"> of dual energy X-ray absorptiometry (DXA) on the Medicare Benefits Schedule (MBS) in June 2011. Osteoporosis Australia subsequently became involved in the preparation of the draft Decision Analytic Protocol (DAP) in March 2012.</w:t>
      </w:r>
      <w:r w:rsidRPr="00CF6D1F">
        <w:t xml:space="preserve"> </w:t>
      </w:r>
      <w:r>
        <w:t xml:space="preserve">This proposal is for the provision of an MBS item for bone densitometry by </w:t>
      </w:r>
      <w:r w:rsidRPr="00CF6D1F">
        <w:t>DXA scan to women and men with HIV infection</w:t>
      </w:r>
      <w:r>
        <w:t>,</w:t>
      </w:r>
      <w:r w:rsidRPr="00CF6D1F">
        <w:t xml:space="preserve"> regardless of whether or not they are using anti-retroviral therapy</w:t>
      </w:r>
      <w:r w:rsidR="00AB3A0B">
        <w:t>.</w:t>
      </w:r>
      <w:r w:rsidRPr="00CF6D1F" w:rsidDel="0027797A">
        <w:t xml:space="preserve"> </w:t>
      </w:r>
      <w:r w:rsidRPr="00CF6D1F">
        <w:t xml:space="preserve">This submission </w:t>
      </w:r>
      <w:r>
        <w:t>was originally</w:t>
      </w:r>
      <w:r w:rsidRPr="00CF6D1F">
        <w:t xml:space="preserve"> formulated as a proposed Decision Analytic Protocol (DAP) by Osteoporosis Australia in conjunction with the Department of Health and Ageing</w:t>
      </w:r>
      <w:r>
        <w:t>.</w:t>
      </w:r>
    </w:p>
    <w:p w:rsidR="006379B4" w:rsidRPr="00561D38" w:rsidRDefault="006379B4" w:rsidP="00561D38">
      <w:pPr>
        <w:pStyle w:val="Heading1"/>
      </w:pPr>
      <w:bookmarkStart w:id="9" w:name="_Toc335902658"/>
      <w:bookmarkStart w:id="10" w:name="_Toc362969220"/>
      <w:r w:rsidRPr="00561D38">
        <w:t>Intervention</w:t>
      </w:r>
      <w:bookmarkEnd w:id="9"/>
      <w:bookmarkEnd w:id="10"/>
    </w:p>
    <w:p w:rsidR="006379B4" w:rsidRPr="00561D38" w:rsidRDefault="006379B4" w:rsidP="00561D38">
      <w:pPr>
        <w:pStyle w:val="Heading2"/>
      </w:pPr>
      <w:bookmarkStart w:id="11" w:name="_Toc335902659"/>
      <w:bookmarkStart w:id="12" w:name="_Toc362969221"/>
      <w:r w:rsidRPr="00561D38">
        <w:t>Description</w:t>
      </w:r>
      <w:bookmarkEnd w:id="11"/>
      <w:bookmarkEnd w:id="12"/>
    </w:p>
    <w:p w:rsidR="006379B4" w:rsidRPr="00CF6D1F" w:rsidRDefault="006379B4">
      <w:pPr>
        <w:jc w:val="left"/>
        <w:rPr>
          <w:rFonts w:eastAsia="Times New Roman"/>
          <w:lang w:eastAsia="en-US"/>
        </w:rPr>
      </w:pPr>
      <w:r w:rsidRPr="00CF6D1F">
        <w:rPr>
          <w:rFonts w:eastAsia="Times New Roman"/>
          <w:lang w:eastAsia="en-US"/>
        </w:rPr>
        <w:t xml:space="preserve">Osteoporosis (OP) is a ‘skeletal disorder characterised by compromised bone strength predisposing a person to an increased risk of fracture’, and is an established and well defined disease assessed on the basis of bone mineral densitometry (BMD). In terms of bone mineral density, osteoporosis can be defined as “a BMD that </w:t>
      </w:r>
      <w:proofErr w:type="gramStart"/>
      <w:r w:rsidRPr="00CF6D1F">
        <w:rPr>
          <w:rFonts w:eastAsia="Times New Roman"/>
          <w:lang w:eastAsia="en-US"/>
        </w:rPr>
        <w:t>lies</w:t>
      </w:r>
      <w:proofErr w:type="gramEnd"/>
      <w:r w:rsidRPr="00CF6D1F">
        <w:rPr>
          <w:rFonts w:eastAsia="Times New Roman"/>
          <w:lang w:eastAsia="en-US"/>
        </w:rPr>
        <w:t xml:space="preserve"> 2.5 standard deviations (SD) or more below the average value for young healthy women (a T-score of </w:t>
      </w:r>
      <w:r w:rsidR="00D36E61" w:rsidRPr="00DA100D">
        <w:rPr>
          <w:rFonts w:eastAsia="Times New Roman"/>
          <w:lang w:eastAsia="en-US"/>
        </w:rPr>
        <w:t>≤</w:t>
      </w:r>
      <w:r w:rsidRPr="00CF6D1F">
        <w:rPr>
          <w:rFonts w:eastAsia="Times New Roman"/>
          <w:lang w:eastAsia="en-US"/>
        </w:rPr>
        <w:t>-2.5 SD)” (WHO 2007). According to the AIHW (2011) 692,000 Australians (3.4% of the total population) received a principle diagnosis of osteoporosis in 2007–08, of which women accounted for 82% of cases.</w:t>
      </w:r>
    </w:p>
    <w:p w:rsidR="006379B4" w:rsidRPr="00CF6D1F" w:rsidRDefault="006379B4">
      <w:pPr>
        <w:jc w:val="left"/>
        <w:rPr>
          <w:rFonts w:eastAsia="Times New Roman"/>
          <w:lang w:eastAsia="en-US"/>
        </w:rPr>
      </w:pPr>
      <w:r w:rsidRPr="00CF6D1F">
        <w:rPr>
          <w:rFonts w:eastAsia="Times New Roman"/>
          <w:lang w:eastAsia="en-US"/>
        </w:rPr>
        <w:t xml:space="preserve">Bone remodelling is a continual process which exists in adults to maintain bone mass and is mediated through osteoblasts, osteocytes and osteoclasts (Santen et al, 2011). </w:t>
      </w:r>
    </w:p>
    <w:p w:rsidR="006379B4" w:rsidRPr="00CF6D1F" w:rsidRDefault="006379B4" w:rsidP="00BB68C2">
      <w:pPr>
        <w:numPr>
          <w:ilvl w:val="0"/>
          <w:numId w:val="6"/>
        </w:numPr>
        <w:contextualSpacing/>
        <w:jc w:val="left"/>
        <w:rPr>
          <w:rFonts w:eastAsia="Times New Roman"/>
          <w:lang w:eastAsia="en-US"/>
        </w:rPr>
      </w:pPr>
      <w:r w:rsidRPr="00CF6D1F">
        <w:rPr>
          <w:rFonts w:eastAsia="Times New Roman"/>
          <w:lang w:eastAsia="en-US"/>
        </w:rPr>
        <w:t>Osteoblasts are bone forming cells which produce organic bone matrix and aid its mineralisation</w:t>
      </w:r>
    </w:p>
    <w:p w:rsidR="006379B4" w:rsidRPr="00CF6D1F" w:rsidRDefault="006379B4" w:rsidP="00BB68C2">
      <w:pPr>
        <w:numPr>
          <w:ilvl w:val="0"/>
          <w:numId w:val="6"/>
        </w:numPr>
        <w:contextualSpacing/>
        <w:jc w:val="left"/>
        <w:rPr>
          <w:rFonts w:eastAsia="Times New Roman"/>
          <w:lang w:eastAsia="en-US"/>
        </w:rPr>
      </w:pPr>
      <w:r w:rsidRPr="00CF6D1F">
        <w:rPr>
          <w:rFonts w:eastAsia="Times New Roman"/>
          <w:lang w:eastAsia="en-US"/>
        </w:rPr>
        <w:t xml:space="preserve">Osteoclasts are bone </w:t>
      </w:r>
      <w:proofErr w:type="spellStart"/>
      <w:r w:rsidRPr="00CF6D1F">
        <w:rPr>
          <w:rFonts w:eastAsia="Times New Roman"/>
          <w:lang w:eastAsia="en-US"/>
        </w:rPr>
        <w:t>resorptive</w:t>
      </w:r>
      <w:proofErr w:type="spellEnd"/>
      <w:r w:rsidRPr="00CF6D1F">
        <w:rPr>
          <w:rFonts w:eastAsia="Times New Roman"/>
          <w:lang w:eastAsia="en-US"/>
        </w:rPr>
        <w:t xml:space="preserve"> cells which digest bone mineral and degrade extracellular matrix proteins and form bone </w:t>
      </w:r>
      <w:proofErr w:type="spellStart"/>
      <w:r w:rsidRPr="00CF6D1F">
        <w:rPr>
          <w:rFonts w:eastAsia="Times New Roman"/>
          <w:lang w:eastAsia="en-US"/>
        </w:rPr>
        <w:t>resorptive</w:t>
      </w:r>
      <w:proofErr w:type="spellEnd"/>
      <w:r w:rsidRPr="00CF6D1F">
        <w:rPr>
          <w:rFonts w:eastAsia="Times New Roman"/>
          <w:lang w:eastAsia="en-US"/>
        </w:rPr>
        <w:t xml:space="preserve"> “pits”.</w:t>
      </w:r>
    </w:p>
    <w:p w:rsidR="006379B4" w:rsidRPr="00CF6D1F" w:rsidRDefault="006379B4" w:rsidP="00BB68C2">
      <w:pPr>
        <w:numPr>
          <w:ilvl w:val="0"/>
          <w:numId w:val="6"/>
        </w:numPr>
        <w:contextualSpacing/>
        <w:jc w:val="left"/>
        <w:rPr>
          <w:rFonts w:eastAsia="Times New Roman"/>
          <w:lang w:eastAsia="en-US"/>
        </w:rPr>
      </w:pPr>
      <w:r w:rsidRPr="00CF6D1F">
        <w:rPr>
          <w:rFonts w:eastAsia="Times New Roman"/>
          <w:lang w:eastAsia="en-US"/>
        </w:rPr>
        <w:t xml:space="preserve">Osteocytes are osteoblasts which do not undergo apoptosis and become incorporated into the bone matrix and are important in the coupling mechanism of bone formation and </w:t>
      </w:r>
      <w:proofErr w:type="spellStart"/>
      <w:r w:rsidRPr="00CF6D1F">
        <w:rPr>
          <w:rFonts w:eastAsia="Times New Roman"/>
          <w:lang w:eastAsia="en-US"/>
        </w:rPr>
        <w:t>resorption</w:t>
      </w:r>
      <w:proofErr w:type="spellEnd"/>
      <w:r w:rsidRPr="00CF6D1F">
        <w:rPr>
          <w:rFonts w:eastAsia="Times New Roman"/>
          <w:lang w:eastAsia="en-US"/>
        </w:rPr>
        <w:t>.</w:t>
      </w:r>
    </w:p>
    <w:p w:rsidR="006379B4" w:rsidRPr="00CF6D1F" w:rsidRDefault="006379B4">
      <w:pPr>
        <w:ind w:left="720"/>
        <w:contextualSpacing/>
        <w:jc w:val="left"/>
        <w:rPr>
          <w:rFonts w:eastAsia="Times New Roman"/>
          <w:lang w:eastAsia="en-US"/>
        </w:rPr>
      </w:pPr>
    </w:p>
    <w:p w:rsidR="006379B4" w:rsidRPr="00CF6D1F" w:rsidRDefault="006379B4">
      <w:pPr>
        <w:jc w:val="left"/>
        <w:rPr>
          <w:rFonts w:eastAsia="Times New Roman"/>
          <w:lang w:eastAsia="en-US"/>
        </w:rPr>
      </w:pPr>
      <w:r w:rsidRPr="00CF6D1F">
        <w:rPr>
          <w:rFonts w:eastAsia="Times New Roman"/>
          <w:lang w:eastAsia="en-US"/>
        </w:rPr>
        <w:t xml:space="preserve">Maintenance of bone mineral density relies upon equilibrium between the processes of bone formation and bone </w:t>
      </w:r>
      <w:proofErr w:type="spellStart"/>
      <w:r w:rsidRPr="00CF6D1F">
        <w:rPr>
          <w:rFonts w:eastAsia="Times New Roman"/>
          <w:lang w:eastAsia="en-US"/>
        </w:rPr>
        <w:t>res</w:t>
      </w:r>
      <w:r>
        <w:rPr>
          <w:rFonts w:eastAsia="Times New Roman"/>
          <w:lang w:eastAsia="en-US"/>
        </w:rPr>
        <w:t>or</w:t>
      </w:r>
      <w:r w:rsidRPr="00CF6D1F">
        <w:rPr>
          <w:rFonts w:eastAsia="Times New Roman"/>
          <w:lang w:eastAsia="en-US"/>
        </w:rPr>
        <w:t>ption</w:t>
      </w:r>
      <w:proofErr w:type="spellEnd"/>
      <w:r w:rsidRPr="00CF6D1F">
        <w:rPr>
          <w:rFonts w:eastAsia="Times New Roman"/>
          <w:lang w:eastAsia="en-US"/>
        </w:rPr>
        <w:t xml:space="preserve">. Bone formation refers to the deposition of bone matrix and the fixing of calcium in its mineral form. Bone </w:t>
      </w:r>
      <w:proofErr w:type="spellStart"/>
      <w:r w:rsidRPr="00CF6D1F">
        <w:rPr>
          <w:rFonts w:eastAsia="Times New Roman"/>
          <w:lang w:eastAsia="en-US"/>
        </w:rPr>
        <w:t>resorption</w:t>
      </w:r>
      <w:proofErr w:type="spellEnd"/>
      <w:r w:rsidRPr="00CF6D1F">
        <w:rPr>
          <w:rFonts w:eastAsia="Times New Roman"/>
          <w:lang w:eastAsia="en-US"/>
        </w:rPr>
        <w:t xml:space="preserve"> is the process of bone breakdown by osteoclasts and the release of minerals from bone. Coupled these processes are referred to as bone remodelling. </w:t>
      </w:r>
    </w:p>
    <w:p w:rsidR="006379B4" w:rsidRPr="00CF6D1F" w:rsidRDefault="006379B4">
      <w:pPr>
        <w:jc w:val="left"/>
        <w:rPr>
          <w:rFonts w:eastAsia="Times New Roman"/>
          <w:lang w:eastAsia="en-US"/>
        </w:rPr>
      </w:pPr>
      <w:r>
        <w:rPr>
          <w:rFonts w:eastAsia="Times New Roman"/>
          <w:lang w:eastAsia="en-US"/>
        </w:rPr>
        <w:t>The processes underlying bone remodelling are complex and not completely understood. O</w:t>
      </w:r>
      <w:r w:rsidRPr="00CF6D1F">
        <w:rPr>
          <w:rFonts w:eastAsia="Times New Roman"/>
          <w:lang w:eastAsia="en-US"/>
        </w:rPr>
        <w:t>steoporosis and low BMD are thought to occur as a result of increased numb</w:t>
      </w:r>
      <w:r>
        <w:rPr>
          <w:rFonts w:eastAsia="Times New Roman"/>
          <w:lang w:eastAsia="en-US"/>
        </w:rPr>
        <w:t>ers and activity of osteoclasts</w:t>
      </w:r>
      <w:r w:rsidRPr="00CF6D1F">
        <w:rPr>
          <w:rFonts w:eastAsia="Times New Roman"/>
          <w:lang w:eastAsia="en-US"/>
        </w:rPr>
        <w:t xml:space="preserve"> (Santen et al, 2011). </w:t>
      </w:r>
      <w:r>
        <w:rPr>
          <w:rFonts w:eastAsia="Times New Roman"/>
          <w:lang w:eastAsia="en-US"/>
        </w:rPr>
        <w:t xml:space="preserve">Risk factors for osteoporosis are shown in </w:t>
      </w:r>
      <w:r w:rsidR="008B566C">
        <w:fldChar w:fldCharType="begin"/>
      </w:r>
      <w:r w:rsidR="008B566C">
        <w:instrText xml:space="preserve"> REF _Ref357599602 \h  \* MERGEFORMAT </w:instrText>
      </w:r>
      <w:r w:rsidR="008B566C">
        <w:fldChar w:fldCharType="separate"/>
      </w:r>
      <w:r w:rsidR="00D24164" w:rsidRPr="00D24164">
        <w:rPr>
          <w:rFonts w:eastAsia="Times New Roman"/>
          <w:lang w:eastAsia="en-US"/>
        </w:rPr>
        <w:t>Table 1</w:t>
      </w:r>
      <w:r w:rsidR="008B566C">
        <w:fldChar w:fldCharType="end"/>
      </w:r>
      <w:r>
        <w:rPr>
          <w:rFonts w:eastAsia="Times New Roman"/>
          <w:lang w:eastAsia="en-US"/>
        </w:rPr>
        <w:t>.</w:t>
      </w:r>
    </w:p>
    <w:p w:rsidR="006379B4" w:rsidRPr="00CF6D1F" w:rsidRDefault="006379B4">
      <w:pPr>
        <w:jc w:val="left"/>
        <w:rPr>
          <w:rFonts w:eastAsia="Times New Roman"/>
          <w:lang w:eastAsia="en-US"/>
        </w:rPr>
      </w:pPr>
      <w:r w:rsidRPr="00CF6D1F">
        <w:rPr>
          <w:rFonts w:eastAsia="Times New Roman"/>
          <w:lang w:eastAsia="en-US"/>
        </w:rPr>
        <w:t xml:space="preserve">Bone formation exceeds bone </w:t>
      </w:r>
      <w:proofErr w:type="spellStart"/>
      <w:r w:rsidRPr="00CF6D1F">
        <w:rPr>
          <w:rFonts w:eastAsia="Times New Roman"/>
          <w:lang w:eastAsia="en-US"/>
        </w:rPr>
        <w:t>resportion</w:t>
      </w:r>
      <w:proofErr w:type="spellEnd"/>
      <w:r w:rsidRPr="00CF6D1F">
        <w:rPr>
          <w:rFonts w:eastAsia="Times New Roman"/>
          <w:lang w:eastAsia="en-US"/>
        </w:rPr>
        <w:t xml:space="preserve"> from birth until the age of approximately 20 years. At the end of this period, peak bone mass is achieved and between the ages of 20 and 40 is roughly maintained through and equilibrium between bone formation and </w:t>
      </w:r>
      <w:proofErr w:type="spellStart"/>
      <w:r w:rsidRPr="00CF6D1F">
        <w:rPr>
          <w:rFonts w:eastAsia="Times New Roman"/>
          <w:lang w:eastAsia="en-US"/>
        </w:rPr>
        <w:t>resorption</w:t>
      </w:r>
      <w:proofErr w:type="spellEnd"/>
      <w:r w:rsidRPr="00CF6D1F">
        <w:rPr>
          <w:rFonts w:eastAsia="Times New Roman"/>
          <w:lang w:eastAsia="en-US"/>
        </w:rPr>
        <w:t xml:space="preserve"> (Marcus et al 2008). However, the rate of bone </w:t>
      </w:r>
      <w:proofErr w:type="spellStart"/>
      <w:r w:rsidRPr="00CF6D1F">
        <w:rPr>
          <w:rFonts w:eastAsia="Times New Roman"/>
          <w:lang w:eastAsia="en-US"/>
        </w:rPr>
        <w:t>resorption</w:t>
      </w:r>
      <w:proofErr w:type="spellEnd"/>
      <w:r w:rsidRPr="00CF6D1F">
        <w:rPr>
          <w:rFonts w:eastAsia="Times New Roman"/>
          <w:lang w:eastAsia="en-US"/>
        </w:rPr>
        <w:t xml:space="preserve"> exceeds that of formation </w:t>
      </w:r>
      <w:r w:rsidR="00D36E61">
        <w:rPr>
          <w:rFonts w:eastAsia="Times New Roman"/>
          <w:lang w:eastAsia="en-US"/>
        </w:rPr>
        <w:t>in</w:t>
      </w:r>
      <w:r w:rsidR="00D36E61" w:rsidRPr="00CF6D1F">
        <w:rPr>
          <w:rFonts w:eastAsia="Times New Roman"/>
          <w:lang w:eastAsia="en-US"/>
        </w:rPr>
        <w:t xml:space="preserve"> </w:t>
      </w:r>
      <w:r w:rsidRPr="00CF6D1F">
        <w:rPr>
          <w:rFonts w:eastAsia="Times New Roman"/>
          <w:lang w:eastAsia="en-US"/>
        </w:rPr>
        <w:t xml:space="preserve">menopausal and post-menopausal </w:t>
      </w:r>
      <w:r w:rsidRPr="00CF6D1F">
        <w:rPr>
          <w:rFonts w:eastAsia="Times New Roman"/>
          <w:lang w:eastAsia="en-US"/>
        </w:rPr>
        <w:lastRenderedPageBreak/>
        <w:t xml:space="preserve">women and men 60 years or older, resulting in net bone loss. This reduction in bone density frequently remains undiagnosed, and is most often clinically manifest as a skeletal fracture sustained with minimal trauma (WHO 2007). </w:t>
      </w:r>
    </w:p>
    <w:p w:rsidR="006379B4" w:rsidRPr="00CF6D1F" w:rsidRDefault="006379B4">
      <w:pPr>
        <w:jc w:val="left"/>
        <w:rPr>
          <w:rFonts w:eastAsia="Times New Roman"/>
          <w:lang w:eastAsia="en-US"/>
        </w:rPr>
      </w:pPr>
      <w:r w:rsidRPr="00CF6D1F">
        <w:rPr>
          <w:rFonts w:eastAsia="Times New Roman"/>
          <w:lang w:eastAsia="en-US"/>
        </w:rPr>
        <w:t>Minimal trauma fractures are defined as fractures</w:t>
      </w:r>
      <w:r w:rsidR="00D36E61">
        <w:rPr>
          <w:rFonts w:eastAsia="Times New Roman"/>
          <w:lang w:eastAsia="en-US"/>
        </w:rPr>
        <w:t xml:space="preserve"> as a</w:t>
      </w:r>
      <w:r w:rsidRPr="00CF6D1F">
        <w:rPr>
          <w:rFonts w:eastAsia="Times New Roman"/>
          <w:lang w:eastAsia="en-US"/>
        </w:rPr>
        <w:t xml:space="preserve"> result </w:t>
      </w:r>
      <w:r w:rsidR="00D36E61">
        <w:rPr>
          <w:rFonts w:eastAsia="Times New Roman"/>
          <w:lang w:eastAsia="en-US"/>
        </w:rPr>
        <w:t>of</w:t>
      </w:r>
      <w:r w:rsidR="00D36E61" w:rsidRPr="00CF6D1F">
        <w:rPr>
          <w:rFonts w:eastAsia="Times New Roman"/>
          <w:lang w:eastAsia="en-US"/>
        </w:rPr>
        <w:t xml:space="preserve"> </w:t>
      </w:r>
      <w:r w:rsidRPr="00CF6D1F">
        <w:rPr>
          <w:rFonts w:eastAsia="Times New Roman"/>
          <w:lang w:eastAsia="en-US"/>
        </w:rPr>
        <w:t xml:space="preserve">falls from standing height or less and comprise a significant portion of the health burden caused by osteoporosis. </w:t>
      </w:r>
      <w:r>
        <w:rPr>
          <w:rFonts w:eastAsia="Times New Roman"/>
          <w:lang w:eastAsia="en-US"/>
        </w:rPr>
        <w:t>Patients with m</w:t>
      </w:r>
      <w:r w:rsidRPr="00CF6D1F">
        <w:rPr>
          <w:rFonts w:eastAsia="Times New Roman"/>
          <w:lang w:eastAsia="en-US"/>
        </w:rPr>
        <w:t xml:space="preserve">inimal trauma fractures </w:t>
      </w:r>
      <w:r>
        <w:rPr>
          <w:rFonts w:eastAsia="Times New Roman"/>
          <w:lang w:eastAsia="en-US"/>
        </w:rPr>
        <w:t>have</w:t>
      </w:r>
      <w:r w:rsidRPr="00CF6D1F">
        <w:rPr>
          <w:rFonts w:eastAsia="Times New Roman"/>
          <w:lang w:eastAsia="en-US"/>
        </w:rPr>
        <w:t xml:space="preserve"> increased morbidity, complications, and increased mortality compared to age- and gender- matched peers (</w:t>
      </w:r>
      <w:proofErr w:type="spellStart"/>
      <w:r w:rsidRPr="00CF6D1F">
        <w:rPr>
          <w:rFonts w:eastAsia="Times New Roman"/>
          <w:lang w:eastAsia="en-US"/>
        </w:rPr>
        <w:t>Center</w:t>
      </w:r>
      <w:proofErr w:type="spellEnd"/>
      <w:r w:rsidRPr="00CF6D1F">
        <w:rPr>
          <w:rFonts w:eastAsia="Times New Roman"/>
          <w:lang w:eastAsia="en-US"/>
        </w:rPr>
        <w:t xml:space="preserve"> et al 2007).</w:t>
      </w:r>
      <w:r>
        <w:rPr>
          <w:rFonts w:eastAsia="Times New Roman"/>
          <w:lang w:eastAsia="en-US"/>
        </w:rPr>
        <w:t xml:space="preserve"> C</w:t>
      </w:r>
      <w:r w:rsidRPr="00CF6D1F">
        <w:rPr>
          <w:rFonts w:eastAsia="Times New Roman"/>
          <w:lang w:eastAsia="en-US"/>
        </w:rPr>
        <w:t xml:space="preserve">ommon sites of minimal trauma fracture </w:t>
      </w:r>
      <w:r>
        <w:rPr>
          <w:rFonts w:eastAsia="Times New Roman"/>
          <w:lang w:eastAsia="en-US"/>
        </w:rPr>
        <w:t>are</w:t>
      </w:r>
      <w:r w:rsidRPr="00CF6D1F">
        <w:rPr>
          <w:rFonts w:eastAsia="Times New Roman"/>
          <w:lang w:eastAsia="en-US"/>
        </w:rPr>
        <w:t xml:space="preserve"> the hip</w:t>
      </w:r>
      <w:r>
        <w:rPr>
          <w:rFonts w:eastAsia="Times New Roman"/>
          <w:lang w:eastAsia="en-US"/>
        </w:rPr>
        <w:t>,</w:t>
      </w:r>
      <w:r w:rsidRPr="00CF6D1F">
        <w:rPr>
          <w:rFonts w:eastAsia="Times New Roman"/>
          <w:lang w:eastAsia="en-US"/>
        </w:rPr>
        <w:t xml:space="preserve"> pelvis</w:t>
      </w:r>
      <w:r>
        <w:rPr>
          <w:rFonts w:eastAsia="Times New Roman"/>
          <w:lang w:eastAsia="en-US"/>
        </w:rPr>
        <w:t>,</w:t>
      </w:r>
      <w:r w:rsidRPr="00CF6D1F">
        <w:rPr>
          <w:rFonts w:eastAsia="Times New Roman"/>
          <w:lang w:eastAsia="en-US"/>
        </w:rPr>
        <w:t xml:space="preserve"> wrist</w:t>
      </w:r>
      <w:r>
        <w:rPr>
          <w:rFonts w:eastAsia="Times New Roman"/>
          <w:lang w:eastAsia="en-US"/>
        </w:rPr>
        <w:t>,</w:t>
      </w:r>
      <w:r w:rsidRPr="00CF6D1F">
        <w:rPr>
          <w:rFonts w:eastAsia="Times New Roman"/>
          <w:lang w:eastAsia="en-US"/>
        </w:rPr>
        <w:t xml:space="preserve"> forearm</w:t>
      </w:r>
      <w:r>
        <w:rPr>
          <w:rFonts w:eastAsia="Times New Roman"/>
          <w:lang w:eastAsia="en-US"/>
        </w:rPr>
        <w:t xml:space="preserve"> and spine</w:t>
      </w:r>
      <w:r w:rsidRPr="00CF6D1F">
        <w:rPr>
          <w:rFonts w:eastAsia="Times New Roman"/>
          <w:lang w:eastAsia="en-US"/>
        </w:rPr>
        <w:t xml:space="preserve"> (AIHW 2011).</w:t>
      </w:r>
    </w:p>
    <w:p w:rsidR="006379B4" w:rsidRPr="00CF6D1F" w:rsidRDefault="006379B4">
      <w:pPr>
        <w:jc w:val="left"/>
        <w:rPr>
          <w:rFonts w:eastAsia="Times New Roman"/>
          <w:b/>
          <w:lang w:eastAsia="en-US"/>
        </w:rPr>
      </w:pPr>
      <w:bookmarkStart w:id="13" w:name="_Ref357599602"/>
      <w:r w:rsidRPr="00CF6D1F">
        <w:rPr>
          <w:rFonts w:eastAsia="Times New Roman"/>
          <w:b/>
          <w:lang w:val="en-GB" w:eastAsia="ja-JP"/>
        </w:rPr>
        <w:t xml:space="preserve">Table </w:t>
      </w:r>
      <w:r w:rsidRPr="00CF6D1F">
        <w:rPr>
          <w:rFonts w:eastAsia="Times New Roman"/>
          <w:b/>
          <w:lang w:val="en-GB" w:eastAsia="ja-JP"/>
        </w:rPr>
        <w:fldChar w:fldCharType="begin"/>
      </w:r>
      <w:r w:rsidRPr="00CF6D1F">
        <w:rPr>
          <w:rFonts w:eastAsia="Times New Roman"/>
          <w:b/>
          <w:lang w:val="en-GB" w:eastAsia="ja-JP"/>
        </w:rPr>
        <w:instrText xml:space="preserve"> SEQ Table \* ARABIC </w:instrText>
      </w:r>
      <w:r w:rsidRPr="00CF6D1F">
        <w:rPr>
          <w:rFonts w:eastAsia="Times New Roman"/>
          <w:b/>
          <w:lang w:val="en-GB" w:eastAsia="ja-JP"/>
        </w:rPr>
        <w:fldChar w:fldCharType="separate"/>
      </w:r>
      <w:proofErr w:type="gramStart"/>
      <w:r w:rsidR="00D24164">
        <w:rPr>
          <w:rFonts w:eastAsia="Times New Roman"/>
          <w:b/>
          <w:noProof/>
          <w:lang w:val="en-GB" w:eastAsia="ja-JP"/>
        </w:rPr>
        <w:t>1</w:t>
      </w:r>
      <w:r w:rsidRPr="00CF6D1F">
        <w:rPr>
          <w:rFonts w:eastAsia="Times New Roman"/>
          <w:b/>
          <w:lang w:val="en-GB" w:eastAsia="ja-JP"/>
        </w:rPr>
        <w:fldChar w:fldCharType="end"/>
      </w:r>
      <w:bookmarkEnd w:id="13"/>
      <w:r>
        <w:rPr>
          <w:rFonts w:eastAsia="Times New Roman"/>
          <w:b/>
          <w:lang w:val="en-GB" w:eastAsia="ja-JP"/>
        </w:rPr>
        <w:tab/>
      </w:r>
      <w:r w:rsidRPr="00CF6D1F">
        <w:rPr>
          <w:rFonts w:eastAsia="Times New Roman"/>
          <w:b/>
          <w:lang w:eastAsia="en-US"/>
        </w:rPr>
        <w:t>Risk factors for</w:t>
      </w:r>
      <w:r>
        <w:rPr>
          <w:rFonts w:eastAsia="Times New Roman"/>
          <w:b/>
          <w:lang w:eastAsia="en-US"/>
        </w:rPr>
        <w:t xml:space="preserve"> the development of</w:t>
      </w:r>
      <w:r w:rsidRPr="00CF6D1F">
        <w:rPr>
          <w:rFonts w:eastAsia="Times New Roman"/>
          <w:b/>
          <w:lang w:eastAsia="en-US"/>
        </w:rPr>
        <w:t xml:space="preserve"> osteoporosis</w:t>
      </w:r>
      <w:proofErr w:type="gramEnd"/>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943"/>
        <w:gridCol w:w="6205"/>
      </w:tblGrid>
      <w:tr w:rsidR="006379B4" w:rsidRPr="00794F2D" w:rsidTr="00434776">
        <w:trPr>
          <w:trHeight w:val="441"/>
        </w:trPr>
        <w:tc>
          <w:tcPr>
            <w:tcW w:w="2943" w:type="dxa"/>
          </w:tcPr>
          <w:p w:rsidR="006379B4" w:rsidRPr="00794F2D" w:rsidRDefault="006379B4" w:rsidP="00434776">
            <w:pPr>
              <w:tabs>
                <w:tab w:val="left" w:pos="2835"/>
              </w:tabs>
              <w:spacing w:before="40" w:after="0" w:line="240" w:lineRule="auto"/>
              <w:jc w:val="left"/>
              <w:rPr>
                <w:rFonts w:ascii="Arial Narrow" w:hAnsi="Arial Narrow"/>
                <w:b/>
                <w:sz w:val="18"/>
                <w:szCs w:val="18"/>
              </w:rPr>
            </w:pPr>
            <w:r w:rsidRPr="00794F2D">
              <w:rPr>
                <w:rFonts w:ascii="Arial Narrow" w:hAnsi="Arial Narrow"/>
                <w:b/>
                <w:sz w:val="18"/>
                <w:szCs w:val="18"/>
              </w:rPr>
              <w:t>Type of risk factor</w:t>
            </w:r>
          </w:p>
        </w:tc>
        <w:tc>
          <w:tcPr>
            <w:tcW w:w="6205" w:type="dxa"/>
          </w:tcPr>
          <w:p w:rsidR="006379B4" w:rsidRPr="00794F2D" w:rsidRDefault="006379B4" w:rsidP="00434776">
            <w:pPr>
              <w:tabs>
                <w:tab w:val="left" w:pos="2835"/>
              </w:tabs>
              <w:spacing w:before="40" w:after="0" w:line="240" w:lineRule="auto"/>
              <w:rPr>
                <w:rFonts w:ascii="Arial Narrow" w:hAnsi="Arial Narrow"/>
                <w:b/>
                <w:sz w:val="18"/>
                <w:szCs w:val="18"/>
              </w:rPr>
            </w:pPr>
            <w:r w:rsidRPr="00794F2D">
              <w:rPr>
                <w:rFonts w:ascii="Arial Narrow" w:hAnsi="Arial Narrow"/>
                <w:b/>
                <w:sz w:val="18"/>
                <w:szCs w:val="18"/>
              </w:rPr>
              <w:t>Examples</w:t>
            </w:r>
          </w:p>
        </w:tc>
      </w:tr>
      <w:tr w:rsidR="006379B4" w:rsidRPr="00794F2D" w:rsidTr="00434776">
        <w:tc>
          <w:tcPr>
            <w:tcW w:w="2943" w:type="dxa"/>
          </w:tcPr>
          <w:p w:rsidR="006379B4" w:rsidRPr="00794F2D" w:rsidRDefault="006379B4" w:rsidP="00434776">
            <w:pPr>
              <w:spacing w:after="0" w:line="240" w:lineRule="auto"/>
              <w:jc w:val="left"/>
              <w:rPr>
                <w:rFonts w:ascii="Arial Narrow" w:hAnsi="Arial Narrow"/>
                <w:sz w:val="18"/>
                <w:szCs w:val="18"/>
              </w:rPr>
            </w:pPr>
            <w:r w:rsidRPr="00794F2D">
              <w:rPr>
                <w:rFonts w:ascii="Arial Narrow" w:hAnsi="Arial Narrow"/>
                <w:sz w:val="18"/>
                <w:szCs w:val="18"/>
              </w:rPr>
              <w:t xml:space="preserve">Fixed (non-modifiable) risk factors </w:t>
            </w:r>
          </w:p>
        </w:tc>
        <w:tc>
          <w:tcPr>
            <w:tcW w:w="6205" w:type="dxa"/>
          </w:tcPr>
          <w:p w:rsidR="006379B4" w:rsidRDefault="006379B4" w:rsidP="00434776">
            <w:pPr>
              <w:spacing w:after="0" w:line="240" w:lineRule="auto"/>
              <w:rPr>
                <w:rFonts w:ascii="Arial Narrow" w:hAnsi="Arial Narrow"/>
                <w:sz w:val="18"/>
                <w:szCs w:val="18"/>
              </w:rPr>
            </w:pPr>
            <w:r w:rsidRPr="00794F2D">
              <w:rPr>
                <w:rFonts w:ascii="Arial Narrow" w:hAnsi="Arial Narrow"/>
                <w:sz w:val="18"/>
                <w:szCs w:val="18"/>
              </w:rPr>
              <w:t>Age (increases with the age after 40-50)</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Sex (</w:t>
            </w:r>
            <w:r>
              <w:rPr>
                <w:rFonts w:ascii="Arial Narrow" w:hAnsi="Arial Narrow"/>
                <w:sz w:val="18"/>
                <w:szCs w:val="18"/>
              </w:rPr>
              <w:t>osteoporosis</w:t>
            </w:r>
            <w:r w:rsidRPr="00794F2D">
              <w:rPr>
                <w:rFonts w:ascii="Arial Narrow" w:hAnsi="Arial Narrow"/>
                <w:sz w:val="18"/>
                <w:szCs w:val="18"/>
              </w:rPr>
              <w:t xml:space="preserve"> affects </w:t>
            </w:r>
            <w:r>
              <w:rPr>
                <w:rFonts w:ascii="Arial Narrow" w:hAnsi="Arial Narrow"/>
                <w:sz w:val="18"/>
                <w:szCs w:val="18"/>
              </w:rPr>
              <w:t>women</w:t>
            </w:r>
            <w:r w:rsidRPr="00794F2D">
              <w:rPr>
                <w:rFonts w:ascii="Arial Narrow" w:hAnsi="Arial Narrow"/>
                <w:sz w:val="18"/>
                <w:szCs w:val="18"/>
              </w:rPr>
              <w:t xml:space="preserve"> at an earlier age)</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Menopause</w:t>
            </w:r>
          </w:p>
          <w:p w:rsidR="006379B4" w:rsidRDefault="006379B4" w:rsidP="00434776">
            <w:pPr>
              <w:tabs>
                <w:tab w:val="left" w:pos="2835"/>
              </w:tabs>
              <w:spacing w:after="0" w:line="240" w:lineRule="auto"/>
              <w:rPr>
                <w:rFonts w:ascii="Arial Narrow" w:hAnsi="Arial Narrow"/>
                <w:sz w:val="18"/>
                <w:szCs w:val="18"/>
              </w:rPr>
            </w:pPr>
            <w:r w:rsidRPr="00794F2D">
              <w:rPr>
                <w:rFonts w:ascii="Arial Narrow" w:hAnsi="Arial Narrow"/>
                <w:sz w:val="18"/>
                <w:szCs w:val="18"/>
              </w:rPr>
              <w:t xml:space="preserve">Family history of </w:t>
            </w:r>
            <w:r>
              <w:rPr>
                <w:rFonts w:ascii="Arial Narrow" w:hAnsi="Arial Narrow"/>
                <w:sz w:val="18"/>
                <w:szCs w:val="18"/>
              </w:rPr>
              <w:t>osteoporosis</w:t>
            </w:r>
            <w:r w:rsidRPr="00794F2D">
              <w:rPr>
                <w:rFonts w:ascii="Arial Narrow" w:hAnsi="Arial Narrow"/>
                <w:sz w:val="18"/>
                <w:szCs w:val="18"/>
              </w:rPr>
              <w:t xml:space="preserve"> (genetic predisposition)</w:t>
            </w:r>
          </w:p>
          <w:p w:rsidR="006379B4" w:rsidRPr="00794F2D" w:rsidRDefault="006379B4" w:rsidP="00434776">
            <w:pPr>
              <w:tabs>
                <w:tab w:val="left" w:pos="2835"/>
              </w:tabs>
              <w:spacing w:after="0" w:line="240" w:lineRule="auto"/>
              <w:rPr>
                <w:rFonts w:ascii="Arial Narrow" w:hAnsi="Arial Narrow"/>
                <w:sz w:val="18"/>
                <w:szCs w:val="18"/>
              </w:rPr>
            </w:pPr>
            <w:r w:rsidRPr="00920D49">
              <w:rPr>
                <w:rFonts w:ascii="Arial Narrow" w:hAnsi="Arial Narrow"/>
                <w:sz w:val="18"/>
                <w:szCs w:val="18"/>
              </w:rPr>
              <w:t>Previous low trauma fracture (fragility fracture) particularly of the hip, spine or wrist.</w:t>
            </w:r>
          </w:p>
        </w:tc>
      </w:tr>
      <w:tr w:rsidR="006379B4" w:rsidRPr="00794F2D" w:rsidTr="00434776">
        <w:tc>
          <w:tcPr>
            <w:tcW w:w="2943" w:type="dxa"/>
          </w:tcPr>
          <w:p w:rsidR="006379B4" w:rsidRPr="00794F2D" w:rsidRDefault="006379B4" w:rsidP="00434776">
            <w:pPr>
              <w:spacing w:after="0" w:line="240" w:lineRule="auto"/>
              <w:jc w:val="left"/>
              <w:rPr>
                <w:rFonts w:ascii="Arial Narrow" w:hAnsi="Arial Narrow"/>
                <w:sz w:val="18"/>
                <w:szCs w:val="18"/>
              </w:rPr>
            </w:pPr>
            <w:r w:rsidRPr="00794F2D">
              <w:rPr>
                <w:rFonts w:ascii="Arial Narrow" w:hAnsi="Arial Narrow"/>
                <w:sz w:val="18"/>
                <w:szCs w:val="18"/>
              </w:rPr>
              <w:t>Lifestyle (modifiable) risk factors</w:t>
            </w:r>
          </w:p>
        </w:tc>
        <w:tc>
          <w:tcPr>
            <w:tcW w:w="6205" w:type="dxa"/>
          </w:tcPr>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 xml:space="preserve">Physical inactivity </w:t>
            </w:r>
          </w:p>
          <w:p w:rsidR="006379B4" w:rsidRPr="00794F2D" w:rsidRDefault="006379B4" w:rsidP="00434776">
            <w:pPr>
              <w:spacing w:after="0" w:line="240" w:lineRule="auto"/>
              <w:rPr>
                <w:rFonts w:ascii="Arial Narrow" w:hAnsi="Arial Narrow"/>
                <w:sz w:val="18"/>
                <w:szCs w:val="18"/>
              </w:rPr>
            </w:pPr>
            <w:r>
              <w:rPr>
                <w:rFonts w:ascii="Arial Narrow" w:hAnsi="Arial Narrow"/>
                <w:sz w:val="18"/>
                <w:szCs w:val="18"/>
              </w:rPr>
              <w:t>Diet:</w:t>
            </w:r>
            <w:r w:rsidRPr="00794F2D">
              <w:rPr>
                <w:rFonts w:ascii="Arial Narrow" w:hAnsi="Arial Narrow"/>
                <w:sz w:val="18"/>
                <w:szCs w:val="18"/>
              </w:rPr>
              <w:t xml:space="preserve"> low calcium intake </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 xml:space="preserve">Vitamin D deficiency </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 xml:space="preserve">Tobacco smoking </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 xml:space="preserve">Excessive alcohol consumption </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Low body mass index (BMI &lt;18.5)</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Anorexia/exercise induced amenorrhoea</w:t>
            </w:r>
          </w:p>
          <w:p w:rsidR="006379B4" w:rsidRPr="00794F2D" w:rsidRDefault="006379B4" w:rsidP="00434776">
            <w:pPr>
              <w:spacing w:after="0" w:line="240" w:lineRule="auto"/>
              <w:rPr>
                <w:rFonts w:ascii="Arial Narrow" w:hAnsi="Arial Narrow"/>
                <w:sz w:val="18"/>
                <w:szCs w:val="18"/>
              </w:rPr>
            </w:pPr>
            <w:r w:rsidRPr="00794F2D">
              <w:rPr>
                <w:rFonts w:ascii="Arial Narrow" w:hAnsi="Arial Narrow"/>
                <w:sz w:val="18"/>
                <w:szCs w:val="18"/>
              </w:rPr>
              <w:t>Excessively high body mass index</w:t>
            </w:r>
          </w:p>
        </w:tc>
      </w:tr>
      <w:tr w:rsidR="006379B4" w:rsidRPr="00794F2D" w:rsidTr="00434776">
        <w:tc>
          <w:tcPr>
            <w:tcW w:w="2943" w:type="dxa"/>
          </w:tcPr>
          <w:p w:rsidR="006379B4" w:rsidRPr="00794F2D" w:rsidRDefault="006379B4" w:rsidP="00434776">
            <w:pPr>
              <w:tabs>
                <w:tab w:val="left" w:pos="2835"/>
              </w:tabs>
              <w:spacing w:before="40" w:after="0" w:line="240" w:lineRule="auto"/>
              <w:rPr>
                <w:rFonts w:ascii="Arial Narrow" w:hAnsi="Arial Narrow"/>
                <w:sz w:val="18"/>
                <w:szCs w:val="18"/>
              </w:rPr>
            </w:pPr>
            <w:r w:rsidRPr="00794F2D">
              <w:rPr>
                <w:rFonts w:ascii="Arial Narrow" w:hAnsi="Arial Narrow"/>
                <w:sz w:val="18"/>
                <w:szCs w:val="18"/>
              </w:rPr>
              <w:t xml:space="preserve"> Diseases implicated in OP</w:t>
            </w:r>
          </w:p>
          <w:p w:rsidR="006379B4" w:rsidRPr="00794F2D" w:rsidRDefault="006379B4" w:rsidP="00434776">
            <w:pPr>
              <w:tabs>
                <w:tab w:val="left" w:pos="2835"/>
              </w:tabs>
              <w:spacing w:before="40" w:after="0" w:line="240" w:lineRule="auto"/>
              <w:jc w:val="left"/>
              <w:rPr>
                <w:rFonts w:ascii="Arial Narrow" w:hAnsi="Arial Narrow"/>
                <w:sz w:val="18"/>
                <w:szCs w:val="18"/>
              </w:rPr>
            </w:pPr>
          </w:p>
        </w:tc>
        <w:tc>
          <w:tcPr>
            <w:tcW w:w="6205" w:type="dxa"/>
          </w:tcPr>
          <w:p w:rsidR="006379B4" w:rsidRPr="00794F2D" w:rsidRDefault="006379B4" w:rsidP="00434776">
            <w:pPr>
              <w:tabs>
                <w:tab w:val="left" w:pos="0"/>
                <w:tab w:val="left" w:pos="34"/>
              </w:tabs>
              <w:spacing w:before="40" w:after="0" w:line="240" w:lineRule="auto"/>
              <w:jc w:val="left"/>
              <w:rPr>
                <w:rFonts w:ascii="Arial Narrow" w:hAnsi="Arial Narrow"/>
                <w:sz w:val="18"/>
                <w:szCs w:val="18"/>
              </w:rPr>
            </w:pPr>
            <w:r w:rsidRPr="00794F2D">
              <w:rPr>
                <w:rFonts w:ascii="Arial Narrow" w:hAnsi="Arial Narrow"/>
                <w:sz w:val="18"/>
                <w:szCs w:val="18"/>
              </w:rPr>
              <w:t xml:space="preserve">Rheumatoid arthritis </w:t>
            </w:r>
          </w:p>
          <w:p w:rsidR="006379B4" w:rsidRDefault="006379B4" w:rsidP="00434776">
            <w:pPr>
              <w:tabs>
                <w:tab w:val="left" w:pos="0"/>
                <w:tab w:val="left" w:pos="34"/>
              </w:tabs>
              <w:spacing w:before="40" w:after="0" w:line="240" w:lineRule="auto"/>
              <w:jc w:val="left"/>
              <w:rPr>
                <w:rFonts w:ascii="Arial Narrow" w:hAnsi="Arial Narrow"/>
                <w:sz w:val="18"/>
                <w:szCs w:val="18"/>
              </w:rPr>
            </w:pPr>
            <w:r>
              <w:rPr>
                <w:rFonts w:ascii="Arial Narrow" w:hAnsi="Arial Narrow"/>
                <w:sz w:val="18"/>
                <w:szCs w:val="18"/>
              </w:rPr>
              <w:t>Hyperthyroidism</w:t>
            </w:r>
          </w:p>
          <w:p w:rsidR="006379B4" w:rsidRDefault="006379B4" w:rsidP="00434776">
            <w:pPr>
              <w:tabs>
                <w:tab w:val="left" w:pos="0"/>
                <w:tab w:val="left" w:pos="34"/>
              </w:tabs>
              <w:spacing w:before="40" w:after="0" w:line="240" w:lineRule="auto"/>
              <w:jc w:val="left"/>
              <w:rPr>
                <w:rFonts w:ascii="Arial Narrow" w:hAnsi="Arial Narrow"/>
                <w:sz w:val="18"/>
                <w:szCs w:val="18"/>
              </w:rPr>
            </w:pPr>
            <w:r>
              <w:rPr>
                <w:rFonts w:ascii="Arial Narrow" w:hAnsi="Arial Narrow"/>
                <w:sz w:val="18"/>
                <w:szCs w:val="18"/>
              </w:rPr>
              <w:t>Hyperparathyroidism</w:t>
            </w:r>
          </w:p>
          <w:p w:rsidR="006379B4" w:rsidRDefault="006379B4" w:rsidP="00434776">
            <w:pPr>
              <w:tabs>
                <w:tab w:val="left" w:pos="0"/>
                <w:tab w:val="left" w:pos="34"/>
              </w:tabs>
              <w:spacing w:before="40" w:after="0" w:line="240" w:lineRule="auto"/>
              <w:jc w:val="left"/>
              <w:rPr>
                <w:rFonts w:ascii="Arial Narrow" w:hAnsi="Arial Narrow"/>
                <w:sz w:val="18"/>
                <w:szCs w:val="18"/>
              </w:rPr>
            </w:pPr>
            <w:proofErr w:type="spellStart"/>
            <w:r>
              <w:rPr>
                <w:rFonts w:ascii="Arial Narrow" w:hAnsi="Arial Narrow"/>
                <w:sz w:val="18"/>
                <w:szCs w:val="18"/>
              </w:rPr>
              <w:t>Hypogonadism</w:t>
            </w:r>
            <w:proofErr w:type="spellEnd"/>
            <w:r>
              <w:rPr>
                <w:rFonts w:ascii="Arial Narrow" w:hAnsi="Arial Narrow"/>
                <w:sz w:val="18"/>
                <w:szCs w:val="18"/>
              </w:rPr>
              <w:t>, including early menopause</w:t>
            </w:r>
          </w:p>
          <w:p w:rsidR="006379B4" w:rsidRPr="00794F2D" w:rsidRDefault="006379B4" w:rsidP="00434776">
            <w:pPr>
              <w:tabs>
                <w:tab w:val="left" w:pos="0"/>
                <w:tab w:val="left" w:pos="34"/>
              </w:tabs>
              <w:spacing w:before="40" w:after="0" w:line="240" w:lineRule="auto"/>
              <w:jc w:val="left"/>
              <w:rPr>
                <w:rFonts w:ascii="Arial Narrow" w:hAnsi="Arial Narrow"/>
                <w:sz w:val="18"/>
                <w:szCs w:val="18"/>
              </w:rPr>
            </w:pPr>
            <w:r>
              <w:rPr>
                <w:rFonts w:ascii="Arial Narrow" w:hAnsi="Arial Narrow"/>
                <w:sz w:val="18"/>
                <w:szCs w:val="18"/>
              </w:rPr>
              <w:t>Cushing’s syndrome</w:t>
            </w:r>
          </w:p>
          <w:p w:rsidR="006379B4" w:rsidRPr="00794F2D" w:rsidRDefault="006379B4" w:rsidP="00434776">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Chronic gut conditions including coeliac disease, and inflammatory bowel disease</w:t>
            </w:r>
          </w:p>
          <w:p w:rsidR="006379B4" w:rsidRPr="00794F2D" w:rsidRDefault="006379B4" w:rsidP="00434776">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Chronic liver disease</w:t>
            </w:r>
          </w:p>
          <w:p w:rsidR="006379B4" w:rsidRPr="00794F2D" w:rsidRDefault="006379B4" w:rsidP="00434776">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Chronic renal disease</w:t>
            </w:r>
          </w:p>
          <w:p w:rsidR="006379B4" w:rsidRPr="00794F2D" w:rsidRDefault="006379B4" w:rsidP="00434776">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Some cancers (e</w:t>
            </w:r>
            <w:r w:rsidR="002152A1">
              <w:rPr>
                <w:rFonts w:ascii="Arial Narrow" w:hAnsi="Arial Narrow"/>
                <w:sz w:val="18"/>
                <w:szCs w:val="18"/>
              </w:rPr>
              <w:t>.</w:t>
            </w:r>
            <w:r w:rsidRPr="00794F2D">
              <w:rPr>
                <w:rFonts w:ascii="Arial Narrow" w:hAnsi="Arial Narrow"/>
                <w:sz w:val="18"/>
                <w:szCs w:val="18"/>
              </w:rPr>
              <w:t>g</w:t>
            </w:r>
            <w:r w:rsidR="002152A1">
              <w:rPr>
                <w:rFonts w:ascii="Arial Narrow" w:hAnsi="Arial Narrow"/>
                <w:sz w:val="18"/>
                <w:szCs w:val="18"/>
              </w:rPr>
              <w:t>.</w:t>
            </w:r>
            <w:r w:rsidRPr="00794F2D">
              <w:rPr>
                <w:rFonts w:ascii="Arial Narrow" w:hAnsi="Arial Narrow"/>
                <w:sz w:val="18"/>
                <w:szCs w:val="18"/>
              </w:rPr>
              <w:t xml:space="preserve"> myeloma)</w:t>
            </w:r>
          </w:p>
          <w:p w:rsidR="006379B4" w:rsidRPr="00794F2D" w:rsidRDefault="006379B4" w:rsidP="00434776">
            <w:pPr>
              <w:tabs>
                <w:tab w:val="left" w:pos="0"/>
              </w:tabs>
              <w:spacing w:before="40" w:after="0" w:line="240" w:lineRule="auto"/>
              <w:jc w:val="left"/>
              <w:rPr>
                <w:rFonts w:ascii="Arial Narrow" w:hAnsi="Arial Narrow"/>
                <w:sz w:val="18"/>
                <w:szCs w:val="18"/>
              </w:rPr>
            </w:pPr>
            <w:r w:rsidRPr="00794F2D">
              <w:rPr>
                <w:rFonts w:ascii="Arial Narrow" w:hAnsi="Arial Narrow"/>
                <w:sz w:val="18"/>
                <w:szCs w:val="18"/>
              </w:rPr>
              <w:t>Type 1 diabetes</w:t>
            </w:r>
          </w:p>
          <w:p w:rsidR="006379B4" w:rsidRPr="00794F2D" w:rsidRDefault="006379B4" w:rsidP="00434776">
            <w:pPr>
              <w:tabs>
                <w:tab w:val="left" w:pos="0"/>
              </w:tabs>
              <w:spacing w:before="40" w:after="0" w:line="240" w:lineRule="auto"/>
              <w:jc w:val="left"/>
              <w:rPr>
                <w:rFonts w:ascii="Arial Narrow" w:hAnsi="Arial Narrow"/>
                <w:sz w:val="18"/>
                <w:szCs w:val="18"/>
              </w:rPr>
            </w:pPr>
            <w:proofErr w:type="spellStart"/>
            <w:r w:rsidRPr="00794F2D">
              <w:rPr>
                <w:rFonts w:ascii="Arial Narrow" w:hAnsi="Arial Narrow"/>
                <w:sz w:val="18"/>
                <w:szCs w:val="18"/>
              </w:rPr>
              <w:t>Gastrectomy</w:t>
            </w:r>
            <w:proofErr w:type="spellEnd"/>
          </w:p>
          <w:p w:rsidR="006379B4" w:rsidRPr="00794F2D" w:rsidRDefault="006379B4" w:rsidP="00434776">
            <w:pPr>
              <w:tabs>
                <w:tab w:val="left" w:pos="0"/>
              </w:tabs>
              <w:spacing w:before="40" w:after="0" w:line="240" w:lineRule="auto"/>
              <w:jc w:val="left"/>
              <w:rPr>
                <w:rFonts w:ascii="Arial Narrow" w:hAnsi="Arial Narrow"/>
                <w:sz w:val="18"/>
                <w:szCs w:val="18"/>
              </w:rPr>
            </w:pPr>
            <w:proofErr w:type="spellStart"/>
            <w:r w:rsidRPr="00794F2D">
              <w:rPr>
                <w:rFonts w:ascii="Arial Narrow" w:hAnsi="Arial Narrow"/>
                <w:sz w:val="18"/>
                <w:szCs w:val="18"/>
              </w:rPr>
              <w:t>Ankylosing</w:t>
            </w:r>
            <w:proofErr w:type="spellEnd"/>
            <w:r w:rsidRPr="00794F2D">
              <w:rPr>
                <w:rFonts w:ascii="Arial Narrow" w:hAnsi="Arial Narrow"/>
                <w:sz w:val="18"/>
                <w:szCs w:val="18"/>
              </w:rPr>
              <w:t xml:space="preserve"> spondylitis</w:t>
            </w:r>
          </w:p>
        </w:tc>
      </w:tr>
      <w:tr w:rsidR="006379B4" w:rsidRPr="00794F2D" w:rsidTr="00434776">
        <w:tc>
          <w:tcPr>
            <w:tcW w:w="2943" w:type="dxa"/>
          </w:tcPr>
          <w:p w:rsidR="006379B4" w:rsidRPr="00794F2D" w:rsidRDefault="006379B4" w:rsidP="00434776">
            <w:pPr>
              <w:tabs>
                <w:tab w:val="left" w:pos="2835"/>
              </w:tabs>
              <w:spacing w:before="40" w:after="0" w:line="240" w:lineRule="auto"/>
              <w:rPr>
                <w:rFonts w:ascii="Arial Narrow" w:hAnsi="Arial Narrow"/>
                <w:sz w:val="18"/>
                <w:szCs w:val="18"/>
              </w:rPr>
            </w:pPr>
            <w:r w:rsidRPr="00794F2D">
              <w:rPr>
                <w:rFonts w:ascii="Arial Narrow" w:hAnsi="Arial Narrow"/>
                <w:sz w:val="18"/>
                <w:szCs w:val="18"/>
              </w:rPr>
              <w:t>Drug therapies implicated in OP</w:t>
            </w:r>
          </w:p>
          <w:p w:rsidR="006379B4" w:rsidRPr="00794F2D" w:rsidRDefault="006379B4" w:rsidP="00434776">
            <w:pPr>
              <w:tabs>
                <w:tab w:val="left" w:pos="2835"/>
              </w:tabs>
              <w:spacing w:before="40" w:after="0" w:line="240" w:lineRule="auto"/>
              <w:jc w:val="left"/>
              <w:rPr>
                <w:rFonts w:ascii="Arial Narrow" w:hAnsi="Arial Narrow"/>
                <w:sz w:val="18"/>
                <w:szCs w:val="18"/>
              </w:rPr>
            </w:pPr>
          </w:p>
        </w:tc>
        <w:tc>
          <w:tcPr>
            <w:tcW w:w="6205" w:type="dxa"/>
          </w:tcPr>
          <w:p w:rsidR="006379B4" w:rsidRPr="00794F2D" w:rsidRDefault="006379B4" w:rsidP="00434776">
            <w:pPr>
              <w:tabs>
                <w:tab w:val="left" w:pos="2835"/>
              </w:tabs>
              <w:spacing w:before="40" w:after="0" w:line="240" w:lineRule="auto"/>
              <w:rPr>
                <w:rFonts w:ascii="Arial Narrow" w:hAnsi="Arial Narrow"/>
                <w:sz w:val="18"/>
                <w:szCs w:val="18"/>
              </w:rPr>
            </w:pPr>
            <w:r w:rsidRPr="00794F2D">
              <w:rPr>
                <w:rFonts w:ascii="Arial Narrow" w:hAnsi="Arial Narrow"/>
                <w:sz w:val="18"/>
                <w:szCs w:val="18"/>
              </w:rPr>
              <w:t xml:space="preserve">Chemotherapy </w:t>
            </w:r>
          </w:p>
          <w:p w:rsidR="006379B4" w:rsidRPr="00794F2D" w:rsidRDefault="006379B4" w:rsidP="00434776">
            <w:pPr>
              <w:tabs>
                <w:tab w:val="left" w:pos="2835"/>
              </w:tabs>
              <w:spacing w:before="40" w:after="0" w:line="240" w:lineRule="auto"/>
              <w:rPr>
                <w:rFonts w:ascii="Arial Narrow" w:hAnsi="Arial Narrow"/>
                <w:sz w:val="18"/>
                <w:szCs w:val="18"/>
              </w:rPr>
            </w:pPr>
            <w:r w:rsidRPr="00794F2D">
              <w:rPr>
                <w:rFonts w:ascii="Arial Narrow" w:hAnsi="Arial Narrow"/>
                <w:sz w:val="18"/>
                <w:szCs w:val="18"/>
              </w:rPr>
              <w:t>Aromatase inhibitors for the treatment of breast cancer</w:t>
            </w:r>
          </w:p>
          <w:p w:rsidR="006379B4" w:rsidRPr="00794F2D" w:rsidRDefault="006379B4" w:rsidP="00434776">
            <w:pPr>
              <w:tabs>
                <w:tab w:val="left" w:pos="2835"/>
              </w:tabs>
              <w:spacing w:before="40" w:after="0" w:line="240" w:lineRule="auto"/>
              <w:rPr>
                <w:rFonts w:ascii="Arial Narrow" w:hAnsi="Arial Narrow"/>
                <w:sz w:val="18"/>
                <w:szCs w:val="18"/>
              </w:rPr>
            </w:pPr>
            <w:r>
              <w:rPr>
                <w:rFonts w:ascii="Arial Narrow" w:hAnsi="Arial Narrow"/>
                <w:sz w:val="18"/>
                <w:szCs w:val="18"/>
              </w:rPr>
              <w:t>Long-term c</w:t>
            </w:r>
            <w:r w:rsidRPr="00794F2D">
              <w:rPr>
                <w:rFonts w:ascii="Arial Narrow" w:hAnsi="Arial Narrow"/>
                <w:sz w:val="18"/>
                <w:szCs w:val="18"/>
              </w:rPr>
              <w:t>orticosteroid use</w:t>
            </w:r>
          </w:p>
          <w:p w:rsidR="006379B4" w:rsidRPr="00794F2D" w:rsidRDefault="006379B4" w:rsidP="00D660E0">
            <w:pPr>
              <w:tabs>
                <w:tab w:val="left" w:pos="2835"/>
              </w:tabs>
              <w:spacing w:before="40" w:after="0" w:line="240" w:lineRule="auto"/>
              <w:rPr>
                <w:rFonts w:ascii="Arial Narrow" w:hAnsi="Arial Narrow"/>
                <w:sz w:val="18"/>
                <w:szCs w:val="18"/>
              </w:rPr>
            </w:pPr>
            <w:r w:rsidRPr="00794F2D">
              <w:rPr>
                <w:rFonts w:ascii="Arial Narrow" w:hAnsi="Arial Narrow"/>
                <w:sz w:val="18"/>
                <w:szCs w:val="18"/>
              </w:rPr>
              <w:t xml:space="preserve">Anti-androgenic treatments for </w:t>
            </w:r>
            <w:r>
              <w:rPr>
                <w:rFonts w:ascii="Arial Narrow" w:hAnsi="Arial Narrow"/>
                <w:sz w:val="18"/>
                <w:szCs w:val="18"/>
              </w:rPr>
              <w:t>p</w:t>
            </w:r>
            <w:r w:rsidRPr="00794F2D">
              <w:rPr>
                <w:rFonts w:ascii="Arial Narrow" w:hAnsi="Arial Narrow"/>
                <w:sz w:val="18"/>
                <w:szCs w:val="18"/>
              </w:rPr>
              <w:t xml:space="preserve">rostate </w:t>
            </w:r>
            <w:r>
              <w:rPr>
                <w:rFonts w:ascii="Arial Narrow" w:hAnsi="Arial Narrow"/>
                <w:sz w:val="18"/>
                <w:szCs w:val="18"/>
              </w:rPr>
              <w:t>c</w:t>
            </w:r>
            <w:r w:rsidRPr="00794F2D">
              <w:rPr>
                <w:rFonts w:ascii="Arial Narrow" w:hAnsi="Arial Narrow"/>
                <w:sz w:val="18"/>
                <w:szCs w:val="18"/>
              </w:rPr>
              <w:t>ancer</w:t>
            </w:r>
          </w:p>
        </w:tc>
      </w:tr>
      <w:tr w:rsidR="006379B4" w:rsidRPr="00794F2D" w:rsidTr="00434776">
        <w:tc>
          <w:tcPr>
            <w:tcW w:w="9148" w:type="dxa"/>
            <w:gridSpan w:val="2"/>
            <w:tcBorders>
              <w:bottom w:val="nil"/>
            </w:tcBorders>
          </w:tcPr>
          <w:p w:rsidR="006379B4" w:rsidRPr="00794F2D" w:rsidRDefault="00D36E61" w:rsidP="00434776">
            <w:pPr>
              <w:spacing w:after="0" w:line="240" w:lineRule="auto"/>
              <w:rPr>
                <w:rFonts w:ascii="Arial Narrow" w:hAnsi="Arial Narrow"/>
                <w:sz w:val="16"/>
                <w:szCs w:val="16"/>
              </w:rPr>
            </w:pPr>
            <w:r>
              <w:rPr>
                <w:rFonts w:ascii="Arial Narrow" w:hAnsi="Arial Narrow"/>
                <w:sz w:val="16"/>
                <w:szCs w:val="16"/>
              </w:rPr>
              <w:t xml:space="preserve">OP: osteoporosis; </w:t>
            </w:r>
            <w:r w:rsidR="006379B4" w:rsidRPr="00794F2D">
              <w:rPr>
                <w:rFonts w:ascii="Arial Narrow" w:hAnsi="Arial Narrow"/>
                <w:sz w:val="16"/>
                <w:szCs w:val="16"/>
              </w:rPr>
              <w:t xml:space="preserve">Source; AIHW (2008 and 2010), Osteoporosis Australia 2011, Smith 2006 and </w:t>
            </w:r>
            <w:proofErr w:type="spellStart"/>
            <w:r w:rsidR="006379B4" w:rsidRPr="00794F2D">
              <w:rPr>
                <w:rFonts w:ascii="Arial Narrow" w:hAnsi="Arial Narrow"/>
                <w:sz w:val="16"/>
                <w:szCs w:val="16"/>
              </w:rPr>
              <w:t>Bjarnson</w:t>
            </w:r>
            <w:proofErr w:type="spellEnd"/>
            <w:r w:rsidR="006379B4" w:rsidRPr="00794F2D">
              <w:rPr>
                <w:rFonts w:ascii="Arial Narrow" w:hAnsi="Arial Narrow"/>
                <w:sz w:val="16"/>
                <w:szCs w:val="16"/>
              </w:rPr>
              <w:t xml:space="preserve"> et al 2008</w:t>
            </w:r>
          </w:p>
        </w:tc>
      </w:tr>
    </w:tbl>
    <w:p w:rsidR="006379B4" w:rsidRPr="00CF6D1F" w:rsidRDefault="006379B4">
      <w:pPr>
        <w:jc w:val="left"/>
        <w:rPr>
          <w:rFonts w:eastAsia="Times New Roman"/>
          <w:b/>
          <w:lang w:eastAsia="en-US"/>
        </w:rPr>
      </w:pPr>
    </w:p>
    <w:p w:rsidR="006379B4" w:rsidRPr="00CF6D1F" w:rsidRDefault="006379B4" w:rsidP="00561D38">
      <w:pPr>
        <w:pStyle w:val="Heading2"/>
      </w:pPr>
      <w:bookmarkStart w:id="14" w:name="_Toc335902660"/>
      <w:bookmarkStart w:id="15" w:name="_Toc362969222"/>
      <w:r w:rsidRPr="00CF6D1F">
        <w:t xml:space="preserve">Bone </w:t>
      </w:r>
      <w:r>
        <w:t>l</w:t>
      </w:r>
      <w:r w:rsidRPr="00CF6D1F">
        <w:t xml:space="preserve">oss in HIV infected </w:t>
      </w:r>
      <w:r>
        <w:t>p</w:t>
      </w:r>
      <w:r w:rsidRPr="00CF6D1F">
        <w:t>atients</w:t>
      </w:r>
      <w:bookmarkEnd w:id="14"/>
      <w:bookmarkEnd w:id="15"/>
    </w:p>
    <w:p w:rsidR="006379B4" w:rsidRPr="00CF6D1F" w:rsidRDefault="006379B4" w:rsidP="00561D38">
      <w:pPr>
        <w:rPr>
          <w:lang w:eastAsia="en-US"/>
        </w:rPr>
      </w:pPr>
      <w:r w:rsidRPr="00CF6D1F">
        <w:rPr>
          <w:lang w:eastAsia="en-US"/>
        </w:rPr>
        <w:t xml:space="preserve">Osteoporosis </w:t>
      </w:r>
      <w:r>
        <w:rPr>
          <w:lang w:eastAsia="en-US"/>
        </w:rPr>
        <w:t>may be more</w:t>
      </w:r>
      <w:r w:rsidRPr="00CF6D1F">
        <w:rPr>
          <w:lang w:eastAsia="en-US"/>
        </w:rPr>
        <w:t xml:space="preserve"> common in people infected with human immunodeficiency virus (HIV) and is likely to become an important cause of morbidity and mortality as the </w:t>
      </w:r>
      <w:r w:rsidR="00D36E61" w:rsidRPr="00CF6D1F">
        <w:rPr>
          <w:lang w:eastAsia="en-US"/>
        </w:rPr>
        <w:t>HIV</w:t>
      </w:r>
      <w:r w:rsidR="00D36E61">
        <w:rPr>
          <w:lang w:eastAsia="en-US"/>
        </w:rPr>
        <w:t>-</w:t>
      </w:r>
      <w:r w:rsidRPr="00CF6D1F">
        <w:rPr>
          <w:lang w:eastAsia="en-US"/>
        </w:rPr>
        <w:t>infected population ages</w:t>
      </w:r>
      <w:r>
        <w:rPr>
          <w:lang w:eastAsia="en-US"/>
        </w:rPr>
        <w:t xml:space="preserve"> and as patients are living longer due to the improvements in therapeutic management</w:t>
      </w:r>
      <w:r w:rsidRPr="00CF6D1F">
        <w:rPr>
          <w:lang w:eastAsia="en-US"/>
        </w:rPr>
        <w:t xml:space="preserve">. The aetiology of osteoporosis in HIV-infected patients is likely to be multifactorial, encompassing traditional risk </w:t>
      </w:r>
      <w:r w:rsidRPr="00CF6D1F">
        <w:rPr>
          <w:lang w:eastAsia="en-US"/>
        </w:rPr>
        <w:lastRenderedPageBreak/>
        <w:t>factors such as low body weight (</w:t>
      </w:r>
      <w:proofErr w:type="spellStart"/>
      <w:r w:rsidRPr="00CF6D1F">
        <w:rPr>
          <w:lang w:eastAsia="en-US"/>
        </w:rPr>
        <w:t>Bolland</w:t>
      </w:r>
      <w:proofErr w:type="spellEnd"/>
      <w:r w:rsidRPr="00CF6D1F">
        <w:rPr>
          <w:lang w:eastAsia="en-US"/>
        </w:rPr>
        <w:t xml:space="preserve"> 2007), </w:t>
      </w:r>
      <w:proofErr w:type="spellStart"/>
      <w:r w:rsidRPr="00CF6D1F">
        <w:rPr>
          <w:lang w:eastAsia="en-US"/>
        </w:rPr>
        <w:t>hypogonadism</w:t>
      </w:r>
      <w:proofErr w:type="spellEnd"/>
      <w:r w:rsidRPr="00CF6D1F">
        <w:rPr>
          <w:lang w:eastAsia="en-US"/>
        </w:rPr>
        <w:t>, smoking, etc. as well as the direct effects of chronic HIV infection and therapy with certain anti-</w:t>
      </w:r>
      <w:proofErr w:type="spellStart"/>
      <w:r w:rsidRPr="00CF6D1F">
        <w:rPr>
          <w:lang w:eastAsia="en-US"/>
        </w:rPr>
        <w:t>retrovirals</w:t>
      </w:r>
      <w:proofErr w:type="spellEnd"/>
      <w:r w:rsidRPr="00CF6D1F">
        <w:rPr>
          <w:lang w:eastAsia="en-US"/>
        </w:rPr>
        <w:t xml:space="preserve">. </w:t>
      </w:r>
    </w:p>
    <w:p w:rsidR="006379B4" w:rsidRPr="00CF6D1F" w:rsidRDefault="006379B4" w:rsidP="00561D38">
      <w:pPr>
        <w:rPr>
          <w:lang w:eastAsia="en-US"/>
        </w:rPr>
      </w:pPr>
      <w:r w:rsidRPr="00CF6D1F">
        <w:rPr>
          <w:lang w:eastAsia="en-US"/>
        </w:rPr>
        <w:t xml:space="preserve">HIV infection and antiretroviral therapy are now recognised as independent risk factors for </w:t>
      </w:r>
      <w:r>
        <w:rPr>
          <w:lang w:eastAsia="en-US"/>
        </w:rPr>
        <w:t xml:space="preserve">fragility fractures due to </w:t>
      </w:r>
      <w:r w:rsidRPr="00CF6D1F">
        <w:rPr>
          <w:lang w:eastAsia="en-US"/>
        </w:rPr>
        <w:t>osteoporosis (</w:t>
      </w:r>
      <w:proofErr w:type="spellStart"/>
      <w:r w:rsidRPr="00CF6D1F">
        <w:rPr>
          <w:lang w:eastAsia="en-US"/>
        </w:rPr>
        <w:t>Ofotokun</w:t>
      </w:r>
      <w:proofErr w:type="spellEnd"/>
      <w:r w:rsidRPr="00CF6D1F">
        <w:rPr>
          <w:lang w:eastAsia="en-US"/>
        </w:rPr>
        <w:t xml:space="preserve"> 2011)</w:t>
      </w:r>
      <w:r>
        <w:rPr>
          <w:lang w:eastAsia="en-US"/>
        </w:rPr>
        <w:t>.</w:t>
      </w:r>
      <w:r w:rsidRPr="00CF6D1F">
        <w:rPr>
          <w:lang w:eastAsia="en-US"/>
        </w:rPr>
        <w:t xml:space="preserve"> Current data suggest that two of every three HIV</w:t>
      </w:r>
      <w:r w:rsidR="00D36E61">
        <w:rPr>
          <w:lang w:eastAsia="en-US"/>
        </w:rPr>
        <w:t>-</w:t>
      </w:r>
      <w:r w:rsidRPr="00CF6D1F">
        <w:rPr>
          <w:lang w:eastAsia="en-US"/>
        </w:rPr>
        <w:t>seropositive individuals never exposed to anti-retroviral therapy exhibit osteopenia and have a 3.7 times greater risk of developing osteoporosis</w:t>
      </w:r>
      <w:r>
        <w:rPr>
          <w:lang w:eastAsia="en-US"/>
        </w:rPr>
        <w:t xml:space="preserve"> (Brown</w:t>
      </w:r>
      <w:r w:rsidRPr="00CF6D1F">
        <w:rPr>
          <w:lang w:eastAsia="en-US"/>
        </w:rPr>
        <w:t xml:space="preserve"> 2006)</w:t>
      </w:r>
      <w:r>
        <w:rPr>
          <w:lang w:eastAsia="en-US"/>
        </w:rPr>
        <w:t>.</w:t>
      </w:r>
    </w:p>
    <w:p w:rsidR="006379B4" w:rsidRPr="00CF6D1F" w:rsidRDefault="006379B4" w:rsidP="00561D38">
      <w:pPr>
        <w:rPr>
          <w:lang w:eastAsia="en-US"/>
        </w:rPr>
      </w:pPr>
      <w:r w:rsidRPr="00CF6D1F">
        <w:rPr>
          <w:lang w:eastAsia="en-US"/>
        </w:rPr>
        <w:t xml:space="preserve">The presence of HIV infection and the associated chronic immune activation are believed to play an important role in bone remodelling (Walker Harris 2012). The normal process of bone </w:t>
      </w:r>
      <w:proofErr w:type="spellStart"/>
      <w:r w:rsidRPr="00CF6D1F">
        <w:rPr>
          <w:lang w:eastAsia="en-US"/>
        </w:rPr>
        <w:t>resorption</w:t>
      </w:r>
      <w:proofErr w:type="spellEnd"/>
      <w:r w:rsidRPr="00CF6D1F">
        <w:rPr>
          <w:lang w:eastAsia="en-US"/>
        </w:rPr>
        <w:t xml:space="preserve"> and bone formation is usually tightly linked. In untreated HIV infection the direct effects of the virus together with the inflammatory effects of the disease cause the bone formation and bone </w:t>
      </w:r>
      <w:proofErr w:type="spellStart"/>
      <w:r w:rsidRPr="00CF6D1F">
        <w:rPr>
          <w:lang w:eastAsia="en-US"/>
        </w:rPr>
        <w:t>resorption</w:t>
      </w:r>
      <w:proofErr w:type="spellEnd"/>
      <w:r w:rsidRPr="00CF6D1F">
        <w:rPr>
          <w:lang w:eastAsia="en-US"/>
        </w:rPr>
        <w:t xml:space="preserve"> cycle to become uncoupled. Certain HIV viral proteins (</w:t>
      </w:r>
      <w:proofErr w:type="spellStart"/>
      <w:r w:rsidRPr="00CF6D1F">
        <w:rPr>
          <w:lang w:eastAsia="en-US"/>
        </w:rPr>
        <w:t>Vpr</w:t>
      </w:r>
      <w:proofErr w:type="spellEnd"/>
      <w:r w:rsidRPr="00CF6D1F">
        <w:rPr>
          <w:lang w:eastAsia="en-US"/>
        </w:rPr>
        <w:t xml:space="preserve"> and </w:t>
      </w:r>
      <w:proofErr w:type="spellStart"/>
      <w:r w:rsidRPr="00CF6D1F">
        <w:rPr>
          <w:lang w:eastAsia="en-US"/>
        </w:rPr>
        <w:t>gp</w:t>
      </w:r>
      <w:proofErr w:type="spellEnd"/>
      <w:r w:rsidRPr="00CF6D1F">
        <w:rPr>
          <w:lang w:eastAsia="en-US"/>
        </w:rPr>
        <w:t xml:space="preserve"> 120) stimulate osteoclast </w:t>
      </w:r>
      <w:proofErr w:type="spellStart"/>
      <w:r w:rsidRPr="00CF6D1F">
        <w:rPr>
          <w:lang w:eastAsia="en-US"/>
        </w:rPr>
        <w:t>activitiy</w:t>
      </w:r>
      <w:proofErr w:type="spellEnd"/>
      <w:r w:rsidRPr="00CF6D1F">
        <w:rPr>
          <w:lang w:eastAsia="en-US"/>
        </w:rPr>
        <w:t xml:space="preserve"> (</w:t>
      </w:r>
      <w:proofErr w:type="spellStart"/>
      <w:r w:rsidRPr="00CF6D1F">
        <w:rPr>
          <w:lang w:eastAsia="en-US"/>
        </w:rPr>
        <w:t>Fakruddin</w:t>
      </w:r>
      <w:proofErr w:type="spellEnd"/>
      <w:r w:rsidRPr="00CF6D1F">
        <w:rPr>
          <w:lang w:eastAsia="en-US"/>
        </w:rPr>
        <w:t xml:space="preserve"> 2003, </w:t>
      </w:r>
      <w:proofErr w:type="spellStart"/>
      <w:r w:rsidRPr="00CF6D1F">
        <w:rPr>
          <w:lang w:eastAsia="en-US"/>
        </w:rPr>
        <w:t>Fakruddin</w:t>
      </w:r>
      <w:proofErr w:type="spellEnd"/>
      <w:r w:rsidRPr="00CF6D1F">
        <w:rPr>
          <w:lang w:eastAsia="en-US"/>
        </w:rPr>
        <w:t xml:space="preserve"> 2005) and others (p55-gag) supress osteoblast activity and increase osteoblast apoptosis (Cotter 2007). High concentrations of HIV RNA have also been associated with increased levels of nuclear factor </w:t>
      </w:r>
      <w:r w:rsidRPr="0036510C">
        <w:rPr>
          <w:lang w:eastAsia="en-US"/>
        </w:rPr>
        <w:sym w:font="Symbol" w:char="F06B"/>
      </w:r>
      <w:r w:rsidRPr="000D7AE4">
        <w:rPr>
          <w:rFonts w:ascii="Symbol" w:hAnsi="Symbol"/>
          <w:lang w:eastAsia="en-US"/>
        </w:rPr>
        <w:t></w:t>
      </w:r>
      <w:r w:rsidRPr="00CF6D1F">
        <w:rPr>
          <w:lang w:eastAsia="en-US"/>
        </w:rPr>
        <w:t xml:space="preserve"> ligand (RANKL), an osteoblast-secreted cytokine that promotes osteoclast formation</w:t>
      </w:r>
      <w:r>
        <w:rPr>
          <w:lang w:eastAsia="en-US"/>
        </w:rPr>
        <w:t xml:space="preserve"> and function</w:t>
      </w:r>
      <w:r w:rsidRPr="00CF6D1F">
        <w:rPr>
          <w:lang w:eastAsia="en-US"/>
        </w:rPr>
        <w:t xml:space="preserve"> (</w:t>
      </w:r>
      <w:proofErr w:type="spellStart"/>
      <w:r w:rsidRPr="00CF6D1F">
        <w:rPr>
          <w:lang w:eastAsia="en-US"/>
        </w:rPr>
        <w:t>Gibellini</w:t>
      </w:r>
      <w:proofErr w:type="spellEnd"/>
      <w:r w:rsidRPr="00CF6D1F">
        <w:rPr>
          <w:lang w:eastAsia="en-US"/>
        </w:rPr>
        <w:t xml:space="preserve"> et al 2007).</w:t>
      </w:r>
    </w:p>
    <w:p w:rsidR="006379B4" w:rsidRPr="00CF6D1F" w:rsidRDefault="006379B4" w:rsidP="00561D38">
      <w:pPr>
        <w:pStyle w:val="Heading2"/>
      </w:pPr>
      <w:bookmarkStart w:id="16" w:name="_Toc335902661"/>
      <w:bookmarkStart w:id="17" w:name="_Toc362969223"/>
      <w:r w:rsidRPr="00CF6D1F">
        <w:t xml:space="preserve">Bone </w:t>
      </w:r>
      <w:r>
        <w:t>l</w:t>
      </w:r>
      <w:r w:rsidRPr="00CF6D1F">
        <w:t xml:space="preserve">oss </w:t>
      </w:r>
      <w:r>
        <w:t>a</w:t>
      </w:r>
      <w:r w:rsidRPr="00CF6D1F">
        <w:t xml:space="preserve">ssociated with </w:t>
      </w:r>
      <w:r>
        <w:t>a</w:t>
      </w:r>
      <w:r w:rsidRPr="00CF6D1F">
        <w:t xml:space="preserve">ntiretroviral </w:t>
      </w:r>
      <w:r>
        <w:t>t</w:t>
      </w:r>
      <w:r w:rsidRPr="00CF6D1F">
        <w:t>herapy</w:t>
      </w:r>
      <w:bookmarkEnd w:id="16"/>
      <w:bookmarkEnd w:id="17"/>
    </w:p>
    <w:p w:rsidR="006379B4" w:rsidRDefault="006379B4">
      <w:pPr>
        <w:jc w:val="left"/>
        <w:rPr>
          <w:rFonts w:eastAsia="Times New Roman"/>
          <w:lang w:eastAsia="en-US"/>
        </w:rPr>
      </w:pPr>
      <w:r w:rsidRPr="00CF6D1F">
        <w:rPr>
          <w:rFonts w:eastAsia="Times New Roman"/>
          <w:lang w:eastAsia="en-US"/>
        </w:rPr>
        <w:t>Specific components of antiretroviral therapy have also been implicated in the pathogenesis of reduced BMD in HIV-infected persons. This finding is not consistent across all types of anti-retroviral therapy, but greater reductions in BMD have been observed with protease inhibitors, nucleoside reverse transcriptase inhibitors or both (Cotter 2011)</w:t>
      </w:r>
      <w:r w:rsidR="00D36E61">
        <w:rPr>
          <w:rFonts w:eastAsia="Times New Roman"/>
          <w:lang w:eastAsia="en-US"/>
        </w:rPr>
        <w:t>.</w:t>
      </w:r>
      <w:r w:rsidRPr="00CF6D1F">
        <w:rPr>
          <w:rFonts w:eastAsia="Times New Roman"/>
          <w:lang w:eastAsia="en-US"/>
        </w:rPr>
        <w:t xml:space="preserve"> Randomised clinical trials comparing </w:t>
      </w:r>
      <w:proofErr w:type="spellStart"/>
      <w:r w:rsidRPr="00CF6D1F">
        <w:rPr>
          <w:rFonts w:eastAsia="Times New Roman"/>
          <w:lang w:eastAsia="en-US"/>
        </w:rPr>
        <w:t>tenofovir</w:t>
      </w:r>
      <w:proofErr w:type="spellEnd"/>
      <w:r w:rsidRPr="00CF6D1F">
        <w:rPr>
          <w:rFonts w:eastAsia="Times New Roman"/>
          <w:lang w:eastAsia="en-US"/>
        </w:rPr>
        <w:t xml:space="preserve"> </w:t>
      </w:r>
      <w:r w:rsidR="00D36E61">
        <w:rPr>
          <w:rFonts w:eastAsia="Times New Roman"/>
          <w:lang w:eastAsia="en-US"/>
        </w:rPr>
        <w:t>with</w:t>
      </w:r>
      <w:r w:rsidR="00D36E61" w:rsidRPr="00CF6D1F">
        <w:rPr>
          <w:rFonts w:eastAsia="Times New Roman"/>
          <w:lang w:eastAsia="en-US"/>
        </w:rPr>
        <w:t xml:space="preserve"> </w:t>
      </w:r>
      <w:r w:rsidRPr="00CF6D1F">
        <w:rPr>
          <w:rFonts w:eastAsia="Times New Roman"/>
          <w:lang w:eastAsia="en-US"/>
        </w:rPr>
        <w:t>non-</w:t>
      </w:r>
      <w:proofErr w:type="spellStart"/>
      <w:r w:rsidRPr="00CF6D1F">
        <w:rPr>
          <w:rFonts w:eastAsia="Times New Roman"/>
          <w:lang w:eastAsia="en-US"/>
        </w:rPr>
        <w:t>tenofovir</w:t>
      </w:r>
      <w:proofErr w:type="spellEnd"/>
      <w:r w:rsidRPr="00CF6D1F">
        <w:rPr>
          <w:rFonts w:eastAsia="Times New Roman"/>
          <w:lang w:eastAsia="en-US"/>
        </w:rPr>
        <w:t xml:space="preserve"> regimens have consistently found that </w:t>
      </w:r>
      <w:proofErr w:type="spellStart"/>
      <w:r w:rsidRPr="00CF6D1F">
        <w:rPr>
          <w:rFonts w:eastAsia="Times New Roman"/>
          <w:lang w:eastAsia="en-US"/>
        </w:rPr>
        <w:t>tenofov</w:t>
      </w:r>
      <w:r>
        <w:rPr>
          <w:rFonts w:eastAsia="Times New Roman"/>
          <w:lang w:eastAsia="en-US"/>
        </w:rPr>
        <w:t>i</w:t>
      </w:r>
      <w:r w:rsidRPr="00CF6D1F">
        <w:rPr>
          <w:rFonts w:eastAsia="Times New Roman"/>
          <w:lang w:eastAsia="en-US"/>
        </w:rPr>
        <w:t>r</w:t>
      </w:r>
      <w:proofErr w:type="spellEnd"/>
      <w:r w:rsidRPr="00CF6D1F">
        <w:rPr>
          <w:rFonts w:eastAsia="Times New Roman"/>
          <w:lang w:eastAsia="en-US"/>
        </w:rPr>
        <w:t xml:space="preserve"> is associated with significant decreases in BMD at the hip and the spine (Gallant 2004; </w:t>
      </w:r>
      <w:proofErr w:type="spellStart"/>
      <w:r w:rsidRPr="00CF6D1F">
        <w:rPr>
          <w:rFonts w:eastAsia="Times New Roman"/>
          <w:lang w:eastAsia="en-US"/>
        </w:rPr>
        <w:t>McComsey</w:t>
      </w:r>
      <w:proofErr w:type="spellEnd"/>
      <w:r w:rsidRPr="00CF6D1F">
        <w:rPr>
          <w:rFonts w:eastAsia="Times New Roman"/>
          <w:lang w:eastAsia="en-US"/>
        </w:rPr>
        <w:t xml:space="preserve"> 2011; </w:t>
      </w:r>
      <w:proofErr w:type="spellStart"/>
      <w:r w:rsidRPr="00CF6D1F">
        <w:rPr>
          <w:rFonts w:eastAsia="Times New Roman"/>
          <w:lang w:eastAsia="en-US"/>
        </w:rPr>
        <w:t>Stellbrink</w:t>
      </w:r>
      <w:proofErr w:type="spellEnd"/>
      <w:r w:rsidRPr="00CF6D1F">
        <w:rPr>
          <w:rFonts w:eastAsia="Times New Roman"/>
          <w:lang w:eastAsia="en-US"/>
        </w:rPr>
        <w:t xml:space="preserve"> 2010, </w:t>
      </w:r>
      <w:proofErr w:type="spellStart"/>
      <w:r w:rsidRPr="00CF6D1F">
        <w:rPr>
          <w:rFonts w:eastAsia="Times New Roman"/>
          <w:lang w:eastAsia="en-US"/>
        </w:rPr>
        <w:t>Haskelberg</w:t>
      </w:r>
      <w:proofErr w:type="spellEnd"/>
      <w:r w:rsidRPr="00CF6D1F">
        <w:rPr>
          <w:rFonts w:eastAsia="Times New Roman"/>
          <w:lang w:eastAsia="en-US"/>
        </w:rPr>
        <w:t xml:space="preserve"> 2012) and that the risk of fractures is also higher (</w:t>
      </w:r>
      <w:proofErr w:type="spellStart"/>
      <w:r w:rsidRPr="00CF6D1F">
        <w:rPr>
          <w:rFonts w:eastAsia="Times New Roman"/>
          <w:lang w:eastAsia="en-US"/>
        </w:rPr>
        <w:t>Bedimo</w:t>
      </w:r>
      <w:proofErr w:type="spellEnd"/>
      <w:r w:rsidRPr="00CF6D1F">
        <w:rPr>
          <w:rFonts w:eastAsia="Times New Roman"/>
          <w:lang w:eastAsia="en-US"/>
        </w:rPr>
        <w:t xml:space="preserve"> 2011)</w:t>
      </w:r>
      <w:r>
        <w:rPr>
          <w:rFonts w:eastAsia="Times New Roman"/>
          <w:lang w:eastAsia="en-US"/>
        </w:rPr>
        <w:t>.</w:t>
      </w:r>
      <w:r w:rsidRPr="00CF6D1F">
        <w:rPr>
          <w:rFonts w:eastAsia="Times New Roman"/>
          <w:lang w:eastAsia="en-US"/>
        </w:rPr>
        <w:t xml:space="preserve"> The mechanisms for this are not clear</w:t>
      </w:r>
      <w:r>
        <w:rPr>
          <w:rFonts w:eastAsia="Times New Roman"/>
          <w:lang w:eastAsia="en-US"/>
        </w:rPr>
        <w:t>.</w:t>
      </w:r>
      <w:r w:rsidRPr="00CF6D1F">
        <w:rPr>
          <w:rFonts w:eastAsia="Times New Roman"/>
          <w:lang w:eastAsia="en-US"/>
        </w:rPr>
        <w:t xml:space="preserve"> </w:t>
      </w:r>
      <w:r>
        <w:rPr>
          <w:rFonts w:eastAsia="Times New Roman"/>
          <w:lang w:eastAsia="en-US"/>
        </w:rPr>
        <w:t xml:space="preserve">Another effect of </w:t>
      </w:r>
      <w:proofErr w:type="spellStart"/>
      <w:r>
        <w:rPr>
          <w:rFonts w:eastAsia="Times New Roman"/>
          <w:lang w:eastAsia="en-US"/>
        </w:rPr>
        <w:t>tenofovir</w:t>
      </w:r>
      <w:proofErr w:type="spellEnd"/>
      <w:r>
        <w:rPr>
          <w:rFonts w:eastAsia="Times New Roman"/>
          <w:lang w:eastAsia="en-US"/>
        </w:rPr>
        <w:t xml:space="preserve"> is</w:t>
      </w:r>
      <w:r w:rsidRPr="00CF6D1F">
        <w:rPr>
          <w:rFonts w:eastAsia="Times New Roman"/>
          <w:lang w:eastAsia="en-US"/>
        </w:rPr>
        <w:t xml:space="preserve"> the impairment of bone mineralisation through renal phosphate handling which leads to an increase in bone turnover and </w:t>
      </w:r>
      <w:proofErr w:type="spellStart"/>
      <w:r w:rsidRPr="00CF6D1F">
        <w:rPr>
          <w:rFonts w:eastAsia="Times New Roman"/>
          <w:lang w:eastAsia="en-US"/>
        </w:rPr>
        <w:t>osteomalacia</w:t>
      </w:r>
      <w:proofErr w:type="spellEnd"/>
      <w:r w:rsidRPr="00CF6D1F">
        <w:rPr>
          <w:rFonts w:eastAsia="Times New Roman"/>
          <w:lang w:eastAsia="en-US"/>
        </w:rPr>
        <w:t xml:space="preserve">. This effect is worse when there is concomitant </w:t>
      </w:r>
      <w:r>
        <w:rPr>
          <w:rFonts w:eastAsia="Times New Roman"/>
          <w:lang w:eastAsia="en-US"/>
        </w:rPr>
        <w:t>v</w:t>
      </w:r>
      <w:r w:rsidRPr="00CF6D1F">
        <w:rPr>
          <w:rFonts w:eastAsia="Times New Roman"/>
          <w:lang w:eastAsia="en-US"/>
        </w:rPr>
        <w:t xml:space="preserve">itamin D deficiency. </w:t>
      </w:r>
      <w:r>
        <w:rPr>
          <w:rFonts w:eastAsia="Times New Roman"/>
          <w:lang w:eastAsia="en-US"/>
        </w:rPr>
        <w:t>S</w:t>
      </w:r>
      <w:r w:rsidRPr="00BA6085">
        <w:rPr>
          <w:rFonts w:eastAsia="Times New Roman"/>
          <w:lang w:eastAsia="en-US"/>
        </w:rPr>
        <w:t>tudies have shown 2</w:t>
      </w:r>
      <w:r w:rsidRPr="00BA6085">
        <w:rPr>
          <w:rFonts w:ascii="Cambria Math" w:hAnsi="Cambria Math" w:cs="Cambria Math"/>
          <w:lang w:eastAsia="en-US"/>
        </w:rPr>
        <w:t>‐</w:t>
      </w:r>
      <w:r w:rsidRPr="00BA6085">
        <w:rPr>
          <w:rFonts w:eastAsia="Times New Roman"/>
          <w:lang w:eastAsia="en-US"/>
        </w:rPr>
        <w:t>6% loss of BMD after 48</w:t>
      </w:r>
      <w:r w:rsidRPr="00BA6085">
        <w:rPr>
          <w:rFonts w:ascii="Cambria Math" w:hAnsi="Cambria Math" w:cs="Cambria Math"/>
          <w:lang w:eastAsia="en-US"/>
        </w:rPr>
        <w:t>‐</w:t>
      </w:r>
      <w:r w:rsidRPr="00BA6085">
        <w:rPr>
          <w:rFonts w:eastAsia="Times New Roman"/>
          <w:lang w:eastAsia="en-US"/>
        </w:rPr>
        <w:t>96 weeks of</w:t>
      </w:r>
      <w:r>
        <w:rPr>
          <w:rFonts w:eastAsia="Times New Roman"/>
          <w:lang w:eastAsia="en-US"/>
        </w:rPr>
        <w:t xml:space="preserve"> anti-retroviral</w:t>
      </w:r>
      <w:r w:rsidRPr="00BA6085">
        <w:rPr>
          <w:rFonts w:eastAsia="Times New Roman"/>
          <w:lang w:eastAsia="en-US"/>
        </w:rPr>
        <w:t xml:space="preserve"> therapy, regardless of the type of </w:t>
      </w:r>
      <w:r>
        <w:rPr>
          <w:rFonts w:eastAsia="Times New Roman"/>
          <w:lang w:eastAsia="en-US"/>
        </w:rPr>
        <w:t>therapy</w:t>
      </w:r>
      <w:r w:rsidRPr="00BA6085">
        <w:rPr>
          <w:rFonts w:eastAsia="Times New Roman"/>
          <w:lang w:eastAsia="en-US"/>
        </w:rPr>
        <w:t xml:space="preserve"> initiated. This is comparable </w:t>
      </w:r>
      <w:r>
        <w:rPr>
          <w:rFonts w:eastAsia="Times New Roman"/>
          <w:lang w:eastAsia="en-US"/>
        </w:rPr>
        <w:t xml:space="preserve">to </w:t>
      </w:r>
      <w:r w:rsidRPr="00BA6085">
        <w:rPr>
          <w:rFonts w:eastAsia="Times New Roman"/>
          <w:lang w:eastAsia="en-US"/>
        </w:rPr>
        <w:t>the bone loss expected in women aged 50</w:t>
      </w:r>
      <w:r w:rsidRPr="00BA6085">
        <w:rPr>
          <w:rFonts w:ascii="Cambria Math" w:hAnsi="Cambria Math" w:cs="Cambria Math"/>
          <w:lang w:eastAsia="en-US"/>
        </w:rPr>
        <w:t>‐</w:t>
      </w:r>
      <w:r w:rsidRPr="00BA6085">
        <w:rPr>
          <w:rFonts w:eastAsia="Times New Roman"/>
          <w:lang w:eastAsia="en-US"/>
        </w:rPr>
        <w:t>59 over 2 years (Walker et al 2012)</w:t>
      </w:r>
      <w:r>
        <w:rPr>
          <w:rFonts w:eastAsia="Times New Roman"/>
          <w:lang w:eastAsia="en-US"/>
        </w:rPr>
        <w:t>.</w:t>
      </w:r>
    </w:p>
    <w:p w:rsidR="006379B4" w:rsidRPr="00CF6D1F" w:rsidRDefault="006379B4" w:rsidP="00E613E2"/>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6379B4" w:rsidTr="00297B59">
        <w:tc>
          <w:tcPr>
            <w:tcW w:w="9242" w:type="dxa"/>
          </w:tcPr>
          <w:p w:rsidR="006379B4" w:rsidRPr="00297B59" w:rsidRDefault="006379B4" w:rsidP="00E613E2">
            <w:pPr>
              <w:rPr>
                <w:b/>
              </w:rPr>
            </w:pPr>
            <w:r w:rsidRPr="00297B59">
              <w:rPr>
                <w:b/>
              </w:rPr>
              <w:t>Note</w:t>
            </w:r>
          </w:p>
          <w:p w:rsidR="006379B4" w:rsidRDefault="006379B4" w:rsidP="00297B59">
            <w:pPr>
              <w:pStyle w:val="ListParagraph"/>
              <w:numPr>
                <w:ilvl w:val="0"/>
                <w:numId w:val="36"/>
              </w:numPr>
              <w:tabs>
                <w:tab w:val="left" w:pos="2835"/>
              </w:tabs>
              <w:spacing w:before="40"/>
            </w:pPr>
            <w:r>
              <w:t>Recent systematic review evidence reporting on a number of longitudinal studies of bone mineral density in HIV suggests that bone mineral density may be stable in this population (</w:t>
            </w:r>
            <w:proofErr w:type="spellStart"/>
            <w:r>
              <w:t>Bolland</w:t>
            </w:r>
            <w:proofErr w:type="spellEnd"/>
            <w:r>
              <w:t xml:space="preserve"> et al 2011).</w:t>
            </w:r>
          </w:p>
          <w:p w:rsidR="006379B4" w:rsidRDefault="006379B4" w:rsidP="00297B59">
            <w:pPr>
              <w:pStyle w:val="ListParagraph"/>
              <w:numPr>
                <w:ilvl w:val="0"/>
                <w:numId w:val="36"/>
              </w:numPr>
              <w:tabs>
                <w:tab w:val="left" w:pos="2835"/>
              </w:tabs>
              <w:spacing w:before="40"/>
            </w:pPr>
            <w:r>
              <w:t>The assessment should provide evidence to establish that HIV infection, with or without the use of anti-retroviral therapy, is associated with an increased risk of minimal trauma fracture.</w:t>
            </w:r>
          </w:p>
        </w:tc>
      </w:tr>
    </w:tbl>
    <w:p w:rsidR="006379B4" w:rsidRPr="00CF6D1F" w:rsidRDefault="006379B4">
      <w:pPr>
        <w:jc w:val="left"/>
        <w:rPr>
          <w:rFonts w:eastAsia="Times New Roman"/>
          <w:lang w:eastAsia="en-US"/>
        </w:rPr>
      </w:pPr>
    </w:p>
    <w:p w:rsidR="006379B4" w:rsidRPr="00CF6D1F" w:rsidRDefault="006379B4" w:rsidP="00561D38">
      <w:pPr>
        <w:pStyle w:val="Heading2"/>
      </w:pPr>
      <w:bookmarkStart w:id="18" w:name="_Toc335902662"/>
      <w:bookmarkStart w:id="19" w:name="_Toc362969224"/>
      <w:r w:rsidRPr="00CF6D1F">
        <w:lastRenderedPageBreak/>
        <w:t>Methods for detecting BMD</w:t>
      </w:r>
      <w:bookmarkEnd w:id="18"/>
      <w:bookmarkEnd w:id="19"/>
    </w:p>
    <w:p w:rsidR="006379B4" w:rsidRPr="00B40726" w:rsidRDefault="006379B4" w:rsidP="00700A0B">
      <w:r w:rsidRPr="00B40726">
        <w:t xml:space="preserve">Dual </w:t>
      </w:r>
      <w:r>
        <w:t>e</w:t>
      </w:r>
      <w:r w:rsidRPr="00B40726">
        <w:t xml:space="preserve">nergy X-ray absorptiometry (DXA) </w:t>
      </w:r>
      <w:r>
        <w:t xml:space="preserve">and </w:t>
      </w:r>
      <w:r w:rsidRPr="00B40726">
        <w:t>quantitative computed tomography (QCT) can be used in measuring BMD</w:t>
      </w:r>
      <w:r>
        <w:t>.</w:t>
      </w:r>
      <w:r w:rsidRPr="00B40726">
        <w:t xml:space="preserve"> DXA </w:t>
      </w:r>
      <w:r>
        <w:t>is more</w:t>
      </w:r>
      <w:r w:rsidRPr="00B40726">
        <w:t xml:space="preserve"> widely used</w:t>
      </w:r>
      <w:r>
        <w:t xml:space="preserve">, </w:t>
      </w:r>
      <w:r w:rsidRPr="002B6023">
        <w:t>has better reproducibility</w:t>
      </w:r>
      <w:r>
        <w:t>,</w:t>
      </w:r>
      <w:r w:rsidRPr="00B40726">
        <w:t xml:space="preserve"> and</w:t>
      </w:r>
      <w:r>
        <w:t xml:space="preserve"> is considered more appropriate in general use than QCT which delivers higher doses of radiation. QCT is often preferred when measuring BMD in the presence of fractures</w:t>
      </w:r>
      <w:r w:rsidR="00D36E61">
        <w:t>, but has been excluded from this DAP (see Summary box below)</w:t>
      </w:r>
      <w:r>
        <w:t>.</w:t>
      </w:r>
      <w:r w:rsidRPr="00B40726">
        <w:t xml:space="preserve"> </w:t>
      </w:r>
      <w:r>
        <w:t>Another tool for measuring BMD is quantitative ultrasound (QUS).</w:t>
      </w:r>
    </w:p>
    <w:p w:rsidR="006379B4" w:rsidRPr="00B40726" w:rsidRDefault="006379B4" w:rsidP="00700A0B">
      <w:r w:rsidRPr="00B40726">
        <w:t>The</w:t>
      </w:r>
      <w:r>
        <w:t xml:space="preserve"> DXA</w:t>
      </w:r>
      <w:r w:rsidRPr="00B40726">
        <w:t xml:space="preserve"> scan is used to generate T-scores which is a comparison of a patient’s bone density to that of peak bone density for the patient’s gender and is the number of standard deviations</w:t>
      </w:r>
      <w:r>
        <w:t xml:space="preserve"> above or</w:t>
      </w:r>
      <w:r w:rsidRPr="00B40726">
        <w:t xml:space="preserve"> below the</w:t>
      </w:r>
      <w:r>
        <w:t xml:space="preserve"> </w:t>
      </w:r>
      <w:r w:rsidR="00AB3A0B" w:rsidRPr="00AB3A0B">
        <w:t xml:space="preserve">normal young adult mean </w:t>
      </w:r>
      <w:r w:rsidR="00727EDF">
        <w:t xml:space="preserve">BMD </w:t>
      </w:r>
      <w:r w:rsidRPr="00B40726">
        <w:t xml:space="preserve">(WHO 2007). </w:t>
      </w:r>
    </w:p>
    <w:p w:rsidR="006379B4" w:rsidRDefault="006379B4" w:rsidP="00700A0B">
      <w:r w:rsidRPr="00B40726">
        <w:t xml:space="preserve">DXA is currently </w:t>
      </w:r>
      <w:r>
        <w:t>reimbursed through the</w:t>
      </w:r>
      <w:r w:rsidRPr="00B40726">
        <w:t xml:space="preserve"> MBS to men and women aged 70+, for people who have previously experienced a minimal trauma fracture and for those with one of several risk factors including</w:t>
      </w:r>
      <w:r>
        <w:t>:</w:t>
      </w:r>
      <w:r w:rsidRPr="00B40726">
        <w:t xml:space="preserve"> prolonged corticosteroid use, </w:t>
      </w:r>
      <w:proofErr w:type="spellStart"/>
      <w:r w:rsidRPr="00B40726">
        <w:t>hypo</w:t>
      </w:r>
      <w:r>
        <w:t>go</w:t>
      </w:r>
      <w:r w:rsidRPr="00B40726">
        <w:t>nadism</w:t>
      </w:r>
      <w:proofErr w:type="spellEnd"/>
      <w:r w:rsidRPr="00B40726">
        <w:t xml:space="preserve">, primary hyperparathyroidism, chronic liver disease, chronic renal disease, proven </w:t>
      </w:r>
      <w:proofErr w:type="spellStart"/>
      <w:r w:rsidRPr="00B40726">
        <w:t>malabsorptive</w:t>
      </w:r>
      <w:proofErr w:type="spellEnd"/>
      <w:r w:rsidRPr="00B40726">
        <w:t xml:space="preserve"> disorders, rheumatoid arthritis, or </w:t>
      </w:r>
      <w:r>
        <w:t>c</w:t>
      </w:r>
      <w:r w:rsidRPr="00B40726">
        <w:t xml:space="preserve">onditions associated with </w:t>
      </w:r>
      <w:proofErr w:type="spellStart"/>
      <w:r w:rsidRPr="00B40726">
        <w:t>thyroxi</w:t>
      </w:r>
      <w:r>
        <w:t>ne</w:t>
      </w:r>
      <w:proofErr w:type="spellEnd"/>
      <w:r>
        <w:t xml:space="preserve"> excess (</w:t>
      </w:r>
      <w:r>
        <w:fldChar w:fldCharType="begin"/>
      </w:r>
      <w:r>
        <w:instrText xml:space="preserve"> REF _Ref357601073 \h </w:instrText>
      </w:r>
      <w:r>
        <w:fldChar w:fldCharType="separate"/>
      </w:r>
      <w:r w:rsidR="00D24164">
        <w:t xml:space="preserve">Table </w:t>
      </w:r>
      <w:r w:rsidR="00D24164">
        <w:rPr>
          <w:noProof/>
        </w:rPr>
        <w:t>3</w:t>
      </w:r>
      <w:r>
        <w:fldChar w:fldCharType="end"/>
      </w:r>
      <w:r>
        <w:t xml:space="preserve">).  </w:t>
      </w:r>
    </w:p>
    <w:p w:rsidR="006379B4" w:rsidRDefault="006379B4" w:rsidP="000D7AE4">
      <w:r w:rsidRPr="00B40726">
        <w:t>Bone mineral density in OP</w:t>
      </w:r>
      <w:r>
        <w:t xml:space="preserve"> is defined</w:t>
      </w:r>
      <w:r w:rsidRPr="00B40726">
        <w:t xml:space="preserve"> by</w:t>
      </w:r>
      <w:r>
        <w:t xml:space="preserve"> the WHO as a</w:t>
      </w:r>
      <w:r w:rsidRPr="00B40726">
        <w:t xml:space="preserve"> T-score that is less than or equal to 2.5 standard deviations below the</w:t>
      </w:r>
      <w:r>
        <w:t xml:space="preserve"> </w:t>
      </w:r>
      <w:r w:rsidRPr="002B6023">
        <w:t xml:space="preserve">young normal </w:t>
      </w:r>
      <w:r w:rsidRPr="00B40726">
        <w:t>mean (a T-score of -2.5 or less) (WHO 2007).</w:t>
      </w:r>
      <w:r>
        <w:t xml:space="preserve"> Bone mineral density</w:t>
      </w:r>
      <w:r w:rsidRPr="00B40726">
        <w:t xml:space="preserve"> reflects the amount of bone </w:t>
      </w:r>
      <w:r>
        <w:t xml:space="preserve">and, indirectly, </w:t>
      </w:r>
      <w:r w:rsidRPr="00B40726">
        <w:t>bone strength, its spatial distribution (i</w:t>
      </w:r>
      <w:r>
        <w:t>.</w:t>
      </w:r>
      <w:r w:rsidRPr="00B40726">
        <w:t xml:space="preserve">e. shape and microarchitecture) and the intrinsic properties of the materials that comprise it, such as density, matrix mineralization, collagen traits and micro-damage (Marcus et al 2008). </w:t>
      </w:r>
      <w:r w:rsidR="002152A1">
        <w:t>‘</w:t>
      </w:r>
      <w:r w:rsidRPr="00B40726">
        <w:t>Osteopenia</w:t>
      </w:r>
      <w:r w:rsidR="002152A1">
        <w:t>’</w:t>
      </w:r>
      <w:r>
        <w:t xml:space="preserve"> (low bone mass)</w:t>
      </w:r>
      <w:r w:rsidRPr="00B40726">
        <w:t xml:space="preserve"> is a precursor</w:t>
      </w:r>
      <w:r>
        <w:t xml:space="preserve"> to OP</w:t>
      </w:r>
      <w:r w:rsidRPr="00B40726">
        <w:t xml:space="preserve"> and </w:t>
      </w:r>
      <w:r>
        <w:t>according to WHO is defined by a</w:t>
      </w:r>
      <w:r w:rsidRPr="00B40726">
        <w:t xml:space="preserve"> T-score between -1</w:t>
      </w:r>
      <w:r>
        <w:t>.0</w:t>
      </w:r>
      <w:r w:rsidRPr="00B40726">
        <w:t xml:space="preserve"> </w:t>
      </w:r>
      <w:r>
        <w:t>and</w:t>
      </w:r>
      <w:r w:rsidRPr="00B40726">
        <w:t xml:space="preserve"> -2.5 (</w:t>
      </w:r>
      <w:r w:rsidR="008B566C">
        <w:fldChar w:fldCharType="begin"/>
      </w:r>
      <w:r w:rsidR="008B566C">
        <w:instrText xml:space="preserve"> REF _Ref320862974 \h  \* MERGEFORMAT </w:instrText>
      </w:r>
      <w:r w:rsidR="008B566C">
        <w:fldChar w:fldCharType="separate"/>
      </w:r>
      <w:r w:rsidR="00D24164" w:rsidRPr="00D24164">
        <w:t>Table 2</w:t>
      </w:r>
      <w:r w:rsidR="008B566C">
        <w:fldChar w:fldCharType="end"/>
      </w:r>
      <w:r w:rsidRPr="00B40726">
        <w:t>).</w:t>
      </w:r>
      <w:r>
        <w:t xml:space="preserve"> The Z-score is a comparison of a person’s bone mineral density with that of the average person of the same age and sex. Although the Z-score does not form part of the diagnosis according to WHO guidelines which quote T-scores, it may be used in premenopausal women and in men &lt; 50 years of age to give the physician some idea of the patient’s risk in relation to other patients of the same age (National Institutes of Health 2012).</w:t>
      </w:r>
    </w:p>
    <w:p w:rsidR="006379B4" w:rsidRPr="0063152E" w:rsidRDefault="006379B4" w:rsidP="0063152E">
      <w:pPr>
        <w:keepNext/>
        <w:ind w:left="709" w:hanging="709"/>
        <w:rPr>
          <w:b/>
          <w:lang w:val="en-GB" w:eastAsia="ja-JP"/>
        </w:rPr>
      </w:pPr>
      <w:bookmarkStart w:id="20" w:name="_Ref320862974"/>
      <w:r w:rsidRPr="00CF6D1F">
        <w:rPr>
          <w:rFonts w:eastAsia="Times New Roman"/>
          <w:b/>
          <w:lang w:val="en-GB" w:eastAsia="ja-JP"/>
        </w:rPr>
        <w:t xml:space="preserve">Table </w:t>
      </w:r>
      <w:r w:rsidRPr="00CF6D1F">
        <w:rPr>
          <w:rFonts w:eastAsia="Times New Roman"/>
          <w:b/>
          <w:lang w:val="en-GB" w:eastAsia="ja-JP"/>
        </w:rPr>
        <w:fldChar w:fldCharType="begin"/>
      </w:r>
      <w:r w:rsidRPr="00CF6D1F">
        <w:rPr>
          <w:rFonts w:eastAsia="Times New Roman"/>
          <w:b/>
          <w:lang w:val="en-GB" w:eastAsia="ja-JP"/>
        </w:rPr>
        <w:instrText xml:space="preserve"> SEQ Table \* ARABIC </w:instrText>
      </w:r>
      <w:r w:rsidRPr="00CF6D1F">
        <w:rPr>
          <w:rFonts w:eastAsia="Times New Roman"/>
          <w:b/>
          <w:lang w:val="en-GB" w:eastAsia="ja-JP"/>
        </w:rPr>
        <w:fldChar w:fldCharType="separate"/>
      </w:r>
      <w:r w:rsidR="00D24164">
        <w:rPr>
          <w:rFonts w:eastAsia="Times New Roman"/>
          <w:b/>
          <w:noProof/>
          <w:lang w:val="en-GB" w:eastAsia="ja-JP"/>
        </w:rPr>
        <w:t>2</w:t>
      </w:r>
      <w:r w:rsidRPr="00CF6D1F">
        <w:rPr>
          <w:rFonts w:eastAsia="Times New Roman"/>
          <w:b/>
          <w:lang w:val="en-GB" w:eastAsia="ja-JP"/>
        </w:rPr>
        <w:fldChar w:fldCharType="end"/>
      </w:r>
      <w:bookmarkEnd w:id="20"/>
      <w:r w:rsidRPr="00CF6D1F">
        <w:rPr>
          <w:rFonts w:eastAsia="Times New Roman"/>
          <w:b/>
          <w:lang w:val="en-GB" w:eastAsia="ja-JP"/>
        </w:rPr>
        <w:tab/>
        <w:t xml:space="preserve">Diagnosis according to </w:t>
      </w:r>
      <w:r>
        <w:rPr>
          <w:rFonts w:eastAsia="Times New Roman"/>
          <w:b/>
          <w:lang w:val="en-GB" w:eastAsia="ja-JP"/>
        </w:rPr>
        <w:t>T-score</w:t>
      </w:r>
      <w:r w:rsidRPr="0063152E">
        <w:rPr>
          <w:rFonts w:eastAsia="Times New Roman"/>
          <w:b/>
          <w:lang w:val="en-GB" w:eastAsia="ja-JP"/>
        </w:rPr>
        <w:t xml:space="preserve"> and WHO </w:t>
      </w:r>
      <w:r>
        <w:rPr>
          <w:rFonts w:eastAsia="Times New Roman"/>
          <w:b/>
          <w:lang w:val="en-GB" w:eastAsia="ja-JP"/>
        </w:rPr>
        <w:t>c</w:t>
      </w:r>
      <w:r w:rsidRPr="0063152E">
        <w:rPr>
          <w:rFonts w:eastAsia="Times New Roman"/>
          <w:b/>
          <w:lang w:val="en-GB" w:eastAsia="ja-JP"/>
        </w:rPr>
        <w:t xml:space="preserve">lassification of </w:t>
      </w:r>
      <w:r>
        <w:rPr>
          <w:rFonts w:eastAsia="Times New Roman"/>
          <w:b/>
          <w:lang w:val="en-GB" w:eastAsia="ja-JP"/>
        </w:rPr>
        <w:t>o</w:t>
      </w:r>
      <w:r w:rsidRPr="0063152E">
        <w:rPr>
          <w:rFonts w:eastAsia="Times New Roman"/>
          <w:b/>
          <w:lang w:val="en-GB" w:eastAsia="ja-JP"/>
        </w:rPr>
        <w:t>steoporosis</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802"/>
        <w:gridCol w:w="5386"/>
      </w:tblGrid>
      <w:tr w:rsidR="006379B4" w:rsidRPr="00676D04" w:rsidTr="00434776">
        <w:trPr>
          <w:trHeight w:val="343"/>
        </w:trPr>
        <w:tc>
          <w:tcPr>
            <w:tcW w:w="2802" w:type="dxa"/>
          </w:tcPr>
          <w:p w:rsidR="006379B4" w:rsidRPr="00676D04" w:rsidRDefault="006379B4" w:rsidP="00700A0B">
            <w:pPr>
              <w:spacing w:after="0" w:line="240" w:lineRule="auto"/>
              <w:rPr>
                <w:rFonts w:ascii="Arial Narrow" w:hAnsi="Arial Narrow"/>
                <w:b/>
              </w:rPr>
            </w:pPr>
            <w:r w:rsidRPr="00676D04">
              <w:rPr>
                <w:rFonts w:ascii="Arial Narrow" w:hAnsi="Arial Narrow"/>
                <w:b/>
              </w:rPr>
              <w:t>T</w:t>
            </w:r>
            <w:r>
              <w:rPr>
                <w:rFonts w:ascii="Arial Narrow" w:hAnsi="Arial Narrow"/>
                <w:b/>
              </w:rPr>
              <w:t>-</w:t>
            </w:r>
            <w:r w:rsidRPr="00676D04">
              <w:rPr>
                <w:rFonts w:ascii="Arial Narrow" w:hAnsi="Arial Narrow"/>
                <w:b/>
              </w:rPr>
              <w:t>score</w:t>
            </w:r>
          </w:p>
        </w:tc>
        <w:tc>
          <w:tcPr>
            <w:tcW w:w="5386" w:type="dxa"/>
          </w:tcPr>
          <w:p w:rsidR="006379B4" w:rsidRPr="00676D04" w:rsidRDefault="006379B4" w:rsidP="00434776">
            <w:pPr>
              <w:spacing w:after="0" w:line="240" w:lineRule="auto"/>
              <w:rPr>
                <w:rFonts w:ascii="Arial Narrow" w:hAnsi="Arial Narrow"/>
                <w:b/>
              </w:rPr>
            </w:pPr>
            <w:r w:rsidRPr="00676D04">
              <w:rPr>
                <w:rFonts w:ascii="Arial Narrow" w:hAnsi="Arial Narrow"/>
                <w:b/>
              </w:rPr>
              <w:t>Diagnosis</w:t>
            </w:r>
          </w:p>
        </w:tc>
      </w:tr>
      <w:tr w:rsidR="006379B4" w:rsidRPr="00676D04" w:rsidTr="00434776">
        <w:trPr>
          <w:trHeight w:val="377"/>
        </w:trPr>
        <w:tc>
          <w:tcPr>
            <w:tcW w:w="2802" w:type="dxa"/>
          </w:tcPr>
          <w:p w:rsidR="006379B4" w:rsidRPr="00676D04" w:rsidRDefault="006379B4" w:rsidP="00434776">
            <w:pPr>
              <w:spacing w:after="0" w:line="240" w:lineRule="auto"/>
              <w:rPr>
                <w:rFonts w:ascii="Arial Narrow" w:hAnsi="Arial Narrow"/>
                <w:b/>
              </w:rPr>
            </w:pPr>
            <w:r w:rsidRPr="00676D04">
              <w:rPr>
                <w:rFonts w:ascii="Arial Narrow" w:hAnsi="Arial Narrow"/>
              </w:rPr>
              <w:t>Equal or greater than -1</w:t>
            </w:r>
            <w:r>
              <w:rPr>
                <w:rFonts w:ascii="Arial Narrow" w:hAnsi="Arial Narrow"/>
              </w:rPr>
              <w:t>.0</w:t>
            </w:r>
          </w:p>
        </w:tc>
        <w:tc>
          <w:tcPr>
            <w:tcW w:w="5386" w:type="dxa"/>
          </w:tcPr>
          <w:p w:rsidR="006379B4" w:rsidRPr="00676D04" w:rsidRDefault="006379B4" w:rsidP="00700A0B">
            <w:pPr>
              <w:spacing w:after="0" w:line="240" w:lineRule="auto"/>
              <w:rPr>
                <w:rFonts w:ascii="Arial Narrow" w:hAnsi="Arial Narrow"/>
              </w:rPr>
            </w:pPr>
            <w:r w:rsidRPr="00676D04">
              <w:rPr>
                <w:rFonts w:ascii="Arial Narrow" w:hAnsi="Arial Narrow"/>
              </w:rPr>
              <w:t xml:space="preserve">Normal bone </w:t>
            </w:r>
            <w:r>
              <w:rPr>
                <w:rFonts w:ascii="Arial Narrow" w:hAnsi="Arial Narrow"/>
              </w:rPr>
              <w:t>density</w:t>
            </w:r>
          </w:p>
        </w:tc>
      </w:tr>
      <w:tr w:rsidR="006379B4" w:rsidRPr="00676D04" w:rsidTr="00434776">
        <w:trPr>
          <w:trHeight w:val="309"/>
        </w:trPr>
        <w:tc>
          <w:tcPr>
            <w:tcW w:w="2802" w:type="dxa"/>
          </w:tcPr>
          <w:p w:rsidR="006379B4" w:rsidRPr="00676D04" w:rsidRDefault="00343D6B" w:rsidP="00434776">
            <w:pPr>
              <w:spacing w:after="0" w:line="240" w:lineRule="auto"/>
              <w:rPr>
                <w:rFonts w:ascii="Arial Narrow" w:hAnsi="Arial Narrow"/>
                <w:b/>
              </w:rPr>
            </w:pPr>
            <w:r w:rsidRPr="00343D6B">
              <w:rPr>
                <w:rFonts w:ascii="Arial Narrow" w:hAnsi="Arial Narrow"/>
              </w:rPr>
              <w:t xml:space="preserve">Between </w:t>
            </w:r>
            <w:r w:rsidR="006379B4" w:rsidRPr="00343D6B">
              <w:rPr>
                <w:rFonts w:ascii="Arial Narrow" w:hAnsi="Arial Narrow"/>
              </w:rPr>
              <w:t>-1.0</w:t>
            </w:r>
            <w:r w:rsidRPr="00343D6B">
              <w:rPr>
                <w:rFonts w:ascii="Arial Narrow" w:hAnsi="Arial Narrow"/>
              </w:rPr>
              <w:t xml:space="preserve"> and </w:t>
            </w:r>
            <w:r w:rsidR="006379B4" w:rsidRPr="00343D6B">
              <w:rPr>
                <w:rFonts w:ascii="Arial Narrow" w:hAnsi="Arial Narrow"/>
              </w:rPr>
              <w:t>-2.5</w:t>
            </w:r>
            <w:r w:rsidR="006379B4" w:rsidRPr="00676D04">
              <w:rPr>
                <w:rFonts w:ascii="Arial Narrow" w:hAnsi="Arial Narrow"/>
              </w:rPr>
              <w:t xml:space="preserve"> </w:t>
            </w:r>
          </w:p>
        </w:tc>
        <w:tc>
          <w:tcPr>
            <w:tcW w:w="5386" w:type="dxa"/>
          </w:tcPr>
          <w:p w:rsidR="006379B4" w:rsidRPr="00676D04" w:rsidRDefault="006379B4" w:rsidP="00700A0B">
            <w:pPr>
              <w:spacing w:after="0" w:line="240" w:lineRule="auto"/>
              <w:rPr>
                <w:rFonts w:ascii="Arial Narrow" w:hAnsi="Arial Narrow"/>
                <w:b/>
              </w:rPr>
            </w:pPr>
            <w:r>
              <w:rPr>
                <w:rFonts w:ascii="Arial Narrow" w:hAnsi="Arial Narrow"/>
              </w:rPr>
              <w:t xml:space="preserve">Low bone mass </w:t>
            </w:r>
            <w:r w:rsidRPr="00676D04">
              <w:rPr>
                <w:rFonts w:ascii="Arial Narrow" w:hAnsi="Arial Narrow"/>
              </w:rPr>
              <w:t>(</w:t>
            </w:r>
            <w:r>
              <w:rPr>
                <w:rFonts w:ascii="Arial Narrow" w:hAnsi="Arial Narrow"/>
              </w:rPr>
              <w:t>“o</w:t>
            </w:r>
            <w:r w:rsidRPr="00676D04">
              <w:rPr>
                <w:rFonts w:ascii="Arial Narrow" w:hAnsi="Arial Narrow"/>
              </w:rPr>
              <w:t>steopenia</w:t>
            </w:r>
            <w:r>
              <w:rPr>
                <w:rFonts w:ascii="Arial Narrow" w:hAnsi="Arial Narrow"/>
              </w:rPr>
              <w:t>”: at risk for developing osteoporosis</w:t>
            </w:r>
            <w:r w:rsidRPr="00676D04">
              <w:rPr>
                <w:rFonts w:ascii="Arial Narrow" w:hAnsi="Arial Narrow"/>
              </w:rPr>
              <w:t xml:space="preserve"> and increasing fracture risk)</w:t>
            </w:r>
          </w:p>
        </w:tc>
      </w:tr>
      <w:tr w:rsidR="006379B4" w:rsidRPr="00676D04" w:rsidTr="00434776">
        <w:trPr>
          <w:trHeight w:val="343"/>
        </w:trPr>
        <w:tc>
          <w:tcPr>
            <w:tcW w:w="2802" w:type="dxa"/>
          </w:tcPr>
          <w:p w:rsidR="006379B4" w:rsidRPr="00676D04" w:rsidRDefault="006379B4" w:rsidP="00434776">
            <w:pPr>
              <w:spacing w:after="0" w:line="240" w:lineRule="auto"/>
              <w:rPr>
                <w:rFonts w:ascii="Arial Narrow" w:hAnsi="Arial Narrow"/>
                <w:b/>
              </w:rPr>
            </w:pPr>
            <w:r w:rsidRPr="00676D04">
              <w:rPr>
                <w:rFonts w:ascii="Arial Narrow" w:hAnsi="Arial Narrow"/>
              </w:rPr>
              <w:t>Equal</w:t>
            </w:r>
            <w:r>
              <w:rPr>
                <w:rFonts w:ascii="Arial Narrow" w:hAnsi="Arial Narrow"/>
              </w:rPr>
              <w:t xml:space="preserve"> to</w:t>
            </w:r>
            <w:r w:rsidRPr="00676D04">
              <w:rPr>
                <w:rFonts w:ascii="Arial Narrow" w:hAnsi="Arial Narrow"/>
              </w:rPr>
              <w:t xml:space="preserve"> or less than  -2.5</w:t>
            </w:r>
          </w:p>
        </w:tc>
        <w:tc>
          <w:tcPr>
            <w:tcW w:w="5386" w:type="dxa"/>
          </w:tcPr>
          <w:p w:rsidR="006379B4" w:rsidRPr="00676D04" w:rsidRDefault="006379B4" w:rsidP="00434776">
            <w:pPr>
              <w:spacing w:after="0" w:line="240" w:lineRule="auto"/>
              <w:rPr>
                <w:rFonts w:ascii="Arial Narrow" w:hAnsi="Arial Narrow"/>
                <w:b/>
              </w:rPr>
            </w:pPr>
            <w:r w:rsidRPr="00676D04">
              <w:rPr>
                <w:rFonts w:ascii="Arial Narrow" w:hAnsi="Arial Narrow"/>
              </w:rPr>
              <w:t>Osteoporosis</w:t>
            </w:r>
          </w:p>
        </w:tc>
      </w:tr>
    </w:tbl>
    <w:p w:rsidR="006379B4" w:rsidRPr="00C253F8" w:rsidRDefault="006379B4">
      <w:pPr>
        <w:rPr>
          <w:rFonts w:ascii="Arial Narrow" w:hAnsi="Arial Narrow"/>
          <w:sz w:val="18"/>
          <w:szCs w:val="18"/>
        </w:rPr>
      </w:pPr>
      <w:r w:rsidRPr="00C253F8">
        <w:rPr>
          <w:rFonts w:ascii="Arial Narrow" w:hAnsi="Arial Narrow"/>
          <w:sz w:val="18"/>
          <w:szCs w:val="18"/>
        </w:rPr>
        <w:t>Source: WHO 2007, RACGP 2010</w:t>
      </w:r>
      <w:r w:rsidR="00727EDF">
        <w:rPr>
          <w:rFonts w:ascii="Arial Narrow" w:hAnsi="Arial Narrow"/>
          <w:sz w:val="18"/>
          <w:szCs w:val="18"/>
        </w:rPr>
        <w:t>b</w:t>
      </w:r>
    </w:p>
    <w:p w:rsidR="006379B4" w:rsidRPr="00CF6D1F" w:rsidRDefault="006379B4" w:rsidP="00561D38">
      <w:pPr>
        <w:pStyle w:val="Heading2"/>
      </w:pPr>
      <w:bookmarkStart w:id="21" w:name="_Toc335902663"/>
      <w:bookmarkStart w:id="22" w:name="_Toc362969225"/>
      <w:r w:rsidRPr="00CF6D1F">
        <w:t>Fracture risk</w:t>
      </w:r>
      <w:bookmarkEnd w:id="21"/>
      <w:bookmarkEnd w:id="22"/>
    </w:p>
    <w:p w:rsidR="00AB3A0B" w:rsidRPr="00AB3A0B" w:rsidRDefault="00AB3A0B" w:rsidP="00AB3A0B">
      <w:r w:rsidRPr="00AB3A0B">
        <w:t xml:space="preserve">Ten-year fracture risk can be estimated through the use of on-line tools such as the FRAX tool developed by the University of Sheffield on behalf of the WHO (WHO 2007; WHO 2012). The assessment is likely to be less accurate for premenopausal women, young men (&lt;50 years) and is not validated for children (Dasher et al 2010). A variation of FRAX supported with Australian data is available at: </w:t>
      </w:r>
      <w:hyperlink r:id="rId9" w:tooltip="University of Sheffield" w:history="1">
        <w:r w:rsidRPr="00AB3A0B">
          <w:rPr>
            <w:rStyle w:val="Hyperlink"/>
            <w:rFonts w:cs="Tahoma"/>
          </w:rPr>
          <w:t>http://www.shef.ac.uk/FRAX/tool.jsp?country=31</w:t>
        </w:r>
      </w:hyperlink>
      <w:r w:rsidRPr="00AB3A0B">
        <w:t xml:space="preserve">. Unfortunately this calculator does not </w:t>
      </w:r>
      <w:r w:rsidRPr="00AB3A0B">
        <w:lastRenderedPageBreak/>
        <w:t>take into account additional risks for fracture associated with HIV nor any of the medications used in the treatment of HIV, and is not designed for use in premenopausal women or men &lt; 50 years.</w:t>
      </w:r>
    </w:p>
    <w:p w:rsidR="00AB3A0B" w:rsidRPr="00AB3A0B" w:rsidRDefault="00B00660" w:rsidP="00AB3A0B">
      <w:r w:rsidRPr="00B00660">
        <w:t>In terms of normative data,</w:t>
      </w:r>
      <w:r>
        <w:t xml:space="preserve"> </w:t>
      </w:r>
      <w:r w:rsidR="00AB3A0B" w:rsidRPr="00AB3A0B">
        <w:t xml:space="preserve">RACGP guidelines state: ‘In Australia as a reference for fracture risk calculation in women, the T-scores calculated from the Geelong Osteoporosis Study database are used for the lumbar spine and the proximal femur. Normative data in Australian men are not currently available. Most BMD assessments currently report T-scores for men based on the US National Health and Nutrition Examination Survey (NHANES) normative data or reference ranges provided by densitometer </w:t>
      </w:r>
      <w:r w:rsidRPr="00AB3A0B">
        <w:t>manufacturers’ (</w:t>
      </w:r>
      <w:r w:rsidR="00AB3A0B" w:rsidRPr="00AB3A0B">
        <w:t>RACGP 2010b).</w:t>
      </w:r>
    </w:p>
    <w:p w:rsidR="006379B4" w:rsidRPr="0063152E" w:rsidRDefault="006379B4" w:rsidP="00561D38">
      <w:pPr>
        <w:pStyle w:val="Heading1"/>
      </w:pPr>
      <w:bookmarkStart w:id="23" w:name="_Toc335902664"/>
      <w:bookmarkStart w:id="24" w:name="_Toc362969226"/>
      <w:r w:rsidRPr="0063152E">
        <w:t>Administration, dose, frequency of administration, duration of the intervention</w:t>
      </w:r>
      <w:bookmarkEnd w:id="23"/>
      <w:bookmarkEnd w:id="24"/>
    </w:p>
    <w:p w:rsidR="001A1723" w:rsidRDefault="006379B4" w:rsidP="00DD5A30">
      <w:r w:rsidRPr="00B40726">
        <w:t xml:space="preserve">Bone density scanning can be performed at any location which has both a DXA machine and qualified technician. </w:t>
      </w:r>
      <w:r w:rsidR="00AB3A0B" w:rsidRPr="00AB3A0B">
        <w:t xml:space="preserve">A radiologist, nuclear medicine physician or other accredited specialist is required to interpret the results. The result is communicated to the patient through the referring practitioner. Diagnosis of low bone mineral density is dependent on the measurement site and number of sites measured. </w:t>
      </w:r>
      <w:r w:rsidR="00176EB9">
        <w:t>According to local guidelines, b</w:t>
      </w:r>
      <w:r w:rsidR="00AB3A0B" w:rsidRPr="00AB3A0B">
        <w:t xml:space="preserve">one mineral density should be measured by DXA scanning performed on two sites, preferably </w:t>
      </w:r>
      <w:proofErr w:type="spellStart"/>
      <w:r w:rsidR="00AB3A0B" w:rsidRPr="00AB3A0B">
        <w:t>anteroposterior</w:t>
      </w:r>
      <w:proofErr w:type="spellEnd"/>
      <w:r w:rsidR="00AB3A0B" w:rsidRPr="00AB3A0B">
        <w:t xml:space="preserve"> spine and hip (RACGP 2010b).</w:t>
      </w:r>
    </w:p>
    <w:p w:rsidR="006379B4" w:rsidRDefault="006379B4" w:rsidP="00DD5A30">
      <w:r w:rsidRPr="00B40726">
        <w:t xml:space="preserve">Absorbed radiation doses from DXA are negligible for first-generation pencil beam scanners (below the estimated dose from natural background radiation of 7 </w:t>
      </w:r>
      <w:r w:rsidRPr="001A1723">
        <w:rPr>
          <w:rFonts w:ascii="Symbol" w:hAnsi="Symbol"/>
        </w:rPr>
        <w:t></w:t>
      </w:r>
      <w:proofErr w:type="spellStart"/>
      <w:r w:rsidRPr="00B40726">
        <w:t>Sv</w:t>
      </w:r>
      <w:proofErr w:type="spellEnd"/>
      <w:r w:rsidRPr="00B40726">
        <w:t xml:space="preserve"> per day). Newer fan beam scanners produce slightly more radiation, with absorbed dose ranging from approximately 10 to 20 </w:t>
      </w:r>
      <w:r w:rsidRPr="001A1723">
        <w:rPr>
          <w:rFonts w:ascii="Symbol" w:hAnsi="Symbol"/>
        </w:rPr>
        <w:t></w:t>
      </w:r>
      <w:proofErr w:type="spellStart"/>
      <w:r w:rsidRPr="00B40726">
        <w:t>Sv</w:t>
      </w:r>
      <w:proofErr w:type="spellEnd"/>
      <w:r w:rsidRPr="00B40726">
        <w:t xml:space="preserve"> per examination (</w:t>
      </w:r>
      <w:proofErr w:type="spellStart"/>
      <w:r w:rsidRPr="00B40726">
        <w:t>Damilakis</w:t>
      </w:r>
      <w:proofErr w:type="spellEnd"/>
      <w:r w:rsidRPr="00B40726">
        <w:t xml:space="preserve"> and </w:t>
      </w:r>
      <w:proofErr w:type="spellStart"/>
      <w:r w:rsidRPr="00B40726">
        <w:t>Guglielmi</w:t>
      </w:r>
      <w:proofErr w:type="spellEnd"/>
      <w:r w:rsidRPr="00B40726">
        <w:t xml:space="preserve"> 2010), and generating a combined dose from anterior-posterior (AP) spine, lateral spine, and hip scans of &lt;30 </w:t>
      </w:r>
      <w:r w:rsidRPr="001A1723">
        <w:rPr>
          <w:rFonts w:ascii="Symbol" w:hAnsi="Symbol"/>
        </w:rPr>
        <w:t></w:t>
      </w:r>
      <w:proofErr w:type="spellStart"/>
      <w:r w:rsidRPr="00B40726">
        <w:t>Sv</w:t>
      </w:r>
      <w:proofErr w:type="spellEnd"/>
      <w:r w:rsidRPr="00B40726">
        <w:t xml:space="preserve"> (SIGN 2003). The estimated dose of radiation is lower for DXA measurements than most diagnostic X-ray examinations including mammography. </w:t>
      </w:r>
      <w:r>
        <w:t>H</w:t>
      </w:r>
      <w:r w:rsidRPr="00B40726">
        <w:t>owever</w:t>
      </w:r>
      <w:r>
        <w:t>, the</w:t>
      </w:r>
      <w:r w:rsidRPr="00B40726">
        <w:t xml:space="preserve"> radiation dose can vary considerably between sites and DXA systems from different manufacturers based on scanning technique, x-ray tube filtration, efficiency of detection systems, exposure parameters, scan speed, scan size and patient body size (</w:t>
      </w:r>
      <w:proofErr w:type="spellStart"/>
      <w:r w:rsidRPr="00B40726">
        <w:t>Damilakis</w:t>
      </w:r>
      <w:proofErr w:type="spellEnd"/>
      <w:r w:rsidRPr="00B40726">
        <w:t xml:space="preserve"> and </w:t>
      </w:r>
      <w:proofErr w:type="spellStart"/>
      <w:r w:rsidRPr="00B40726">
        <w:t>Guglielmi</w:t>
      </w:r>
      <w:proofErr w:type="spellEnd"/>
      <w:r w:rsidRPr="00B40726">
        <w:t xml:space="preserve"> </w:t>
      </w:r>
      <w:r>
        <w:t>2010).</w:t>
      </w:r>
    </w:p>
    <w:p w:rsidR="001A1723" w:rsidRDefault="006379B4" w:rsidP="00DD5A30">
      <w:pPr>
        <w:rPr>
          <w:rFonts w:ascii="Frutiger LT" w:eastAsia="Calibri" w:hAnsi="Frutiger LT" w:cs="Times New Roman"/>
          <w:lang w:eastAsia="en-AU"/>
        </w:rPr>
      </w:pPr>
      <w:r>
        <w:t xml:space="preserve">Although the DXA device measures total density, the use of both high- and low-energy X-rays facilitates the separation of soft tissue and bone contributions to overall density (Dasher et al 2010). Scanning of the hip and spine usually takes up to a maximum of approximately 15-20 minutes (Dasher et al 2010). </w:t>
      </w:r>
      <w:r w:rsidRPr="002B6023">
        <w:t xml:space="preserve">Several different MBS items </w:t>
      </w:r>
      <w:r>
        <w:t>provide services on</w:t>
      </w:r>
      <w:r w:rsidRPr="002B6023">
        <w:t xml:space="preserve"> a variety of indications </w:t>
      </w:r>
      <w:r>
        <w:t>with repeat scans dependent on the indication</w:t>
      </w:r>
      <w:r w:rsidRPr="002B6023">
        <w:t xml:space="preserve"> (</w:t>
      </w:r>
      <w:r>
        <w:fldChar w:fldCharType="begin"/>
      </w:r>
      <w:r>
        <w:instrText xml:space="preserve"> REF _Ref357601073 \h </w:instrText>
      </w:r>
      <w:r>
        <w:fldChar w:fldCharType="separate"/>
      </w:r>
      <w:r w:rsidR="00D24164">
        <w:t xml:space="preserve">Table </w:t>
      </w:r>
      <w:r w:rsidR="00D24164">
        <w:rPr>
          <w:noProof/>
        </w:rPr>
        <w:t>3</w:t>
      </w:r>
      <w:r>
        <w:fldChar w:fldCharType="end"/>
      </w:r>
      <w:r w:rsidRPr="002B6023">
        <w:t>).</w:t>
      </w:r>
    </w:p>
    <w:p w:rsidR="00176EB9" w:rsidRDefault="00B00660" w:rsidP="00DD5A30">
      <w:r w:rsidRPr="00B00660">
        <w:t xml:space="preserve">Current guidelines suggest general practitioners to evaluate patients at increased risk for osteoporotic fractures who are not receiving specific preventive anti-osteoporotic therapy in regard to future fracture risk at intervals adequate to the risk in question. BMD measurement can identify some non-fragility causes of fracture, for example T-score above -1.5. If a decision is made to not recommend specific preventive anti-osteoporotic therapy following evaluation of BMD, this must be formally reviewed in relation to future fracture risk at intervals relevant to the risk in question. In most cases </w:t>
      </w:r>
      <w:r>
        <w:t xml:space="preserve">BMD testing is recommended for </w:t>
      </w:r>
      <w:r w:rsidRPr="00B00660">
        <w:t>intervals of 2 years or longer (RACGP 2010b).</w:t>
      </w:r>
    </w:p>
    <w:p w:rsidR="006379B4" w:rsidRDefault="00B00660" w:rsidP="00DD5A30">
      <w:r w:rsidRPr="00B00660">
        <w:lastRenderedPageBreak/>
        <w:t>In patients with confirmed OP and receiving anti-osteoporotic treatment, repeat DXA scans are recommended to be considered at 1 year if there is a change to anti-osteoporotic therapy, and recommended at 2 year intervals when BMD is likely to be approaching -2.5 (average decrease in T-score is 0.1/ year) (RACGP 2010b). The BMD at the time of screening is the most important factor in determining treatment and the time to repeat scan. The rates of change between scans are not as important in overall management decisions.</w:t>
      </w:r>
      <w:r w:rsidR="00176EB9">
        <w:t xml:space="preserve"> </w:t>
      </w:r>
    </w:p>
    <w:p w:rsidR="006379B4" w:rsidRPr="00CF6D1F" w:rsidRDefault="006379B4" w:rsidP="00DA3249"/>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6379B4" w:rsidTr="00297B59">
        <w:tc>
          <w:tcPr>
            <w:tcW w:w="9242" w:type="dxa"/>
          </w:tcPr>
          <w:p w:rsidR="006379B4" w:rsidRPr="00297B59" w:rsidRDefault="006379B4" w:rsidP="0044116C">
            <w:pPr>
              <w:rPr>
                <w:b/>
              </w:rPr>
            </w:pPr>
            <w:r w:rsidRPr="00297B59">
              <w:rPr>
                <w:b/>
              </w:rPr>
              <w:t>Summary of the approach to assessment for the test</w:t>
            </w:r>
          </w:p>
          <w:p w:rsidR="006379B4" w:rsidRDefault="006379B4" w:rsidP="00297B59">
            <w:pPr>
              <w:tabs>
                <w:tab w:val="left" w:pos="2835"/>
              </w:tabs>
              <w:spacing w:before="40"/>
            </w:pPr>
            <w:r>
              <w:t xml:space="preserve">The </w:t>
            </w:r>
            <w:r w:rsidRPr="00297B59">
              <w:rPr>
                <w:b/>
              </w:rPr>
              <w:t>proposed test</w:t>
            </w:r>
            <w:r>
              <w:t xml:space="preserve"> is DXA.</w:t>
            </w:r>
          </w:p>
          <w:p w:rsidR="006379B4" w:rsidRDefault="006379B4" w:rsidP="00297B59">
            <w:pPr>
              <w:tabs>
                <w:tab w:val="left" w:pos="2835"/>
              </w:tabs>
              <w:spacing w:before="40"/>
            </w:pPr>
            <w:r>
              <w:t>Bone density testing with QCT is excluded for the following reasons:</w:t>
            </w:r>
          </w:p>
          <w:p w:rsidR="006379B4" w:rsidRDefault="006379B4" w:rsidP="00297B59">
            <w:pPr>
              <w:pStyle w:val="ListParagraph"/>
              <w:numPr>
                <w:ilvl w:val="0"/>
                <w:numId w:val="24"/>
              </w:numPr>
              <w:tabs>
                <w:tab w:val="left" w:pos="2835"/>
              </w:tabs>
              <w:spacing w:before="40"/>
            </w:pPr>
            <w:r>
              <w:t>QCT results are less reproducible than DXA</w:t>
            </w:r>
          </w:p>
          <w:p w:rsidR="006379B4" w:rsidRDefault="006379B4" w:rsidP="00297B59">
            <w:pPr>
              <w:pStyle w:val="ListParagraph"/>
              <w:numPr>
                <w:ilvl w:val="0"/>
                <w:numId w:val="24"/>
              </w:numPr>
              <w:tabs>
                <w:tab w:val="left" w:pos="2835"/>
              </w:tabs>
              <w:spacing w:before="40"/>
            </w:pPr>
            <w:r>
              <w:t>There is less robust evidence currently available to support the use of QCT</w:t>
            </w:r>
          </w:p>
          <w:p w:rsidR="006379B4" w:rsidRDefault="006379B4" w:rsidP="00297B59">
            <w:pPr>
              <w:pStyle w:val="ListParagraph"/>
              <w:numPr>
                <w:ilvl w:val="0"/>
                <w:numId w:val="24"/>
              </w:numPr>
              <w:tabs>
                <w:tab w:val="left" w:pos="2835"/>
              </w:tabs>
              <w:spacing w:before="40"/>
            </w:pPr>
            <w:r>
              <w:t>Although QCT radiation doses are reducing over time, currently the use of QCT involves a higher dose of radiation than DXA so exposes patients to a greater degree of harm.</w:t>
            </w:r>
          </w:p>
          <w:p w:rsidR="006379B4" w:rsidRDefault="006379B4" w:rsidP="00297B59">
            <w:pPr>
              <w:pStyle w:val="ListParagraph"/>
              <w:numPr>
                <w:ilvl w:val="0"/>
                <w:numId w:val="24"/>
              </w:numPr>
              <w:tabs>
                <w:tab w:val="left" w:pos="2835"/>
              </w:tabs>
              <w:spacing w:before="40"/>
            </w:pPr>
            <w:r>
              <w:t xml:space="preserve">There are no standardised Australian </w:t>
            </w:r>
            <w:r w:rsidR="008E5D6A">
              <w:t xml:space="preserve">normative </w:t>
            </w:r>
            <w:r>
              <w:t>data for QCT.</w:t>
            </w:r>
          </w:p>
          <w:p w:rsidR="006379B4" w:rsidRDefault="006379B4" w:rsidP="00297B59">
            <w:pPr>
              <w:pStyle w:val="ListParagraph"/>
              <w:numPr>
                <w:ilvl w:val="0"/>
                <w:numId w:val="24"/>
              </w:numPr>
              <w:tabs>
                <w:tab w:val="left" w:pos="2835"/>
              </w:tabs>
              <w:spacing w:before="40"/>
            </w:pPr>
            <w:r>
              <w:t>QCT assessment of the spine may overestimate osteoporosis compared to DXA using the WHO standard definitions.</w:t>
            </w:r>
          </w:p>
          <w:p w:rsidR="006379B4" w:rsidRDefault="006379B4" w:rsidP="00297B59">
            <w:pPr>
              <w:pStyle w:val="ListParagraph"/>
              <w:numPr>
                <w:ilvl w:val="0"/>
                <w:numId w:val="24"/>
              </w:numPr>
              <w:tabs>
                <w:tab w:val="left" w:pos="2835"/>
              </w:tabs>
              <w:spacing w:before="40"/>
            </w:pPr>
            <w:r>
              <w:t>PASC recognise that QCT may be considered an alternative to DXA in the future.</w:t>
            </w:r>
          </w:p>
        </w:tc>
      </w:tr>
    </w:tbl>
    <w:p w:rsidR="006379B4" w:rsidRDefault="006379B4" w:rsidP="00A55DE9">
      <w:pPr>
        <w:rPr>
          <w:b/>
          <w:lang w:eastAsia="en-US"/>
        </w:rPr>
      </w:pPr>
    </w:p>
    <w:p w:rsidR="006379B4" w:rsidRPr="00561D38" w:rsidRDefault="006379B4" w:rsidP="00561D38">
      <w:pPr>
        <w:pStyle w:val="Heading2"/>
      </w:pPr>
      <w:bookmarkStart w:id="25" w:name="_Toc335902666"/>
      <w:bookmarkStart w:id="26" w:name="_Toc362969227"/>
      <w:r w:rsidRPr="00561D38">
        <w:t>Co-administered interventions</w:t>
      </w:r>
      <w:bookmarkEnd w:id="25"/>
      <w:bookmarkEnd w:id="26"/>
    </w:p>
    <w:p w:rsidR="006379B4" w:rsidRPr="00CF6D1F" w:rsidRDefault="006379B4" w:rsidP="00DA3249">
      <w:pPr>
        <w:rPr>
          <w:lang w:eastAsia="ja-JP"/>
        </w:rPr>
      </w:pPr>
      <w:r w:rsidRPr="00CF6D1F">
        <w:rPr>
          <w:lang w:eastAsia="ja-JP"/>
        </w:rPr>
        <w:t xml:space="preserve">A variety of options exist for the prevention and </w:t>
      </w:r>
      <w:proofErr w:type="gramStart"/>
      <w:r w:rsidRPr="00CF6D1F">
        <w:rPr>
          <w:lang w:eastAsia="ja-JP"/>
        </w:rPr>
        <w:t>treatment of OP. Preventive options include</w:t>
      </w:r>
      <w:proofErr w:type="gramEnd"/>
      <w:r w:rsidRPr="00CF6D1F">
        <w:rPr>
          <w:lang w:eastAsia="ja-JP"/>
        </w:rPr>
        <w:t xml:space="preserve"> calcium and vitamin D supplementation, exercise and education (awareness). Additionally, </w:t>
      </w:r>
      <w:r>
        <w:rPr>
          <w:lang w:eastAsia="ja-JP"/>
        </w:rPr>
        <w:t>prescription medication is available for certain conditions</w:t>
      </w:r>
      <w:r w:rsidRPr="00CF6D1F">
        <w:rPr>
          <w:lang w:eastAsia="ja-JP"/>
        </w:rPr>
        <w:t xml:space="preserve"> (</w:t>
      </w:r>
      <w:r w:rsidR="00FA61B1">
        <w:rPr>
          <w:lang w:eastAsia="ja-JP"/>
        </w:rPr>
        <w:t>RACGP 2010b</w:t>
      </w:r>
      <w:r w:rsidRPr="00CF6D1F">
        <w:rPr>
          <w:lang w:eastAsia="ja-JP"/>
        </w:rPr>
        <w:t>).</w:t>
      </w:r>
      <w:r>
        <w:rPr>
          <w:lang w:eastAsia="ja-JP"/>
        </w:rPr>
        <w:t xml:space="preserve"> </w:t>
      </w:r>
      <w:r w:rsidRPr="00CF6D1F">
        <w:rPr>
          <w:lang w:eastAsia="ja-JP"/>
        </w:rPr>
        <w:t xml:space="preserve">Different preventive and treatment modalities include: </w:t>
      </w:r>
    </w:p>
    <w:p w:rsidR="006379B4" w:rsidRPr="00CF6D1F" w:rsidRDefault="006379B4" w:rsidP="00821E1A">
      <w:pPr>
        <w:pStyle w:val="ListParagraph"/>
        <w:numPr>
          <w:ilvl w:val="0"/>
          <w:numId w:val="16"/>
        </w:numPr>
        <w:rPr>
          <w:lang w:eastAsia="ja-JP"/>
        </w:rPr>
      </w:pPr>
      <w:r w:rsidRPr="00CF6D1F">
        <w:rPr>
          <w:lang w:eastAsia="ja-JP"/>
        </w:rPr>
        <w:t>Exercise - regular, progressive weight-bearing and resist</w:t>
      </w:r>
      <w:r>
        <w:rPr>
          <w:lang w:eastAsia="ja-JP"/>
        </w:rPr>
        <w:t>a</w:t>
      </w:r>
      <w:r w:rsidRPr="00CF6D1F">
        <w:rPr>
          <w:lang w:eastAsia="ja-JP"/>
        </w:rPr>
        <w:t>nce exercise aids in the preservation and increase of bone density</w:t>
      </w:r>
    </w:p>
    <w:p w:rsidR="006379B4" w:rsidRDefault="006379B4" w:rsidP="00821E1A">
      <w:pPr>
        <w:pStyle w:val="ListParagraph"/>
        <w:numPr>
          <w:ilvl w:val="0"/>
          <w:numId w:val="16"/>
        </w:numPr>
        <w:rPr>
          <w:lang w:eastAsia="ja-JP"/>
        </w:rPr>
      </w:pPr>
      <w:r w:rsidRPr="00CF6D1F">
        <w:rPr>
          <w:lang w:eastAsia="ja-JP"/>
        </w:rPr>
        <w:t xml:space="preserve">Calcium and vitamin D – it is recommended that to optimise clinical efficacy, adequate calcium and vitamin D are required. If sufficient calcium cannot be obtained from diet, and adequate </w:t>
      </w:r>
      <w:r>
        <w:rPr>
          <w:lang w:eastAsia="ja-JP"/>
        </w:rPr>
        <w:t>v</w:t>
      </w:r>
      <w:r w:rsidRPr="00CF6D1F">
        <w:rPr>
          <w:lang w:eastAsia="ja-JP"/>
        </w:rPr>
        <w:t>itamin D levels are not achieved by sun exposure, supplements may be required. Total calcium intake of 1000-1300 mg/day (combination of food and supplement) is recommended. (</w:t>
      </w:r>
      <w:r w:rsidR="00FA61B1">
        <w:rPr>
          <w:lang w:eastAsia="ja-JP"/>
        </w:rPr>
        <w:t>RACGP 2010b</w:t>
      </w:r>
      <w:r w:rsidRPr="00CF6D1F">
        <w:rPr>
          <w:lang w:eastAsia="ja-JP"/>
        </w:rPr>
        <w:t>) Where sun exposure is not adequate to generate sufficient Vitam</w:t>
      </w:r>
      <w:r>
        <w:rPr>
          <w:lang w:eastAsia="ja-JP"/>
        </w:rPr>
        <w:t>in D levels, supplementation of</w:t>
      </w:r>
      <w:r w:rsidRPr="00CF6D1F">
        <w:rPr>
          <w:lang w:eastAsia="ja-JP"/>
        </w:rPr>
        <w:t xml:space="preserve"> vitamin D 700-800 IU/day is rec</w:t>
      </w:r>
      <w:r w:rsidR="006C05CC">
        <w:rPr>
          <w:lang w:eastAsia="ja-JP"/>
        </w:rPr>
        <w:t>ommended (</w:t>
      </w:r>
      <w:proofErr w:type="spellStart"/>
      <w:r w:rsidR="006C05CC">
        <w:rPr>
          <w:lang w:eastAsia="ja-JP"/>
        </w:rPr>
        <w:t>Nowson</w:t>
      </w:r>
      <w:proofErr w:type="spellEnd"/>
      <w:r w:rsidR="006C05CC">
        <w:rPr>
          <w:lang w:eastAsia="ja-JP"/>
        </w:rPr>
        <w:t xml:space="preserve"> et al </w:t>
      </w:r>
      <w:r>
        <w:rPr>
          <w:lang w:eastAsia="ja-JP"/>
        </w:rPr>
        <w:t>2012).</w:t>
      </w:r>
    </w:p>
    <w:p w:rsidR="006379B4" w:rsidRPr="00CF6D1F" w:rsidRDefault="006379B4" w:rsidP="00821E1A">
      <w:pPr>
        <w:pStyle w:val="ListParagraph"/>
        <w:numPr>
          <w:ilvl w:val="0"/>
          <w:numId w:val="16"/>
        </w:numPr>
        <w:rPr>
          <w:lang w:eastAsia="ja-JP"/>
        </w:rPr>
      </w:pPr>
      <w:r w:rsidRPr="00CF6D1F">
        <w:rPr>
          <w:lang w:eastAsia="ja-JP"/>
        </w:rPr>
        <w:t xml:space="preserve">Selective oestrogen receptor modulators (SERMs) – decrease bone </w:t>
      </w:r>
      <w:proofErr w:type="spellStart"/>
      <w:r w:rsidRPr="00CF6D1F">
        <w:rPr>
          <w:lang w:eastAsia="ja-JP"/>
        </w:rPr>
        <w:t>resorption</w:t>
      </w:r>
      <w:proofErr w:type="spellEnd"/>
      <w:r w:rsidRPr="00CF6D1F">
        <w:rPr>
          <w:lang w:eastAsia="ja-JP"/>
        </w:rPr>
        <w:t xml:space="preserve"> via binding to oestrogen receptors and may best be used as an alternative to hormone therapy in women with contraindications (</w:t>
      </w:r>
      <w:r w:rsidR="00FA61B1">
        <w:rPr>
          <w:lang w:eastAsia="ja-JP"/>
        </w:rPr>
        <w:t>RACGP 2010b</w:t>
      </w:r>
      <w:r w:rsidRPr="00CF6D1F">
        <w:rPr>
          <w:lang w:eastAsia="ja-JP"/>
        </w:rPr>
        <w:t xml:space="preserve">). </w:t>
      </w:r>
    </w:p>
    <w:p w:rsidR="006379B4" w:rsidRPr="00CF6D1F" w:rsidRDefault="006379B4" w:rsidP="00821E1A">
      <w:pPr>
        <w:pStyle w:val="ListParagraph"/>
        <w:numPr>
          <w:ilvl w:val="0"/>
          <w:numId w:val="16"/>
        </w:numPr>
        <w:rPr>
          <w:lang w:eastAsia="ja-JP"/>
        </w:rPr>
      </w:pPr>
      <w:r w:rsidRPr="00CF6D1F">
        <w:rPr>
          <w:lang w:eastAsia="ja-JP"/>
        </w:rPr>
        <w:lastRenderedPageBreak/>
        <w:t>Bisphosphonates</w:t>
      </w:r>
      <w:r>
        <w:rPr>
          <w:lang w:eastAsia="ja-JP"/>
        </w:rPr>
        <w:t xml:space="preserve"> </w:t>
      </w:r>
      <w:r w:rsidRPr="00CF6D1F">
        <w:rPr>
          <w:lang w:eastAsia="ja-JP"/>
        </w:rPr>
        <w:t>–</w:t>
      </w:r>
      <w:r>
        <w:rPr>
          <w:lang w:eastAsia="ja-JP"/>
        </w:rPr>
        <w:t xml:space="preserve"> </w:t>
      </w:r>
      <w:r w:rsidRPr="00CF6D1F">
        <w:rPr>
          <w:lang w:eastAsia="ja-JP"/>
        </w:rPr>
        <w:t xml:space="preserve">The bisphosphonates currently used in Australia include alendronate, disodium </w:t>
      </w:r>
      <w:proofErr w:type="spellStart"/>
      <w:r w:rsidRPr="00CF6D1F">
        <w:rPr>
          <w:lang w:eastAsia="ja-JP"/>
        </w:rPr>
        <w:t>etidronate</w:t>
      </w:r>
      <w:proofErr w:type="spellEnd"/>
      <w:r w:rsidRPr="00CF6D1F">
        <w:rPr>
          <w:lang w:eastAsia="ja-JP"/>
        </w:rPr>
        <w:t xml:space="preserve">, </w:t>
      </w:r>
      <w:proofErr w:type="spellStart"/>
      <w:r w:rsidRPr="00CF6D1F">
        <w:rPr>
          <w:lang w:eastAsia="ja-JP"/>
        </w:rPr>
        <w:t>risedronate</w:t>
      </w:r>
      <w:proofErr w:type="spellEnd"/>
      <w:r w:rsidRPr="00CF6D1F">
        <w:rPr>
          <w:lang w:eastAsia="ja-JP"/>
        </w:rPr>
        <w:t xml:space="preserve">, and </w:t>
      </w:r>
      <w:proofErr w:type="spellStart"/>
      <w:r w:rsidRPr="00CF6D1F">
        <w:rPr>
          <w:lang w:eastAsia="ja-JP"/>
        </w:rPr>
        <w:t>zoledronic</w:t>
      </w:r>
      <w:proofErr w:type="spellEnd"/>
      <w:r w:rsidRPr="00CF6D1F">
        <w:rPr>
          <w:lang w:eastAsia="ja-JP"/>
        </w:rPr>
        <w:t xml:space="preserve"> acid. These drugs reduce the risk of fractures by increasing bone density through the reduction of osteoclast activity. On average, these drugs lead to an increase in bone density by approximately 4-8% at the spine and 1-3% at the hip over the first 3-4 years of treatment.</w:t>
      </w:r>
    </w:p>
    <w:p w:rsidR="006379B4" w:rsidRPr="00CF6D1F" w:rsidRDefault="006379B4" w:rsidP="00821E1A">
      <w:pPr>
        <w:pStyle w:val="ListParagraph"/>
        <w:numPr>
          <w:ilvl w:val="0"/>
          <w:numId w:val="16"/>
        </w:numPr>
        <w:rPr>
          <w:lang w:eastAsia="ja-JP"/>
        </w:rPr>
      </w:pPr>
      <w:r w:rsidRPr="00CF6D1F">
        <w:rPr>
          <w:lang w:eastAsia="ja-JP"/>
        </w:rPr>
        <w:t>Monoclonal antibodies (</w:t>
      </w:r>
      <w:proofErr w:type="spellStart"/>
      <w:r w:rsidRPr="00CF6D1F">
        <w:rPr>
          <w:lang w:eastAsia="ja-JP"/>
        </w:rPr>
        <w:t>Denosumab</w:t>
      </w:r>
      <w:proofErr w:type="spellEnd"/>
      <w:r w:rsidRPr="00CF6D1F">
        <w:rPr>
          <w:lang w:eastAsia="ja-JP"/>
        </w:rPr>
        <w:t xml:space="preserve">) – the RANK Ligand inhibitor, monoclonal antibody </w:t>
      </w:r>
      <w:proofErr w:type="spellStart"/>
      <w:r w:rsidRPr="00CF6D1F">
        <w:rPr>
          <w:lang w:eastAsia="ja-JP"/>
        </w:rPr>
        <w:t>Denosumab</w:t>
      </w:r>
      <w:proofErr w:type="spellEnd"/>
      <w:r w:rsidRPr="00CF6D1F">
        <w:rPr>
          <w:lang w:eastAsia="ja-JP"/>
        </w:rPr>
        <w:t xml:space="preserve"> binds to a specific ligand which is required for osteoclast formation. This inhibition of osteoclast formation</w:t>
      </w:r>
      <w:r>
        <w:rPr>
          <w:lang w:eastAsia="ja-JP"/>
        </w:rPr>
        <w:t>, activity and viability</w:t>
      </w:r>
      <w:r w:rsidRPr="00CF6D1F">
        <w:rPr>
          <w:lang w:eastAsia="ja-JP"/>
        </w:rPr>
        <w:t xml:space="preserve"> results in decreased bone </w:t>
      </w:r>
      <w:proofErr w:type="spellStart"/>
      <w:r w:rsidRPr="00CF6D1F">
        <w:rPr>
          <w:lang w:eastAsia="ja-JP"/>
        </w:rPr>
        <w:t>resorption</w:t>
      </w:r>
      <w:proofErr w:type="spellEnd"/>
      <w:r w:rsidRPr="00CF6D1F">
        <w:rPr>
          <w:lang w:eastAsia="ja-JP"/>
        </w:rPr>
        <w:t xml:space="preserve"> and increased bone mass and strength in both cortical and trabecular bone. </w:t>
      </w:r>
    </w:p>
    <w:p w:rsidR="006379B4" w:rsidRPr="00CF6D1F" w:rsidRDefault="006379B4" w:rsidP="00821E1A">
      <w:pPr>
        <w:pStyle w:val="ListParagraph"/>
        <w:numPr>
          <w:ilvl w:val="0"/>
          <w:numId w:val="16"/>
        </w:numPr>
        <w:rPr>
          <w:lang w:eastAsia="ja-JP"/>
        </w:rPr>
      </w:pPr>
      <w:proofErr w:type="spellStart"/>
      <w:r w:rsidRPr="00CF6D1F">
        <w:rPr>
          <w:lang w:eastAsia="ja-JP"/>
        </w:rPr>
        <w:t>Teriparatide</w:t>
      </w:r>
      <w:proofErr w:type="spellEnd"/>
      <w:r w:rsidRPr="00CF6D1F">
        <w:rPr>
          <w:lang w:eastAsia="ja-JP"/>
        </w:rPr>
        <w:t xml:space="preserve"> (parathyroid hormone) – </w:t>
      </w:r>
      <w:proofErr w:type="spellStart"/>
      <w:r w:rsidRPr="00CF6D1F">
        <w:rPr>
          <w:lang w:eastAsia="ja-JP"/>
        </w:rPr>
        <w:t>Teriparatide</w:t>
      </w:r>
      <w:proofErr w:type="spellEnd"/>
      <w:r w:rsidRPr="00CF6D1F">
        <w:rPr>
          <w:lang w:eastAsia="ja-JP"/>
        </w:rPr>
        <w:t xml:space="preserve"> increases new bone formation through a reduction in osteoblast apoptosis. Due to its expense and potential side effects (including a potential increased risk of </w:t>
      </w:r>
      <w:proofErr w:type="spellStart"/>
      <w:r w:rsidRPr="00CF6D1F">
        <w:rPr>
          <w:lang w:eastAsia="ja-JP"/>
        </w:rPr>
        <w:t>osteogenic</w:t>
      </w:r>
      <w:proofErr w:type="spellEnd"/>
      <w:r w:rsidRPr="00CF6D1F">
        <w:rPr>
          <w:lang w:eastAsia="ja-JP"/>
        </w:rPr>
        <w:t xml:space="preserve"> sarcoma), </w:t>
      </w:r>
      <w:proofErr w:type="spellStart"/>
      <w:r w:rsidRPr="00CF6D1F">
        <w:rPr>
          <w:lang w:eastAsia="ja-JP"/>
        </w:rPr>
        <w:t>teriparatide</w:t>
      </w:r>
      <w:proofErr w:type="spellEnd"/>
      <w:r w:rsidRPr="00CF6D1F">
        <w:rPr>
          <w:lang w:eastAsia="ja-JP"/>
        </w:rPr>
        <w:t xml:space="preserve"> is only reimbursed by the PBS for severe established OP in patients with a very high risk of fracture (</w:t>
      </w:r>
      <w:r w:rsidR="00FA61B1">
        <w:rPr>
          <w:lang w:eastAsia="ja-JP"/>
        </w:rPr>
        <w:t>RACGP 2010</w:t>
      </w:r>
      <w:r w:rsidR="001A1723">
        <w:rPr>
          <w:lang w:eastAsia="ja-JP"/>
        </w:rPr>
        <w:t>b</w:t>
      </w:r>
      <w:r w:rsidRPr="00CF6D1F">
        <w:rPr>
          <w:lang w:eastAsia="ja-JP"/>
        </w:rPr>
        <w:t>).</w:t>
      </w:r>
    </w:p>
    <w:p w:rsidR="006379B4" w:rsidRDefault="006379B4" w:rsidP="00DA3249">
      <w:pPr>
        <w:rPr>
          <w:lang w:eastAsia="ja-JP"/>
        </w:rPr>
      </w:pPr>
      <w:r>
        <w:rPr>
          <w:lang w:eastAsia="ja-JP"/>
        </w:rPr>
        <w:t>Examples of anti-osteoporotic medication listed on the</w:t>
      </w:r>
      <w:r w:rsidRPr="00CF6D1F">
        <w:rPr>
          <w:lang w:eastAsia="ja-JP"/>
        </w:rPr>
        <w:t xml:space="preserve"> ARTG </w:t>
      </w:r>
      <w:r>
        <w:rPr>
          <w:lang w:eastAsia="ja-JP"/>
        </w:rPr>
        <w:t>are shown in Appendix 1</w:t>
      </w:r>
      <w:r w:rsidRPr="00CF6D1F">
        <w:rPr>
          <w:lang w:eastAsia="ja-JP"/>
        </w:rPr>
        <w:t xml:space="preserve">. Indications, contraindications and potential complications of </w:t>
      </w:r>
      <w:r>
        <w:rPr>
          <w:lang w:eastAsia="ja-JP"/>
        </w:rPr>
        <w:t>anti-osteoporotic medication are presented in Appendix 2</w:t>
      </w:r>
      <w:r w:rsidRPr="00CF6D1F">
        <w:rPr>
          <w:lang w:eastAsia="ja-JP"/>
        </w:rPr>
        <w:t>.</w:t>
      </w:r>
      <w:r>
        <w:rPr>
          <w:lang w:eastAsia="ja-JP"/>
        </w:rPr>
        <w:t xml:space="preserve"> PBS-listed anti-</w:t>
      </w:r>
      <w:proofErr w:type="spellStart"/>
      <w:r>
        <w:rPr>
          <w:lang w:eastAsia="ja-JP"/>
        </w:rPr>
        <w:t>resorptive</w:t>
      </w:r>
      <w:proofErr w:type="spellEnd"/>
      <w:r>
        <w:rPr>
          <w:lang w:eastAsia="ja-JP"/>
        </w:rPr>
        <w:t xml:space="preserve"> pharmaceuticals are listed by drug in Appendix 3 and by indication in Appendix 4.</w:t>
      </w:r>
    </w:p>
    <w:p w:rsidR="006379B4" w:rsidRDefault="006379B4" w:rsidP="00DA3249">
      <w:pPr>
        <w:rPr>
          <w:lang w:eastAsia="ja-JP"/>
        </w:rPr>
      </w:pPr>
      <w:r>
        <w:rPr>
          <w:lang w:eastAsia="ja-JP"/>
        </w:rPr>
        <w:t xml:space="preserve">Anti-osteoporotic medications on the ARTG are listed according to relatively broad indications. For example, alendronate is available to post-menopausal women and to men for the treatment of osteoporosis to help prevent fractures. Other medications are available </w:t>
      </w:r>
      <w:r w:rsidRPr="00DE040B">
        <w:rPr>
          <w:lang w:eastAsia="ja-JP"/>
        </w:rPr>
        <w:t>confirmed by the finding of low bone mass</w:t>
      </w:r>
      <w:r>
        <w:rPr>
          <w:lang w:eastAsia="ja-JP"/>
        </w:rPr>
        <w:t xml:space="preserve">, for patients </w:t>
      </w:r>
      <w:r w:rsidRPr="00DE040B">
        <w:rPr>
          <w:lang w:eastAsia="ja-JP"/>
        </w:rPr>
        <w:t>on long-term corticosteroid therapy</w:t>
      </w:r>
      <w:r>
        <w:rPr>
          <w:lang w:eastAsia="ja-JP"/>
        </w:rPr>
        <w:t xml:space="preserve">, or in the </w:t>
      </w:r>
      <w:r w:rsidRPr="00DE040B">
        <w:rPr>
          <w:lang w:eastAsia="ja-JP"/>
        </w:rPr>
        <w:t>presence or history of osteoporotic fracture</w:t>
      </w:r>
      <w:r>
        <w:rPr>
          <w:lang w:eastAsia="ja-JP"/>
        </w:rPr>
        <w:t xml:space="preserve">. </w:t>
      </w:r>
    </w:p>
    <w:p w:rsidR="006379B4" w:rsidRPr="001A1723" w:rsidRDefault="006379B4" w:rsidP="00DA3249">
      <w:pPr>
        <w:rPr>
          <w:b/>
          <w:lang w:eastAsia="ja-JP"/>
        </w:rPr>
      </w:pPr>
      <w:r w:rsidRPr="001A1723">
        <w:rPr>
          <w:b/>
          <w:lang w:eastAsia="ja-JP"/>
        </w:rPr>
        <w:t>Clinical research questions for the assessment relating to the intervention:</w:t>
      </w:r>
    </w:p>
    <w:p w:rsidR="006379B4" w:rsidRDefault="006379B4" w:rsidP="001A1723">
      <w:pPr>
        <w:pStyle w:val="ListParagraph"/>
        <w:numPr>
          <w:ilvl w:val="0"/>
          <w:numId w:val="38"/>
        </w:numPr>
      </w:pPr>
      <w:r>
        <w:t>What is the effect of anti-</w:t>
      </w:r>
      <w:proofErr w:type="spellStart"/>
      <w:r>
        <w:t>resorptive</w:t>
      </w:r>
      <w:proofErr w:type="spellEnd"/>
      <w:r>
        <w:t xml:space="preserve"> medication on the rate of bone mineral density loss and minimal trauma fracture in the defined population?</w:t>
      </w:r>
      <w:r w:rsidR="00226A98" w:rsidRPr="00226A98">
        <w:t xml:space="preserve"> The assessment phase should consider patients with HIV infection who are being treated with antiretroviral therapy and those with HIV infection who are not being treated with antiretroviral therapy separately. </w:t>
      </w:r>
    </w:p>
    <w:p w:rsidR="006379B4" w:rsidRDefault="006379B4" w:rsidP="00821E1A">
      <w:pPr>
        <w:pStyle w:val="ListParagraph"/>
        <w:numPr>
          <w:ilvl w:val="0"/>
          <w:numId w:val="38"/>
        </w:numPr>
      </w:pPr>
      <w:r>
        <w:t>What is the rate of bone loss over time in the population who are not provided test and therapy? What is the rate of bone loss over time in the population who are provided test and therapy? Evidence provided in response to these questions will inform the number and frequency of DXA re-testing and monitoring (respectively). The frequency of re-testing and monitoring should be justified by the submission of available evidence.</w:t>
      </w:r>
    </w:p>
    <w:p w:rsidR="006379B4" w:rsidRDefault="006379B4" w:rsidP="00821E1A">
      <w:pPr>
        <w:pStyle w:val="ListParagraph"/>
        <w:numPr>
          <w:ilvl w:val="0"/>
          <w:numId w:val="38"/>
        </w:numPr>
      </w:pPr>
      <w:r>
        <w:t>What proportion of the population, with or without anti-retroviral therapy, will reach the threshold T-score for therapy?</w:t>
      </w:r>
    </w:p>
    <w:p w:rsidR="006379B4" w:rsidRDefault="006379B4" w:rsidP="00821E1A">
      <w:pPr>
        <w:pStyle w:val="ListParagraph"/>
        <w:numPr>
          <w:ilvl w:val="0"/>
          <w:numId w:val="38"/>
        </w:numPr>
      </w:pPr>
      <w:r>
        <w:t>Should the threshold for therapy be the same in HIV patients who are being treated with anti-</w:t>
      </w:r>
      <w:proofErr w:type="spellStart"/>
      <w:r>
        <w:t>retrovirals</w:t>
      </w:r>
      <w:proofErr w:type="spellEnd"/>
      <w:r>
        <w:t xml:space="preserve"> as those not treated with anti-</w:t>
      </w:r>
      <w:proofErr w:type="spellStart"/>
      <w:r>
        <w:t>retrovirals</w:t>
      </w:r>
      <w:proofErr w:type="spellEnd"/>
      <w:r>
        <w:t>?</w:t>
      </w:r>
    </w:p>
    <w:p w:rsidR="006379B4" w:rsidRDefault="006379B4" w:rsidP="00821E1A">
      <w:pPr>
        <w:pStyle w:val="ListParagraph"/>
        <w:numPr>
          <w:ilvl w:val="0"/>
          <w:numId w:val="38"/>
        </w:numPr>
      </w:pPr>
      <w:r>
        <w:t>What impact should patient age have on the threshold to therapy and the frequency of re-testing and monitoring?</w:t>
      </w:r>
    </w:p>
    <w:p w:rsidR="006379B4" w:rsidRDefault="006379B4" w:rsidP="00DA3249">
      <w:pPr>
        <w:rPr>
          <w:lang w:eastAsia="ja-JP"/>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242"/>
      </w:tblGrid>
      <w:tr w:rsidR="006379B4" w:rsidTr="00297B59">
        <w:tc>
          <w:tcPr>
            <w:tcW w:w="9242" w:type="dxa"/>
          </w:tcPr>
          <w:p w:rsidR="006379B4" w:rsidRPr="00297B59" w:rsidRDefault="006379B4" w:rsidP="0044116C">
            <w:pPr>
              <w:rPr>
                <w:b/>
              </w:rPr>
            </w:pPr>
            <w:r w:rsidRPr="00297B59">
              <w:rPr>
                <w:b/>
              </w:rPr>
              <w:lastRenderedPageBreak/>
              <w:t>Summary of the approach to assessment for the intervention</w:t>
            </w:r>
          </w:p>
          <w:p w:rsidR="006379B4" w:rsidRPr="00297B59" w:rsidRDefault="006379B4" w:rsidP="0044116C">
            <w:pPr>
              <w:rPr>
                <w:u w:val="single"/>
              </w:rPr>
            </w:pPr>
            <w:r w:rsidRPr="00297B59">
              <w:rPr>
                <w:u w:val="single"/>
              </w:rPr>
              <w:t>Test</w:t>
            </w:r>
          </w:p>
          <w:p w:rsidR="006379B4" w:rsidRDefault="006379B4" w:rsidP="00297B59">
            <w:pPr>
              <w:tabs>
                <w:tab w:val="left" w:pos="2835"/>
              </w:tabs>
              <w:spacing w:before="40"/>
            </w:pPr>
            <w:r w:rsidRPr="00297B59">
              <w:rPr>
                <w:b/>
              </w:rPr>
              <w:t xml:space="preserve">The proposed test </w:t>
            </w:r>
            <w:r w:rsidRPr="007518AC">
              <w:t>is DXA</w:t>
            </w:r>
            <w:r>
              <w:t xml:space="preserve">. </w:t>
            </w:r>
            <w:r w:rsidRPr="00AD0B0D">
              <w:t xml:space="preserve">PASC consider that testing for serum vitamin D </w:t>
            </w:r>
            <w:r>
              <w:t>sufficiency</w:t>
            </w:r>
            <w:r w:rsidRPr="00AD0B0D">
              <w:t xml:space="preserve"> would occur during standard clinical evaluation of a patient for low bone mineral density. Therefore the use of this resource would be the same in both the current and proposed scenario.</w:t>
            </w:r>
          </w:p>
          <w:p w:rsidR="006379B4" w:rsidRPr="00297B59" w:rsidRDefault="006379B4" w:rsidP="0044116C">
            <w:pPr>
              <w:rPr>
                <w:u w:val="single"/>
              </w:rPr>
            </w:pPr>
            <w:r w:rsidRPr="00297B59">
              <w:rPr>
                <w:u w:val="single"/>
              </w:rPr>
              <w:t xml:space="preserve">Therapy </w:t>
            </w:r>
          </w:p>
          <w:p w:rsidR="006379B4" w:rsidRDefault="006379B4" w:rsidP="00297B59">
            <w:pPr>
              <w:tabs>
                <w:tab w:val="left" w:pos="2835"/>
              </w:tabs>
              <w:spacing w:before="40"/>
            </w:pPr>
            <w:r w:rsidRPr="00297B59">
              <w:rPr>
                <w:b/>
              </w:rPr>
              <w:t xml:space="preserve">The proposed therapy </w:t>
            </w:r>
            <w:r>
              <w:t xml:space="preserve">is management informed by the result of a BMD test. The proposed thresholds are: </w:t>
            </w:r>
          </w:p>
          <w:p w:rsidR="006379B4" w:rsidRPr="00343D6B" w:rsidRDefault="006379B4" w:rsidP="00297B59">
            <w:pPr>
              <w:pStyle w:val="ListParagraph"/>
              <w:numPr>
                <w:ilvl w:val="0"/>
                <w:numId w:val="39"/>
              </w:numPr>
              <w:tabs>
                <w:tab w:val="left" w:pos="2835"/>
              </w:tabs>
              <w:spacing w:before="40"/>
            </w:pPr>
            <w:r w:rsidRPr="00343D6B">
              <w:t xml:space="preserve">For </w:t>
            </w:r>
            <w:r w:rsidR="00343D6B" w:rsidRPr="00343D6B">
              <w:t>T-score from -2.5 (excluded) to -1.0 (excluded)</w:t>
            </w:r>
            <w:r w:rsidRPr="00343D6B">
              <w:t>, management would be through lifestyle and dietary advice;</w:t>
            </w:r>
          </w:p>
          <w:p w:rsidR="006379B4" w:rsidRPr="009D3E0D" w:rsidRDefault="006379B4" w:rsidP="00297B59">
            <w:pPr>
              <w:pStyle w:val="ListParagraph"/>
              <w:numPr>
                <w:ilvl w:val="0"/>
                <w:numId w:val="39"/>
              </w:numPr>
              <w:tabs>
                <w:tab w:val="left" w:pos="2835"/>
              </w:tabs>
              <w:spacing w:before="40"/>
            </w:pPr>
            <w:r w:rsidRPr="00343D6B">
              <w:t xml:space="preserve">For T-score ≤-2.5, management </w:t>
            </w:r>
            <w:r w:rsidRPr="003D3826">
              <w:t>would involve treatment with anti-</w:t>
            </w:r>
            <w:proofErr w:type="spellStart"/>
            <w:r w:rsidRPr="003D3826">
              <w:t>resorptive</w:t>
            </w:r>
            <w:proofErr w:type="spellEnd"/>
            <w:r w:rsidRPr="003D3826">
              <w:t xml:space="preserve"> medication</w:t>
            </w:r>
            <w:r w:rsidRPr="00920D49">
              <w:t>s.</w:t>
            </w:r>
          </w:p>
          <w:p w:rsidR="006379B4" w:rsidRPr="00920D49" w:rsidRDefault="006379B4" w:rsidP="00297B59">
            <w:pPr>
              <w:tabs>
                <w:tab w:val="left" w:pos="2835"/>
              </w:tabs>
              <w:spacing w:before="40"/>
            </w:pPr>
            <w:r w:rsidRPr="00920D49">
              <w:t>No specific PBS-listed medication is associated with this proposal.</w:t>
            </w:r>
          </w:p>
          <w:p w:rsidR="006379B4" w:rsidRPr="00920D49" w:rsidRDefault="006379B4" w:rsidP="00297B59">
            <w:pPr>
              <w:tabs>
                <w:tab w:val="left" w:pos="2835"/>
              </w:tabs>
              <w:spacing w:before="40"/>
            </w:pPr>
            <w:r w:rsidRPr="00920D49">
              <w:t xml:space="preserve">The evaluation phase should provide evidence to determine the best </w:t>
            </w:r>
            <w:r w:rsidRPr="00297B59">
              <w:rPr>
                <w:b/>
              </w:rPr>
              <w:t xml:space="preserve">threshold for therapy </w:t>
            </w:r>
            <w:r w:rsidRPr="00920D49">
              <w:t>for anti-</w:t>
            </w:r>
            <w:proofErr w:type="spellStart"/>
            <w:r w:rsidRPr="00920D49">
              <w:t>resorptive</w:t>
            </w:r>
            <w:proofErr w:type="spellEnd"/>
            <w:r w:rsidRPr="00920D49">
              <w:t xml:space="preserve"> drug therapy. The assessment phase should address threshold to therapy as:</w:t>
            </w:r>
          </w:p>
          <w:p w:rsidR="006379B4" w:rsidRPr="00920D49" w:rsidRDefault="006379B4" w:rsidP="00297B59">
            <w:pPr>
              <w:pStyle w:val="ListParagraph"/>
              <w:numPr>
                <w:ilvl w:val="0"/>
                <w:numId w:val="33"/>
              </w:numPr>
              <w:tabs>
                <w:tab w:val="left" w:pos="2835"/>
              </w:tabs>
              <w:spacing w:before="40"/>
            </w:pPr>
            <w:r w:rsidRPr="00920D49">
              <w:t>The proposed T-score of ≤-2.5.</w:t>
            </w:r>
          </w:p>
          <w:p w:rsidR="006379B4" w:rsidRPr="00920D49" w:rsidRDefault="006379B4" w:rsidP="00297B59">
            <w:pPr>
              <w:pStyle w:val="ListParagraph"/>
              <w:numPr>
                <w:ilvl w:val="0"/>
                <w:numId w:val="33"/>
              </w:numPr>
              <w:tabs>
                <w:tab w:val="left" w:pos="2835"/>
              </w:tabs>
              <w:spacing w:before="40"/>
            </w:pPr>
            <w:r w:rsidRPr="00920D49">
              <w:t>The assessment phase should provide evidence to inform on the appropriate threshold T-score(s) for access to therapy, including consideration of threshold T-score dependent on whether the patient is being treated with anti-</w:t>
            </w:r>
            <w:proofErr w:type="spellStart"/>
            <w:r w:rsidRPr="00920D49">
              <w:t>retrovirals</w:t>
            </w:r>
            <w:proofErr w:type="spellEnd"/>
            <w:r w:rsidRPr="00920D49">
              <w:t xml:space="preserve"> or not.</w:t>
            </w:r>
          </w:p>
          <w:p w:rsidR="006379B4" w:rsidRPr="00920D49" w:rsidRDefault="006379B4" w:rsidP="00297B59">
            <w:pPr>
              <w:pStyle w:val="ListParagraph"/>
              <w:numPr>
                <w:ilvl w:val="0"/>
                <w:numId w:val="33"/>
              </w:numPr>
              <w:tabs>
                <w:tab w:val="left" w:pos="2835"/>
              </w:tabs>
              <w:spacing w:before="40"/>
            </w:pPr>
            <w:r w:rsidRPr="00920D49">
              <w:t>The asses</w:t>
            </w:r>
            <w:r w:rsidR="009D3E0D">
              <w:t>sment phase should examine a T-</w:t>
            </w:r>
            <w:r w:rsidRPr="00920D49">
              <w:t xml:space="preserve">score of -1.0 (the current trigger for PBS eligibility in patients taking glucocorticoid therapy) and sensitivity analyses around T-scores of -1.5, -2.0 and -2.5 could also be conducted. </w:t>
            </w:r>
          </w:p>
          <w:p w:rsidR="006379B4" w:rsidRPr="00920D49" w:rsidRDefault="006379B4" w:rsidP="00297B59">
            <w:pPr>
              <w:pStyle w:val="ListParagraph"/>
              <w:numPr>
                <w:ilvl w:val="0"/>
                <w:numId w:val="33"/>
              </w:numPr>
            </w:pPr>
            <w:r w:rsidRPr="00920D49">
              <w:t>Any evidence identified to establish thresholds for therapy based on Z-scores in younger patients should be presented.</w:t>
            </w:r>
          </w:p>
          <w:p w:rsidR="006379B4" w:rsidRPr="00920D49" w:rsidRDefault="006379B4" w:rsidP="00297B59">
            <w:pPr>
              <w:tabs>
                <w:tab w:val="left" w:pos="2835"/>
              </w:tabs>
              <w:spacing w:before="40"/>
            </w:pPr>
            <w:r w:rsidRPr="00920D49">
              <w:t xml:space="preserve">PASC considers that the </w:t>
            </w:r>
            <w:r w:rsidRPr="00297B59">
              <w:rPr>
                <w:b/>
              </w:rPr>
              <w:t>timing and frequency of monitoring and re-testing</w:t>
            </w:r>
            <w:r w:rsidRPr="00920D49">
              <w:t xml:space="preserve"> should be informed by evidence of change in BMD </w:t>
            </w:r>
            <w:r>
              <w:t>as a surrogate for</w:t>
            </w:r>
            <w:r w:rsidRPr="00920D49">
              <w:t xml:space="preserve"> risk of minimal trauma fracture over time. The assessment phase will need to address the rate of bone loss in men and women with HIV infection on or off anti-retroviral therapy as well as when receiving anti-</w:t>
            </w:r>
            <w:proofErr w:type="spellStart"/>
            <w:r w:rsidRPr="00920D49">
              <w:t>resorptive</w:t>
            </w:r>
            <w:proofErr w:type="spellEnd"/>
            <w:r w:rsidRPr="00920D49">
              <w:t xml:space="preserve"> drugs or not. This will inform questions around re-testing and monitoring. </w:t>
            </w:r>
          </w:p>
          <w:p w:rsidR="006379B4" w:rsidRPr="00920D49" w:rsidRDefault="006379B4" w:rsidP="00297B59">
            <w:pPr>
              <w:tabs>
                <w:tab w:val="left" w:pos="2835"/>
              </w:tabs>
              <w:spacing w:before="40"/>
            </w:pPr>
            <w:r w:rsidRPr="00920D49">
              <w:t>For sensitivity analyses the following options should be evaluated regarding re-testing and monitoring of the proposed population:</w:t>
            </w:r>
          </w:p>
          <w:p w:rsidR="006379B4" w:rsidRPr="00920D49" w:rsidRDefault="006379B4" w:rsidP="00297B59">
            <w:pPr>
              <w:pStyle w:val="ListParagraph"/>
              <w:numPr>
                <w:ilvl w:val="0"/>
                <w:numId w:val="37"/>
              </w:numPr>
              <w:tabs>
                <w:tab w:val="left" w:pos="2835"/>
              </w:tabs>
              <w:spacing w:before="40"/>
            </w:pPr>
            <w:r w:rsidRPr="00920D49">
              <w:t xml:space="preserve">T-score </w:t>
            </w:r>
            <w:r>
              <w:t xml:space="preserve">≥ </w:t>
            </w:r>
            <w:r w:rsidRPr="00920D49">
              <w:t>-1.0: no repeat scan</w:t>
            </w:r>
          </w:p>
          <w:p w:rsidR="006379B4" w:rsidRPr="00920D49" w:rsidRDefault="00343D6B" w:rsidP="00297B59">
            <w:pPr>
              <w:pStyle w:val="ListParagraph"/>
              <w:numPr>
                <w:ilvl w:val="0"/>
                <w:numId w:val="37"/>
              </w:numPr>
              <w:tabs>
                <w:tab w:val="left" w:pos="2835"/>
              </w:tabs>
              <w:spacing w:before="40"/>
            </w:pPr>
            <w:r>
              <w:t>T-score from -2.5 (excluded) to -1.0 (excluded)</w:t>
            </w:r>
            <w:r w:rsidR="006379B4" w:rsidRPr="00920D49">
              <w:t>: repeat scan every 24 months</w:t>
            </w:r>
          </w:p>
          <w:p w:rsidR="006379B4" w:rsidRPr="00920D49" w:rsidRDefault="00343D6B" w:rsidP="00297B59">
            <w:pPr>
              <w:pStyle w:val="ListParagraph"/>
              <w:numPr>
                <w:ilvl w:val="0"/>
                <w:numId w:val="37"/>
              </w:numPr>
              <w:tabs>
                <w:tab w:val="left" w:pos="2835"/>
              </w:tabs>
              <w:spacing w:before="40"/>
            </w:pPr>
            <w:r>
              <w:t xml:space="preserve">T-score from -2.5 (excluded) to -1.0 (excluded) </w:t>
            </w:r>
            <w:r w:rsidR="006379B4" w:rsidRPr="00920D49">
              <w:t>and patient is on anti-retroviral therapy: repeat scan every 12 months</w:t>
            </w:r>
          </w:p>
          <w:p w:rsidR="006379B4" w:rsidRPr="00920D49" w:rsidRDefault="006379B4" w:rsidP="00297B59">
            <w:pPr>
              <w:pStyle w:val="ListParagraph"/>
              <w:numPr>
                <w:ilvl w:val="0"/>
                <w:numId w:val="37"/>
              </w:numPr>
              <w:tabs>
                <w:tab w:val="left" w:pos="2835"/>
              </w:tabs>
              <w:spacing w:before="40"/>
            </w:pPr>
            <w:r w:rsidRPr="00920D49">
              <w:lastRenderedPageBreak/>
              <w:t xml:space="preserve">T-score </w:t>
            </w:r>
            <w:r>
              <w:t xml:space="preserve">≤ </w:t>
            </w:r>
            <w:r w:rsidRPr="00920D49">
              <w:t>2.5: repeat scan every 12 months (MBS item 12306)</w:t>
            </w:r>
          </w:p>
          <w:p w:rsidR="006379B4" w:rsidRPr="00920D49" w:rsidRDefault="006379B4" w:rsidP="00297B59">
            <w:pPr>
              <w:pStyle w:val="ListParagraph"/>
              <w:numPr>
                <w:ilvl w:val="0"/>
                <w:numId w:val="37"/>
              </w:numPr>
              <w:tabs>
                <w:tab w:val="left" w:pos="2835"/>
              </w:tabs>
              <w:spacing w:before="40"/>
            </w:pPr>
            <w:r w:rsidRPr="00920D49">
              <w:t>Re-scanning and monitoring using thresholds as advised by the evidence.</w:t>
            </w:r>
          </w:p>
          <w:p w:rsidR="006379B4" w:rsidRPr="00297B59" w:rsidRDefault="006379B4" w:rsidP="0044116C">
            <w:pPr>
              <w:rPr>
                <w:u w:val="single"/>
              </w:rPr>
            </w:pPr>
            <w:r w:rsidRPr="00297B59">
              <w:rPr>
                <w:u w:val="single"/>
              </w:rPr>
              <w:t>Co-dependency</w:t>
            </w:r>
          </w:p>
          <w:p w:rsidR="006379B4" w:rsidRDefault="006379B4" w:rsidP="00297B59">
            <w:pPr>
              <w:tabs>
                <w:tab w:val="left" w:pos="2835"/>
              </w:tabs>
              <w:spacing w:before="40"/>
            </w:pPr>
            <w:r>
              <w:t xml:space="preserve">PASC noted that this application will be a </w:t>
            </w:r>
            <w:r w:rsidRPr="00297B59">
              <w:rPr>
                <w:b/>
              </w:rPr>
              <w:t>co-dependent application</w:t>
            </w:r>
            <w:r>
              <w:t xml:space="preserve"> involving prescription medicines not currently PBS subsidised for the patient population in question. </w:t>
            </w:r>
            <w:r w:rsidRPr="00AD0B0D">
              <w:t>However,</w:t>
            </w:r>
            <w:r>
              <w:t xml:space="preserve"> at this stage there is </w:t>
            </w:r>
            <w:r w:rsidRPr="00297B59">
              <w:rPr>
                <w:b/>
              </w:rPr>
              <w:t>no concurrent co-dependent application</w:t>
            </w:r>
            <w:r>
              <w:t>.</w:t>
            </w:r>
          </w:p>
          <w:p w:rsidR="006379B4" w:rsidRDefault="006379B4" w:rsidP="00297B59">
            <w:pPr>
              <w:tabs>
                <w:tab w:val="left" w:pos="2835"/>
              </w:tabs>
              <w:spacing w:before="40"/>
            </w:pPr>
            <w:r>
              <w:t xml:space="preserve">As the use of prescription medicines is essential to the overall cost-effectiveness of this proposal, the necessary co-dependencies will need to be addressed for PBS listing as well as MBS listing purposes. </w:t>
            </w:r>
          </w:p>
          <w:p w:rsidR="006379B4" w:rsidRDefault="006379B4" w:rsidP="008E5D6A">
            <w:pPr>
              <w:tabs>
                <w:tab w:val="left" w:pos="2835"/>
              </w:tabs>
              <w:spacing w:before="40"/>
            </w:pPr>
            <w:r>
              <w:t>Note that the final eligibility criteria including threshold T-score of the proposed population to any co-dependent anti-</w:t>
            </w:r>
            <w:proofErr w:type="spellStart"/>
            <w:r>
              <w:t>resorptive</w:t>
            </w:r>
            <w:proofErr w:type="spellEnd"/>
            <w:r>
              <w:t xml:space="preserve"> drug would be </w:t>
            </w:r>
            <w:r w:rsidR="008E5D6A">
              <w:t xml:space="preserve">defined </w:t>
            </w:r>
            <w:r>
              <w:t>by the Pharmaceutical Benefits Advisory Committee (PASC).</w:t>
            </w:r>
          </w:p>
          <w:p w:rsidR="008E5D6A" w:rsidRDefault="008E5D6A" w:rsidP="008E5D6A">
            <w:pPr>
              <w:tabs>
                <w:tab w:val="left" w:pos="2835"/>
              </w:tabs>
              <w:spacing w:before="40"/>
            </w:pPr>
            <w:r>
              <w:t>The assessment phase should address the efficacy of co-dependent medicines with respect to the following populations reaching the threshold for therapy:</w:t>
            </w:r>
          </w:p>
          <w:p w:rsidR="008E5D6A" w:rsidRDefault="008E5D6A" w:rsidP="001A1723">
            <w:pPr>
              <w:pStyle w:val="ListParagraph"/>
              <w:numPr>
                <w:ilvl w:val="0"/>
                <w:numId w:val="46"/>
              </w:numPr>
              <w:tabs>
                <w:tab w:val="left" w:pos="2835"/>
              </w:tabs>
              <w:spacing w:before="40"/>
            </w:pPr>
            <w:r>
              <w:t>Patients with HIV infection not on antiretroviral therapy</w:t>
            </w:r>
          </w:p>
          <w:p w:rsidR="008E5D6A" w:rsidRDefault="008E5D6A" w:rsidP="001A1723">
            <w:pPr>
              <w:pStyle w:val="ListParagraph"/>
              <w:numPr>
                <w:ilvl w:val="0"/>
                <w:numId w:val="46"/>
              </w:numPr>
              <w:tabs>
                <w:tab w:val="left" w:pos="2835"/>
              </w:tabs>
              <w:spacing w:before="40"/>
            </w:pPr>
            <w:r>
              <w:t>Patients with HIV infection on antiretroviral therapy</w:t>
            </w:r>
          </w:p>
        </w:tc>
      </w:tr>
    </w:tbl>
    <w:p w:rsidR="006379B4" w:rsidRPr="00CF6D1F" w:rsidRDefault="006379B4" w:rsidP="00DA3249">
      <w:pPr>
        <w:rPr>
          <w:lang w:eastAsia="ja-JP"/>
        </w:rPr>
      </w:pPr>
    </w:p>
    <w:p w:rsidR="006379B4" w:rsidRPr="00613957" w:rsidRDefault="006379B4" w:rsidP="00613957">
      <w:pPr>
        <w:pStyle w:val="Heading1"/>
      </w:pPr>
      <w:bookmarkStart w:id="27" w:name="_Toc335902667"/>
      <w:bookmarkStart w:id="28" w:name="_Toc362969228"/>
      <w:r w:rsidRPr="00613957">
        <w:t>Background</w:t>
      </w:r>
      <w:bookmarkEnd w:id="27"/>
      <w:bookmarkEnd w:id="28"/>
    </w:p>
    <w:p w:rsidR="006379B4" w:rsidRPr="00613957" w:rsidRDefault="006379B4" w:rsidP="00613957">
      <w:pPr>
        <w:pStyle w:val="Heading2"/>
      </w:pPr>
      <w:bookmarkStart w:id="29" w:name="_Toc335902668"/>
      <w:bookmarkStart w:id="30" w:name="_Toc362969229"/>
      <w:r w:rsidRPr="00613957">
        <w:t>Current arrangements for public reimbursement</w:t>
      </w:r>
      <w:bookmarkEnd w:id="29"/>
      <w:bookmarkEnd w:id="30"/>
    </w:p>
    <w:p w:rsidR="006379B4" w:rsidRPr="00320827" w:rsidRDefault="006379B4" w:rsidP="003402EB">
      <w:r w:rsidRPr="00A473FF">
        <w:t xml:space="preserve">DXA scanning is not currently funded for </w:t>
      </w:r>
      <w:r>
        <w:t xml:space="preserve">men and </w:t>
      </w:r>
      <w:r w:rsidRPr="00A473FF">
        <w:t xml:space="preserve">women below the age of 70 unless they suffer from certain pre-defined conditions. </w:t>
      </w:r>
      <w:r w:rsidRPr="00320827">
        <w:t xml:space="preserve">Unconditional access to DXA scanning under the </w:t>
      </w:r>
      <w:r>
        <w:t>s</w:t>
      </w:r>
      <w:r w:rsidRPr="00320827">
        <w:t xml:space="preserve">chedule is currently </w:t>
      </w:r>
      <w:r>
        <w:t>available</w:t>
      </w:r>
      <w:r w:rsidRPr="00320827">
        <w:t xml:space="preserve"> to persons aged 70 years and over (MBS item number 12323). A variety of other patient populations are covered for DXA</w:t>
      </w:r>
      <w:r>
        <w:t xml:space="preserve"> or QCT</w:t>
      </w:r>
      <w:r w:rsidRPr="00320827">
        <w:t xml:space="preserve"> under the MBS</w:t>
      </w:r>
      <w:r>
        <w:t xml:space="preserve"> (Table 3)</w:t>
      </w:r>
      <w:r w:rsidRPr="00320827">
        <w:t>, including</w:t>
      </w:r>
      <w:r>
        <w:t>:</w:t>
      </w:r>
    </w:p>
    <w:p w:rsidR="006379B4" w:rsidRPr="00320827" w:rsidRDefault="006379B4" w:rsidP="003402EB">
      <w:pPr>
        <w:numPr>
          <w:ilvl w:val="0"/>
          <w:numId w:val="7"/>
        </w:numPr>
        <w:spacing w:after="0"/>
        <w:ind w:left="714" w:hanging="357"/>
      </w:pPr>
      <w:r w:rsidRPr="00320827">
        <w:t xml:space="preserve">Presumed low BMD following </w:t>
      </w:r>
      <w:r>
        <w:t>one</w:t>
      </w:r>
      <w:r w:rsidRPr="00320827">
        <w:t xml:space="preserve"> or more fractures occurring after minimal trauma;</w:t>
      </w:r>
    </w:p>
    <w:p w:rsidR="006379B4" w:rsidRPr="00320827" w:rsidRDefault="006379B4" w:rsidP="003402EB">
      <w:pPr>
        <w:numPr>
          <w:ilvl w:val="0"/>
          <w:numId w:val="7"/>
        </w:numPr>
        <w:spacing w:after="0"/>
        <w:ind w:left="714" w:hanging="357"/>
      </w:pPr>
      <w:r w:rsidRPr="00320827">
        <w:t>Who have undergone prolonged glucocorticoid therapy and conditions associated with excess glucocorticoid secretion;</w:t>
      </w:r>
    </w:p>
    <w:p w:rsidR="006379B4" w:rsidRPr="00320827" w:rsidRDefault="006379B4" w:rsidP="003402EB">
      <w:pPr>
        <w:numPr>
          <w:ilvl w:val="0"/>
          <w:numId w:val="7"/>
        </w:numPr>
        <w:spacing w:after="0"/>
        <w:ind w:left="714" w:hanging="357"/>
      </w:pPr>
      <w:r w:rsidRPr="00320827">
        <w:t xml:space="preserve">Male (all) and </w:t>
      </w:r>
      <w:r>
        <w:t>f</w:t>
      </w:r>
      <w:r w:rsidRPr="00320827">
        <w:t xml:space="preserve">emale (lasting &gt; 6 months before the age of 45) </w:t>
      </w:r>
      <w:proofErr w:type="spellStart"/>
      <w:r w:rsidRPr="00320827">
        <w:t>hypogonadism</w:t>
      </w:r>
      <w:proofErr w:type="spellEnd"/>
    </w:p>
    <w:p w:rsidR="006379B4" w:rsidRPr="00320827" w:rsidRDefault="006379B4" w:rsidP="003402EB">
      <w:pPr>
        <w:numPr>
          <w:ilvl w:val="0"/>
          <w:numId w:val="7"/>
        </w:numPr>
        <w:spacing w:after="0"/>
        <w:ind w:left="714" w:hanging="357"/>
      </w:pPr>
      <w:r w:rsidRPr="00320827">
        <w:t>Primary hyperparathyroidism</w:t>
      </w:r>
    </w:p>
    <w:p w:rsidR="006379B4" w:rsidRPr="00320827" w:rsidRDefault="006379B4" w:rsidP="003402EB">
      <w:pPr>
        <w:numPr>
          <w:ilvl w:val="0"/>
          <w:numId w:val="7"/>
        </w:numPr>
        <w:spacing w:after="0"/>
        <w:ind w:left="714" w:hanging="357"/>
      </w:pPr>
      <w:r w:rsidRPr="00320827">
        <w:t>Chronic liver and/or renal disease</w:t>
      </w:r>
    </w:p>
    <w:p w:rsidR="006379B4" w:rsidRPr="00320827" w:rsidRDefault="006379B4" w:rsidP="003402EB">
      <w:pPr>
        <w:numPr>
          <w:ilvl w:val="0"/>
          <w:numId w:val="7"/>
        </w:numPr>
        <w:spacing w:after="0"/>
        <w:ind w:left="714" w:hanging="357"/>
      </w:pPr>
      <w:r w:rsidRPr="00320827">
        <w:t xml:space="preserve">Proven </w:t>
      </w:r>
      <w:proofErr w:type="spellStart"/>
      <w:r w:rsidRPr="00320827">
        <w:t>malabsorptive</w:t>
      </w:r>
      <w:proofErr w:type="spellEnd"/>
      <w:r w:rsidRPr="00320827">
        <w:t xml:space="preserve"> disorders;</w:t>
      </w:r>
    </w:p>
    <w:p w:rsidR="006379B4" w:rsidRPr="00320827" w:rsidRDefault="006379B4" w:rsidP="003402EB">
      <w:pPr>
        <w:numPr>
          <w:ilvl w:val="0"/>
          <w:numId w:val="7"/>
        </w:numPr>
        <w:spacing w:after="0"/>
        <w:ind w:left="714" w:hanging="357"/>
      </w:pPr>
      <w:r w:rsidRPr="00320827">
        <w:t>Rheumatoid arthritis; or</w:t>
      </w:r>
    </w:p>
    <w:p w:rsidR="006379B4" w:rsidRPr="00320827" w:rsidRDefault="006379B4" w:rsidP="003402EB">
      <w:pPr>
        <w:numPr>
          <w:ilvl w:val="0"/>
          <w:numId w:val="7"/>
        </w:numPr>
        <w:spacing w:after="0"/>
        <w:ind w:left="714" w:hanging="357"/>
      </w:pPr>
      <w:r w:rsidRPr="00320827">
        <w:t xml:space="preserve">Conditions associated with </w:t>
      </w:r>
      <w:proofErr w:type="spellStart"/>
      <w:r w:rsidRPr="00320827">
        <w:t>thyroxine</w:t>
      </w:r>
      <w:proofErr w:type="spellEnd"/>
      <w:r w:rsidRPr="00320827">
        <w:t xml:space="preserve"> excess</w:t>
      </w:r>
    </w:p>
    <w:p w:rsidR="006379B4" w:rsidRDefault="006379B4" w:rsidP="003402EB"/>
    <w:p w:rsidR="006379B4" w:rsidRDefault="006379B4" w:rsidP="003402EB">
      <w:r>
        <w:lastRenderedPageBreak/>
        <w:t xml:space="preserve">Table 3 </w:t>
      </w:r>
      <w:r w:rsidRPr="00C75B9D">
        <w:t xml:space="preserve">lists the currently available MBS item numbers </w:t>
      </w:r>
      <w:r>
        <w:t>for</w:t>
      </w:r>
      <w:r w:rsidRPr="00C75B9D">
        <w:t xml:space="preserve"> DXA</w:t>
      </w:r>
      <w:r>
        <w:t xml:space="preserve">. Relevant explanatory notes are in Appendix 5. </w:t>
      </w:r>
    </w:p>
    <w:p w:rsidR="006379B4" w:rsidRPr="00CF6D1F" w:rsidRDefault="006379B4" w:rsidP="001A1723">
      <w:pPr>
        <w:rPr>
          <w:rFonts w:eastAsia="Times New Roman"/>
          <w:lang w:eastAsia="en-US"/>
        </w:rPr>
      </w:pPr>
      <w:r w:rsidRPr="00887DEC">
        <w:t xml:space="preserve">Several different MBS items cover a variety of indications for </w:t>
      </w:r>
      <w:r>
        <w:t>repeat</w:t>
      </w:r>
      <w:r w:rsidRPr="00887DEC">
        <w:t xml:space="preserve"> scans every 12 or 24 months depending on the indication (</w:t>
      </w:r>
      <w:r>
        <w:t>See Table 3</w:t>
      </w:r>
      <w:r w:rsidRPr="00887DEC">
        <w:t xml:space="preserve">). </w:t>
      </w:r>
      <w:r>
        <w:t>According to current Australian guidelines (RACGP 2010</w:t>
      </w:r>
      <w:r w:rsidR="00FA61B1">
        <w:t>a</w:t>
      </w:r>
      <w:r>
        <w:t>), f</w:t>
      </w:r>
      <w:r w:rsidRPr="00887DEC">
        <w:t>or patients with low risk factors and T-scores a</w:t>
      </w:r>
      <w:r w:rsidR="00343D6B">
        <w:t xml:space="preserve">bove </w:t>
      </w:r>
      <w:proofErr w:type="spellStart"/>
      <w:r w:rsidR="00343D6B">
        <w:t>osteopenic</w:t>
      </w:r>
      <w:proofErr w:type="spellEnd"/>
      <w:r w:rsidR="00343D6B">
        <w:t xml:space="preserve"> values (</w:t>
      </w:r>
      <w:r w:rsidR="009B539B">
        <w:t>≥</w:t>
      </w:r>
      <w:r w:rsidR="00343D6B">
        <w:t>-1.0</w:t>
      </w:r>
      <w:r w:rsidRPr="00887DEC">
        <w:t xml:space="preserve">), </w:t>
      </w:r>
      <w:r>
        <w:t xml:space="preserve">repeat </w:t>
      </w:r>
      <w:r w:rsidRPr="00887DEC">
        <w:t xml:space="preserve">scans are </w:t>
      </w:r>
      <w:r>
        <w:t>not</w:t>
      </w:r>
      <w:r w:rsidRPr="00887DEC">
        <w:t xml:space="preserve"> required</w:t>
      </w:r>
      <w:r>
        <w:t xml:space="preserve"> unless</w:t>
      </w:r>
      <w:r w:rsidRPr="00887DEC">
        <w:t xml:space="preserve"> </w:t>
      </w:r>
      <w:r>
        <w:t>substantial</w:t>
      </w:r>
      <w:r w:rsidRPr="00887DEC">
        <w:t xml:space="preserve"> chang</w:t>
      </w:r>
      <w:r>
        <w:t>es</w:t>
      </w:r>
      <w:r w:rsidRPr="00887DEC">
        <w:t xml:space="preserve"> in circumstance (minimal trauma fracture or increased risk conditions).</w:t>
      </w:r>
      <w:r>
        <w:t xml:space="preserve"> </w:t>
      </w:r>
      <w:r w:rsidRPr="00C946A0">
        <w:t xml:space="preserve">People diagnosed with </w:t>
      </w:r>
      <w:r>
        <w:t>osteoporosis (≤-2.5)</w:t>
      </w:r>
      <w:r w:rsidRPr="00C946A0">
        <w:t xml:space="preserve"> would be eligible for repeat testing as required under </w:t>
      </w:r>
      <w:r>
        <w:t>MBS i</w:t>
      </w:r>
      <w:r w:rsidRPr="00C946A0">
        <w:t>tem 12306</w:t>
      </w:r>
      <w:r>
        <w:t xml:space="preserve">; however, </w:t>
      </w:r>
      <w:r w:rsidRPr="00887DEC">
        <w:t>patients with confirmed OP and receiving anti-osteoporotic treatment, repeat DXA scans are not generally required unless there is a change in, or cessation of, anti-osteoporotic therapy (</w:t>
      </w:r>
      <w:r w:rsidR="00FA61B1">
        <w:t>RACGP 2010b</w:t>
      </w:r>
      <w:r w:rsidRPr="00887DEC">
        <w:t>).</w:t>
      </w:r>
    </w:p>
    <w:p w:rsidR="006379B4" w:rsidRPr="00CF6D1F" w:rsidRDefault="006379B4" w:rsidP="00DD5A30">
      <w:pPr>
        <w:pStyle w:val="Caption"/>
        <w:rPr>
          <w:b w:val="0"/>
          <w:lang w:eastAsia="en-US"/>
        </w:rPr>
      </w:pPr>
      <w:bookmarkStart w:id="31" w:name="_Ref357601073"/>
      <w:r>
        <w:t xml:space="preserve">Table </w:t>
      </w:r>
      <w:r w:rsidR="008B566C">
        <w:fldChar w:fldCharType="begin"/>
      </w:r>
      <w:r w:rsidR="008B566C">
        <w:instrText xml:space="preserve"> SEQ Table \* ARABIC </w:instrText>
      </w:r>
      <w:r w:rsidR="008B566C">
        <w:fldChar w:fldCharType="separate"/>
      </w:r>
      <w:r w:rsidR="00D24164">
        <w:rPr>
          <w:noProof/>
        </w:rPr>
        <w:t>3</w:t>
      </w:r>
      <w:r w:rsidR="008B566C">
        <w:rPr>
          <w:noProof/>
        </w:rPr>
        <w:fldChar w:fldCharType="end"/>
      </w:r>
      <w:bookmarkEnd w:id="31"/>
      <w:r w:rsidRPr="00CF6D1F">
        <w:rPr>
          <w:b w:val="0"/>
          <w:lang w:eastAsia="en-US"/>
        </w:rPr>
        <w:t>:</w:t>
      </w:r>
      <w:r w:rsidRPr="00CF6D1F">
        <w:rPr>
          <w:b w:val="0"/>
          <w:lang w:eastAsia="en-US"/>
        </w:rPr>
        <w:tab/>
        <w:t>Current MBS item descriptor</w:t>
      </w:r>
      <w:r>
        <w:rPr>
          <w:b w:val="0"/>
          <w:lang w:eastAsia="en-US"/>
        </w:rPr>
        <w:t>s</w:t>
      </w:r>
      <w:r w:rsidRPr="00CF6D1F">
        <w:rPr>
          <w:b w:val="0"/>
          <w:lang w:eastAsia="en-US"/>
        </w:rPr>
        <w:t xml:space="preserve"> for </w:t>
      </w:r>
      <w:r>
        <w:rPr>
          <w:b w:val="0"/>
          <w:lang w:eastAsia="en-US"/>
        </w:rPr>
        <w:t>d</w:t>
      </w:r>
      <w:r w:rsidRPr="00CF6D1F">
        <w:rPr>
          <w:b w:val="0"/>
          <w:lang w:eastAsia="en-US"/>
        </w:rPr>
        <w:t>ual-energy X-ray absorptiometry</w:t>
      </w:r>
      <w:r>
        <w:rPr>
          <w:b w:val="0"/>
          <w:lang w:eastAsia="en-US"/>
        </w:rPr>
        <w:t xml:space="preserve"> and quantitative computed tomography</w:t>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134"/>
      </w:tblGrid>
      <w:tr w:rsidR="006379B4" w:rsidRPr="00CF6D1F">
        <w:tc>
          <w:tcPr>
            <w:tcW w:w="9134" w:type="dxa"/>
            <w:tcBorders>
              <w:top w:val="single" w:sz="4" w:space="0" w:color="000000"/>
            </w:tcBorders>
          </w:tcPr>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Category 2 – DIAGNOSTIC PROCEDURES AND INVESTIGATIONS, Bone Densitometry </w:t>
            </w:r>
          </w:p>
        </w:tc>
      </w:tr>
      <w:tr w:rsidR="006379B4" w:rsidRPr="00CF6D1F">
        <w:tc>
          <w:tcPr>
            <w:tcW w:w="9134" w:type="dxa"/>
            <w:tcBorders>
              <w:bottom w:val="single" w:sz="4" w:space="0" w:color="000000"/>
            </w:tcBorders>
          </w:tcPr>
          <w:p w:rsidR="006379B4" w:rsidRPr="00A07B5F" w:rsidRDefault="006379B4" w:rsidP="00A07B5F">
            <w:pPr>
              <w:spacing w:after="0"/>
              <w:jc w:val="left"/>
              <w:rPr>
                <w:rFonts w:ascii="Arial Narrow" w:hAnsi="Arial Narrow"/>
                <w:b/>
                <w:lang w:eastAsia="en-US"/>
              </w:rPr>
            </w:pPr>
            <w:r w:rsidRPr="00A07B5F">
              <w:rPr>
                <w:rFonts w:ascii="Arial Narrow" w:hAnsi="Arial Narrow"/>
                <w:b/>
                <w:lang w:eastAsia="en-US"/>
              </w:rPr>
              <w:t>MBS 12306</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for:</w:t>
            </w:r>
          </w:p>
          <w:p w:rsidR="006379B4" w:rsidRPr="00A07B5F" w:rsidRDefault="006379B4" w:rsidP="00BB68C2">
            <w:pPr>
              <w:numPr>
                <w:ilvl w:val="0"/>
                <w:numId w:val="8"/>
              </w:numPr>
              <w:spacing w:after="0"/>
              <w:jc w:val="left"/>
              <w:rPr>
                <w:rFonts w:ascii="Arial Narrow" w:hAnsi="Arial Narrow"/>
                <w:lang w:eastAsia="en-US"/>
              </w:rPr>
            </w:pPr>
            <w:r w:rsidRPr="00A07B5F">
              <w:rPr>
                <w:rFonts w:ascii="Arial Narrow" w:hAnsi="Arial Narrow"/>
                <w:lang w:eastAsia="en-US"/>
              </w:rPr>
              <w:t>The confirmation of a presumptive diagnosis of low bone mineral density made on the basis of 1 or more fractures occurring after minimal trauma; or</w:t>
            </w:r>
          </w:p>
          <w:p w:rsidR="006379B4" w:rsidRPr="00A07B5F" w:rsidRDefault="006379B4" w:rsidP="00BB68C2">
            <w:pPr>
              <w:numPr>
                <w:ilvl w:val="0"/>
                <w:numId w:val="8"/>
              </w:numPr>
              <w:spacing w:after="0"/>
              <w:jc w:val="left"/>
              <w:rPr>
                <w:rFonts w:ascii="Arial Narrow" w:hAnsi="Arial Narrow"/>
                <w:lang w:eastAsia="en-US"/>
              </w:rPr>
            </w:pPr>
            <w:r w:rsidRPr="00A07B5F">
              <w:rPr>
                <w:rFonts w:ascii="Arial Narrow" w:hAnsi="Arial Narrow"/>
                <w:lang w:eastAsia="en-US"/>
              </w:rPr>
              <w:t>For the monitoring of low bone mineral density proven by bone densitometry at least 12 months previously.</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Measurement of 2 or more sites – </w:t>
            </w:r>
            <w:r w:rsidRPr="00A07B5F">
              <w:rPr>
                <w:rFonts w:ascii="Arial Narrow" w:hAnsi="Arial Narrow"/>
                <w:b/>
                <w:lang w:eastAsia="en-US"/>
              </w:rPr>
              <w:t>1 service only in a period of 24 months</w:t>
            </w:r>
            <w:r w:rsidRPr="00A07B5F">
              <w:rPr>
                <w:rFonts w:ascii="Arial Narrow" w:hAnsi="Arial Narrow"/>
                <w:lang w:eastAsia="en-US"/>
              </w:rPr>
              <w:t xml:space="preserve"> – including interpretation and report; not being a service associated with a service to which item 12309, 12312, 12315, 12318 or 12321 applies (Ministerial Determination).</w:t>
            </w:r>
          </w:p>
          <w:p w:rsidR="006379B4" w:rsidRDefault="006379B4" w:rsidP="00EF29C6">
            <w:pPr>
              <w:spacing w:after="0"/>
              <w:jc w:val="left"/>
              <w:rPr>
                <w:rFonts w:ascii="Arial Narrow" w:hAnsi="Arial Narrow"/>
                <w:b/>
                <w:lang w:eastAsia="en-US"/>
              </w:rPr>
            </w:pPr>
            <w:r w:rsidRPr="008A1C66">
              <w:rPr>
                <w:rFonts w:ascii="Arial Narrow" w:hAnsi="Arial Narrow"/>
                <w:b/>
                <w:lang w:eastAsia="en-US"/>
              </w:rPr>
              <w:t xml:space="preserve">Fee: </w:t>
            </w:r>
            <w:r w:rsidRPr="00FF3C23">
              <w:rPr>
                <w:rFonts w:ascii="Arial Narrow" w:hAnsi="Arial Narrow"/>
                <w:lang w:eastAsia="en-US"/>
              </w:rPr>
              <w:t>$10</w:t>
            </w:r>
            <w:r w:rsidR="00EF29C6" w:rsidRPr="00FF3C23">
              <w:rPr>
                <w:rFonts w:ascii="Arial Narrow" w:hAnsi="Arial Narrow"/>
                <w:lang w:eastAsia="en-US"/>
              </w:rPr>
              <w:t>2.40</w:t>
            </w:r>
            <w:r w:rsidR="00EF29C6">
              <w:rPr>
                <w:rFonts w:ascii="Arial Narrow" w:hAnsi="Arial Narrow"/>
                <w:b/>
                <w:lang w:eastAsia="en-US"/>
              </w:rPr>
              <w:t xml:space="preserve"> </w:t>
            </w:r>
            <w:r w:rsidRPr="008A1C66">
              <w:rPr>
                <w:rFonts w:ascii="Arial Narrow" w:hAnsi="Arial Narrow"/>
                <w:b/>
                <w:lang w:eastAsia="en-US"/>
              </w:rPr>
              <w:t xml:space="preserve">Benefit: </w:t>
            </w:r>
            <w:r w:rsidRPr="00FF3C23">
              <w:rPr>
                <w:rFonts w:ascii="Arial Narrow" w:hAnsi="Arial Narrow"/>
                <w:lang w:eastAsia="en-US"/>
              </w:rPr>
              <w:t>75% = $</w:t>
            </w:r>
            <w:r w:rsidR="00EF29C6" w:rsidRPr="00FF3C23">
              <w:rPr>
                <w:rFonts w:ascii="Arial Narrow" w:hAnsi="Arial Narrow"/>
                <w:lang w:eastAsia="en-US"/>
              </w:rPr>
              <w:t>76</w:t>
            </w:r>
            <w:r w:rsidRPr="00FF3C23">
              <w:rPr>
                <w:rFonts w:ascii="Arial Narrow" w:hAnsi="Arial Narrow"/>
                <w:lang w:eastAsia="en-US"/>
              </w:rPr>
              <w:t>.</w:t>
            </w:r>
            <w:r w:rsidR="00EF29C6" w:rsidRPr="00FF3C23">
              <w:rPr>
                <w:rFonts w:ascii="Arial Narrow" w:hAnsi="Arial Narrow"/>
                <w:lang w:eastAsia="en-US"/>
              </w:rPr>
              <w:t xml:space="preserve">80 </w:t>
            </w:r>
            <w:r w:rsidRPr="00FF3C23">
              <w:rPr>
                <w:rFonts w:ascii="Arial Narrow" w:hAnsi="Arial Narrow"/>
                <w:lang w:eastAsia="en-US"/>
              </w:rPr>
              <w:t>85% = $</w:t>
            </w:r>
            <w:r w:rsidR="00EF29C6" w:rsidRPr="00FF3C23">
              <w:rPr>
                <w:rFonts w:ascii="Arial Narrow" w:hAnsi="Arial Narrow"/>
                <w:lang w:eastAsia="en-US"/>
              </w:rPr>
              <w:t>87</w:t>
            </w:r>
            <w:r w:rsidRPr="00FF3C23">
              <w:rPr>
                <w:rFonts w:ascii="Arial Narrow" w:hAnsi="Arial Narrow"/>
                <w:lang w:eastAsia="en-US"/>
              </w:rPr>
              <w:t>.</w:t>
            </w:r>
            <w:r w:rsidR="00EF29C6" w:rsidRPr="00FF3C23">
              <w:rPr>
                <w:rFonts w:ascii="Arial Narrow" w:hAnsi="Arial Narrow"/>
                <w:lang w:eastAsia="en-US"/>
              </w:rPr>
              <w:t>05</w:t>
            </w:r>
          </w:p>
          <w:p w:rsidR="00E75520" w:rsidRPr="00A07B5F" w:rsidRDefault="00E75520" w:rsidP="00EF29C6">
            <w:pPr>
              <w:spacing w:after="0"/>
              <w:jc w:val="left"/>
              <w:rPr>
                <w:rFonts w:ascii="Arial Narrow" w:hAnsi="Arial Narrow"/>
                <w:lang w:eastAsia="en-US"/>
              </w:rPr>
            </w:pPr>
            <w:r w:rsidRPr="00E75520">
              <w:rPr>
                <w:rFonts w:ascii="Arial Narrow" w:hAnsi="Arial Narrow"/>
                <w:lang w:eastAsia="en-US"/>
              </w:rPr>
              <w:t>Relevant explanatory notes: See Note D1.27</w:t>
            </w:r>
          </w:p>
        </w:tc>
      </w:tr>
      <w:tr w:rsidR="006379B4" w:rsidRPr="00CF6D1F">
        <w:tc>
          <w:tcPr>
            <w:tcW w:w="9134" w:type="dxa"/>
            <w:tcBorders>
              <w:bottom w:val="single" w:sz="4" w:space="0" w:color="000000"/>
            </w:tcBorders>
          </w:tcPr>
          <w:p w:rsidR="006379B4" w:rsidRDefault="006379B4" w:rsidP="00A07B5F">
            <w:pPr>
              <w:spacing w:after="0"/>
              <w:jc w:val="left"/>
              <w:rPr>
                <w:rFonts w:ascii="Arial Narrow" w:hAnsi="Arial Narrow"/>
                <w:b/>
                <w:lang w:eastAsia="en-US"/>
              </w:rPr>
            </w:pPr>
            <w:r w:rsidRPr="00A07B5F">
              <w:rPr>
                <w:rFonts w:ascii="Arial Narrow" w:hAnsi="Arial Narrow"/>
                <w:lang w:eastAsia="en-US"/>
              </w:rPr>
              <w:t xml:space="preserve">Category 2 – DIAGNOSTIC PROCEDURES AND INVESTIGATIONS, Bone Densitometry </w:t>
            </w:r>
          </w:p>
          <w:p w:rsidR="0069266E" w:rsidRDefault="006379B4" w:rsidP="00A05EB0">
            <w:pPr>
              <w:spacing w:after="0"/>
              <w:jc w:val="left"/>
              <w:rPr>
                <w:rFonts w:ascii="Arial Narrow" w:hAnsi="Arial Narrow"/>
                <w:b/>
                <w:lang w:eastAsia="en-US"/>
              </w:rPr>
            </w:pPr>
            <w:r>
              <w:rPr>
                <w:rFonts w:ascii="Arial Narrow" w:hAnsi="Arial Narrow"/>
                <w:b/>
                <w:lang w:eastAsia="en-US"/>
              </w:rPr>
              <w:t xml:space="preserve">MBS </w:t>
            </w:r>
            <w:r w:rsidRPr="00A05EB0">
              <w:rPr>
                <w:rFonts w:ascii="Arial Narrow" w:hAnsi="Arial Narrow"/>
                <w:b/>
                <w:lang w:eastAsia="en-US"/>
              </w:rPr>
              <w:t>12309</w:t>
            </w:r>
          </w:p>
          <w:p w:rsidR="006379B4" w:rsidRPr="00A05EB0" w:rsidRDefault="006379B4" w:rsidP="00A05EB0">
            <w:pPr>
              <w:spacing w:after="0"/>
              <w:jc w:val="left"/>
              <w:rPr>
                <w:rFonts w:ascii="Arial Narrow" w:hAnsi="Arial Narrow"/>
                <w:lang w:eastAsia="en-US"/>
              </w:rPr>
            </w:pPr>
            <w:r w:rsidRPr="00A05EB0">
              <w:rPr>
                <w:rFonts w:ascii="Arial Narrow" w:hAnsi="Arial Narrow"/>
                <w:lang w:eastAsia="en-US"/>
              </w:rPr>
              <w:t xml:space="preserve">Bone densitometry (performed by a specialist or consultant physician where the patient is referred by another medical practitioner), using quantitative computerised tomography, for: </w:t>
            </w:r>
          </w:p>
          <w:p w:rsidR="006379B4" w:rsidRPr="00A05EB0" w:rsidRDefault="006379B4" w:rsidP="00821E1A">
            <w:pPr>
              <w:pStyle w:val="ListParagraph"/>
              <w:numPr>
                <w:ilvl w:val="0"/>
                <w:numId w:val="17"/>
              </w:numPr>
              <w:spacing w:after="0"/>
              <w:jc w:val="left"/>
              <w:rPr>
                <w:rFonts w:ascii="Arial Narrow" w:hAnsi="Arial Narrow"/>
                <w:lang w:eastAsia="en-US"/>
              </w:rPr>
            </w:pPr>
            <w:r w:rsidRPr="00A05EB0">
              <w:rPr>
                <w:rFonts w:ascii="Arial Narrow" w:hAnsi="Arial Narrow"/>
                <w:lang w:eastAsia="en-US"/>
              </w:rPr>
              <w:t>the confirmation of a presumptive diagnosis of low bone mineral density made on the basis of 1 or more fractures</w:t>
            </w:r>
            <w:r w:rsidR="0069266E">
              <w:rPr>
                <w:rFonts w:ascii="Arial Narrow" w:hAnsi="Arial Narrow"/>
                <w:lang w:eastAsia="en-US"/>
              </w:rPr>
              <w:t xml:space="preserve"> </w:t>
            </w:r>
            <w:r w:rsidRPr="00A05EB0">
              <w:rPr>
                <w:rFonts w:ascii="Arial Narrow" w:hAnsi="Arial Narrow"/>
                <w:lang w:eastAsia="en-US"/>
              </w:rPr>
              <w:t xml:space="preserve">occurring after minimal trauma; or </w:t>
            </w:r>
          </w:p>
          <w:p w:rsidR="006379B4" w:rsidRPr="00A05EB0" w:rsidRDefault="006379B4" w:rsidP="00821E1A">
            <w:pPr>
              <w:pStyle w:val="ListParagraph"/>
              <w:numPr>
                <w:ilvl w:val="0"/>
                <w:numId w:val="17"/>
              </w:numPr>
              <w:spacing w:after="0"/>
              <w:jc w:val="left"/>
              <w:rPr>
                <w:rFonts w:ascii="Arial Narrow" w:hAnsi="Arial Narrow"/>
                <w:lang w:eastAsia="en-US"/>
              </w:rPr>
            </w:pPr>
            <w:proofErr w:type="gramStart"/>
            <w:r w:rsidRPr="00A05EB0">
              <w:rPr>
                <w:rFonts w:ascii="Arial Narrow" w:hAnsi="Arial Narrow"/>
                <w:lang w:eastAsia="en-US"/>
              </w:rPr>
              <w:t>for</w:t>
            </w:r>
            <w:proofErr w:type="gramEnd"/>
            <w:r w:rsidRPr="00A05EB0">
              <w:rPr>
                <w:rFonts w:ascii="Arial Narrow" w:hAnsi="Arial Narrow"/>
                <w:lang w:eastAsia="en-US"/>
              </w:rPr>
              <w:t xml:space="preserve"> the monitoring of low bone mineral density proven by bone densitometry at least 12 months previously. </w:t>
            </w:r>
          </w:p>
          <w:p w:rsidR="006379B4" w:rsidRPr="00A05EB0" w:rsidRDefault="006379B4" w:rsidP="00A05EB0">
            <w:pPr>
              <w:spacing w:after="0"/>
              <w:jc w:val="left"/>
              <w:rPr>
                <w:rFonts w:ascii="Arial Narrow" w:hAnsi="Arial Narrow"/>
                <w:lang w:eastAsia="en-US"/>
              </w:rPr>
            </w:pPr>
            <w:r w:rsidRPr="00A05EB0">
              <w:rPr>
                <w:rFonts w:ascii="Arial Narrow" w:hAnsi="Arial Narrow"/>
                <w:lang w:eastAsia="en-US"/>
              </w:rPr>
              <w:t xml:space="preserve">Measurement of 2 or more sites - 1 service only in a period of 24 months - including interpretation and report; not being a service associated with a service to which item 12306, 12312, 12315, 12318 or 12321 applies (Ministerial Determination) </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E75520" w:rsidRPr="00FF3C23" w:rsidRDefault="00E75520" w:rsidP="00FF3C23">
            <w:pPr>
              <w:spacing w:after="0"/>
              <w:contextualSpacing/>
              <w:jc w:val="left"/>
              <w:rPr>
                <w:rFonts w:ascii="Arial Narrow" w:hAnsi="Arial Narrow"/>
                <w:lang w:eastAsia="en-US"/>
              </w:rPr>
            </w:pPr>
            <w:r w:rsidRPr="00FF3C23">
              <w:rPr>
                <w:rFonts w:ascii="Arial Narrow" w:hAnsi="Arial Narrow"/>
                <w:lang w:eastAsia="en-US"/>
              </w:rPr>
              <w:t>Relevant explanatory notes: See Note D1.27</w:t>
            </w:r>
          </w:p>
        </w:tc>
      </w:tr>
      <w:tr w:rsidR="006379B4" w:rsidRPr="00CF6D1F">
        <w:tblPrEx>
          <w:tblBorders>
            <w:insideH w:val="single" w:sz="4" w:space="0" w:color="000000"/>
          </w:tblBorders>
        </w:tblPrEx>
        <w:tc>
          <w:tcPr>
            <w:tcW w:w="9134" w:type="dxa"/>
            <w:tcBorders>
              <w:bottom w:val="nil"/>
            </w:tcBorders>
          </w:tcPr>
          <w:p w:rsidR="006379B4" w:rsidRPr="00A07B5F" w:rsidRDefault="006379B4" w:rsidP="001A1723">
            <w:pPr>
              <w:spacing w:after="0"/>
              <w:contextualSpacing/>
              <w:jc w:val="left"/>
              <w:rPr>
                <w:rFonts w:ascii="Arial Narrow" w:hAnsi="Arial Narrow"/>
                <w:lang w:eastAsia="en-US"/>
              </w:rPr>
            </w:pPr>
            <w:r w:rsidRPr="00A07B5F">
              <w:rPr>
                <w:rFonts w:ascii="Arial Narrow" w:hAnsi="Arial Narrow"/>
                <w:lang w:eastAsia="en-US"/>
              </w:rPr>
              <w:t>Category 2 – DIAGNOSTIC PROCEDURES AND INVESTIGATIONS, Bone Densitometry</w:t>
            </w:r>
          </w:p>
        </w:tc>
      </w:tr>
      <w:tr w:rsidR="006379B4" w:rsidRPr="00CF6D1F">
        <w:tblPrEx>
          <w:tblBorders>
            <w:insideH w:val="single" w:sz="4" w:space="0" w:color="000000"/>
          </w:tblBorders>
        </w:tblPrEx>
        <w:tc>
          <w:tcPr>
            <w:tcW w:w="9134" w:type="dxa"/>
            <w:tcBorders>
              <w:top w:val="nil"/>
            </w:tcBorders>
          </w:tcPr>
          <w:p w:rsidR="006379B4" w:rsidRPr="00A07B5F" w:rsidRDefault="006379B4" w:rsidP="001A1723">
            <w:pPr>
              <w:spacing w:after="0"/>
              <w:contextualSpacing/>
              <w:jc w:val="left"/>
              <w:rPr>
                <w:rFonts w:ascii="Arial Narrow" w:hAnsi="Arial Narrow"/>
                <w:b/>
                <w:lang w:eastAsia="en-US"/>
              </w:rPr>
            </w:pPr>
            <w:r w:rsidRPr="00A07B5F">
              <w:rPr>
                <w:rFonts w:ascii="Arial Narrow" w:hAnsi="Arial Narrow"/>
                <w:b/>
                <w:lang w:eastAsia="en-US"/>
              </w:rPr>
              <w:t>MBS 12312</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w:t>
            </w:r>
            <w:r w:rsidRPr="00A07B5F">
              <w:rPr>
                <w:rFonts w:ascii="Arial Narrow" w:hAnsi="Arial Narrow"/>
                <w:lang w:eastAsia="en-US"/>
              </w:rPr>
              <w:t xml:space="preserve"> </w:t>
            </w:r>
            <w:r w:rsidRPr="00A07B5F">
              <w:rPr>
                <w:rFonts w:ascii="Arial Narrow" w:hAnsi="Arial Narrow"/>
                <w:b/>
                <w:lang w:eastAsia="en-US"/>
              </w:rPr>
              <w:t>dual energy X-ray absorptiometry</w:t>
            </w:r>
            <w:r w:rsidRPr="00A07B5F">
              <w:rPr>
                <w:rFonts w:ascii="Arial Narrow" w:hAnsi="Arial Narrow"/>
                <w:lang w:eastAsia="en-US"/>
              </w:rPr>
              <w:t>, for the diagnosis and monitoring of bone loss associated with 1 or more of the following conditions:</w:t>
            </w:r>
          </w:p>
          <w:p w:rsidR="006379B4" w:rsidRPr="00A07B5F" w:rsidRDefault="006379B4" w:rsidP="00BB68C2">
            <w:pPr>
              <w:numPr>
                <w:ilvl w:val="0"/>
                <w:numId w:val="9"/>
              </w:numPr>
              <w:spacing w:after="0"/>
              <w:jc w:val="left"/>
              <w:rPr>
                <w:rFonts w:ascii="Arial Narrow" w:hAnsi="Arial Narrow"/>
                <w:lang w:eastAsia="en-US"/>
              </w:rPr>
            </w:pPr>
            <w:r w:rsidRPr="00A07B5F">
              <w:rPr>
                <w:rFonts w:ascii="Arial Narrow" w:hAnsi="Arial Narrow"/>
                <w:lang w:eastAsia="en-US"/>
              </w:rPr>
              <w:t>Prolonged glucocorticoid therapy;</w:t>
            </w:r>
          </w:p>
          <w:p w:rsidR="006379B4" w:rsidRPr="00A07B5F" w:rsidRDefault="006379B4" w:rsidP="00BB68C2">
            <w:pPr>
              <w:numPr>
                <w:ilvl w:val="0"/>
                <w:numId w:val="9"/>
              </w:numPr>
              <w:spacing w:after="0"/>
              <w:jc w:val="left"/>
              <w:rPr>
                <w:rFonts w:ascii="Arial Narrow" w:hAnsi="Arial Narrow"/>
                <w:lang w:eastAsia="en-US"/>
              </w:rPr>
            </w:pPr>
            <w:r w:rsidRPr="00A07B5F">
              <w:rPr>
                <w:rFonts w:ascii="Arial Narrow" w:hAnsi="Arial Narrow"/>
                <w:lang w:eastAsia="en-US"/>
              </w:rPr>
              <w:t>Conditions associated with excess glucocorticoid secretion;</w:t>
            </w:r>
          </w:p>
          <w:p w:rsidR="006379B4" w:rsidRPr="00A07B5F" w:rsidRDefault="006379B4" w:rsidP="00BB68C2">
            <w:pPr>
              <w:numPr>
                <w:ilvl w:val="0"/>
                <w:numId w:val="9"/>
              </w:numPr>
              <w:spacing w:after="0"/>
              <w:jc w:val="left"/>
              <w:rPr>
                <w:rFonts w:ascii="Arial Narrow" w:hAnsi="Arial Narrow"/>
                <w:lang w:eastAsia="en-US"/>
              </w:rPr>
            </w:pPr>
            <w:r w:rsidRPr="00A07B5F">
              <w:rPr>
                <w:rFonts w:ascii="Arial Narrow" w:hAnsi="Arial Narrow"/>
                <w:lang w:eastAsia="en-US"/>
              </w:rPr>
              <w:t xml:space="preserve">Male </w:t>
            </w:r>
            <w:proofErr w:type="spellStart"/>
            <w:r w:rsidRPr="00A07B5F">
              <w:rPr>
                <w:rFonts w:ascii="Arial Narrow" w:hAnsi="Arial Narrow"/>
                <w:lang w:eastAsia="en-US"/>
              </w:rPr>
              <w:t>hypogonadism</w:t>
            </w:r>
            <w:proofErr w:type="spellEnd"/>
            <w:r w:rsidRPr="00A07B5F">
              <w:rPr>
                <w:rFonts w:ascii="Arial Narrow" w:hAnsi="Arial Narrow"/>
                <w:lang w:eastAsia="en-US"/>
              </w:rPr>
              <w:t>; or</w:t>
            </w:r>
          </w:p>
          <w:p w:rsidR="006379B4" w:rsidRPr="00A07B5F" w:rsidRDefault="006379B4" w:rsidP="00BB68C2">
            <w:pPr>
              <w:numPr>
                <w:ilvl w:val="0"/>
                <w:numId w:val="9"/>
              </w:numPr>
              <w:spacing w:after="0"/>
              <w:jc w:val="left"/>
              <w:rPr>
                <w:rFonts w:ascii="Arial Narrow" w:hAnsi="Arial Narrow"/>
                <w:lang w:eastAsia="en-US"/>
              </w:rPr>
            </w:pPr>
            <w:r w:rsidRPr="00A07B5F">
              <w:rPr>
                <w:rFonts w:ascii="Arial Narrow" w:hAnsi="Arial Narrow"/>
                <w:lang w:eastAsia="en-US"/>
              </w:rPr>
              <w:lastRenderedPageBreak/>
              <w:t xml:space="preserve">Female </w:t>
            </w:r>
            <w:proofErr w:type="spellStart"/>
            <w:r w:rsidRPr="00A07B5F">
              <w:rPr>
                <w:rFonts w:ascii="Arial Narrow" w:hAnsi="Arial Narrow"/>
                <w:lang w:eastAsia="en-US"/>
              </w:rPr>
              <w:t>hypogonadism</w:t>
            </w:r>
            <w:proofErr w:type="spellEnd"/>
            <w:r w:rsidRPr="00A07B5F">
              <w:rPr>
                <w:rFonts w:ascii="Arial Narrow" w:hAnsi="Arial Narrow"/>
                <w:lang w:eastAsia="en-US"/>
              </w:rPr>
              <w:t xml:space="preserve"> lasting more than 6 months before the age of 45</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Where the bone density measurement will contribute to the management of a patient with any of the above conditions – measurement of 2 or more sites – </w:t>
            </w:r>
            <w:r w:rsidRPr="00A07B5F">
              <w:rPr>
                <w:rFonts w:ascii="Arial Narrow" w:hAnsi="Arial Narrow"/>
                <w:b/>
                <w:lang w:eastAsia="en-US"/>
              </w:rPr>
              <w:t>1 service only in a period of 12 consecutive months</w:t>
            </w:r>
            <w:r w:rsidRPr="00A07B5F">
              <w:rPr>
                <w:rFonts w:ascii="Arial Narrow" w:hAnsi="Arial Narrow"/>
                <w:lang w:eastAsia="en-US"/>
              </w:rPr>
              <w:t xml:space="preserve"> – including interpretation and report; not being a service associated with a service to which item 12306, 12309, 12315, 12318 or 12321 applies (Ministerial Determination)</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E75520" w:rsidRPr="00E75520" w:rsidRDefault="00E75520" w:rsidP="001A1723">
            <w:pPr>
              <w:spacing w:after="0"/>
              <w:jc w:val="left"/>
              <w:rPr>
                <w:rFonts w:ascii="Arial Narrow" w:hAnsi="Arial Narrow"/>
                <w:lang w:eastAsia="en-US"/>
              </w:rPr>
            </w:pPr>
            <w:r w:rsidRPr="00E75520">
              <w:rPr>
                <w:rFonts w:ascii="Arial Narrow" w:hAnsi="Arial Narrow"/>
                <w:lang w:eastAsia="en-US"/>
              </w:rPr>
              <w:t>Relevant explanatory notes: See Note D1.27</w:t>
            </w:r>
          </w:p>
        </w:tc>
      </w:tr>
      <w:tr w:rsidR="006379B4" w:rsidRPr="00CF6D1F">
        <w:tblPrEx>
          <w:tblBorders>
            <w:insideH w:val="single" w:sz="4" w:space="0" w:color="000000"/>
          </w:tblBorders>
        </w:tblPrEx>
        <w:tc>
          <w:tcPr>
            <w:tcW w:w="9134" w:type="dxa"/>
            <w:tcBorders>
              <w:bottom w:val="nil"/>
            </w:tcBorders>
          </w:tcPr>
          <w:p w:rsidR="006379B4" w:rsidRPr="00A07B5F" w:rsidRDefault="006379B4" w:rsidP="001A1723">
            <w:pPr>
              <w:spacing w:after="0"/>
              <w:contextualSpacing/>
              <w:jc w:val="left"/>
              <w:rPr>
                <w:rFonts w:ascii="Arial Narrow" w:hAnsi="Arial Narrow"/>
                <w:lang w:eastAsia="en-US"/>
              </w:rPr>
            </w:pPr>
            <w:r w:rsidRPr="00A07B5F">
              <w:rPr>
                <w:rFonts w:ascii="Arial Narrow" w:hAnsi="Arial Narrow"/>
                <w:lang w:eastAsia="en-US"/>
              </w:rPr>
              <w:lastRenderedPageBreak/>
              <w:t>Category 2 – DIAGNOSTIC PROCEDURES AND INVESTIGATIONS, Bone Densitometry</w:t>
            </w:r>
          </w:p>
        </w:tc>
      </w:tr>
      <w:tr w:rsidR="006379B4" w:rsidRPr="00CF6D1F">
        <w:tblPrEx>
          <w:tblBorders>
            <w:insideH w:val="single" w:sz="4" w:space="0" w:color="000000"/>
          </w:tblBorders>
        </w:tblPrEx>
        <w:tc>
          <w:tcPr>
            <w:tcW w:w="9134" w:type="dxa"/>
            <w:tcBorders>
              <w:top w:val="nil"/>
            </w:tcBorders>
          </w:tcPr>
          <w:p w:rsidR="006379B4" w:rsidRPr="00A07B5F" w:rsidRDefault="006379B4" w:rsidP="001A1723">
            <w:pPr>
              <w:spacing w:after="0"/>
              <w:contextualSpacing/>
              <w:jc w:val="left"/>
              <w:rPr>
                <w:rFonts w:ascii="Arial Narrow" w:hAnsi="Arial Narrow"/>
                <w:b/>
                <w:lang w:eastAsia="en-US"/>
              </w:rPr>
            </w:pPr>
            <w:r w:rsidRPr="00A07B5F">
              <w:rPr>
                <w:rFonts w:ascii="Arial Narrow" w:hAnsi="Arial Narrow"/>
                <w:b/>
                <w:lang w:eastAsia="en-US"/>
              </w:rPr>
              <w:t>MBS 12315</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for the diagnosis and monitoring of bone loss associated with 1 or more of the following conditions:</w:t>
            </w:r>
          </w:p>
          <w:p w:rsidR="006379B4" w:rsidRPr="00A07B5F" w:rsidRDefault="006379B4" w:rsidP="00BB68C2">
            <w:pPr>
              <w:numPr>
                <w:ilvl w:val="0"/>
                <w:numId w:val="12"/>
              </w:numPr>
              <w:spacing w:after="0"/>
              <w:jc w:val="left"/>
              <w:rPr>
                <w:rFonts w:ascii="Arial Narrow" w:hAnsi="Arial Narrow"/>
                <w:lang w:eastAsia="en-US"/>
              </w:rPr>
            </w:pPr>
            <w:r w:rsidRPr="00A07B5F">
              <w:rPr>
                <w:rFonts w:ascii="Arial Narrow" w:hAnsi="Arial Narrow"/>
                <w:lang w:eastAsia="en-US"/>
              </w:rPr>
              <w:t>Primary hyperparathyroidism;</w:t>
            </w:r>
          </w:p>
          <w:p w:rsidR="006379B4" w:rsidRPr="00A07B5F" w:rsidRDefault="006379B4" w:rsidP="00BB68C2">
            <w:pPr>
              <w:numPr>
                <w:ilvl w:val="0"/>
                <w:numId w:val="12"/>
              </w:numPr>
              <w:spacing w:after="0"/>
              <w:jc w:val="left"/>
              <w:rPr>
                <w:rFonts w:ascii="Arial Narrow" w:hAnsi="Arial Narrow"/>
                <w:lang w:eastAsia="en-US"/>
              </w:rPr>
            </w:pPr>
            <w:r w:rsidRPr="00A07B5F">
              <w:rPr>
                <w:rFonts w:ascii="Arial Narrow" w:hAnsi="Arial Narrow"/>
                <w:lang w:eastAsia="en-US"/>
              </w:rPr>
              <w:t>Chronic liver disease;</w:t>
            </w:r>
          </w:p>
          <w:p w:rsidR="006379B4" w:rsidRPr="00A07B5F" w:rsidRDefault="006379B4" w:rsidP="00BB68C2">
            <w:pPr>
              <w:numPr>
                <w:ilvl w:val="0"/>
                <w:numId w:val="12"/>
              </w:numPr>
              <w:spacing w:after="0"/>
              <w:jc w:val="left"/>
              <w:rPr>
                <w:rFonts w:ascii="Arial Narrow" w:hAnsi="Arial Narrow"/>
                <w:lang w:eastAsia="en-US"/>
              </w:rPr>
            </w:pPr>
            <w:r w:rsidRPr="00A07B5F">
              <w:rPr>
                <w:rFonts w:ascii="Arial Narrow" w:hAnsi="Arial Narrow"/>
                <w:lang w:eastAsia="en-US"/>
              </w:rPr>
              <w:t>Chronic renal disease;</w:t>
            </w:r>
          </w:p>
          <w:p w:rsidR="006379B4" w:rsidRPr="00A07B5F" w:rsidRDefault="006379B4" w:rsidP="00BB68C2">
            <w:pPr>
              <w:numPr>
                <w:ilvl w:val="0"/>
                <w:numId w:val="12"/>
              </w:numPr>
              <w:spacing w:after="0"/>
              <w:jc w:val="left"/>
              <w:rPr>
                <w:rFonts w:ascii="Arial Narrow" w:hAnsi="Arial Narrow"/>
                <w:lang w:eastAsia="en-US"/>
              </w:rPr>
            </w:pPr>
            <w:r w:rsidRPr="00A07B5F">
              <w:rPr>
                <w:rFonts w:ascii="Arial Narrow" w:hAnsi="Arial Narrow"/>
                <w:lang w:eastAsia="en-US"/>
              </w:rPr>
              <w:t xml:space="preserve">Proven </w:t>
            </w:r>
            <w:proofErr w:type="spellStart"/>
            <w:r w:rsidRPr="00A07B5F">
              <w:rPr>
                <w:rFonts w:ascii="Arial Narrow" w:hAnsi="Arial Narrow"/>
                <w:lang w:eastAsia="en-US"/>
              </w:rPr>
              <w:t>malabsorptive</w:t>
            </w:r>
            <w:proofErr w:type="spellEnd"/>
            <w:r w:rsidRPr="00A07B5F">
              <w:rPr>
                <w:rFonts w:ascii="Arial Narrow" w:hAnsi="Arial Narrow"/>
                <w:lang w:eastAsia="en-US"/>
              </w:rPr>
              <w:t xml:space="preserve"> disorders;</w:t>
            </w:r>
          </w:p>
          <w:p w:rsidR="006379B4" w:rsidRPr="00A07B5F" w:rsidRDefault="006379B4" w:rsidP="00BB68C2">
            <w:pPr>
              <w:numPr>
                <w:ilvl w:val="0"/>
                <w:numId w:val="12"/>
              </w:numPr>
              <w:spacing w:after="0"/>
              <w:jc w:val="left"/>
              <w:rPr>
                <w:rFonts w:ascii="Arial Narrow" w:hAnsi="Arial Narrow"/>
                <w:lang w:eastAsia="en-US"/>
              </w:rPr>
            </w:pPr>
            <w:r w:rsidRPr="00A07B5F">
              <w:rPr>
                <w:rFonts w:ascii="Arial Narrow" w:hAnsi="Arial Narrow"/>
                <w:lang w:eastAsia="en-US"/>
              </w:rPr>
              <w:t>Rheumatoid arthritis; or</w:t>
            </w:r>
          </w:p>
          <w:p w:rsidR="006379B4" w:rsidRPr="00A07B5F" w:rsidRDefault="006379B4" w:rsidP="00BB68C2">
            <w:pPr>
              <w:numPr>
                <w:ilvl w:val="0"/>
                <w:numId w:val="12"/>
              </w:numPr>
              <w:spacing w:after="0"/>
              <w:jc w:val="left"/>
              <w:rPr>
                <w:rFonts w:ascii="Arial Narrow" w:hAnsi="Arial Narrow"/>
                <w:lang w:eastAsia="en-US"/>
              </w:rPr>
            </w:pPr>
            <w:r w:rsidRPr="00A07B5F">
              <w:rPr>
                <w:rFonts w:ascii="Arial Narrow" w:hAnsi="Arial Narrow"/>
                <w:lang w:eastAsia="en-US"/>
              </w:rPr>
              <w:t xml:space="preserve">Conditions associated with </w:t>
            </w:r>
            <w:proofErr w:type="spellStart"/>
            <w:r w:rsidRPr="00A07B5F">
              <w:rPr>
                <w:rFonts w:ascii="Arial Narrow" w:hAnsi="Arial Narrow"/>
                <w:lang w:eastAsia="en-US"/>
              </w:rPr>
              <w:t>thyroxine</w:t>
            </w:r>
            <w:proofErr w:type="spellEnd"/>
            <w:r w:rsidRPr="00A07B5F">
              <w:rPr>
                <w:rFonts w:ascii="Arial Narrow" w:hAnsi="Arial Narrow"/>
                <w:lang w:eastAsia="en-US"/>
              </w:rPr>
              <w:t xml:space="preserve"> excess</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Where the bone density measurement will contribute to the management of a patient with any of the above conditions – measurement of 2 or more sites – </w:t>
            </w:r>
            <w:r w:rsidRPr="00A07B5F">
              <w:rPr>
                <w:rFonts w:ascii="Arial Narrow" w:hAnsi="Arial Narrow"/>
                <w:b/>
                <w:lang w:eastAsia="en-US"/>
              </w:rPr>
              <w:t>1 service only in a period of 24 consecutive months</w:t>
            </w:r>
            <w:r w:rsidRPr="00A07B5F">
              <w:rPr>
                <w:rFonts w:ascii="Arial Narrow" w:hAnsi="Arial Narrow"/>
                <w:lang w:eastAsia="en-US"/>
              </w:rPr>
              <w:t xml:space="preserve"> – including interpretation and report; not being a service associated with a service to which items 12306, 12309, 12312, 12318 or 12321 applies (Ministerial Determination)</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E75520" w:rsidRPr="00FF3C23" w:rsidRDefault="00E75520" w:rsidP="00FF3C23">
            <w:pPr>
              <w:spacing w:after="0"/>
              <w:contextualSpacing/>
              <w:jc w:val="left"/>
              <w:rPr>
                <w:rFonts w:ascii="Arial Narrow" w:hAnsi="Arial Narrow"/>
                <w:lang w:eastAsia="en-US"/>
              </w:rPr>
            </w:pPr>
            <w:r w:rsidRPr="00FF3C23">
              <w:rPr>
                <w:rFonts w:ascii="Arial Narrow" w:hAnsi="Arial Narrow"/>
                <w:lang w:eastAsia="en-US"/>
              </w:rPr>
              <w:t>Relevant explanatory notes: See Note D1.27</w:t>
            </w:r>
          </w:p>
        </w:tc>
      </w:tr>
      <w:tr w:rsidR="006379B4" w:rsidRPr="00CF6D1F">
        <w:tblPrEx>
          <w:tblBorders>
            <w:insideH w:val="single" w:sz="4" w:space="0" w:color="000000"/>
          </w:tblBorders>
        </w:tblPrEx>
        <w:tc>
          <w:tcPr>
            <w:tcW w:w="9134" w:type="dxa"/>
            <w:tcBorders>
              <w:top w:val="nil"/>
            </w:tcBorders>
          </w:tcPr>
          <w:p w:rsidR="006379B4" w:rsidRDefault="006379B4" w:rsidP="00A05EB0">
            <w:pPr>
              <w:spacing w:after="0"/>
              <w:jc w:val="left"/>
              <w:rPr>
                <w:rFonts w:ascii="Arial Narrow" w:hAnsi="Arial Narrow"/>
                <w:lang w:eastAsia="en-US"/>
              </w:rPr>
            </w:pPr>
            <w:r w:rsidRPr="00A07B5F">
              <w:rPr>
                <w:rFonts w:ascii="Arial Narrow" w:hAnsi="Arial Narrow"/>
                <w:lang w:eastAsia="en-US"/>
              </w:rPr>
              <w:t xml:space="preserve">Category 2 – DIAGNOSTIC PROCEDURES AND INVESTIGATIONS, Bone Densitometry </w:t>
            </w:r>
          </w:p>
          <w:p w:rsidR="006379B4" w:rsidRPr="00F834A4" w:rsidRDefault="006379B4" w:rsidP="00A05EB0">
            <w:pPr>
              <w:spacing w:after="0"/>
              <w:jc w:val="left"/>
              <w:rPr>
                <w:rFonts w:ascii="Arial Narrow" w:hAnsi="Arial Narrow"/>
                <w:b/>
                <w:lang w:eastAsia="en-US"/>
              </w:rPr>
            </w:pPr>
            <w:r w:rsidRPr="00F834A4">
              <w:rPr>
                <w:rFonts w:ascii="Arial Narrow" w:hAnsi="Arial Narrow"/>
                <w:b/>
                <w:lang w:eastAsia="en-US"/>
              </w:rPr>
              <w:t>MBS 12318</w:t>
            </w:r>
          </w:p>
          <w:p w:rsidR="006379B4" w:rsidRPr="00F834A4" w:rsidRDefault="006379B4" w:rsidP="00F834A4">
            <w:pPr>
              <w:spacing w:after="0"/>
              <w:jc w:val="left"/>
              <w:rPr>
                <w:rFonts w:ascii="Arial Narrow" w:hAnsi="Arial Narrow"/>
                <w:lang w:eastAsia="en-US"/>
              </w:rPr>
            </w:pPr>
            <w:r w:rsidRPr="00F834A4">
              <w:rPr>
                <w:rFonts w:ascii="Arial Narrow" w:hAnsi="Arial Narrow"/>
                <w:lang w:eastAsia="en-US"/>
              </w:rPr>
              <w:t xml:space="preserve">Bone densitometry (performed by a specialist or consultant physician where the patient is referred by another medical practitioner), using quantitative computerised tomography, for the diagnosis and monitoring of bone loss associated with 1 or more of the following conditions: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prolonged glucocorticoid therapy;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conditions associated with excess glucocorticoid secretion;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male </w:t>
            </w:r>
            <w:proofErr w:type="spellStart"/>
            <w:r w:rsidRPr="00F834A4">
              <w:rPr>
                <w:rFonts w:ascii="Arial Narrow" w:hAnsi="Arial Narrow"/>
                <w:lang w:eastAsia="en-US"/>
              </w:rPr>
              <w:t>hypogonadism</w:t>
            </w:r>
            <w:proofErr w:type="spellEnd"/>
            <w:r w:rsidRPr="00F834A4">
              <w:rPr>
                <w:rFonts w:ascii="Arial Narrow" w:hAnsi="Arial Narrow"/>
                <w:lang w:eastAsia="en-US"/>
              </w:rPr>
              <w:t xml:space="preserve">;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female </w:t>
            </w:r>
            <w:proofErr w:type="spellStart"/>
            <w:r w:rsidRPr="00F834A4">
              <w:rPr>
                <w:rFonts w:ascii="Arial Narrow" w:hAnsi="Arial Narrow"/>
                <w:lang w:eastAsia="en-US"/>
              </w:rPr>
              <w:t>hypogonadism</w:t>
            </w:r>
            <w:proofErr w:type="spellEnd"/>
            <w:r w:rsidRPr="00F834A4">
              <w:rPr>
                <w:rFonts w:ascii="Arial Narrow" w:hAnsi="Arial Narrow"/>
                <w:lang w:eastAsia="en-US"/>
              </w:rPr>
              <w:t xml:space="preserve"> lasting more than 6 months before the age of 45;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primary hyperparathyroidism;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chronic liver disease;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chronic renal disease;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proven </w:t>
            </w:r>
            <w:proofErr w:type="spellStart"/>
            <w:r w:rsidRPr="00F834A4">
              <w:rPr>
                <w:rFonts w:ascii="Arial Narrow" w:hAnsi="Arial Narrow"/>
                <w:lang w:eastAsia="en-US"/>
              </w:rPr>
              <w:t>malabsorptive</w:t>
            </w:r>
            <w:proofErr w:type="spellEnd"/>
            <w:r w:rsidRPr="00F834A4">
              <w:rPr>
                <w:rFonts w:ascii="Arial Narrow" w:hAnsi="Arial Narrow"/>
                <w:lang w:eastAsia="en-US"/>
              </w:rPr>
              <w:t xml:space="preserve"> disorders; </w:t>
            </w:r>
          </w:p>
          <w:p w:rsidR="006379B4" w:rsidRPr="00F834A4" w:rsidRDefault="006379B4" w:rsidP="00821E1A">
            <w:pPr>
              <w:pStyle w:val="ListParagraph"/>
              <w:numPr>
                <w:ilvl w:val="0"/>
                <w:numId w:val="18"/>
              </w:numPr>
              <w:spacing w:after="0"/>
              <w:jc w:val="left"/>
              <w:rPr>
                <w:rFonts w:ascii="Arial Narrow" w:hAnsi="Arial Narrow"/>
                <w:lang w:eastAsia="en-US"/>
              </w:rPr>
            </w:pPr>
            <w:r w:rsidRPr="00F834A4">
              <w:rPr>
                <w:rFonts w:ascii="Arial Narrow" w:hAnsi="Arial Narrow"/>
                <w:lang w:eastAsia="en-US"/>
              </w:rPr>
              <w:t xml:space="preserve">rheumatoid arthritis; or </w:t>
            </w:r>
          </w:p>
          <w:p w:rsidR="006379B4" w:rsidRPr="00F834A4" w:rsidRDefault="006379B4" w:rsidP="00821E1A">
            <w:pPr>
              <w:pStyle w:val="ListParagraph"/>
              <w:numPr>
                <w:ilvl w:val="0"/>
                <w:numId w:val="18"/>
              </w:numPr>
              <w:spacing w:after="0"/>
              <w:jc w:val="left"/>
              <w:rPr>
                <w:rFonts w:ascii="Arial Narrow" w:hAnsi="Arial Narrow"/>
                <w:lang w:eastAsia="en-US"/>
              </w:rPr>
            </w:pPr>
            <w:proofErr w:type="gramStart"/>
            <w:r w:rsidRPr="00F834A4">
              <w:rPr>
                <w:rFonts w:ascii="Arial Narrow" w:hAnsi="Arial Narrow"/>
                <w:lang w:eastAsia="en-US"/>
              </w:rPr>
              <w:t>conditions</w:t>
            </w:r>
            <w:proofErr w:type="gramEnd"/>
            <w:r w:rsidRPr="00F834A4">
              <w:rPr>
                <w:rFonts w:ascii="Arial Narrow" w:hAnsi="Arial Narrow"/>
                <w:lang w:eastAsia="en-US"/>
              </w:rPr>
              <w:t xml:space="preserve"> associated with </w:t>
            </w:r>
            <w:proofErr w:type="spellStart"/>
            <w:r w:rsidRPr="00F834A4">
              <w:rPr>
                <w:rFonts w:ascii="Arial Narrow" w:hAnsi="Arial Narrow"/>
                <w:lang w:eastAsia="en-US"/>
              </w:rPr>
              <w:t>thyroxine</w:t>
            </w:r>
            <w:proofErr w:type="spellEnd"/>
            <w:r w:rsidRPr="00F834A4">
              <w:rPr>
                <w:rFonts w:ascii="Arial Narrow" w:hAnsi="Arial Narrow"/>
                <w:lang w:eastAsia="en-US"/>
              </w:rPr>
              <w:t xml:space="preserve"> excess. </w:t>
            </w:r>
          </w:p>
          <w:p w:rsidR="006379B4" w:rsidRPr="00F834A4" w:rsidRDefault="006379B4" w:rsidP="00F834A4">
            <w:pPr>
              <w:spacing w:after="0"/>
              <w:jc w:val="left"/>
              <w:rPr>
                <w:rFonts w:ascii="Arial Narrow" w:hAnsi="Arial Narrow"/>
                <w:lang w:eastAsia="en-US"/>
              </w:rPr>
            </w:pPr>
            <w:r w:rsidRPr="00F834A4">
              <w:rPr>
                <w:rFonts w:ascii="Arial Narrow" w:hAnsi="Arial Narrow"/>
                <w:lang w:eastAsia="en-US"/>
              </w:rPr>
              <w:t xml:space="preserve">Where the bone density measurement will contribute to the management of a patient with any of the above conditions - measurement of 2 or more sites - 1 service only in a period of 24 consecutive months - including interpretation and report; not being a service associated with a service to which item 12306, 12309, 12312, 12315 or 12321 applies (Ministerial Determination) </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E75520" w:rsidRPr="00FF3C23" w:rsidRDefault="00E75520" w:rsidP="00FF3C23">
            <w:pPr>
              <w:spacing w:after="0"/>
              <w:contextualSpacing/>
              <w:jc w:val="left"/>
              <w:rPr>
                <w:rFonts w:ascii="Arial Narrow" w:hAnsi="Arial Narrow"/>
                <w:lang w:eastAsia="en-US"/>
              </w:rPr>
            </w:pPr>
            <w:r w:rsidRPr="00E75520">
              <w:rPr>
                <w:rFonts w:ascii="Arial Narrow" w:hAnsi="Arial Narrow"/>
                <w:lang w:eastAsia="en-US"/>
              </w:rPr>
              <w:lastRenderedPageBreak/>
              <w:t>Relevant explanatory notes: See Note D1.27</w:t>
            </w:r>
          </w:p>
        </w:tc>
      </w:tr>
      <w:tr w:rsidR="006379B4" w:rsidRPr="00CF6D1F">
        <w:tblPrEx>
          <w:tblBorders>
            <w:insideH w:val="single" w:sz="4" w:space="0" w:color="000000"/>
          </w:tblBorders>
        </w:tblPrEx>
        <w:tc>
          <w:tcPr>
            <w:tcW w:w="9134" w:type="dxa"/>
            <w:tcBorders>
              <w:bottom w:val="nil"/>
            </w:tcBorders>
          </w:tcPr>
          <w:p w:rsidR="006379B4" w:rsidRPr="00A07B5F" w:rsidRDefault="006379B4" w:rsidP="001A1723">
            <w:pPr>
              <w:spacing w:after="0"/>
              <w:contextualSpacing/>
              <w:jc w:val="left"/>
              <w:rPr>
                <w:rFonts w:ascii="Arial Narrow" w:hAnsi="Arial Narrow"/>
                <w:lang w:eastAsia="en-US"/>
              </w:rPr>
            </w:pPr>
            <w:r w:rsidRPr="00A07B5F">
              <w:rPr>
                <w:rFonts w:ascii="Arial Narrow" w:hAnsi="Arial Narrow"/>
                <w:lang w:eastAsia="en-US"/>
              </w:rPr>
              <w:lastRenderedPageBreak/>
              <w:t>Category 2 – DIAGNOSTIC PROCEDURES AND INVESTIGATIONS, Bone Densitometry</w:t>
            </w:r>
          </w:p>
        </w:tc>
      </w:tr>
      <w:tr w:rsidR="006379B4" w:rsidRPr="00CF6D1F">
        <w:tblPrEx>
          <w:tblBorders>
            <w:insideH w:val="single" w:sz="4" w:space="0" w:color="000000"/>
          </w:tblBorders>
        </w:tblPrEx>
        <w:tc>
          <w:tcPr>
            <w:tcW w:w="9134" w:type="dxa"/>
            <w:tcBorders>
              <w:top w:val="nil"/>
            </w:tcBorders>
          </w:tcPr>
          <w:p w:rsidR="006379B4" w:rsidRPr="00A07B5F" w:rsidRDefault="006379B4" w:rsidP="001A1723">
            <w:pPr>
              <w:spacing w:after="0"/>
              <w:contextualSpacing/>
              <w:jc w:val="left"/>
              <w:rPr>
                <w:rFonts w:ascii="Arial Narrow" w:hAnsi="Arial Narrow"/>
                <w:b/>
                <w:lang w:eastAsia="en-US"/>
              </w:rPr>
            </w:pPr>
            <w:r w:rsidRPr="00A07B5F">
              <w:rPr>
                <w:rFonts w:ascii="Arial Narrow" w:hAnsi="Arial Narrow"/>
                <w:b/>
                <w:lang w:eastAsia="en-US"/>
              </w:rPr>
              <w:t>MBS 12321</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for the measurement of bone density 12 months following a significant change in therapy for:</w:t>
            </w:r>
          </w:p>
          <w:p w:rsidR="006379B4" w:rsidRPr="00A07B5F" w:rsidRDefault="006379B4" w:rsidP="00BB68C2">
            <w:pPr>
              <w:numPr>
                <w:ilvl w:val="0"/>
                <w:numId w:val="14"/>
              </w:numPr>
              <w:spacing w:after="0"/>
              <w:jc w:val="left"/>
              <w:rPr>
                <w:rFonts w:ascii="Arial Narrow" w:hAnsi="Arial Narrow"/>
                <w:lang w:eastAsia="en-US"/>
              </w:rPr>
            </w:pPr>
            <w:r w:rsidRPr="00A07B5F">
              <w:rPr>
                <w:rFonts w:ascii="Arial Narrow" w:hAnsi="Arial Narrow"/>
                <w:lang w:eastAsia="en-US"/>
              </w:rPr>
              <w:t>Established low bone mineral density; or</w:t>
            </w:r>
          </w:p>
          <w:p w:rsidR="006379B4" w:rsidRPr="00A07B5F" w:rsidRDefault="006379B4" w:rsidP="00BB68C2">
            <w:pPr>
              <w:numPr>
                <w:ilvl w:val="0"/>
                <w:numId w:val="14"/>
              </w:numPr>
              <w:spacing w:after="0"/>
              <w:jc w:val="left"/>
              <w:rPr>
                <w:rFonts w:ascii="Arial Narrow" w:hAnsi="Arial Narrow"/>
                <w:lang w:eastAsia="en-US"/>
              </w:rPr>
            </w:pPr>
            <w:r w:rsidRPr="00A07B5F">
              <w:rPr>
                <w:rFonts w:ascii="Arial Narrow" w:hAnsi="Arial Narrow"/>
                <w:lang w:eastAsia="en-US"/>
              </w:rPr>
              <w:t>The confirmation of a presumptive diagnosis of low bone mineral density made on the basis of 1 or more fractures occurring after minimal trauma.</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Measurement of 2 or more sites – </w:t>
            </w:r>
            <w:r w:rsidRPr="00A07B5F">
              <w:rPr>
                <w:rFonts w:ascii="Arial Narrow" w:hAnsi="Arial Narrow"/>
                <w:b/>
                <w:lang w:eastAsia="en-US"/>
              </w:rPr>
              <w:t>1 service only in a period of 12 consecutive months</w:t>
            </w:r>
            <w:r w:rsidRPr="00A07B5F">
              <w:rPr>
                <w:rFonts w:ascii="Arial Narrow" w:hAnsi="Arial Narrow"/>
                <w:lang w:eastAsia="en-US"/>
              </w:rPr>
              <w:t xml:space="preserve"> – including interpretation and report; not being a service associated with a service to which item 12306, 12309, 12312, 12315 or 12318 applies (Ministerial Determination)</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E75520" w:rsidRPr="00E75520" w:rsidRDefault="00E75520" w:rsidP="00A07B5F">
            <w:pPr>
              <w:spacing w:after="0"/>
              <w:jc w:val="left"/>
              <w:rPr>
                <w:rFonts w:ascii="Arial Narrow" w:hAnsi="Arial Narrow"/>
                <w:lang w:eastAsia="en-US"/>
              </w:rPr>
            </w:pPr>
            <w:r w:rsidRPr="00E75520">
              <w:rPr>
                <w:rFonts w:ascii="Arial Narrow" w:hAnsi="Arial Narrow"/>
                <w:lang w:eastAsia="en-US"/>
              </w:rPr>
              <w:t>Relevant explanatory notes: See Note D1.27</w:t>
            </w:r>
          </w:p>
        </w:tc>
      </w:tr>
      <w:tr w:rsidR="006379B4" w:rsidRPr="00CF6D1F">
        <w:tblPrEx>
          <w:tblBorders>
            <w:insideH w:val="single" w:sz="4" w:space="0" w:color="000000"/>
          </w:tblBorders>
        </w:tblPrEx>
        <w:tc>
          <w:tcPr>
            <w:tcW w:w="9134" w:type="dxa"/>
            <w:tcBorders>
              <w:bottom w:val="nil"/>
            </w:tcBorders>
          </w:tcPr>
          <w:p w:rsidR="006379B4" w:rsidRPr="00A07B5F" w:rsidRDefault="006379B4" w:rsidP="001A1723">
            <w:pPr>
              <w:spacing w:after="0"/>
              <w:contextualSpacing/>
              <w:jc w:val="left"/>
              <w:rPr>
                <w:rFonts w:ascii="Arial Narrow" w:hAnsi="Arial Narrow"/>
                <w:lang w:eastAsia="en-US"/>
              </w:rPr>
            </w:pPr>
            <w:r w:rsidRPr="00A07B5F">
              <w:rPr>
                <w:rFonts w:ascii="Arial Narrow" w:hAnsi="Arial Narrow"/>
                <w:lang w:eastAsia="en-US"/>
              </w:rPr>
              <w:t>Category 2 – DIAGNOSTIC PROCEDURES AND INVESTIGATIONS, Bone Densitometry</w:t>
            </w:r>
          </w:p>
        </w:tc>
      </w:tr>
      <w:tr w:rsidR="006379B4" w:rsidRPr="00CF6D1F">
        <w:tblPrEx>
          <w:tblBorders>
            <w:insideH w:val="single" w:sz="4" w:space="0" w:color="000000"/>
          </w:tblBorders>
        </w:tblPrEx>
        <w:tc>
          <w:tcPr>
            <w:tcW w:w="9134" w:type="dxa"/>
            <w:tcBorders>
              <w:top w:val="nil"/>
            </w:tcBorders>
          </w:tcPr>
          <w:p w:rsidR="006379B4" w:rsidRPr="00A07B5F" w:rsidRDefault="006379B4" w:rsidP="001A1723">
            <w:pPr>
              <w:spacing w:after="0"/>
              <w:contextualSpacing/>
              <w:jc w:val="left"/>
              <w:rPr>
                <w:rFonts w:ascii="Arial Narrow" w:hAnsi="Arial Narrow"/>
                <w:b/>
                <w:lang w:eastAsia="en-US"/>
              </w:rPr>
            </w:pPr>
            <w:r w:rsidRPr="00A07B5F">
              <w:rPr>
                <w:rFonts w:ascii="Arial Narrow" w:hAnsi="Arial Narrow"/>
                <w:b/>
                <w:lang w:eastAsia="en-US"/>
              </w:rPr>
              <w:t>MBS 12323</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 xml:space="preserve">Bone densitometry (performed by a specialist or consultant physician where the patient is referred by another medical practitioner), </w:t>
            </w:r>
            <w:r w:rsidRPr="00A07B5F">
              <w:rPr>
                <w:rFonts w:ascii="Arial Narrow" w:hAnsi="Arial Narrow"/>
                <w:b/>
                <w:lang w:eastAsia="en-US"/>
              </w:rPr>
              <w:t>using dual energy X-ray absorptiometry</w:t>
            </w:r>
            <w:r w:rsidRPr="00A07B5F">
              <w:rPr>
                <w:rFonts w:ascii="Arial Narrow" w:hAnsi="Arial Narrow"/>
                <w:lang w:eastAsia="en-US"/>
              </w:rPr>
              <w:t xml:space="preserve"> or </w:t>
            </w:r>
            <w:r w:rsidRPr="00A07B5F">
              <w:rPr>
                <w:rFonts w:ascii="Arial Narrow" w:hAnsi="Arial Narrow"/>
                <w:b/>
                <w:lang w:eastAsia="en-US"/>
              </w:rPr>
              <w:t>quantitative computerised tomography</w:t>
            </w:r>
            <w:r w:rsidRPr="00A07B5F">
              <w:rPr>
                <w:rFonts w:ascii="Arial Narrow" w:hAnsi="Arial Narrow"/>
                <w:lang w:eastAsia="en-US"/>
              </w:rPr>
              <w:t>, for the measurement of bone mineral density, for a person aged 70 years or over.</w:t>
            </w:r>
          </w:p>
          <w:p w:rsidR="006379B4" w:rsidRPr="00A07B5F" w:rsidRDefault="006379B4" w:rsidP="00A07B5F">
            <w:pPr>
              <w:spacing w:after="0"/>
              <w:jc w:val="left"/>
              <w:rPr>
                <w:rFonts w:ascii="Arial Narrow" w:hAnsi="Arial Narrow"/>
                <w:lang w:eastAsia="en-US"/>
              </w:rPr>
            </w:pPr>
            <w:r w:rsidRPr="00A07B5F">
              <w:rPr>
                <w:rFonts w:ascii="Arial Narrow" w:hAnsi="Arial Narrow"/>
                <w:lang w:eastAsia="en-US"/>
              </w:rPr>
              <w:t>Measurement of 2 or more sites – including interpretation and report; not being a service associated with a service to which item 12306, 12309, 12312, 12315, 12318 or 12321 applies (Ministerial Determination)</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E75520" w:rsidRPr="00FF3C23" w:rsidRDefault="00E75520" w:rsidP="00FF3C23">
            <w:pPr>
              <w:spacing w:after="0"/>
              <w:contextualSpacing/>
              <w:jc w:val="left"/>
              <w:rPr>
                <w:rFonts w:ascii="Arial Narrow" w:hAnsi="Arial Narrow"/>
                <w:lang w:eastAsia="en-US"/>
              </w:rPr>
            </w:pPr>
            <w:r w:rsidRPr="00FF3C23">
              <w:rPr>
                <w:rFonts w:ascii="Arial Narrow" w:hAnsi="Arial Narrow"/>
                <w:lang w:eastAsia="en-US"/>
              </w:rPr>
              <w:t>Relevant explanatory notes: See Note D1.27</w:t>
            </w:r>
          </w:p>
        </w:tc>
      </w:tr>
    </w:tbl>
    <w:p w:rsidR="00E75520" w:rsidRPr="00852D3B" w:rsidRDefault="00E75520" w:rsidP="00E75520">
      <w:pPr>
        <w:rPr>
          <w:rFonts w:ascii="Arial Narrow" w:hAnsi="Arial Narrow"/>
          <w:sz w:val="16"/>
          <w:szCs w:val="16"/>
        </w:rPr>
      </w:pPr>
      <w:r w:rsidRPr="00852D3B">
        <w:rPr>
          <w:rFonts w:ascii="Arial Narrow" w:hAnsi="Arial Narrow"/>
          <w:sz w:val="16"/>
          <w:szCs w:val="16"/>
        </w:rPr>
        <w:t xml:space="preserve">Taken from </w:t>
      </w:r>
      <w:hyperlink r:id="rId10" w:tooltip="This is a link to the PBS website" w:history="1">
        <w:r w:rsidRPr="00852D3B">
          <w:rPr>
            <w:rStyle w:val="Hyperlink"/>
            <w:rFonts w:ascii="Arial Narrow" w:hAnsi="Arial Narrow" w:cs="Tahoma"/>
            <w:sz w:val="16"/>
            <w:szCs w:val="16"/>
          </w:rPr>
          <w:t>http://www9.health.gov.au/mbs/search.cfm</w:t>
        </w:r>
      </w:hyperlink>
      <w:r>
        <w:rPr>
          <w:rFonts w:ascii="Arial Narrow" w:hAnsi="Arial Narrow"/>
          <w:sz w:val="16"/>
          <w:szCs w:val="16"/>
        </w:rPr>
        <w:t>, accessed 08 July 2013</w:t>
      </w:r>
    </w:p>
    <w:p w:rsidR="006379B4" w:rsidRDefault="00EF29C6" w:rsidP="00A05EB0">
      <w:pPr>
        <w:rPr>
          <w:lang w:eastAsia="ja-JP"/>
        </w:rPr>
      </w:pPr>
      <w:r>
        <w:rPr>
          <w:lang w:eastAsia="ja-JP"/>
        </w:rPr>
        <w:t xml:space="preserve">Relevant explanatory notes are shown in Appendix 5. </w:t>
      </w:r>
      <w:r w:rsidR="006379B4">
        <w:rPr>
          <w:lang w:eastAsia="ja-JP"/>
        </w:rPr>
        <w:t>A test for vitamin D</w:t>
      </w:r>
      <w:r w:rsidR="00090CD1">
        <w:rPr>
          <w:lang w:eastAsia="ja-JP"/>
        </w:rPr>
        <w:t xml:space="preserve"> sufficiency</w:t>
      </w:r>
      <w:r w:rsidR="006379B4">
        <w:rPr>
          <w:lang w:eastAsia="ja-JP"/>
        </w:rPr>
        <w:t xml:space="preserve"> is available through MBS item 66608 (Vitamin D or D fractions – 1 or more tests, Fee $</w:t>
      </w:r>
      <w:r w:rsidR="00090CD1">
        <w:rPr>
          <w:lang w:eastAsia="ja-JP"/>
        </w:rPr>
        <w:t>33.20</w:t>
      </w:r>
      <w:r w:rsidR="006379B4">
        <w:rPr>
          <w:lang w:eastAsia="ja-JP"/>
        </w:rPr>
        <w:t>). Anti-osteoporotic medication on the PBS is shown in Appendix 3 (by drug) and Appendix 4 (by indication). PBS eligibility is in general focused to specific indications. A T-score is required for most indications, other than where patients have a fracture due to minimal trauma, where the fracture has been established using radiology.</w:t>
      </w:r>
    </w:p>
    <w:p w:rsidR="006379B4" w:rsidRPr="0063152E" w:rsidRDefault="006379B4" w:rsidP="00613957">
      <w:pPr>
        <w:pStyle w:val="Heading1"/>
      </w:pPr>
      <w:bookmarkStart w:id="32" w:name="_Toc335902669"/>
      <w:bookmarkStart w:id="33" w:name="_Toc362969230"/>
      <w:r w:rsidRPr="0063152E">
        <w:t>Regulatory status</w:t>
      </w:r>
      <w:bookmarkEnd w:id="32"/>
      <w:bookmarkEnd w:id="33"/>
    </w:p>
    <w:p w:rsidR="006379B4" w:rsidRDefault="006379B4" w:rsidP="00613957">
      <w:pPr>
        <w:pStyle w:val="Heading2"/>
      </w:pPr>
      <w:bookmarkStart w:id="34" w:name="_Toc335902670"/>
      <w:bookmarkStart w:id="35" w:name="_Toc362969231"/>
      <w:r w:rsidRPr="00CF6D1F">
        <w:t>DXA scanning</w:t>
      </w:r>
      <w:bookmarkEnd w:id="34"/>
      <w:bookmarkEnd w:id="35"/>
    </w:p>
    <w:p w:rsidR="006379B4" w:rsidRDefault="006379B4" w:rsidP="003402EB">
      <w:pPr>
        <w:rPr>
          <w:lang w:eastAsia="ja-JP"/>
        </w:rPr>
      </w:pPr>
      <w:r>
        <w:rPr>
          <w:lang w:eastAsia="ja-JP"/>
        </w:rPr>
        <w:t xml:space="preserve">Four DXA devices are used in Australia – </w:t>
      </w:r>
      <w:proofErr w:type="spellStart"/>
      <w:r>
        <w:rPr>
          <w:lang w:eastAsia="ja-JP"/>
        </w:rPr>
        <w:t>Hologic</w:t>
      </w:r>
      <w:proofErr w:type="spellEnd"/>
      <w:r>
        <w:rPr>
          <w:lang w:eastAsia="ja-JP"/>
        </w:rPr>
        <w:t xml:space="preserve">, Lunar, </w:t>
      </w:r>
      <w:proofErr w:type="spellStart"/>
      <w:r>
        <w:rPr>
          <w:lang w:eastAsia="ja-JP"/>
        </w:rPr>
        <w:t>Norland</w:t>
      </w:r>
      <w:proofErr w:type="spellEnd"/>
      <w:r>
        <w:rPr>
          <w:lang w:eastAsia="ja-JP"/>
        </w:rPr>
        <w:t xml:space="preserve"> and </w:t>
      </w:r>
      <w:proofErr w:type="spellStart"/>
      <w:r>
        <w:rPr>
          <w:lang w:eastAsia="ja-JP"/>
        </w:rPr>
        <w:t>Medilink</w:t>
      </w:r>
      <w:proofErr w:type="spellEnd"/>
      <w:r>
        <w:rPr>
          <w:lang w:eastAsia="ja-JP"/>
        </w:rPr>
        <w:t xml:space="preserve">. All devices are listed in the ARTG as category </w:t>
      </w:r>
      <w:proofErr w:type="spellStart"/>
      <w:r>
        <w:rPr>
          <w:lang w:eastAsia="ja-JP"/>
        </w:rPr>
        <w:t>IIb</w:t>
      </w:r>
      <w:proofErr w:type="spellEnd"/>
      <w:r>
        <w:rPr>
          <w:lang w:eastAsia="ja-JP"/>
        </w:rPr>
        <w:t xml:space="preserve"> devices (medium-high level of risk; </w:t>
      </w:r>
      <w:r>
        <w:rPr>
          <w:lang w:eastAsia="ja-JP"/>
        </w:rPr>
        <w:fldChar w:fldCharType="begin"/>
      </w:r>
      <w:r>
        <w:rPr>
          <w:lang w:eastAsia="ja-JP"/>
        </w:rPr>
        <w:instrText xml:space="preserve"> REF _Ref357604154 \h </w:instrText>
      </w:r>
      <w:r>
        <w:rPr>
          <w:lang w:eastAsia="ja-JP"/>
        </w:rPr>
      </w:r>
      <w:r>
        <w:rPr>
          <w:lang w:eastAsia="ja-JP"/>
        </w:rPr>
        <w:fldChar w:fldCharType="separate"/>
      </w:r>
      <w:r w:rsidR="00D24164">
        <w:t xml:space="preserve">Table </w:t>
      </w:r>
      <w:r w:rsidR="00D24164">
        <w:rPr>
          <w:noProof/>
        </w:rPr>
        <w:t>4</w:t>
      </w:r>
      <w:r>
        <w:rPr>
          <w:lang w:eastAsia="ja-JP"/>
        </w:rPr>
        <w:fldChar w:fldCharType="end"/>
      </w:r>
      <w:r>
        <w:rPr>
          <w:lang w:eastAsia="ja-JP"/>
        </w:rPr>
        <w:t>) (Global Medical Device Nomenclature (GMDN) code 37661).</w:t>
      </w:r>
    </w:p>
    <w:p w:rsidR="00343D6B" w:rsidRDefault="00343D6B" w:rsidP="003402EB">
      <w:pPr>
        <w:rPr>
          <w:lang w:val="en-GB" w:eastAsia="ja-JP"/>
        </w:rPr>
      </w:pPr>
    </w:p>
    <w:p w:rsidR="00FF3C23" w:rsidRPr="003402EB" w:rsidRDefault="00FF3C23" w:rsidP="003402EB">
      <w:pPr>
        <w:rPr>
          <w:lang w:val="en-GB" w:eastAsia="ja-JP"/>
        </w:rPr>
      </w:pPr>
    </w:p>
    <w:p w:rsidR="006379B4" w:rsidRPr="00CF6D1F" w:rsidRDefault="006379B4" w:rsidP="003402EB">
      <w:pPr>
        <w:pStyle w:val="Caption"/>
        <w:rPr>
          <w:b w:val="0"/>
          <w:lang w:eastAsia="en-US"/>
        </w:rPr>
      </w:pPr>
      <w:bookmarkStart w:id="36" w:name="_Ref357604154"/>
      <w:r>
        <w:lastRenderedPageBreak/>
        <w:t xml:space="preserve">Table </w:t>
      </w:r>
      <w:r w:rsidR="008B566C">
        <w:fldChar w:fldCharType="begin"/>
      </w:r>
      <w:r w:rsidR="008B566C">
        <w:instrText xml:space="preserve"> SEQ Table \* ARABIC </w:instrText>
      </w:r>
      <w:r w:rsidR="008B566C">
        <w:fldChar w:fldCharType="separate"/>
      </w:r>
      <w:r w:rsidR="00D24164">
        <w:rPr>
          <w:noProof/>
        </w:rPr>
        <w:t>4</w:t>
      </w:r>
      <w:r w:rsidR="008B566C">
        <w:rPr>
          <w:noProof/>
        </w:rPr>
        <w:fldChar w:fldCharType="end"/>
      </w:r>
      <w:bookmarkEnd w:id="36"/>
      <w:r w:rsidRPr="00CF6D1F">
        <w:rPr>
          <w:b w:val="0"/>
          <w:lang w:eastAsia="en-US"/>
        </w:rPr>
        <w:t xml:space="preserve">: </w:t>
      </w:r>
      <w:r>
        <w:rPr>
          <w:b w:val="0"/>
          <w:lang w:eastAsia="en-US"/>
        </w:rPr>
        <w:t>R</w:t>
      </w:r>
      <w:r w:rsidRPr="00CF6D1F">
        <w:rPr>
          <w:b w:val="0"/>
          <w:lang w:eastAsia="en-US"/>
        </w:rPr>
        <w:t>egulatory status of</w:t>
      </w:r>
      <w:r>
        <w:rPr>
          <w:b w:val="0"/>
          <w:lang w:eastAsia="en-US"/>
        </w:rPr>
        <w:t xml:space="preserve"> dual energy X-ray absorptiometry devices</w:t>
      </w:r>
      <w:r w:rsidRPr="00CF6D1F">
        <w:rPr>
          <w:b w:val="0"/>
          <w:lang w:eastAsia="en-US"/>
        </w:rPr>
        <w:t xml:space="preserve"> </w:t>
      </w:r>
    </w:p>
    <w:tbl>
      <w:tblPr>
        <w:tblStyle w:val="PASC"/>
        <w:tblW w:w="0" w:type="auto"/>
        <w:tblLook w:val="00A0" w:firstRow="1" w:lastRow="0" w:firstColumn="1" w:lastColumn="0" w:noHBand="0" w:noVBand="0"/>
        <w:tblCaption w:val="Table 4: Regulatory status of dual energy X-ray absorptiometry devices "/>
        <w:tblDescription w:val="Table 4: Regulatory status of dual energy X-ray absorptiometry devices "/>
      </w:tblPr>
      <w:tblGrid>
        <w:gridCol w:w="818"/>
        <w:gridCol w:w="1037"/>
        <w:gridCol w:w="1372"/>
        <w:gridCol w:w="2551"/>
        <w:gridCol w:w="3464"/>
      </w:tblGrid>
      <w:tr w:rsidR="006379B4" w:rsidRPr="00F547C5" w:rsidTr="0069266E">
        <w:trPr>
          <w:cnfStyle w:val="100000000000" w:firstRow="1" w:lastRow="0" w:firstColumn="0" w:lastColumn="0" w:oddVBand="0" w:evenVBand="0" w:oddHBand="0" w:evenHBand="0" w:firstRowFirstColumn="0" w:firstRowLastColumn="0" w:lastRowFirstColumn="0" w:lastRowLastColumn="0"/>
          <w:tblHeader/>
        </w:trPr>
        <w:tc>
          <w:tcPr>
            <w:tcW w:w="818" w:type="dxa"/>
          </w:tcPr>
          <w:p w:rsidR="006379B4" w:rsidRPr="00F547C5" w:rsidRDefault="006379B4" w:rsidP="00D73DDF">
            <w:pPr>
              <w:tabs>
                <w:tab w:val="left" w:pos="2835"/>
              </w:tabs>
              <w:spacing w:after="0"/>
              <w:jc w:val="left"/>
              <w:rPr>
                <w:rFonts w:ascii="Arial Narrow" w:hAnsi="Arial Narrow"/>
                <w:b/>
                <w:sz w:val="18"/>
                <w:szCs w:val="18"/>
                <w:lang w:eastAsia="en-US"/>
              </w:rPr>
            </w:pPr>
            <w:r w:rsidRPr="00F547C5">
              <w:rPr>
                <w:rFonts w:ascii="Arial Narrow" w:hAnsi="Arial Narrow"/>
                <w:b/>
                <w:sz w:val="18"/>
                <w:szCs w:val="18"/>
                <w:lang w:eastAsia="en-US"/>
              </w:rPr>
              <w:t>ARTG number</w:t>
            </w:r>
          </w:p>
        </w:tc>
        <w:tc>
          <w:tcPr>
            <w:tcW w:w="1037" w:type="dxa"/>
          </w:tcPr>
          <w:p w:rsidR="006379B4" w:rsidRPr="00F547C5" w:rsidRDefault="006379B4" w:rsidP="00D73DDF">
            <w:pPr>
              <w:tabs>
                <w:tab w:val="left" w:pos="2835"/>
              </w:tabs>
              <w:spacing w:after="0"/>
              <w:jc w:val="left"/>
              <w:rPr>
                <w:rFonts w:ascii="Arial Narrow" w:hAnsi="Arial Narrow"/>
                <w:b/>
                <w:sz w:val="18"/>
                <w:szCs w:val="18"/>
                <w:lang w:eastAsia="en-US"/>
              </w:rPr>
            </w:pPr>
            <w:r w:rsidRPr="00F547C5">
              <w:rPr>
                <w:rFonts w:ascii="Arial Narrow" w:hAnsi="Arial Narrow"/>
                <w:b/>
                <w:sz w:val="18"/>
                <w:szCs w:val="18"/>
                <w:lang w:eastAsia="en-US"/>
              </w:rPr>
              <w:t>Approval date</w:t>
            </w:r>
          </w:p>
        </w:tc>
        <w:tc>
          <w:tcPr>
            <w:tcW w:w="1372" w:type="dxa"/>
          </w:tcPr>
          <w:p w:rsidR="006379B4" w:rsidRPr="00F547C5" w:rsidRDefault="006379B4" w:rsidP="00D73DDF">
            <w:pPr>
              <w:tabs>
                <w:tab w:val="left" w:pos="2835"/>
              </w:tabs>
              <w:spacing w:after="0"/>
              <w:jc w:val="left"/>
              <w:rPr>
                <w:rFonts w:ascii="Arial Narrow" w:hAnsi="Arial Narrow"/>
                <w:b/>
                <w:sz w:val="18"/>
                <w:szCs w:val="18"/>
                <w:lang w:eastAsia="en-US"/>
              </w:rPr>
            </w:pPr>
            <w:r w:rsidRPr="00F547C5">
              <w:rPr>
                <w:rFonts w:ascii="Arial Narrow" w:hAnsi="Arial Narrow"/>
                <w:b/>
                <w:sz w:val="18"/>
                <w:szCs w:val="18"/>
                <w:lang w:eastAsia="en-US"/>
              </w:rPr>
              <w:t>Manufacturer</w:t>
            </w:r>
          </w:p>
        </w:tc>
        <w:tc>
          <w:tcPr>
            <w:tcW w:w="2551" w:type="dxa"/>
          </w:tcPr>
          <w:p w:rsidR="006379B4" w:rsidRPr="00F547C5" w:rsidRDefault="006379B4" w:rsidP="00D73DDF">
            <w:pPr>
              <w:tabs>
                <w:tab w:val="left" w:pos="2835"/>
              </w:tabs>
              <w:spacing w:after="0"/>
              <w:jc w:val="left"/>
              <w:rPr>
                <w:rFonts w:ascii="Arial Narrow" w:hAnsi="Arial Narrow"/>
                <w:b/>
                <w:sz w:val="18"/>
                <w:szCs w:val="18"/>
                <w:lang w:eastAsia="en-US"/>
              </w:rPr>
            </w:pPr>
            <w:r w:rsidRPr="00F547C5">
              <w:rPr>
                <w:rFonts w:ascii="Arial Narrow" w:hAnsi="Arial Narrow"/>
                <w:b/>
                <w:sz w:val="18"/>
                <w:szCs w:val="18"/>
                <w:lang w:eastAsia="en-US"/>
              </w:rPr>
              <w:t>Product name</w:t>
            </w:r>
          </w:p>
        </w:tc>
        <w:tc>
          <w:tcPr>
            <w:tcW w:w="3464" w:type="dxa"/>
          </w:tcPr>
          <w:p w:rsidR="006379B4" w:rsidRPr="00F547C5" w:rsidRDefault="006379B4" w:rsidP="00D73DDF">
            <w:pPr>
              <w:tabs>
                <w:tab w:val="left" w:pos="2835"/>
              </w:tabs>
              <w:spacing w:after="0"/>
              <w:jc w:val="left"/>
              <w:rPr>
                <w:rFonts w:ascii="Arial Narrow" w:hAnsi="Arial Narrow"/>
                <w:b/>
                <w:sz w:val="18"/>
                <w:szCs w:val="18"/>
                <w:lang w:eastAsia="en-US"/>
              </w:rPr>
            </w:pPr>
            <w:r w:rsidRPr="00F547C5">
              <w:rPr>
                <w:rFonts w:ascii="Arial Narrow" w:hAnsi="Arial Narrow"/>
                <w:b/>
                <w:sz w:val="18"/>
                <w:szCs w:val="18"/>
                <w:lang w:eastAsia="en-US"/>
              </w:rPr>
              <w:t>Approved indication</w:t>
            </w:r>
          </w:p>
        </w:tc>
      </w:tr>
      <w:tr w:rsidR="006379B4" w:rsidRPr="00F547C5" w:rsidTr="001A1723">
        <w:tc>
          <w:tcPr>
            <w:tcW w:w="818" w:type="dxa"/>
          </w:tcPr>
          <w:p w:rsidR="006379B4" w:rsidRPr="00F547C5" w:rsidRDefault="006379B4" w:rsidP="00D73DDF">
            <w:pPr>
              <w:tabs>
                <w:tab w:val="left" w:pos="2835"/>
              </w:tabs>
              <w:spacing w:after="0"/>
              <w:contextualSpacing/>
              <w:jc w:val="left"/>
              <w:rPr>
                <w:rFonts w:ascii="Arial Narrow" w:hAnsi="Arial Narrow"/>
                <w:sz w:val="18"/>
                <w:szCs w:val="18"/>
                <w:lang w:eastAsia="en-US"/>
              </w:rPr>
            </w:pPr>
            <w:r w:rsidRPr="00F547C5">
              <w:rPr>
                <w:rFonts w:ascii="Arial Narrow" w:hAnsi="Arial Narrow"/>
                <w:sz w:val="18"/>
                <w:szCs w:val="18"/>
                <w:lang w:eastAsia="en-US"/>
              </w:rPr>
              <w:t>97975</w:t>
            </w:r>
          </w:p>
          <w:p w:rsidR="006379B4" w:rsidRPr="00F547C5" w:rsidRDefault="006379B4" w:rsidP="00D73DDF">
            <w:pPr>
              <w:tabs>
                <w:tab w:val="left" w:pos="2835"/>
              </w:tabs>
              <w:spacing w:after="0"/>
              <w:jc w:val="left"/>
              <w:rPr>
                <w:rFonts w:ascii="Arial Narrow" w:hAnsi="Arial Narrow"/>
                <w:sz w:val="18"/>
                <w:szCs w:val="18"/>
                <w:lang w:eastAsia="en-US"/>
              </w:rPr>
            </w:pPr>
          </w:p>
        </w:tc>
        <w:tc>
          <w:tcPr>
            <w:tcW w:w="1037" w:type="dxa"/>
          </w:tcPr>
          <w:p w:rsidR="006379B4" w:rsidRPr="00F547C5" w:rsidRDefault="006379B4" w:rsidP="00D73DDF">
            <w:pPr>
              <w:tabs>
                <w:tab w:val="left" w:pos="2835"/>
              </w:tabs>
              <w:spacing w:after="0"/>
              <w:contextualSpacing/>
              <w:jc w:val="left"/>
              <w:rPr>
                <w:rFonts w:ascii="Arial Narrow" w:hAnsi="Arial Narrow"/>
                <w:sz w:val="18"/>
                <w:szCs w:val="18"/>
                <w:lang w:eastAsia="en-US"/>
              </w:rPr>
            </w:pPr>
            <w:r w:rsidRPr="00F547C5">
              <w:rPr>
                <w:rFonts w:ascii="Arial Narrow" w:hAnsi="Arial Narrow"/>
                <w:sz w:val="18"/>
                <w:szCs w:val="18"/>
                <w:lang w:eastAsia="en-US"/>
              </w:rPr>
              <w:t>10/11/2003</w:t>
            </w:r>
          </w:p>
        </w:tc>
        <w:tc>
          <w:tcPr>
            <w:tcW w:w="1372" w:type="dxa"/>
          </w:tcPr>
          <w:p w:rsidR="006379B4" w:rsidRPr="00F547C5" w:rsidRDefault="006379B4" w:rsidP="00D73DDF">
            <w:pPr>
              <w:tabs>
                <w:tab w:val="left" w:pos="2835"/>
              </w:tabs>
              <w:spacing w:after="0"/>
              <w:contextualSpacing/>
              <w:jc w:val="left"/>
              <w:rPr>
                <w:rFonts w:ascii="Arial Narrow" w:hAnsi="Arial Narrow"/>
                <w:sz w:val="18"/>
                <w:szCs w:val="18"/>
                <w:lang w:eastAsia="en-US"/>
              </w:rPr>
            </w:pPr>
            <w:r w:rsidRPr="00F547C5">
              <w:rPr>
                <w:rFonts w:ascii="Arial Narrow" w:hAnsi="Arial Narrow"/>
                <w:sz w:val="18"/>
                <w:szCs w:val="18"/>
                <w:lang w:eastAsia="en-US"/>
              </w:rPr>
              <w:t>GE Medical Systems Lunar</w:t>
            </w:r>
          </w:p>
          <w:p w:rsidR="006379B4" w:rsidRPr="00F547C5" w:rsidRDefault="006379B4" w:rsidP="001074E0">
            <w:pPr>
              <w:ind w:firstLine="720"/>
              <w:rPr>
                <w:rFonts w:ascii="Arial Narrow" w:hAnsi="Arial Narrow"/>
                <w:sz w:val="18"/>
                <w:szCs w:val="18"/>
                <w:lang w:eastAsia="en-US"/>
              </w:rPr>
            </w:pPr>
          </w:p>
        </w:tc>
        <w:tc>
          <w:tcPr>
            <w:tcW w:w="2551" w:type="dxa"/>
          </w:tcPr>
          <w:p w:rsidR="006379B4" w:rsidRPr="00F547C5" w:rsidRDefault="006379B4" w:rsidP="00D73DDF">
            <w:pPr>
              <w:tabs>
                <w:tab w:val="left" w:pos="2835"/>
              </w:tabs>
              <w:spacing w:after="0"/>
              <w:contextualSpacing/>
              <w:jc w:val="left"/>
              <w:rPr>
                <w:rFonts w:ascii="Arial Narrow" w:hAnsi="Arial Narrow"/>
                <w:sz w:val="18"/>
                <w:szCs w:val="18"/>
                <w:lang w:eastAsia="en-US"/>
              </w:rPr>
            </w:pPr>
            <w:r w:rsidRPr="00F547C5">
              <w:rPr>
                <w:rFonts w:ascii="Arial Narrow" w:hAnsi="Arial Narrow"/>
                <w:sz w:val="18"/>
                <w:szCs w:val="18"/>
                <w:lang w:eastAsia="en-US"/>
              </w:rPr>
              <w:t xml:space="preserve">GE Medical Systems Australia Pty Ltd - X-ray system, diagnostic, bone </w:t>
            </w:r>
            <w:proofErr w:type="spellStart"/>
            <w:r w:rsidRPr="00F547C5">
              <w:rPr>
                <w:rFonts w:ascii="Arial Narrow" w:hAnsi="Arial Narrow"/>
                <w:sz w:val="18"/>
                <w:szCs w:val="18"/>
                <w:lang w:eastAsia="en-US"/>
              </w:rPr>
              <w:t>absorptiometer</w:t>
            </w:r>
            <w:proofErr w:type="spellEnd"/>
            <w:r w:rsidRPr="00F547C5">
              <w:rPr>
                <w:rFonts w:ascii="Arial Narrow" w:hAnsi="Arial Narrow"/>
                <w:sz w:val="18"/>
                <w:szCs w:val="18"/>
                <w:lang w:eastAsia="en-US"/>
              </w:rPr>
              <w:t>, dual-energy</w:t>
            </w:r>
          </w:p>
        </w:tc>
        <w:tc>
          <w:tcPr>
            <w:tcW w:w="3464"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X-ray imaging for bone densitometry</w:t>
            </w:r>
          </w:p>
        </w:tc>
      </w:tr>
      <w:tr w:rsidR="006379B4" w:rsidRPr="00F547C5" w:rsidTr="001A1723">
        <w:tc>
          <w:tcPr>
            <w:tcW w:w="818"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117461</w:t>
            </w:r>
          </w:p>
          <w:p w:rsidR="006379B4" w:rsidRPr="00F547C5" w:rsidRDefault="006379B4" w:rsidP="00D73DDF">
            <w:pPr>
              <w:tabs>
                <w:tab w:val="left" w:pos="2835"/>
              </w:tabs>
              <w:spacing w:after="0"/>
              <w:jc w:val="left"/>
              <w:rPr>
                <w:rFonts w:ascii="Arial Narrow" w:hAnsi="Arial Narrow"/>
                <w:sz w:val="18"/>
                <w:szCs w:val="18"/>
                <w:lang w:eastAsia="en-US"/>
              </w:rPr>
            </w:pPr>
          </w:p>
        </w:tc>
        <w:tc>
          <w:tcPr>
            <w:tcW w:w="1037"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16/03/2005</w:t>
            </w:r>
          </w:p>
        </w:tc>
        <w:tc>
          <w:tcPr>
            <w:tcW w:w="1372" w:type="dxa"/>
          </w:tcPr>
          <w:p w:rsidR="006379B4" w:rsidRPr="00F547C5" w:rsidRDefault="006379B4" w:rsidP="00D73DDF">
            <w:pPr>
              <w:tabs>
                <w:tab w:val="left" w:pos="2835"/>
              </w:tabs>
              <w:spacing w:after="0"/>
              <w:jc w:val="left"/>
              <w:rPr>
                <w:rFonts w:ascii="Arial Narrow" w:hAnsi="Arial Narrow"/>
                <w:sz w:val="18"/>
                <w:szCs w:val="18"/>
                <w:lang w:eastAsia="en-US"/>
              </w:rPr>
            </w:pPr>
            <w:proofErr w:type="spellStart"/>
            <w:r w:rsidRPr="00F547C5">
              <w:rPr>
                <w:rFonts w:ascii="Arial Narrow" w:hAnsi="Arial Narrow"/>
                <w:sz w:val="18"/>
                <w:szCs w:val="18"/>
                <w:lang w:eastAsia="en-US"/>
              </w:rPr>
              <w:t>Norland</w:t>
            </w:r>
            <w:proofErr w:type="spellEnd"/>
            <w:r w:rsidRPr="00F547C5">
              <w:rPr>
                <w:rFonts w:ascii="Arial Narrow" w:hAnsi="Arial Narrow"/>
                <w:sz w:val="18"/>
                <w:szCs w:val="18"/>
                <w:lang w:eastAsia="en-US"/>
              </w:rPr>
              <w:t xml:space="preserve"> Corp</w:t>
            </w:r>
          </w:p>
          <w:p w:rsidR="006379B4" w:rsidRPr="00F547C5" w:rsidRDefault="006379B4" w:rsidP="001074E0">
            <w:pPr>
              <w:jc w:val="center"/>
              <w:rPr>
                <w:rFonts w:ascii="Arial Narrow" w:hAnsi="Arial Narrow"/>
                <w:sz w:val="18"/>
                <w:szCs w:val="18"/>
                <w:lang w:eastAsia="en-US"/>
              </w:rPr>
            </w:pPr>
          </w:p>
        </w:tc>
        <w:tc>
          <w:tcPr>
            <w:tcW w:w="2551" w:type="dxa"/>
          </w:tcPr>
          <w:p w:rsidR="006379B4" w:rsidRPr="00F547C5" w:rsidRDefault="006379B4" w:rsidP="00D73DDF">
            <w:pPr>
              <w:tabs>
                <w:tab w:val="left" w:pos="2835"/>
              </w:tabs>
              <w:spacing w:after="0"/>
              <w:jc w:val="left"/>
              <w:rPr>
                <w:rFonts w:ascii="Arial Narrow" w:hAnsi="Arial Narrow"/>
                <w:sz w:val="18"/>
                <w:szCs w:val="18"/>
                <w:lang w:eastAsia="en-US"/>
              </w:rPr>
            </w:pPr>
            <w:proofErr w:type="spellStart"/>
            <w:r w:rsidRPr="00F547C5">
              <w:rPr>
                <w:rFonts w:ascii="Arial Narrow" w:hAnsi="Arial Narrow"/>
                <w:sz w:val="18"/>
                <w:szCs w:val="18"/>
                <w:lang w:eastAsia="en-US"/>
              </w:rPr>
              <w:t>Inderlec</w:t>
            </w:r>
            <w:proofErr w:type="spellEnd"/>
            <w:r w:rsidRPr="00F547C5">
              <w:rPr>
                <w:rFonts w:ascii="Arial Narrow" w:hAnsi="Arial Narrow"/>
                <w:sz w:val="18"/>
                <w:szCs w:val="18"/>
                <w:lang w:eastAsia="en-US"/>
              </w:rPr>
              <w:t xml:space="preserve"> Medical Systems Pty Ltd - X-ray system, diagnostic, bone </w:t>
            </w:r>
            <w:proofErr w:type="spellStart"/>
            <w:r w:rsidRPr="00F547C5">
              <w:rPr>
                <w:rFonts w:ascii="Arial Narrow" w:hAnsi="Arial Narrow"/>
                <w:sz w:val="18"/>
                <w:szCs w:val="18"/>
                <w:lang w:eastAsia="en-US"/>
              </w:rPr>
              <w:t>absorptiometer</w:t>
            </w:r>
            <w:proofErr w:type="spellEnd"/>
            <w:r w:rsidRPr="00F547C5">
              <w:rPr>
                <w:rFonts w:ascii="Arial Narrow" w:hAnsi="Arial Narrow"/>
                <w:sz w:val="18"/>
                <w:szCs w:val="18"/>
                <w:lang w:eastAsia="en-US"/>
              </w:rPr>
              <w:t>, dual-energy</w:t>
            </w:r>
          </w:p>
        </w:tc>
        <w:tc>
          <w:tcPr>
            <w:tcW w:w="3464"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 xml:space="preserve">For the estimation of bone density and other structural parameters using x-ray absorptiometry for the purpose of aiding in the </w:t>
            </w:r>
            <w:proofErr w:type="spellStart"/>
            <w:r w:rsidRPr="00F547C5">
              <w:rPr>
                <w:rFonts w:ascii="Arial Narrow" w:hAnsi="Arial Narrow"/>
                <w:sz w:val="18"/>
                <w:szCs w:val="18"/>
                <w:lang w:eastAsia="en-US"/>
              </w:rPr>
              <w:t>diagnoasis</w:t>
            </w:r>
            <w:proofErr w:type="spellEnd"/>
            <w:r w:rsidRPr="00F547C5">
              <w:rPr>
                <w:rFonts w:ascii="Arial Narrow" w:hAnsi="Arial Narrow"/>
                <w:sz w:val="18"/>
                <w:szCs w:val="18"/>
                <w:lang w:eastAsia="en-US"/>
              </w:rPr>
              <w:t xml:space="preserve"> of osteoporosis including bone regeneration and loss.</w:t>
            </w:r>
          </w:p>
        </w:tc>
      </w:tr>
      <w:tr w:rsidR="006379B4" w:rsidRPr="00F547C5" w:rsidTr="001A1723">
        <w:tc>
          <w:tcPr>
            <w:tcW w:w="818"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119491</w:t>
            </w:r>
          </w:p>
          <w:p w:rsidR="006379B4" w:rsidRPr="00F547C5" w:rsidRDefault="006379B4" w:rsidP="00D73DDF">
            <w:pPr>
              <w:tabs>
                <w:tab w:val="left" w:pos="2835"/>
              </w:tabs>
              <w:spacing w:after="0"/>
              <w:jc w:val="left"/>
              <w:rPr>
                <w:rFonts w:ascii="Arial Narrow" w:hAnsi="Arial Narrow"/>
                <w:sz w:val="18"/>
                <w:szCs w:val="18"/>
                <w:lang w:eastAsia="en-US"/>
              </w:rPr>
            </w:pPr>
          </w:p>
        </w:tc>
        <w:tc>
          <w:tcPr>
            <w:tcW w:w="1037"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25/05/2005</w:t>
            </w:r>
          </w:p>
        </w:tc>
        <w:tc>
          <w:tcPr>
            <w:tcW w:w="1372" w:type="dxa"/>
          </w:tcPr>
          <w:p w:rsidR="006379B4" w:rsidRPr="00F547C5" w:rsidRDefault="006379B4" w:rsidP="00D73DDF">
            <w:pPr>
              <w:tabs>
                <w:tab w:val="left" w:pos="2835"/>
              </w:tabs>
              <w:spacing w:after="0"/>
              <w:jc w:val="left"/>
              <w:rPr>
                <w:rFonts w:ascii="Arial Narrow" w:hAnsi="Arial Narrow"/>
                <w:sz w:val="18"/>
                <w:szCs w:val="18"/>
                <w:lang w:eastAsia="en-US"/>
              </w:rPr>
            </w:pPr>
            <w:proofErr w:type="spellStart"/>
            <w:r w:rsidRPr="00F547C5">
              <w:rPr>
                <w:rFonts w:ascii="Arial Narrow" w:hAnsi="Arial Narrow"/>
                <w:sz w:val="18"/>
                <w:szCs w:val="18"/>
                <w:lang w:eastAsia="en-US"/>
              </w:rPr>
              <w:t>Medilink</w:t>
            </w:r>
            <w:proofErr w:type="spellEnd"/>
          </w:p>
        </w:tc>
        <w:tc>
          <w:tcPr>
            <w:tcW w:w="2551" w:type="dxa"/>
          </w:tcPr>
          <w:p w:rsidR="006379B4" w:rsidRPr="00F547C5" w:rsidRDefault="006379B4" w:rsidP="00D73DDF">
            <w:pPr>
              <w:tabs>
                <w:tab w:val="left" w:pos="2835"/>
              </w:tabs>
              <w:spacing w:after="0"/>
              <w:jc w:val="left"/>
              <w:rPr>
                <w:rFonts w:ascii="Arial Narrow" w:hAnsi="Arial Narrow"/>
                <w:sz w:val="18"/>
                <w:szCs w:val="18"/>
                <w:lang w:eastAsia="en-US"/>
              </w:rPr>
            </w:pPr>
            <w:proofErr w:type="spellStart"/>
            <w:r w:rsidRPr="00F547C5">
              <w:rPr>
                <w:rFonts w:ascii="Arial Narrow" w:hAnsi="Arial Narrow"/>
                <w:sz w:val="18"/>
                <w:szCs w:val="18"/>
                <w:lang w:eastAsia="en-US"/>
              </w:rPr>
              <w:t>Inderlec</w:t>
            </w:r>
            <w:proofErr w:type="spellEnd"/>
            <w:r w:rsidRPr="00F547C5">
              <w:rPr>
                <w:rFonts w:ascii="Arial Narrow" w:hAnsi="Arial Narrow"/>
                <w:sz w:val="18"/>
                <w:szCs w:val="18"/>
                <w:lang w:eastAsia="en-US"/>
              </w:rPr>
              <w:t xml:space="preserve"> Medical Systems Pty Ltd - X-ray system, diagnostic, bone </w:t>
            </w:r>
            <w:proofErr w:type="spellStart"/>
            <w:r w:rsidRPr="00F547C5">
              <w:rPr>
                <w:rFonts w:ascii="Arial Narrow" w:hAnsi="Arial Narrow"/>
                <w:sz w:val="18"/>
                <w:szCs w:val="18"/>
                <w:lang w:eastAsia="en-US"/>
              </w:rPr>
              <w:t>absorptiometer</w:t>
            </w:r>
            <w:proofErr w:type="spellEnd"/>
            <w:r w:rsidRPr="00F547C5">
              <w:rPr>
                <w:rFonts w:ascii="Arial Narrow" w:hAnsi="Arial Narrow"/>
                <w:sz w:val="18"/>
                <w:szCs w:val="18"/>
                <w:lang w:eastAsia="en-US"/>
              </w:rPr>
              <w:t>, dual-energy</w:t>
            </w:r>
          </w:p>
        </w:tc>
        <w:tc>
          <w:tcPr>
            <w:tcW w:w="3464"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 xml:space="preserve">For the estimation of bone density and other structural parameters of bones using x-ray absorptiometry for the purpose of aiding in the diagnosis of osteoporosis including bone </w:t>
            </w:r>
            <w:proofErr w:type="spellStart"/>
            <w:r w:rsidRPr="00F547C5">
              <w:rPr>
                <w:rFonts w:ascii="Arial Narrow" w:hAnsi="Arial Narrow"/>
                <w:sz w:val="18"/>
                <w:szCs w:val="18"/>
                <w:lang w:eastAsia="en-US"/>
              </w:rPr>
              <w:t>regeration</w:t>
            </w:r>
            <w:proofErr w:type="spellEnd"/>
            <w:r w:rsidRPr="00F547C5">
              <w:rPr>
                <w:rFonts w:ascii="Arial Narrow" w:hAnsi="Arial Narrow"/>
                <w:sz w:val="18"/>
                <w:szCs w:val="18"/>
                <w:lang w:eastAsia="en-US"/>
              </w:rPr>
              <w:t xml:space="preserve"> and loss.</w:t>
            </w:r>
          </w:p>
        </w:tc>
      </w:tr>
      <w:tr w:rsidR="006379B4" w:rsidRPr="00F547C5" w:rsidTr="001A1723">
        <w:tc>
          <w:tcPr>
            <w:tcW w:w="818"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158772</w:t>
            </w:r>
          </w:p>
        </w:tc>
        <w:tc>
          <w:tcPr>
            <w:tcW w:w="1037"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23/01/2009</w:t>
            </w:r>
          </w:p>
        </w:tc>
        <w:tc>
          <w:tcPr>
            <w:tcW w:w="1372" w:type="dxa"/>
          </w:tcPr>
          <w:p w:rsidR="006379B4" w:rsidRPr="00F547C5" w:rsidRDefault="006379B4" w:rsidP="00D73DDF">
            <w:pPr>
              <w:tabs>
                <w:tab w:val="left" w:pos="2835"/>
              </w:tabs>
              <w:spacing w:after="0"/>
              <w:jc w:val="left"/>
              <w:rPr>
                <w:rFonts w:ascii="Arial Narrow" w:hAnsi="Arial Narrow"/>
                <w:sz w:val="18"/>
                <w:szCs w:val="18"/>
                <w:lang w:eastAsia="en-US"/>
              </w:rPr>
            </w:pPr>
            <w:proofErr w:type="spellStart"/>
            <w:r w:rsidRPr="00F547C5">
              <w:rPr>
                <w:rFonts w:ascii="Arial Narrow" w:hAnsi="Arial Narrow"/>
                <w:sz w:val="18"/>
                <w:szCs w:val="18"/>
                <w:lang w:eastAsia="en-US"/>
              </w:rPr>
              <w:t>Hologic</w:t>
            </w:r>
            <w:proofErr w:type="spellEnd"/>
            <w:r w:rsidRPr="00F547C5">
              <w:rPr>
                <w:rFonts w:ascii="Arial Narrow" w:hAnsi="Arial Narrow"/>
                <w:sz w:val="18"/>
                <w:szCs w:val="18"/>
                <w:lang w:eastAsia="en-US"/>
              </w:rPr>
              <w:t xml:space="preserve"> </w:t>
            </w:r>
            <w:proofErr w:type="spellStart"/>
            <w:r w:rsidRPr="00F547C5">
              <w:rPr>
                <w:rFonts w:ascii="Arial Narrow" w:hAnsi="Arial Narrow"/>
                <w:sz w:val="18"/>
                <w:szCs w:val="18"/>
                <w:lang w:eastAsia="en-US"/>
              </w:rPr>
              <w:t>Inc</w:t>
            </w:r>
            <w:proofErr w:type="spellEnd"/>
          </w:p>
        </w:tc>
        <w:tc>
          <w:tcPr>
            <w:tcW w:w="2551" w:type="dxa"/>
          </w:tcPr>
          <w:p w:rsidR="006379B4" w:rsidRPr="00F547C5" w:rsidRDefault="006379B4" w:rsidP="00D73DDF">
            <w:pPr>
              <w:tabs>
                <w:tab w:val="left" w:pos="2835"/>
              </w:tabs>
              <w:spacing w:after="0"/>
              <w:jc w:val="left"/>
              <w:rPr>
                <w:rFonts w:ascii="Arial Narrow" w:hAnsi="Arial Narrow"/>
                <w:sz w:val="18"/>
                <w:szCs w:val="18"/>
                <w:lang w:eastAsia="en-US"/>
              </w:rPr>
            </w:pPr>
            <w:proofErr w:type="spellStart"/>
            <w:r w:rsidRPr="00F547C5">
              <w:rPr>
                <w:rFonts w:ascii="Arial Narrow" w:hAnsi="Arial Narrow"/>
                <w:sz w:val="18"/>
                <w:szCs w:val="18"/>
                <w:lang w:eastAsia="en-US"/>
              </w:rPr>
              <w:t>Cytyc</w:t>
            </w:r>
            <w:proofErr w:type="spellEnd"/>
            <w:r w:rsidRPr="00F547C5">
              <w:rPr>
                <w:rFonts w:ascii="Arial Narrow" w:hAnsi="Arial Narrow"/>
                <w:sz w:val="18"/>
                <w:szCs w:val="18"/>
                <w:lang w:eastAsia="en-US"/>
              </w:rPr>
              <w:t xml:space="preserve"> Australia Pty Ltd - X-ray system, diagnostic, bone </w:t>
            </w:r>
            <w:proofErr w:type="spellStart"/>
            <w:r w:rsidRPr="00F547C5">
              <w:rPr>
                <w:rFonts w:ascii="Arial Narrow" w:hAnsi="Arial Narrow"/>
                <w:sz w:val="18"/>
                <w:szCs w:val="18"/>
                <w:lang w:eastAsia="en-US"/>
              </w:rPr>
              <w:t>absorptiometer</w:t>
            </w:r>
            <w:proofErr w:type="spellEnd"/>
            <w:r w:rsidRPr="00F547C5">
              <w:rPr>
                <w:rFonts w:ascii="Arial Narrow" w:hAnsi="Arial Narrow"/>
                <w:sz w:val="18"/>
                <w:szCs w:val="18"/>
                <w:lang w:eastAsia="en-US"/>
              </w:rPr>
              <w:t>, dual-energy</w:t>
            </w:r>
          </w:p>
        </w:tc>
        <w:tc>
          <w:tcPr>
            <w:tcW w:w="3464" w:type="dxa"/>
          </w:tcPr>
          <w:p w:rsidR="006379B4" w:rsidRPr="00F547C5" w:rsidRDefault="006379B4" w:rsidP="00D73DDF">
            <w:pPr>
              <w:tabs>
                <w:tab w:val="left" w:pos="2835"/>
              </w:tabs>
              <w:spacing w:after="0"/>
              <w:jc w:val="left"/>
              <w:rPr>
                <w:rFonts w:ascii="Arial Narrow" w:hAnsi="Arial Narrow"/>
                <w:sz w:val="18"/>
                <w:szCs w:val="18"/>
                <w:lang w:eastAsia="en-US"/>
              </w:rPr>
            </w:pPr>
            <w:r w:rsidRPr="00F547C5">
              <w:rPr>
                <w:rFonts w:ascii="Arial Narrow" w:hAnsi="Arial Narrow"/>
                <w:sz w:val="18"/>
                <w:szCs w:val="18"/>
                <w:lang w:eastAsia="en-US"/>
              </w:rPr>
              <w:t>Intended to be used to estimate bone density. The data can then be used to calculate bone mineral density.</w:t>
            </w:r>
          </w:p>
        </w:tc>
      </w:tr>
    </w:tbl>
    <w:p w:rsidR="00090CD1" w:rsidRPr="00B466B6" w:rsidRDefault="00090CD1" w:rsidP="00090CD1">
      <w:pPr>
        <w:rPr>
          <w:rFonts w:ascii="Arial Narrow" w:hAnsi="Arial Narrow"/>
          <w:sz w:val="16"/>
          <w:szCs w:val="16"/>
          <w:lang w:eastAsia="ja-JP"/>
        </w:rPr>
      </w:pPr>
      <w:r w:rsidRPr="00B466B6">
        <w:rPr>
          <w:rFonts w:ascii="Arial Narrow" w:hAnsi="Arial Narrow"/>
          <w:sz w:val="16"/>
          <w:szCs w:val="16"/>
          <w:lang w:eastAsia="ja-JP"/>
        </w:rPr>
        <w:t xml:space="preserve">Taken from </w:t>
      </w:r>
      <w:hyperlink r:id="rId11" w:tooltip="This is a link to the TGA website" w:history="1">
        <w:r w:rsidRPr="00B466B6">
          <w:rPr>
            <w:rStyle w:val="Hyperlink"/>
            <w:rFonts w:ascii="Arial Narrow" w:hAnsi="Arial Narrow" w:cs="Tahoma"/>
            <w:sz w:val="16"/>
            <w:szCs w:val="16"/>
            <w:lang w:eastAsia="ja-JP"/>
          </w:rPr>
          <w:t>https://www.ebs.tga.gov.au/</w:t>
        </w:r>
      </w:hyperlink>
      <w:r w:rsidRPr="00B466B6">
        <w:rPr>
          <w:rFonts w:ascii="Arial Narrow" w:hAnsi="Arial Narrow"/>
          <w:sz w:val="16"/>
          <w:szCs w:val="16"/>
          <w:lang w:eastAsia="ja-JP"/>
        </w:rPr>
        <w:t>, accessed 9 August 2012</w:t>
      </w:r>
    </w:p>
    <w:p w:rsidR="006379B4" w:rsidRPr="00613957" w:rsidRDefault="006379B4" w:rsidP="00613957">
      <w:pPr>
        <w:pStyle w:val="Heading1"/>
      </w:pPr>
      <w:bookmarkStart w:id="37" w:name="_Toc335902671"/>
      <w:bookmarkStart w:id="38" w:name="_Toc362969232"/>
      <w:r w:rsidRPr="00613957">
        <w:t>Patient population</w:t>
      </w:r>
      <w:bookmarkEnd w:id="37"/>
      <w:bookmarkEnd w:id="38"/>
    </w:p>
    <w:p w:rsidR="006379B4" w:rsidRDefault="006379B4">
      <w:r>
        <w:t>DXA scanning is proposed</w:t>
      </w:r>
      <w:r w:rsidRPr="00CF6D1F">
        <w:t xml:space="preserve"> for men and women</w:t>
      </w:r>
      <w:r>
        <w:t xml:space="preserve"> of any age</w:t>
      </w:r>
      <w:r w:rsidRPr="00CF6D1F">
        <w:t xml:space="preserve"> diagnosed with HIV infection regardless of whether or not they have been prescribed anti-retroviral therapy</w:t>
      </w:r>
      <w:r>
        <w:t>. This item would be in addition to existing MBS items.</w:t>
      </w:r>
    </w:p>
    <w:p w:rsidR="00EF29C6" w:rsidRDefault="00EF29C6">
      <w:r>
        <w:t>Therefore for the purposes of this DAP the population is defined as people with HIV infection. Evidence should be reported separately for patients who are receiving, or not receiving, anti-retroviral therapy.</w:t>
      </w:r>
    </w:p>
    <w:p w:rsidR="006379B4" w:rsidRPr="00920D49" w:rsidRDefault="006379B4" w:rsidP="009847F7">
      <w:pPr>
        <w:rPr>
          <w:u w:val="single"/>
        </w:rPr>
      </w:pPr>
      <w:r w:rsidRPr="00920D49">
        <w:rPr>
          <w:u w:val="single"/>
        </w:rPr>
        <w:t>Risk factors</w:t>
      </w:r>
    </w:p>
    <w:p w:rsidR="006379B4" w:rsidRPr="00920D49" w:rsidRDefault="006379B4" w:rsidP="009847F7">
      <w:r w:rsidRPr="00920D49">
        <w:t xml:space="preserve">The specific risk factors associated with this population are HIV infection and antiretroviral therapy. </w:t>
      </w:r>
    </w:p>
    <w:p w:rsidR="006379B4" w:rsidRPr="00920D49" w:rsidRDefault="006379B4" w:rsidP="009847F7">
      <w:pPr>
        <w:rPr>
          <w:u w:val="single"/>
        </w:rPr>
      </w:pPr>
      <w:r w:rsidRPr="00920D49">
        <w:rPr>
          <w:u w:val="single"/>
        </w:rPr>
        <w:t>Baseline population</w:t>
      </w:r>
    </w:p>
    <w:p w:rsidR="006379B4" w:rsidRPr="00920D49" w:rsidRDefault="006379B4" w:rsidP="009847F7">
      <w:r w:rsidRPr="00920D49">
        <w:t xml:space="preserve">The baseline population for this application is age and gender matched peers who are otherwise healthy. </w:t>
      </w:r>
    </w:p>
    <w:p w:rsidR="006379B4" w:rsidRPr="009847F7" w:rsidRDefault="006379B4" w:rsidP="009847F7">
      <w:pPr>
        <w:rPr>
          <w:u w:val="single"/>
        </w:rPr>
      </w:pPr>
      <w:r w:rsidRPr="009847F7">
        <w:rPr>
          <w:u w:val="single"/>
        </w:rPr>
        <w:t>Benchmark population</w:t>
      </w:r>
    </w:p>
    <w:p w:rsidR="006379B4" w:rsidRDefault="006379B4" w:rsidP="009847F7">
      <w:r>
        <w:t>Men and women on prolonged glucocorticoid therapy, a medication associated with rapid bone loss and currently eligible for DXA scanning through MBS item 12312. These patients are also eligible for PBS subsidy of anti-</w:t>
      </w:r>
      <w:proofErr w:type="spellStart"/>
      <w:r>
        <w:t>resorptive</w:t>
      </w:r>
      <w:proofErr w:type="spellEnd"/>
      <w:r>
        <w:t xml:space="preserve"> medication. The PBS eligibility threshold for patients taking glucocorticoi</w:t>
      </w:r>
      <w:r w:rsidR="001A1723">
        <w:t>d medications is a T-score of -</w:t>
      </w:r>
      <w:r>
        <w:t>1.</w:t>
      </w:r>
      <w:r w:rsidRPr="001A1723">
        <w:t>0 or -1.5 or less, depending on the drug.</w:t>
      </w:r>
    </w:p>
    <w:p w:rsidR="006379B4" w:rsidRPr="001A1723" w:rsidRDefault="006379B4" w:rsidP="00F547C5">
      <w:pPr>
        <w:rPr>
          <w:b/>
        </w:rPr>
      </w:pPr>
      <w:r w:rsidRPr="001A1723">
        <w:rPr>
          <w:b/>
        </w:rPr>
        <w:lastRenderedPageBreak/>
        <w:t>Questions for the review relating to the population:</w:t>
      </w:r>
    </w:p>
    <w:p w:rsidR="006379B4" w:rsidRDefault="006379B4" w:rsidP="001A1723">
      <w:pPr>
        <w:pStyle w:val="ListParagraph"/>
        <w:numPr>
          <w:ilvl w:val="0"/>
          <w:numId w:val="47"/>
        </w:numPr>
      </w:pPr>
      <w:r>
        <w:t>What is the risk of minimal trauma fracture (possibly informed by the surrogate of rate of loss of bone mineral density) in the proposed population (with no intervention) compared to minimal trauma fracture in the baseline population (with no intervention)? This will confirm the clinical need for testing for bone mineral density in this population.</w:t>
      </w:r>
    </w:p>
    <w:p w:rsidR="006379B4" w:rsidRDefault="006379B4" w:rsidP="001A1723">
      <w:pPr>
        <w:pStyle w:val="ListParagraph"/>
        <w:numPr>
          <w:ilvl w:val="0"/>
          <w:numId w:val="47"/>
        </w:numPr>
      </w:pPr>
      <w:r>
        <w:t>What is the effect of HIV infection on minimal trauma fracture or bone mineral density, both with and without anti-retroviral therapy?</w:t>
      </w:r>
    </w:p>
    <w:p w:rsidR="006379B4" w:rsidRDefault="006379B4" w:rsidP="001A1723">
      <w:pPr>
        <w:pStyle w:val="ListParagraph"/>
        <w:numPr>
          <w:ilvl w:val="0"/>
          <w:numId w:val="47"/>
        </w:numPr>
      </w:pPr>
      <w:r>
        <w:t>Are there any prognostic factors such as patient age, disease progression or any options of anti-retroviral therapy which impact on the rate of bone mineral density loss or elevate the risk of minimal trauma fracture in this population? This may inform the frequency of re-testing and monitoring.</w:t>
      </w:r>
    </w:p>
    <w:p w:rsidR="006379B4" w:rsidRDefault="006379B4" w:rsidP="001A1723">
      <w:pPr>
        <w:pStyle w:val="ListParagraph"/>
        <w:numPr>
          <w:ilvl w:val="0"/>
          <w:numId w:val="47"/>
        </w:numPr>
      </w:pPr>
      <w:r>
        <w:t>What is the rate of bone mineral density loss in the proposed population? What is the rate of bone mineral density loss in the benchmark population? This will provide information regarding the frequency of re-testing and monitoring for the proposed population in light of evidence pertaining to the benchmark population who are already eligible for BMD scanning through the MBS</w:t>
      </w:r>
      <w:r w:rsidRPr="00920D49">
        <w:t xml:space="preserve">. For the benchmark population (patients taking glucocorticoid therapy) annual retesting is supported by MBS item 12312. </w:t>
      </w: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6379B4" w:rsidRPr="002D2623" w:rsidTr="00297B59">
        <w:tc>
          <w:tcPr>
            <w:tcW w:w="9242" w:type="dxa"/>
            <w:tcBorders>
              <w:top w:val="single" w:sz="18" w:space="0" w:color="auto"/>
              <w:bottom w:val="single" w:sz="18" w:space="0" w:color="auto"/>
            </w:tcBorders>
          </w:tcPr>
          <w:p w:rsidR="006379B4" w:rsidRPr="00297B59" w:rsidRDefault="006379B4" w:rsidP="005F3EAC">
            <w:pPr>
              <w:rPr>
                <w:b/>
              </w:rPr>
            </w:pPr>
            <w:r w:rsidRPr="00297B59">
              <w:rPr>
                <w:b/>
              </w:rPr>
              <w:t>Summary of the approach to assessment for the population</w:t>
            </w:r>
          </w:p>
          <w:p w:rsidR="006379B4" w:rsidRDefault="006379B4" w:rsidP="00297B59">
            <w:pPr>
              <w:tabs>
                <w:tab w:val="left" w:pos="2835"/>
              </w:tabs>
              <w:spacing w:before="40"/>
            </w:pPr>
            <w:r w:rsidRPr="002D2623">
              <w:t xml:space="preserve">The </w:t>
            </w:r>
            <w:r w:rsidRPr="00297B59">
              <w:rPr>
                <w:b/>
              </w:rPr>
              <w:t>population</w:t>
            </w:r>
            <w:r w:rsidRPr="002D2623">
              <w:t xml:space="preserve"> is </w:t>
            </w:r>
            <w:r w:rsidRPr="005F3EAC">
              <w:t>men and women diagnosed with HIV infection</w:t>
            </w:r>
            <w:r>
              <w:t>. There is no age restriction. The relevant subpopulations are:</w:t>
            </w:r>
          </w:p>
          <w:p w:rsidR="006379B4" w:rsidRDefault="006379B4" w:rsidP="00297B59">
            <w:pPr>
              <w:pStyle w:val="ListParagraph"/>
              <w:numPr>
                <w:ilvl w:val="0"/>
                <w:numId w:val="32"/>
              </w:numPr>
              <w:tabs>
                <w:tab w:val="left" w:pos="2835"/>
              </w:tabs>
              <w:spacing w:before="40"/>
            </w:pPr>
            <w:r>
              <w:t>patients being treated with anti-</w:t>
            </w:r>
            <w:proofErr w:type="spellStart"/>
            <w:r>
              <w:t>retrovirals</w:t>
            </w:r>
            <w:proofErr w:type="spellEnd"/>
          </w:p>
          <w:p w:rsidR="006379B4" w:rsidRDefault="006379B4" w:rsidP="007935AB">
            <w:pPr>
              <w:pStyle w:val="ListParagraph"/>
              <w:numPr>
                <w:ilvl w:val="0"/>
                <w:numId w:val="32"/>
              </w:numPr>
              <w:tabs>
                <w:tab w:val="left" w:pos="2835"/>
              </w:tabs>
              <w:spacing w:before="40"/>
            </w:pPr>
            <w:r>
              <w:t>patients not being treated with anti-</w:t>
            </w:r>
            <w:proofErr w:type="spellStart"/>
            <w:r>
              <w:t>retrovirals</w:t>
            </w:r>
            <w:proofErr w:type="spellEnd"/>
          </w:p>
          <w:p w:rsidR="006379B4" w:rsidRDefault="006379B4" w:rsidP="00297B59">
            <w:pPr>
              <w:tabs>
                <w:tab w:val="left" w:pos="2835"/>
              </w:tabs>
              <w:spacing w:before="40"/>
            </w:pPr>
            <w:r>
              <w:t xml:space="preserve">Outcomes should be reported separately for these groups. </w:t>
            </w:r>
          </w:p>
          <w:p w:rsidR="006379B4" w:rsidRPr="00920D49" w:rsidRDefault="006379B4" w:rsidP="00297B59">
            <w:pPr>
              <w:tabs>
                <w:tab w:val="left" w:pos="2835"/>
              </w:tabs>
              <w:spacing w:before="40"/>
            </w:pPr>
            <w:r w:rsidRPr="00920D49">
              <w:t xml:space="preserve">The </w:t>
            </w:r>
            <w:r w:rsidRPr="00297B59">
              <w:rPr>
                <w:b/>
              </w:rPr>
              <w:t>baseline population</w:t>
            </w:r>
            <w:r w:rsidRPr="00920D49">
              <w:t xml:space="preserve"> for </w:t>
            </w:r>
            <w:proofErr w:type="gramStart"/>
            <w:r w:rsidRPr="00920D49">
              <w:t>this DAP</w:t>
            </w:r>
            <w:proofErr w:type="gramEnd"/>
            <w:r w:rsidRPr="00920D49">
              <w:t xml:space="preserve"> is age and gender matched peers who are otherwise healthy.</w:t>
            </w:r>
          </w:p>
          <w:p w:rsidR="006379B4" w:rsidRDefault="006379B4" w:rsidP="00297B59">
            <w:pPr>
              <w:tabs>
                <w:tab w:val="left" w:pos="2835"/>
              </w:tabs>
              <w:spacing w:before="40"/>
            </w:pPr>
            <w:r>
              <w:t>The</w:t>
            </w:r>
            <w:r w:rsidRPr="002D2623">
              <w:t xml:space="preserve"> </w:t>
            </w:r>
            <w:r w:rsidRPr="00297B59">
              <w:rPr>
                <w:b/>
              </w:rPr>
              <w:t>benchmark population</w:t>
            </w:r>
            <w:r w:rsidRPr="002D2623">
              <w:t xml:space="preserve"> for </w:t>
            </w:r>
            <w:proofErr w:type="gramStart"/>
            <w:r w:rsidRPr="002D2623">
              <w:t>this DAP</w:t>
            </w:r>
            <w:proofErr w:type="gramEnd"/>
            <w:r>
              <w:t xml:space="preserve"> is </w:t>
            </w:r>
            <w:r w:rsidRPr="002D2623">
              <w:t>people taking glucocorticoid therapy</w:t>
            </w:r>
            <w:r>
              <w:t>.</w:t>
            </w:r>
          </w:p>
          <w:p w:rsidR="006379B4" w:rsidRDefault="006379B4" w:rsidP="00297B59">
            <w:pPr>
              <w:tabs>
                <w:tab w:val="left" w:pos="2835"/>
              </w:tabs>
              <w:spacing w:before="40"/>
            </w:pPr>
            <w:r>
              <w:t>The assessment of evidence should provide evidence on:</w:t>
            </w:r>
          </w:p>
          <w:p w:rsidR="006379B4" w:rsidRPr="00920D49" w:rsidRDefault="006379B4" w:rsidP="00297B59">
            <w:pPr>
              <w:pStyle w:val="ListParagraph"/>
              <w:numPr>
                <w:ilvl w:val="0"/>
                <w:numId w:val="25"/>
              </w:numPr>
              <w:tabs>
                <w:tab w:val="left" w:pos="2835"/>
              </w:tabs>
              <w:spacing w:before="40"/>
            </w:pPr>
            <w:r w:rsidRPr="00920D49">
              <w:t>the rate of bone loss and minimal trauma fracture in patients with HIV infection on antiretroviral therapy</w:t>
            </w:r>
          </w:p>
          <w:p w:rsidR="006379B4" w:rsidRPr="00920D49" w:rsidRDefault="006379B4" w:rsidP="00297B59">
            <w:pPr>
              <w:pStyle w:val="ListParagraph"/>
              <w:numPr>
                <w:ilvl w:val="0"/>
                <w:numId w:val="25"/>
              </w:numPr>
              <w:tabs>
                <w:tab w:val="left" w:pos="2835"/>
              </w:tabs>
              <w:spacing w:before="40"/>
            </w:pPr>
            <w:r w:rsidRPr="00920D49">
              <w:t>the rate of bone loss and minimal trauma fracture in patients with HIV infection not on antiretroviral therapy</w:t>
            </w:r>
          </w:p>
          <w:p w:rsidR="006379B4" w:rsidRPr="00920D49" w:rsidRDefault="006379B4" w:rsidP="00297B59">
            <w:pPr>
              <w:pStyle w:val="ListParagraph"/>
              <w:numPr>
                <w:ilvl w:val="0"/>
                <w:numId w:val="25"/>
              </w:numPr>
              <w:tabs>
                <w:tab w:val="left" w:pos="2835"/>
              </w:tabs>
              <w:spacing w:before="40"/>
            </w:pPr>
            <w:r w:rsidRPr="00920D49">
              <w:t>the rate of bone loss for people taking glucocorticoid therapy</w:t>
            </w:r>
          </w:p>
          <w:p w:rsidR="006379B4" w:rsidRDefault="006379B4" w:rsidP="00297B59">
            <w:pPr>
              <w:tabs>
                <w:tab w:val="left" w:pos="2835"/>
              </w:tabs>
              <w:spacing w:before="40"/>
            </w:pPr>
            <w:r>
              <w:t xml:space="preserve">This will be used to identify the baseline risk levels of minimal trauma fracture in the proposed population as PASC has identified a need to explore the question of whether there is </w:t>
            </w:r>
            <w:r w:rsidRPr="00C5725C">
              <w:t>evidence of accelerated bone loss and/or elevated risk of minimal trauma fracture</w:t>
            </w:r>
            <w:r>
              <w:t xml:space="preserve"> in the proposed population.</w:t>
            </w:r>
          </w:p>
          <w:p w:rsidR="006379B4" w:rsidRPr="00920D49" w:rsidRDefault="006379B4" w:rsidP="00297B59">
            <w:pPr>
              <w:tabs>
                <w:tab w:val="left" w:pos="2835"/>
              </w:tabs>
              <w:spacing w:before="40"/>
            </w:pPr>
            <w:r w:rsidRPr="00920D49">
              <w:lastRenderedPageBreak/>
              <w:t xml:space="preserve">In the context of this population the rate of bone loss as measured by bone density is an appropriate surrogate marker for minimal trauma fracture. </w:t>
            </w:r>
          </w:p>
          <w:p w:rsidR="006379B4" w:rsidRDefault="006379B4" w:rsidP="00297B59">
            <w:pPr>
              <w:tabs>
                <w:tab w:val="left" w:pos="2835"/>
              </w:tabs>
              <w:spacing w:before="40"/>
            </w:pPr>
            <w:r w:rsidRPr="00297B59">
              <w:rPr>
                <w:b/>
              </w:rPr>
              <w:t>Note that</w:t>
            </w:r>
            <w:r>
              <w:t xml:space="preserve"> a comparison of the rate of bone loss in the target population to the benchmark population will need to take into account the age and gender of persons within those populations as age and gender are also risk factors for bone mineral density loss. </w:t>
            </w:r>
          </w:p>
          <w:p w:rsidR="006379B4" w:rsidRPr="00297B59" w:rsidRDefault="006379B4" w:rsidP="00297B59">
            <w:pPr>
              <w:tabs>
                <w:tab w:val="left" w:pos="2835"/>
              </w:tabs>
              <w:spacing w:before="40"/>
              <w:rPr>
                <w:b/>
              </w:rPr>
            </w:pPr>
            <w:r w:rsidRPr="00297B59">
              <w:rPr>
                <w:b/>
              </w:rPr>
              <w:t>Excluded populations</w:t>
            </w:r>
          </w:p>
          <w:p w:rsidR="006379B4" w:rsidRDefault="006379B4" w:rsidP="00297B59">
            <w:pPr>
              <w:pStyle w:val="ListParagraph"/>
              <w:numPr>
                <w:ilvl w:val="0"/>
                <w:numId w:val="34"/>
              </w:numPr>
              <w:tabs>
                <w:tab w:val="left" w:pos="2835"/>
              </w:tabs>
              <w:spacing w:before="40"/>
              <w:ind w:left="714" w:hanging="357"/>
            </w:pPr>
            <w:r>
              <w:t>All patients at age 70 and over are excluded, as these are eligible for current MBS items for DXA scanning.</w:t>
            </w:r>
          </w:p>
          <w:p w:rsidR="006379B4" w:rsidRDefault="006379B4" w:rsidP="00297B59">
            <w:pPr>
              <w:pStyle w:val="ListParagraph"/>
              <w:numPr>
                <w:ilvl w:val="0"/>
                <w:numId w:val="34"/>
              </w:numPr>
              <w:tabs>
                <w:tab w:val="left" w:pos="2835"/>
              </w:tabs>
              <w:spacing w:before="40"/>
            </w:pPr>
            <w:r>
              <w:t>Patients presenting with a minimal trauma fracture are excluded, as these are eligible for current MBS items for DXA scanning (12306, 12309).</w:t>
            </w:r>
          </w:p>
          <w:p w:rsidR="006379B4" w:rsidRDefault="006379B4" w:rsidP="009B68B8">
            <w:pPr>
              <w:pStyle w:val="ListParagraph"/>
              <w:numPr>
                <w:ilvl w:val="0"/>
                <w:numId w:val="34"/>
              </w:numPr>
              <w:tabs>
                <w:tab w:val="left" w:pos="2835"/>
              </w:tabs>
              <w:spacing w:before="40"/>
            </w:pPr>
            <w:r>
              <w:t xml:space="preserve">Patients presenting with premature menopause or male </w:t>
            </w:r>
            <w:proofErr w:type="spellStart"/>
            <w:r>
              <w:t>hypogonadism</w:t>
            </w:r>
            <w:proofErr w:type="spellEnd"/>
            <w:r>
              <w:t xml:space="preserve"> are excluded, as these are eligible for a current MBS item for DXA scanning (12312).</w:t>
            </w:r>
          </w:p>
          <w:p w:rsidR="006379B4" w:rsidRPr="002D2623" w:rsidRDefault="006379B4" w:rsidP="00297B59">
            <w:pPr>
              <w:pStyle w:val="ListParagraph"/>
              <w:numPr>
                <w:ilvl w:val="0"/>
                <w:numId w:val="34"/>
              </w:numPr>
              <w:tabs>
                <w:tab w:val="left" w:pos="2835"/>
              </w:tabs>
              <w:spacing w:before="40"/>
            </w:pPr>
            <w:r>
              <w:t>Patients eligible for any other current MBS item for DXA scanning are excluded.</w:t>
            </w:r>
          </w:p>
        </w:tc>
      </w:tr>
    </w:tbl>
    <w:p w:rsidR="006379B4" w:rsidRPr="00CF6D1F" w:rsidRDefault="006379B4"/>
    <w:p w:rsidR="006379B4" w:rsidRDefault="006379B4" w:rsidP="00613957">
      <w:pPr>
        <w:pStyle w:val="Heading2"/>
      </w:pPr>
      <w:bookmarkStart w:id="39" w:name="_Toc335902672"/>
      <w:bookmarkStart w:id="40" w:name="_Toc362969233"/>
      <w:r w:rsidRPr="00613957">
        <w:t>Proposed MBS listing</w:t>
      </w:r>
      <w:bookmarkEnd w:id="39"/>
      <w:bookmarkEnd w:id="40"/>
    </w:p>
    <w:p w:rsidR="006379B4" w:rsidRDefault="006379B4" w:rsidP="00207DCF">
      <w:pPr>
        <w:rPr>
          <w:lang w:val="en-GB" w:eastAsia="ja-JP"/>
        </w:rPr>
      </w:pPr>
      <w:r>
        <w:rPr>
          <w:lang w:val="en-GB" w:eastAsia="ja-JP"/>
        </w:rPr>
        <w:t xml:space="preserve">The proposed MBS item is shown in </w:t>
      </w:r>
      <w:r>
        <w:rPr>
          <w:lang w:val="en-GB" w:eastAsia="ja-JP"/>
        </w:rPr>
        <w:fldChar w:fldCharType="begin"/>
      </w:r>
      <w:r>
        <w:rPr>
          <w:lang w:val="en-GB" w:eastAsia="ja-JP"/>
        </w:rPr>
        <w:instrText xml:space="preserve"> REF _Ref357605728 \h </w:instrText>
      </w:r>
      <w:r>
        <w:rPr>
          <w:lang w:val="en-GB" w:eastAsia="ja-JP"/>
        </w:rPr>
      </w:r>
      <w:r>
        <w:rPr>
          <w:lang w:val="en-GB" w:eastAsia="ja-JP"/>
        </w:rPr>
        <w:fldChar w:fldCharType="separate"/>
      </w:r>
      <w:r w:rsidR="00D24164">
        <w:t xml:space="preserve">Table </w:t>
      </w:r>
      <w:r w:rsidR="00D24164">
        <w:rPr>
          <w:noProof/>
        </w:rPr>
        <w:t>5</w:t>
      </w:r>
      <w:r>
        <w:rPr>
          <w:lang w:val="en-GB" w:eastAsia="ja-JP"/>
        </w:rPr>
        <w:fldChar w:fldCharType="end"/>
      </w:r>
      <w:r>
        <w:rPr>
          <w:lang w:val="en-GB" w:eastAsia="ja-JP"/>
        </w:rPr>
        <w:t>. For patients with T-scores ≤-2.5 repeat scans would be available through the existing MBS item 12306.</w:t>
      </w:r>
    </w:p>
    <w:p w:rsidR="006379B4" w:rsidRPr="00CF6D1F" w:rsidRDefault="006379B4" w:rsidP="00207DCF">
      <w:pPr>
        <w:pStyle w:val="Caption"/>
        <w:rPr>
          <w:b w:val="0"/>
        </w:rPr>
      </w:pPr>
      <w:bookmarkStart w:id="41" w:name="_Ref357605728"/>
      <w:r>
        <w:t xml:space="preserve">Table </w:t>
      </w:r>
      <w:r w:rsidR="008B566C">
        <w:fldChar w:fldCharType="begin"/>
      </w:r>
      <w:r w:rsidR="008B566C">
        <w:instrText xml:space="preserve"> SEQ Table \* ARABIC </w:instrText>
      </w:r>
      <w:r w:rsidR="008B566C">
        <w:fldChar w:fldCharType="separate"/>
      </w:r>
      <w:r w:rsidR="00D24164">
        <w:rPr>
          <w:noProof/>
        </w:rPr>
        <w:t>5</w:t>
      </w:r>
      <w:r w:rsidR="008B566C">
        <w:rPr>
          <w:noProof/>
        </w:rPr>
        <w:fldChar w:fldCharType="end"/>
      </w:r>
      <w:bookmarkEnd w:id="41"/>
      <w:r w:rsidRPr="00CF6D1F">
        <w:rPr>
          <w:b w:val="0"/>
        </w:rPr>
        <w:t xml:space="preserve">: </w:t>
      </w:r>
      <w:r>
        <w:rPr>
          <w:b w:val="0"/>
        </w:rPr>
        <w:t>P</w:t>
      </w:r>
      <w:r w:rsidRPr="00CF6D1F">
        <w:rPr>
          <w:b w:val="0"/>
        </w:rPr>
        <w:t>roposed MBS item</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6379B4" w:rsidRPr="00D73DDF" w:rsidTr="00D72F92">
        <w:tc>
          <w:tcPr>
            <w:tcW w:w="9134" w:type="dxa"/>
          </w:tcPr>
          <w:p w:rsidR="006379B4" w:rsidRPr="00D73DDF" w:rsidRDefault="006379B4" w:rsidP="00D73DDF">
            <w:pPr>
              <w:spacing w:after="0"/>
              <w:jc w:val="right"/>
              <w:rPr>
                <w:rFonts w:ascii="Arial Narrow" w:hAnsi="Arial Narrow"/>
                <w:lang w:eastAsia="ja-JP"/>
              </w:rPr>
            </w:pPr>
            <w:r w:rsidRPr="00D73DDF">
              <w:rPr>
                <w:rFonts w:ascii="Arial Narrow" w:hAnsi="Arial Narrow"/>
                <w:lang w:eastAsia="ja-JP"/>
              </w:rPr>
              <w:t>Category 2 – DIAGNOSTIC PROCEDURES AND INVESTIGATIONS, Bone Densitometry</w:t>
            </w:r>
          </w:p>
        </w:tc>
      </w:tr>
      <w:tr w:rsidR="006379B4" w:rsidRPr="00D73DDF" w:rsidTr="00D72F92">
        <w:tc>
          <w:tcPr>
            <w:tcW w:w="9134" w:type="dxa"/>
          </w:tcPr>
          <w:p w:rsidR="006379B4" w:rsidRPr="00D73DDF" w:rsidRDefault="006379B4" w:rsidP="00D73DDF">
            <w:pPr>
              <w:spacing w:after="0"/>
              <w:rPr>
                <w:rFonts w:ascii="Arial Narrow" w:hAnsi="Arial Narrow"/>
                <w:lang w:eastAsia="ja-JP"/>
              </w:rPr>
            </w:pPr>
            <w:r w:rsidRPr="00D73DDF">
              <w:rPr>
                <w:rFonts w:ascii="Arial Narrow" w:hAnsi="Arial Narrow"/>
                <w:lang w:eastAsia="ja-JP"/>
              </w:rPr>
              <w:t xml:space="preserve">MBS </w:t>
            </w:r>
            <w:r w:rsidR="00F3753C">
              <w:rPr>
                <w:rFonts w:ascii="Arial Narrow" w:hAnsi="Arial Narrow"/>
                <w:lang w:eastAsia="ja-JP"/>
              </w:rPr>
              <w:t>XXXXX</w:t>
            </w:r>
          </w:p>
          <w:p w:rsidR="006379B4" w:rsidRPr="00D73DDF" w:rsidRDefault="006379B4" w:rsidP="00D73DDF">
            <w:pPr>
              <w:spacing w:after="0"/>
              <w:rPr>
                <w:rFonts w:ascii="Arial Narrow" w:hAnsi="Arial Narrow"/>
                <w:lang w:eastAsia="ja-JP"/>
              </w:rPr>
            </w:pPr>
            <w:r w:rsidRPr="00D73DDF">
              <w:rPr>
                <w:rFonts w:ascii="Arial Narrow" w:hAnsi="Arial Narrow"/>
                <w:lang w:eastAsia="ja-JP"/>
              </w:rPr>
              <w:t xml:space="preserve">Bone densitometry (performed by a specialist or consultant physician where the patient is referred by another medical practitioner), using </w:t>
            </w:r>
            <w:r w:rsidRPr="00D73DDF">
              <w:rPr>
                <w:rFonts w:ascii="Arial Narrow" w:hAnsi="Arial Narrow"/>
                <w:b/>
                <w:lang w:eastAsia="ja-JP"/>
              </w:rPr>
              <w:t>dual energy X-ray absorptiometry</w:t>
            </w:r>
            <w:r w:rsidRPr="00D73DDF">
              <w:rPr>
                <w:rFonts w:ascii="Arial Narrow" w:hAnsi="Arial Narrow"/>
                <w:lang w:eastAsia="ja-JP"/>
              </w:rPr>
              <w:t xml:space="preserve">, for the measurement of bone mineral density in </w:t>
            </w:r>
            <w:r w:rsidRPr="00D73DDF">
              <w:rPr>
                <w:rFonts w:ascii="Arial Narrow" w:hAnsi="Arial Narrow"/>
                <w:b/>
                <w:lang w:eastAsia="ja-JP"/>
              </w:rPr>
              <w:t xml:space="preserve">patients with HIV infections </w:t>
            </w:r>
          </w:p>
          <w:p w:rsidR="006379B4" w:rsidRPr="00D73DDF" w:rsidRDefault="006379B4" w:rsidP="00D73DDF">
            <w:pPr>
              <w:spacing w:after="0"/>
              <w:rPr>
                <w:rFonts w:ascii="Arial Narrow" w:hAnsi="Arial Narrow"/>
                <w:lang w:eastAsia="ja-JP"/>
              </w:rPr>
            </w:pPr>
            <w:r w:rsidRPr="00D73DDF">
              <w:rPr>
                <w:rFonts w:ascii="Arial Narrow" w:hAnsi="Arial Narrow"/>
                <w:lang w:eastAsia="ja-JP"/>
              </w:rPr>
              <w:t xml:space="preserve">Measurement of 2 or more sites – </w:t>
            </w:r>
            <w:r w:rsidRPr="00D73DDF">
              <w:rPr>
                <w:rFonts w:ascii="Arial Narrow" w:hAnsi="Arial Narrow"/>
                <w:b/>
                <w:lang w:eastAsia="ja-JP"/>
              </w:rPr>
              <w:t>1 service only in a period of 12 consecutive months</w:t>
            </w:r>
            <w:r w:rsidRPr="00D73DDF">
              <w:rPr>
                <w:rFonts w:ascii="Arial Narrow" w:hAnsi="Arial Narrow"/>
                <w:lang w:eastAsia="ja-JP"/>
              </w:rPr>
              <w:t xml:space="preserve"> - including interpretation and report; not being a service associated with a service to which item 12306, 12309, 12312, 12315,</w:t>
            </w:r>
            <w:r w:rsidR="006E3B6B">
              <w:rPr>
                <w:rFonts w:ascii="Arial Narrow" w:hAnsi="Arial Narrow"/>
                <w:lang w:eastAsia="ja-JP"/>
              </w:rPr>
              <w:t xml:space="preserve"> 12318, 12321 or 12323 applies</w:t>
            </w:r>
          </w:p>
          <w:p w:rsidR="00C81E3C" w:rsidRDefault="00C81E3C" w:rsidP="00C81E3C">
            <w:pPr>
              <w:spacing w:after="0"/>
              <w:jc w:val="left"/>
              <w:rPr>
                <w:rFonts w:ascii="Arial Narrow" w:hAnsi="Arial Narrow"/>
                <w:b/>
                <w:lang w:eastAsia="en-US"/>
              </w:rPr>
            </w:pPr>
            <w:r w:rsidRPr="008A1C66">
              <w:rPr>
                <w:rFonts w:ascii="Arial Narrow" w:hAnsi="Arial Narrow"/>
                <w:b/>
                <w:lang w:eastAsia="en-US"/>
              </w:rPr>
              <w:t xml:space="preserve">Fee: </w:t>
            </w:r>
            <w:r w:rsidRPr="00A102B9">
              <w:rPr>
                <w:rFonts w:ascii="Arial Narrow" w:hAnsi="Arial Narrow"/>
                <w:lang w:eastAsia="en-US"/>
              </w:rPr>
              <w:t>$102.40</w:t>
            </w:r>
            <w:r>
              <w:rPr>
                <w:rFonts w:ascii="Arial Narrow" w:hAnsi="Arial Narrow"/>
                <w:b/>
                <w:lang w:eastAsia="en-US"/>
              </w:rPr>
              <w:t xml:space="preserve"> </w:t>
            </w:r>
            <w:r w:rsidRPr="008A1C66">
              <w:rPr>
                <w:rFonts w:ascii="Arial Narrow" w:hAnsi="Arial Narrow"/>
                <w:b/>
                <w:lang w:eastAsia="en-US"/>
              </w:rPr>
              <w:t xml:space="preserve">Benefit: </w:t>
            </w:r>
            <w:r w:rsidRPr="00A102B9">
              <w:rPr>
                <w:rFonts w:ascii="Arial Narrow" w:hAnsi="Arial Narrow"/>
                <w:lang w:eastAsia="en-US"/>
              </w:rPr>
              <w:t>75% = $76.80 85% = $87.05</w:t>
            </w:r>
          </w:p>
          <w:p w:rsidR="006379B4" w:rsidRPr="00D73DDF" w:rsidRDefault="00C81E3C" w:rsidP="00D73DDF">
            <w:pPr>
              <w:spacing w:after="0"/>
              <w:rPr>
                <w:rFonts w:ascii="Arial Narrow" w:hAnsi="Arial Narrow"/>
                <w:lang w:eastAsia="ja-JP"/>
              </w:rPr>
            </w:pPr>
            <w:r w:rsidRPr="008A1C66" w:rsidDel="00C81E3C">
              <w:rPr>
                <w:rFonts w:ascii="Arial Narrow" w:hAnsi="Arial Narrow"/>
                <w:b/>
                <w:lang w:eastAsia="en-US"/>
              </w:rPr>
              <w:t xml:space="preserve"> </w:t>
            </w:r>
            <w:r w:rsidR="006379B4" w:rsidRPr="00D73DDF">
              <w:rPr>
                <w:rFonts w:ascii="Arial Narrow" w:hAnsi="Arial Narrow"/>
                <w:lang w:eastAsia="ja-JP"/>
              </w:rPr>
              <w:t>[Relevant explanatory notes]</w:t>
            </w:r>
          </w:p>
          <w:p w:rsidR="006379B4" w:rsidRPr="00D73DDF" w:rsidRDefault="006379B4" w:rsidP="00BB68C2">
            <w:pPr>
              <w:numPr>
                <w:ilvl w:val="0"/>
                <w:numId w:val="15"/>
              </w:numPr>
              <w:spacing w:after="0"/>
              <w:jc w:val="left"/>
              <w:rPr>
                <w:rFonts w:ascii="Arial Narrow" w:hAnsi="Arial Narrow"/>
                <w:lang w:eastAsia="ja-JP"/>
              </w:rPr>
            </w:pPr>
            <w:r w:rsidRPr="00D73DDF">
              <w:rPr>
                <w:rFonts w:ascii="Arial Narrow" w:hAnsi="Arial Narrow"/>
                <w:lang w:eastAsia="ja-JP"/>
              </w:rPr>
              <w:t>All patients diagnosed</w:t>
            </w:r>
            <w:r>
              <w:rPr>
                <w:rFonts w:ascii="Arial Narrow" w:hAnsi="Arial Narrow"/>
                <w:lang w:eastAsia="ja-JP"/>
              </w:rPr>
              <w:t xml:space="preserve"> with</w:t>
            </w:r>
            <w:r w:rsidRPr="00D73DDF">
              <w:rPr>
                <w:rFonts w:ascii="Arial Narrow" w:hAnsi="Arial Narrow"/>
                <w:lang w:eastAsia="ja-JP"/>
              </w:rPr>
              <w:t xml:space="preserve"> HIV are eligible for a DXA scan. All patients are eligible for a repeat scan every 24 months thereafter.  </w:t>
            </w:r>
          </w:p>
          <w:p w:rsidR="006379B4" w:rsidRDefault="006379B4" w:rsidP="00BB68C2">
            <w:pPr>
              <w:numPr>
                <w:ilvl w:val="0"/>
                <w:numId w:val="15"/>
              </w:numPr>
              <w:spacing w:after="0"/>
              <w:jc w:val="left"/>
              <w:rPr>
                <w:rFonts w:ascii="Arial Narrow" w:hAnsi="Arial Narrow"/>
                <w:lang w:eastAsia="ja-JP"/>
              </w:rPr>
            </w:pPr>
            <w:r w:rsidRPr="00D73DDF">
              <w:rPr>
                <w:rFonts w:ascii="Arial Narrow" w:hAnsi="Arial Narrow"/>
                <w:lang w:eastAsia="ja-JP"/>
              </w:rPr>
              <w:t>Patients in this population would be eligible for repeat scans every 12 months if they have HIV and have been prescribed protease inhibitors or nucleoside analogue reverse transcriptase inhibitors</w:t>
            </w:r>
          </w:p>
          <w:p w:rsidR="006379B4" w:rsidRPr="00D73DDF" w:rsidRDefault="006379B4" w:rsidP="002D4CCC">
            <w:pPr>
              <w:numPr>
                <w:ilvl w:val="0"/>
                <w:numId w:val="15"/>
              </w:numPr>
              <w:spacing w:after="0"/>
              <w:jc w:val="left"/>
              <w:rPr>
                <w:rFonts w:ascii="Arial Narrow" w:hAnsi="Arial Narrow"/>
                <w:lang w:eastAsia="ja-JP"/>
              </w:rPr>
            </w:pPr>
            <w:r w:rsidRPr="002D4CCC">
              <w:rPr>
                <w:rFonts w:ascii="Arial Narrow" w:hAnsi="Arial Narrow"/>
                <w:lang w:eastAsia="ja-JP"/>
              </w:rPr>
              <w:t>Patients in this population would be eligible for repeat scans every 12 months if they have low bone mineral density</w:t>
            </w:r>
            <w:r>
              <w:rPr>
                <w:rFonts w:ascii="Arial Narrow" w:hAnsi="Arial Narrow"/>
                <w:lang w:eastAsia="ja-JP"/>
              </w:rPr>
              <w:t xml:space="preserve"> (</w:t>
            </w:r>
            <w:r w:rsidRPr="002D4CCC">
              <w:rPr>
                <w:rFonts w:ascii="Arial Narrow" w:hAnsi="Arial Narrow"/>
                <w:lang w:eastAsia="ja-JP"/>
              </w:rPr>
              <w:t>T-score less than -2.5</w:t>
            </w:r>
            <w:r>
              <w:rPr>
                <w:rFonts w:ascii="Arial Narrow" w:hAnsi="Arial Narrow"/>
                <w:lang w:eastAsia="ja-JP"/>
              </w:rPr>
              <w:t>) [NOTE - this would be claimed through MBS 12306]</w:t>
            </w:r>
          </w:p>
          <w:p w:rsidR="006379B4" w:rsidRPr="00D73DDF" w:rsidRDefault="006379B4" w:rsidP="00BB68C2">
            <w:pPr>
              <w:numPr>
                <w:ilvl w:val="0"/>
                <w:numId w:val="15"/>
              </w:numPr>
              <w:spacing w:after="0"/>
              <w:jc w:val="left"/>
              <w:rPr>
                <w:rFonts w:ascii="Arial Narrow" w:hAnsi="Arial Narrow"/>
                <w:lang w:eastAsia="ja-JP"/>
              </w:rPr>
            </w:pPr>
            <w:r w:rsidRPr="00D73DDF">
              <w:rPr>
                <w:rFonts w:ascii="Arial Narrow" w:hAnsi="Arial Narrow"/>
                <w:lang w:eastAsia="ja-JP"/>
              </w:rPr>
              <w:t>Other relevant notes from D1.27, Bone Densitometry – (Items 12306 to 12323)</w:t>
            </w:r>
          </w:p>
        </w:tc>
      </w:tr>
    </w:tbl>
    <w:p w:rsidR="005864F9" w:rsidRDefault="005864F9" w:rsidP="00207DCF"/>
    <w:p w:rsidR="007935AB" w:rsidRPr="00207DCF" w:rsidRDefault="007935AB" w:rsidP="007935AB">
      <w:pPr>
        <w:rPr>
          <w:lang w:val="en-GB" w:eastAsia="ja-JP"/>
        </w:rPr>
      </w:pPr>
      <w:r>
        <w:rPr>
          <w:lang w:val="en-GB" w:eastAsia="ja-JP"/>
        </w:rPr>
        <w:t xml:space="preserve">The proposed item would be in addition to existing MBS items for DXA. At 70 all patients will be eligible for existing MBS item 12323. In the event that the assessment phase identifies evidence for </w:t>
      </w:r>
      <w:r>
        <w:rPr>
          <w:lang w:val="en-GB" w:eastAsia="ja-JP"/>
        </w:rPr>
        <w:lastRenderedPageBreak/>
        <w:t>patients with HIV infection taking anti-retroviral therapy but not for HIV infection alone the MBS item descriptor may need to be modified.</w:t>
      </w:r>
    </w:p>
    <w:p w:rsidR="006379B4" w:rsidRPr="00CF6D1F" w:rsidRDefault="006379B4" w:rsidP="00207DCF">
      <w:r>
        <w:t>Currently, no specific PBS-listed medication is proposed for use in this population.</w:t>
      </w:r>
    </w:p>
    <w:p w:rsidR="006379B4" w:rsidRPr="00613957" w:rsidRDefault="006379B4" w:rsidP="00613957">
      <w:pPr>
        <w:pStyle w:val="Heading2"/>
      </w:pPr>
      <w:bookmarkStart w:id="42" w:name="_Toc335902673"/>
      <w:bookmarkStart w:id="43" w:name="_Toc362969234"/>
      <w:r w:rsidRPr="00613957">
        <w:t>Clinical place for proposed intervention</w:t>
      </w:r>
      <w:bookmarkEnd w:id="42"/>
      <w:bookmarkEnd w:id="43"/>
    </w:p>
    <w:p w:rsidR="006379B4" w:rsidRDefault="006379B4" w:rsidP="00632592">
      <w:r>
        <w:t xml:space="preserve">The current diagnosis and management algorithm for suspected or proven low bone mineral density </w:t>
      </w:r>
      <w:r w:rsidRPr="00C75B9D">
        <w:t xml:space="preserve">follows </w:t>
      </w:r>
      <w:r>
        <w:t>in Figure 1. The current and proposed algorithms for the defined patient population (patients with HIV who are not eligible for current MBS items for bone mineral density) follows in Figure 2 and Figure 3.</w:t>
      </w:r>
    </w:p>
    <w:p w:rsidR="006379B4" w:rsidRDefault="006379B4">
      <w:pPr>
        <w:jc w:val="left"/>
      </w:pPr>
    </w:p>
    <w:p w:rsidR="006379B4" w:rsidRDefault="006379B4">
      <w:pPr>
        <w:jc w:val="left"/>
        <w:sectPr w:rsidR="006379B4" w:rsidSect="00D61C4E">
          <w:headerReference w:type="even" r:id="rId12"/>
          <w:headerReference w:type="default" r:id="rId13"/>
          <w:footerReference w:type="default" r:id="rId14"/>
          <w:headerReference w:type="first" r:id="rId15"/>
          <w:pgSz w:w="11906" w:h="16838"/>
          <w:pgMar w:top="1440" w:right="1440" w:bottom="1440" w:left="1440" w:header="708" w:footer="708" w:gutter="0"/>
          <w:cols w:space="708"/>
          <w:titlePg/>
          <w:docGrid w:linePitch="360"/>
        </w:sectPr>
      </w:pPr>
    </w:p>
    <w:p w:rsidR="006379B4" w:rsidRDefault="005E59E9">
      <w:pPr>
        <w:jc w:val="left"/>
        <w:sectPr w:rsidR="006379B4" w:rsidSect="009B51C0">
          <w:pgSz w:w="16838" w:h="11906" w:orient="landscape"/>
          <w:pgMar w:top="1440" w:right="1440" w:bottom="1440" w:left="1440" w:header="708" w:footer="708" w:gutter="0"/>
          <w:cols w:space="708"/>
          <w:titlePg/>
          <w:docGrid w:linePitch="360"/>
        </w:sectPr>
      </w:pPr>
      <w:r>
        <w:rPr>
          <w:noProof/>
          <w:lang w:eastAsia="en-AU"/>
        </w:rPr>
        <w:lastRenderedPageBreak/>
        <mc:AlternateContent>
          <mc:Choice Requires="wpc">
            <w:drawing>
              <wp:inline distT="0" distB="0" distL="0" distR="0" wp14:anchorId="1E72BDAF" wp14:editId="32E3AB7B">
                <wp:extent cx="8863330" cy="5828665"/>
                <wp:effectExtent l="0" t="0" r="509270" b="19685"/>
                <wp:docPr id="220" name="Canvas 116" descr="Table 4: Regulatory status of dual energy X-ray absorptiometry devices " title="Table 4: Regulatory status of dual energy X-ray absorptiometry devices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1" name="Text Box 282"/>
                        <wps:cNvSpPr txBox="1">
                          <a:spLocks noChangeArrowheads="1"/>
                        </wps:cNvSpPr>
                        <wps:spPr bwMode="auto">
                          <a:xfrm>
                            <a:off x="334601" y="0"/>
                            <a:ext cx="5591819" cy="37564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81E3C" w:rsidRDefault="00C81E3C" w:rsidP="009B51C0">
                              <w:pPr>
                                <w:pStyle w:val="Caption"/>
                                <w:spacing w:after="0"/>
                                <w:ind w:left="1440" w:hanging="1440"/>
                              </w:pPr>
                              <w:r>
                                <w:t>Figure 1</w:t>
                              </w:r>
                              <w:r>
                                <w:tab/>
                              </w:r>
                              <w:r w:rsidRPr="00AA3219">
                                <w:t>C</w:t>
                              </w:r>
                              <w:r>
                                <w:t>urrent c</w:t>
                              </w:r>
                              <w:r w:rsidRPr="00AA3219">
                                <w:t xml:space="preserve">linical management algorithm for </w:t>
                              </w:r>
                              <w:r>
                                <w:t>eligibility</w:t>
                              </w:r>
                            </w:p>
                            <w:p w:rsidR="00C81E3C" w:rsidRDefault="00C81E3C" w:rsidP="009B51C0">
                              <w:pPr>
                                <w:pStyle w:val="Caption"/>
                                <w:spacing w:after="0"/>
                                <w:ind w:left="1440" w:firstLine="0"/>
                              </w:pPr>
                              <w:proofErr w:type="gramStart"/>
                              <w:r>
                                <w:t>to</w:t>
                              </w:r>
                              <w:proofErr w:type="gramEnd"/>
                              <w:r>
                                <w:t xml:space="preserve"> MBS and PBS items for osteoporosis</w:t>
                              </w:r>
                            </w:p>
                            <w:p w:rsidR="0069266E" w:rsidRDefault="0069266E"/>
                          </w:txbxContent>
                        </wps:txbx>
                        <wps:bodyPr rot="0" vert="horz" wrap="square" lIns="91440" tIns="45720" rIns="91440" bIns="45720" anchor="t" anchorCtr="0" upright="1">
                          <a:noAutofit/>
                        </wps:bodyPr>
                      </wps:wsp>
                      <wps:wsp>
                        <wps:cNvPr id="122" name="Text Box 123"/>
                        <wps:cNvSpPr txBox="1">
                          <a:spLocks noChangeArrowheads="1"/>
                        </wps:cNvSpPr>
                        <wps:spPr bwMode="auto">
                          <a:xfrm>
                            <a:off x="4582416" y="127915"/>
                            <a:ext cx="1710706" cy="247728"/>
                          </a:xfrm>
                          <a:prstGeom prst="rect">
                            <a:avLst/>
                          </a:prstGeom>
                          <a:solidFill>
                            <a:srgbClr val="FFFFFF"/>
                          </a:solidFill>
                          <a:ln w="6350">
                            <a:solidFill>
                              <a:srgbClr val="000000"/>
                            </a:solidFill>
                            <a:miter lim="800000"/>
                            <a:headEnd/>
                            <a:tailEnd/>
                          </a:ln>
                        </wps:spPr>
                        <wps:txbx>
                          <w:txbxContent>
                            <w:p w:rsidR="00C81E3C" w:rsidRPr="00A0033A" w:rsidRDefault="00C81E3C" w:rsidP="009B51C0">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wps:txbx>
                        <wps:bodyPr rot="0" vert="horz" wrap="none" lIns="91440" tIns="45720" rIns="91440" bIns="45720" anchor="t" anchorCtr="0" upright="1">
                          <a:noAutofit/>
                        </wps:bodyPr>
                      </wps:wsp>
                      <wps:wsp>
                        <wps:cNvPr id="123" name="Text Box 123"/>
                        <wps:cNvSpPr txBox="1">
                          <a:spLocks noChangeArrowheads="1"/>
                        </wps:cNvSpPr>
                        <wps:spPr bwMode="auto">
                          <a:xfrm>
                            <a:off x="1229604" y="742985"/>
                            <a:ext cx="2101807" cy="24772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Defined conditions with risk for developing OP</w:t>
                              </w:r>
                            </w:p>
                          </w:txbxContent>
                        </wps:txbx>
                        <wps:bodyPr rot="0" vert="horz" wrap="none" lIns="91440" tIns="45720" rIns="91440" bIns="45720" anchor="t" anchorCtr="0" upright="1">
                          <a:noAutofit/>
                        </wps:bodyPr>
                      </wps:wsp>
                      <wps:wsp>
                        <wps:cNvPr id="124" name="Text Box 123"/>
                        <wps:cNvSpPr txBox="1">
                          <a:spLocks noChangeArrowheads="1"/>
                        </wps:cNvSpPr>
                        <wps:spPr bwMode="auto">
                          <a:xfrm>
                            <a:off x="4839616" y="742985"/>
                            <a:ext cx="1200104" cy="24772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Other risk factors for OP</w:t>
                              </w:r>
                            </w:p>
                          </w:txbxContent>
                        </wps:txbx>
                        <wps:bodyPr rot="0" vert="horz" wrap="none" lIns="91440" tIns="45720" rIns="91440" bIns="45720" anchor="t" anchorCtr="0" upright="1">
                          <a:noAutofit/>
                        </wps:bodyPr>
                      </wps:wsp>
                      <wps:wsp>
                        <wps:cNvPr id="125" name="Straight Connector 145"/>
                        <wps:cNvCnPr/>
                        <wps:spPr bwMode="auto">
                          <a:xfrm>
                            <a:off x="2277308" y="495357"/>
                            <a:ext cx="64770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Straight Arrow Connector 146"/>
                        <wps:cNvCnPr/>
                        <wps:spPr bwMode="auto">
                          <a:xfrm>
                            <a:off x="5437718" y="375643"/>
                            <a:ext cx="1900" cy="36734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7" name="Text Box 123"/>
                        <wps:cNvSpPr txBox="1">
                          <a:spLocks noChangeArrowheads="1"/>
                        </wps:cNvSpPr>
                        <wps:spPr bwMode="auto">
                          <a:xfrm>
                            <a:off x="8324728" y="742985"/>
                            <a:ext cx="840803" cy="24772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128" name="Straight Arrow Connector 150"/>
                        <wps:cNvCnPr/>
                        <wps:spPr bwMode="auto">
                          <a:xfrm flipH="1">
                            <a:off x="8745130" y="495357"/>
                            <a:ext cx="9200" cy="24762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 name="Straight Arrow Connector 152"/>
                        <wps:cNvCnPr/>
                        <wps:spPr bwMode="auto">
                          <a:xfrm>
                            <a:off x="8745130" y="990713"/>
                            <a:ext cx="8600" cy="36094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Text Box 153"/>
                        <wps:cNvSpPr txBox="1">
                          <a:spLocks noChangeArrowheads="1"/>
                        </wps:cNvSpPr>
                        <wps:spPr bwMode="auto">
                          <a:xfrm>
                            <a:off x="1262904" y="1151631"/>
                            <a:ext cx="783603" cy="419148"/>
                          </a:xfrm>
                          <a:prstGeom prst="rect">
                            <a:avLst/>
                          </a:prstGeom>
                          <a:solidFill>
                            <a:srgbClr val="FFFFFF"/>
                          </a:solidFill>
                          <a:ln w="6350">
                            <a:solidFill>
                              <a:srgbClr val="000000"/>
                            </a:solidFill>
                            <a:miter lim="800000"/>
                            <a:headEnd/>
                            <a:tailEnd/>
                          </a:ln>
                        </wps:spPr>
                        <wps:txbx>
                          <w:txbxContent>
                            <w:p w:rsidR="00C81E3C" w:rsidRPr="00227F5F" w:rsidRDefault="00C81E3C" w:rsidP="009B51C0">
                              <w:pPr>
                                <w:spacing w:after="0"/>
                                <w:rPr>
                                  <w:rFonts w:ascii="Arial Narrow" w:hAnsi="Arial Narrow"/>
                                  <w:sz w:val="18"/>
                                  <w:szCs w:val="18"/>
                                </w:rPr>
                              </w:pPr>
                              <w:r>
                                <w:rPr>
                                  <w:rFonts w:ascii="Arial Narrow" w:hAnsi="Arial Narrow"/>
                                  <w:sz w:val="18"/>
                                  <w:szCs w:val="18"/>
                                </w:rPr>
                                <w:t>Glucocorticoid</w:t>
                              </w:r>
                            </w:p>
                            <w:p w:rsidR="00C81E3C" w:rsidRPr="00227F5F" w:rsidRDefault="00C81E3C" w:rsidP="009B51C0">
                              <w:pPr>
                                <w:spacing w:after="0"/>
                                <w:rPr>
                                  <w:rFonts w:ascii="Arial Narrow" w:hAnsi="Arial Narrow"/>
                                  <w:sz w:val="18"/>
                                  <w:szCs w:val="18"/>
                                </w:rPr>
                              </w:pPr>
                              <w:proofErr w:type="gramStart"/>
                              <w:r w:rsidRPr="00227F5F">
                                <w:rPr>
                                  <w:rFonts w:ascii="Arial Narrow" w:hAnsi="Arial Narrow"/>
                                  <w:sz w:val="18"/>
                                  <w:szCs w:val="18"/>
                                </w:rPr>
                                <w:t>therapy</w:t>
                              </w:r>
                              <w:proofErr w:type="gramEnd"/>
                            </w:p>
                          </w:txbxContent>
                        </wps:txbx>
                        <wps:bodyPr rot="0" vert="horz" wrap="none" lIns="91440" tIns="45720" rIns="91440" bIns="45720" anchor="t" anchorCtr="0" upright="1">
                          <a:noAutofit/>
                        </wps:bodyPr>
                      </wps:wsp>
                      <wps:wsp>
                        <wps:cNvPr id="131" name="Text Box 154"/>
                        <wps:cNvSpPr txBox="1">
                          <a:spLocks noChangeArrowheads="1"/>
                        </wps:cNvSpPr>
                        <wps:spPr bwMode="auto">
                          <a:xfrm>
                            <a:off x="1791406" y="1656489"/>
                            <a:ext cx="1091004" cy="409647"/>
                          </a:xfrm>
                          <a:prstGeom prst="rect">
                            <a:avLst/>
                          </a:prstGeom>
                          <a:solidFill>
                            <a:srgbClr val="FFFFFF"/>
                          </a:solidFill>
                          <a:ln w="6350">
                            <a:solidFill>
                              <a:srgbClr val="000000"/>
                            </a:solidFill>
                            <a:miter lim="800000"/>
                            <a:headEnd/>
                            <a:tailEnd/>
                          </a:ln>
                        </wps:spPr>
                        <wps:txbx>
                          <w:txbxContent>
                            <w:p w:rsidR="00C81E3C" w:rsidRDefault="00C81E3C" w:rsidP="009B51C0">
                              <w:pPr>
                                <w:spacing w:after="0"/>
                                <w:rPr>
                                  <w:rFonts w:ascii="Arial Narrow" w:hAnsi="Arial Narrow"/>
                                  <w:sz w:val="18"/>
                                  <w:szCs w:val="18"/>
                                </w:rPr>
                              </w:pPr>
                              <w:r>
                                <w:rPr>
                                  <w:rFonts w:ascii="Arial Narrow" w:hAnsi="Arial Narrow"/>
                                  <w:sz w:val="18"/>
                                  <w:szCs w:val="18"/>
                                </w:rPr>
                                <w:t>Male or female</w:t>
                              </w:r>
                            </w:p>
                            <w:p w:rsidR="00C81E3C" w:rsidRPr="00227F5F" w:rsidRDefault="00C81E3C" w:rsidP="009B51C0">
                              <w:pPr>
                                <w:spacing w:after="0"/>
                                <w:rPr>
                                  <w:rFonts w:ascii="Arial Narrow" w:hAnsi="Arial Narrow"/>
                                  <w:sz w:val="18"/>
                                  <w:szCs w:val="18"/>
                                </w:rPr>
                              </w:pPr>
                              <w:proofErr w:type="spellStart"/>
                              <w:proofErr w:type="gramStart"/>
                              <w:r>
                                <w:rPr>
                                  <w:rFonts w:ascii="Arial Narrow" w:hAnsi="Arial Narrow"/>
                                  <w:sz w:val="18"/>
                                  <w:szCs w:val="18"/>
                                </w:rPr>
                                <w:t>h</w:t>
                              </w:r>
                              <w:r w:rsidRPr="00227F5F">
                                <w:rPr>
                                  <w:rFonts w:ascii="Arial Narrow" w:hAnsi="Arial Narrow"/>
                                  <w:sz w:val="18"/>
                                  <w:szCs w:val="18"/>
                                </w:rPr>
                                <w:t>ypogonadism</w:t>
                              </w:r>
                              <w:proofErr w:type="spellEnd"/>
                              <w:proofErr w:type="gramEnd"/>
                              <w:r>
                                <w:rPr>
                                  <w:rFonts w:ascii="Arial Narrow" w:hAnsi="Arial Narrow"/>
                                  <w:sz w:val="18"/>
                                  <w:szCs w:val="18"/>
                                </w:rPr>
                                <w:t xml:space="preserve"> </w:t>
                              </w:r>
                              <w:proofErr w:type="spellStart"/>
                              <w:r>
                                <w:rPr>
                                  <w:rFonts w:ascii="Arial Narrow" w:hAnsi="Arial Narrow"/>
                                  <w:sz w:val="18"/>
                                  <w:szCs w:val="18"/>
                                </w:rPr>
                                <w:t>etc</w:t>
                              </w:r>
                              <w:proofErr w:type="spellEnd"/>
                              <w:r>
                                <w:rPr>
                                  <w:rFonts w:ascii="Arial Narrow" w:hAnsi="Arial Narrow"/>
                                  <w:sz w:val="18"/>
                                  <w:szCs w:val="18"/>
                                </w:rPr>
                                <w:t xml:space="preserve"> (a)</w:t>
                              </w:r>
                            </w:p>
                          </w:txbxContent>
                        </wps:txbx>
                        <wps:bodyPr rot="0" vert="horz" wrap="none" lIns="91440" tIns="45720" rIns="91440" bIns="45720" anchor="t" anchorCtr="0" upright="1">
                          <a:noAutofit/>
                        </wps:bodyPr>
                      </wps:wsp>
                      <wps:wsp>
                        <wps:cNvPr id="132" name="Text Box 155"/>
                        <wps:cNvSpPr txBox="1">
                          <a:spLocks noChangeArrowheads="1"/>
                        </wps:cNvSpPr>
                        <wps:spPr bwMode="auto">
                          <a:xfrm>
                            <a:off x="2401108" y="2151846"/>
                            <a:ext cx="1388105" cy="419148"/>
                          </a:xfrm>
                          <a:prstGeom prst="rect">
                            <a:avLst/>
                          </a:prstGeom>
                          <a:solidFill>
                            <a:srgbClr val="FFFFFF"/>
                          </a:solidFill>
                          <a:ln w="6350">
                            <a:solidFill>
                              <a:srgbClr val="000000"/>
                            </a:solidFill>
                            <a:miter lim="800000"/>
                            <a:headEnd/>
                            <a:tailEnd/>
                          </a:ln>
                        </wps:spPr>
                        <wps:txbx>
                          <w:txbxContent>
                            <w:p w:rsidR="00C81E3C" w:rsidRPr="00227F5F" w:rsidRDefault="00C81E3C" w:rsidP="009B51C0">
                              <w:pPr>
                                <w:spacing w:after="0"/>
                                <w:rPr>
                                  <w:rFonts w:ascii="Arial Narrow" w:hAnsi="Arial Narrow"/>
                                  <w:sz w:val="18"/>
                                  <w:szCs w:val="18"/>
                                </w:rPr>
                              </w:pPr>
                              <w:r w:rsidRPr="00227F5F">
                                <w:rPr>
                                  <w:rFonts w:ascii="Arial Narrow" w:hAnsi="Arial Narrow"/>
                                  <w:sz w:val="18"/>
                                  <w:szCs w:val="18"/>
                                </w:rPr>
                                <w:t>Primary hyperparathyroidism</w:t>
                              </w:r>
                            </w:p>
                            <w:p w:rsidR="00C81E3C" w:rsidRPr="00227F5F" w:rsidRDefault="00C81E3C" w:rsidP="009B51C0">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w:t>
                              </w:r>
                              <w:proofErr w:type="spellStart"/>
                              <w:r>
                                <w:rPr>
                                  <w:rFonts w:ascii="Arial Narrow" w:hAnsi="Arial Narrow"/>
                                  <w:sz w:val="18"/>
                                  <w:szCs w:val="18"/>
                                </w:rPr>
                                <w:t>e</w:t>
                              </w:r>
                              <w:r w:rsidRPr="00227F5F">
                                <w:rPr>
                                  <w:rFonts w:ascii="Arial Narrow" w:hAnsi="Arial Narrow"/>
                                  <w:sz w:val="18"/>
                                  <w:szCs w:val="18"/>
                                </w:rPr>
                                <w:t>tc</w:t>
                              </w:r>
                              <w:proofErr w:type="spellEnd"/>
                              <w:r>
                                <w:rPr>
                                  <w:rFonts w:ascii="Arial Narrow" w:hAnsi="Arial Narrow"/>
                                  <w:sz w:val="18"/>
                                  <w:szCs w:val="18"/>
                                </w:rPr>
                                <w:t xml:space="preserve"> (b)</w:t>
                              </w:r>
                            </w:p>
                          </w:txbxContent>
                        </wps:txbx>
                        <wps:bodyPr rot="0" vert="horz" wrap="none" lIns="91440" tIns="45720" rIns="91440" bIns="45720" anchor="t" anchorCtr="0" upright="1">
                          <a:noAutofit/>
                        </wps:bodyPr>
                      </wps:wsp>
                      <wps:wsp>
                        <wps:cNvPr id="133" name="Text Box 153"/>
                        <wps:cNvSpPr txBox="1">
                          <a:spLocks noChangeArrowheads="1"/>
                        </wps:cNvSpPr>
                        <wps:spPr bwMode="auto">
                          <a:xfrm>
                            <a:off x="38100" y="4982068"/>
                            <a:ext cx="783503" cy="734784"/>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134" name="Text Box 153"/>
                        <wps:cNvSpPr txBox="1">
                          <a:spLocks noChangeArrowheads="1"/>
                        </wps:cNvSpPr>
                        <wps:spPr bwMode="auto">
                          <a:xfrm>
                            <a:off x="3638412" y="1160232"/>
                            <a:ext cx="1122104"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C81E3C" w:rsidRDefault="00C81E3C" w:rsidP="009B51C0">
                              <w:pPr>
                                <w:pStyle w:val="NormalWeb"/>
                                <w:spacing w:before="0" w:beforeAutospacing="0" w:after="0" w:afterAutospacing="0" w:line="276" w:lineRule="auto"/>
                              </w:pPr>
                              <w:r>
                                <w:rPr>
                                  <w:rFonts w:ascii="Arial Narrow" w:hAnsi="Arial Narrow"/>
                                  <w:sz w:val="18"/>
                                  <w:szCs w:val="18"/>
                                </w:rPr>
                                <w:t>T-score ≤-2.5</w:t>
                              </w:r>
                            </w:p>
                          </w:txbxContent>
                        </wps:txbx>
                        <wps:bodyPr rot="0" vert="horz" wrap="none" lIns="91440" tIns="45720" rIns="91440" bIns="45720" anchor="t" anchorCtr="0" upright="1">
                          <a:noAutofit/>
                        </wps:bodyPr>
                      </wps:wsp>
                      <wps:wsp>
                        <wps:cNvPr id="135" name="Text Box 153"/>
                        <wps:cNvSpPr txBox="1">
                          <a:spLocks noChangeArrowheads="1"/>
                        </wps:cNvSpPr>
                        <wps:spPr bwMode="auto">
                          <a:xfrm>
                            <a:off x="1493405" y="5552333"/>
                            <a:ext cx="4466615" cy="276932"/>
                          </a:xfrm>
                          <a:prstGeom prst="rect">
                            <a:avLst/>
                          </a:prstGeom>
                          <a:solidFill>
                            <a:srgbClr val="FFFFFF"/>
                          </a:solidFill>
                          <a:ln w="6350">
                            <a:solidFill>
                              <a:srgbClr val="000000"/>
                            </a:solidFill>
                            <a:miter lim="800000"/>
                            <a:headEnd/>
                            <a:tailEnd/>
                          </a:ln>
                        </wps:spPr>
                        <wps:txbx>
                          <w:txbxContent>
                            <w:p w:rsidR="00C81E3C" w:rsidRPr="008C7DE0" w:rsidRDefault="00C81E3C" w:rsidP="009B51C0">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wps:txbx>
                        <wps:bodyPr rot="0" vert="horz" wrap="none" lIns="91440" tIns="45720" rIns="91440" bIns="45720" anchor="t" anchorCtr="0" upright="1">
                          <a:noAutofit/>
                        </wps:bodyPr>
                      </wps:wsp>
                      <wps:wsp>
                        <wps:cNvPr id="136" name="Text Box 153"/>
                        <wps:cNvSpPr txBox="1">
                          <a:spLocks noChangeArrowheads="1"/>
                        </wps:cNvSpPr>
                        <wps:spPr bwMode="auto">
                          <a:xfrm>
                            <a:off x="6071221" y="1665090"/>
                            <a:ext cx="6166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137" name="Text Box 153"/>
                        <wps:cNvSpPr txBox="1">
                          <a:spLocks noChangeArrowheads="1"/>
                        </wps:cNvSpPr>
                        <wps:spPr bwMode="auto">
                          <a:xfrm>
                            <a:off x="5304418" y="1168733"/>
                            <a:ext cx="955703"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in</w:t>
                              </w:r>
                              <w:proofErr w:type="gramEnd"/>
                              <w:r>
                                <w:rPr>
                                  <w:rFonts w:ascii="Arial Narrow" w:hAnsi="Arial Narrow"/>
                                  <w:sz w:val="18"/>
                                  <w:szCs w:val="18"/>
                                </w:rPr>
                                <w:t xml:space="preserve"> OP therapy</w:t>
                              </w:r>
                            </w:p>
                          </w:txbxContent>
                        </wps:txbx>
                        <wps:bodyPr rot="0" vert="horz" wrap="none" lIns="91440" tIns="45720" rIns="91440" bIns="45720" anchor="t" anchorCtr="0" upright="1">
                          <a:noAutofit/>
                        </wps:bodyPr>
                      </wps:wsp>
                      <wps:wsp>
                        <wps:cNvPr id="138" name="Text Box 153"/>
                        <wps:cNvSpPr txBox="1">
                          <a:spLocks noChangeArrowheads="1"/>
                        </wps:cNvSpPr>
                        <wps:spPr bwMode="auto">
                          <a:xfrm>
                            <a:off x="4991017" y="2151846"/>
                            <a:ext cx="382901"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C81E3C" w:rsidRDefault="00C81E3C" w:rsidP="009B51C0">
                              <w:pPr>
                                <w:pStyle w:val="NormalWeb"/>
                                <w:spacing w:before="0" w:beforeAutospacing="0" w:after="0" w:afterAutospacing="0" w:line="276" w:lineRule="auto"/>
                              </w:pPr>
                              <w:r>
                                <w:rPr>
                                  <w:rFonts w:ascii="Arial Narrow" w:hAnsi="Arial Narrow"/>
                                  <w:sz w:val="18"/>
                                  <w:szCs w:val="18"/>
                                </w:rPr>
                                <w:t>≥ 70</w:t>
                              </w:r>
                            </w:p>
                          </w:txbxContent>
                        </wps:txbx>
                        <wps:bodyPr rot="0" vert="horz" wrap="none" lIns="91440" tIns="45720" rIns="91440" bIns="45720" anchor="t" anchorCtr="0" upright="1">
                          <a:noAutofit/>
                        </wps:bodyPr>
                      </wps:wsp>
                      <wps:wsp>
                        <wps:cNvPr id="139" name="Text Box 153"/>
                        <wps:cNvSpPr txBox="1">
                          <a:spLocks noChangeArrowheads="1"/>
                        </wps:cNvSpPr>
                        <wps:spPr bwMode="auto">
                          <a:xfrm>
                            <a:off x="4381615" y="1665090"/>
                            <a:ext cx="486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40" name="Text Box 153"/>
                        <wps:cNvSpPr txBox="1">
                          <a:spLocks noChangeArrowheads="1"/>
                        </wps:cNvSpPr>
                        <wps:spPr bwMode="auto">
                          <a:xfrm>
                            <a:off x="1367705" y="2933035"/>
                            <a:ext cx="533402" cy="1001814"/>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41" name="Text Box 153"/>
                        <wps:cNvSpPr txBox="1">
                          <a:spLocks noChangeArrowheads="1"/>
                        </wps:cNvSpPr>
                        <wps:spPr bwMode="auto">
                          <a:xfrm>
                            <a:off x="2134807" y="2933035"/>
                            <a:ext cx="533402" cy="1002114"/>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Pr="00F231B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42" name="Text Box 153"/>
                        <wps:cNvSpPr txBox="1">
                          <a:spLocks noChangeArrowheads="1"/>
                        </wps:cNvSpPr>
                        <wps:spPr bwMode="auto">
                          <a:xfrm>
                            <a:off x="2829710" y="2941536"/>
                            <a:ext cx="533402" cy="993313"/>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C81E3C" w:rsidRPr="00F231B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43" name="Text Box 153"/>
                        <wps:cNvSpPr txBox="1">
                          <a:spLocks noChangeArrowheads="1"/>
                        </wps:cNvSpPr>
                        <wps:spPr bwMode="auto">
                          <a:xfrm>
                            <a:off x="3781213" y="2921533"/>
                            <a:ext cx="533402" cy="101331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45" name="Text Box 153"/>
                        <wps:cNvSpPr txBox="1">
                          <a:spLocks noChangeArrowheads="1"/>
                        </wps:cNvSpPr>
                        <wps:spPr bwMode="auto">
                          <a:xfrm>
                            <a:off x="4429315" y="2933035"/>
                            <a:ext cx="533402" cy="119173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46" name="Text Box 153"/>
                        <wps:cNvSpPr txBox="1">
                          <a:spLocks noChangeArrowheads="1"/>
                        </wps:cNvSpPr>
                        <wps:spPr bwMode="auto">
                          <a:xfrm>
                            <a:off x="5085217" y="2933035"/>
                            <a:ext cx="450202" cy="1002114"/>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no</w:t>
                              </w:r>
                              <w:proofErr w:type="gramEnd"/>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limit</w:t>
                              </w:r>
                              <w:proofErr w:type="gramEnd"/>
                              <w:r>
                                <w:rPr>
                                  <w:rFonts w:ascii="Arial Narrow" w:hAnsi="Arial Narrow"/>
                                  <w:sz w:val="18"/>
                                  <w:szCs w:val="18"/>
                                </w:rPr>
                                <w:t>)</w:t>
                              </w:r>
                            </w:p>
                          </w:txbxContent>
                        </wps:txbx>
                        <wps:bodyPr rot="0" vert="horz" wrap="none" lIns="91440" tIns="45720" rIns="91440" bIns="45720" anchor="t" anchorCtr="0" upright="1">
                          <a:noAutofit/>
                        </wps:bodyPr>
                      </wps:wsp>
                      <wps:wsp>
                        <wps:cNvPr id="147" name="Text Box 153"/>
                        <wps:cNvSpPr txBox="1">
                          <a:spLocks noChangeArrowheads="1"/>
                        </wps:cNvSpPr>
                        <wps:spPr bwMode="auto">
                          <a:xfrm>
                            <a:off x="5675819" y="2933035"/>
                            <a:ext cx="533402" cy="1002114"/>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wps:txbx>
                        <wps:bodyPr rot="0" vert="horz" wrap="none" lIns="91440" tIns="45720" rIns="91440" bIns="45720" anchor="t" anchorCtr="0" upright="1">
                          <a:noAutofit/>
                        </wps:bodyPr>
                      </wps:wsp>
                      <wps:wsp>
                        <wps:cNvPr id="148" name="Text Box 153"/>
                        <wps:cNvSpPr txBox="1">
                          <a:spLocks noChangeArrowheads="1"/>
                        </wps:cNvSpPr>
                        <wps:spPr bwMode="auto">
                          <a:xfrm>
                            <a:off x="6054520" y="4982068"/>
                            <a:ext cx="783603" cy="75448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s:wsp>
                        <wps:cNvPr id="149" name="Text Box 153"/>
                        <wps:cNvSpPr txBox="1">
                          <a:spLocks noChangeArrowheads="1"/>
                        </wps:cNvSpPr>
                        <wps:spPr bwMode="auto">
                          <a:xfrm>
                            <a:off x="6908723" y="3934849"/>
                            <a:ext cx="2440308" cy="189121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secretion</w:t>
                              </w:r>
                              <w:proofErr w:type="gramEnd"/>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(b): Chronic liver disease, proven </w:t>
                              </w:r>
                              <w:proofErr w:type="spellStart"/>
                              <w:r>
                                <w:rPr>
                                  <w:rFonts w:ascii="Arial Narrow" w:hAnsi="Arial Narrow"/>
                                  <w:sz w:val="18"/>
                                  <w:szCs w:val="18"/>
                                </w:rPr>
                                <w:t>malabsorbtive</w:t>
                              </w:r>
                              <w:proofErr w:type="spellEnd"/>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disorder</w:t>
                              </w:r>
                              <w:proofErr w:type="gramEnd"/>
                              <w:r>
                                <w:rPr>
                                  <w:rFonts w:ascii="Arial Narrow" w:hAnsi="Arial Narrow"/>
                                  <w:sz w:val="18"/>
                                  <w:szCs w:val="18"/>
                                </w:rPr>
                                <w:t>, rheumatoid arthritis, or conditions associated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with</w:t>
                              </w:r>
                              <w:proofErr w:type="gramEnd"/>
                              <w:r>
                                <w:rPr>
                                  <w:rFonts w:ascii="Arial Narrow" w:hAnsi="Arial Narrow"/>
                                  <w:sz w:val="18"/>
                                  <w:szCs w:val="18"/>
                                </w:rPr>
                                <w:t xml:space="preserve"> </w:t>
                              </w:r>
                              <w:proofErr w:type="spellStart"/>
                              <w:r>
                                <w:rPr>
                                  <w:rFonts w:ascii="Arial Narrow" w:hAnsi="Arial Narrow"/>
                                  <w:sz w:val="18"/>
                                  <w:szCs w:val="18"/>
                                </w:rPr>
                                <w:t>thryoxine</w:t>
                              </w:r>
                              <w:proofErr w:type="spellEnd"/>
                              <w:r>
                                <w:rPr>
                                  <w:rFonts w:ascii="Arial Narrow" w:hAnsi="Arial Narrow"/>
                                  <w:sz w:val="18"/>
                                  <w:szCs w:val="18"/>
                                </w:rPr>
                                <w:t xml:space="preserve"> excess</w:t>
                              </w:r>
                            </w:p>
                          </w:txbxContent>
                        </wps:txbx>
                        <wps:bodyPr rot="0" vert="horz" wrap="none" lIns="91440" tIns="45720" rIns="91440" bIns="45720" anchor="t" anchorCtr="0" upright="1">
                          <a:noAutofit/>
                        </wps:bodyPr>
                      </wps:wsp>
                      <wps:wsp>
                        <wps:cNvPr id="150" name="Text Box 153"/>
                        <wps:cNvSpPr txBox="1">
                          <a:spLocks noChangeArrowheads="1"/>
                        </wps:cNvSpPr>
                        <wps:spPr bwMode="auto">
                          <a:xfrm>
                            <a:off x="1386705" y="4189978"/>
                            <a:ext cx="507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C81E3C" w:rsidRDefault="00C81E3C" w:rsidP="009B51C0">
                              <w:pPr>
                                <w:pStyle w:val="NormalWeb"/>
                                <w:spacing w:before="0" w:beforeAutospacing="0" w:after="0" w:afterAutospacing="0" w:line="276" w:lineRule="auto"/>
                              </w:pPr>
                              <w:r>
                                <w:rPr>
                                  <w:rFonts w:ascii="Arial Narrow" w:hAnsi="Arial Narrow"/>
                                  <w:sz w:val="18"/>
                                  <w:szCs w:val="18"/>
                                </w:rPr>
                                <w:t>≤-1.0</w:t>
                              </w:r>
                            </w:p>
                          </w:txbxContent>
                        </wps:txbx>
                        <wps:bodyPr rot="0" vert="horz" wrap="none" lIns="91440" tIns="45720" rIns="91440" bIns="45720" anchor="t" anchorCtr="0" upright="1">
                          <a:noAutofit/>
                        </wps:bodyPr>
                      </wps:wsp>
                      <wps:wsp>
                        <wps:cNvPr id="151" name="Straight Arrow Connector 201"/>
                        <wps:cNvCnPr/>
                        <wps:spPr bwMode="auto">
                          <a:xfrm>
                            <a:off x="2277308" y="495357"/>
                            <a:ext cx="3200" cy="24762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2" name="Text Box 153"/>
                        <wps:cNvSpPr txBox="1">
                          <a:spLocks noChangeArrowheads="1"/>
                        </wps:cNvSpPr>
                        <wps:spPr bwMode="auto">
                          <a:xfrm>
                            <a:off x="2153807" y="4198579"/>
                            <a:ext cx="507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153" name="Text Box 153"/>
                        <wps:cNvSpPr txBox="1">
                          <a:spLocks noChangeArrowheads="1"/>
                        </wps:cNvSpPr>
                        <wps:spPr bwMode="auto">
                          <a:xfrm>
                            <a:off x="2848710" y="4198579"/>
                            <a:ext cx="507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154" name="Text Box 153"/>
                        <wps:cNvSpPr txBox="1">
                          <a:spLocks noChangeArrowheads="1"/>
                        </wps:cNvSpPr>
                        <wps:spPr bwMode="auto">
                          <a:xfrm>
                            <a:off x="5718319" y="4207080"/>
                            <a:ext cx="507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155" name="Text Box 153"/>
                        <wps:cNvSpPr txBox="1">
                          <a:spLocks noChangeArrowheads="1"/>
                        </wps:cNvSpPr>
                        <wps:spPr bwMode="auto">
                          <a:xfrm>
                            <a:off x="5085217" y="4207080"/>
                            <a:ext cx="5073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 -2.5</w:t>
                              </w:r>
                            </w:p>
                          </w:txbxContent>
                        </wps:txbx>
                        <wps:bodyPr rot="0" vert="horz" wrap="none" lIns="91440" tIns="45720" rIns="91440" bIns="45720" anchor="t" anchorCtr="0" upright="1">
                          <a:noAutofit/>
                        </wps:bodyPr>
                      </wps:wsp>
                      <wps:wsp>
                        <wps:cNvPr id="156" name="Text Box 153"/>
                        <wps:cNvSpPr txBox="1">
                          <a:spLocks noChangeArrowheads="1"/>
                        </wps:cNvSpPr>
                        <wps:spPr bwMode="auto">
                          <a:xfrm>
                            <a:off x="4429315" y="4207080"/>
                            <a:ext cx="507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Pr="00974910"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Z-score</w:t>
                              </w:r>
                            </w:p>
                          </w:txbxContent>
                        </wps:txbx>
                        <wps:bodyPr rot="0" vert="horz" wrap="none" lIns="91440" tIns="45720" rIns="91440" bIns="45720" anchor="t" anchorCtr="0" upright="1">
                          <a:noAutofit/>
                        </wps:bodyPr>
                      </wps:wsp>
                      <wps:wsp>
                        <wps:cNvPr id="157" name="Text Box 153"/>
                        <wps:cNvSpPr txBox="1">
                          <a:spLocks noChangeArrowheads="1"/>
                        </wps:cNvSpPr>
                        <wps:spPr bwMode="auto">
                          <a:xfrm>
                            <a:off x="3799713" y="4207080"/>
                            <a:ext cx="5074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wps:txbx>
                        <wps:bodyPr rot="0" vert="horz" wrap="none" lIns="91440" tIns="45720" rIns="91440" bIns="45720" anchor="t" anchorCtr="0" upright="1">
                          <a:noAutofit/>
                        </wps:bodyPr>
                      </wps:wsp>
                      <wps:wsp>
                        <wps:cNvPr id="158" name="Text Box 153"/>
                        <wps:cNvSpPr txBox="1">
                          <a:spLocks noChangeArrowheads="1"/>
                        </wps:cNvSpPr>
                        <wps:spPr bwMode="auto">
                          <a:xfrm>
                            <a:off x="1413605" y="4856554"/>
                            <a:ext cx="4762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C81E3C" w:rsidRPr="00974910"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drugs</w:t>
                              </w:r>
                              <w:proofErr w:type="gramEnd"/>
                            </w:p>
                          </w:txbxContent>
                        </wps:txbx>
                        <wps:bodyPr rot="0" vert="horz" wrap="none" lIns="91440" tIns="45720" rIns="91440" bIns="45720" anchor="t" anchorCtr="0" upright="1">
                          <a:noAutofit/>
                        </wps:bodyPr>
                      </wps:wsp>
                      <wps:wsp>
                        <wps:cNvPr id="159" name="Text Box 153"/>
                        <wps:cNvSpPr txBox="1">
                          <a:spLocks noChangeArrowheads="1"/>
                        </wps:cNvSpPr>
                        <wps:spPr bwMode="auto">
                          <a:xfrm>
                            <a:off x="2848710" y="4857554"/>
                            <a:ext cx="575310" cy="419100"/>
                          </a:xfrm>
                          <a:prstGeom prst="rect">
                            <a:avLst/>
                          </a:prstGeom>
                          <a:solidFill>
                            <a:srgbClr val="FFFFFF"/>
                          </a:solidFill>
                          <a:ln w="6350">
                            <a:solidFill>
                              <a:srgbClr val="000000"/>
                            </a:solidFill>
                            <a:miter lim="800000"/>
                            <a:headEnd/>
                            <a:tailEnd/>
                          </a:ln>
                        </wps:spPr>
                        <wps:txb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160" name="Text Box 153"/>
                        <wps:cNvSpPr txBox="1">
                          <a:spLocks noChangeArrowheads="1"/>
                        </wps:cNvSpPr>
                        <wps:spPr bwMode="auto">
                          <a:xfrm>
                            <a:off x="2153807" y="4855654"/>
                            <a:ext cx="575310" cy="419100"/>
                          </a:xfrm>
                          <a:prstGeom prst="rect">
                            <a:avLst/>
                          </a:prstGeom>
                          <a:solidFill>
                            <a:srgbClr val="FFFFFF"/>
                          </a:solidFill>
                          <a:ln w="6350">
                            <a:solidFill>
                              <a:srgbClr val="000000"/>
                            </a:solidFill>
                            <a:miter lim="800000"/>
                            <a:headEnd/>
                            <a:tailEnd/>
                          </a:ln>
                        </wps:spPr>
                        <wps:txb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161" name="Text Box 153"/>
                        <wps:cNvSpPr txBox="1">
                          <a:spLocks noChangeArrowheads="1"/>
                        </wps:cNvSpPr>
                        <wps:spPr bwMode="auto">
                          <a:xfrm>
                            <a:off x="3799713" y="4854654"/>
                            <a:ext cx="575310" cy="419100"/>
                          </a:xfrm>
                          <a:prstGeom prst="rect">
                            <a:avLst/>
                          </a:prstGeom>
                          <a:solidFill>
                            <a:srgbClr val="FFFFFF"/>
                          </a:solidFill>
                          <a:ln w="6350">
                            <a:solidFill>
                              <a:srgbClr val="000000"/>
                            </a:solidFill>
                            <a:miter lim="800000"/>
                            <a:headEnd/>
                            <a:tailEnd/>
                          </a:ln>
                        </wps:spPr>
                        <wps:txb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wps:txbx>
                        <wps:bodyPr rot="0" vert="horz" wrap="none" lIns="91440" tIns="45720" rIns="91440" bIns="45720" anchor="t" anchorCtr="0" upright="1">
                          <a:noAutofit/>
                        </wps:bodyPr>
                      </wps:wsp>
                      <wps:wsp>
                        <wps:cNvPr id="162" name="Text Box 153"/>
                        <wps:cNvSpPr txBox="1">
                          <a:spLocks noChangeArrowheads="1"/>
                        </wps:cNvSpPr>
                        <wps:spPr bwMode="auto">
                          <a:xfrm>
                            <a:off x="4476815" y="4857554"/>
                            <a:ext cx="4763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C81E3C" w:rsidRDefault="00C81E3C" w:rsidP="009B51C0">
                              <w:pPr>
                                <w:pStyle w:val="NormalWeb"/>
                                <w:spacing w:before="0" w:beforeAutospacing="0" w:after="0" w:afterAutospacing="0" w:line="276" w:lineRule="auto"/>
                              </w:pPr>
                              <w:r>
                                <w:rPr>
                                  <w:rFonts w:ascii="Arial Narrow" w:hAnsi="Arial Narrow"/>
                                  <w:sz w:val="18"/>
                                  <w:szCs w:val="18"/>
                                </w:rPr>
                                <w:t xml:space="preserve">  </w:t>
                              </w:r>
                              <w:proofErr w:type="gramStart"/>
                              <w:r>
                                <w:rPr>
                                  <w:rFonts w:ascii="Arial Narrow" w:hAnsi="Arial Narrow"/>
                                  <w:sz w:val="18"/>
                                  <w:szCs w:val="18"/>
                                </w:rPr>
                                <w:t>drugs</w:t>
                              </w:r>
                              <w:proofErr w:type="gramEnd"/>
                            </w:p>
                          </w:txbxContent>
                        </wps:txbx>
                        <wps:bodyPr rot="0" vert="horz" wrap="none" lIns="91440" tIns="45720" rIns="91440" bIns="45720" anchor="t" anchorCtr="0" upright="1">
                          <a:noAutofit/>
                        </wps:bodyPr>
                      </wps:wsp>
                      <wps:wsp>
                        <wps:cNvPr id="163" name="Text Box 153"/>
                        <wps:cNvSpPr txBox="1">
                          <a:spLocks noChangeArrowheads="1"/>
                        </wps:cNvSpPr>
                        <wps:spPr bwMode="auto">
                          <a:xfrm>
                            <a:off x="5097317" y="4857554"/>
                            <a:ext cx="689610" cy="419100"/>
                          </a:xfrm>
                          <a:prstGeom prst="rect">
                            <a:avLst/>
                          </a:prstGeom>
                          <a:solidFill>
                            <a:srgbClr val="FFFFFF"/>
                          </a:solidFill>
                          <a:ln w="6350">
                            <a:solidFill>
                              <a:srgbClr val="000000"/>
                            </a:solidFill>
                            <a:miter lim="800000"/>
                            <a:headEnd/>
                            <a:tailEnd/>
                          </a:ln>
                        </wps:spPr>
                        <wps:txb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PBSdrugs</w:t>
                              </w:r>
                              <w:proofErr w:type="spellEnd"/>
                            </w:p>
                          </w:txbxContent>
                        </wps:txbx>
                        <wps:bodyPr rot="0" vert="horz" wrap="none" lIns="91440" tIns="45720" rIns="91440" bIns="45720" anchor="t" anchorCtr="0" upright="1">
                          <a:noAutofit/>
                        </wps:bodyPr>
                      </wps:wsp>
                      <wps:wsp>
                        <wps:cNvPr id="164" name="Text Box 153"/>
                        <wps:cNvSpPr txBox="1">
                          <a:spLocks noChangeArrowheads="1"/>
                        </wps:cNvSpPr>
                        <wps:spPr bwMode="auto">
                          <a:xfrm>
                            <a:off x="65600" y="1665090"/>
                            <a:ext cx="616602" cy="419148"/>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wps:txbx>
                        <wps:bodyPr rot="0" vert="horz" wrap="none" lIns="91440" tIns="45720" rIns="91440" bIns="45720" anchor="t" anchorCtr="0" upright="1">
                          <a:noAutofit/>
                        </wps:bodyPr>
                      </wps:wsp>
                      <wpg:wgp>
                        <wpg:cNvPr id="165" name="Group 222"/>
                        <wpg:cNvGrpSpPr>
                          <a:grpSpLocks/>
                        </wpg:cNvGrpSpPr>
                        <wpg:grpSpPr bwMode="auto">
                          <a:xfrm>
                            <a:off x="8169028" y="1350754"/>
                            <a:ext cx="1181104" cy="2476783"/>
                            <a:chOff x="0" y="0"/>
                            <a:chExt cx="11811" cy="24765"/>
                          </a:xfrm>
                        </wpg:grpSpPr>
                        <wps:wsp>
                          <wps:cNvPr id="166" name="Text Box 123"/>
                          <wps:cNvSpPr txBox="1">
                            <a:spLocks noChangeArrowheads="1"/>
                          </wps:cNvSpPr>
                          <wps:spPr bwMode="auto">
                            <a:xfrm>
                              <a:off x="1332" y="0"/>
                              <a:ext cx="8750" cy="409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Lifestyle advice</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w:t>
                                </w:r>
                              </w:p>
                            </w:txbxContent>
                          </wps:txbx>
                          <wps:bodyPr rot="0" vert="horz" wrap="none" lIns="91440" tIns="45720" rIns="91440" bIns="45720" anchor="t" anchorCtr="0" upright="1">
                            <a:noAutofit/>
                          </wps:bodyPr>
                        </wps:wsp>
                        <wps:wsp>
                          <wps:cNvPr id="167" name="Text Box 123"/>
                          <wps:cNvSpPr txBox="1">
                            <a:spLocks noChangeArrowheads="1"/>
                          </wps:cNvSpPr>
                          <wps:spPr bwMode="auto">
                            <a:xfrm>
                              <a:off x="0" y="19050"/>
                              <a:ext cx="4762" cy="5715"/>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Risk of</w:t>
                                </w:r>
                              </w:p>
                              <w:p w:rsidR="00C81E3C" w:rsidRDefault="00C81E3C" w:rsidP="009B51C0">
                                <w:pPr>
                                  <w:pStyle w:val="NormalWeb"/>
                                  <w:spacing w:before="0" w:beforeAutospacing="0" w:after="20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68" name="Text Box 123"/>
                          <wps:cNvSpPr txBox="1">
                            <a:spLocks noChangeArrowheads="1"/>
                          </wps:cNvSpPr>
                          <wps:spPr bwMode="auto">
                            <a:xfrm>
                              <a:off x="7048" y="10287"/>
                              <a:ext cx="3512" cy="247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169" name="Text Box 123"/>
                          <wps:cNvSpPr txBox="1">
                            <a:spLocks noChangeArrowheads="1"/>
                          </wps:cNvSpPr>
                          <wps:spPr bwMode="auto">
                            <a:xfrm>
                              <a:off x="1206" y="10287"/>
                              <a:ext cx="3092" cy="2476"/>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170" name="Text Box 123"/>
                          <wps:cNvSpPr txBox="1">
                            <a:spLocks noChangeArrowheads="1"/>
                          </wps:cNvSpPr>
                          <wps:spPr bwMode="auto">
                            <a:xfrm>
                              <a:off x="7048" y="19050"/>
                              <a:ext cx="4763" cy="5715"/>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Risk of</w:t>
                                </w:r>
                              </w:p>
                              <w:p w:rsidR="00C81E3C" w:rsidRDefault="00C81E3C" w:rsidP="009B51C0">
                                <w:pPr>
                                  <w:pStyle w:val="NormalWeb"/>
                                  <w:spacing w:before="0" w:beforeAutospacing="0" w:after="20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g:wgp>
                      <wps:wsp>
                        <wps:cNvPr id="171" name="Straight Arrow Connector 299"/>
                        <wps:cNvCnPr/>
                        <wps:spPr bwMode="auto">
                          <a:xfrm>
                            <a:off x="1654706" y="990713"/>
                            <a:ext cx="0" cy="1609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2" name="Straight Arrow Connector 300"/>
                        <wps:cNvCnPr/>
                        <wps:spPr bwMode="auto">
                          <a:xfrm flipH="1">
                            <a:off x="2277308" y="990713"/>
                            <a:ext cx="3200" cy="6743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 name="Straight Arrow Connector 302"/>
                        <wps:cNvCnPr/>
                        <wps:spPr bwMode="auto">
                          <a:xfrm>
                            <a:off x="3170611" y="990713"/>
                            <a:ext cx="0" cy="11611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Elbow Connector 303"/>
                        <wps:cNvCnPr/>
                        <wps:spPr bwMode="auto">
                          <a:xfrm rot="10800000" flipV="1">
                            <a:off x="426301" y="866799"/>
                            <a:ext cx="803303" cy="798291"/>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5" name="Straight Arrow Connector 304"/>
                        <wps:cNvCnPr/>
                        <wps:spPr bwMode="auto">
                          <a:xfrm>
                            <a:off x="426301" y="2084238"/>
                            <a:ext cx="3500" cy="28978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6" name="Straight Arrow Connector 305"/>
                        <wps:cNvCnPr/>
                        <wps:spPr bwMode="auto">
                          <a:xfrm>
                            <a:off x="1600105" y="1587881"/>
                            <a:ext cx="0" cy="13536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7" name="Straight Arrow Connector 306"/>
                        <wps:cNvCnPr/>
                        <wps:spPr bwMode="auto">
                          <a:xfrm>
                            <a:off x="2296308" y="2084238"/>
                            <a:ext cx="0" cy="85729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8" name="Straight Arrow Connector 307"/>
                        <wps:cNvCnPr/>
                        <wps:spPr bwMode="auto">
                          <a:xfrm>
                            <a:off x="3096110" y="2570993"/>
                            <a:ext cx="300" cy="37054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9" name="Straight Arrow Connector 308"/>
                        <wps:cNvCnPr/>
                        <wps:spPr bwMode="auto">
                          <a:xfrm>
                            <a:off x="1634406" y="3934849"/>
                            <a:ext cx="3500" cy="2556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0" name="Straight Arrow Connector 309"/>
                        <wps:cNvCnPr/>
                        <wps:spPr bwMode="auto">
                          <a:xfrm flipH="1">
                            <a:off x="2401108" y="3935149"/>
                            <a:ext cx="400" cy="2638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1" name="Straight Arrow Connector 310"/>
                        <wps:cNvCnPr/>
                        <wps:spPr bwMode="auto">
                          <a:xfrm flipH="1">
                            <a:off x="3096310" y="3934849"/>
                            <a:ext cx="100" cy="2727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2" name="Straight Arrow Connector 311"/>
                        <wps:cNvCnPr/>
                        <wps:spPr bwMode="auto">
                          <a:xfrm>
                            <a:off x="1637906" y="4609626"/>
                            <a:ext cx="3300" cy="24692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3" name="Straight Arrow Connector 312"/>
                        <wps:cNvCnPr/>
                        <wps:spPr bwMode="auto">
                          <a:xfrm flipH="1">
                            <a:off x="2401408" y="4618127"/>
                            <a:ext cx="3500" cy="2394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Straight Arrow Connector 313"/>
                        <wps:cNvCnPr/>
                        <wps:spPr bwMode="auto">
                          <a:xfrm>
                            <a:off x="3099910" y="4618127"/>
                            <a:ext cx="300" cy="2394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5" name="Straight Arrow Connector 314"/>
                        <wps:cNvCnPr/>
                        <wps:spPr bwMode="auto">
                          <a:xfrm flipH="1">
                            <a:off x="821603" y="5448922"/>
                            <a:ext cx="227460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6" name="Straight Connector 315"/>
                        <wps:cNvCnPr/>
                        <wps:spPr bwMode="auto">
                          <a:xfrm>
                            <a:off x="3096110" y="5276702"/>
                            <a:ext cx="0" cy="17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Straight Connector 316"/>
                        <wps:cNvCnPr/>
                        <wps:spPr bwMode="auto">
                          <a:xfrm>
                            <a:off x="2401008" y="5276702"/>
                            <a:ext cx="0" cy="172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Elbow Connector 317"/>
                        <wps:cNvCnPr/>
                        <wps:spPr bwMode="auto">
                          <a:xfrm rot="10800000" flipV="1">
                            <a:off x="4199514" y="866799"/>
                            <a:ext cx="640102" cy="293333"/>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9" name="Elbow Connector 318"/>
                        <wps:cNvCnPr/>
                        <wps:spPr bwMode="auto">
                          <a:xfrm>
                            <a:off x="6039720" y="866799"/>
                            <a:ext cx="399201" cy="798291"/>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90" name="Straight Arrow Connector 319"/>
                        <wps:cNvCnPr/>
                        <wps:spPr bwMode="auto">
                          <a:xfrm>
                            <a:off x="4883817" y="990713"/>
                            <a:ext cx="0" cy="6743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1" name="Straight Arrow Connector 320"/>
                        <wps:cNvCnPr/>
                        <wps:spPr bwMode="auto">
                          <a:xfrm>
                            <a:off x="5675619" y="990713"/>
                            <a:ext cx="0" cy="1780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2" name="Straight Arrow Connector 321"/>
                        <wps:cNvCnPr/>
                        <wps:spPr bwMode="auto">
                          <a:xfrm>
                            <a:off x="5172018" y="990713"/>
                            <a:ext cx="9600" cy="11611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3" name="Straight Arrow Connector 322"/>
                        <wps:cNvCnPr/>
                        <wps:spPr bwMode="auto">
                          <a:xfrm>
                            <a:off x="4038614" y="1587881"/>
                            <a:ext cx="9300" cy="133365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 name="Straight Arrow Connector 323"/>
                        <wps:cNvCnPr/>
                        <wps:spPr bwMode="auto">
                          <a:xfrm>
                            <a:off x="4657716" y="2084238"/>
                            <a:ext cx="0" cy="85729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5" name="Straight Arrow Connector 324"/>
                        <wps:cNvCnPr/>
                        <wps:spPr bwMode="auto">
                          <a:xfrm>
                            <a:off x="5304218" y="2570993"/>
                            <a:ext cx="0" cy="37054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6" name="Straight Arrow Connector 325"/>
                        <wps:cNvCnPr/>
                        <wps:spPr bwMode="auto">
                          <a:xfrm>
                            <a:off x="5895920" y="1587881"/>
                            <a:ext cx="9600" cy="134515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7" name="Straight Arrow Connector 326"/>
                        <wps:cNvCnPr/>
                        <wps:spPr bwMode="auto">
                          <a:xfrm>
                            <a:off x="6438722" y="2084238"/>
                            <a:ext cx="7600" cy="28978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8" name="Elbow Connector 327"/>
                        <wps:cNvCnPr/>
                        <wps:spPr bwMode="auto">
                          <a:xfrm rot="16200000" flipH="1">
                            <a:off x="4962007" y="4339108"/>
                            <a:ext cx="175020" cy="2044307"/>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99" name="Straight Connector 328"/>
                        <wps:cNvCnPr/>
                        <wps:spPr bwMode="auto">
                          <a:xfrm>
                            <a:off x="8448629" y="2151846"/>
                            <a:ext cx="60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Straight Arrow Connector 329"/>
                        <wps:cNvCnPr/>
                        <wps:spPr bwMode="auto">
                          <a:xfrm>
                            <a:off x="8448429" y="2151846"/>
                            <a:ext cx="0" cy="2277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1" name="Straight Arrow Connector 330"/>
                        <wps:cNvCnPr/>
                        <wps:spPr bwMode="auto">
                          <a:xfrm>
                            <a:off x="9048531" y="2151846"/>
                            <a:ext cx="0" cy="2277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2" name="Straight Connector 331"/>
                        <wps:cNvCnPr/>
                        <wps:spPr bwMode="auto">
                          <a:xfrm>
                            <a:off x="8739730" y="1760401"/>
                            <a:ext cx="5100" cy="39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Straight Arrow Connector 332"/>
                        <wps:cNvCnPr/>
                        <wps:spPr bwMode="auto">
                          <a:xfrm flipH="1">
                            <a:off x="8448229" y="2627200"/>
                            <a:ext cx="200" cy="62877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4" name="Straight Arrow Connector 333"/>
                        <wps:cNvCnPr/>
                        <wps:spPr bwMode="auto">
                          <a:xfrm flipH="1">
                            <a:off x="9048531" y="2627200"/>
                            <a:ext cx="900" cy="62877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5" name="Straight Arrow Connector 334"/>
                        <wps:cNvCnPr/>
                        <wps:spPr bwMode="auto">
                          <a:xfrm>
                            <a:off x="4047914" y="3934849"/>
                            <a:ext cx="2900" cy="2727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6" name="Straight Arrow Connector 336"/>
                        <wps:cNvCnPr/>
                        <wps:spPr bwMode="auto">
                          <a:xfrm>
                            <a:off x="4038514" y="4626728"/>
                            <a:ext cx="0" cy="2279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7" name="Straight Arrow Connector 338"/>
                        <wps:cNvCnPr/>
                        <wps:spPr bwMode="auto">
                          <a:xfrm>
                            <a:off x="4695716" y="4626728"/>
                            <a:ext cx="0" cy="2279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8" name="Straight Arrow Connector 339"/>
                        <wps:cNvCnPr/>
                        <wps:spPr bwMode="auto">
                          <a:xfrm>
                            <a:off x="5335718" y="4626728"/>
                            <a:ext cx="0" cy="23082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9" name="Straight Arrow Connector 340"/>
                        <wps:cNvCnPr/>
                        <wps:spPr bwMode="auto">
                          <a:xfrm flipH="1">
                            <a:off x="4695716" y="4124771"/>
                            <a:ext cx="300" cy="82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0" name="Straight Arrow Connector 341"/>
                        <wps:cNvCnPr/>
                        <wps:spPr bwMode="auto">
                          <a:xfrm>
                            <a:off x="5335718" y="3935149"/>
                            <a:ext cx="0" cy="2724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1" name="Straight Arrow Connector 342"/>
                        <wps:cNvCnPr/>
                        <wps:spPr bwMode="auto">
                          <a:xfrm>
                            <a:off x="5954920" y="3935149"/>
                            <a:ext cx="0" cy="2724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2" name="Straight Connector 197"/>
                        <wps:cNvCnPr/>
                        <wps:spPr bwMode="auto">
                          <a:xfrm>
                            <a:off x="4381715" y="2084238"/>
                            <a:ext cx="0" cy="297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Straight Arrow Connector 198"/>
                        <wps:cNvCnPr/>
                        <wps:spPr bwMode="auto">
                          <a:xfrm>
                            <a:off x="4381615" y="5060177"/>
                            <a:ext cx="95200" cy="70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4" name="Straight Arrow Connector 252"/>
                        <wps:cNvCnPr/>
                        <wps:spPr bwMode="auto">
                          <a:xfrm>
                            <a:off x="1685206" y="5481825"/>
                            <a:ext cx="0" cy="78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5" name="Straight Arrow Connector 301"/>
                        <wps:cNvCnPr/>
                        <wps:spPr bwMode="auto">
                          <a:xfrm>
                            <a:off x="2389908" y="5481825"/>
                            <a:ext cx="0" cy="787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6" name="Straight Arrow Connector 362"/>
                        <wps:cNvCnPr/>
                        <wps:spPr bwMode="auto">
                          <a:xfrm>
                            <a:off x="3111311" y="5481825"/>
                            <a:ext cx="0" cy="787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7" name="Straight Arrow Connector 393"/>
                        <wps:cNvCnPr/>
                        <wps:spPr bwMode="auto">
                          <a:xfrm>
                            <a:off x="4027314" y="5481825"/>
                            <a:ext cx="0" cy="787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8" name="Straight Arrow Connector 403"/>
                        <wps:cNvCnPr/>
                        <wps:spPr bwMode="auto">
                          <a:xfrm>
                            <a:off x="4758216" y="5481825"/>
                            <a:ext cx="0" cy="78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9" name="Straight Arrow Connector 425"/>
                        <wps:cNvCnPr/>
                        <wps:spPr bwMode="auto">
                          <a:xfrm>
                            <a:off x="5348718" y="5481825"/>
                            <a:ext cx="0" cy="7880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16" o:spid="_x0000_s1026" editas="canvas" alt="Title: Table 4: Regulatory status of dual energy X-ray absorptiometry devices  - Description: Table 4: Regulatory status of dual energy X-ray absorptiometry devices " style="width:697.9pt;height:458.95pt;mso-position-horizontal-relative:char;mso-position-vertical-relative:line" coordsize="88633,5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able 4: Regulatory status of dual energy X-ray absorptiometry devices " style="position:absolute;width:88633;height:58286;visibility:visible;mso-wrap-style:square">
                  <v:fill o:detectmouseclick="t"/>
                  <v:path o:connecttype="none"/>
                </v:shape>
                <v:shapetype id="_x0000_t202" coordsize="21600,21600" o:spt="202" path="m,l,21600r21600,l21600,xe">
                  <v:stroke joinstyle="miter"/>
                  <v:path gradientshapeok="t" o:connecttype="rect"/>
                </v:shapetype>
                <v:shape id="Text Box 282" o:spid="_x0000_s1028" type="#_x0000_t202" style="position:absolute;left:3346;width:55918;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kM8AA&#10;AADcAAAADwAAAGRycy9kb3ducmV2LnhtbERPyWrDMBC9F/IPYgK9NbJDKcGxHEIg0FOh2c6DNbFM&#10;rJGRlMT211eFQm/zeOuUm8F24kE+tI4V5IsMBHHtdMuNgtNx/7YCESKyxs4xKRgpwKaavZRYaPfk&#10;b3ocYiNSCIcCFZgY+0LKUBuyGBauJ07c1XmLMUHfSO3xmcJtJ5dZ9iEttpwaDPa0M1TfDner4NLY&#10;6XLOe2+07d75axqPJ9cq9ToftmsQkYb4L/5zf+o0f5nD7zPp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2kM8AAAADcAAAADwAAAAAAAAAAAAAAAACYAgAAZHJzL2Rvd25y&#10;ZXYueG1sUEsFBgAAAAAEAAQA9QAAAIUDAAAAAA==&#10;" stroked="f" strokeweight=".5pt">
                  <v:textbox>
                    <w:txbxContent>
                      <w:p w:rsidR="00C81E3C" w:rsidRDefault="00C81E3C" w:rsidP="009B51C0">
                        <w:pPr>
                          <w:pStyle w:val="Caption"/>
                          <w:spacing w:after="0"/>
                          <w:ind w:left="1440" w:hanging="1440"/>
                        </w:pPr>
                        <w:r>
                          <w:t>Figure 1</w:t>
                        </w:r>
                        <w:r>
                          <w:tab/>
                        </w:r>
                        <w:r w:rsidRPr="00AA3219">
                          <w:t>C</w:t>
                        </w:r>
                        <w:r>
                          <w:t>urrent c</w:t>
                        </w:r>
                        <w:r w:rsidRPr="00AA3219">
                          <w:t xml:space="preserve">linical management algorithm for </w:t>
                        </w:r>
                        <w:r>
                          <w:t>eligibility</w:t>
                        </w:r>
                      </w:p>
                      <w:p w:rsidR="00C81E3C" w:rsidRDefault="00C81E3C" w:rsidP="009B51C0">
                        <w:pPr>
                          <w:pStyle w:val="Caption"/>
                          <w:spacing w:after="0"/>
                          <w:ind w:left="1440" w:firstLine="0"/>
                        </w:pPr>
                        <w:proofErr w:type="gramStart"/>
                        <w:r>
                          <w:t>to</w:t>
                        </w:r>
                        <w:proofErr w:type="gramEnd"/>
                        <w:r>
                          <w:t xml:space="preserve"> MBS and PBS items for osteoporosis</w:t>
                        </w:r>
                      </w:p>
                      <w:p w:rsidR="0069266E" w:rsidRDefault="0069266E"/>
                    </w:txbxContent>
                  </v:textbox>
                </v:shape>
                <v:shape id="Text Box 123" o:spid="_x0000_s1029" type="#_x0000_t202" style="position:absolute;left:45824;top:1279;width:17107;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IGsQA&#10;AADcAAAADwAAAGRycy9kb3ducmV2LnhtbERPS2vCQBC+C/0PyxS8iG7MQUp0E4pULB4E7eM82Z0m&#10;odnZmN1q7K/vFgRv8/E9Z1UMthVn6n3jWMF8loAg1s40XCl4f9tMn0D4gGywdUwKruShyB9GK8yM&#10;u/CBzsdQiRjCPkMFdQhdJqXXNVn0M9cRR+7L9RZDhH0lTY+XGG5bmSbJQlpsODbU2NG6Jv19/LEK&#10;trty/rv7eNHbE5etPHxOtF3vlRo/Ds9LEIGGcBff3K8mzk9T+H8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SBrEAAAA3AAAAA8AAAAAAAAAAAAAAAAAmAIAAGRycy9k&#10;b3ducmV2LnhtbFBLBQYAAAAABAAEAPUAAACJAwAAAAA=&#10;" strokeweight=".5pt">
                  <v:textbox>
                    <w:txbxContent>
                      <w:p w:rsidR="00C81E3C" w:rsidRPr="00A0033A" w:rsidRDefault="00C81E3C" w:rsidP="009B51C0">
                        <w:pPr>
                          <w:rPr>
                            <w:rFonts w:ascii="Arial Narrow" w:hAnsi="Arial Narrow"/>
                            <w:sz w:val="18"/>
                            <w:szCs w:val="18"/>
                          </w:rPr>
                        </w:pPr>
                        <w:r w:rsidRPr="00A0033A">
                          <w:rPr>
                            <w:rFonts w:ascii="Arial Narrow" w:hAnsi="Arial Narrow"/>
                            <w:sz w:val="18"/>
                            <w:szCs w:val="18"/>
                          </w:rPr>
                          <w:t xml:space="preserve">Patients at risk of low </w:t>
                        </w:r>
                        <w:r>
                          <w:rPr>
                            <w:rFonts w:ascii="Arial Narrow" w:hAnsi="Arial Narrow"/>
                            <w:sz w:val="18"/>
                            <w:szCs w:val="18"/>
                          </w:rPr>
                          <w:t>BMD</w:t>
                        </w:r>
                        <w:r w:rsidRPr="00A0033A">
                          <w:rPr>
                            <w:rFonts w:ascii="Arial Narrow" w:hAnsi="Arial Narrow"/>
                            <w:sz w:val="18"/>
                            <w:szCs w:val="18"/>
                          </w:rPr>
                          <w:t xml:space="preserve"> and </w:t>
                        </w:r>
                        <w:r>
                          <w:rPr>
                            <w:rFonts w:ascii="Arial Narrow" w:hAnsi="Arial Narrow"/>
                            <w:sz w:val="18"/>
                            <w:szCs w:val="18"/>
                          </w:rPr>
                          <w:t>MTF</w:t>
                        </w:r>
                      </w:p>
                    </w:txbxContent>
                  </v:textbox>
                </v:shape>
                <v:shape id="Text Box 123" o:spid="_x0000_s1030" type="#_x0000_t202" style="position:absolute;left:12296;top:7429;width:21018;height:2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tgcQA&#10;AADcAAAADwAAAGRycy9kb3ducmV2LnhtbERPTWvCQBC9F/wPywi9FLOJhSKpq0iwWDwU1NbzuDtN&#10;gtnZmN1q2l/vCkJv83ifM533thFn6nztWEGWpCCItTM1lwo+d2+jCQgfkA02jknBL3mYzwYPU8yN&#10;u/CGzttQihjCPkcFVQhtLqXXFVn0iWuJI/ftOoshwq6UpsNLDLeNHKfpi7RYc2yosKWiIn3c/lgF&#10;q/Uh+1t/LfXqxIdGbvZP2hYfSj0O+8UriEB9+Bff3e8mzh8/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b7YHEAAAA3A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Defined conditions with risk for developing OP</w:t>
                        </w:r>
                      </w:p>
                    </w:txbxContent>
                  </v:textbox>
                </v:shape>
                <v:shape id="Text Box 123" o:spid="_x0000_s1031" type="#_x0000_t202" style="position:absolute;left:48396;top:7429;width:12001;height:2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19cQA&#10;AADcAAAADwAAAGRycy9kb3ducmV2LnhtbERPTWvCQBC9F/wPywi9FLOJlCKpq0iwWDwU1NbzuDtN&#10;gtnZmN1q2l/vCkJv83ifM533thFn6nztWEGWpCCItTM1lwo+d2+jCQgfkA02jknBL3mYzwYPU8yN&#10;u/CGzttQihjCPkcFVQhtLqXXFVn0iWuJI/ftOoshwq6UpsNLDLeNHKfpi7RYc2yosKWiIn3c/lgF&#10;q/Uh+1t/LfXqxIdGbvZP2hYfSj0O+8UriEB9+Bff3e8mzh8/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dfXEAAAA3A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Other risk factors for OP</w:t>
                        </w:r>
                      </w:p>
                    </w:txbxContent>
                  </v:textbox>
                </v:shape>
                <v:line id="Straight Connector 145" o:spid="_x0000_s1032" style="position:absolute;visibility:visible;mso-wrap-style:square" from="22773,4953" to="87543,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shapetype id="_x0000_t32" coordsize="21600,21600" o:spt="32" o:oned="t" path="m,l21600,21600e" filled="f">
                  <v:path arrowok="t" fillok="f" o:connecttype="none"/>
                  <o:lock v:ext="edit" shapetype="t"/>
                </v:shapetype>
                <v:shape id="Straight Arrow Connector 146" o:spid="_x0000_s1033" type="#_x0000_t32" style="position:absolute;left:54377;top:3756;width:19;height:3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gyzMIAAADcAAAADwAAAGRycy9kb3ducmV2LnhtbERPS4vCMBC+L+x/CCN4WTS1srpUoyzC&#10;qrAnH7DXoZk2xWZSmmyt/94Igrf5+J6zXPe2Fh21vnKsYDJOQBDnTldcKjiffkZfIHxA1lg7JgU3&#10;8rBevb8tMdPuygfqjqEUMYR9hgpMCE0mpc8NWfRj1xBHrnCtxRBhW0rd4jWG21qmSTKTFiuODQYb&#10;2hjKL8d/q6BINU0+Ln9mN//EYvM7Tbuu3io1HPTfCxCB+vASP917Hee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gyzMIAAADcAAAADwAAAAAAAAAAAAAA&#10;AAChAgAAZHJzL2Rvd25yZXYueG1sUEsFBgAAAAAEAAQA+QAAAJADAAAAAA==&#10;">
                  <v:stroke endarrow="open"/>
                </v:shape>
                <v:shape id="Text Box 123" o:spid="_x0000_s1034" type="#_x0000_t202" style="position:absolute;left:83247;top:7429;width:8408;height:2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rgsQA&#10;AADcAAAADwAAAGRycy9kb3ducmV2LnhtbERPTWvCQBC9F/wPywi9FLOJh1ZSV5FgsXgoqK3ncXea&#10;BLOzMbvVtL/eFYTe5vE+ZzrvbSPO1PnasYIsSUEQa2dqLhV87t5GExA+IBtsHJOCX/Iwnw0eppgb&#10;d+ENnbehFDGEfY4KqhDaXEqvK7LoE9cSR+7bdRZDhF0pTYeXGG4bOU7TZ2mx5thQYUtFRfq4/bEK&#10;VutD9rf+WurViQ+N3OyftC0+lHoc9otXEIH68C++u99NnD9+gd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64LEAAAA3A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All other factors</w:t>
                        </w:r>
                      </w:p>
                    </w:txbxContent>
                  </v:textbox>
                </v:shape>
                <v:shape id="Straight Arrow Connector 150" o:spid="_x0000_s1035" type="#_x0000_t32" style="position:absolute;left:87451;top:4953;width:92;height:2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Ww0cYAAADcAAAADwAAAGRycy9kb3ducmV2LnhtbESPQWvCQBCF7wX/wzJCL6VuqiCSuooU&#10;CiIFUXvpbchOssHsbJpdY+yv7xwEbzO8N+99s1wPvlE9dbEObOBtkoEiLoKtuTLwffp8XYCKCdli&#10;E5gM3CjCejV6WmJuw5UP1B9TpSSEY44GXEptrnUsHHmMk9ASi1aGzmOStau07fAq4b7R0yyba481&#10;S4PDlj4cFefjxRt4OfzUVVlevm5x9rdfZLv9ryt6Y57Hw+YdVKIhPcz3660V/KnQyjMygV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FsNHGAAAA3AAAAA8AAAAAAAAA&#10;AAAAAAAAoQIAAGRycy9kb3ducmV2LnhtbFBLBQYAAAAABAAEAPkAAACUAwAAAAA=&#10;">
                  <v:stroke endarrow="open"/>
                </v:shape>
                <v:shape id="Straight Arrow Connector 152" o:spid="_x0000_s1036" type="#_x0000_t32" style="position:absolute;left:87451;top:9907;width:86;height:3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emvsIAAADcAAAADwAAAGRycy9kb3ducmV2LnhtbERPTWvCQBC9C/0PyxR6Ed2YorWpqxSh&#10;KnjSCl6H7CQbzM6G7DbGf98VBG/zeJ+zWPW2Fh21vnKsYDJOQBDnTldcKjj9/ozmIHxA1lg7JgU3&#10;8rBavgwWmGl35QN1x1CKGMI+QwUmhCaT0ueGLPqxa4gjV7jWYoiwLaVu8RrDbS3TJJlJixXHBoMN&#10;rQ3ll+OfVVCkmibDy9lsP6ZYrPfvadfVG6XeXvvvLxCB+vAUP9w7Heenn3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emvsIAAADcAAAADwAAAAAAAAAAAAAA&#10;AAChAgAAZHJzL2Rvd25yZXYueG1sUEsFBgAAAAAEAAQA+QAAAJADAAAAAA==&#10;">
                  <v:stroke endarrow="open"/>
                </v:shape>
                <v:shape id="Text Box 153" o:spid="_x0000_s1037" type="#_x0000_t202" style="position:absolute;left:12629;top:11516;width:783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lK8YA&#10;AADcAAAADwAAAGRycy9kb3ducmV2LnhtbESPQWsCQQyF7wX/wxChl6KzViiyOkoRi+KhoLae40zc&#10;XbqTWXemuu2vbw4Fbwnv5b0vs0Xna3WlNlaBDYyGGShiG1zFhYGPw9tgAiomZId1YDLwQxEW897D&#10;DHMXbryj6z4VSkI45migTKnJtY62JI9xGBpi0c6h9ZhkbQvtWrxJuK/1c5a9aI8VS0OJDS1Lsl/7&#10;b29gvT2NfrefK7u+8KnWu+OT9ct3Yx773esUVKIu3c3/1xsn+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lK8YAAADcAAAADwAAAAAAAAAAAAAAAACYAgAAZHJz&#10;L2Rvd25yZXYueG1sUEsFBgAAAAAEAAQA9QAAAIsDAAAAAA==&#10;" strokeweight=".5pt">
                  <v:textbox>
                    <w:txbxContent>
                      <w:p w:rsidR="00C81E3C" w:rsidRPr="00227F5F" w:rsidRDefault="00C81E3C" w:rsidP="009B51C0">
                        <w:pPr>
                          <w:spacing w:after="0"/>
                          <w:rPr>
                            <w:rFonts w:ascii="Arial Narrow" w:hAnsi="Arial Narrow"/>
                            <w:sz w:val="18"/>
                            <w:szCs w:val="18"/>
                          </w:rPr>
                        </w:pPr>
                        <w:r>
                          <w:rPr>
                            <w:rFonts w:ascii="Arial Narrow" w:hAnsi="Arial Narrow"/>
                            <w:sz w:val="18"/>
                            <w:szCs w:val="18"/>
                          </w:rPr>
                          <w:t>Glucocorticoid</w:t>
                        </w:r>
                      </w:p>
                      <w:p w:rsidR="00C81E3C" w:rsidRPr="00227F5F" w:rsidRDefault="00C81E3C" w:rsidP="009B51C0">
                        <w:pPr>
                          <w:spacing w:after="0"/>
                          <w:rPr>
                            <w:rFonts w:ascii="Arial Narrow" w:hAnsi="Arial Narrow"/>
                            <w:sz w:val="18"/>
                            <w:szCs w:val="18"/>
                          </w:rPr>
                        </w:pPr>
                        <w:proofErr w:type="gramStart"/>
                        <w:r w:rsidRPr="00227F5F">
                          <w:rPr>
                            <w:rFonts w:ascii="Arial Narrow" w:hAnsi="Arial Narrow"/>
                            <w:sz w:val="18"/>
                            <w:szCs w:val="18"/>
                          </w:rPr>
                          <w:t>therapy</w:t>
                        </w:r>
                        <w:proofErr w:type="gramEnd"/>
                      </w:p>
                    </w:txbxContent>
                  </v:textbox>
                </v:shape>
                <v:shape id="Text Box 154" o:spid="_x0000_s1038" type="#_x0000_t202" style="position:absolute;left:17914;top:16564;width:10910;height:4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AsMMA&#10;AADcAAAADwAAAGRycy9kb3ducmV2LnhtbERPTWsCMRC9C/6HMIKXotm1UGQ1iojF4kHQqucxGXcX&#10;N5PtJtWtv74pFLzN433OdN7aStyo8aVjBekwAUGsnSk5V3D4fB+MQfiAbLByTAp+yMN81u1MMTPu&#10;zju67UMuYgj7DBUUIdSZlF4XZNEPXU0cuYtrLIYIm1yaBu8x3FZylCRv0mLJsaHAmpYF6ev+2ypY&#10;b87pY3Nc6fUXnyu5O71ou9wq1e+1iwmIQG14iv/dHybOf03h75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xAsMMAAADcAAAADwAAAAAAAAAAAAAAAACYAgAAZHJzL2Rv&#10;d25yZXYueG1sUEsFBgAAAAAEAAQA9QAAAIgDAAAAAA==&#10;" strokeweight=".5pt">
                  <v:textbox>
                    <w:txbxContent>
                      <w:p w:rsidR="00C81E3C" w:rsidRDefault="00C81E3C" w:rsidP="009B51C0">
                        <w:pPr>
                          <w:spacing w:after="0"/>
                          <w:rPr>
                            <w:rFonts w:ascii="Arial Narrow" w:hAnsi="Arial Narrow"/>
                            <w:sz w:val="18"/>
                            <w:szCs w:val="18"/>
                          </w:rPr>
                        </w:pPr>
                        <w:r>
                          <w:rPr>
                            <w:rFonts w:ascii="Arial Narrow" w:hAnsi="Arial Narrow"/>
                            <w:sz w:val="18"/>
                            <w:szCs w:val="18"/>
                          </w:rPr>
                          <w:t>Male or female</w:t>
                        </w:r>
                      </w:p>
                      <w:p w:rsidR="00C81E3C" w:rsidRPr="00227F5F" w:rsidRDefault="00C81E3C" w:rsidP="009B51C0">
                        <w:pPr>
                          <w:spacing w:after="0"/>
                          <w:rPr>
                            <w:rFonts w:ascii="Arial Narrow" w:hAnsi="Arial Narrow"/>
                            <w:sz w:val="18"/>
                            <w:szCs w:val="18"/>
                          </w:rPr>
                        </w:pPr>
                        <w:proofErr w:type="spellStart"/>
                        <w:proofErr w:type="gramStart"/>
                        <w:r>
                          <w:rPr>
                            <w:rFonts w:ascii="Arial Narrow" w:hAnsi="Arial Narrow"/>
                            <w:sz w:val="18"/>
                            <w:szCs w:val="18"/>
                          </w:rPr>
                          <w:t>h</w:t>
                        </w:r>
                        <w:r w:rsidRPr="00227F5F">
                          <w:rPr>
                            <w:rFonts w:ascii="Arial Narrow" w:hAnsi="Arial Narrow"/>
                            <w:sz w:val="18"/>
                            <w:szCs w:val="18"/>
                          </w:rPr>
                          <w:t>ypogonadism</w:t>
                        </w:r>
                        <w:proofErr w:type="spellEnd"/>
                        <w:proofErr w:type="gramEnd"/>
                        <w:r>
                          <w:rPr>
                            <w:rFonts w:ascii="Arial Narrow" w:hAnsi="Arial Narrow"/>
                            <w:sz w:val="18"/>
                            <w:szCs w:val="18"/>
                          </w:rPr>
                          <w:t xml:space="preserve"> </w:t>
                        </w:r>
                        <w:proofErr w:type="spellStart"/>
                        <w:r>
                          <w:rPr>
                            <w:rFonts w:ascii="Arial Narrow" w:hAnsi="Arial Narrow"/>
                            <w:sz w:val="18"/>
                            <w:szCs w:val="18"/>
                          </w:rPr>
                          <w:t>etc</w:t>
                        </w:r>
                        <w:proofErr w:type="spellEnd"/>
                        <w:r>
                          <w:rPr>
                            <w:rFonts w:ascii="Arial Narrow" w:hAnsi="Arial Narrow"/>
                            <w:sz w:val="18"/>
                            <w:szCs w:val="18"/>
                          </w:rPr>
                          <w:t xml:space="preserve"> (a)</w:t>
                        </w:r>
                      </w:p>
                    </w:txbxContent>
                  </v:textbox>
                </v:shape>
                <v:shape id="Text Box 155" o:spid="_x0000_s1039" type="#_x0000_t202" style="position:absolute;left:24011;top:21518;width:1388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ex8QA&#10;AADcAAAADwAAAGRycy9kb3ducmV2LnhtbERPTWvCQBC9F/wPywi9FLOJhSKpq0iwWDwU1NbzuDtN&#10;gtnZmN1q2l/vCkJv83ifM533thFn6nztWEGWpCCItTM1lwo+d2+jCQgfkA02jknBL3mYzwYPU8yN&#10;u/CGzttQihjCPkcFVQhtLqXXFVn0iWuJI/ftOoshwq6UpsNLDLeNHKfpi7RYc2yosKWiIn3c/lgF&#10;q/Uh+1t/LfXqxIdGbvZP2hYfSj0O+8UriEB9+Bff3e8mzn8e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3sfEAAAA3AAAAA8AAAAAAAAAAAAAAAAAmAIAAGRycy9k&#10;b3ducmV2LnhtbFBLBQYAAAAABAAEAPUAAACJAwAAAAA=&#10;" strokeweight=".5pt">
                  <v:textbox>
                    <w:txbxContent>
                      <w:p w:rsidR="00C81E3C" w:rsidRPr="00227F5F" w:rsidRDefault="00C81E3C" w:rsidP="009B51C0">
                        <w:pPr>
                          <w:spacing w:after="0"/>
                          <w:rPr>
                            <w:rFonts w:ascii="Arial Narrow" w:hAnsi="Arial Narrow"/>
                            <w:sz w:val="18"/>
                            <w:szCs w:val="18"/>
                          </w:rPr>
                        </w:pPr>
                        <w:r w:rsidRPr="00227F5F">
                          <w:rPr>
                            <w:rFonts w:ascii="Arial Narrow" w:hAnsi="Arial Narrow"/>
                            <w:sz w:val="18"/>
                            <w:szCs w:val="18"/>
                          </w:rPr>
                          <w:t>Primary hyperparathyroidism</w:t>
                        </w:r>
                      </w:p>
                      <w:p w:rsidR="00C81E3C" w:rsidRPr="00227F5F" w:rsidRDefault="00C81E3C" w:rsidP="009B51C0">
                        <w:pPr>
                          <w:spacing w:after="0"/>
                          <w:rPr>
                            <w:rFonts w:ascii="Arial Narrow" w:hAnsi="Arial Narrow"/>
                            <w:sz w:val="18"/>
                            <w:szCs w:val="18"/>
                          </w:rPr>
                        </w:pPr>
                        <w:r w:rsidRPr="00227F5F">
                          <w:rPr>
                            <w:rFonts w:ascii="Arial Narrow" w:hAnsi="Arial Narrow"/>
                            <w:sz w:val="18"/>
                            <w:szCs w:val="18"/>
                          </w:rPr>
                          <w:t>Chronic renal disease</w:t>
                        </w:r>
                        <w:r>
                          <w:rPr>
                            <w:rFonts w:ascii="Arial Narrow" w:hAnsi="Arial Narrow"/>
                            <w:sz w:val="18"/>
                            <w:szCs w:val="18"/>
                          </w:rPr>
                          <w:t xml:space="preserve"> </w:t>
                        </w:r>
                        <w:proofErr w:type="spellStart"/>
                        <w:r>
                          <w:rPr>
                            <w:rFonts w:ascii="Arial Narrow" w:hAnsi="Arial Narrow"/>
                            <w:sz w:val="18"/>
                            <w:szCs w:val="18"/>
                          </w:rPr>
                          <w:t>e</w:t>
                        </w:r>
                        <w:r w:rsidRPr="00227F5F">
                          <w:rPr>
                            <w:rFonts w:ascii="Arial Narrow" w:hAnsi="Arial Narrow"/>
                            <w:sz w:val="18"/>
                            <w:szCs w:val="18"/>
                          </w:rPr>
                          <w:t>tc</w:t>
                        </w:r>
                        <w:proofErr w:type="spellEnd"/>
                        <w:r>
                          <w:rPr>
                            <w:rFonts w:ascii="Arial Narrow" w:hAnsi="Arial Narrow"/>
                            <w:sz w:val="18"/>
                            <w:szCs w:val="18"/>
                          </w:rPr>
                          <w:t xml:space="preserve"> (b)</w:t>
                        </w:r>
                      </w:p>
                    </w:txbxContent>
                  </v:textbox>
                </v:shape>
                <v:shape id="Text Box 153" o:spid="_x0000_s1040" type="#_x0000_t202" style="position:absolute;left:381;top:49820;width:7835;height:73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7XMQA&#10;AADcAAAADwAAAGRycy9kb3ducmV2LnhtbERPTWvCQBC9F/wPywheim6sUCTNRkRaFA+C2noed6dJ&#10;MDubZleN/vpuQehtHu9zsllna3Gh1leOFYxHCQhi7UzFhYLP/cdwCsIHZIO1Y1JwIw+zvPeUYWrc&#10;lbd02YVCxBD2KSooQ2hSKb0uyaIfuYY4ct+utRgibAtpWrzGcFvLlyR5lRYrjg0lNrQoSZ92Z6tg&#10;uT6O7+uvd7384WMtt4dnbRcbpQb9bv4GIlAX/sUP98rE+ZMJ/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e1z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41" type="#_x0000_t202" style="position:absolute;left:36384;top:11602;width:11221;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jKMQA&#10;AADcAAAADwAAAGRycy9kb3ducmV2LnhtbERPS2vCQBC+C/6HZYReRDdpS5HUNYhYLB4KPtrzuDtN&#10;gtnZmN1q9Nd3hUJv8/E9Z5p3thZnan3lWEE6TkAQa2cqLhTsd2+jCQgfkA3WjknBlTzks35viplx&#10;F97QeRsKEUPYZ6igDKHJpPS6JIt+7BriyH271mKIsC2kafESw20tH5PkRVqsODaU2NCiJH3c/lgF&#10;q/Uhva0/l3p14kMtN19DbRcfSj0MuvkriEBd+Bf/ud9NnP/0D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4yj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Previously established</w:t>
                        </w:r>
                      </w:p>
                      <w:p w:rsidR="00C81E3C" w:rsidRDefault="00C81E3C" w:rsidP="009B51C0">
                        <w:pPr>
                          <w:pStyle w:val="NormalWeb"/>
                          <w:spacing w:before="0" w:beforeAutospacing="0" w:after="0" w:afterAutospacing="0" w:line="276" w:lineRule="auto"/>
                        </w:pPr>
                        <w:r>
                          <w:rPr>
                            <w:rFonts w:ascii="Arial Narrow" w:hAnsi="Arial Narrow"/>
                            <w:sz w:val="18"/>
                            <w:szCs w:val="18"/>
                          </w:rPr>
                          <w:t>T-score ≤-2.5</w:t>
                        </w:r>
                      </w:p>
                    </w:txbxContent>
                  </v:textbox>
                </v:shape>
                <v:shape id="Text Box 153" o:spid="_x0000_s1042" type="#_x0000_t202" style="position:absolute;left:14934;top:55523;width:44666;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Gs8QA&#10;AADcAAAADwAAAGRycy9kb3ducmV2LnhtbERPS2vCQBC+C/6HZYReRDdpaZHUNYhYLB4KPtrzuDtN&#10;gtnZmN1q9Nd3hUJv8/E9Z5p3thZnan3lWEE6TkAQa2cqLhTsd2+jCQgfkA3WjknBlTzks35viplx&#10;F97QeRsKEUPYZ6igDKHJpPS6JIt+7BriyH271mKIsC2kafESw20tH5PkRVqsODaU2NCiJH3c/lgF&#10;q/Uhva0/l3p14kMtN19DbRcfSj0MuvkriEBd+Bf/ud9NnP/0D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RrPEAAAA3AAAAA8AAAAAAAAAAAAAAAAAmAIAAGRycy9k&#10;b3ducmV2LnhtbFBLBQYAAAAABAAEAPUAAACJAwAAAAA=&#10;" strokeweight=".5pt">
                  <v:textbox>
                    <w:txbxContent>
                      <w:p w:rsidR="00C81E3C" w:rsidRPr="008C7DE0" w:rsidRDefault="00C81E3C" w:rsidP="009B51C0">
                        <w:pPr>
                          <w:pStyle w:val="NormalWeb"/>
                          <w:spacing w:before="0" w:beforeAutospacing="0" w:after="0" w:afterAutospacing="0" w:line="276" w:lineRule="auto"/>
                          <w:rPr>
                            <w:rFonts w:ascii="Arial Narrow" w:hAnsi="Arial Narrow"/>
                            <w:sz w:val="18"/>
                            <w:szCs w:val="18"/>
                          </w:rPr>
                        </w:pPr>
                        <w:r w:rsidRPr="008C7DE0">
                          <w:rPr>
                            <w:rFonts w:ascii="Arial Narrow" w:hAnsi="Arial Narrow"/>
                            <w:sz w:val="18"/>
                            <w:szCs w:val="18"/>
                          </w:rPr>
                          <w:t>Repeat DXA</w:t>
                        </w:r>
                        <w:r>
                          <w:rPr>
                            <w:rFonts w:ascii="Arial Narrow" w:hAnsi="Arial Narrow"/>
                            <w:sz w:val="18"/>
                            <w:szCs w:val="18"/>
                          </w:rPr>
                          <w:t xml:space="preserve"> or QCT</w:t>
                        </w:r>
                        <w:r w:rsidRPr="008C7DE0">
                          <w:rPr>
                            <w:rFonts w:ascii="Arial Narrow" w:hAnsi="Arial Narrow"/>
                            <w:sz w:val="18"/>
                            <w:szCs w:val="18"/>
                          </w:rPr>
                          <w:t xml:space="preserve"> for proven low BMD</w:t>
                        </w:r>
                        <w:r>
                          <w:rPr>
                            <w:rFonts w:ascii="Arial Narrow" w:hAnsi="Arial Narrow"/>
                            <w:sz w:val="18"/>
                            <w:szCs w:val="18"/>
                          </w:rPr>
                          <w:t xml:space="preserve"> (T-score ≤-2.5) (</w:t>
                        </w:r>
                        <w:r w:rsidRPr="008C7DE0">
                          <w:rPr>
                            <w:rFonts w:ascii="Arial Narrow" w:hAnsi="Arial Narrow"/>
                            <w:sz w:val="18"/>
                            <w:szCs w:val="18"/>
                          </w:rPr>
                          <w:t>MBS 12306</w:t>
                        </w:r>
                        <w:r>
                          <w:rPr>
                            <w:rFonts w:ascii="Arial Narrow" w:hAnsi="Arial Narrow"/>
                            <w:sz w:val="18"/>
                            <w:szCs w:val="18"/>
                          </w:rPr>
                          <w:t xml:space="preserve">, 12309) </w:t>
                        </w:r>
                        <w:r w:rsidRPr="008C7DE0">
                          <w:rPr>
                            <w:rFonts w:ascii="Arial Narrow" w:hAnsi="Arial Narrow"/>
                            <w:sz w:val="18"/>
                            <w:szCs w:val="18"/>
                          </w:rPr>
                          <w:t>1 service per 24 months</w:t>
                        </w:r>
                        <w:r>
                          <w:rPr>
                            <w:rFonts w:ascii="Arial Narrow" w:hAnsi="Arial Narrow"/>
                            <w:sz w:val="18"/>
                            <w:szCs w:val="18"/>
                          </w:rPr>
                          <w:t xml:space="preserve"> </w:t>
                        </w:r>
                      </w:p>
                    </w:txbxContent>
                  </v:textbox>
                </v:shape>
                <v:shape id="Text Box 153" o:spid="_x0000_s1043" type="#_x0000_t202" style="position:absolute;left:60712;top:16650;width:6166;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YxMQA&#10;AADcAAAADwAAAGRycy9kb3ducmV2LnhtbERPTWvCQBC9C/0PyxR6EbOxgpTUTShiUTwUtK3ncXea&#10;hGZnY3ar0V/vFgRv83ifMyt624gjdb52rGCcpCCItTM1lwq+Pt9HLyB8QDbYOCYFZ/JQ5A+DGWbG&#10;nXhDx20oRQxhn6GCKoQ2k9Lriiz6xLXEkftxncUQYVdK0+EphttGPqfpVFqsOTZU2NK8Iv27/bMK&#10;luv9+LL+XujlgfeN3OyG2s4/lHp67N9eQQTqw118c69MnD+Zwv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12MT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44" type="#_x0000_t202" style="position:absolute;left:53044;top:11687;width:9557;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9X8QA&#10;AADcAAAADwAAAGRycy9kb3ducmV2LnhtbERPS2vCQBC+C/6HZYReRDdpoZXUNYhYLB4KPtrzuDtN&#10;gtnZmN1q9Nd3hUJv8/E9Z5p3thZnan3lWEE6TkAQa2cqLhTsd2+jCQgfkA3WjknBlTzks35viplx&#10;F97QeRsKEUPYZ6igDKHJpPS6JIt+7BriyH271mKIsC2kafESw20tH5PkWVqsODaU2NCiJH3c/lgF&#10;q/Uhva0/l3p14kMtN19DbRcfSj0MuvkriEBd+Bf/ud9NnP/0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5fV/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Significant change</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in</w:t>
                        </w:r>
                        <w:proofErr w:type="gramEnd"/>
                        <w:r>
                          <w:rPr>
                            <w:rFonts w:ascii="Arial Narrow" w:hAnsi="Arial Narrow"/>
                            <w:sz w:val="18"/>
                            <w:szCs w:val="18"/>
                          </w:rPr>
                          <w:t xml:space="preserve"> OP therapy</w:t>
                        </w:r>
                      </w:p>
                    </w:txbxContent>
                  </v:textbox>
                </v:shape>
                <v:shape id="Text Box 153" o:spid="_x0000_s1045" type="#_x0000_t202" style="position:absolute;left:49910;top:21518;width:3829;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pLcYA&#10;AADcAAAADwAAAGRycy9kb3ducmV2LnhtbESPQWsCQQyF7wX/wxChl6KzViiyOkoRi+KhoLae40zc&#10;XbqTWXemuu2vbw4Fbwnv5b0vs0Xna3WlNlaBDYyGGShiG1zFhYGPw9tgAiomZId1YDLwQxEW897D&#10;DHMXbryj6z4VSkI45migTKnJtY62JI9xGBpi0c6h9ZhkbQvtWrxJuK/1c5a9aI8VS0OJDS1Lsl/7&#10;b29gvT2NfrefK7u+8KnWu+OT9ct3Yx773esUVKIu3c3/1xsn+G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bpLcYAAADc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Age</w:t>
                        </w:r>
                      </w:p>
                      <w:p w:rsidR="00C81E3C" w:rsidRDefault="00C81E3C" w:rsidP="009B51C0">
                        <w:pPr>
                          <w:pStyle w:val="NormalWeb"/>
                          <w:spacing w:before="0" w:beforeAutospacing="0" w:after="0" w:afterAutospacing="0" w:line="276" w:lineRule="auto"/>
                        </w:pPr>
                        <w:r>
                          <w:rPr>
                            <w:rFonts w:ascii="Arial Narrow" w:hAnsi="Arial Narrow"/>
                            <w:sz w:val="18"/>
                            <w:szCs w:val="18"/>
                          </w:rPr>
                          <w:t>≥ 70</w:t>
                        </w:r>
                      </w:p>
                    </w:txbxContent>
                  </v:textbox>
                </v:shape>
                <v:shape id="Text Box 153" o:spid="_x0000_s1046" type="#_x0000_t202" style="position:absolute;left:43816;top:16650;width:486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MtsQA&#10;AADcAAAADwAAAGRycy9kb3ducmV2LnhtbERPS2vCQBC+C/6HZYReRDdpodTUNYhYLB4KPtrzuDtN&#10;gtnZmN1q9Nd3hUJv8/E9Z5p3thZnan3lWEE6TkAQa2cqLhTsd2+jFxA+IBusHZOCK3nIZ/3eFDPj&#10;Lryh8zYUIoawz1BBGUKTSel1SRb92DXEkft2rcUQYVtI0+IlhttaPibJs7RYcWwosaFFSfq4/bEK&#10;VutDelt/LvXqxIdabr6G2i4+lHoYdPNXEIG68C/+c7+bOP9p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qTLb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Proven</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53" o:spid="_x0000_s1047" type="#_x0000_t202" style="position:absolute;left:13677;top:29330;width:5334;height:10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WVsYA&#10;AADcAAAADwAAAGRycy9kb3ducmV2LnhtbESPQWsCQQyF7wX/wxChl6KzFimyOkoRi+KhoLae40zc&#10;XbqTWXemuu2vbw4Fbwnv5b0vs0Xna3WlNlaBDYyGGShiG1zFhYGPw9tgAiomZId1YDLwQxEW897D&#10;DHMXbryj6z4VSkI45migTKnJtY62JI9xGBpi0c6h9ZhkbQvtWrxJuK/1c5a9aI8VS0OJDS1Lsl/7&#10;b29gvT2NfrefK7u+8KnWu+OT9ct3Yx773esUVKIu3c3/1xsn+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aWVsYAAADc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48" type="#_x0000_t202" style="position:absolute;left:21348;top:29330;width:5334;height:100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zzcMA&#10;AADcAAAADwAAAGRycy9kb3ducmV2LnhtbERPTWsCMRC9C/6HMIKXotmVUmQ1iojF4kHQqucxGXcX&#10;N5PtJtWtv74pFLzN433OdN7aStyo8aVjBekwAUGsnSk5V3D4fB+MQfiAbLByTAp+yMN81u1MMTPu&#10;zju67UMuYgj7DBUUIdSZlF4XZNEPXU0cuYtrLIYIm1yaBu8x3FZylCRv0mLJsaHAmpYF6ev+2ypY&#10;b87pY3Nc6fUXnyu5O71ou9wq1e+1iwmIQG14iv/dHybOf03h75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ozzcMAAADcAAAADwAAAAAAAAAAAAAAAACYAgAAZHJzL2Rv&#10;d25yZXYueG1sUEsFBgAAAAAEAAQA9QAAAIg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12312</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Pr="00F231B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v:textbox>
                </v:shape>
                <v:shape id="Text Box 153" o:spid="_x0000_s1049" type="#_x0000_t202" style="position:absolute;left:28297;top:29415;width:5334;height:9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tusQA&#10;AADcAAAADwAAAGRycy9kb3ducmV2LnhtbERPTWvCQBC9F/wPywi9FLOJlCKpq0iwWDwU1NbzuDtN&#10;gtnZmN1q2l/vCkJv83ifM533thFn6nztWEGWpCCItTM1lwo+d2+jCQgfkA02jknBL3mYzwYPU8yN&#10;u/CGzttQihjCPkcFVQhtLqXXFVn0iWuJI/ftOoshwq6UpsNLDLeNHKfpi7RYc2yosKWiIn3c/lgF&#10;q/Uh+1t/LfXqxIdGbvZP2hYfSj0O+8UriEB9+Bff3e8mzn8e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rbr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12315</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12318</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C81E3C" w:rsidRPr="00F231B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months</w:t>
                        </w:r>
                        <w:proofErr w:type="gramEnd"/>
                      </w:p>
                    </w:txbxContent>
                  </v:textbox>
                </v:shape>
                <v:shape id="Text Box 153" o:spid="_x0000_s1050" type="#_x0000_t202" style="position:absolute;left:37812;top:29215;width:5334;height:101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IIcQA&#10;AADcAAAADwAAAGRycy9kb3ducmV2LnhtbERPS2vCQBC+C/6HZYReRDdpS5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CCH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24</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1" type="#_x0000_t202" style="position:absolute;left:44293;top:29330;width:5334;height:1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1zsQA&#10;AADcAAAADwAAAGRycy9kb3ducmV2LnhtbERPS2vCQBC+C/6HZYReRDcpbZHUNYhYLB4KPtrzuDtN&#10;gtnZmN1q9Nd3hUJv8/E9Z5p3thZnan3lWEE6TkAQa2cqLhTsd2+jCQgfkA3WjknBlTzks35viplx&#10;F97QeRsKEUPYZ6igDKHJpPS6JIt+7BriyH271mKIsC2kafESw20tH5PkRVqsODaU2NCiJH3c/lgF&#10;q/Uhva0/l3p14kMtN19DbRcfSj0MuvkriEBd+Bf/ud9NnP/0D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Nc7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12306</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12309</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2" type="#_x0000_t202" style="position:absolute;left:50852;top:29330;width:4502;height:100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OrucQA&#10;AADcAAAADwAAAGRycy9kb3ducmV2LnhtbERPTWvCQBC9C/0PyxR6EbOxiJTUTShiUTwUtK3ncXea&#10;hGZnY3ar0V/vFgRv83ifMyt624gjdb52rGCcpCCItTM1lwq+Pt9HLyB8QDbYOCYFZ/JQ5A+DGWbG&#10;nXhDx20oRQxhn6GCKoQ2k9Lriiz6xLXEkftxncUQYVdK0+EphttGPqfpVFqsOTZU2NK8Iv27/bMK&#10;luv9+LL+XujlgfeN3OyG2s4/lHp67N9eQQTqw118c69MnD+Zwv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zq7n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12323</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no</w:t>
                        </w:r>
                        <w:proofErr w:type="gramEnd"/>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limit</w:t>
                        </w:r>
                        <w:proofErr w:type="gramEnd"/>
                        <w:r>
                          <w:rPr>
                            <w:rFonts w:ascii="Arial Narrow" w:hAnsi="Arial Narrow"/>
                            <w:sz w:val="18"/>
                            <w:szCs w:val="18"/>
                          </w:rPr>
                          <w:t>)</w:t>
                        </w:r>
                      </w:p>
                    </w:txbxContent>
                  </v:textbox>
                </v:shape>
                <v:shape id="Text Box 153" o:spid="_x0000_s1053" type="#_x0000_t202" style="position:absolute;left:56758;top:29330;width:5334;height:100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OIsQA&#10;AADcAAAADwAAAGRycy9kb3ducmV2LnhtbERPS2vCQBC+C/6HZYReRDcppZXUNYhYLB4KPtrzuDtN&#10;gtnZmN1q9Nd3hUJv8/E9Z5p3thZnan3lWEE6TkAQa2cqLhTsd2+jCQgfkA3WjknBlTzks35viplx&#10;F97QeRsKEUPYZ6igDKHJpPS6JIt+7BriyH271mKIsC2kafESw20tH5PkWVqsODaU2NCiJH3c/lgF&#10;q/Uhva0/l3p14kMtN19DbRcfSj0MuvkriEBd+Bf/ud9NnP/0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DiL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12321</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1 per 12</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months</w:t>
                        </w:r>
                        <w:proofErr w:type="gramEnd"/>
                      </w:p>
                    </w:txbxContent>
                  </v:textbox>
                </v:shape>
                <v:shape id="Text Box 153" o:spid="_x0000_s1054" type="#_x0000_t202" style="position:absolute;left:60545;top:49820;width:7836;height:75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UMYA&#10;AADcAAAADwAAAGRycy9kb3ducmV2LnhtbESPQWsCQQyF7wX/wxChl6KzFimyOkoRi+KhoLae40zc&#10;XbqTWXemuu2vbw4Fbwnv5b0vs0Xna3WlNlaBDYyGGShiG1zFhYGPw9tgAiomZId1YDLwQxEW897D&#10;DHMXbryj6z4VSkI45migTKnJtY62JI9xGBpi0c6h9ZhkbQvtWrxJuK/1c5a9aI8VS0OJDS1Lsl/7&#10;b29gvT2NfrefK7u+8KnWu+OT9ct3Yx773esUVKIu3c3/1xsn+G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aUMYAAADc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ARTG drugs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for</w:t>
                        </w:r>
                        <w:proofErr w:type="gramEnd"/>
                        <w:r>
                          <w:rPr>
                            <w:rFonts w:ascii="Arial Narrow" w:hAnsi="Arial Narrow"/>
                            <w:sz w:val="18"/>
                            <w:szCs w:val="18"/>
                          </w:rPr>
                          <w:t xml:space="preserve"> prevention</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and</w:t>
                        </w:r>
                        <w:proofErr w:type="gramEnd"/>
                        <w:r>
                          <w:rPr>
                            <w:rFonts w:ascii="Arial Narrow" w:hAnsi="Arial Narrow"/>
                            <w:sz w:val="18"/>
                            <w:szCs w:val="18"/>
                          </w:rPr>
                          <w:t xml:space="preserve"> treatment</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shape id="Text Box 153" o:spid="_x0000_s1055" type="#_x0000_t202" style="position:absolute;left:69087;top:39348;width:24403;height:18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8QA&#10;AADcAAAADwAAAGRycy9kb3ducmV2LnhtbERPS2vCQBC+C/6HZYReRDcppdTUNYhYLB4KPtrzuDtN&#10;gtnZmN1q9Nd3hUJv8/E9Z5p3thZnan3lWEE6TkAQa2cqLhTsd2+jFxA+IBusHZOCK3nIZ/3eFDPj&#10;Lryh8zYUIoawz1BBGUKTSel1SRb92DXEkft2rcUQYVtI0+IlhttaPibJs7RYcWwosaFFSfq4/bEK&#10;VutDelt/LvXqxIdabr6G2i4+lHoYdPNXEIG68C/+c7+bOP9p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P8v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Notes: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BMD: Bone mineral density</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MTF: minimal trauma fracture</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OP: osteoporosis</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DXA: (number refers to the MBS item)</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QCT: (number refers to the MBS item)</w:t>
                        </w:r>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(a): Conditions associated with excess glucocorticoid</w:t>
                        </w:r>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secretion</w:t>
                        </w:r>
                        <w:proofErr w:type="gramEnd"/>
                      </w:p>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(b): Chronic liver disease, proven </w:t>
                        </w:r>
                        <w:proofErr w:type="spellStart"/>
                        <w:r>
                          <w:rPr>
                            <w:rFonts w:ascii="Arial Narrow" w:hAnsi="Arial Narrow"/>
                            <w:sz w:val="18"/>
                            <w:szCs w:val="18"/>
                          </w:rPr>
                          <w:t>malabsorbtive</w:t>
                        </w:r>
                        <w:proofErr w:type="spellEnd"/>
                      </w:p>
                      <w:p w:rsidR="00C81E3C" w:rsidRDefault="00C81E3C" w:rsidP="009B51C0">
                        <w:pPr>
                          <w:pStyle w:val="NormalWeb"/>
                          <w:spacing w:before="0" w:beforeAutospacing="0" w:after="0" w:afterAutospacing="0" w:line="276" w:lineRule="auto"/>
                          <w:rPr>
                            <w:rFonts w:ascii="Arial Narrow" w:hAnsi="Arial Narrow"/>
                            <w:sz w:val="18"/>
                            <w:szCs w:val="18"/>
                          </w:rPr>
                        </w:pPr>
                        <w:proofErr w:type="gramStart"/>
                        <w:r>
                          <w:rPr>
                            <w:rFonts w:ascii="Arial Narrow" w:hAnsi="Arial Narrow"/>
                            <w:sz w:val="18"/>
                            <w:szCs w:val="18"/>
                          </w:rPr>
                          <w:t>disorder</w:t>
                        </w:r>
                        <w:proofErr w:type="gramEnd"/>
                        <w:r>
                          <w:rPr>
                            <w:rFonts w:ascii="Arial Narrow" w:hAnsi="Arial Narrow"/>
                            <w:sz w:val="18"/>
                            <w:szCs w:val="18"/>
                          </w:rPr>
                          <w:t>, rheumatoid arthritis, or conditions associated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with</w:t>
                        </w:r>
                        <w:proofErr w:type="gramEnd"/>
                        <w:r>
                          <w:rPr>
                            <w:rFonts w:ascii="Arial Narrow" w:hAnsi="Arial Narrow"/>
                            <w:sz w:val="18"/>
                            <w:szCs w:val="18"/>
                          </w:rPr>
                          <w:t xml:space="preserve"> </w:t>
                        </w:r>
                        <w:proofErr w:type="spellStart"/>
                        <w:r>
                          <w:rPr>
                            <w:rFonts w:ascii="Arial Narrow" w:hAnsi="Arial Narrow"/>
                            <w:sz w:val="18"/>
                            <w:szCs w:val="18"/>
                          </w:rPr>
                          <w:t>thryoxine</w:t>
                        </w:r>
                        <w:proofErr w:type="spellEnd"/>
                        <w:r>
                          <w:rPr>
                            <w:rFonts w:ascii="Arial Narrow" w:hAnsi="Arial Narrow"/>
                            <w:sz w:val="18"/>
                            <w:szCs w:val="18"/>
                          </w:rPr>
                          <w:t xml:space="preserve"> excess</w:t>
                        </w:r>
                      </w:p>
                    </w:txbxContent>
                  </v:textbox>
                </v:shape>
                <v:shape id="Text Box 153" o:spid="_x0000_s1056" type="#_x0000_t202" style="position:absolute;left:13867;top:41899;width:507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8Ai8YA&#10;AADcAAAADwAAAGRycy9kb3ducmV2LnhtbESPQWsCQQyF7wX/wxChl6KzFiyyOkoRi+KhoLae40zc&#10;XbqTWXemuu2vbw4Fbwnv5b0vs0Xna3WlNlaBDYyGGShiG1zFhYGPw9tgAiomZId1YDLwQxEW897D&#10;DHMXbryj6z4VSkI45migTKnJtY62JI9xGBpi0c6h9ZhkbQvtWrxJuK/1c5a9aI8VS0OJDS1Lsl/7&#10;b29gvT2NfrefK7u+8KnWu+OT9ct3Yx773esUVKIu3c3/1xsn+GPBl2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8Ai8YAAADc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T-score  </w:t>
                        </w:r>
                      </w:p>
                      <w:p w:rsidR="00C81E3C" w:rsidRDefault="00C81E3C" w:rsidP="009B51C0">
                        <w:pPr>
                          <w:pStyle w:val="NormalWeb"/>
                          <w:spacing w:before="0" w:beforeAutospacing="0" w:after="0" w:afterAutospacing="0" w:line="276" w:lineRule="auto"/>
                        </w:pPr>
                        <w:r>
                          <w:rPr>
                            <w:rFonts w:ascii="Arial Narrow" w:hAnsi="Arial Narrow"/>
                            <w:sz w:val="18"/>
                            <w:szCs w:val="18"/>
                          </w:rPr>
                          <w:t>≤-1.0</w:t>
                        </w:r>
                      </w:p>
                    </w:txbxContent>
                  </v:textbox>
                </v:shape>
                <v:shape id="Straight Arrow Connector 201" o:spid="_x0000_s1057" type="#_x0000_t32" style="position:absolute;left:22773;top:4953;width:32;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fZxcIAAADcAAAADwAAAGRycy9kb3ducmV2LnhtbERPS2vCQBC+F/wPywi9FN0kxQfRVUSo&#10;LfTkA7wO2Uk2mJ0N2TXGf98tFHqbj+856+1gG9FT52vHCtJpAoK4cLrmSsHl/DFZgvABWWPjmBQ8&#10;ycN2M3pZY67dg4/Un0IlYgj7HBWYENpcSl8YsuinriWOXOk6iyHCrpK6w0cMt43MkmQuLdYcGwy2&#10;tDdU3E53q6DMNKVvt6v5XMyw3H+/Z33fHJR6HQ+7FYhAQ/gX/7m/dJw/S+H3mXiB3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fZxcIAAADcAAAADwAAAAAAAAAAAAAA&#10;AAChAgAAZHJzL2Rvd25yZXYueG1sUEsFBgAAAAAEAAQA+QAAAJADAAAAAA==&#10;">
                  <v:stroke endarrow="open"/>
                </v:shape>
                <v:shape id="Text Box 153" o:spid="_x0000_s1058" type="#_x0000_t202" style="position:absolute;left:21538;top:41985;width:507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7Z8QA&#10;AADcAAAADwAAAGRycy9kb3ducmV2LnhtbERPTWvCQBC9F/wPywi9FLOJ0CKpq0iwWDwU1NbzuDtN&#10;gtnZmN1q2l/vCkJv83ifM533thFn6nztWEGWpCCItTM1lwo+d2+jCQgfkA02jknBL3mYzwYPU8yN&#10;u/CGzttQihjCPkcFVQhtLqXXFVn0iWuJI/ftOoshwq6UpsNLDLeNHKfpi7RYc2yosKWiIn3c/lgF&#10;q/Uh+1t/LfXqxIdGbvZP2hYfSj0O+8UriEB9+Bff3e8mzn8ew+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RO2f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59" type="#_x0000_t202" style="position:absolute;left:28487;top:41985;width:507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e/MQA&#10;AADcAAAADwAAAGRycy9kb3ducmV2LnhtbERPS2vCQBC+C/6HZYReRDdpaZ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nvz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0" type="#_x0000_t202" style="position:absolute;left:57183;top:42070;width:507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iMQA&#10;AADcAAAADwAAAGRycy9kb3ducmV2LnhtbERPS2vCQBC+C/6HZYReRDcpbZHUNYhYLB4KPtrzuDtN&#10;gtnZmN1q9Nd3hUJv8/E9Z5p3thZnan3lWEE6TkAQa2cqLhTsd2+jCQgfkA3WjknBlTzks35viplx&#10;F97QeRsKEUPYZ6igDKHJpPS6JIt+7BriyH271mKIsC2kafESw20tH5PkRVqsODaU2NCiJH3c/lgF&#10;q/Uhva0/l3p14kMtN19DbRcfSj0MuvkriEBd+Bf/ud9NnP/8BP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0Boj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1" type="#_x0000_t202" style="position:absolute;left:50852;top:42070;width:5073;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jE8QA&#10;AADcAAAADwAAAGRycy9kb3ducmV2LnhtbERPTWvCQBC9F/wPywheim4sWCTNRkRaFA+C2noed6dJ&#10;MDubZleN/vpuQehtHu9zsllna3Gh1leOFYxHCQhi7UzFhYLP/cdwCsIHZIO1Y1JwIw+zvPeUYWrc&#10;lbd02YVCxBD2KSooQ2hSKb0uyaIfuYY4ct+utRgibAtpWrzGcFvLlyR5lRYrjg0lNrQoSZ92Z6tg&#10;uT6O7+uvd7384WMtt4dnbRcbpQb9bv4GIlAX/sUP98rE+ZMJ/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oxP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 -2.5</w:t>
                        </w:r>
                      </w:p>
                    </w:txbxContent>
                  </v:textbox>
                </v:shape>
                <v:shape id="Text Box 153" o:spid="_x0000_s1062" type="#_x0000_t202" style="position:absolute;left:44293;top:42070;width:507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9ZMQA&#10;AADcAAAADwAAAGRycy9kb3ducmV2LnhtbERPTWvCQBC9C/0PyxR6EbOxoJTUTShiUTwUtK3ncXea&#10;hGZnY3ar0V/vFgRv83ifMyt624gjdb52rGCcpCCItTM1lwq+Pt9HLyB8QDbYOCYFZ/JQ5A+DGWbG&#10;nXhDx20oRQxhn6GCKoQ2k9Lriiz6xLXEkftxncUQYVdK0+EphttGPqfpVFqsOTZU2NK8Iv27/bMK&#10;luv9+LL+XujlgfeN3OyG2s4/lHp67N9eQQTqw118c69MnD+Zwv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PWT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T-score</w:t>
                        </w:r>
                      </w:p>
                      <w:p w:rsidR="00C81E3C" w:rsidRPr="00974910"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Z-score</w:t>
                        </w:r>
                      </w:p>
                    </w:txbxContent>
                  </v:textbox>
                </v:shape>
                <v:shape id="Text Box 153" o:spid="_x0000_s1063" type="#_x0000_t202" style="position:absolute;left:37997;top:42070;width:5074;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Y/8QA&#10;AADcAAAADwAAAGRycy9kb3ducmV2LnhtbERPS2vCQBC+C/6HZYReRDcptJXUNYhYLB4KPtrzuDtN&#10;gtnZmN1q9Nd3hUJv8/E9Z5p3thZnan3lWEE6TkAQa2cqLhTsd2+jCQgfkA3WjknBlTzks35viplx&#10;F97QeRsKEUPYZ6igDKHJpPS6JIt+7BriyH271mKIsC2kafESw20tH5PkWVqsODaU2NCiJH3c/lgF&#10;q/Uhva0/l3p14kMtN19DbRcfSj0MuvkriEBd+Bf/ud9NnP/0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mmP/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T-score</w:t>
                        </w:r>
                      </w:p>
                      <w:p w:rsidR="00C81E3C" w:rsidRDefault="00C81E3C" w:rsidP="009B51C0">
                        <w:pPr>
                          <w:pStyle w:val="NormalWeb"/>
                          <w:spacing w:before="0" w:beforeAutospacing="0" w:after="0" w:afterAutospacing="0" w:line="276" w:lineRule="auto"/>
                        </w:pPr>
                        <w:r>
                          <w:rPr>
                            <w:rFonts w:ascii="Arial Narrow" w:hAnsi="Arial Narrow"/>
                            <w:sz w:val="18"/>
                            <w:szCs w:val="18"/>
                          </w:rPr>
                          <w:t>Z-score</w:t>
                        </w:r>
                      </w:p>
                    </w:txbxContent>
                  </v:textbox>
                </v:shape>
                <v:shape id="Text Box 153" o:spid="_x0000_s1064" type="#_x0000_t202" style="position:absolute;left:14136;top:48565;width:4762;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MjcYA&#10;AADcAAAADwAAAGRycy9kb3ducmV2LnhtbESPQWsCQQyF7wX/wxChl6KzFiyyOkoRi+KhoLae40zc&#10;XbqTWXemuu2vbw4Fbwnv5b0vs0Xna3WlNlaBDYyGGShiG1zFhYGPw9tgAiomZId1YDLwQxEW897D&#10;DHMXbryj6z4VSkI45migTKnJtY62JI9xGBpi0c6h9ZhkbQvtWrxJuK/1c5a9aI8VS0OJDS1Lsl/7&#10;b29gvT2NfrefK7u+8KnWu+OT9ct3Yx773esUVKIu3c3/1xsn+G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kMjcYAAADc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r w:rsidRPr="00974910">
                          <w:rPr>
                            <w:rFonts w:ascii="Arial Narrow" w:hAnsi="Arial Narrow"/>
                            <w:sz w:val="18"/>
                            <w:szCs w:val="18"/>
                          </w:rPr>
                          <w:t>PBS</w:t>
                        </w:r>
                      </w:p>
                      <w:p w:rsidR="00C81E3C" w:rsidRPr="00974910"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w:t>
                        </w:r>
                        <w:proofErr w:type="gramStart"/>
                        <w:r>
                          <w:rPr>
                            <w:rFonts w:ascii="Arial Narrow" w:hAnsi="Arial Narrow"/>
                            <w:sz w:val="18"/>
                            <w:szCs w:val="18"/>
                          </w:rPr>
                          <w:t>drugs</w:t>
                        </w:r>
                        <w:proofErr w:type="gramEnd"/>
                      </w:p>
                    </w:txbxContent>
                  </v:textbox>
                </v:shape>
                <v:shape id="Text Box 153" o:spid="_x0000_s1065" type="#_x0000_t202" style="position:absolute;left:28487;top:48575;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FsQA&#10;AADcAAAADwAAAGRycy9kb3ducmV2LnhtbERPS2vCQBC+C/6HZYReRDcptNTUNYhYLB4KPtrzuDtN&#10;gtnZmN1q9Nd3hUJv8/E9Z5p3thZnan3lWEE6TkAQa2cqLhTsd2+jFxA+IBusHZOCK3nIZ/3eFDPj&#10;Lryh8zYUIoawz1BBGUKTSel1SRb92DXEkft2rcUQYVtI0+IlhttaPibJs7RYcWwosaFFSfq4/bEK&#10;VutDelt/LvXqxIdabr6G2i4+lHoYdPNXEIG68C/+c7+bOP9pAv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1qRbEAAAA3AAAAA8AAAAAAAAAAAAAAAAAmAIAAGRycy9k&#10;b3ducmV2LnhtbFBLBQYAAAAABAAEAPUAAACJAwAAAAA=&#10;" strokeweight=".5pt">
                  <v:textbo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6" type="#_x0000_t202" style="position:absolute;left:21538;top:48556;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KNsYA&#10;AADcAAAADwAAAGRycy9kb3ducmV2LnhtbESPT2sCQQzF70K/w5BCL6XO2oOUraMUUSweBP/1HGfS&#10;3aU7mXVn1K2f3hwEbwnv5b1fRpPO1+pMbawCGxj0M1DENriKCwO77fztA1RMyA7rwGTgnyJMxk+9&#10;EeYuXHhN500qlIRwzNFAmVKTax1tSR5jPzTEov2G1mOStS20a/Ei4b7W71k21B4rloYSG5qWZP82&#10;J29gsTwMrsv9zC6OfKj1+ufV+unKmJfn7usTVKIuPcz3628n+EPBl2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PKNsYAAADcAAAADwAAAAAAAAAAAAAAAACYAgAAZHJz&#10;L2Rvd25yZXYueG1sUEsFBgAAAAAEAAQA9QAAAIsDAAAAAA==&#10;" strokeweight=".5pt">
                  <v:textbo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7" type="#_x0000_t202" style="position:absolute;left:37997;top:48546;width:5753;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rcQA&#10;AADcAAAADwAAAGRycy9kb3ducmV2LnhtbERPS2vCQBC+F/oflin0UnSTHqREN6FIxeJB8Hme7I5J&#10;MDsbs1uN/fXdQqG3+fieMysG24or9b5xrCAdJyCItTMNVwr2u8XoDYQPyAZbx6TgTh6K/PFhhplx&#10;N97QdRsqEUPYZ6igDqHLpPS6Jot+7DriyJ1cbzFE2FfS9HiL4baVr0kykRYbjg01djSvSZ+3X1bB&#10;clWm36vDh15euGzl5vii7Xyt1PPT8D4FEWgI/+I/96eJ8ycp/D4TL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b63EAAAA3AAAAA8AAAAAAAAAAAAAAAAAmAIAAGRycy9k&#10;b3ducmV2LnhtbFBLBQYAAAAABAAEAPUAAACJAwAAAAA=&#10;" strokeweight=".5pt">
                  <v:textbo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NoPBS</w:t>
                        </w:r>
                        <w:proofErr w:type="spellEnd"/>
                      </w:p>
                    </w:txbxContent>
                  </v:textbox>
                </v:shape>
                <v:shape id="Text Box 153" o:spid="_x0000_s1068" type="#_x0000_t202" style="position:absolute;left:44768;top:48575;width:4763;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x2sQA&#10;AADcAAAADwAAAGRycy9kb3ducmV2LnhtbERPS2vCQBC+F/wPywi9FN0kBynRVYpYUnIo+DyPu2MS&#10;mp2N2a2m/fXdQqG3+fies1gNthU36n3jWEE6TUAQa2carhQc9q+TZxA+IBtsHZOCL/KwWo4eFpgb&#10;d+ct3XahEjGEfY4K6hC6XEqva7Lop64jjtzF9RZDhH0lTY/3GG5bmSXJTFpsODbU2NG6Jv2x+7QK&#10;ivKcfpfHjS6ufG7l9vSk7fpdqcfx8DIHEWgI/+I/95uJ82cZ/D4TL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98dr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 xml:space="preserve">   PBS</w:t>
                        </w:r>
                      </w:p>
                      <w:p w:rsidR="00C81E3C" w:rsidRDefault="00C81E3C" w:rsidP="009B51C0">
                        <w:pPr>
                          <w:pStyle w:val="NormalWeb"/>
                          <w:spacing w:before="0" w:beforeAutospacing="0" w:after="0" w:afterAutospacing="0" w:line="276" w:lineRule="auto"/>
                        </w:pPr>
                        <w:r>
                          <w:rPr>
                            <w:rFonts w:ascii="Arial Narrow" w:hAnsi="Arial Narrow"/>
                            <w:sz w:val="18"/>
                            <w:szCs w:val="18"/>
                          </w:rPr>
                          <w:t xml:space="preserve">  </w:t>
                        </w:r>
                        <w:proofErr w:type="gramStart"/>
                        <w:r>
                          <w:rPr>
                            <w:rFonts w:ascii="Arial Narrow" w:hAnsi="Arial Narrow"/>
                            <w:sz w:val="18"/>
                            <w:szCs w:val="18"/>
                          </w:rPr>
                          <w:t>drugs</w:t>
                        </w:r>
                        <w:proofErr w:type="gramEnd"/>
                      </w:p>
                    </w:txbxContent>
                  </v:textbox>
                </v:shape>
                <v:shape id="Text Box 153" o:spid="_x0000_s1069" type="#_x0000_t202" style="position:absolute;left:50973;top:48575;width:6896;height:4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UQcQA&#10;AADcAAAADwAAAGRycy9kb3ducmV2LnhtbERPTWvCQBC9C/0PyxR6EbOxgpTUTShiUTwUtK3ncXea&#10;hGZnY3ar0V/vFgRv83ifMyt624gjdb52rGCcpCCItTM1lwq+Pt9HLyB8QDbYOCYFZ/JQ5A+DGWbG&#10;nXhDx20oRQxhn6GCKoQ2k9Lriiz6xLXEkftxncUQYVdK0+EphttGPqfpVFqsOTZU2NK8Iv27/bMK&#10;luv9+LL+XujlgfeN3OyG2s4/lHp67N9eQQTqw118c69MnD+dwP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VEHEAAAA3AAAAA8AAAAAAAAAAAAAAAAAmAIAAGRycy9k&#10;b3ducmV2LnhtbFBLBQYAAAAABAAEAPUAAACJAwAAAAA=&#10;" strokeweight=".5pt">
                  <v:textbox>
                    <w:txbxContent>
                      <w:p w:rsidR="00C81E3C" w:rsidRDefault="00C81E3C" w:rsidP="0069266E">
                        <w:pPr>
                          <w:pStyle w:val="NormalWeb"/>
                          <w:spacing w:before="0" w:beforeAutospacing="0" w:after="0" w:afterAutospacing="0" w:line="276" w:lineRule="auto"/>
                        </w:pPr>
                        <w:r>
                          <w:rPr>
                            <w:rFonts w:ascii="Arial Narrow" w:hAnsi="Arial Narrow"/>
                            <w:sz w:val="18"/>
                            <w:szCs w:val="18"/>
                          </w:rPr>
                          <w:t xml:space="preserve">   </w:t>
                        </w:r>
                        <w:proofErr w:type="spellStart"/>
                        <w:r>
                          <w:rPr>
                            <w:rFonts w:ascii="Arial Narrow" w:hAnsi="Arial Narrow"/>
                            <w:sz w:val="18"/>
                            <w:szCs w:val="18"/>
                          </w:rPr>
                          <w:t>PBSdrugs</w:t>
                        </w:r>
                        <w:proofErr w:type="spellEnd"/>
                      </w:p>
                    </w:txbxContent>
                  </v:textbox>
                </v:shape>
                <v:shape id="Text Box 153" o:spid="_x0000_s1070" type="#_x0000_t202" style="position:absolute;left:656;top:16650;width:6166;height:4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MNcQA&#10;AADcAAAADwAAAGRycy9kb3ducmV2LnhtbERPTWvCQBC9C/0PyxR6EbOxiJTUTShiUTwUtK3ncXea&#10;hGZnY3ar0V/vFgRv83ifMyt624gjdb52rGCcpCCItTM1lwq+Pt9HLyB8QDbYOCYFZ/JQ5A+DGWbG&#10;nXhDx20oRQxhn6GCKoQ2k9Lriiz6xLXEkftxncUQYVdK0+EphttGPqfpVFqsOTZU2NK8Iv27/bMK&#10;luv9+LL+XujlgfeN3OyG2s4/lHp67N9eQQTqw118c69MnD+dwP8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YzDXEAAAA3A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Treatment</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of</w:t>
                        </w:r>
                        <w:proofErr w:type="gramEnd"/>
                        <w:r>
                          <w:rPr>
                            <w:rFonts w:ascii="Arial Narrow" w:hAnsi="Arial Narrow"/>
                            <w:sz w:val="18"/>
                            <w:szCs w:val="18"/>
                          </w:rPr>
                          <w:t xml:space="preserve"> OP</w:t>
                        </w:r>
                      </w:p>
                    </w:txbxContent>
                  </v:textbox>
                </v:shape>
                <v:group id="Group 222" o:spid="_x0000_s1071" style="position:absolute;left:81690;top:13507;width:11811;height:24768" coordsize="11811,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123" o:spid="_x0000_s1072" type="#_x0000_t202" style="position:absolute;left:1332;width:8750;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32cMA&#10;AADcAAAADwAAAGRycy9kb3ducmV2LnhtbERPTYvCMBC9C/6HMMJeRFP3UJZqFBEXxYOgu3oek7Et&#10;NpNuE7Xur98sCN7m8T5nMmttJW7U+NKxgtEwAUGsnSk5V/D99Tn4AOEDssHKMSl4kIfZtNuZYGbc&#10;nXd024dcxBD2GSooQqgzKb0uyKIfupo4cmfXWAwRNrk0Dd5juK3ke5Kk0mLJsaHAmhYF6cv+ahWs&#10;NqfR7+aw1KsfPlVyd+xru9gq9dZr52MQgdrwEj/daxPnpyn8PxMv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b32cMAAADcAAAADwAAAAAAAAAAAAAAAACYAgAAZHJzL2Rv&#10;d25yZXYueG1sUEsFBgAAAAAEAAQA9QAAAIg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Lifestyle advice</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w:t>
                          </w:r>
                        </w:p>
                      </w:txbxContent>
                    </v:textbox>
                  </v:shape>
                  <v:shape id="Text Box 123" o:spid="_x0000_s1073" type="#_x0000_t202" style="position:absolute;top:19050;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pSQsQA&#10;AADcAAAADwAAAGRycy9kb3ducmV2LnhtbERPTWvCQBC9F/wPywheim7swUqajYi0KB4EtfU87k6T&#10;YHY2za4a/fXdgtDbPN7nZLPO1uJCra8cKxiPEhDE2pmKCwWf+4/hFIQPyAZrx6TgRh5mee8pw9S4&#10;K2/psguFiCHsU1RQhtCkUnpdkkU/cg1x5L5dazFE2BbStHiN4baWL0kykRYrjg0lNrQoSZ92Z6tg&#10;uT6O7+uvd7384WMtt4dnbRcbpQb9bv4GIlAX/sUP98rE+ZNX+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UkLEAAAA3A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Risk of</w:t>
                          </w:r>
                        </w:p>
                        <w:p w:rsidR="00C81E3C" w:rsidRDefault="00C81E3C" w:rsidP="009B51C0">
                          <w:pPr>
                            <w:pStyle w:val="NormalWeb"/>
                            <w:spacing w:before="0" w:beforeAutospacing="0" w:after="200" w:afterAutospacing="0" w:line="276" w:lineRule="auto"/>
                          </w:pPr>
                          <w:r>
                            <w:rPr>
                              <w:rFonts w:ascii="Arial Narrow" w:hAnsi="Arial Narrow"/>
                              <w:sz w:val="18"/>
                              <w:szCs w:val="18"/>
                            </w:rPr>
                            <w:t>MTF</w:t>
                          </w:r>
                        </w:p>
                      </w:txbxContent>
                    </v:textbox>
                  </v:shape>
                  <v:shape id="Text Box 123" o:spid="_x0000_s1074" type="#_x0000_t202" style="position:absolute;left:7048;top:10287;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GMMYA&#10;AADcAAAADwAAAGRycy9kb3ducmV2LnhtbESPT2sCQQzF70K/w5BCL6XO2oOUraMUUSweBP/1HGfS&#10;3aU7mXVn1K2f3hwEbwnv5b1fRpPO1+pMbawCGxj0M1DENriKCwO77fztA1RMyA7rwGTgnyJMxk+9&#10;EeYuXHhN500qlIRwzNFAmVKTax1tSR5jPzTEov2G1mOStS20a/Ei4b7W71k21B4rloYSG5qWZP82&#10;J29gsTwMrsv9zC6OfKj1+ufV+unKmJfn7usTVKIuPcz3628n+EO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XGMMYAAADcAAAADwAAAAAAAAAAAAAAAACYAgAAZHJz&#10;L2Rvd25yZXYueG1sUEsFBgAAAAAEAAQA9QAAAIs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075" type="#_x0000_t202" style="position:absolute;left:1206;top:10287;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jq8QA&#10;AADcAAAADwAAAGRycy9kb3ducmV2LnhtbERPTWvCQBC9F/wPywheim7sQWqajYi0KB4EtfU87k6T&#10;YHY2za4a/fXdgtDbPN7nZLPO1uJCra8cKxiPEhDE2pmKCwWf+4/hKwgfkA3WjknBjTzM8t5Thqlx&#10;V97SZRcKEUPYp6igDKFJpfS6JIt+5BriyH271mKIsC2kafEaw20tX5JkIi1WHBtKbGhRkj7tzlbB&#10;cn0c39df73r5w8dabg/P2i42Sg363fwNRKAu/Isf7pWJ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Y6vEAAAA3A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076" type="#_x0000_t202" style="position:absolute;left:7048;top:19050;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c68YA&#10;AADcAAAADwAAAGRycy9kb3ducmV2LnhtbESPQW/CMAyF75P4D5GRdpkgZQeGCgFNiAnEYRKwcTaJ&#10;aas1Tmky6Pbr58Mkbrbe83ufZ4vO1+pKbawCGxgNM1DENriKCwMfh7fBBFRMyA7rwGTghyIs5r2H&#10;GeYu3HhH130qlIRwzNFAmVKTax1tSR7jMDTEop1D6zHJ2hbatXiTcF/r5ywba48VS0OJDS1Lsl/7&#10;b29gvT2NfrefK7u+8KnWu+OT9ct3Yx773esUVKIu3c3/1xsn+C+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pc68YAAADcAAAADwAAAAAAAAAAAAAAAACYAgAAZHJz&#10;L2Rvd25yZXYueG1sUEsFBgAAAAAEAAQA9QAAAIs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Risk of</w:t>
                          </w:r>
                        </w:p>
                        <w:p w:rsidR="00C81E3C" w:rsidRDefault="00C81E3C" w:rsidP="009B51C0">
                          <w:pPr>
                            <w:pStyle w:val="NormalWeb"/>
                            <w:spacing w:before="0" w:beforeAutospacing="0" w:after="200" w:afterAutospacing="0" w:line="276" w:lineRule="auto"/>
                          </w:pPr>
                          <w:r>
                            <w:rPr>
                              <w:rFonts w:ascii="Arial Narrow" w:hAnsi="Arial Narrow"/>
                              <w:sz w:val="18"/>
                              <w:szCs w:val="18"/>
                            </w:rPr>
                            <w:t>MTF</w:t>
                          </w:r>
                        </w:p>
                      </w:txbxContent>
                    </v:textbox>
                  </v:shape>
                </v:group>
                <v:shape id="Straight Arrow Connector 299" o:spid="_x0000_s1077" type="#_x0000_t32" style="position:absolute;left:16547;top:9907;width:0;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FpcIAAADcAAAADwAAAGRycy9kb3ducmV2LnhtbERPS2vCQBC+F/wPywheim6SUpXoKiLU&#10;FnryAV6H7CQbzM6G7DbGf+8WCr3Nx/ec9Xawjeip87VjBeksAUFcOF1zpeBy/pguQfiArLFxTAoe&#10;5GG7Gb2sMdfuzkfqT6ESMYR9jgpMCG0upS8MWfQz1xJHrnSdxRBhV0nd4T2G20ZmSTKXFmuODQZb&#10;2hsqbqcfq6DMNKWvt6v5XLxjuf9+y/q+OSg1GQ+7FYhAQ/gX/7m/dJy/SO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KFpcIAAADcAAAADwAAAAAAAAAAAAAA&#10;AAChAgAAZHJzL2Rvd25yZXYueG1sUEsFBgAAAAAEAAQA+QAAAJADAAAAAA==&#10;">
                  <v:stroke endarrow="open"/>
                </v:shape>
                <v:shape id="Straight Arrow Connector 300" o:spid="_x0000_s1078" type="#_x0000_t32" style="position:absolute;left:22773;top:9907;width:32;height:6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oJsQAAADcAAAADwAAAGRycy9kb3ducmV2LnhtbERPTWvCQBC9C/0PyxS8SN2oYEPqKkUQ&#10;RATR9tLbkJ1kQ7OzMbvG6K/vFgRv83ifs1j1thYdtb5yrGAyTkAQ505XXCr4/tq8pSB8QNZYOyYF&#10;N/KwWr4MFphpd+UjdadQihjCPkMFJoQmk9Lnhiz6sWuII1e41mKIsC2lbvEaw20tp0kylxYrjg0G&#10;G1obyn9PF6tgdPypyqK47G9+dj+kye5wNnmn1PC1//wAEagPT/HDvdVx/vsU/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qgmxAAAANwAAAAPAAAAAAAAAAAA&#10;AAAAAKECAABkcnMvZG93bnJldi54bWxQSwUGAAAAAAQABAD5AAAAkgMAAAAA&#10;">
                  <v:stroke endarrow="open"/>
                </v:shape>
                <v:shape id="Straight Arrow Connector 302" o:spid="_x0000_s1079" type="#_x0000_t32" style="position:absolute;left:31706;top:9907;width:0;height:11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y+ScEAAADcAAAADwAAAGRycy9kb3ducmV2LnhtbERPTYvCMBC9C/6HMMJeZE2tuC5do4iw&#10;ruBpVdjr0EybYjMpTaz1328Ewds83ucs172tRUetrxwrmE4SEMS50xWXCs6n7/dPED4ga6wdk4I7&#10;eVivhoMlZtrd+Je6YyhFDGGfoQITQpNJ6XNDFv3ENcSRK1xrMUTYllK3eIvhtpZpknxIixXHBoMN&#10;bQ3ll+PVKihSTdPx5c/8LOZYbA+ztOvqnVJvo37zBSJQH17ip3uv4/zFDB7Px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vL5JwQAAANwAAAAPAAAAAAAAAAAAAAAA&#10;AKECAABkcnMvZG93bnJldi54bWxQSwUGAAAAAAQABAD5AAAAjwMAAAAA&#10;">
                  <v:stroke endarrow="open"/>
                </v:shape>
                <v:shapetype id="_x0000_t33" coordsize="21600,21600" o:spt="33" o:oned="t" path="m,l21600,r,21600e" filled="f">
                  <v:stroke joinstyle="miter"/>
                  <v:path arrowok="t" fillok="f" o:connecttype="none"/>
                  <o:lock v:ext="edit" shapetype="t"/>
                </v:shapetype>
                <v:shape id="Elbow Connector 303" o:spid="_x0000_s1080" type="#_x0000_t33" style="position:absolute;left:4263;top:8667;width:8033;height:79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o3cIAAADcAAAADwAAAGRycy9kb3ducmV2LnhtbERPTWsCMRC9F/wPYQQvpWYVaWU1Simu&#10;FnrS1vu4GTfbbiZLEt3135tCobd5vM9ZrnvbiCv5UDtWMBlnIIhLp2uuFHx9Fk9zECEia2wck4Ib&#10;BVivBg9LzLXreE/XQ6xECuGQowITY5tLGUpDFsPYtcSJOztvMSboK6k9dincNnKaZc/SYs2pwWBL&#10;b4bKn8PFKii23fbbH01Bu8t0054mH4/93Cs1GvavCxCR+vgv/nO/6zT/ZQa/z6QL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o3cIAAADcAAAADwAAAAAAAAAAAAAA&#10;AAChAgAAZHJzL2Rvd25yZXYueG1sUEsFBgAAAAAEAAQA+QAAAJADAAAAAA==&#10;">
                  <v:stroke endarrow="open"/>
                </v:shape>
                <v:shape id="Straight Arrow Connector 304" o:spid="_x0000_s1081" type="#_x0000_t32" style="position:absolute;left:4263;top:20842;width:35;height:28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DpsEAAADcAAAADwAAAGRycy9kb3ducmV2LnhtbERPTYvCMBC9C/6HMMJeZE3t4rp0jSLC&#10;quBpVdjr0EybYjMpTaz135sFwds83ucsVr2tRUetrxwrmE4SEMS50xWXCs6nn/cvED4ga6wdk4I7&#10;eVgth4MFZtrd+Je6YyhFDGGfoQITQpNJ6XNDFv3ENcSRK1xrMUTYllK3eIvhtpZpknxKixXHBoMN&#10;bQzll+PVKihSTdPx5c/s5jMsNoePtOvqrVJvo379DSJQH17ip3uv4/z5DP6fiR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YOmwQAAANwAAAAPAAAAAAAAAAAAAAAA&#10;AKECAABkcnMvZG93bnJldi54bWxQSwUGAAAAAAQABAD5AAAAjwMAAAAA&#10;">
                  <v:stroke endarrow="open"/>
                </v:shape>
                <v:shape id="Straight Arrow Connector 305" o:spid="_x0000_s1082" type="#_x0000_t32" style="position:absolute;left:16001;top:15878;width:0;height:1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sd0cMAAADcAAAADwAAAGRycy9kb3ducmV2LnhtbERPTWvCQBC9C/0Pywi9SN2YYpToRopg&#10;W/BUW/A6ZCfZkOxsyK4x/ffdQqG3ebzP2R8m24mRBt84VrBaJiCIS6cbrhV8fZ6etiB8QNbYOSYF&#10;3+ThUDzM9phrd+cPGi+hFjGEfY4KTAh9LqUvDVn0S9cTR65yg8UQ4VBLPeA9httOpkmSSYsNxwaD&#10;PR0Nle3lZhVUqabVor2at80aq+P5OR3H7lWpx/n0sgMRaAr/4j/3u47zNx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dHDAAAA3AAAAA8AAAAAAAAAAAAA&#10;AAAAoQIAAGRycy9kb3ducmV2LnhtbFBLBQYAAAAABAAEAPkAAACRAwAAAAA=&#10;">
                  <v:stroke endarrow="open"/>
                </v:shape>
                <v:shape id="Straight Arrow Connector 306" o:spid="_x0000_s1083" type="#_x0000_t32" style="position:absolute;left:22963;top:20842;width:0;height:8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4SsIAAADcAAAADwAAAGRycy9kb3ducmV2LnhtbERPS2vCQBC+F/wPywheim5MqZHoKiLU&#10;FnryAV6H7CQbzM6G7DbGf+8WCr3Nx/ec9Xawjeip87VjBfNZAoK4cLrmSsHl/DFdgvABWWPjmBQ8&#10;yMN2M3pZY67dnY/Un0IlYgj7HBWYENpcSl8YsuhnriWOXOk6iyHCrpK6w3sMt41Mk2QhLdYcGwy2&#10;tDdU3E4/VkGZapq/3q7mM3v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e4SsIAAADcAAAADwAAAAAAAAAAAAAA&#10;AAChAgAAZHJzL2Rvd25yZXYueG1sUEsFBgAAAAAEAAQA+QAAAJADAAAAAA==&#10;">
                  <v:stroke endarrow="open"/>
                </v:shape>
                <v:shape id="Straight Arrow Connector 307" o:spid="_x0000_s1084" type="#_x0000_t32" style="position:absolute;left:30961;top:25709;width:3;height:3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gsOMUAAADcAAAADwAAAGRycy9kb3ducmV2LnhtbESPQWvCQBCF7wX/wzKCl6IbI60SXaUI&#10;toWeagteh+wkG8zOhuw2pv++cxB6m+G9ee+b3WH0rRqoj01gA8tFBoq4DLbh2sD312m+ARUTssU2&#10;MBn4pQiH/eRhh4UNN/6k4ZxqJSEcCzTgUuoKrWPpyGNchI5YtCr0HpOsfa1tjzcJ963Os+xZe2xY&#10;Ghx2dHRUXs8/3kCVW1o+Xi/ubf2E1fFjlQ9D+2rMbDq+bEElGtO/+X79bgV/LbT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gsOMUAAADcAAAADwAAAAAAAAAA&#10;AAAAAAChAgAAZHJzL2Rvd25yZXYueG1sUEsFBgAAAAAEAAQA+QAAAJMDAAAAAA==&#10;">
                  <v:stroke endarrow="open"/>
                </v:shape>
                <v:shape id="Straight Arrow Connector 308" o:spid="_x0000_s1085" type="#_x0000_t32" style="position:absolute;left:16344;top:39348;width:35;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SJo8IAAADcAAAADwAAAGRycy9kb3ducmV2LnhtbERPTWvCQBC9F/wPywheRDdGrBpdpQjW&#10;Qk+1gtchO8kGs7Mhu43pv3eFQm/zeJ+z3fe2Fh21vnKsYDZNQBDnTldcKrh8HycrED4ga6wdk4Jf&#10;8rDfDV62mGl35y/qzqEUMYR9hgpMCE0mpc8NWfRT1xBHrnCtxRBhW0rd4j2G21qmSfIqLVYcGww2&#10;dDCU384/VkGRapqNb1dzWi6wOHzO066r35UaDfu3DYhAffgX/7k/dJy/XMP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SJo8IAAADcAAAADwAAAAAAAAAAAAAA&#10;AAChAgAAZHJzL2Rvd25yZXYueG1sUEsFBgAAAAAEAAQA+QAAAJADAAAAAA==&#10;">
                  <v:stroke endarrow="open"/>
                </v:shape>
                <v:shape id="Straight Arrow Connector 309" o:spid="_x0000_s1086" type="#_x0000_t32" style="position:absolute;left:24011;top:39351;width:4;height:26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Xj7cYAAADcAAAADwAAAGRycy9kb3ducmV2LnhtbESPQWvCQBCF7wX/wzJCL0U3tVBCdBUp&#10;FIoURNuLtyE7yQazszG7xthf3zkUepvhvXnvm9Vm9K0aqI9NYAPP8wwUcRlsw7WB76/3WQ4qJmSL&#10;bWAycKcIm/XkYYWFDTc+0HBMtZIQjgUacCl1hdaxdOQxzkNHLFoVeo9J1r7WtsebhPtWL7LsVXts&#10;WBocdvTmqDwfr97A0+HU1FV1/bzHl599nu32F1cOxjxOx+0SVKIx/Zv/rj+s4Oe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V4+3GAAAA3AAAAA8AAAAAAAAA&#10;AAAAAAAAoQIAAGRycy9kb3ducmV2LnhtbFBLBQYAAAAABAAEAPkAAACUAwAAAAA=&#10;">
                  <v:stroke endarrow="open"/>
                </v:shape>
                <v:shape id="Straight Arrow Connector 310" o:spid="_x0000_s1087" type="#_x0000_t32" style="position:absolute;left:30963;top:39348;width:1;height:2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GdsMAAADcAAAADwAAAGRycy9kb3ducmV2LnhtbERPTWvCQBC9F/wPyxR6KWZjCxJSVymC&#10;ICKIthdvQ3aSDc3Oxuwao7++Kwje5vE+Z7YYbCN66nztWMEkSUEQF07XXCn4/VmNMxA+IGtsHJOC&#10;K3lYzEcvM8y1u/Ce+kOoRAxhn6MCE0KbS+kLQxZ94lriyJWusxgi7CqpO7zEcNvIjzSdSos1xwaD&#10;LS0NFX+Hs1Xwvj/WVVmet1f/edtl6WZ3MkWv1Nvr8P0FItAQnuKHe63j/GwC92fiB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ZRnbDAAAA3AAAAA8AAAAAAAAAAAAA&#10;AAAAoQIAAGRycy9kb3ducmV2LnhtbFBLBQYAAAAABAAEAPkAAACRAwAAAAA=&#10;">
                  <v:stroke endarrow="open"/>
                </v:shape>
                <v:shape id="Straight Arrow Connector 311" o:spid="_x0000_s1088" type="#_x0000_t32" style="position:absolute;left:16379;top:46096;width:33;height:2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Vr9cIAAADcAAAADwAAAGRycy9kb3ducmV2LnhtbERPTWvCQBC9C/6HZQQvUjemaCVmFRFq&#10;C57UQq9DdpINyc6G7Dam/75bKPQ2j/c5+WG0rRio97VjBatlAoK4cLrmSsHH/fVpC8IHZI2tY1Lw&#10;TR4O++kkx0y7B19puIVKxBD2GSowIXSZlL4wZNEvXUccudL1FkOEfSV1j48YbluZJslGWqw5Nhjs&#10;6GSoaG5fVkGZalotmk/z9rLG8nR5ToehPSs1n43HHYhAY/gX/7nfdZy/TeH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Vr9cIAAADcAAAADwAAAAAAAAAAAAAA&#10;AAChAgAAZHJzL2Rvd25yZXYueG1sUEsFBgAAAAAEAAQA+QAAAJADAAAAAA==&#10;">
                  <v:stroke endarrow="open"/>
                </v:shape>
                <v:shape id="Straight Arrow Connector 312" o:spid="_x0000_s1089" type="#_x0000_t32" style="position:absolute;left:24014;top:46181;width:35;height:2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d9msQAAADcAAAADwAAAGRycy9kb3ducmV2LnhtbERPS2vCQBC+F/oflil4Kc1GBQmpqxRB&#10;EBHEx6W3ITvJhmZn0+waY399VxC8zcf3nPlysI3oqfO1YwXjJAVBXDhdc6XgfFp/ZCB8QNbYOCYF&#10;N/KwXLy+zDHX7soH6o+hEjGEfY4KTAhtLqUvDFn0iWuJI1e6zmKIsKuk7vAaw20jJ2k6kxZrjg0G&#10;W1oZKn6OF6vg/fBdV2V52d389G+fpdv9ryl6pUZvw9cniEBDeIof7o2O87Mp3J+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32axAAAANwAAAAPAAAAAAAAAAAA&#10;AAAAAKECAABkcnMvZG93bnJldi54bWxQSwUGAAAAAAQABAD5AAAAkgMAAAAA&#10;">
                  <v:stroke endarrow="open"/>
                </v:shape>
                <v:shape id="Straight Arrow Connector 313" o:spid="_x0000_s1090" type="#_x0000_t32" style="position:absolute;left:30999;top:46181;width:3;height:2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WGsMAAADcAAAADwAAAGRycy9kb3ducmV2LnhtbERPTWvCQBC9C/0PyxR6KXVjWltJ3YgI&#10;tYIntdDrkJ1kQ7KzIbvG+O+7BcHbPN7nLFejbcVAva8dK5hNExDEhdM1Vwp+Tl8vCxA+IGtsHZOC&#10;K3lY5Q+TJWbaXfhAwzFUIoawz1CBCaHLpPSFIYt+6jriyJWutxgi7Cupe7zEcNvKNEnepcWaY4PB&#10;jjaGiuZ4tgrKVNPsufk13x9zLDf713QY2q1ST4/j+hNEoDHcxTf3Tsf5izf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VhrDAAAA3AAAAA8AAAAAAAAAAAAA&#10;AAAAoQIAAGRycy9kb3ducmV2LnhtbFBLBQYAAAAABAAEAPkAAACRAwAAAAA=&#10;">
                  <v:stroke endarrow="open"/>
                </v:shape>
                <v:shape id="Straight Arrow Connector 314" o:spid="_x0000_s1091" type="#_x0000_t32" style="position:absolute;left:8216;top:54489;width:227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AdcMAAADcAAAADwAAAGRycy9kb3ducmV2LnhtbERPTWvCQBC9C/0PyxR6Ed1YsYToKkUo&#10;lCKI2ou3ITvJBrOzaXaNsb/eFQRv83ifs1j1thYdtb5yrGAyTkAQ505XXCr4PXyNUhA+IGusHZOC&#10;K3lYLV8GC8y0u/COun0oRQxhn6ECE0KTSelzQxb92DXEkStcazFE2JZSt3iJ4baW70nyIS1WHBsM&#10;NrQ2lJ/2Z6tguDtWZVGcN1c//d+myc/2z+SdUm+v/eccRKA+PMUP97eO89MZ3J+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iQHXDAAAA3AAAAA8AAAAAAAAAAAAA&#10;AAAAoQIAAGRycy9kb3ducmV2LnhtbFBLBQYAAAAABAAEAPkAAACRAwAAAAA=&#10;">
                  <v:stroke endarrow="open"/>
                </v:shape>
                <v:line id="Straight Connector 315" o:spid="_x0000_s1092" style="position:absolute;visibility:visible;mso-wrap-style:square" from="30961,52767" to="30961,5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Straight Connector 316" o:spid="_x0000_s1093" style="position:absolute;visibility:visible;mso-wrap-style:square" from="24010,52767" to="24010,5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shape id="Elbow Connector 317" o:spid="_x0000_s1094" type="#_x0000_t33" style="position:absolute;left:41995;top:8667;width:6401;height:293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S/8QAAADcAAAADwAAAGRycy9kb3ducmV2LnhtbESPQU/DMAyF70j7D5GRuKAt3Q6oKsum&#10;Ca0DiRMD7l5jmrLGqZJsLf8eH5C42XrP731ebyffqyvF1AU2sFwUoIibYDtuDXy81/MSVMrIFvvA&#10;ZOCHEmw3s5s1VjaM/EbXY26VhHCq0IDLeai0To0jj2kRBmLRvkL0mGWNrbYRRwn3vV4VxYP22LE0&#10;OBzoyVFzPl68gfowHr7jp6vp+bLaD6fl6/1URmPubqfdI6hMU/43/12/WMEvhVaekQn0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JL/xAAAANwAAAAPAAAAAAAAAAAA&#10;AAAAAKECAABkcnMvZG93bnJldi54bWxQSwUGAAAAAAQABAD5AAAAkgMAAAAA&#10;">
                  <v:stroke endarrow="open"/>
                </v:shape>
                <v:shape id="Elbow Connector 318" o:spid="_x0000_s1095" type="#_x0000_t33" style="position:absolute;left:60397;top:8667;width:3992;height:798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sx8IAAADcAAAADwAAAGRycy9kb3ducmV2LnhtbERPS4vCMBC+L/gfwgje1lQP1a1GUaEg&#10;uCzr4+BxaMa22kxKErX7783Cwt7m43vOfNmZRjzI+dqygtEwAUFcWF1zqeB0zN+nIHxA1thYJgU/&#10;5GG56L3NMdP2yXt6HEIpYgj7DBVUIbSZlL6oyKAf2pY4chfrDIYIXSm1w2cMN40cJ0kqDdYcGyps&#10;aVNRcTvcjYLPdXou8i+9uza3PPff43Ti9qjUoN+tZiACdeFf/Ofe6jh/+gG/z8QL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Nsx8IAAADcAAAADwAAAAAAAAAAAAAA&#10;AAChAgAAZHJzL2Rvd25yZXYueG1sUEsFBgAAAAAEAAQA+QAAAJADAAAAAA==&#10;">
                  <v:stroke endarrow="open"/>
                </v:shape>
                <v:shape id="Straight Arrow Connector 319" o:spid="_x0000_s1096" type="#_x0000_t32" style="position:absolute;left:48838;top:9907;width:0;height:6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GxMUAAADcAAAADwAAAGRycy9kb3ducmV2LnhtbESPQWvCQBCF74X+h2UKvRTdGGnV1FWK&#10;UFvoqVbwOmQn2WB2NmS3Mf33nYPgbYb35r1v1tvRt2qgPjaBDcymGSjiMtiGawPHn/fJElRMyBbb&#10;wGTgjyJsN/d3ayxsuPA3DYdUKwnhWKABl1JXaB1LRx7jNHTEolWh95hk7Wtte7xIuG91nmUv2mPD&#10;0uCwo52j8nz49Qaq3NLs6XxyH4tnrHZf83wY2r0xjw/j2yuoRGO6ma/Xn1bwV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LGxMUAAADcAAAADwAAAAAAAAAA&#10;AAAAAAChAgAAZHJzL2Rvd25yZXYueG1sUEsFBgAAAAAEAAQA+QAAAJMDAAAAAA==&#10;">
                  <v:stroke endarrow="open"/>
                </v:shape>
                <v:shape id="Straight Arrow Connector 320" o:spid="_x0000_s1097" type="#_x0000_t32" style="position:absolute;left:56756;top:9907;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5jX8IAAADcAAAADwAAAGRycy9kb3ducmV2LnhtbERPTWvCQBC9F/wPywi9FN0k0qrRVYrQ&#10;WvBUFbwO2Uk2mJ0N2W1M/70rFHqbx/uc9Xawjeip87VjBek0AUFcOF1zpeB8+pgsQPiArLFxTAp+&#10;ycN2M3paY67djb+pP4ZKxBD2OSowIbS5lL4wZNFPXUscudJ1FkOEXSV1h7cYbhuZJcmbtFhzbDDY&#10;0s5QcT3+WAVlpil9uV7Mfv6K5e4wy/q++VTqeTy8r0AEGsK/+M/9peP8ZQ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5jX8IAAADcAAAADwAAAAAAAAAAAAAA&#10;AAChAgAAZHJzL2Rvd25yZXYueG1sUEsFBgAAAAAEAAQA+QAAAJADAAAAAA==&#10;">
                  <v:stroke endarrow="open"/>
                </v:shape>
                <v:shape id="Straight Arrow Connector 321" o:spid="_x0000_s1098" type="#_x0000_t32" style="position:absolute;left:51720;top:9907;width:96;height:11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z9KMIAAADcAAAADwAAAGRycy9kb3ducmV2LnhtbERPTWvCQBC9C/0PyxR6Ed2YorWpqxSh&#10;KnjSCl6H7CQbzM6G7DbGf98VBG/zeJ+zWPW2Fh21vnKsYDJOQBDnTldcKjj9/ozmIHxA1lg7JgU3&#10;8rBavgwWmGl35QN1x1CKGMI+QwUmhCaT0ueGLPqxa4gjV7jWYoiwLaVu8RrDbS3TJJlJixXHBoMN&#10;rQ3ll+OfVVCkmibDy9lsP6ZYrPfvadfVG6XeXvvvLxCB+vAUP9w7Hed/pn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z9KMIAAADcAAAADwAAAAAAAAAAAAAA&#10;AAChAgAAZHJzL2Rvd25yZXYueG1sUEsFBgAAAAAEAAQA+QAAAJADAAAAAA==&#10;">
                  <v:stroke endarrow="open"/>
                </v:shape>
                <v:shape id="Straight Arrow Connector 322" o:spid="_x0000_s1099" type="#_x0000_t32" style="position:absolute;left:40386;top:15878;width:93;height:13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BYs8IAAADcAAAADwAAAGRycy9kb3ducmV2LnhtbERPTWvCQBC9C/6HZQpepG6MaNvUVURQ&#10;Cz1VC70O2Uk2mJ0N2TXGf+8KBW/zeJ+zXPe2Fh21vnKsYDpJQBDnTldcKvg97V7fQfiArLF2TApu&#10;5GG9Gg6WmGl35R/qjqEUMYR9hgpMCE0mpc8NWfQT1xBHrnCtxRBhW0rd4jWG21qmSbKQFiuODQYb&#10;2hrKz8eLVVCkmqbj8585vM2x2H7P0q6r90qNXvrNJ4hAfXiK/91fOs7/m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BYs8IAAADcAAAADwAAAAAAAAAAAAAA&#10;AAChAgAAZHJzL2Rvd25yZXYueG1sUEsFBgAAAAAEAAQA+QAAAJADAAAAAA==&#10;">
                  <v:stroke endarrow="open"/>
                </v:shape>
                <v:shape id="Straight Arrow Connector 323" o:spid="_x0000_s1100" type="#_x0000_t32" style="position:absolute;left:46577;top:20842;width:0;height:8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nAx8MAAADcAAAADwAAAGRycy9kb3ducmV2LnhtbERPTWvCQBC9C/0Pywi9lLox1arRVYrQ&#10;KngyLXgdspNsMDsbstuY/vtuoeBtHu9zNrvBNqKnzteOFUwnCQjiwumaKwVfn+/PSxA+IGtsHJOC&#10;H/Kw2z6MNphpd+Mz9XmoRAxhn6ECE0KbSekLQxb9xLXEkStdZzFE2FVSd3iL4baRaZK8Sos1xwaD&#10;Le0NFdf82yooU03Tp+vFHBZzLPenl7Tvmw+lHsfD2xpEoCHcxf/uo47zVzP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wMfDAAAA3AAAAA8AAAAAAAAAAAAA&#10;AAAAoQIAAGRycy9kb3ducmV2LnhtbFBLBQYAAAAABAAEAPkAAACRAwAAAAA=&#10;">
                  <v:stroke endarrow="open"/>
                </v:shape>
                <v:shape id="Straight Arrow Connector 324" o:spid="_x0000_s1101" type="#_x0000_t32" style="position:absolute;left:53042;top:25709;width:0;height:3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lXMMAAADcAAAADwAAAGRycy9kb3ducmV2LnhtbERPTWvCQBC9C/0Pywi9lLoxRavRTShC&#10;a6GnaqHXITvJBrOzIbuN6b93BcHbPN7nbIvRtmKg3jeOFcxnCQji0umGawU/x/fnFQgfkDW2jknB&#10;P3ko8ofJFjPtzvxNwyHUIoawz1CBCaHLpPSlIYt+5jriyFWutxgi7GupezzHcNvKNEmW0mLDscFg&#10;RztD5enwZxVUqab50+nX7F8XWO2+XtJhaD+UepyObxsQgcZwF9/cnzrOXy/g+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VZVzDAAAA3AAAAA8AAAAAAAAAAAAA&#10;AAAAoQIAAGRycy9kb3ducmV2LnhtbFBLBQYAAAAABAAEAPkAAACRAwAAAAA=&#10;">
                  <v:stroke endarrow="open"/>
                </v:shape>
                <v:shape id="Straight Arrow Connector 325" o:spid="_x0000_s1102" type="#_x0000_t32" style="position:absolute;left:58959;top:15878;width:96;height:13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f7K8MAAADcAAAADwAAAGRycy9kb3ducmV2LnhtbERPTWvCQBC9C/0PyxR6KXVjSrVN3YgI&#10;tYIntdDrkJ1kQ7KzIbvG+O+7BcHbPN7nLFejbcVAva8dK5hNExDEhdM1Vwp+Tl8v7yB8QNbYOiYF&#10;V/Kwyh8mS8y0u/CBhmOoRAxhn6ECE0KXSekLQxb91HXEkStdbzFE2FdS93iJ4baVaZLMpcWaY4PB&#10;jjaGiuZ4tgrKVNPsufk134s3LDf713QY2q1ST4/j+hNEoDHcxTf3Tsf5H3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yvDAAAA3AAAAA8AAAAAAAAAAAAA&#10;AAAAoQIAAGRycy9kb3ducmV2LnhtbFBLBQYAAAAABAAEAPkAAACRAwAAAAA=&#10;">
                  <v:stroke endarrow="open"/>
                </v:shape>
                <v:shape id="Straight Arrow Connector 326" o:spid="_x0000_s1103" type="#_x0000_t32" style="position:absolute;left:64387;top:20842;width:76;height:28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tesMIAAADcAAAADwAAAGRycy9kb3ducmV2LnhtbERPTWvCQBC9F/wPywheRDdGrBpdpQjW&#10;Qk+1gtchO8kGs7Mhu43pv3eFQm/zeJ+z3fe2Fh21vnKsYDZNQBDnTldcKrh8HycrED4ga6wdk4Jf&#10;8rDfDV62mGl35y/qzqEUMYR9hgpMCE0mpc8NWfRT1xBHrnCtxRBhW0rd4j2G21qmSfIqLVYcGww2&#10;dDCU384/VkGRapqNb1dzWi6wOHzO066r35UaDfu3DYhAffgX/7k/dJy/XsL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tesMIAAADcAAAADwAAAAAAAAAAAAAA&#10;AAChAgAAZHJzL2Rvd25yZXYueG1sUEsFBgAAAAAEAAQA+QAAAJADAAAAAA==&#10;">
                  <v:stroke endarrow="open"/>
                </v:shape>
                <v:shape id="Elbow Connector 327" o:spid="_x0000_s1104" type="#_x0000_t33" style="position:absolute;left:49620;top:43390;width:1750;height:204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AX5sQAAADcAAAADwAAAGRycy9kb3ducmV2LnhtbESPT2/CMAzF75P4DpGRdhvpOLC1I60m&#10;JLRdOPBvZysxbaFxqiaD8u3xYdJutt7zez8vq9F36kpDbAMbeJ1loIhtcC3XBg779cs7qJiQHXaB&#10;ycCdIlTl5GmJhQs33tJ1l2olIRwLNNCk1BdaR9uQxzgLPbFopzB4TLIOtXYD3iTcd3qeZQvtsWVp&#10;aLCnVUP2svv1Bo6b2v28bfLtab7Pz6y/7GJM1pjn6fj5ASrRmP7Nf9ffTvBzoZVnZAJd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4BfmxAAAANwAAAAPAAAAAAAAAAAA&#10;AAAAAKECAABkcnMvZG93bnJldi54bWxQSwUGAAAAAAQABAD5AAAAkgMAAAAA&#10;">
                  <v:stroke endarrow="open"/>
                </v:shape>
                <v:line id="Straight Connector 328" o:spid="_x0000_s1105" style="position:absolute;visibility:visible;mso-wrap-style:square" from="84486,21518" to="90487,2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shape id="Straight Arrow Connector 329" o:spid="_x0000_s1106" type="#_x0000_t32" style="position:absolute;left:84484;top:21518;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yP8QAAADcAAAADwAAAGRycy9kb3ducmV2LnhtbESPzWrDMBCE74G8g9hCLiGR45KkuJFD&#10;CDQt5JQf6HWx1paxtTKW6rhvXxUKPQ4z8w2z24+2FQP1vnasYLVMQBAXTtdcKbjf3hYvIHxA1tg6&#10;JgXf5GGfTyc7zLR78IWGa6hEhLDPUIEJocuk9IUhi37pOuLola63GKLsK6l7fES4bWWaJBtpsea4&#10;YLCjo6GiuX5ZBWWqaTVvPs37do3l8fycDkN7Umr2NB5eQQQaw3/4r/2hFUQi/J6JR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TI/xAAAANwAAAAPAAAAAAAAAAAA&#10;AAAAAKECAABkcnMvZG93bnJldi54bWxQSwUGAAAAAAQABAD5AAAAkgMAAAAA&#10;">
                  <v:stroke endarrow="open"/>
                </v:shape>
                <v:shape id="Straight Arrow Connector 330" o:spid="_x0000_s1107" type="#_x0000_t32" style="position:absolute;left:90485;top:21518;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XpMQAAADcAAAADwAAAGRycy9kb3ducmV2LnhtbESPQWvCQBSE70L/w/KEXkQ3SWmVmFWK&#10;YFvoqSp4fWRfsiHZtyG7xvTfdwuFHoeZ+YYp9pPtxEiDbxwrSFcJCOLS6YZrBZfzcbkB4QOyxs4x&#10;KfgmD/vdw6zAXLs7f9F4CrWIEPY5KjAh9LmUvjRk0a9cTxy9yg0WQ5RDLfWA9wi3ncyS5EVabDgu&#10;GOzpYKhsTzeroMo0pYv2at7Xz1gdPp+ycezelHqcT69bEIGm8B/+a39oBVmSwu+Ze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ZekxAAAANwAAAAPAAAAAAAAAAAA&#10;AAAAAKECAABkcnMvZG93bnJldi54bWxQSwUGAAAAAAQABAD5AAAAkgMAAAAA&#10;">
                  <v:stroke endarrow="open"/>
                </v:shape>
                <v:line id="Straight Connector 331" o:spid="_x0000_s1108" style="position:absolute;visibility:visible;mso-wrap-style:square" from="87397,17604" to="87448,2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shape id="Straight Arrow Connector 332" o:spid="_x0000_s1109" type="#_x0000_t32" style="position:absolute;left:84482;top:26272;width:2;height:6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EfvMYAAADcAAAADwAAAGRycy9kb3ducmV2LnhtbESPT2sCMRTE74V+h/AKvZSaqFBkaxQR&#10;hFIK4p+Lt8fm7WZx87Ju4rr66Y0g9DjMzG+Y6bx3teioDZVnDcOBAkGce1NxqWG/W31OQISIbLD2&#10;TBquFGA+e32ZYmb8hTfUbWMpEoRDhhpsjE0mZcgtOQwD3xAnr/Ctw5hkW0rT4iXBXS1HSn1JhxWn&#10;BYsNLS3lx+3ZafjYHKqyKM5/1zC+rSfqd32yeaf1+1u/+AYRqY//4Wf7x2gYqTE8zq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xH7zGAAAA3AAAAA8AAAAAAAAA&#10;AAAAAAAAoQIAAGRycy9kb3ducmV2LnhtbFBLBQYAAAAABAAEAPkAAACUAwAAAAA=&#10;">
                  <v:stroke endarrow="open"/>
                </v:shape>
                <v:shape id="Straight Arrow Connector 333" o:spid="_x0000_s1110" type="#_x0000_t32" style="position:absolute;left:90485;top:26272;width:9;height:6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iHyMYAAADcAAAADwAAAGRycy9kb3ducmV2LnhtbESPT2sCMRTE7wW/Q3gFL6Um2iKyNYoU&#10;BCkF8c/F22PzdrN087LdxHXtpzdCweMwM79h5sve1aKjNlSeNYxHCgRx7k3FpYbjYf06AxEissHa&#10;M2m4UoDlYvA0x8z4C++o28dSJAiHDDXYGJtMypBbchhGviFOXuFbhzHJtpSmxUuCu1pOlJpKhxWn&#10;BYsNfVrKf/Znp+Fld6rKojh/X8Pb33amvra/Nu+0Hj73qw8Qkfr4CP+3N0bDRL3D/Uw6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Yh8jGAAAA3AAAAA8AAAAAAAAA&#10;AAAAAAAAoQIAAGRycy9kb3ducmV2LnhtbFBLBQYAAAAABAAEAPkAAACUAwAAAAA=&#10;">
                  <v:stroke endarrow="open"/>
                </v:shape>
                <v:shape id="Straight Arrow Connector 334" o:spid="_x0000_s1111" type="#_x0000_t32" style="position:absolute;left:40479;top:39348;width:29;height:2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qRp8QAAADcAAAADwAAAGRycy9kb3ducmV2LnhtbESPQWvCQBSE70L/w/IKXqRuTNGW1I2I&#10;oC14Ugu9PrIv2ZDs25BdY/z33ULB4zAz3zDrzWhbMVDva8cKFvMEBHHhdM2Vgu/L/uUdhA/IGlvH&#10;pOBOHjb502SNmXY3PtFwDpWIEPYZKjAhdJmUvjBk0c9dRxy90vUWQ5R9JXWPtwi3rUyTZCUt1hwX&#10;DHa0M1Q056tVUKaaFrPmx3y+LbHcHV/TYWgPSk2fx+0HiEBjeIT/219aQZos4e9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pGnxAAAANwAAAAPAAAAAAAAAAAA&#10;AAAAAKECAABkcnMvZG93bnJldi54bWxQSwUGAAAAAAQABAD5AAAAkgMAAAAA&#10;">
                  <v:stroke endarrow="open"/>
                </v:shape>
                <v:shape id="Straight Arrow Connector 336" o:spid="_x0000_s1112" type="#_x0000_t32" style="position:absolute;left:40385;top:46267;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gP0MQAAADcAAAADwAAAGRycy9kb3ducmV2LnhtbESPT4vCMBTE7wv7HcITvCyaWlldqlEW&#10;YVXYk39gr4/mtSk2L6XJ1vrtjSB4HGbmN8xy3dtadNT6yrGCyTgBQZw7XXGp4Hz6GX2B8AFZY+2Y&#10;FNzIw3r1/rbETLsrH6g7hlJECPsMFZgQmkxKnxuy6MeuIY5e4VqLIcq2lLrFa4TbWqZJMpMWK44L&#10;BhvaGMovx3+roEg1TT4uf2Y3/8Ri8ztNu67eKjUc9N8LEIH68Ao/23utIE1m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6A/QxAAAANwAAAAPAAAAAAAAAAAA&#10;AAAAAKECAABkcnMvZG93bnJldi54bWxQSwUGAAAAAAQABAD5AAAAkgMAAAAA&#10;">
                  <v:stroke endarrow="open"/>
                </v:shape>
                <v:shape id="Straight Arrow Connector 338" o:spid="_x0000_s1113" type="#_x0000_t32" style="position:absolute;left:46957;top:46267;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SqS8MAAADcAAAADwAAAGRycy9kb3ducmV2LnhtbESPQWvCQBSE74X+h+UJXkrdGKlKdJUi&#10;VIWe1ILXR/YlG8y+DdltjP/eFQSPw8x8wyzXva1FR62vHCsYjxIQxLnTFZcK/k4/n3MQPiBrrB2T&#10;ght5WK/e35aYaXflA3XHUIoIYZ+hAhNCk0npc0MW/cg1xNErXGsxRNmWUrd4jXBbyzRJptJixXHB&#10;YEMbQ/nl+G8VFKmm8cflbHazLyw2v5O06+qtUsNB/70AEagPr/CzvdcK0mQGjzPxCM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qkvDAAAA3AAAAA8AAAAAAAAAAAAA&#10;AAAAoQIAAGRycy9kb3ducmV2LnhtbFBLBQYAAAAABAAEAPkAAACRAwAAAAA=&#10;">
                  <v:stroke endarrow="open"/>
                </v:shape>
                <v:shape id="Straight Arrow Connector 339" o:spid="_x0000_s1114" type="#_x0000_t32" style="position:absolute;left:53357;top:46267;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s+OcAAAADcAAAADwAAAGRycy9kb3ducmV2LnhtbERPTYvCMBC9C/sfwix4EU2tuEo1yiK4&#10;Cp50Ba9DM22KzaQ02dr99+YgeHy87/W2t7XoqPWVYwXTSQKCOHe64lLB9Xc/XoLwAVlj7ZgU/JOH&#10;7eZjsMZMuwefqbuEUsQQ9hkqMCE0mZQ+N2TRT1xDHLnCtRZDhG0pdYuPGG5rmSbJl7RYcWww2NDO&#10;UH6//FkFRappOrrfzGExx2J3mqVdV/8oNfzsv1cgAvXhLX65j1pBmsS18Uw8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7PjnAAAAA3AAAAA8AAAAAAAAAAAAAAAAA&#10;oQIAAGRycy9kb3ducmV2LnhtbFBLBQYAAAAABAAEAPkAAACOAwAAAAA=&#10;">
                  <v:stroke endarrow="open"/>
                </v:shape>
                <v:shape id="Straight Arrow Connector 340" o:spid="_x0000_s1115" type="#_x0000_t32" style="position:absolute;left:46957;top:41247;width:3;height:8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koVsYAAADcAAAADwAAAGRycy9kb3ducmV2LnhtbESPT2sCMRTE7wW/Q3iCl1ITLRS7NYoU&#10;BCkF8c+lt8fm7WZx87LdxHXtpzdCweMwM79h5sve1aKjNlSeNUzGCgRx7k3FpYbjYf0yAxEissHa&#10;M2m4UoDlYvA0x8z4C++o28dSJAiHDDXYGJtMypBbchjGviFOXuFbhzHJtpSmxUuCu1pOlXqTDitO&#10;CxYb+rSUn/Znp+F591OVRXH+vobXv+1MfW1/bd5pPRr2qw8Qkfr4CP+3N0bDVL3D/Uw6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ZKFbGAAAA3AAAAA8AAAAAAAAA&#10;AAAAAAAAoQIAAGRycy9kb3ducmV2LnhtbFBLBQYAAAAABAAEAPkAAACUAwAAAAA=&#10;">
                  <v:stroke endarrow="open"/>
                </v:shape>
                <v:shape id="Straight Arrow Connector 341" o:spid="_x0000_s1116" type="#_x0000_t32" style="position:absolute;left:53357;top:39351;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Sk4sEAAADcAAAADwAAAGRycy9kb3ducmV2LnhtbERPz2vCMBS+C/4P4Qm7yEzbMSfVVETY&#10;HOykDnZ9NK9NafNSmli7/94cBjt+fL93+8l2YqTBN44VpKsEBHHpdMO1gu/r+/MGhA/IGjvHpOCX&#10;POyL+WyHuXZ3PtN4CbWIIexzVGBC6HMpfWnIol+5njhylRsshgiHWuoB7zHcdjJLkrW02HBsMNjT&#10;0VDZXm5WQZVpSpftjzm9vWJ1/HrJxrH7UOppMR22IAJN4V/85/7UCrI0zo9n4hGQ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lKTiwQAAANwAAAAPAAAAAAAAAAAAAAAA&#10;AKECAABkcnMvZG93bnJldi54bWxQSwUGAAAAAAQABAD5AAAAjwMAAAAA&#10;">
                  <v:stroke endarrow="open"/>
                </v:shape>
                <v:shape id="Straight Arrow Connector 342" o:spid="_x0000_s1117" type="#_x0000_t32" style="position:absolute;left:59549;top:39351;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BecQAAADcAAAADwAAAGRycy9kb3ducmV2LnhtbESPQWvCQBSE70L/w/KEXkQ3SWmVmFWK&#10;YFvoqSp4fWRfsiHZtyG7xvTfdwuFHoeZ+YYp9pPtxEiDbxwrSFcJCOLS6YZrBZfzcbkB4QOyxs4x&#10;KfgmD/vdw6zAXLs7f9F4CrWIEPY5KjAh9LmUvjRk0a9cTxy9yg0WQ5RDLfWA9wi3ncyS5EVabDgu&#10;GOzpYKhsTzeroMo0pYv2at7Xz1gdPp+ycezelHqcT69bEIGm8B/+a39oBVmawu+Ze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AF5xAAAANwAAAAPAAAAAAAAAAAA&#10;AAAAAKECAABkcnMvZG93bnJldi54bWxQSwUGAAAAAAQABAD5AAAAkgMAAAAA&#10;">
                  <v:stroke endarrow="open"/>
                </v:shape>
                <v:line id="Straight Connector 197" o:spid="_x0000_s1118" style="position:absolute;visibility:visible;mso-wrap-style:square" from="43817,20842" to="43817,50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shape id="Straight Arrow Connector 198" o:spid="_x0000_s1119" type="#_x0000_t32" style="position:absolute;left:43816;top:50601;width:952;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6lcQAAADcAAAADwAAAGRycy9kb3ducmV2LnhtbESPQWvCQBSE70L/w/IKvYhuEtGW1FWK&#10;UCt4UgteH9mXbDD7NmS3Mf77riB4HGbmG2a5Hmwjeup87VhBOk1AEBdO11wp+D19Tz5A+ICssXFM&#10;Cm7kYb16GS0x1+7KB+qPoRIRwj5HBSaENpfSF4Ys+qlriaNXus5iiLKrpO7wGuG2kVmSLKTFmuOC&#10;wZY2horL8c8qKDNN6fhyNj/vcyw3+1nW981WqbfX4esTRKAhPMOP9k4ryNIZ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jqVxAAAANwAAAAPAAAAAAAAAAAA&#10;AAAAAKECAABkcnMvZG93bnJldi54bWxQSwUGAAAAAAQABAD5AAAAkgMAAAAA&#10;">
                  <v:stroke endarrow="open"/>
                </v:shape>
                <v:shape id="Straight Arrow Connector 252" o:spid="_x0000_s1120" type="#_x0000_t32" style="position:absolute;left:16852;top:54818;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4cQAAADcAAAADwAAAGRycy9kb3ducmV2LnhtbESPQWvCQBSE7wX/w/KEXopuEluV6CpF&#10;aC14qgpeH9mXbDD7NmS3Mf33rlDocZiZb5j1drCN6KnztWMF6TQBQVw4XXOl4Hz6mCxB+ICssXFM&#10;Cn7Jw3Yzelpjrt2Nv6k/hkpECPscFZgQ2lxKXxiy6KeuJY5e6TqLIcqukrrDW4TbRmZJMpcWa44L&#10;BlvaGSquxx+roMw0pS/Xi9kv3rDcHWZZ3zefSj2Ph/cViEBD+A//tb+0gix9hceZe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LhxAAAANwAAAAPAAAAAAAAAAAA&#10;AAAAAKECAABkcnMvZG93bnJldi54bWxQSwUGAAAAAAQABAD5AAAAkgMAAAAA&#10;">
                  <v:stroke endarrow="open"/>
                </v:shape>
                <v:shape id="Straight Arrow Connector 301" o:spid="_x0000_s1121" type="#_x0000_t32" style="position:absolute;left:23899;top:54818;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HesQAAADcAAAADwAAAGRycy9kb3ducmV2LnhtbESPQWvCQBSE70L/w/IKvYhukqItqasU&#10;oSp4UgteH9mXbDD7NmS3Mf57tyB4HGbmG2axGmwjeup87VhBOk1AEBdO11wp+D39TD5B+ICssXFM&#10;Cm7kYbV8GS0w1+7KB+qPoRIRwj5HBSaENpfSF4Ys+qlriaNXus5iiLKrpO7wGuG2kVmSzKXFmuOC&#10;wZbWhorL8c8qKDNN6fhyNtuPGZbr/XvW981GqbfX4fsLRKAhPMOP9k4ryNIZ/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4wd6xAAAANwAAAAPAAAAAAAAAAAA&#10;AAAAAKECAABkcnMvZG93bnJldi54bWxQSwUGAAAAAAQABAD5AAAAkgMAAAAA&#10;">
                  <v:stroke endarrow="open"/>
                </v:shape>
                <v:shape id="Straight Arrow Connector 362" o:spid="_x0000_s1122" type="#_x0000_t32" style="position:absolute;left:31113;top:54818;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ZDcQAAADcAAAADwAAAGRycy9kb3ducmV2LnhtbESPT2vCQBTE7wW/w/IKvRTdJKKW1FVE&#10;aBU8+Qd6fWRfssHs25DdxvTbdwXB4zAzv2GW68E2oqfO144VpJMEBHHhdM2Vgsv5a/wBwgdkjY1j&#10;UvBHHtar0csSc+1ufKT+FCoRIexzVGBCaHMpfWHIop+4ljh6pesshii7SuoObxFuG5klyVxarDku&#10;GGxpa6i4nn6tgjLTlL5ff8xuMcNye5hmfd98K/X2Omw+QQQawjP8aO+1giydw/1MP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MZkNxAAAANwAAAAPAAAAAAAAAAAA&#10;AAAAAKECAABkcnMvZG93bnJldi54bWxQSwUGAAAAAAQABAD5AAAAkgMAAAAA&#10;">
                  <v:stroke endarrow="open"/>
                </v:shape>
                <v:shape id="Straight Arrow Connector 393" o:spid="_x0000_s1123" type="#_x0000_t32" style="position:absolute;left:40273;top:54818;width:0;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8lsQAAADcAAAADwAAAGRycy9kb3ducmV2LnhtbESPT2vCQBTE7wW/w/IKvZS6ScQ/pK4i&#10;QqvgSS14fWRfssHs25DdxvTbdwXB4zAzv2GW68E2oqfO144VpOMEBHHhdM2Vgp/z18cChA/IGhvH&#10;pOCPPKxXo5cl5trd+Ej9KVQiQtjnqMCE0OZS+sKQRT92LXH0StdZDFF2ldQd3iLcNjJLkpm0WHNc&#10;MNjS1lBxPf1aBWWmKX2/XsxuPsVye5hkfd98K/X2Omw+QQQawjP8aO+1giydw/1MP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TyWxAAAANwAAAAPAAAAAAAAAAAA&#10;AAAAAKECAABkcnMvZG93bnJldi54bWxQSwUGAAAAAAQABAD5AAAAkgMAAAAA&#10;">
                  <v:stroke endarrow="open"/>
                </v:shape>
                <v:shape id="Straight Arrow Connector 403" o:spid="_x0000_s1124" type="#_x0000_t32" style="position:absolute;left:47582;top:54818;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o5MEAAADcAAAADwAAAGRycy9kb3ducmV2LnhtbERPz2vCMBS+C/4P4Qm7yEzbMSfVVETY&#10;HOykDnZ9NK9NafNSmli7/94cBjt+fL93+8l2YqTBN44VpKsEBHHpdMO1gu/r+/MGhA/IGjvHpOCX&#10;POyL+WyHuXZ3PtN4CbWIIexzVGBC6HMpfWnIol+5njhylRsshgiHWuoB7zHcdjJLkrW02HBsMNjT&#10;0VDZXm5WQZVpSpftjzm9vWJ1/HrJxrH7UOppMR22IAJN4V/85/7UCrI0ro1n4hGQ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4qjkwQAAANwAAAAPAAAAAAAAAAAAAAAA&#10;AKECAABkcnMvZG93bnJldi54bWxQSwUGAAAAAAQABAD5AAAAjwMAAAAA&#10;">
                  <v:stroke endarrow="open"/>
                </v:shape>
                <v:shape id="Straight Arrow Connector 425" o:spid="_x0000_s1125" type="#_x0000_t32" style="position:absolute;left:53487;top:54818;width:0;height: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4Nf8QAAADcAAAADwAAAGRycy9kb3ducmV2LnhtbESPQWvCQBSE7wX/w/KEXopuEmnV6CpF&#10;aC14qgpeH9mXbDD7NmS3Mf33rlDocZiZb5j1drCN6KnztWMF6TQBQVw4XXOl4Hz6mCxA+ICssXFM&#10;Cn7Jw3Yzelpjrt2Nv6k/hkpECPscFZgQ2lxKXxiy6KeuJY5e6TqLIcqukrrDW4TbRmZJ8iYt1hwX&#10;DLa0M1Rcjz9WQZlpSl+uF7Ofv2K5O8yyvm8+lXoeD+8rEIGG8B/+a39pBVm6hMeZe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rg1/xAAAANwAAAAPAAAAAAAAAAAA&#10;AAAAAKECAABkcnMvZG93bnJldi54bWxQSwUGAAAAAAQABAD5AAAAkgMAAAAA&#10;">
                  <v:stroke endarrow="open"/>
                </v:shape>
                <w10:anchorlock/>
              </v:group>
            </w:pict>
          </mc:Fallback>
        </mc:AlternateContent>
      </w:r>
    </w:p>
    <w:p w:rsidR="006379B4" w:rsidRDefault="005E59E9">
      <w:pPr>
        <w:jc w:val="left"/>
      </w:pPr>
      <w:r>
        <w:rPr>
          <w:noProof/>
          <w:lang w:eastAsia="en-AU"/>
        </w:rPr>
        <w:lastRenderedPageBreak/>
        <mc:AlternateContent>
          <mc:Choice Requires="wpc">
            <w:drawing>
              <wp:inline distT="0" distB="0" distL="0" distR="0" wp14:anchorId="63365D68" wp14:editId="37AA42D0">
                <wp:extent cx="9782175" cy="5219065"/>
                <wp:effectExtent l="0" t="0" r="0" b="0"/>
                <wp:docPr id="120" name="Canvas 105" descr="Current clinical management algorithm for osteoporosis management of HIV patients" title="Current clinical management algorithm for osteoporosis management of HIV patient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3" name="Text Box 282"/>
                        <wps:cNvSpPr txBox="1">
                          <a:spLocks noChangeArrowheads="1"/>
                        </wps:cNvSpPr>
                        <wps:spPr bwMode="auto">
                          <a:xfrm>
                            <a:off x="448903" y="0"/>
                            <a:ext cx="5591843" cy="2782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81E3C" w:rsidRDefault="00C81E3C" w:rsidP="009B51C0">
                              <w:pPr>
                                <w:pStyle w:val="Caption"/>
                                <w:spacing w:after="0"/>
                                <w:ind w:left="1440" w:hanging="1440"/>
                              </w:pPr>
                              <w:r>
                                <w:t>Figure 2</w:t>
                              </w:r>
                              <w:r>
                                <w:tab/>
                              </w:r>
                              <w:proofErr w:type="gramStart"/>
                              <w:r w:rsidRPr="00AA3219">
                                <w:t>C</w:t>
                              </w:r>
                              <w:r>
                                <w:t>urrent c</w:t>
                              </w:r>
                              <w:r w:rsidRPr="00AA3219">
                                <w:t>linical management algorithm</w:t>
                              </w:r>
                              <w:proofErr w:type="gramEnd"/>
                              <w:r>
                                <w:t xml:space="preserve"> </w:t>
                              </w:r>
                              <w:r w:rsidR="00FF3C23">
                                <w:t>for</w:t>
                              </w:r>
                              <w:r>
                                <w:t xml:space="preserve"> osteoporosis management of</w:t>
                              </w:r>
                              <w:r w:rsidRPr="00AA3219">
                                <w:t xml:space="preserve"> </w:t>
                              </w:r>
                              <w:r>
                                <w:t>HIV patients</w:t>
                              </w:r>
                            </w:p>
                          </w:txbxContent>
                        </wps:txbx>
                        <wps:bodyPr rot="0" vert="horz" wrap="square" lIns="91440" tIns="45720" rIns="91440" bIns="45720" anchor="t" anchorCtr="0" upright="1">
                          <a:noAutofit/>
                        </wps:bodyPr>
                      </wps:wsp>
                      <wps:wsp>
                        <wps:cNvPr id="84" name="Text Box 123"/>
                        <wps:cNvSpPr txBox="1">
                          <a:spLocks noChangeArrowheads="1"/>
                        </wps:cNvSpPr>
                        <wps:spPr bwMode="auto">
                          <a:xfrm>
                            <a:off x="3628628" y="398351"/>
                            <a:ext cx="840806" cy="24763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85" name="Text Box 123"/>
                        <wps:cNvSpPr txBox="1">
                          <a:spLocks noChangeArrowheads="1"/>
                        </wps:cNvSpPr>
                        <wps:spPr bwMode="auto">
                          <a:xfrm>
                            <a:off x="2579120" y="2604132"/>
                            <a:ext cx="1015408" cy="40965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Lifestyle advice (a)</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 (b)</w:t>
                              </w:r>
                            </w:p>
                          </w:txbxContent>
                        </wps:txbx>
                        <wps:bodyPr rot="0" vert="horz" wrap="none" lIns="91440" tIns="45720" rIns="91440" bIns="45720" anchor="t" anchorCtr="0" upright="1">
                          <a:noAutofit/>
                        </wps:bodyPr>
                      </wps:wsp>
                      <wps:wsp>
                        <wps:cNvPr id="86" name="Text Box 123"/>
                        <wps:cNvSpPr txBox="1">
                          <a:spLocks noChangeArrowheads="1"/>
                        </wps:cNvSpPr>
                        <wps:spPr bwMode="auto">
                          <a:xfrm>
                            <a:off x="2489219" y="4096622"/>
                            <a:ext cx="476204" cy="571573"/>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87" name="Text Box 123"/>
                        <wps:cNvSpPr txBox="1">
                          <a:spLocks noChangeArrowheads="1"/>
                        </wps:cNvSpPr>
                        <wps:spPr bwMode="auto">
                          <a:xfrm>
                            <a:off x="3194024" y="3634363"/>
                            <a:ext cx="351203" cy="24763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88" name="Text Box 123"/>
                        <wps:cNvSpPr txBox="1">
                          <a:spLocks noChangeArrowheads="1"/>
                        </wps:cNvSpPr>
                        <wps:spPr bwMode="auto">
                          <a:xfrm>
                            <a:off x="2609820" y="3634363"/>
                            <a:ext cx="309202" cy="24763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89" name="Text Box 123"/>
                        <wps:cNvSpPr txBox="1">
                          <a:spLocks noChangeArrowheads="1"/>
                        </wps:cNvSpPr>
                        <wps:spPr bwMode="auto">
                          <a:xfrm>
                            <a:off x="3194024" y="4096622"/>
                            <a:ext cx="476304" cy="571573"/>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90" name="Text Box 123"/>
                        <wps:cNvSpPr txBox="1">
                          <a:spLocks noChangeArrowheads="1"/>
                        </wps:cNvSpPr>
                        <wps:spPr bwMode="auto">
                          <a:xfrm>
                            <a:off x="4723436" y="1465987"/>
                            <a:ext cx="351103" cy="24703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91" name="Text Box 123"/>
                        <wps:cNvSpPr txBox="1">
                          <a:spLocks noChangeArrowheads="1"/>
                        </wps:cNvSpPr>
                        <wps:spPr bwMode="auto">
                          <a:xfrm>
                            <a:off x="2926722" y="1465987"/>
                            <a:ext cx="309202" cy="24703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92" name="Text Box 123"/>
                        <wps:cNvSpPr txBox="1">
                          <a:spLocks noChangeArrowheads="1"/>
                        </wps:cNvSpPr>
                        <wps:spPr bwMode="auto">
                          <a:xfrm>
                            <a:off x="3704828" y="854509"/>
                            <a:ext cx="694705" cy="24703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HIV-positive</w:t>
                              </w:r>
                            </w:p>
                          </w:txbxContent>
                        </wps:txbx>
                        <wps:bodyPr rot="0" vert="horz" wrap="none" lIns="91440" tIns="45720" rIns="91440" bIns="45720" anchor="t" anchorCtr="0" upright="1">
                          <a:noAutofit/>
                        </wps:bodyPr>
                      </wps:wsp>
                      <wps:wsp>
                        <wps:cNvPr id="93" name="Text Box 123"/>
                        <wps:cNvSpPr txBox="1">
                          <a:spLocks noChangeArrowheads="1"/>
                        </wps:cNvSpPr>
                        <wps:spPr bwMode="auto">
                          <a:xfrm>
                            <a:off x="4400434" y="2604132"/>
                            <a:ext cx="1015408" cy="40965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Lifestyle advice (a)</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 (b)</w:t>
                              </w:r>
                            </w:p>
                          </w:txbxContent>
                        </wps:txbx>
                        <wps:bodyPr rot="0" vert="horz" wrap="none" lIns="91440" tIns="45720" rIns="91440" bIns="45720" anchor="t" anchorCtr="0" upright="1">
                          <a:noAutofit/>
                        </wps:bodyPr>
                      </wps:wsp>
                      <wps:wsp>
                        <wps:cNvPr id="94" name="Text Box 123"/>
                        <wps:cNvSpPr txBox="1">
                          <a:spLocks noChangeArrowheads="1"/>
                        </wps:cNvSpPr>
                        <wps:spPr bwMode="auto">
                          <a:xfrm>
                            <a:off x="4336533" y="4096622"/>
                            <a:ext cx="476304" cy="571573"/>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95" name="Text Box 123"/>
                        <wps:cNvSpPr txBox="1">
                          <a:spLocks noChangeArrowheads="1"/>
                        </wps:cNvSpPr>
                        <wps:spPr bwMode="auto">
                          <a:xfrm>
                            <a:off x="5041439" y="3634363"/>
                            <a:ext cx="351103" cy="24763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96" name="Text Box 123"/>
                        <wps:cNvSpPr txBox="1">
                          <a:spLocks noChangeArrowheads="1"/>
                        </wps:cNvSpPr>
                        <wps:spPr bwMode="auto">
                          <a:xfrm>
                            <a:off x="4457234" y="3634363"/>
                            <a:ext cx="309202" cy="24763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97" name="Text Box 123"/>
                        <wps:cNvSpPr txBox="1">
                          <a:spLocks noChangeArrowheads="1"/>
                        </wps:cNvSpPr>
                        <wps:spPr bwMode="auto">
                          <a:xfrm>
                            <a:off x="5041439" y="4096622"/>
                            <a:ext cx="476204" cy="571573"/>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98" name="Straight Arrow Connector 343"/>
                        <wps:cNvCnPr/>
                        <wps:spPr bwMode="auto">
                          <a:xfrm>
                            <a:off x="3081324" y="1713018"/>
                            <a:ext cx="5500" cy="8911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9" name="Straight Arrow Connector 344"/>
                        <wps:cNvCnPr/>
                        <wps:spPr bwMode="auto">
                          <a:xfrm>
                            <a:off x="4899038" y="1713018"/>
                            <a:ext cx="9100" cy="8911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0" name="Straight Connector 345"/>
                        <wps:cNvCnPr/>
                        <wps:spPr bwMode="auto">
                          <a:xfrm>
                            <a:off x="2797121" y="3319923"/>
                            <a:ext cx="59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Straight Arrow Connector 346"/>
                        <wps:cNvCnPr/>
                        <wps:spPr bwMode="auto">
                          <a:xfrm>
                            <a:off x="2797121" y="3319923"/>
                            <a:ext cx="0" cy="3144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 name="Straight Arrow Connector 347"/>
                        <wps:cNvCnPr/>
                        <wps:spPr bwMode="auto">
                          <a:xfrm>
                            <a:off x="3387726" y="3319923"/>
                            <a:ext cx="0" cy="3144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Straight Connector 348"/>
                        <wps:cNvCnPr/>
                        <wps:spPr bwMode="auto">
                          <a:xfrm>
                            <a:off x="3085924" y="3015084"/>
                            <a:ext cx="0" cy="304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Straight Connector 349"/>
                        <wps:cNvCnPr/>
                        <wps:spPr bwMode="auto">
                          <a:xfrm>
                            <a:off x="4622335" y="3319923"/>
                            <a:ext cx="59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Straight Arrow Connector 350"/>
                        <wps:cNvCnPr/>
                        <wps:spPr bwMode="auto">
                          <a:xfrm>
                            <a:off x="4622335" y="3319923"/>
                            <a:ext cx="0" cy="3144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Straight Arrow Connector 351"/>
                        <wps:cNvCnPr/>
                        <wps:spPr bwMode="auto">
                          <a:xfrm>
                            <a:off x="5212840" y="3319923"/>
                            <a:ext cx="0" cy="3144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Straight Connector 352"/>
                        <wps:cNvCnPr/>
                        <wps:spPr bwMode="auto">
                          <a:xfrm>
                            <a:off x="4885137" y="3015084"/>
                            <a:ext cx="0" cy="3048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Straight Arrow Connector 353"/>
                        <wps:cNvCnPr/>
                        <wps:spPr bwMode="auto">
                          <a:xfrm>
                            <a:off x="2787621" y="3881995"/>
                            <a:ext cx="0" cy="2114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Straight Arrow Connector 354"/>
                        <wps:cNvCnPr/>
                        <wps:spPr bwMode="auto">
                          <a:xfrm flipH="1">
                            <a:off x="3369526" y="3881995"/>
                            <a:ext cx="100" cy="2114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0" name="Straight Arrow Connector 355"/>
                        <wps:cNvCnPr/>
                        <wps:spPr bwMode="auto">
                          <a:xfrm>
                            <a:off x="4622235" y="3881995"/>
                            <a:ext cx="0" cy="2114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1" name="Straight Arrow Connector 356"/>
                        <wps:cNvCnPr/>
                        <wps:spPr bwMode="auto">
                          <a:xfrm flipH="1">
                            <a:off x="5216940" y="3881995"/>
                            <a:ext cx="0" cy="2114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Straight Connector 357"/>
                        <wps:cNvCnPr/>
                        <wps:spPr bwMode="auto">
                          <a:xfrm>
                            <a:off x="3081324" y="1324069"/>
                            <a:ext cx="18129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Straight Arrow Connector 358"/>
                        <wps:cNvCnPr/>
                        <wps:spPr bwMode="auto">
                          <a:xfrm>
                            <a:off x="3072724" y="1324069"/>
                            <a:ext cx="0" cy="1419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Straight Arrow Connector 359"/>
                        <wps:cNvCnPr/>
                        <wps:spPr bwMode="auto">
                          <a:xfrm>
                            <a:off x="4894238" y="1324069"/>
                            <a:ext cx="4800" cy="1419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5" name="Straight Connector 360"/>
                        <wps:cNvCnPr/>
                        <wps:spPr bwMode="auto">
                          <a:xfrm>
                            <a:off x="4052231" y="1101540"/>
                            <a:ext cx="5400" cy="222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Straight Arrow Connector 361"/>
                        <wps:cNvCnPr/>
                        <wps:spPr bwMode="auto">
                          <a:xfrm>
                            <a:off x="4049031" y="645982"/>
                            <a:ext cx="3200" cy="2085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Text Box 123"/>
                        <wps:cNvSpPr txBox="1">
                          <a:spLocks noChangeArrowheads="1"/>
                        </wps:cNvSpPr>
                        <wps:spPr bwMode="auto">
                          <a:xfrm>
                            <a:off x="1758513" y="1878039"/>
                            <a:ext cx="2169217" cy="416853"/>
                          </a:xfrm>
                          <a:prstGeom prst="rect">
                            <a:avLst/>
                          </a:prstGeom>
                          <a:solidFill>
                            <a:srgbClr val="FFFFFF"/>
                          </a:solidFill>
                          <a:ln w="6350">
                            <a:solidFill>
                              <a:srgbClr val="000000"/>
                            </a:solidFill>
                            <a:miter lim="800000"/>
                            <a:headEnd/>
                            <a:tailEnd/>
                          </a:ln>
                        </wps:spPr>
                        <wps:txbx>
                          <w:txbxContent>
                            <w:p w:rsidR="00C81E3C" w:rsidRDefault="00C81E3C" w:rsidP="00FC3E0D">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Clinical assessment, test for vitamin D,</w:t>
                              </w:r>
                            </w:p>
                            <w:p w:rsidR="00C81E3C" w:rsidRPr="00FC3E0D" w:rsidRDefault="00C81E3C" w:rsidP="00FC3E0D">
                              <w:pPr>
                                <w:pStyle w:val="NormalWeb"/>
                                <w:spacing w:before="0" w:beforeAutospacing="0" w:after="0" w:afterAutospacing="0" w:line="276" w:lineRule="auto"/>
                                <w:jc w:val="center"/>
                                <w:rPr>
                                  <w:rFonts w:ascii="Arial Narrow" w:hAnsi="Arial Narrow"/>
                                  <w:sz w:val="18"/>
                                  <w:szCs w:val="18"/>
                                </w:rP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wps:txbx>
                        <wps:bodyPr rot="0" vert="horz" wrap="none" lIns="91440" tIns="45720" rIns="91440" bIns="45720" anchor="t" anchorCtr="0" upright="1">
                          <a:noAutofit/>
                        </wps:bodyPr>
                      </wps:wsp>
                      <wps:wsp>
                        <wps:cNvPr id="118" name="Text Box 123"/>
                        <wps:cNvSpPr txBox="1">
                          <a:spLocks noChangeArrowheads="1"/>
                        </wps:cNvSpPr>
                        <wps:spPr bwMode="auto">
                          <a:xfrm>
                            <a:off x="4146832" y="1876939"/>
                            <a:ext cx="2169117" cy="416053"/>
                          </a:xfrm>
                          <a:prstGeom prst="rect">
                            <a:avLst/>
                          </a:prstGeom>
                          <a:solidFill>
                            <a:srgbClr val="FFFFFF"/>
                          </a:solidFill>
                          <a:ln w="6350">
                            <a:solidFill>
                              <a:srgbClr val="000000"/>
                            </a:solidFill>
                            <a:miter lim="800000"/>
                            <a:headEnd/>
                            <a:tailEnd/>
                          </a:ln>
                        </wps:spPr>
                        <wps:txbx>
                          <w:txbxContent>
                            <w:p w:rsidR="00C81E3C" w:rsidRDefault="00C81E3C" w:rsidP="00FC3E0D">
                              <w:pPr>
                                <w:pStyle w:val="NormalWeb"/>
                                <w:spacing w:before="0" w:beforeAutospacing="0" w:after="0" w:afterAutospacing="0" w:line="276" w:lineRule="auto"/>
                                <w:jc w:val="center"/>
                              </w:pPr>
                              <w:r>
                                <w:rPr>
                                  <w:rFonts w:ascii="Arial Narrow" w:hAnsi="Arial Narrow"/>
                                  <w:sz w:val="18"/>
                                  <w:szCs w:val="18"/>
                                </w:rPr>
                                <w:t>Clinical assessment, test for vitamin D,</w:t>
                              </w:r>
                            </w:p>
                            <w:p w:rsidR="00C81E3C" w:rsidRDefault="00C81E3C" w:rsidP="00FC3E0D">
                              <w:pPr>
                                <w:pStyle w:val="NormalWeb"/>
                                <w:spacing w:before="0" w:beforeAutospacing="0" w:after="0" w:afterAutospacing="0" w:line="276" w:lineRule="auto"/>
                                <w:jc w:val="cente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wps:txbx>
                        <wps:bodyPr rot="0" vert="horz" wrap="none" lIns="91440" tIns="45720" rIns="91440" bIns="45720" anchor="t" anchorCtr="0" upright="1">
                          <a:noAutofit/>
                        </wps:bodyPr>
                      </wps:wsp>
                      <wps:wsp>
                        <wps:cNvPr id="119" name="Text Box 123"/>
                        <wps:cNvSpPr txBox="1">
                          <a:spLocks noChangeArrowheads="1"/>
                        </wps:cNvSpPr>
                        <wps:spPr bwMode="auto">
                          <a:xfrm>
                            <a:off x="6040546" y="354645"/>
                            <a:ext cx="2775621" cy="499764"/>
                          </a:xfrm>
                          <a:prstGeom prst="rect">
                            <a:avLst/>
                          </a:prstGeom>
                          <a:solidFill>
                            <a:srgbClr val="FFFFFF"/>
                          </a:solidFill>
                          <a:ln w="6350">
                            <a:solidFill>
                              <a:srgbClr val="000000"/>
                            </a:solidFill>
                            <a:miter lim="800000"/>
                            <a:headEnd/>
                            <a:tailEnd/>
                          </a:ln>
                        </wps:spPr>
                        <wps:txbx>
                          <w:txbxContent>
                            <w:p w:rsidR="00C81E3C" w:rsidRDefault="00C81E3C" w:rsidP="00FC3E0D">
                              <w:pPr>
                                <w:pStyle w:val="NormalWeb"/>
                                <w:spacing w:before="0" w:beforeAutospacing="0" w:after="0" w:afterAutospacing="0" w:line="276" w:lineRule="auto"/>
                              </w:pPr>
                              <w:r>
                                <w:rPr>
                                  <w:rFonts w:ascii="Arial Narrow" w:hAnsi="Arial Narrow"/>
                                  <w:color w:val="000000"/>
                                  <w:sz w:val="16"/>
                                  <w:szCs w:val="16"/>
                                  <w:lang w:val="en-US"/>
                                </w:rPr>
                                <w:t>Notes: MTF: minimal trauma fracture</w:t>
                              </w:r>
                            </w:p>
                            <w:p w:rsidR="00C81E3C" w:rsidRDefault="00C81E3C" w:rsidP="00FC3E0D">
                              <w:pPr>
                                <w:pStyle w:val="NormalWeb"/>
                                <w:spacing w:before="0" w:beforeAutospacing="0" w:after="0" w:afterAutospacing="0" w:line="276" w:lineRule="auto"/>
                              </w:pPr>
                              <w:r>
                                <w:rPr>
                                  <w:rFonts w:ascii="Arial Narrow" w:hAnsi="Arial Narrow"/>
                                  <w:color w:val="000000"/>
                                  <w:sz w:val="16"/>
                                  <w:szCs w:val="16"/>
                                  <w:lang w:val="en-US"/>
                                </w:rPr>
                                <w:t>(a) Exercise, sunshine, general bone health awareness</w:t>
                              </w:r>
                            </w:p>
                            <w:p w:rsidR="00C81E3C" w:rsidRDefault="00C81E3C" w:rsidP="00FC3E0D">
                              <w:pPr>
                                <w:pStyle w:val="NormalWeb"/>
                                <w:spacing w:before="0" w:beforeAutospacing="0" w:after="0" w:afterAutospacing="0" w:line="276" w:lineRule="auto"/>
                              </w:pPr>
                              <w:r>
                                <w:rPr>
                                  <w:rFonts w:ascii="Arial Narrow" w:hAnsi="Arial Narrow"/>
                                  <w:color w:val="000000"/>
                                  <w:sz w:val="16"/>
                                  <w:szCs w:val="16"/>
                                  <w:lang w:val="en-US"/>
                                </w:rPr>
                                <w:t>(b) Calcium (1300mg/day), ensure replete vitamin D status &gt;60nmol/L</w:t>
                              </w:r>
                            </w:p>
                          </w:txbxContent>
                        </wps:txbx>
                        <wps:bodyPr rot="0" vert="horz" wrap="square" lIns="91440" tIns="45720" rIns="91440" bIns="45720" anchor="t" anchorCtr="0" upright="1">
                          <a:spAutoFit/>
                        </wps:bodyPr>
                      </wps:wsp>
                    </wpc:wpc>
                  </a:graphicData>
                </a:graphic>
              </wp:inline>
            </w:drawing>
          </mc:Choice>
          <mc:Fallback>
            <w:pict>
              <v:group id="Canvas 105" o:spid="_x0000_s1126" editas="canvas" alt="Title: Current clinical management algorithm for osteoporosis management of HIV patients - Description: Current clinical management algorithm for osteoporosis management of HIV patients" style="width:770.25pt;height:410.95pt;mso-position-horizontal-relative:char;mso-position-vertical-relative:line" coordsize="97821,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">
                <v:shape id="_x0000_s1127" type="#_x0000_t75" alt="Current clinical management algorithm for osteoporosis management of HIV patients" style="position:absolute;width:97821;height:52190;visibility:visible;mso-wrap-style:square">
                  <v:fill o:detectmouseclick="t"/>
                  <v:path o:connecttype="none"/>
                </v:shape>
                <v:shape id="Text Box 282" o:spid="_x0000_s1128" type="#_x0000_t202" style="position:absolute;left:4489;width:55918;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yScIA&#10;AADbAAAADwAAAGRycy9kb3ducmV2LnhtbESPzWrDMBCE74W8g9hCbrWcNITgWAklUMip0PydF2tr&#10;mVorI6mxnaePCoEch5n5him3g23FlXxoHCuYZTkI4srphmsFp+Pn2wpEiMgaW8ekYKQA283kpcRC&#10;u56/6XqItUgQDgUqMDF2hZShMmQxZK4jTt6P8xZjkr6W2mOf4LaV8zxfSosNpwWDHe0MVb+HP6vg&#10;Utvb5TzrvNG2XfDXbTyeXKPU9HX4WIOINMRn+NHeawWrd/j/k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JJwgAAANsAAAAPAAAAAAAAAAAAAAAAAJgCAABkcnMvZG93&#10;bnJldi54bWxQSwUGAAAAAAQABAD1AAAAhwMAAAAA&#10;" stroked="f" strokeweight=".5pt">
                  <v:textbox>
                    <w:txbxContent>
                      <w:p w:rsidR="00C81E3C" w:rsidRDefault="00C81E3C" w:rsidP="009B51C0">
                        <w:pPr>
                          <w:pStyle w:val="Caption"/>
                          <w:spacing w:after="0"/>
                          <w:ind w:left="1440" w:hanging="1440"/>
                        </w:pPr>
                        <w:r>
                          <w:t>Figure 2</w:t>
                        </w:r>
                        <w:r>
                          <w:tab/>
                        </w:r>
                        <w:proofErr w:type="gramStart"/>
                        <w:r w:rsidRPr="00AA3219">
                          <w:t>C</w:t>
                        </w:r>
                        <w:r>
                          <w:t>urrent c</w:t>
                        </w:r>
                        <w:r w:rsidRPr="00AA3219">
                          <w:t>linical management algorithm</w:t>
                        </w:r>
                        <w:proofErr w:type="gramEnd"/>
                        <w:r>
                          <w:t xml:space="preserve"> </w:t>
                        </w:r>
                        <w:r w:rsidR="00FF3C23">
                          <w:t>for</w:t>
                        </w:r>
                        <w:r>
                          <w:t xml:space="preserve"> osteoporosis management of</w:t>
                        </w:r>
                        <w:r w:rsidRPr="00AA3219">
                          <w:t xml:space="preserve"> </w:t>
                        </w:r>
                        <w:r>
                          <w:t>HIV patients</w:t>
                        </w:r>
                      </w:p>
                    </w:txbxContent>
                  </v:textbox>
                </v:shape>
                <v:shape id="Text Box 123" o:spid="_x0000_s1129" type="#_x0000_t202" style="position:absolute;left:36286;top:3983;width:8408;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rkcUA&#10;AADbAAAADwAAAGRycy9kb3ducmV2LnhtbESPQWvCQBSE70L/w/IKvYjZWEQkdROKWBQPBW3r+bn7&#10;moRm38bsVqO/3i0IPQ4z8w0zL3rbiBN1vnasYJykIIi1MzWXCj4/3kYzED4gG2wck4ILeSjyh8Ec&#10;M+POvKXTLpQiQthnqKAKoc2k9Loiiz5xLXH0vl1nMUTZldJ0eI5w28jnNJ1KizXHhQpbWlSkf3a/&#10;VsFqcxhfN19LvTryoZHb/VDbxbtST4/96wuIQH34D9/ba6NgNoG/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CuR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30" type="#_x0000_t202" style="position:absolute;left:25791;top:26041;width:10154;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SOCsUA&#10;AADbAAAADwAAAGRycy9kb3ducmV2LnhtbESPQWvCQBSE70L/w/IKvYjZWFAkdROKWBQPBW3r+bn7&#10;moRm38bsVqO/3i0IPQ4z8w0zL3rbiBN1vnasYJykIIi1MzWXCj4/3kYzED4gG2wck4ILeSjyh8Ec&#10;M+POvKXTLpQiQthnqKAKoc2k9Loiiz5xLXH0vl1nMUTZldJ0eI5w28jnNJ1KizXHhQpbWlSkf3a/&#10;VsFqcxhfN19LvTryoZHb/VDbxbtST4/96wuIQH34D9/ba6NgNoG/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I4K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Lifestyle advice (a)</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 (b)</w:t>
                        </w:r>
                      </w:p>
                    </w:txbxContent>
                  </v:textbox>
                </v:shape>
                <v:shape id="Text Box 123" o:spid="_x0000_s1131" type="#_x0000_t202" style="position:absolute;left:24892;top:40966;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QfcUA&#10;AADbAAAADwAAAGRycy9kb3ducmV2LnhtbESPzWrDMBCE74W8g9hALyWR3UMIjpVQQopLDoX8ntfS&#10;xja1Vo6lJm6fvioUehxm5hsmXw22FTfqfeNYQTpNQBBrZxquFBwPr5M5CB+QDbaOScEXeVgtRw85&#10;ZsbdeUe3fahEhLDPUEEdQpdJ6XVNFv3UdcTRu7jeYoiyr6Tp8R7htpXPSTKTFhuOCzV2tK5Jf+w/&#10;rYJiW6bf29NGF1cuW7k7P2m7flfqcTy8LEAEGsJ/+K/9ZhTMZ/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hB9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2" type="#_x0000_t202" style="position:absolute;left:31940;top:36343;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15sUA&#10;AADbAAAADwAAAGRycy9kb3ducmV2LnhtbESPQWvCQBSE70L/w/IKvYjZ2INK6iYUsSgeCtrW83P3&#10;NQnNvo3ZrUZ/vVsQehxm5htmXvS2ESfqfO1YwThJQRBrZ2ouFXx+vI1mIHxANtg4JgUX8lDkD4M5&#10;ZsadeUunXShFhLDPUEEVQptJ6XVFFn3iWuLofbvOYoiyK6Xp8BzhtpHPaTqRFmuOCxW2tKhI/+x+&#10;rYLV5jC+br6WenXkQyO3+6G2i3elnh771xcQgfrwH76310bBb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rXm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33" type="#_x0000_t202" style="position:absolute;left:26098;top:36343;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hlMEA&#10;AADbAAAADwAAAGRycy9kb3ducmV2LnhtbERPy4rCMBTdC/MP4Q7MRjR1FiIdo4goDi4EX7O+Ta5t&#10;sbmpTdSOX28WgsvDeY+nra3EjRpfOlYw6CcgiLUzJecKDvtlbwTCB2SDlWNS8E8eppOPzhhT4+68&#10;pdsu5CKGsE9RQRFCnUrpdUEWfd/VxJE7ucZiiLDJpWnwHsNtJb+TZCgtlhwbCqxpXpA+765WwWqd&#10;DR7r40KvLpxVcvvX1Xa+Uerrs539gAjUhrf45f41CkZxbP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IZTBAAAA2wAAAA8AAAAAAAAAAAAAAAAAmAIAAGRycy9kb3du&#10;cmV2LnhtbFBLBQYAAAAABAAEAPUAAACG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34" type="#_x0000_t202" style="position:absolute;left:31940;top:40966;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ED8UA&#10;AADbAAAADwAAAGRycy9kb3ducmV2LnhtbESPQWvCQBSE70L/w/IKvYjZ2IPY1E0oYlE8FLSt5+fu&#10;axKafRuzW43+ercgeBxm5htmVvS2EUfqfO1YwThJQRBrZ2ouFXx9vo+mIHxANtg4JgVn8lDkD4MZ&#10;ZsadeEPHbShFhLDPUEEVQptJ6XVFFn3iWuLo/bjOYoiyK6Xp8BThtpHPaTqRFmuOCxW2NK9I/27/&#10;rILlej++rL8XenngfSM3u6G28w+lnh77t1cQgfpwD9/aK6Ng+gL/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YQP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35" type="#_x0000_t202" style="position:absolute;left:47234;top:14659;width:3511;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7T8MA&#10;AADbAAAADwAAAGRycy9kb3ducmV2LnhtbERPy2rCQBTdF/yH4QpuSjPRhdjUUYpUFBcF7WN9M3Ob&#10;hGbupJkxiX59ZyG4PJz3cj3YWnTU+sqxgmmSgiDWzlRcKPj82D4tQPiAbLB2TAou5GG9Gj0sMTOu&#10;5yN1p1CIGMI+QwVlCE0mpdclWfSJa4gj9+NaiyHCtpCmxT6G21rO0nQuLVYcG0psaFOS/j2drYLd&#10;IZ9eD19vevfHeS2P34/abt6VmoyH1xcQgYZwF9/ce6PgOa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q7T8MAAADbAAAADwAAAAAAAAAAAAAAAACYAgAAZHJzL2Rv&#10;d25yZXYueG1sUEsFBgAAAAAEAAQA9QAAAIg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36" type="#_x0000_t202" style="position:absolute;left:29267;top:14659;width:3092;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e1MUA&#10;AADbAAAADwAAAGRycy9kb3ducmV2LnhtbESPQWvCQBSE74X+h+UVepG6SQ9io2sooaJ4KKit5+fu&#10;axKafRuzq8b+elcQehxm5htmmve2ESfqfO1YQTpMQBBrZ2ouFXxt5y9jED4gG2wck4ILechnjw9T&#10;zIw785pOm1CKCGGfoYIqhDaT0uuKLPqha4mj9+M6iyHKrpSmw3OE20a+JslIWqw5LlTYUlGR/t0c&#10;rYLFap/+rb4/9OLA+0audwNti0+lnp/69wmIQH34D9/bS6PgLY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h7U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37" type="#_x0000_t202" style="position:absolute;left:37048;top:8545;width:6947;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Ao8QA&#10;AADbAAAADwAAAGRycy9kb3ducmV2LnhtbESPT2sCMRTE7wW/Q3hCL6JZPRRdjSJisXgQ/Ht+Js/d&#10;xc3Lukl166dvCkKPw8z8hpnMGluKO9W+cKyg30tAEGtnCs4UHPaf3SEIH5ANlo5JwQ95mE1bbxNM&#10;jXvwlu67kIkIYZ+igjyEKpXS65ws+p6riKN3cbXFEGWdSVPjI8JtKQdJ8iEtFhwXcqxokZO+7r6t&#10;gtX63H+uj0u9uvG5lNtTR9vFRqn3djMfgwjUhP/wq/1lFIwG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kgKPEAAAA2w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HIV-positive</w:t>
                        </w:r>
                      </w:p>
                    </w:txbxContent>
                  </v:textbox>
                </v:shape>
                <v:shape id="Text Box 123" o:spid="_x0000_s1138" type="#_x0000_t202" style="position:absolute;left:44004;top:26041;width:10154;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lOMYA&#10;AADbAAAADwAAAGRycy9kb3ducmV2LnhtbESPT2vCQBTE74LfYXlCL6KbtFBq6hpELBYPBf+05+fu&#10;axLMvo3ZrUY/fVco9DjMzG+Yad7ZWpyp9ZVjBek4AUGsnam4ULDfvY1eQPiAbLB2TAqu5CGf9XtT&#10;zIy78IbO21CICGGfoYIyhCaT0uuSLPqxa4ij9+1aiyHKtpCmxUuE21o+JsmztFhxXCixoUVJ+rj9&#10;sQpW60N6W38u9erEh1puvobaLj6Uehh081cQgbrwH/5rvxsFk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glOM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Lifestyle advice (a)</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 (b)</w:t>
                        </w:r>
                      </w:p>
                    </w:txbxContent>
                  </v:textbox>
                </v:shape>
                <v:shape id="Text Box 123" o:spid="_x0000_s1139" type="#_x0000_t202" style="position:absolute;left:43365;top:40966;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9TMYA&#10;AADbAAAADwAAAGRycy9kb3ducmV2LnhtbESPT2vCQBTE74LfYXlCL6KblFJq6hpELBYPBf+05+fu&#10;axLMvo3ZrUY/fVco9DjMzG+Yad7ZWpyp9ZVjBek4AUGsnam4ULDfvY1eQPiAbLB2TAqu5CGf9XtT&#10;zIy78IbO21CICGGfoYIyhCaT0uuSLPqxa4ij9+1aiyHKtpCmxUuE21o+JsmztFhxXCixoUVJ+rj9&#10;sQpW60N6W38u9erEh1puvobaLj6Uehh081cQgbrwH/5rvxsFk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G9TM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40" type="#_x0000_t202" style="position:absolute;left:50414;top:36343;width:3511;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Y18YA&#10;AADbAAAADwAAAGRycy9kb3ducmV2LnhtbESPT2vCQBTE74LfYXlCL6KbFFpq6hpELBYPBf+05+fu&#10;axLMvo3ZrUY/fVco9DjMzG+Yad7ZWpyp9ZVjBek4AUGsnam4ULDfvY1eQPiAbLB2TAqu5CGf9XtT&#10;zIy78IbO21CICGGfoYIyhCaT0uuSLPqxa4ij9+1aiyHKtpCmxUuE21o+JsmztFhxXCixoUVJ+rj9&#10;sQpW60N6W38u9erEh1puvobaLj6Uehh081cQgbrwH/5rvxsFk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0Y18YAAADbAAAADwAAAAAAAAAAAAAAAACYAgAAZHJz&#10;L2Rvd25yZXYueG1sUEsFBgAAAAAEAAQA9QAAAIs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41" type="#_x0000_t202" style="position:absolute;left:44572;top:36343;width:309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oMUA&#10;AADbAAAADwAAAGRycy9kb3ducmV2LnhtbESPQWvCQBSE7wX/w/IEL0U39iA1zUZEWhQPgtp6fu6+&#10;JsHs2zS7avTXdwtCj8PMfMNks87W4kKtrxwrGI8SEMTamYoLBZ/7j+ErCB+QDdaOScGNPMzy3lOG&#10;qXFX3tJlFwoRIexTVFCG0KRSel2SRT9yDXH0vl1rMUTZFtK0eI1wW8uXJJlIixXHhRIbWpSkT7uz&#10;VbBcH8f39de7Xv7wsZbbw7O2i41Sg343fwMRqAv/4Ud7ZRRMJ/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4ag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42" type="#_x0000_t202" style="position:absolute;left:50414;top:40966;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O8YA&#10;AADbAAAADwAAAGRycy9kb3ducmV2LnhtbESPT2vCQBTE74LfYXlCL6Kb9NDW1DWIWCweCv5pz8/d&#10;1ySYfRuzW41++q5Q6HGYmd8w07yztThT6yvHCtJxAoJYO1NxoWC/exu9gPAB2WDtmBRcyUM+6/em&#10;mBl34Q2dt6EQEcI+QwVlCE0mpdclWfRj1xBH79u1FkOUbSFNi5cIt7V8TJInabHiuFBiQ4uS9HH7&#10;YxWs1of0tv5c6tWJD7XcfA21XXwo9TDo5q8gAnXhP/zXfjcKJs9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jO8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343" o:spid="_x0000_s1143" type="#_x0000_t32" style="position:absolute;left:30813;top:17130;width:55;height:8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iVcEAAADbAAAADwAAAGRycy9kb3ducmV2LnhtbERPy4rCMBTdD/gP4QqzGTS1Mj6qUUQY&#10;Z8CVD3B7aW6bYnNTmkzt/P1kIbg8nPd629tadNT6yrGCyTgBQZw7XXGp4Hr5Gi1A+ICssXZMCv7I&#10;w3YzeFtjpt2DT9SdQyliCPsMFZgQmkxKnxuy6MeuIY5c4VqLIcK2lLrFRwy3tUyTZCYtVhwbDDa0&#10;N5Tfz79WQZFqmnzcb+Z7/onF/jhNu64+KPU+7HcrEIH68BI/3T9awTK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yuJVwQAAANsAAAAPAAAAAAAAAAAAAAAA&#10;AKECAABkcnMvZG93bnJldi54bWxQSwUGAAAAAAQABAD5AAAAjwMAAAAA&#10;">
                  <v:stroke endarrow="open"/>
                </v:shape>
                <v:shape id="Straight Arrow Connector 344" o:spid="_x0000_s1144" type="#_x0000_t32" style="position:absolute;left:48990;top:17130;width:91;height:8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HzsQAAADbAAAADwAAAGRycy9kb3ducmV2LnhtbESPQWvCQBSE70L/w/IKvZS6MaW2pm5E&#10;hFrBk1ro9ZF9yYZk34bsGuO/7xYEj8PMfMMsV6NtxUC9rx0rmE0TEMSF0zVXCn5OXy8fIHxA1tg6&#10;JgVX8rDKHyZLzLS78IGGY6hEhLDPUIEJocuk9IUhi37qOuLola63GKLsK6l7vES4bWWaJHNpsea4&#10;YLCjjaGiOZ6tgjLVNHtufs33+xuWm/1rOgztVqmnx3H9CSLQGO7hW3unFSw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kfOxAAAANsAAAAPAAAAAAAAAAAA&#10;AAAAAKECAABkcnMvZG93bnJldi54bWxQSwUGAAAAAAQABAD5AAAAkgMAAAAA&#10;">
                  <v:stroke endarrow="open"/>
                </v:shape>
                <v:line id="Straight Connector 345" o:spid="_x0000_s1145" style="position:absolute;visibility:visible;mso-wrap-style:square" from="27971,33199" to="33877,3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Straight Arrow Connector 346" o:spid="_x0000_s1146" type="#_x0000_t32" style="position:absolute;left:27971;top:3319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22MIAAADcAAAADwAAAGRycy9kb3ducmV2LnhtbERPTWvCQBC9C/0Pywi9iG6S0ioxqxTB&#10;ttBTVfA6ZCfZkOxsyK4x/ffdQqG3ebzPKfaT7cRIg28cK0hXCQji0umGawWX83G5AeEDssbOMSn4&#10;Jg/73cOswFy7O3/ReAq1iCHsc1RgQuhzKX1pyKJfuZ44cpUbLIYIh1rqAe8x3HYyS5IXabHh2GCw&#10;p4Ohsj3drIIq05Qu2qt5Xz9jdfh8ysaxe1PqcT69bkEEmsK/+M/9oeP8J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T22MIAAADcAAAADwAAAAAAAAAAAAAA&#10;AAChAgAAZHJzL2Rvd25yZXYueG1sUEsFBgAAAAAEAAQA+QAAAJADAAAAAA==&#10;">
                  <v:stroke endarrow="open"/>
                </v:shape>
                <v:shape id="Straight Arrow Connector 347" o:spid="_x0000_s1147" type="#_x0000_t32" style="position:absolute;left:33877;top:3319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line id="Straight Connector 348" o:spid="_x0000_s1148" style="position:absolute;visibility:visible;mso-wrap-style:square" from="30859,30150" to="30859,3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Straight Connector 349" o:spid="_x0000_s1149" style="position:absolute;visibility:visible;mso-wrap-style:square" from="46223,33199" to="52128,3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Straight Arrow Connector 350" o:spid="_x0000_s1150" type="#_x0000_t32" style="position:absolute;left:46223;top:3319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28IAAADcAAAADwAAAGRycy9kb3ducmV2LnhtbERPTWvCQBC9C/0PyxS8SN2Yoi2pGxFB&#10;W/CkFnodspNsSHY2ZNcY/323UPA2j/c5681oWzFQ72vHChbzBARx4XTNlYLvy/7lHYQPyBpbx6Tg&#10;Th42+dNkjZl2Nz7RcA6ViCHsM1RgQugyKX1hyKKfu444cqXrLYYI+0rqHm8x3LYyTZKVtFhzbDDY&#10;0c5Q0ZyvVkGZalrMmh/z+bbEcnd8TYehPSg1fR63HyACjeEh/nd/6Tg/WcLf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28IAAADcAAAADwAAAAAAAAAAAAAA&#10;AAChAgAAZHJzL2Rvd25yZXYueG1sUEsFBgAAAAAEAAQA+QAAAJADAAAAAA==&#10;">
                  <v:stroke endarrow="open"/>
                </v:shape>
                <v:shape id="Straight Arrow Connector 351" o:spid="_x0000_s1151" type="#_x0000_t32" style="position:absolute;left:52128;top:33199;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1urMIAAADcAAAADwAAAGRycy9kb3ducmV2LnhtbERPS4vCMBC+L+x/CCN4WTS1srpUoyzC&#10;qrAnH7DXoZk2xWZSmmyt/94Igrf5+J6zXPe2Fh21vnKsYDJOQBDnTldcKjiffkZfIHxA1lg7JgU3&#10;8rBevb8tMdPuygfqjqEUMYR9hgpMCE0mpc8NWfRj1xBHrnCtxRBhW0rd4jWG21qmSTKTFiuODQYb&#10;2hjKL8d/q6BINU0+Ln9mN//EYvM7Tbuu3io1HPTfCxCB+vASP917HecnM3g8Ey+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1urMIAAADcAAAADwAAAAAAAAAAAAAA&#10;AAChAgAAZHJzL2Rvd25yZXYueG1sUEsFBgAAAAAEAAQA+QAAAJADAAAAAA==&#10;">
                  <v:stroke endarrow="open"/>
                </v:shape>
                <v:line id="Straight Connector 352" o:spid="_x0000_s1152" style="position:absolute;visibility:visible;mso-wrap-style:square" from="48851,30150" to="48851,33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shape id="Straight Arrow Connector 353" o:spid="_x0000_s1153" type="#_x0000_t32" style="position:absolute;left:27876;top:3881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fRcUAAADcAAAADwAAAGRycy9kb3ducmV2LnhtbESPQWvCQBCF70L/wzKFXkQ3ptiW1FWK&#10;0Cp40ha8DtlJNpidDdltTP+9cyh4m+G9ee+b1Wb0rRqoj01gA4t5Boq4DLbh2sDP9+fsDVRMyBbb&#10;wGTgjyJs1g+TFRY2XPlIwynVSkI4FmjApdQVWsfSkcc4Dx2xaFXoPSZZ+1rbHq8S7ludZ9mL9tiw&#10;NDjsaOuovJx+vYEqt7SYXs5u97rEant4zoeh/TLm6XH8eAeVaEx38//13gp+J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fRcUAAADcAAAADwAAAAAAAAAA&#10;AAAAAAChAgAAZHJzL2Rvd25yZXYueG1sUEsFBgAAAAAEAAQA+QAAAJMDAAAAAA==&#10;">
                  <v:stroke endarrow="open"/>
                </v:shape>
                <v:shape id="Straight Arrow Connector 354" o:spid="_x0000_s1154" type="#_x0000_t32" style="position:absolute;left:33695;top:38819;width:1;height:2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xJKsMAAADcAAAADwAAAGRycy9kb3ducmV2LnhtbERPTWsCMRC9F/wPYQQvRZNaKLoaRQqC&#10;lIJovXgbNrObxc1k3cR17a9vCoXe5vE+Z7nuXS06akPlWcPLRIEgzr2puNRw+tqOZyBCRDZYeyYN&#10;DwqwXg2elpgZf+cDdcdYihTCIUMNNsYmkzLklhyGiW+IE1f41mFMsC2lafGewl0tp0q9SYcVpwaL&#10;Db1byi/Hm9PwfDhXZVHcPh/h9Xs/Ux/7q807rUfDfrMAEamP/+I/986k+WoOv8+kC+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8SSrDAAAA3AAAAA8AAAAAAAAAAAAA&#10;AAAAoQIAAGRycy9kb3ducmV2LnhtbFBLBQYAAAAABAAEAPkAAACRAwAAAAA=&#10;">
                  <v:stroke endarrow="open"/>
                </v:shape>
                <v:shape id="Straight Arrow Connector 355" o:spid="_x0000_s1155" type="#_x0000_t32" style="position:absolute;left:46222;top:3881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HFns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P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HFnsUAAADcAAAADwAAAAAAAAAA&#10;AAAAAAChAgAAZHJzL2Rvd25yZXYueG1sUEsFBgAAAAAEAAQA+QAAAJMDAAAAAA==&#10;">
                  <v:stroke endarrow="open"/>
                </v:shape>
                <v:shape id="Straight Arrow Connector 356" o:spid="_x0000_s1156" type="#_x0000_t32" style="position:absolute;left:52169;top:38819;width:0;height:2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T8cMAAADcAAAADwAAAGRycy9kb3ducmV2LnhtbERPS4vCMBC+C/sfwgheZE2rIFKNIgsL&#10;yyKIj8vehmbaFJtJt4m1+uvNwoK3+fies9r0thYdtb5yrCCdJCCIc6crLhWcT5/vCxA+IGusHZOC&#10;O3nYrN8GK8y0u/GBumMoRQxhn6ECE0KTSelzQxb9xDXEkStcazFE2JZSt3iL4baW0ySZS4sVxwaD&#10;DX0Yyi/Hq1UwPvxUZVFcd3c/e+wXyff+1+SdUqNhv12CCNSHl/jf/aXj/DSFv2fiBX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T0/HDAAAA3AAAAA8AAAAAAAAAAAAA&#10;AAAAoQIAAGRycy9kb3ducmV2LnhtbFBLBQYAAAAABAAEAPkAAACRAwAAAAA=&#10;">
                  <v:stroke endarrow="open"/>
                </v:shape>
                <v:line id="Straight Connector 357" o:spid="_x0000_s1157" style="position:absolute;visibility:visible;mso-wrap-style:square" from="30813,13240" to="48942,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shape id="Straight Arrow Connector 358" o:spid="_x0000_s1158" type="#_x0000_t32" style="position:absolute;left:30727;top:13240;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b6cIAAADcAAAADwAAAGRycy9kb3ducmV2LnhtbERPS2vCQBC+F/wPywi9FN0kUpXoKiLU&#10;FnryAV6H7CQbzM6G7Brjv+8WCr3Nx/ec9Xawjeip87VjBek0AUFcOF1zpeBy/pgsQfiArLFxTAqe&#10;5GG7Gb2sMdfuwUfqT6ESMYR9jgpMCG0upS8MWfRT1xJHrnSdxRBhV0nd4SOG20ZmSTKXFmuODQZb&#10;2hsqbqe7VVBmmtK329V8Lt6x3H/Psr5vDkq9jofdCkSgIfyL/9xfOs5PZ/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Nb6cIAAADcAAAADwAAAAAAAAAAAAAA&#10;AAChAgAAZHJzL2Rvd25yZXYueG1sUEsFBgAAAAAEAAQA+QAAAJADAAAAAA==&#10;">
                  <v:stroke endarrow="open"/>
                </v:shape>
                <v:shape id="Straight Arrow Connector 359" o:spid="_x0000_s1159" type="#_x0000_t32" style="position:absolute;left:48942;top:13240;width:48;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DncIAAADcAAAADwAAAGRycy9kb3ducmV2LnhtbERPTWvCQBC9F/wPywi9FN0ktirRVYrQ&#10;WvBUFbwO2Uk2mJ0N2W1M/70rFHqbx/uc9Xawjeip87VjBek0AUFcOF1zpeB8+pgsQfiArLFxTAp+&#10;ycN2M3paY67djb+pP4ZKxBD2OSowIbS5lL4wZNFPXUscudJ1FkOEXSV1h7cYbhuZJclcWqw5Nhhs&#10;aWeouB5/rIIy05S+XC9mv3jDcneYZX3ffCr1PB7eVyACDeFf/Of+0nF++gqPZ+IF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rDncIAAADcAAAADwAAAAAAAAAAAAAA&#10;AAChAgAAZHJzL2Rvd25yZXYueG1sUEsFBgAAAAAEAAQA+QAAAJADAAAAAA==&#10;">
                  <v:stroke endarrow="open"/>
                </v:shape>
                <v:line id="Straight Connector 360" o:spid="_x0000_s1160" style="position:absolute;visibility:visible;mso-wrap-style:square" from="40522,11015" to="40576,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shape id="Straight Arrow Connector 361" o:spid="_x0000_s1161" type="#_x0000_t32" style="position:absolute;left:40490;top:6459;width:32;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4ccIAAADcAAAADwAAAGRycy9kb3ducmV2LnhtbERPS2vCQBC+F/wPywheim6SUpXoKiLU&#10;FnryAV6H7CQbzM6G7DbGf+8WCr3Nx/ec9Xawjeip87VjBeksAUFcOF1zpeBy/pguQfiArLFxTAoe&#10;5GG7Gb2sMdfuzkfqT6ESMYR9jgpMCG0upS8MWfQz1xJHrnSdxRBhV0nd4T2G20ZmSTKXFmuODQZb&#10;2hsqbqcfq6DMNKWvt6v5XLxjuf9+y/q+OSg1GQ+7FYhAQ/gX/7m/dJyfzu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T4ccIAAADcAAAADwAAAAAAAAAAAAAA&#10;AAChAgAAZHJzL2Rvd25yZXYueG1sUEsFBgAAAAAEAAQA+QAAAJADAAAAAA==&#10;">
                  <v:stroke endarrow="open"/>
                </v:shape>
                <v:shape id="Text Box 123" o:spid="_x0000_s1162" type="#_x0000_t202" style="position:absolute;left:17585;top:18780;width:21692;height:4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hP8MA&#10;AADcAAAADwAAAGRycy9kb3ducmV2LnhtbERPTWsCMRC9C/6HMIKXotn10MpqFBGLxYOgVc9jMu4u&#10;bibbTapbf31TKHibx/uc6by1lbhR40vHCtJhAoJYO1NyruDw+T4Yg/AB2WDlmBT8kIf5rNuZYmbc&#10;nXd024dcxBD2GSooQqgzKb0uyKIfupo4chfXWAwRNrk0Dd5juK3kKElepcWSY0OBNS0L0tf9t1Ww&#10;3pzTx+a40usvPldyd3rRdrlVqt9rFxMQgdrwFP+7P0ycn77B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whP8MAAADcAAAADwAAAAAAAAAAAAAAAACYAgAAZHJzL2Rv&#10;d25yZXYueG1sUEsFBgAAAAAEAAQA9QAAAIgDAAAAAA==&#10;" strokeweight=".5pt">
                  <v:textbox>
                    <w:txbxContent>
                      <w:p w:rsidR="00C81E3C" w:rsidRDefault="00C81E3C" w:rsidP="00FC3E0D">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Clinical assessment, test for vitamin D,</w:t>
                        </w:r>
                      </w:p>
                      <w:p w:rsidR="00C81E3C" w:rsidRPr="00FC3E0D" w:rsidRDefault="00C81E3C" w:rsidP="00FC3E0D">
                        <w:pPr>
                          <w:pStyle w:val="NormalWeb"/>
                          <w:spacing w:before="0" w:beforeAutospacing="0" w:after="0" w:afterAutospacing="0" w:line="276" w:lineRule="auto"/>
                          <w:jc w:val="center"/>
                          <w:rPr>
                            <w:rFonts w:ascii="Arial Narrow" w:hAnsi="Arial Narrow"/>
                            <w:sz w:val="18"/>
                            <w:szCs w:val="18"/>
                          </w:rP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v:textbox>
                </v:shape>
                <v:shape id="Text Box 123" o:spid="_x0000_s1163" type="#_x0000_t202" style="position:absolute;left:41468;top:18769;width:21691;height:41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1TcYA&#10;AADcAAAADwAAAGRycy9kb3ducmV2LnhtbESPT2vCQBDF7wW/wzIFL6KbeCgSXaWIYvFQ0P45j7tj&#10;EszOxuxW0376zqHQ2wzvzXu/Wax636gbdbEObCCfZKCIbXA1lwbe37bjGaiYkB02gcnAN0VYLQcP&#10;CyxcuPOBbsdUKgnhWKCBKqW20DraijzGSWiJRTuHzmOStSu16/Au4b7R0yx70h5rloYKW1pXZC/H&#10;L29gtz/lP/uPjd1d+dTow+fI+vWrMcPH/nkOKlGf/s1/1y9O8HO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O1TcYAAADcAAAADwAAAAAAAAAAAAAAAACYAgAAZHJz&#10;L2Rvd25yZXYueG1sUEsFBgAAAAAEAAQA9QAAAIsDAAAAAA==&#10;" strokeweight=".5pt">
                  <v:textbox>
                    <w:txbxContent>
                      <w:p w:rsidR="00C81E3C" w:rsidRDefault="00C81E3C" w:rsidP="00FC3E0D">
                        <w:pPr>
                          <w:pStyle w:val="NormalWeb"/>
                          <w:spacing w:before="0" w:beforeAutospacing="0" w:after="0" w:afterAutospacing="0" w:line="276" w:lineRule="auto"/>
                          <w:jc w:val="center"/>
                        </w:pPr>
                        <w:r>
                          <w:rPr>
                            <w:rFonts w:ascii="Arial Narrow" w:hAnsi="Arial Narrow"/>
                            <w:sz w:val="18"/>
                            <w:szCs w:val="18"/>
                          </w:rPr>
                          <w:t>Clinical assessment, test for vitamin D,</w:t>
                        </w:r>
                      </w:p>
                      <w:p w:rsidR="00C81E3C" w:rsidRDefault="00C81E3C" w:rsidP="00FC3E0D">
                        <w:pPr>
                          <w:pStyle w:val="NormalWeb"/>
                          <w:spacing w:before="0" w:beforeAutospacing="0" w:after="0" w:afterAutospacing="0" w:line="276" w:lineRule="auto"/>
                          <w:jc w:val="cente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v:textbox>
                </v:shape>
                <v:shape id="Text Box 123" o:spid="_x0000_s1164" type="#_x0000_t202" style="position:absolute;left:60405;top:3546;width:27756;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c+cQA&#10;AADcAAAADwAAAGRycy9kb3ducmV2LnhtbERP22oCMRB9F/yHMIIvpSYrpehqFC9YLBSKthR8Gzfj&#10;7uJmsmyirn/fFAq+zeFcZzpvbSWu1PjSsYZkoEAQZ86UnGv4/to8j0D4gGywckwa7uRhPut2ppga&#10;d+MdXfchFzGEfYoaihDqVEqfFWTRD1xNHLmTayyGCJtcmgZvMdxWcqjUq7RYcmwosKZVQdl5f7Ea&#10;PpdPtUlellV+fF//qA9lwtthrHW/1y4mIAK14SH+d29NnJ+M4e+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wXPnEAAAA3AAAAA8AAAAAAAAAAAAAAAAAmAIAAGRycy9k&#10;b3ducmV2LnhtbFBLBQYAAAAABAAEAPUAAACJAwAAAAA=&#10;" strokeweight=".5pt">
                  <v:textbox style="mso-fit-shape-to-text:t">
                    <w:txbxContent>
                      <w:p w:rsidR="00C81E3C" w:rsidRDefault="00C81E3C" w:rsidP="00FC3E0D">
                        <w:pPr>
                          <w:pStyle w:val="NormalWeb"/>
                          <w:spacing w:before="0" w:beforeAutospacing="0" w:after="0" w:afterAutospacing="0" w:line="276" w:lineRule="auto"/>
                        </w:pPr>
                        <w:r>
                          <w:rPr>
                            <w:rFonts w:ascii="Arial Narrow" w:hAnsi="Arial Narrow"/>
                            <w:color w:val="000000"/>
                            <w:sz w:val="16"/>
                            <w:szCs w:val="16"/>
                            <w:lang w:val="en-US"/>
                          </w:rPr>
                          <w:t>Notes: MTF: minimal trauma fracture</w:t>
                        </w:r>
                      </w:p>
                      <w:p w:rsidR="00C81E3C" w:rsidRDefault="00C81E3C" w:rsidP="00FC3E0D">
                        <w:pPr>
                          <w:pStyle w:val="NormalWeb"/>
                          <w:spacing w:before="0" w:beforeAutospacing="0" w:after="0" w:afterAutospacing="0" w:line="276" w:lineRule="auto"/>
                        </w:pPr>
                        <w:r>
                          <w:rPr>
                            <w:rFonts w:ascii="Arial Narrow" w:hAnsi="Arial Narrow"/>
                            <w:color w:val="000000"/>
                            <w:sz w:val="16"/>
                            <w:szCs w:val="16"/>
                            <w:lang w:val="en-US"/>
                          </w:rPr>
                          <w:t>(a) Exercise, sunshine, general bone health awareness</w:t>
                        </w:r>
                      </w:p>
                      <w:p w:rsidR="00C81E3C" w:rsidRDefault="00C81E3C" w:rsidP="00FC3E0D">
                        <w:pPr>
                          <w:pStyle w:val="NormalWeb"/>
                          <w:spacing w:before="0" w:beforeAutospacing="0" w:after="0" w:afterAutospacing="0" w:line="276" w:lineRule="auto"/>
                        </w:pPr>
                        <w:r>
                          <w:rPr>
                            <w:rFonts w:ascii="Arial Narrow" w:hAnsi="Arial Narrow"/>
                            <w:color w:val="000000"/>
                            <w:sz w:val="16"/>
                            <w:szCs w:val="16"/>
                            <w:lang w:val="en-US"/>
                          </w:rPr>
                          <w:t>(b) Calcium (1300mg/day), ensure replete vitamin D status &gt;60nmol/L</w:t>
                        </w:r>
                      </w:p>
                    </w:txbxContent>
                  </v:textbox>
                </v:shape>
                <w10:anchorlock/>
              </v:group>
            </w:pict>
          </mc:Fallback>
        </mc:AlternateContent>
      </w:r>
      <w:r>
        <w:rPr>
          <w:noProof/>
          <w:lang w:eastAsia="en-AU"/>
        </w:rPr>
        <w:lastRenderedPageBreak/>
        <mc:AlternateContent>
          <mc:Choice Requires="wpc">
            <w:drawing>
              <wp:inline distT="0" distB="0" distL="0" distR="0" wp14:anchorId="19D1EBD9" wp14:editId="2551A5D9">
                <wp:extent cx="9194800" cy="5646420"/>
                <wp:effectExtent l="0" t="0" r="0" b="0"/>
                <wp:docPr id="144" name="Canvas 144" descr="Proposed clinical management algorithm for osteoporosis management of HIV patients" title="Proposed clinical management algorithm for osteoporosis management of HIV patient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2" descr=" Proposed clinical management algorithm for osteoporosis management of HIV patients" title=" Proposed clinical management algorithm for osteoporosis management of HIV patients"/>
                        <wps:cNvSpPr txBox="1">
                          <a:spLocks noChangeArrowheads="1"/>
                        </wps:cNvSpPr>
                        <wps:spPr bwMode="auto">
                          <a:xfrm>
                            <a:off x="448900" y="0"/>
                            <a:ext cx="5591800" cy="2782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81E3C" w:rsidRDefault="00C81E3C" w:rsidP="009B51C0">
                              <w:pPr>
                                <w:pStyle w:val="Caption"/>
                                <w:spacing w:after="0"/>
                                <w:ind w:left="1440" w:hanging="1440"/>
                              </w:pPr>
                              <w:r>
                                <w:t>Figure 3</w:t>
                              </w:r>
                              <w:r>
                                <w:tab/>
                                <w:t>Proposed c</w:t>
                              </w:r>
                              <w:r w:rsidRPr="00AA3219">
                                <w:t xml:space="preserve">linical management algorithm for </w:t>
                              </w:r>
                              <w:r>
                                <w:t>osteoporosis management of HIV patients</w:t>
                              </w:r>
                            </w:p>
                          </w:txbxContent>
                        </wps:txbx>
                        <wps:bodyPr rot="0" vert="horz" wrap="square" lIns="91440" tIns="45720" rIns="91440" bIns="45720" anchor="t" anchorCtr="0" upright="1">
                          <a:noAutofit/>
                        </wps:bodyPr>
                      </wps:wsp>
                      <wps:wsp>
                        <wps:cNvPr id="2" name="Text Box 123"/>
                        <wps:cNvSpPr txBox="1">
                          <a:spLocks noChangeArrowheads="1"/>
                        </wps:cNvSpPr>
                        <wps:spPr bwMode="auto">
                          <a:xfrm>
                            <a:off x="3476600" y="257101"/>
                            <a:ext cx="840700" cy="2477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All other factors</w:t>
                              </w:r>
                            </w:p>
                          </w:txbxContent>
                        </wps:txbx>
                        <wps:bodyPr rot="0" vert="horz" wrap="none" lIns="91440" tIns="45720" rIns="91440" bIns="45720" anchor="t" anchorCtr="0" upright="1">
                          <a:noAutofit/>
                        </wps:bodyPr>
                      </wps:wsp>
                      <wps:wsp>
                        <wps:cNvPr id="3" name="Text Box 123"/>
                        <wps:cNvSpPr txBox="1">
                          <a:spLocks noChangeArrowheads="1"/>
                        </wps:cNvSpPr>
                        <wps:spPr bwMode="auto">
                          <a:xfrm>
                            <a:off x="5336800" y="1198504"/>
                            <a:ext cx="3511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4" name="Text Box 123"/>
                        <wps:cNvSpPr txBox="1">
                          <a:spLocks noChangeArrowheads="1"/>
                        </wps:cNvSpPr>
                        <wps:spPr bwMode="auto">
                          <a:xfrm>
                            <a:off x="2639900" y="713203"/>
                            <a:ext cx="2533700" cy="2471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HIV-positive (not eligible for existing MBS item numbers)</w:t>
                              </w:r>
                            </w:p>
                          </w:txbxContent>
                        </wps:txbx>
                        <wps:bodyPr rot="0" vert="horz" wrap="none" lIns="91440" tIns="45720" rIns="91440" bIns="45720" anchor="t" anchorCtr="0" upright="1">
                          <a:noAutofit/>
                        </wps:bodyPr>
                      </wps:wsp>
                      <wps:wsp>
                        <wps:cNvPr id="5" name="Text Box 123"/>
                        <wps:cNvSpPr txBox="1">
                          <a:spLocks noChangeArrowheads="1"/>
                        </wps:cNvSpPr>
                        <wps:spPr bwMode="auto">
                          <a:xfrm>
                            <a:off x="6859800" y="130400"/>
                            <a:ext cx="2042800" cy="1455405"/>
                          </a:xfrm>
                          <a:prstGeom prst="rect">
                            <a:avLst/>
                          </a:prstGeom>
                          <a:solidFill>
                            <a:srgbClr val="FFFFFF"/>
                          </a:solidFill>
                          <a:ln w="6350">
                            <a:solidFill>
                              <a:srgbClr val="000000"/>
                            </a:solidFill>
                            <a:miter lim="800000"/>
                            <a:headEnd/>
                            <a:tailEnd/>
                          </a:ln>
                        </wps:spPr>
                        <wps:txbx>
                          <w:txbxContent>
                            <w:p w:rsidR="00C81E3C" w:rsidRPr="0078387F" w:rsidRDefault="00C81E3C" w:rsidP="009B51C0">
                              <w:pPr>
                                <w:pStyle w:val="NormalWeb"/>
                                <w:spacing w:before="0" w:beforeAutospacing="0" w:after="0" w:afterAutospacing="0" w:line="276" w:lineRule="auto"/>
                                <w:rPr>
                                  <w:rFonts w:ascii="Arial Narrow" w:hAnsi="Arial Narrow"/>
                                  <w:sz w:val="18"/>
                                  <w:szCs w:val="18"/>
                                </w:rPr>
                              </w:pPr>
                              <w:r w:rsidRPr="0078387F">
                                <w:rPr>
                                  <w:rFonts w:ascii="Arial Narrow" w:hAnsi="Arial Narrow"/>
                                  <w:sz w:val="18"/>
                                  <w:szCs w:val="18"/>
                                </w:rPr>
                                <w:t>Note: MTF: minimal trauma fracture</w:t>
                              </w:r>
                            </w:p>
                            <w:p w:rsidR="00C81E3C" w:rsidRPr="0078387F" w:rsidRDefault="00C81E3C" w:rsidP="00821E1A">
                              <w:pPr>
                                <w:pStyle w:val="NormalWeb"/>
                                <w:numPr>
                                  <w:ilvl w:val="0"/>
                                  <w:numId w:val="23"/>
                                </w:numPr>
                                <w:spacing w:before="0" w:beforeAutospacing="0" w:after="0" w:afterAutospacing="0" w:line="276" w:lineRule="auto"/>
                                <w:rPr>
                                  <w:sz w:val="18"/>
                                  <w:szCs w:val="18"/>
                                </w:rPr>
                              </w:pPr>
                              <w:r w:rsidRPr="0078387F">
                                <w:rPr>
                                  <w:rFonts w:ascii="Arial Narrow" w:hAnsi="Arial Narrow"/>
                                  <w:color w:val="000000"/>
                                  <w:sz w:val="18"/>
                                  <w:szCs w:val="18"/>
                                  <w:lang w:val="en-US"/>
                                </w:rPr>
                                <w:t>Exercise, sunshine, general bone health awareness</w:t>
                              </w:r>
                            </w:p>
                            <w:p w:rsidR="00C81E3C" w:rsidRPr="0078387F" w:rsidRDefault="00C81E3C" w:rsidP="00821E1A">
                              <w:pPr>
                                <w:pStyle w:val="NormalWeb"/>
                                <w:numPr>
                                  <w:ilvl w:val="0"/>
                                  <w:numId w:val="23"/>
                                </w:numPr>
                                <w:spacing w:before="0" w:beforeAutospacing="0" w:after="0" w:afterAutospacing="0" w:line="276" w:lineRule="auto"/>
                                <w:rPr>
                                  <w:sz w:val="18"/>
                                  <w:szCs w:val="18"/>
                                </w:rPr>
                              </w:pPr>
                              <w:r w:rsidRPr="0078387F">
                                <w:rPr>
                                  <w:rFonts w:ascii="Arial Narrow" w:hAnsi="Arial Narrow"/>
                                  <w:color w:val="000000"/>
                                  <w:sz w:val="18"/>
                                  <w:szCs w:val="18"/>
                                  <w:lang w:val="en-US"/>
                                </w:rPr>
                                <w:t>Calcium (1300mg/day), ensure replete vitamin D status &gt;60nmol/L</w:t>
                              </w:r>
                            </w:p>
                            <w:p w:rsidR="00C81E3C" w:rsidRPr="0078387F" w:rsidRDefault="00C81E3C" w:rsidP="00821E1A">
                              <w:pPr>
                                <w:pStyle w:val="NormalWeb"/>
                                <w:numPr>
                                  <w:ilvl w:val="0"/>
                                  <w:numId w:val="23"/>
                                </w:numPr>
                                <w:spacing w:before="0" w:beforeAutospacing="0" w:after="0" w:afterAutospacing="0" w:line="276" w:lineRule="auto"/>
                                <w:rPr>
                                  <w:sz w:val="18"/>
                                  <w:szCs w:val="18"/>
                                </w:rPr>
                              </w:pPr>
                              <w:r w:rsidRPr="0078387F">
                                <w:rPr>
                                  <w:rFonts w:ascii="Arial Narrow" w:hAnsi="Arial Narrow"/>
                                  <w:sz w:val="18"/>
                                  <w:szCs w:val="18"/>
                                </w:rPr>
                                <w:t>MBS 12306 or 12321 allow repeat scans every 12 months for patients with T-score ≤-2.5</w:t>
                              </w:r>
                            </w:p>
                          </w:txbxContent>
                        </wps:txbx>
                        <wps:bodyPr rot="0" vert="horz" wrap="square" lIns="91440" tIns="45720" rIns="91440" bIns="45720" anchor="t" anchorCtr="0" upright="1">
                          <a:spAutoFit/>
                        </wps:bodyPr>
                      </wps:wsp>
                      <wps:wsp>
                        <wps:cNvPr id="6" name="Text Box 123"/>
                        <wps:cNvSpPr txBox="1">
                          <a:spLocks noChangeArrowheads="1"/>
                        </wps:cNvSpPr>
                        <wps:spPr bwMode="auto">
                          <a:xfrm>
                            <a:off x="2900300" y="3097011"/>
                            <a:ext cx="16954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DXA scan (at X time post-diagnosis)</w:t>
                              </w:r>
                            </w:p>
                          </w:txbxContent>
                        </wps:txbx>
                        <wps:bodyPr rot="0" vert="horz" wrap="none" lIns="91440" tIns="45720" rIns="91440" bIns="45720" anchor="t" anchorCtr="0" upright="1">
                          <a:noAutofit/>
                        </wps:bodyPr>
                      </wps:wsp>
                      <wps:wsp>
                        <wps:cNvPr id="7" name="Text Box 123"/>
                        <wps:cNvSpPr txBox="1">
                          <a:spLocks noChangeArrowheads="1"/>
                        </wps:cNvSpPr>
                        <wps:spPr bwMode="auto">
                          <a:xfrm>
                            <a:off x="2140800" y="3688413"/>
                            <a:ext cx="7575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≥-1.0</w:t>
                              </w:r>
                            </w:p>
                          </w:txbxContent>
                        </wps:txbx>
                        <wps:bodyPr rot="0" vert="horz" wrap="none" lIns="91440" tIns="45720" rIns="91440" bIns="45720" anchor="t" anchorCtr="0" upright="1">
                          <a:noAutofit/>
                        </wps:bodyPr>
                      </wps:wsp>
                      <wps:wsp>
                        <wps:cNvPr id="8" name="Text Box 123"/>
                        <wps:cNvSpPr txBox="1">
                          <a:spLocks noChangeArrowheads="1"/>
                        </wps:cNvSpPr>
                        <wps:spPr bwMode="auto">
                          <a:xfrm>
                            <a:off x="3207500" y="3688013"/>
                            <a:ext cx="10440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-1.0 &gt; T-score &gt; -2.5</w:t>
                              </w:r>
                            </w:p>
                          </w:txbxContent>
                        </wps:txbx>
                        <wps:bodyPr rot="0" vert="horz" wrap="none" lIns="91440" tIns="45720" rIns="91440" bIns="45720" anchor="t" anchorCtr="0" upright="1">
                          <a:noAutofit/>
                        </wps:bodyPr>
                      </wps:wsp>
                      <wps:wsp>
                        <wps:cNvPr id="9" name="Text Box 123"/>
                        <wps:cNvSpPr txBox="1">
                          <a:spLocks noChangeArrowheads="1"/>
                        </wps:cNvSpPr>
                        <wps:spPr bwMode="auto">
                          <a:xfrm>
                            <a:off x="4550500" y="3677013"/>
                            <a:ext cx="7836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 -2.5</w:t>
                              </w:r>
                            </w:p>
                          </w:txbxContent>
                        </wps:txbx>
                        <wps:bodyPr rot="0" vert="horz" wrap="none" lIns="91440" tIns="45720" rIns="91440" bIns="45720" anchor="t" anchorCtr="0" upright="1">
                          <a:noAutofit/>
                        </wps:bodyPr>
                      </wps:wsp>
                      <wps:wsp>
                        <wps:cNvPr id="10" name="Text Box 123"/>
                        <wps:cNvSpPr txBox="1">
                          <a:spLocks noChangeArrowheads="1"/>
                        </wps:cNvSpPr>
                        <wps:spPr bwMode="auto">
                          <a:xfrm>
                            <a:off x="2100800" y="4103315"/>
                            <a:ext cx="799500" cy="4496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Diet and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lifestyle</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11" name="Text Box 123"/>
                        <wps:cNvSpPr txBox="1">
                          <a:spLocks noChangeArrowheads="1"/>
                        </wps:cNvSpPr>
                        <wps:spPr bwMode="auto">
                          <a:xfrm>
                            <a:off x="3074300" y="4096715"/>
                            <a:ext cx="1388100" cy="4521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Calcium and vitamin 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supplements</w:t>
                              </w:r>
                              <w:proofErr w:type="gramEnd"/>
                              <w:r>
                                <w:rPr>
                                  <w:rFonts w:ascii="Arial Narrow" w:hAnsi="Arial Narrow"/>
                                  <w:sz w:val="18"/>
                                  <w:szCs w:val="18"/>
                                </w:rPr>
                                <w:t>, consider drugs</w:t>
                              </w:r>
                            </w:p>
                          </w:txbxContent>
                        </wps:txbx>
                        <wps:bodyPr rot="0" vert="horz" wrap="none" lIns="91440" tIns="45720" rIns="91440" bIns="45720" anchor="t" anchorCtr="0" upright="1">
                          <a:noAutofit/>
                        </wps:bodyPr>
                      </wps:wsp>
                      <wps:wsp>
                        <wps:cNvPr id="12" name="Text Box 123"/>
                        <wps:cNvSpPr txBox="1">
                          <a:spLocks noChangeArrowheads="1"/>
                        </wps:cNvSpPr>
                        <wps:spPr bwMode="auto">
                          <a:xfrm>
                            <a:off x="4645900" y="4099815"/>
                            <a:ext cx="642600" cy="4496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Drugs</w:t>
                              </w:r>
                            </w:p>
                            <w:p w:rsidR="00C81E3C" w:rsidRDefault="00C81E3C" w:rsidP="009B51C0">
                              <w:pPr>
                                <w:pStyle w:val="NormalWeb"/>
                                <w:spacing w:before="0" w:beforeAutospacing="0" w:after="0" w:afterAutospacing="0" w:line="276" w:lineRule="auto"/>
                              </w:pPr>
                              <w:r>
                                <w:rPr>
                                  <w:rFonts w:ascii="Arial Narrow" w:hAnsi="Arial Narrow"/>
                                  <w:sz w:val="18"/>
                                  <w:szCs w:val="18"/>
                                </w:rPr>
                                <w:t>(Unknown)</w:t>
                              </w:r>
                            </w:p>
                          </w:txbxContent>
                        </wps:txbx>
                        <wps:bodyPr rot="0" vert="horz" wrap="none" lIns="91440" tIns="45720" rIns="91440" bIns="45720" anchor="t" anchorCtr="0" upright="1">
                          <a:noAutofit/>
                        </wps:bodyPr>
                      </wps:wsp>
                      <wps:wsp>
                        <wps:cNvPr id="13" name="Text Box 123"/>
                        <wps:cNvSpPr txBox="1">
                          <a:spLocks noChangeArrowheads="1"/>
                        </wps:cNvSpPr>
                        <wps:spPr bwMode="auto">
                          <a:xfrm>
                            <a:off x="3617959" y="4842117"/>
                            <a:ext cx="1435100" cy="225425"/>
                          </a:xfrm>
                          <a:prstGeom prst="rect">
                            <a:avLst/>
                          </a:prstGeom>
                          <a:solidFill>
                            <a:srgbClr val="FFFFFF"/>
                          </a:solidFill>
                          <a:ln w="6350">
                            <a:solidFill>
                              <a:srgbClr val="000000"/>
                            </a:solidFill>
                            <a:miter lim="800000"/>
                            <a:headEnd/>
                            <a:tailEnd/>
                          </a:ln>
                        </wps:spPr>
                        <wps:txbx>
                          <w:txbxContent>
                            <w:p w:rsidR="00C81E3C" w:rsidRPr="000E42BD"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Repeat scan every 12 months</w:t>
                              </w:r>
                            </w:p>
                          </w:txbxContent>
                        </wps:txbx>
                        <wps:bodyPr rot="0" vert="horz" wrap="none" lIns="91440" tIns="45720" rIns="91440" bIns="45720" anchor="t" anchorCtr="0" upright="1">
                          <a:noAutofit/>
                        </wps:bodyPr>
                      </wps:wsp>
                      <wps:wsp>
                        <wps:cNvPr id="14" name="Text Box 123"/>
                        <wps:cNvSpPr txBox="1">
                          <a:spLocks noChangeArrowheads="1"/>
                        </wps:cNvSpPr>
                        <wps:spPr bwMode="auto">
                          <a:xfrm>
                            <a:off x="4651600" y="2084807"/>
                            <a:ext cx="1833300" cy="247101"/>
                          </a:xfrm>
                          <a:prstGeom prst="rect">
                            <a:avLst/>
                          </a:prstGeom>
                          <a:solidFill>
                            <a:srgbClr val="FFFFFF"/>
                          </a:solidFill>
                          <a:ln w="6350">
                            <a:solidFill>
                              <a:srgbClr val="000000"/>
                            </a:solidFill>
                            <a:miter lim="800000"/>
                            <a:headEnd/>
                            <a:tailEnd/>
                          </a:ln>
                        </wps:spPr>
                        <wps:txbx>
                          <w:txbxContent>
                            <w:p w:rsidR="00C81E3C" w:rsidRPr="00024BF4" w:rsidRDefault="00C81E3C" w:rsidP="009B51C0">
                              <w:pPr>
                                <w:pStyle w:val="NormalWeb"/>
                                <w:spacing w:before="0" w:beforeAutospacing="0" w:after="200" w:afterAutospacing="0" w:line="276" w:lineRule="auto"/>
                                <w:rPr>
                                  <w:rFonts w:ascii="Arial Narrow" w:hAnsi="Arial Narrow"/>
                                  <w:sz w:val="18"/>
                                  <w:szCs w:val="18"/>
                                </w:rPr>
                              </w:pPr>
                              <w:r w:rsidRPr="00024BF4">
                                <w:rPr>
                                  <w:rFonts w:ascii="Arial Narrow" w:hAnsi="Arial Narrow"/>
                                  <w:sz w:val="18"/>
                                  <w:szCs w:val="18"/>
                                </w:rPr>
                                <w:t xml:space="preserve">Lifestyle </w:t>
                              </w:r>
                              <w:r>
                                <w:rPr>
                                  <w:rFonts w:ascii="Arial Narrow" w:hAnsi="Arial Narrow"/>
                                  <w:sz w:val="18"/>
                                  <w:szCs w:val="18"/>
                                </w:rPr>
                                <w:t>advice (a), +/-</w:t>
                              </w:r>
                              <w:r w:rsidRPr="00024BF4">
                                <w:rPr>
                                  <w:rFonts w:ascii="Arial Narrow" w:hAnsi="Arial Narrow"/>
                                  <w:sz w:val="18"/>
                                  <w:szCs w:val="18"/>
                                </w:rPr>
                                <w:t xml:space="preserve"> supplements</w:t>
                              </w:r>
                              <w:r>
                                <w:rPr>
                                  <w:rFonts w:ascii="Arial Narrow" w:hAnsi="Arial Narrow"/>
                                  <w:sz w:val="18"/>
                                  <w:szCs w:val="18"/>
                                </w:rPr>
                                <w:t xml:space="preserve"> (b)</w:t>
                              </w:r>
                            </w:p>
                          </w:txbxContent>
                        </wps:txbx>
                        <wps:bodyPr rot="0" vert="horz" wrap="none" lIns="91440" tIns="45720" rIns="91440" bIns="45720" anchor="t" anchorCtr="0" upright="1">
                          <a:noAutofit/>
                        </wps:bodyPr>
                      </wps:wsp>
                      <wps:wsp>
                        <wps:cNvPr id="15" name="Text Box 123"/>
                        <wps:cNvSpPr txBox="1">
                          <a:spLocks noChangeArrowheads="1"/>
                        </wps:cNvSpPr>
                        <wps:spPr bwMode="auto">
                          <a:xfrm>
                            <a:off x="338600" y="2536009"/>
                            <a:ext cx="1015400" cy="4096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Lifestyle advice (a)</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 (b)</w:t>
                              </w:r>
                            </w:p>
                          </w:txbxContent>
                        </wps:txbx>
                        <wps:bodyPr rot="0" vert="horz" wrap="none" lIns="91440" tIns="45720" rIns="91440" bIns="45720" anchor="t" anchorCtr="0" upright="1">
                          <a:noAutofit/>
                        </wps:bodyPr>
                      </wps:wsp>
                      <wps:wsp>
                        <wps:cNvPr id="16" name="Text Box 123"/>
                        <wps:cNvSpPr txBox="1">
                          <a:spLocks noChangeArrowheads="1"/>
                        </wps:cNvSpPr>
                        <wps:spPr bwMode="auto">
                          <a:xfrm>
                            <a:off x="265700" y="4441016"/>
                            <a:ext cx="476200" cy="5715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17" name="Text Box 123"/>
                        <wps:cNvSpPr txBox="1">
                          <a:spLocks noChangeArrowheads="1"/>
                        </wps:cNvSpPr>
                        <wps:spPr bwMode="auto">
                          <a:xfrm>
                            <a:off x="970500" y="3564713"/>
                            <a:ext cx="351200" cy="2476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18" name="Text Box 123"/>
                        <wps:cNvSpPr txBox="1">
                          <a:spLocks noChangeArrowheads="1"/>
                        </wps:cNvSpPr>
                        <wps:spPr bwMode="auto">
                          <a:xfrm>
                            <a:off x="386300" y="3564713"/>
                            <a:ext cx="309300" cy="2476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19" name="Text Box 123"/>
                        <wps:cNvSpPr txBox="1">
                          <a:spLocks noChangeArrowheads="1"/>
                        </wps:cNvSpPr>
                        <wps:spPr bwMode="auto">
                          <a:xfrm>
                            <a:off x="970500" y="4441016"/>
                            <a:ext cx="476300" cy="5715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0" name="Text Box 123"/>
                        <wps:cNvSpPr txBox="1">
                          <a:spLocks noChangeArrowheads="1"/>
                        </wps:cNvSpPr>
                        <wps:spPr bwMode="auto">
                          <a:xfrm>
                            <a:off x="690500" y="1279605"/>
                            <a:ext cx="3092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21" name="Straight Arrow Connector 364"/>
                        <wps:cNvCnPr/>
                        <wps:spPr bwMode="auto">
                          <a:xfrm flipH="1">
                            <a:off x="836500" y="2095907"/>
                            <a:ext cx="8300" cy="4394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Straight Connector 365"/>
                        <wps:cNvCnPr/>
                        <wps:spPr bwMode="auto">
                          <a:xfrm>
                            <a:off x="573700" y="3250412"/>
                            <a:ext cx="5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366"/>
                        <wps:cNvCnPr/>
                        <wps:spPr bwMode="auto">
                          <a:xfrm>
                            <a:off x="573700" y="3250412"/>
                            <a:ext cx="0" cy="3143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367"/>
                        <wps:cNvCnPr/>
                        <wps:spPr bwMode="auto">
                          <a:xfrm>
                            <a:off x="1164200" y="3250412"/>
                            <a:ext cx="0" cy="3143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Straight Connector 368"/>
                        <wps:cNvCnPr/>
                        <wps:spPr bwMode="auto">
                          <a:xfrm>
                            <a:off x="836500" y="2945610"/>
                            <a:ext cx="0" cy="304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Arrow Connector 369"/>
                        <wps:cNvCnPr/>
                        <wps:spPr bwMode="auto">
                          <a:xfrm>
                            <a:off x="564100" y="3812314"/>
                            <a:ext cx="0" cy="6280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Straight Arrow Connector 370"/>
                        <wps:cNvCnPr/>
                        <wps:spPr bwMode="auto">
                          <a:xfrm>
                            <a:off x="1145800" y="3812314"/>
                            <a:ext cx="17800" cy="6280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Text Box 123"/>
                        <wps:cNvSpPr txBox="1">
                          <a:spLocks noChangeArrowheads="1"/>
                        </wps:cNvSpPr>
                        <wps:spPr bwMode="auto">
                          <a:xfrm>
                            <a:off x="3010400" y="2701410"/>
                            <a:ext cx="15234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Patient on anti-retroviral therapy</w:t>
                              </w:r>
                            </w:p>
                          </w:txbxContent>
                        </wps:txbx>
                        <wps:bodyPr rot="0" vert="horz" wrap="none" lIns="91440" tIns="45720" rIns="91440" bIns="45720" anchor="t" anchorCtr="0" upright="1">
                          <a:noAutofit/>
                        </wps:bodyPr>
                      </wps:wsp>
                      <wps:wsp>
                        <wps:cNvPr id="29" name="Text Box 123"/>
                        <wps:cNvSpPr txBox="1">
                          <a:spLocks noChangeArrowheads="1"/>
                        </wps:cNvSpPr>
                        <wps:spPr bwMode="auto">
                          <a:xfrm>
                            <a:off x="6361700" y="2680709"/>
                            <a:ext cx="16796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Patient not on anti-retroviral therapy</w:t>
                              </w:r>
                            </w:p>
                          </w:txbxContent>
                        </wps:txbx>
                        <wps:bodyPr rot="0" vert="horz" wrap="none" lIns="91440" tIns="45720" rIns="91440" bIns="45720" anchor="t" anchorCtr="0" upright="1">
                          <a:noAutofit/>
                        </wps:bodyPr>
                      </wps:wsp>
                      <wps:wsp>
                        <wps:cNvPr id="30" name="Text Box 123"/>
                        <wps:cNvSpPr txBox="1">
                          <a:spLocks noChangeArrowheads="1"/>
                        </wps:cNvSpPr>
                        <wps:spPr bwMode="auto">
                          <a:xfrm>
                            <a:off x="6342000" y="3097011"/>
                            <a:ext cx="1695400" cy="2469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DXA scan (at X time post-diagnosis)</w:t>
                              </w:r>
                            </w:p>
                          </w:txbxContent>
                        </wps:txbx>
                        <wps:bodyPr rot="0" vert="horz" wrap="none" lIns="91440" tIns="45720" rIns="91440" bIns="45720" anchor="t" anchorCtr="0" upright="1">
                          <a:noAutofit/>
                        </wps:bodyPr>
                      </wps:wsp>
                      <wps:wsp>
                        <wps:cNvPr id="31" name="Text Box 123"/>
                        <wps:cNvSpPr txBox="1">
                          <a:spLocks noChangeArrowheads="1"/>
                        </wps:cNvSpPr>
                        <wps:spPr bwMode="auto">
                          <a:xfrm>
                            <a:off x="5582300" y="3688213"/>
                            <a:ext cx="757600" cy="2471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≥-1.0</w:t>
                              </w:r>
                            </w:p>
                          </w:txbxContent>
                        </wps:txbx>
                        <wps:bodyPr rot="0" vert="horz" wrap="none" lIns="91440" tIns="45720" rIns="91440" bIns="45720" anchor="t" anchorCtr="0" upright="1">
                          <a:noAutofit/>
                        </wps:bodyPr>
                      </wps:wsp>
                      <wps:wsp>
                        <wps:cNvPr id="32" name="Text Box 123"/>
                        <wps:cNvSpPr txBox="1">
                          <a:spLocks noChangeArrowheads="1"/>
                        </wps:cNvSpPr>
                        <wps:spPr bwMode="auto">
                          <a:xfrm>
                            <a:off x="6649100" y="3687813"/>
                            <a:ext cx="1043900" cy="2471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-1.0 &gt; T-score &gt; -2.5</w:t>
                              </w:r>
                            </w:p>
                          </w:txbxContent>
                        </wps:txbx>
                        <wps:bodyPr rot="0" vert="horz" wrap="none" lIns="91440" tIns="45720" rIns="91440" bIns="45720" anchor="t" anchorCtr="0" upright="1">
                          <a:noAutofit/>
                        </wps:bodyPr>
                      </wps:wsp>
                      <wps:wsp>
                        <wps:cNvPr id="33" name="Text Box 123"/>
                        <wps:cNvSpPr txBox="1">
                          <a:spLocks noChangeArrowheads="1"/>
                        </wps:cNvSpPr>
                        <wps:spPr bwMode="auto">
                          <a:xfrm>
                            <a:off x="7992100" y="3676913"/>
                            <a:ext cx="783600" cy="2470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 -2.5</w:t>
                              </w:r>
                            </w:p>
                          </w:txbxContent>
                        </wps:txbx>
                        <wps:bodyPr rot="0" vert="horz" wrap="none" lIns="91440" tIns="45720" rIns="91440" bIns="45720" anchor="t" anchorCtr="0" upright="1">
                          <a:noAutofit/>
                        </wps:bodyPr>
                      </wps:wsp>
                      <wps:wsp>
                        <wps:cNvPr id="34" name="Text Box 123"/>
                        <wps:cNvSpPr txBox="1">
                          <a:spLocks noChangeArrowheads="1"/>
                        </wps:cNvSpPr>
                        <wps:spPr bwMode="auto">
                          <a:xfrm>
                            <a:off x="5542500" y="4103015"/>
                            <a:ext cx="799500" cy="4495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Diet and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lifestyle</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35" name="Text Box 123"/>
                        <wps:cNvSpPr txBox="1">
                          <a:spLocks noChangeArrowheads="1"/>
                        </wps:cNvSpPr>
                        <wps:spPr bwMode="auto">
                          <a:xfrm>
                            <a:off x="6516000" y="4096415"/>
                            <a:ext cx="1388100" cy="4527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Calcium and vitamin 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supplements</w:t>
                              </w:r>
                              <w:proofErr w:type="gramEnd"/>
                              <w:r>
                                <w:rPr>
                                  <w:rFonts w:ascii="Arial Narrow" w:hAnsi="Arial Narrow"/>
                                  <w:sz w:val="18"/>
                                  <w:szCs w:val="18"/>
                                </w:rPr>
                                <w:t>, consider drugs</w:t>
                              </w:r>
                            </w:p>
                          </w:txbxContent>
                        </wps:txbx>
                        <wps:bodyPr rot="0" vert="horz" wrap="none" lIns="91440" tIns="45720" rIns="91440" bIns="45720" anchor="t" anchorCtr="0" upright="1">
                          <a:noAutofit/>
                        </wps:bodyPr>
                      </wps:wsp>
                      <wps:wsp>
                        <wps:cNvPr id="36" name="Text Box 123"/>
                        <wps:cNvSpPr txBox="1">
                          <a:spLocks noChangeArrowheads="1"/>
                        </wps:cNvSpPr>
                        <wps:spPr bwMode="auto">
                          <a:xfrm>
                            <a:off x="8087600" y="4099515"/>
                            <a:ext cx="642600" cy="449502"/>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Drugs</w:t>
                              </w:r>
                            </w:p>
                            <w:p w:rsidR="00C81E3C" w:rsidRDefault="00C81E3C" w:rsidP="009B51C0">
                              <w:pPr>
                                <w:pStyle w:val="NormalWeb"/>
                                <w:spacing w:before="0" w:beforeAutospacing="0" w:after="0" w:afterAutospacing="0" w:line="276" w:lineRule="auto"/>
                              </w:pPr>
                              <w:r>
                                <w:rPr>
                                  <w:rFonts w:ascii="Arial Narrow" w:hAnsi="Arial Narrow"/>
                                  <w:sz w:val="18"/>
                                  <w:szCs w:val="18"/>
                                </w:rPr>
                                <w:t>(Unknown)</w:t>
                              </w:r>
                            </w:p>
                          </w:txbxContent>
                        </wps:txbx>
                        <wps:bodyPr rot="0" vert="horz" wrap="none" lIns="91440" tIns="45720" rIns="91440" bIns="45720" anchor="t" anchorCtr="0" upright="1">
                          <a:noAutofit/>
                        </wps:bodyPr>
                      </wps:wsp>
                      <wps:wsp>
                        <wps:cNvPr id="37" name="Text Box 123"/>
                        <wps:cNvSpPr txBox="1">
                          <a:spLocks noChangeArrowheads="1"/>
                        </wps:cNvSpPr>
                        <wps:spPr bwMode="auto">
                          <a:xfrm>
                            <a:off x="7044759" y="4841717"/>
                            <a:ext cx="1435100" cy="224790"/>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Repeat scan every 24 months</w:t>
                              </w:r>
                            </w:p>
                          </w:txbxContent>
                        </wps:txbx>
                        <wps:bodyPr rot="0" vert="horz" wrap="none" lIns="91440" tIns="45720" rIns="91440" bIns="45720" anchor="t" anchorCtr="0" upright="1">
                          <a:noAutofit/>
                        </wps:bodyPr>
                      </wps:wsp>
                      <wps:wsp>
                        <wps:cNvPr id="38" name="Straight Arrow Connector 389"/>
                        <wps:cNvCnPr/>
                        <wps:spPr bwMode="auto">
                          <a:xfrm>
                            <a:off x="3896900" y="504802"/>
                            <a:ext cx="9900" cy="2084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Straight Connector 390"/>
                        <wps:cNvCnPr/>
                        <wps:spPr bwMode="auto">
                          <a:xfrm flipV="1">
                            <a:off x="836500" y="1095304"/>
                            <a:ext cx="4706000" cy="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Straight Connector 391"/>
                        <wps:cNvCnPr/>
                        <wps:spPr bwMode="auto">
                          <a:xfrm>
                            <a:off x="3906800" y="960303"/>
                            <a:ext cx="0" cy="144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Arrow Connector 392"/>
                        <wps:cNvCnPr/>
                        <wps:spPr bwMode="auto">
                          <a:xfrm>
                            <a:off x="845100" y="1104904"/>
                            <a:ext cx="0" cy="174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394"/>
                        <wps:cNvCnPr/>
                        <wps:spPr bwMode="auto">
                          <a:xfrm>
                            <a:off x="5512400" y="1095304"/>
                            <a:ext cx="0" cy="103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395"/>
                        <wps:cNvCnPr/>
                        <wps:spPr bwMode="auto">
                          <a:xfrm>
                            <a:off x="5512400" y="1445505"/>
                            <a:ext cx="0" cy="6393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Connector 396"/>
                        <wps:cNvCnPr/>
                        <wps:spPr bwMode="auto">
                          <a:xfrm>
                            <a:off x="3724200" y="2445209"/>
                            <a:ext cx="347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Arrow Connector 397"/>
                        <wps:cNvCnPr/>
                        <wps:spPr bwMode="auto">
                          <a:xfrm>
                            <a:off x="3724200" y="2445209"/>
                            <a:ext cx="0" cy="2355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398"/>
                        <wps:cNvCnPr/>
                        <wps:spPr bwMode="auto">
                          <a:xfrm>
                            <a:off x="7200900" y="2445209"/>
                            <a:ext cx="0" cy="2355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Straight Connector 399"/>
                        <wps:cNvCnPr/>
                        <wps:spPr bwMode="auto">
                          <a:xfrm>
                            <a:off x="5508300" y="2331908"/>
                            <a:ext cx="1300" cy="11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Arrow Connector 400"/>
                        <wps:cNvCnPr/>
                        <wps:spPr bwMode="auto">
                          <a:xfrm>
                            <a:off x="3781300" y="2950210"/>
                            <a:ext cx="0" cy="146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Straight Arrow Connector 401"/>
                        <wps:cNvCnPr/>
                        <wps:spPr bwMode="auto">
                          <a:xfrm flipH="1">
                            <a:off x="7200600" y="2950210"/>
                            <a:ext cx="9200" cy="146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Straight Connector 402"/>
                        <wps:cNvCnPr/>
                        <wps:spPr bwMode="auto">
                          <a:xfrm>
                            <a:off x="2505000" y="3512112"/>
                            <a:ext cx="2428900" cy="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Straight Arrow Connector 406"/>
                        <wps:cNvCnPr/>
                        <wps:spPr bwMode="auto">
                          <a:xfrm>
                            <a:off x="3781400" y="3344012"/>
                            <a:ext cx="0" cy="332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Straight Arrow Connector 407"/>
                        <wps:cNvCnPr/>
                        <wps:spPr bwMode="auto">
                          <a:xfrm flipH="1">
                            <a:off x="2501500" y="3521712"/>
                            <a:ext cx="3500" cy="166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Straight Arrow Connector 408"/>
                        <wps:cNvCnPr/>
                        <wps:spPr bwMode="auto">
                          <a:xfrm>
                            <a:off x="4933900" y="3521712"/>
                            <a:ext cx="13900" cy="1553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Straight Connector 409"/>
                        <wps:cNvCnPr/>
                        <wps:spPr bwMode="auto">
                          <a:xfrm>
                            <a:off x="5925100" y="3512112"/>
                            <a:ext cx="2428900" cy="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Straight Arrow Connector 410"/>
                        <wps:cNvCnPr/>
                        <wps:spPr bwMode="auto">
                          <a:xfrm>
                            <a:off x="7201500" y="3343912"/>
                            <a:ext cx="0" cy="332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Straight Arrow Connector 411"/>
                        <wps:cNvCnPr/>
                        <wps:spPr bwMode="auto">
                          <a:xfrm flipH="1">
                            <a:off x="5921300" y="3521712"/>
                            <a:ext cx="3200" cy="1663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Straight Arrow Connector 412"/>
                        <wps:cNvCnPr/>
                        <wps:spPr bwMode="auto">
                          <a:xfrm>
                            <a:off x="8354000" y="3521712"/>
                            <a:ext cx="13300" cy="1549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413"/>
                        <wps:cNvCnPr/>
                        <wps:spPr bwMode="auto">
                          <a:xfrm>
                            <a:off x="2504900" y="3935414"/>
                            <a:ext cx="0" cy="1621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Straight Arrow Connector 414"/>
                        <wps:cNvCnPr/>
                        <wps:spPr bwMode="auto">
                          <a:xfrm>
                            <a:off x="3781300" y="3935414"/>
                            <a:ext cx="0" cy="1621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Straight Arrow Connector 415"/>
                        <wps:cNvCnPr/>
                        <wps:spPr bwMode="auto">
                          <a:xfrm>
                            <a:off x="4947700" y="3934814"/>
                            <a:ext cx="0" cy="162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Straight Arrow Connector 416"/>
                        <wps:cNvCnPr/>
                        <wps:spPr bwMode="auto">
                          <a:xfrm>
                            <a:off x="5924900" y="3935414"/>
                            <a:ext cx="0" cy="1621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Straight Arrow Connector 417"/>
                        <wps:cNvCnPr/>
                        <wps:spPr bwMode="auto">
                          <a:xfrm flipH="1">
                            <a:off x="7200400" y="3935414"/>
                            <a:ext cx="800" cy="1621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Straight Arrow Connector 418"/>
                        <wps:cNvCnPr/>
                        <wps:spPr bwMode="auto">
                          <a:xfrm>
                            <a:off x="8367000" y="3934814"/>
                            <a:ext cx="0" cy="1627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Straight Arrow Connector 419"/>
                        <wps:cNvCnPr/>
                        <wps:spPr bwMode="auto">
                          <a:xfrm>
                            <a:off x="3990900" y="4552916"/>
                            <a:ext cx="0" cy="288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Straight Arrow Connector 420"/>
                        <wps:cNvCnPr/>
                        <wps:spPr bwMode="auto">
                          <a:xfrm>
                            <a:off x="4819600" y="4552916"/>
                            <a:ext cx="0" cy="288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Straight Arrow Connector 421"/>
                        <wps:cNvCnPr/>
                        <wps:spPr bwMode="auto">
                          <a:xfrm flipH="1">
                            <a:off x="7201500" y="4549016"/>
                            <a:ext cx="8500" cy="2931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 name="Straight Arrow Connector 423"/>
                        <wps:cNvCnPr/>
                        <wps:spPr bwMode="auto">
                          <a:xfrm>
                            <a:off x="8367300" y="4552916"/>
                            <a:ext cx="0" cy="2888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Text Box 123"/>
                        <wps:cNvSpPr txBox="1">
                          <a:spLocks noChangeArrowheads="1"/>
                        </wps:cNvSpPr>
                        <wps:spPr bwMode="auto">
                          <a:xfrm>
                            <a:off x="8309900" y="5123418"/>
                            <a:ext cx="476300" cy="3804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69" name="Text Box 123"/>
                        <wps:cNvSpPr txBox="1">
                          <a:spLocks noChangeArrowheads="1"/>
                        </wps:cNvSpPr>
                        <wps:spPr bwMode="auto">
                          <a:xfrm>
                            <a:off x="6750100" y="5123418"/>
                            <a:ext cx="476200" cy="3802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0" name="Text Box 123"/>
                        <wps:cNvSpPr txBox="1">
                          <a:spLocks noChangeArrowheads="1"/>
                        </wps:cNvSpPr>
                        <wps:spPr bwMode="auto">
                          <a:xfrm>
                            <a:off x="5687800" y="5123418"/>
                            <a:ext cx="476200" cy="3804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1" name="Text Box 123"/>
                        <wps:cNvSpPr txBox="1">
                          <a:spLocks noChangeArrowheads="1"/>
                        </wps:cNvSpPr>
                        <wps:spPr bwMode="auto">
                          <a:xfrm>
                            <a:off x="4841000" y="5123418"/>
                            <a:ext cx="476200" cy="3802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2" name="Text Box 123"/>
                        <wps:cNvSpPr txBox="1">
                          <a:spLocks noChangeArrowheads="1"/>
                        </wps:cNvSpPr>
                        <wps:spPr bwMode="auto">
                          <a:xfrm>
                            <a:off x="3249300" y="5123418"/>
                            <a:ext cx="476300" cy="3804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3" name="Text Box 123"/>
                        <wps:cNvSpPr txBox="1">
                          <a:spLocks noChangeArrowheads="1"/>
                        </wps:cNvSpPr>
                        <wps:spPr bwMode="auto">
                          <a:xfrm>
                            <a:off x="2256300" y="5123418"/>
                            <a:ext cx="476300" cy="380201"/>
                          </a:xfrm>
                          <a:prstGeom prst="rect">
                            <a:avLst/>
                          </a:prstGeom>
                          <a:solidFill>
                            <a:srgbClr val="FFFFFF"/>
                          </a:solidFill>
                          <a:ln w="6350">
                            <a:solidFill>
                              <a:srgbClr val="000000"/>
                            </a:solidFill>
                            <a:miter lim="800000"/>
                            <a:headEnd/>
                            <a:tailEnd/>
                          </a:ln>
                        </wps:spPr>
                        <wps:txb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74" name="Straight Arrow Connector 432"/>
                        <wps:cNvCnPr/>
                        <wps:spPr bwMode="auto">
                          <a:xfrm>
                            <a:off x="2501500" y="4552916"/>
                            <a:ext cx="3500" cy="5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Straight Arrow Connector 433"/>
                        <wps:cNvCnPr/>
                        <wps:spPr bwMode="auto">
                          <a:xfrm>
                            <a:off x="3476600" y="4552916"/>
                            <a:ext cx="0" cy="5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Straight Arrow Connector 434"/>
                        <wps:cNvCnPr/>
                        <wps:spPr bwMode="auto">
                          <a:xfrm>
                            <a:off x="5173600" y="4552916"/>
                            <a:ext cx="0" cy="5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Straight Arrow Connector 435"/>
                        <wps:cNvCnPr/>
                        <wps:spPr bwMode="auto">
                          <a:xfrm>
                            <a:off x="5925100" y="4552916"/>
                            <a:ext cx="0" cy="5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Straight Arrow Connector 436"/>
                        <wps:cNvCnPr/>
                        <wps:spPr bwMode="auto">
                          <a:xfrm>
                            <a:off x="6858000" y="4552916"/>
                            <a:ext cx="0" cy="5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Straight Arrow Connector 437"/>
                        <wps:cNvCnPr/>
                        <wps:spPr bwMode="auto">
                          <a:xfrm>
                            <a:off x="8629900" y="4552916"/>
                            <a:ext cx="0" cy="5705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Text Box 123"/>
                        <wps:cNvSpPr txBox="1">
                          <a:spLocks noChangeArrowheads="1"/>
                        </wps:cNvSpPr>
                        <wps:spPr bwMode="auto">
                          <a:xfrm>
                            <a:off x="87200" y="1802206"/>
                            <a:ext cx="2169200" cy="416601"/>
                          </a:xfrm>
                          <a:prstGeom prst="rect">
                            <a:avLst/>
                          </a:prstGeom>
                          <a:solidFill>
                            <a:srgbClr val="FFFFFF"/>
                          </a:solidFill>
                          <a:ln w="6350">
                            <a:solidFill>
                              <a:srgbClr val="000000"/>
                            </a:solidFill>
                            <a:miter lim="800000"/>
                            <a:headEnd/>
                            <a:tailEnd/>
                          </a:ln>
                        </wps:spPr>
                        <wps:txbx>
                          <w:txbxContent>
                            <w:p w:rsidR="00C81E3C" w:rsidRDefault="00C81E3C" w:rsidP="00FC3E0D">
                              <w:pPr>
                                <w:pStyle w:val="NormalWeb"/>
                                <w:spacing w:before="0" w:beforeAutospacing="0" w:after="0" w:afterAutospacing="0" w:line="276" w:lineRule="auto"/>
                                <w:jc w:val="center"/>
                              </w:pPr>
                              <w:r>
                                <w:rPr>
                                  <w:rFonts w:ascii="Arial Narrow" w:hAnsi="Arial Narrow"/>
                                  <w:sz w:val="18"/>
                                  <w:szCs w:val="18"/>
                                </w:rPr>
                                <w:t>Clinical assessment, test for vitamin D,</w:t>
                              </w:r>
                            </w:p>
                            <w:p w:rsidR="00C81E3C" w:rsidRDefault="00C81E3C" w:rsidP="00FC3E0D">
                              <w:pPr>
                                <w:pStyle w:val="NormalWeb"/>
                                <w:spacing w:before="0" w:beforeAutospacing="0" w:after="0" w:afterAutospacing="0" w:line="276" w:lineRule="auto"/>
                                <w:jc w:val="cente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wps:txbx>
                        <wps:bodyPr rot="0" vert="horz" wrap="none" lIns="91440" tIns="45720" rIns="91440" bIns="45720" anchor="t" anchorCtr="0" upright="1">
                          <a:noAutofit/>
                        </wps:bodyPr>
                      </wps:wsp>
                      <wps:wsp>
                        <wps:cNvPr id="81" name="Text Box 123"/>
                        <wps:cNvSpPr txBox="1">
                          <a:spLocks noChangeArrowheads="1"/>
                        </wps:cNvSpPr>
                        <wps:spPr bwMode="auto">
                          <a:xfrm>
                            <a:off x="4436900" y="1526605"/>
                            <a:ext cx="2169100" cy="416601"/>
                          </a:xfrm>
                          <a:prstGeom prst="rect">
                            <a:avLst/>
                          </a:prstGeom>
                          <a:solidFill>
                            <a:srgbClr val="FFFFFF"/>
                          </a:solidFill>
                          <a:ln w="6350">
                            <a:solidFill>
                              <a:srgbClr val="000000"/>
                            </a:solidFill>
                            <a:miter lim="800000"/>
                            <a:headEnd/>
                            <a:tailEnd/>
                          </a:ln>
                        </wps:spPr>
                        <wps:txbx>
                          <w:txbxContent>
                            <w:p w:rsidR="00C81E3C" w:rsidRDefault="00C81E3C" w:rsidP="0078387F">
                              <w:pPr>
                                <w:pStyle w:val="NormalWeb"/>
                                <w:spacing w:before="0" w:beforeAutospacing="0" w:after="0" w:afterAutospacing="0" w:line="276" w:lineRule="auto"/>
                                <w:jc w:val="center"/>
                              </w:pPr>
                              <w:r>
                                <w:rPr>
                                  <w:rFonts w:ascii="Arial Narrow" w:hAnsi="Arial Narrow"/>
                                  <w:sz w:val="18"/>
                                  <w:szCs w:val="18"/>
                                </w:rPr>
                                <w:t>Clinical assessment, test for vitamin D,</w:t>
                              </w:r>
                            </w:p>
                            <w:p w:rsidR="00C81E3C" w:rsidRDefault="00C81E3C" w:rsidP="0078387F">
                              <w:pPr>
                                <w:pStyle w:val="NormalWeb"/>
                                <w:spacing w:before="0" w:beforeAutospacing="0" w:after="0" w:afterAutospacing="0" w:line="276" w:lineRule="auto"/>
                                <w:jc w:val="cente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wps:txbx>
                        <wps:bodyPr rot="0" vert="horz" wrap="none" lIns="91440" tIns="45720" rIns="91440" bIns="45720" anchor="t" anchorCtr="0" upright="1">
                          <a:noAutofit/>
                        </wps:bodyPr>
                      </wps:wsp>
                      <wps:wsp>
                        <wps:cNvPr id="82" name="Straight Arrow Connector 1"/>
                        <wps:cNvCnPr/>
                        <wps:spPr bwMode="auto">
                          <a:xfrm>
                            <a:off x="845100" y="1526605"/>
                            <a:ext cx="0" cy="2756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4" o:spid="_x0000_s1165" editas="canvas" alt="Title: Proposed clinical management algorithm for osteoporosis management of HIV patients - Description: Proposed clinical management algorithm for osteoporosis management of HIV patients" style="width:724pt;height:444.6pt;mso-position-horizontal-relative:char;mso-position-vertical-relative:line" coordsize="91948,5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">
                <v:shape id="_x0000_s1166" type="#_x0000_t75" alt="Proposed clinical management algorithm for osteoporosis management of HIV patients" style="position:absolute;width:91948;height:56464;visibility:visible;mso-wrap-style:square">
                  <v:fill o:detectmouseclick="t"/>
                  <v:path o:connecttype="none"/>
                </v:shape>
                <v:shape id="Text Box 282" o:spid="_x0000_s1167" type="#_x0000_t202" alt=" Proposed clinical management algorithm for osteoporosis management of HIV patients" style="position:absolute;left:4489;width:55918;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7rL4A&#10;AADaAAAADwAAAGRycy9kb3ducmV2LnhtbERP32vCMBB+H/g/hBN8m6lDxqimRYTBngZT5/PRnEmx&#10;uZQks61//SIM9nR8fD9vW4+uEzcKsfWsYLUsQBA3XrdsFJyO789vIGJC1th5JgUTRair2dMWS+0H&#10;/qLbIRmRQziWqMCm1JdSxsaSw7j0PXHmLj44TBkGI3XAIYe7Tr4Uxat02HJusNjT3lJzPfw4BWfj&#10;7ufvVR+sdt2aP+/T8eRbpRbzcbcBkWhM/+I/94fO8+HxyuPK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fO6y+AAAA2gAAAA8AAAAAAAAAAAAAAAAAmAIAAGRycy9kb3ducmV2&#10;LnhtbFBLBQYAAAAABAAEAPUAAACDAwAAAAA=&#10;" stroked="f" strokeweight=".5pt">
                  <v:textbox>
                    <w:txbxContent>
                      <w:p w:rsidR="00C81E3C" w:rsidRDefault="00C81E3C" w:rsidP="009B51C0">
                        <w:pPr>
                          <w:pStyle w:val="Caption"/>
                          <w:spacing w:after="0"/>
                          <w:ind w:left="1440" w:hanging="1440"/>
                        </w:pPr>
                        <w:r>
                          <w:t>Figure 3</w:t>
                        </w:r>
                        <w:r>
                          <w:tab/>
                          <w:t>Proposed c</w:t>
                        </w:r>
                        <w:r w:rsidRPr="00AA3219">
                          <w:t xml:space="preserve">linical management algorithm for </w:t>
                        </w:r>
                        <w:r>
                          <w:t>osteoporosis management of HIV patients</w:t>
                        </w:r>
                      </w:p>
                    </w:txbxContent>
                  </v:textbox>
                </v:shape>
                <v:shape id="Text Box 123" o:spid="_x0000_s1168" type="#_x0000_t202" style="position:absolute;left:34766;top:2571;width:8407;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JsMA&#10;AADaAAAADwAAAGRycy9kb3ducmV2LnhtbESPT4vCMBTE74LfIbwFL6KpHkSqURZRXDwI/tk9P5O3&#10;bdnmpTZZrX56Iwgeh5n5DTOdN7YUF6p94VjBoJ+AINbOFJwpOB5WvTEIH5ANlo5JwY08zGft1hRT&#10;4668o8s+ZCJC2KeoIA+hSqX0OieLvu8q4uj9utpiiLLOpKnxGuG2lMMkGUmLBceFHCta5KT/9v9W&#10;wXpzGtw330u9PvOplLufrraLrVKdj+ZzAiJQE97hV/vLKBjC8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JsMAAADaAAAADwAAAAAAAAAAAAAAAACYAgAAZHJzL2Rv&#10;d25yZXYueG1sUEsFBgAAAAAEAAQA9QAAAIg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All other factors</w:t>
                        </w:r>
                      </w:p>
                    </w:txbxContent>
                  </v:textbox>
                </v:shape>
                <v:shape id="Text Box 123" o:spid="_x0000_s1169" type="#_x0000_t202" style="position:absolute;left:53368;top:11985;width:3511;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TvcQA&#10;AADaAAAADwAAAGRycy9kb3ducmV2LnhtbESPQWvCQBSE74L/YXlCL8VsbKG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5E73EAAAA2g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70" type="#_x0000_t202" style="position:absolute;left:26399;top:7132;width:25337;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LycQA&#10;AADaAAAADwAAAGRycy9kb3ducmV2LnhtbESPQWvCQBSE74L/YXlCL8VsLKWU6CaIKBYPgrZ6fu6+&#10;JqHZtzG71dRf3y0UPA4z8w0zK3rbiAt1vnasYJKkIIi1MzWXCj7eV+NXED4gG2wck4If8lDkw8EM&#10;M+OuvKPLPpQiQthnqKAKoc2k9Loiiz5xLXH0Pl1nMUTZldJ0eI1w28inNH2RFmuOCxW2tKhIf+2/&#10;rYL15jS5bQ5LvT7zqZG746O2i61SD6N+PgURqA/38H/7zSh4hr8r8Qb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i8nEAAAA2g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HIV-positive (not eligible for existing MBS item numbers)</w:t>
                        </w:r>
                      </w:p>
                    </w:txbxContent>
                  </v:textbox>
                </v:shape>
                <v:shape id="Text Box 123" o:spid="_x0000_s1171" type="#_x0000_t202" style="position:absolute;left:68598;top:1304;width:20428;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9CGMUA&#10;AADaAAAADwAAAGRycy9kb3ducmV2LnhtbESP3WoCMRSE7wu+QzhCb0QTSxVdjVJbKi0UxB8E746b&#10;4+7i5mTZpLp9eyMIvRxm5htmOm9sKS5U+8Kxhn5PgSBOnSk407DbfnZHIHxANlg6Jg1/5GE+az1N&#10;MTHuymu6bEImIoR9ghryEKpESp/mZNH3XEUcvZOrLYYo60yaGq8Rbkv5otRQWiw4LuRY0XtO6Xnz&#10;azWsFp3K9F8XZXb8/tirH2XC8jDW+rndvE1ABGrCf/jR/jIaBnC/Em+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0IYxQAAANoAAAAPAAAAAAAAAAAAAAAAAJgCAABkcnMv&#10;ZG93bnJldi54bWxQSwUGAAAAAAQABAD1AAAAigMAAAAA&#10;" strokeweight=".5pt">
                  <v:textbox style="mso-fit-shape-to-text:t">
                    <w:txbxContent>
                      <w:p w:rsidR="00C81E3C" w:rsidRPr="0078387F" w:rsidRDefault="00C81E3C" w:rsidP="009B51C0">
                        <w:pPr>
                          <w:pStyle w:val="NormalWeb"/>
                          <w:spacing w:before="0" w:beforeAutospacing="0" w:after="0" w:afterAutospacing="0" w:line="276" w:lineRule="auto"/>
                          <w:rPr>
                            <w:rFonts w:ascii="Arial Narrow" w:hAnsi="Arial Narrow"/>
                            <w:sz w:val="18"/>
                            <w:szCs w:val="18"/>
                          </w:rPr>
                        </w:pPr>
                        <w:r w:rsidRPr="0078387F">
                          <w:rPr>
                            <w:rFonts w:ascii="Arial Narrow" w:hAnsi="Arial Narrow"/>
                            <w:sz w:val="18"/>
                            <w:szCs w:val="18"/>
                          </w:rPr>
                          <w:t>Note: MTF: minimal trauma fracture</w:t>
                        </w:r>
                      </w:p>
                      <w:p w:rsidR="00C81E3C" w:rsidRPr="0078387F" w:rsidRDefault="00C81E3C" w:rsidP="00821E1A">
                        <w:pPr>
                          <w:pStyle w:val="NormalWeb"/>
                          <w:numPr>
                            <w:ilvl w:val="0"/>
                            <w:numId w:val="23"/>
                          </w:numPr>
                          <w:spacing w:before="0" w:beforeAutospacing="0" w:after="0" w:afterAutospacing="0" w:line="276" w:lineRule="auto"/>
                          <w:rPr>
                            <w:sz w:val="18"/>
                            <w:szCs w:val="18"/>
                          </w:rPr>
                        </w:pPr>
                        <w:r w:rsidRPr="0078387F">
                          <w:rPr>
                            <w:rFonts w:ascii="Arial Narrow" w:hAnsi="Arial Narrow"/>
                            <w:color w:val="000000"/>
                            <w:sz w:val="18"/>
                            <w:szCs w:val="18"/>
                            <w:lang w:val="en-US"/>
                          </w:rPr>
                          <w:t>Exercise, sunshine, general bone health awareness</w:t>
                        </w:r>
                      </w:p>
                      <w:p w:rsidR="00C81E3C" w:rsidRPr="0078387F" w:rsidRDefault="00C81E3C" w:rsidP="00821E1A">
                        <w:pPr>
                          <w:pStyle w:val="NormalWeb"/>
                          <w:numPr>
                            <w:ilvl w:val="0"/>
                            <w:numId w:val="23"/>
                          </w:numPr>
                          <w:spacing w:before="0" w:beforeAutospacing="0" w:after="0" w:afterAutospacing="0" w:line="276" w:lineRule="auto"/>
                          <w:rPr>
                            <w:sz w:val="18"/>
                            <w:szCs w:val="18"/>
                          </w:rPr>
                        </w:pPr>
                        <w:r w:rsidRPr="0078387F">
                          <w:rPr>
                            <w:rFonts w:ascii="Arial Narrow" w:hAnsi="Arial Narrow"/>
                            <w:color w:val="000000"/>
                            <w:sz w:val="18"/>
                            <w:szCs w:val="18"/>
                            <w:lang w:val="en-US"/>
                          </w:rPr>
                          <w:t>Calcium (1300mg/day), ensure replete vitamin D status &gt;60nmol/L</w:t>
                        </w:r>
                      </w:p>
                      <w:p w:rsidR="00C81E3C" w:rsidRPr="0078387F" w:rsidRDefault="00C81E3C" w:rsidP="00821E1A">
                        <w:pPr>
                          <w:pStyle w:val="NormalWeb"/>
                          <w:numPr>
                            <w:ilvl w:val="0"/>
                            <w:numId w:val="23"/>
                          </w:numPr>
                          <w:spacing w:before="0" w:beforeAutospacing="0" w:after="0" w:afterAutospacing="0" w:line="276" w:lineRule="auto"/>
                          <w:rPr>
                            <w:sz w:val="18"/>
                            <w:szCs w:val="18"/>
                          </w:rPr>
                        </w:pPr>
                        <w:r w:rsidRPr="0078387F">
                          <w:rPr>
                            <w:rFonts w:ascii="Arial Narrow" w:hAnsi="Arial Narrow"/>
                            <w:sz w:val="18"/>
                            <w:szCs w:val="18"/>
                          </w:rPr>
                          <w:t>MBS 12306 or 12321 allow repeat scans every 12 months for patients with T-score ≤-2.5</w:t>
                        </w:r>
                      </w:p>
                    </w:txbxContent>
                  </v:textbox>
                </v:shape>
                <v:shape id="Text Box 123" o:spid="_x0000_s1172" type="#_x0000_t202" style="position:absolute;left:29003;top:30970;width:16954;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wJcMA&#10;AADaAAAADwAAAGRycy9kb3ducmV2LnhtbESPT4vCMBTE7wt+h/CEvSyaugdZqlFEFMWD4N/zM3m2&#10;xealNlGrn94sLOxxmJnfMMNxY0txp9oXjhX0ugkIYu1MwZmC/W7e+QHhA7LB0jEpeJKH8aj1McTU&#10;uAdv6L4NmYgQ9ikqyEOoUim9zsmi77qKOHpnV1sMUdaZNDU+ItyW8jtJ+tJiwXEhx4qmOenL9mYV&#10;LFan3mt1mOnFlU+l3By/tJ2ulfpsN5MBiEBN+A//tZdGQR9+r8QbIE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wJcMAAADaAAAADwAAAAAAAAAAAAAAAACYAgAAZHJzL2Rv&#10;d25yZXYueG1sUEsFBgAAAAAEAAQA9QAAAIg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DXA scan (at X time post-diagnosis)</w:t>
                        </w:r>
                      </w:p>
                    </w:txbxContent>
                  </v:textbox>
                </v:shape>
                <v:shape id="Text Box 123" o:spid="_x0000_s1173" type="#_x0000_t202" style="position:absolute;left:21408;top:36884;width:757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VvsUA&#10;AADaAAAADwAAAGRycy9kb3ducmV2LnhtbESPQWvCQBSE74L/YXlCL8Vs7KEt0U0QUSweBG31/Nx9&#10;TUKzb2N2q6m/vlsoeBxm5htmVvS2ERfqfO1YwSRJQRBrZ2ouFXy8r8avIHxANtg4JgU/5KHIh4MZ&#10;ZsZdeUeXfShFhLDPUEEVQptJ6XVFFn3iWuLofbrOYoiyK6Xp8BrhtpFPafosLdYcFypsaVGR/tp/&#10;WwXrzWly2xyWen3mUyN3x0dtF1ulHkb9fAoiUB/u4f/2m1HwA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hW+xQAAANo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≥-1.0</w:t>
                        </w:r>
                      </w:p>
                    </w:txbxContent>
                  </v:textbox>
                </v:shape>
                <v:shape id="Text Box 123" o:spid="_x0000_s1174" type="#_x0000_t202" style="position:absolute;left:32075;top:36880;width:10440;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BzMEA&#10;AADaAAAADwAAAGRycy9kb3ducmV2LnhtbERPy2rCQBTdC/7DcIVuRCfpQiQ6ioglJQtB+1hfZ26T&#10;0MydNDM10a/vLAouD+e93g62EVfqfO1YQTpPQBBrZ2ouFby/vcyWIHxANtg4JgU38rDdjEdrzIzr&#10;+UTXcyhFDGGfoYIqhDaT0uuKLPq5a4kj9+U6iyHCrpSmwz6G20Y+J8lCWqw5NlTY0r4i/X3+tQry&#10;4pLei4+Dzn/40sjT51Tb/VGpp8mwW4EINISH+N/9ah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gczBAAAA2gAAAA8AAAAAAAAAAAAAAAAAmAIAAGRycy9kb3du&#10;cmV2LnhtbFBLBQYAAAAABAAEAPUAAACG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-1.0 &gt; T-score &gt; -2.5</w:t>
                        </w:r>
                      </w:p>
                    </w:txbxContent>
                  </v:textbox>
                </v:shape>
                <v:shape id="Text Box 123" o:spid="_x0000_s1175" type="#_x0000_t202" style="position:absolute;left:45505;top:36770;width:7836;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 -2.5</w:t>
                        </w:r>
                      </w:p>
                    </w:txbxContent>
                  </v:textbox>
                </v:shape>
                <v:shape id="Text Box 123" o:spid="_x0000_s1176" type="#_x0000_t202" style="position:absolute;left:21008;top:41033;width:7995;height:4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4FcUA&#10;AADbAAAADwAAAGRycy9kb3ducmV2LnhtbESPQWsCQQyF7wX/wxDBS9FZPZSyOoqIRfFQ0FbPcSbu&#10;Lu5ktjujbvvrm0Oht4T38t6X2aLztbpTG6vABsajDBSxDa7iwsDnx9vwFVRMyA7rwGTgmyIs5r2n&#10;GeYuPHhP90MqlIRwzNFAmVKTax1tSR7jKDTEol1C6zHJ2hbatfiQcF/rSZa9aI8VS0OJDa1KstfD&#10;zRvY7M7jn91xbTdffK71/vRs/erdmEG/W05BJerSv/nveusE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bgV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Diet and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lifestyle</w:t>
                        </w:r>
                        <w:proofErr w:type="gramEnd"/>
                        <w:r>
                          <w:rPr>
                            <w:rFonts w:ascii="Arial Narrow" w:hAnsi="Arial Narrow"/>
                            <w:sz w:val="18"/>
                            <w:szCs w:val="18"/>
                          </w:rPr>
                          <w:t xml:space="preserve"> advice</w:t>
                        </w:r>
                      </w:p>
                    </w:txbxContent>
                  </v:textbox>
                </v:shape>
                <v:shape id="Text Box 123" o:spid="_x0000_s1177" type="#_x0000_t202" style="position:absolute;left:30743;top:40967;width:13881;height:4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djsMA&#10;AADbAAAADwAAAGRycy9kb3ducmV2LnhtbERPTWvCQBC9F/wPywi9FN2kh1Kiq0iwWDwU1NbzZHdM&#10;gtnZmN3G1F/vFgq9zeN9znw52Eb01PnasYJ0moAg1s7UXCr4PLxNXkH4gGywcUwKfsjDcjF6mGNm&#10;3JV31O9DKWII+wwVVCG0mZReV2TRT11LHLmT6yyGCLtSmg6vMdw28jlJXqTFmmNDhS3lFenz/tsq&#10;2GyL9Lb9WuvNhYtG7o5P2uYfSj2Oh9UMRKAh/Iv/3O8mzk/h95d4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djsMAAADbAAAADwAAAAAAAAAAAAAAAACYAgAAZHJzL2Rv&#10;d25yZXYueG1sUEsFBgAAAAAEAAQA9QAAAIgDAAAAAA==&#10;" strokeweight=".5pt">
                  <v:textbox>
                    <w:txbxContent>
                      <w:p w:rsidR="00C81E3C"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Calcium and vitamin 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supplements</w:t>
                        </w:r>
                        <w:proofErr w:type="gramEnd"/>
                        <w:r>
                          <w:rPr>
                            <w:rFonts w:ascii="Arial Narrow" w:hAnsi="Arial Narrow"/>
                            <w:sz w:val="18"/>
                            <w:szCs w:val="18"/>
                          </w:rPr>
                          <w:t>, consider drugs</w:t>
                        </w:r>
                      </w:p>
                    </w:txbxContent>
                  </v:textbox>
                </v:shape>
                <v:shape id="Text Box 123" o:spid="_x0000_s1178" type="#_x0000_t202" style="position:absolute;left:46459;top:40998;width:6426;height:4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cIA&#10;AADbAAAADwAAAGRycy9kb3ducmV2LnhtbERPS4vCMBC+C/6HMAteRFM9iFSjLKK4eBB87J7HZLYt&#10;20xqk9XqrzeC4G0+vudM540txYVqXzhWMOgnIIi1MwVnCo6HVW8Mwgdkg6VjUnAjD/NZuzXF1Lgr&#10;7+iyD5mIIexTVJCHUKVSep2TRd93FXHkfl1tMURYZ9LUeI3htpTDJBlJiwXHhhwrWuSk//b/VsF6&#10;cxrcN99LvT7zqZS7n662i61SnY/mcwIiUBPe4pf7y8T5Q3j+E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4P5wgAAANsAAAAPAAAAAAAAAAAAAAAAAJgCAABkcnMvZG93&#10;bnJldi54bWxQSwUGAAAAAAQABAD1AAAAhw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Drugs</w:t>
                        </w:r>
                      </w:p>
                      <w:p w:rsidR="00C81E3C" w:rsidRDefault="00C81E3C" w:rsidP="009B51C0">
                        <w:pPr>
                          <w:pStyle w:val="NormalWeb"/>
                          <w:spacing w:before="0" w:beforeAutospacing="0" w:after="0" w:afterAutospacing="0" w:line="276" w:lineRule="auto"/>
                        </w:pPr>
                        <w:r>
                          <w:rPr>
                            <w:rFonts w:ascii="Arial Narrow" w:hAnsi="Arial Narrow"/>
                            <w:sz w:val="18"/>
                            <w:szCs w:val="18"/>
                          </w:rPr>
                          <w:t>(Unknown)</w:t>
                        </w:r>
                      </w:p>
                    </w:txbxContent>
                  </v:textbox>
                </v:shape>
                <v:shape id="Text Box 123" o:spid="_x0000_s1179" type="#_x0000_t202" style="position:absolute;left:36179;top:48421;width:14351;height:22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mYsIA&#10;AADbAAAADwAAAGRycy9kb3ducmV2LnhtbERPTWsCMRC9C/6HMIKXolktFFmNImJRPAha9Twm4+7i&#10;ZrLdRN3665tCwds83udMZo0txZ1qXzhWMOgnIIi1MwVnCg5fn70RCB+QDZaOScEPeZhN260JpsY9&#10;eEf3fchEDGGfooI8hCqV0uucLPq+q4gjd3G1xRBhnUlT4yOG21IOk+RDWiw4NuRY0SInfd3frILV&#10;5jx4bo5Lvfrmcyl3pzdtF1ulup1mPgYRqAkv8b97beL8d/j7JR4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yZiwgAAANsAAAAPAAAAAAAAAAAAAAAAAJgCAABkcnMvZG93&#10;bnJldi54bWxQSwUGAAAAAAQABAD1AAAAhwMAAAAA&#10;" strokeweight=".5pt">
                  <v:textbox>
                    <w:txbxContent>
                      <w:p w:rsidR="00C81E3C" w:rsidRPr="000E42BD" w:rsidRDefault="00C81E3C" w:rsidP="009B51C0">
                        <w:pPr>
                          <w:pStyle w:val="NormalWeb"/>
                          <w:spacing w:before="0" w:beforeAutospacing="0" w:after="0" w:afterAutospacing="0" w:line="276" w:lineRule="auto"/>
                          <w:rPr>
                            <w:rFonts w:ascii="Arial Narrow" w:hAnsi="Arial Narrow"/>
                            <w:sz w:val="18"/>
                            <w:szCs w:val="18"/>
                          </w:rPr>
                        </w:pPr>
                        <w:r>
                          <w:rPr>
                            <w:rFonts w:ascii="Arial Narrow" w:hAnsi="Arial Narrow"/>
                            <w:sz w:val="18"/>
                            <w:szCs w:val="18"/>
                          </w:rPr>
                          <w:t>Repeat scan every 12 months</w:t>
                        </w:r>
                      </w:p>
                    </w:txbxContent>
                  </v:textbox>
                </v:shape>
                <v:shape id="Text Box 123" o:spid="_x0000_s1180" type="#_x0000_t202" style="position:absolute;left:46516;top:20848;width:18333;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FsIA&#10;AADbAAAADwAAAGRycy9kb3ducmV2LnhtbERPTWsCMRC9C/6HMIKXolmlFFmNImJRPAha9Twm4+7i&#10;ZrLdRN3665tCwds83udMZo0txZ1qXzhWMOgnIIi1MwVnCg5fn70RCB+QDZaOScEPeZhN260JpsY9&#10;eEf3fchEDGGfooI8hCqV0uucLPq+q4gjd3G1xRBhnUlT4yOG21IOk+RDWiw4NuRY0SInfd3frILV&#10;5jx4bo5Lvfrmcyl3pzdtF1ulup1mPgYRqAkv8b97beL8d/j7JR4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r4WwgAAANsAAAAPAAAAAAAAAAAAAAAAAJgCAABkcnMvZG93&#10;bnJldi54bWxQSwUGAAAAAAQABAD1AAAAhwMAAAAA&#10;" strokeweight=".5pt">
                  <v:textbox>
                    <w:txbxContent>
                      <w:p w:rsidR="00C81E3C" w:rsidRPr="00024BF4" w:rsidRDefault="00C81E3C" w:rsidP="009B51C0">
                        <w:pPr>
                          <w:pStyle w:val="NormalWeb"/>
                          <w:spacing w:before="0" w:beforeAutospacing="0" w:after="200" w:afterAutospacing="0" w:line="276" w:lineRule="auto"/>
                          <w:rPr>
                            <w:rFonts w:ascii="Arial Narrow" w:hAnsi="Arial Narrow"/>
                            <w:sz w:val="18"/>
                            <w:szCs w:val="18"/>
                          </w:rPr>
                        </w:pPr>
                        <w:r w:rsidRPr="00024BF4">
                          <w:rPr>
                            <w:rFonts w:ascii="Arial Narrow" w:hAnsi="Arial Narrow"/>
                            <w:sz w:val="18"/>
                            <w:szCs w:val="18"/>
                          </w:rPr>
                          <w:t xml:space="preserve">Lifestyle </w:t>
                        </w:r>
                        <w:r>
                          <w:rPr>
                            <w:rFonts w:ascii="Arial Narrow" w:hAnsi="Arial Narrow"/>
                            <w:sz w:val="18"/>
                            <w:szCs w:val="18"/>
                          </w:rPr>
                          <w:t>advice (a), +/-</w:t>
                        </w:r>
                        <w:r w:rsidRPr="00024BF4">
                          <w:rPr>
                            <w:rFonts w:ascii="Arial Narrow" w:hAnsi="Arial Narrow"/>
                            <w:sz w:val="18"/>
                            <w:szCs w:val="18"/>
                          </w:rPr>
                          <w:t xml:space="preserve"> supplements</w:t>
                        </w:r>
                        <w:r>
                          <w:rPr>
                            <w:rFonts w:ascii="Arial Narrow" w:hAnsi="Arial Narrow"/>
                            <w:sz w:val="18"/>
                            <w:szCs w:val="18"/>
                          </w:rPr>
                          <w:t xml:space="preserve"> (b)</w:t>
                        </w:r>
                      </w:p>
                    </w:txbxContent>
                  </v:textbox>
                </v:shape>
                <v:shape id="Text Box 123" o:spid="_x0000_s1181" type="#_x0000_t202" style="position:absolute;left:3386;top:25360;width:10154;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bjcIA&#10;AADbAAAADwAAAGRycy9kb3ducmV2LnhtbERPTWsCMRC9C/6HMIKXolmFFlmNImJRPAha9Twm4+7i&#10;ZrLdRN3665tCwds83udMZo0txZ1qXzhWMOgnIIi1MwVnCg5fn70RCB+QDZaOScEPeZhN260JpsY9&#10;eEf3fchEDGGfooI8hCqV0uucLPq+q4gjd3G1xRBhnUlT4yOG21IOk+RDWiw4NuRY0SInfd3frILV&#10;5jx4bo5Lvfrmcyl3pzdtF1ulup1mPgYRqAkv8b97beL8d/j7JR4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huNwgAAANsAAAAPAAAAAAAAAAAAAAAAAJgCAABkcnMvZG93&#10;bnJldi54bWxQSwUGAAAAAAQABAD1AAAAhw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Lifestyle advice (a)</w:t>
                        </w:r>
                      </w:p>
                      <w:p w:rsidR="00C81E3C" w:rsidRDefault="00C81E3C" w:rsidP="009B51C0">
                        <w:pPr>
                          <w:pStyle w:val="NormalWeb"/>
                          <w:spacing w:before="0" w:beforeAutospacing="0" w:after="0" w:afterAutospacing="0" w:line="276" w:lineRule="auto"/>
                        </w:pPr>
                        <w:r>
                          <w:rPr>
                            <w:rFonts w:ascii="Arial Narrow" w:hAnsi="Arial Narrow"/>
                            <w:sz w:val="18"/>
                            <w:szCs w:val="18"/>
                          </w:rPr>
                          <w:t>+/- Supplements (b)</w:t>
                        </w:r>
                      </w:p>
                    </w:txbxContent>
                  </v:textbox>
                </v:shape>
                <v:shape id="Text Box 123" o:spid="_x0000_s1182" type="#_x0000_t202" style="position:absolute;left:2657;top:44410;width:4762;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sEA&#10;AADbAAAADwAAAGRycy9kb3ducmV2LnhtbERPS4vCMBC+L/gfwgh7WTR1D7JUo4goigfB53lMxrbY&#10;TGoTtfrrzcLC3ubje85w3NhS3Kn2hWMFvW4Cglg7U3CmYL+bd35A+IBssHRMCp7kYTxqfQwxNe7B&#10;G7pvQyZiCPsUFeQhVKmUXudk0XddRRy5s6sthgjrTJoaHzHclvI7SfrSYsGxIceKpjnpy/ZmFSxW&#10;p95rdZjpxZVPpdwcv7SdrpX6bDeTAYhATfgX/7mXJs7vw+8v8QA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MhfrBAAAA2wAAAA8AAAAAAAAAAAAAAAAAmAIAAGRycy9kb3du&#10;cmV2LnhtbFBLBQYAAAAABAAEAPUAAACG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83" type="#_x0000_t202" style="position:absolute;left:9705;top:35647;width:3512;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AgYcIA&#10;AADbAAAADwAAAGRycy9kb3ducmV2LnhtbERPTWsCMRC9C/6HMIKXolk9tLIaRcSieBC06nlMxt3F&#10;zWS7ibr11zeFgrd5vM+ZzBpbijvVvnCsYNBPQBBrZwrOFBy+PnsjED4gGywdk4If8jCbtlsTTI17&#10;8I7u+5CJGMI+RQV5CFUqpdc5WfR9VxFH7uJqiyHCOpOmxkcMt6UcJsm7tFhwbMixokVO+rq/WQWr&#10;zXnw3ByXevXN51LuTm/aLrZKdTvNfAwiUBNe4n/32sT5H/D3Szx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CBhwgAAANsAAAAPAAAAAAAAAAAAAAAAAJgCAABkcnMvZG93&#10;bnJldi54bWxQSwUGAAAAAAQABAD1AAAAhw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184" type="#_x0000_t202" style="position:absolute;left:3863;top:35647;width:3093;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0E8UA&#10;AADbAAAADwAAAGRycy9kb3ducmV2LnhtbESPQWsCQQyF7wX/wxDBS9FZPZSyOoqIRfFQ0FbPcSbu&#10;Lu5ktjujbvvrm0Oht4T38t6X2aLztbpTG6vABsajDBSxDa7iwsDnx9vwFVRMyA7rwGTgmyIs5r2n&#10;GeYuPHhP90MqlIRwzNFAmVKTax1tSR7jKDTEol1C6zHJ2hbatfiQcF/rSZa9aI8VS0OJDa1KstfD&#10;zRvY7M7jn91xbTdffK71/vRs/erdmEG/W05BJerSv/nveusEX2D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7QT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185" type="#_x0000_t202" style="position:absolute;left:9705;top:44410;width:476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RiMIA&#10;AADbAAAADwAAAGRycy9kb3ducmV2LnhtbERPTWsCMRC9C/6HMIKXolk9lLoaRcSieBC06nlMxt3F&#10;zWS7ibr11zeFgrd5vM+ZzBpbijvVvnCsYNBPQBBrZwrOFBy+PnsfIHxANlg6JgU/5GE2bbcmmBr3&#10;4B3d9yETMYR9igryEKpUSq9zsuj7riKO3MXVFkOEdSZNjY8Ybks5TJJ3abHg2JBjRYuc9HV/swpW&#10;m/PguTku9eqbz6Xcnd60XWyV6naa+RhEoCa8xP/utYnzR/D3Szx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xGIwgAAANsAAAAPAAAAAAAAAAAAAAAAAJgCAABkcnMvZG93&#10;bnJldi54bWxQSwUGAAAAAAQABAD1AAAAhw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186" type="#_x0000_t202" style="position:absolute;left:6905;top:12796;width:3092;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yqMAA&#10;AADbAAAADwAAAGRycy9kb3ducmV2LnhtbERPy4rCMBTdC/5DuIKbQVNdyFCNIuKguBjwub4m17bY&#10;3NQmox2/3iwEl4fznswaW4o71b5wrGDQT0AQa2cKzhQc9j+9bxA+IBssHZOCf/Iwm7ZbE0yNe/CW&#10;7ruQiRjCPkUFeQhVKqXXOVn0fVcRR+7iaoshwjqTpsZHDLelHCbJSFosODbkWNEiJ33d/VkFq815&#10;8Nwcl3p143Mpt6cvbRe/SnU7zXwMIlATPuK3e20UDOP6+CX+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VyqMAAAADbAAAADwAAAAAAAAAAAAAAAACYAgAAZHJzL2Rvd25y&#10;ZXYueG1sUEsFBgAAAAAEAAQA9QAAAIU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No</w:t>
                        </w:r>
                      </w:p>
                    </w:txbxContent>
                  </v:textbox>
                </v:shape>
                <v:shape id="Straight Arrow Connector 364" o:spid="_x0000_s1187" type="#_x0000_t32" style="position:absolute;left:8365;top:20959;width:83;height:4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ZSMQAAADbAAAADwAAAGRycy9kb3ducmV2LnhtbESPQYvCMBSE74L/ITxhL6KpCiLVKCII&#10;siyIupe9PZrXpti81CbWur/eLCx4HGbmG2a16WwlWmp86VjBZJyAIM6cLrlQ8H3ZjxYgfEDWWDkm&#10;BU/ysFn3eytMtXvwidpzKESEsE9RgQmhTqX0mSGLfuxq4ujlrrEYomwKqRt8RLit5DRJ5tJiyXHB&#10;YE07Q9n1fLcKhqefssjz+9fTz36Pi+TzeDNZq9THoNsuQQTqwjv83z5oBdMJ/H2JP0C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5tlIxAAAANsAAAAPAAAAAAAAAAAA&#10;AAAAAKECAABkcnMvZG93bnJldi54bWxQSwUGAAAAAAQABAD5AAAAkgMAAAAA&#10;">
                  <v:stroke endarrow="open"/>
                </v:shape>
                <v:line id="Straight Connector 365" o:spid="_x0000_s1188" style="position:absolute;visibility:visible;mso-wrap-style:square" from="5737,32504" to="11642,3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Straight Arrow Connector 366" o:spid="_x0000_s1189" type="#_x0000_t32" style="position:absolute;left:5737;top:3250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Straight Arrow Connector 367" o:spid="_x0000_s1190" type="#_x0000_t32" style="position:absolute;left:11642;top:3250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line id="Straight Connector 368" o:spid="_x0000_s1191" style="position:absolute;visibility:visible;mso-wrap-style:square" from="8365,29456" to="8365,3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Straight Arrow Connector 369" o:spid="_x0000_s1192" type="#_x0000_t32" style="position:absolute;left:5641;top:38123;width:0;height:6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Straight Arrow Connector 370" o:spid="_x0000_s1193" type="#_x0000_t32" style="position:absolute;left:11458;top:38123;width:178;height:6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Text Box 123" o:spid="_x0000_s1194" type="#_x0000_t202" style="position:absolute;left:30104;top:27014;width:15234;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rsAA&#10;AADbAAAADwAAAGRycy9kb3ducmV2LnhtbERPy4rCMBTdC/5DuIKbQVNdyFCNIuKguBjwub4m17bY&#10;3NQmox2/3iwEl4fznswaW4o71b5wrGDQT0AQa2cKzhQc9j+9bxA+IBssHZOCf/Iwm7ZbE0yNe/CW&#10;7ruQiRjCPkUFeQhVKqXXOVn0fVcRR+7iaoshwjqTpsZHDLelHCbJSFosODbkWNEiJ33d/VkFq815&#10;8Nwcl3p143Mpt6cvbRe/SnU7zXwMIlATPuK3e20UDOPY+CX+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N+rsAAAADbAAAADwAAAAAAAAAAAAAAAACYAgAAZHJzL2Rvd25y&#10;ZXYueG1sUEsFBgAAAAAEAAQA9QAAAIU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Patient on anti-retroviral therapy</w:t>
                        </w:r>
                      </w:p>
                    </w:txbxContent>
                  </v:textbox>
                </v:shape>
                <v:shape id="Text Box 123" o:spid="_x0000_s1195" type="#_x0000_t202" style="position:absolute;left:63617;top:26807;width:16796;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NcQA&#10;AADbAAAADwAAAGRycy9kb3ducmV2LnhtbESPT2sCMRTE7wW/Q3hCL6JZPRRdjSJisXgQ/Ht+Js/d&#10;xc3Lukl166dvCkKPw8z8hpnMGluKO9W+cKyg30tAEGtnCs4UHPaf3SEIH5ANlo5JwQ95mE1bbxNM&#10;jXvwlu67kIkIYZ+igjyEKpXS65ws+p6riKN3cbXFEGWdSVPjI8JtKQdJ8iEtFhwXcqxokZO+7r6t&#10;gtX63H+uj0u9uvG5lNtTR9vFRqn3djMfgwjUhP/wq/1lFAxG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2zXEAAAA2w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Patient not on anti-retroviral therapy</w:t>
                        </w:r>
                      </w:p>
                    </w:txbxContent>
                  </v:textbox>
                </v:shape>
                <v:shape id="Text Box 123" o:spid="_x0000_s1196" type="#_x0000_t202" style="position:absolute;left:63420;top:30970;width:16954;height:24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kdcMA&#10;AADbAAAADwAAAGRycy9kb3ducmV2LnhtbERPy2rCQBTdF/yH4QpuSjNRQU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kdcMAAADbAAAADwAAAAAAAAAAAAAAAACYAgAAZHJzL2Rv&#10;d25yZXYueG1sUEsFBgAAAAAEAAQA9QAAAIgDA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DXA scan (at X time post-diagnosis)</w:t>
                        </w:r>
                      </w:p>
                    </w:txbxContent>
                  </v:textbox>
                </v:shape>
                <v:shape id="Text Box 123" o:spid="_x0000_s1197" type="#_x0000_t202" style="position:absolute;left:55823;top:36882;width:7576;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B7sUA&#10;AADbAAAADwAAAGRycy9kb3ducmV2LnhtbESPQWvCQBSE74X+h+UVepG6SQU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EHu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≥-1.0</w:t>
                        </w:r>
                      </w:p>
                    </w:txbxContent>
                  </v:textbox>
                </v:shape>
                <v:shape id="Text Box 123" o:spid="_x0000_s1198" type="#_x0000_t202" style="position:absolute;left:66491;top:36878;width:10439;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mcQA&#10;AADbAAAADwAAAGRycy9kb3ducmV2LnhtbESPT2sCMRTE7wW/Q3hCL6JZLYi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35nEAAAA2wAAAA8AAAAAAAAAAAAAAAAAmAIAAGRycy9k&#10;b3ducmV2LnhtbFBLBQYAAAAABAAEAPUAAACJAw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-1.0 &gt; T-score &gt; -2.5</w:t>
                        </w:r>
                      </w:p>
                    </w:txbxContent>
                  </v:textbox>
                </v:shape>
                <v:shape id="Text Box 123" o:spid="_x0000_s1199" type="#_x0000_t202" style="position:absolute;left:79921;top:36769;width:7836;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6AsUA&#10;AADbAAAADwAAAGRycy9kb3ducmV2LnhtbESPQWvCQBSE7wX/w/IEL0U3ViiSZiMiLYoHQW09P3df&#10;k2D2bZpdNfrruwWhx2FmvmGyWWdrcaHWV44VjEcJCGLtTMWFgs/9x3AKwgdkg7VjUnAjD7O895Rh&#10;atyVt3TZhUJECPsUFZQhNKmUXpdk0Y9cQxy9b9daDFG2hTQtXiPc1vIlSV6lxYrjQokNLUrSp93Z&#10;Kliuj+P7+utdL3/4WMvt4VnbxUapQb+bv4EI1IX/8KO9MgomE/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noCxQAAANsAAAAPAAAAAAAAAAAAAAAAAJgCAABkcnMv&#10;ZG93bnJldi54bWxQSwUGAAAAAAQABAD1AAAAigMAAAAA&#10;" strokeweight=".5pt">
                  <v:textbox>
                    <w:txbxContent>
                      <w:p w:rsidR="00C81E3C" w:rsidRDefault="00C81E3C" w:rsidP="009B51C0">
                        <w:pPr>
                          <w:pStyle w:val="NormalWeb"/>
                          <w:spacing w:before="0" w:beforeAutospacing="0" w:after="200" w:afterAutospacing="0" w:line="276" w:lineRule="auto"/>
                        </w:pPr>
                        <w:r>
                          <w:rPr>
                            <w:rFonts w:ascii="Arial Narrow" w:hAnsi="Arial Narrow"/>
                            <w:sz w:val="18"/>
                            <w:szCs w:val="18"/>
                          </w:rPr>
                          <w:t>T-score ≤ -2.5</w:t>
                        </w:r>
                      </w:p>
                    </w:txbxContent>
                  </v:textbox>
                </v:shape>
                <v:shape id="Text Box 123" o:spid="_x0000_s1200" type="#_x0000_t202" style="position:absolute;left:55425;top:41030;width:7995;height:4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idsYA&#10;AADbAAAADwAAAGRycy9kb3ducmV2LnhtbESPT2vCQBTE74LfYXlCL6KbtKV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fids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Diet and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lifestyle</w:t>
                        </w:r>
                        <w:proofErr w:type="gramEnd"/>
                        <w:r>
                          <w:rPr>
                            <w:rFonts w:ascii="Arial Narrow" w:hAnsi="Arial Narrow"/>
                            <w:sz w:val="18"/>
                            <w:szCs w:val="18"/>
                          </w:rPr>
                          <w:t xml:space="preserve"> advice</w:t>
                        </w:r>
                      </w:p>
                    </w:txbxContent>
                  </v:textbox>
                </v:shape>
                <v:shape id="Text Box 123" o:spid="_x0000_s1201" type="#_x0000_t202" style="position:absolute;left:65160;top:40964;width:13881;height:4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H7cYA&#10;AADbAAAADwAAAGRycy9kb3ducmV2LnhtbESPT2vCQBTE74LfYXlCL6KbtLR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tH7c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Calcium and vitamin D</w:t>
                        </w:r>
                      </w:p>
                      <w:p w:rsidR="00C81E3C" w:rsidRDefault="00C81E3C" w:rsidP="009B51C0">
                        <w:pPr>
                          <w:pStyle w:val="NormalWeb"/>
                          <w:spacing w:before="0" w:beforeAutospacing="0" w:after="0" w:afterAutospacing="0" w:line="276" w:lineRule="auto"/>
                        </w:pPr>
                        <w:proofErr w:type="gramStart"/>
                        <w:r>
                          <w:rPr>
                            <w:rFonts w:ascii="Arial Narrow" w:hAnsi="Arial Narrow"/>
                            <w:sz w:val="18"/>
                            <w:szCs w:val="18"/>
                          </w:rPr>
                          <w:t>supplements</w:t>
                        </w:r>
                        <w:proofErr w:type="gramEnd"/>
                        <w:r>
                          <w:rPr>
                            <w:rFonts w:ascii="Arial Narrow" w:hAnsi="Arial Narrow"/>
                            <w:sz w:val="18"/>
                            <w:szCs w:val="18"/>
                          </w:rPr>
                          <w:t>, consider drugs</w:t>
                        </w:r>
                      </w:p>
                    </w:txbxContent>
                  </v:textbox>
                </v:shape>
                <v:shape id="Text Box 123" o:spid="_x0000_s1202" type="#_x0000_t202" style="position:absolute;left:80876;top:40995;width:6426;height:4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ZmsUA&#10;AADbAAAADwAAAGRycy9kb3ducmV2LnhtbESPQWvCQBSE70L/w/IKvYjZWEFK6iYUsSgeCtrW83P3&#10;NQnNvo3ZrUZ/vVsQPA4z8w0zK3rbiCN1vnasYJykIIi1MzWXCr4+30cvIHxANtg4JgVn8lDkD4MZ&#10;ZsadeEPHbShFhLDPUEEVQptJ6XVFFn3iWuLo/bjOYoiyK6Xp8BThtpHPaTqVFmuOCxW2NK9I/27/&#10;rILlej++rL8XenngfSM3u6G28w+lnh77t1cQgfpwD9/aK6NgMoX/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dma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Drugs</w:t>
                        </w:r>
                      </w:p>
                      <w:p w:rsidR="00C81E3C" w:rsidRDefault="00C81E3C" w:rsidP="009B51C0">
                        <w:pPr>
                          <w:pStyle w:val="NormalWeb"/>
                          <w:spacing w:before="0" w:beforeAutospacing="0" w:after="0" w:afterAutospacing="0" w:line="276" w:lineRule="auto"/>
                        </w:pPr>
                        <w:r>
                          <w:rPr>
                            <w:rFonts w:ascii="Arial Narrow" w:hAnsi="Arial Narrow"/>
                            <w:sz w:val="18"/>
                            <w:szCs w:val="18"/>
                          </w:rPr>
                          <w:t>(Unknown)</w:t>
                        </w:r>
                      </w:p>
                    </w:txbxContent>
                  </v:textbox>
                </v:shape>
                <v:shape id="Text Box 123" o:spid="_x0000_s1203" type="#_x0000_t202" style="position:absolute;left:70447;top:48417;width:14351;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8AcYA&#10;AADbAAAADwAAAGRycy9kb3ducmV2LnhtbESPT2vCQBTE74LfYXlCL6KbtNBK6hpELBYPBf+05+fu&#10;axLMvo3ZrUY/fVco9DjMzG+Yad7ZWpyp9ZVjBek4AUGsnam4ULDfvY0mIHxANlg7JgVX8pDP+r0p&#10;ZsZdeEPnbShEhLDPUEEZQpNJ6XVJFv3YNcTR+3atxRBlW0jT4iXCbS0fk+RZWqw4LpTY0KIkfdz+&#10;WAWr9SG9rT+XenXiQy03X0NtFx9KPQy6+SuIQF34D/+1342Cp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V8Ac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Repeat scan every 24 months</w:t>
                        </w:r>
                      </w:p>
                    </w:txbxContent>
                  </v:textbox>
                </v:shape>
                <v:shape id="Straight Arrow Connector 389" o:spid="_x0000_s1204" type="#_x0000_t32" style="position:absolute;left:38969;top:5048;width:99;height:2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line id="Straight Connector 390" o:spid="_x0000_s1205" style="position:absolute;flip:y;visibility:visible;mso-wrap-style:square" from="8365,10953" to="55425,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Straight Connector 391" o:spid="_x0000_s1206" style="position:absolute;visibility:visible;mso-wrap-style:square" from="39068,9603" to="39068,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Straight Arrow Connector 392" o:spid="_x0000_s1207" type="#_x0000_t32" style="position:absolute;left:8451;top:11049;width:0;height:1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shape id="Straight Arrow Connector 394" o:spid="_x0000_s1208" type="#_x0000_t32" style="position:absolute;left:55124;top:10953;width:0;height:1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Straight Arrow Connector 395" o:spid="_x0000_s1209" type="#_x0000_t32" style="position:absolute;left:55124;top:14455;width:0;height:6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line id="Straight Connector 396" o:spid="_x0000_s1210" style="position:absolute;visibility:visible;mso-wrap-style:square" from="37242,24452" to="72009,2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Straight Arrow Connector 397" o:spid="_x0000_s1211" type="#_x0000_t32" style="position:absolute;left:37242;top:24452;width:0;height:2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hjMQAAADbAAAADwAAAGRycy9kb3ducmV2LnhtbESPQWvCQBSE70L/w/IKvZS6Ma22pG5E&#10;hFrBk1ro9ZF9yYZk34bsGuO/7xYEj8PMfMMsV6NtxUC9rx0rmE0TEMSF0zVXCn5OXy8fIHxA1tg6&#10;JgVX8rDKHyZLzLS78IGGY6hEhLDPUIEJocuk9IUhi37qOuLola63GKLsK6l7vES4bWWaJAtpsea4&#10;YLCjjaGiOZ6tgjLVNHtufs33+xzLzf41HYZ2q9TT47j+BBFoDPfwrb3TCt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2GMxAAAANsAAAAPAAAAAAAAAAAA&#10;AAAAAKECAABkcnMvZG93bnJldi54bWxQSwUGAAAAAAQABAD5AAAAkgMAAAAA&#10;">
                  <v:stroke endarrow="open"/>
                </v:shape>
                <v:shape id="Straight Arrow Connector 398" o:spid="_x0000_s1212" type="#_x0000_t32" style="position:absolute;left:72009;top:24452;width:0;height:2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line id="Straight Connector 399" o:spid="_x0000_s1213" style="position:absolute;visibility:visible;mso-wrap-style:square" from="55083,23319" to="55096,2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Straight Arrow Connector 400" o:spid="_x0000_s1214" type="#_x0000_t32" style="position:absolute;left:37813;top:29502;width:0;height:1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shape id="Straight Arrow Connector 401" o:spid="_x0000_s1215" type="#_x0000_t32" style="position:absolute;left:72006;top:29502;width:92;height:14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line id="Straight Connector 402" o:spid="_x0000_s1216" style="position:absolute;visibility:visible;mso-wrap-style:square" from="25050,35121" to="49339,3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Straight Arrow Connector 406" o:spid="_x0000_s1217" type="#_x0000_t32" style="position:absolute;left:37814;top:33440;width:0;height:3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xUsMAAADbAAAADwAAAGRycy9kb3ducmV2LnhtbESPQWvCQBSE70L/w/IKvYhukqItqasU&#10;oSp4UgteH9mXbDD7NmS3Mf57tyB4HGbmG2axGmwjeup87VhBOk1AEBdO11wp+D39TD5B+ICssXFM&#10;Cm7kYbV8GS0w1+7KB+qPoRIRwj5HBSaENpfSF4Ys+qlriaNXus5iiLKrpO7wGuG2kVmSzKXFmuOC&#10;wZbWhorL8c8qKDNN6fhyNtuPGZbr/XvW981GqbfX4fsLRKAhPMOP9k4rmK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8VLDAAAA2wAAAA8AAAAAAAAAAAAA&#10;AAAAoQIAAGRycy9kb3ducmV2LnhtbFBLBQYAAAAABAAEAPkAAACRAwAAAAA=&#10;">
                  <v:stroke endarrow="open"/>
                </v:shape>
                <v:shape id="Straight Arrow Connector 407" o:spid="_x0000_s1218" type="#_x0000_t32" style="position:absolute;left:25015;top:35217;width:35;height:1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0QsUAAADbAAAADwAAAGRycy9kb3ducmV2LnhtbESPQWvCQBSE70L/w/IKXqRuVCwhdZUi&#10;CCKCaHvp7ZF9yYZm38bsGqO/vlsQPA4z8w2zWPW2Fh21vnKsYDJOQBDnTldcKvj+2rylIHxA1lg7&#10;JgU38rBavgwWmGl35SN1p1CKCGGfoQITQpNJ6XNDFv3YNcTRK1xrMUTZllK3eI1wW8tpkrxLixXH&#10;BYMNrQ3lv6eLVTA6/lRlUVz2Nz+7H9JkdzibvFNq+Np/foAI1Idn+NHeagXz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I0QsUAAADbAAAADwAAAAAAAAAA&#10;AAAAAAChAgAAZHJzL2Rvd25yZXYueG1sUEsFBgAAAAAEAAQA+QAAAJMDAAAAAA==&#10;">
                  <v:stroke endarrow="open"/>
                </v:shape>
                <v:shape id="Straight Arrow Connector 408" o:spid="_x0000_s1219" type="#_x0000_t32" style="position:absolute;left:49339;top:35217;width:139;height:1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KvsQAAADbAAAADwAAAGRycy9kb3ducmV2LnhtbESPQWvCQBSE7wX/w/IKXkrdGLGV1I2I&#10;oC30VBW8PrIv2ZDs25BdY/z3bqHQ4zAz3zDrzWhbMVDva8cK5rMEBHHhdM2VgvNp/7oC4QOyxtYx&#10;KbiTh00+eVpjpt2Nf2g4hkpECPsMFZgQukxKXxiy6GeuI45e6XqLIcq+krrHW4TbVqZJ8iYt1hwX&#10;DHa0M1Q0x6tVUKaa5i/NxXy+L7HcfS/SYWgPSk2fx+0HiEBj+A//tb+0guUC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8q+xAAAANsAAAAPAAAAAAAAAAAA&#10;AAAAAKECAABkcnMvZG93bnJldi54bWxQSwUGAAAAAAQABAD5AAAAkgMAAAAA&#10;">
                  <v:stroke endarrow="open"/>
                </v:shape>
                <v:line id="Straight Connector 409" o:spid="_x0000_s1220" style="position:absolute;visibility:visible;mso-wrap-style:square" from="59251,35121" to="83540,3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Straight Arrow Connector 410" o:spid="_x0000_s1221" type="#_x0000_t32" style="position:absolute;left:72015;top:33439;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v:shape id="Straight Arrow Connector 411" o:spid="_x0000_s1222" type="#_x0000_t32" style="position:absolute;left:59213;top:35217;width:32;height:16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kyQcUAAADbAAAADwAAAGRycy9kb3ducmV2LnhtbESPQWvCQBSE74L/YXmCF6kbLYpEVylC&#10;oUhBtL309si+ZIPZt2l2jdFf7wqCx2FmvmFWm85WoqXGl44VTMYJCOLM6ZILBb8/n28LED4ga6wc&#10;k4Iredis+70Vptpd+EDtMRQiQtinqMCEUKdS+syQRT92NXH0ctdYDFE2hdQNXiLcVnKaJHNpseS4&#10;YLCmraHsdDxbBaPDX1nk+fn76t9v+0Wy2/+brFVqOOg+liACdeEVfra/tILZHB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kyQcUAAADbAAAADwAAAAAAAAAA&#10;AAAAAAChAgAAZHJzL2Rvd25yZXYueG1sUEsFBgAAAAAEAAQA+QAAAJMDAAAAAA==&#10;">
                  <v:stroke endarrow="open"/>
                </v:shape>
                <v:shape id="Straight Arrow Connector 412" o:spid="_x0000_s1223" type="#_x0000_t32" style="position:absolute;left:83540;top:35217;width:133;height:1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Straight Arrow Connector 413" o:spid="_x0000_s1224" type="#_x0000_t32" style="position:absolute;left:25049;top:39354;width:0;height:1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Straight Arrow Connector 414" o:spid="_x0000_s1225" type="#_x0000_t32" style="position:absolute;left:37813;top:39354;width:0;height:1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Straight Arrow Connector 415" o:spid="_x0000_s1226" type="#_x0000_t32" style="position:absolute;left:49477;top:39348;width:0;height:1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edMAAAADbAAAADwAAAGRycy9kb3ducmV2LnhtbERPy4rCMBTdD/gP4QpuBk2tjEo1igg6&#10;A7PyAW4vzW1TbG5KE2v9+8lCmOXhvNfb3taio9ZXjhVMJwkI4tzpiksF18thvAThA7LG2jEpeJGH&#10;7WbwscZMuyefqDuHUsQQ9hkqMCE0mZQ+N2TRT1xDHLnCtRZDhG0pdYvPGG5rmSbJXFqsODYYbGhv&#10;KL+fH1ZBkWqaft5v5nvxhcX+d5Z2XX1UajTsdysQgfrwL367f7SCeVwfv8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pnnTAAAAA2wAAAA8AAAAAAAAAAAAAAAAA&#10;oQIAAGRycy9kb3ducmV2LnhtbFBLBQYAAAAABAAEAPkAAACOAwAAAAA=&#10;">
                  <v:stroke endarrow="open"/>
                </v:shape>
                <v:shape id="Straight Arrow Connector 416" o:spid="_x0000_s1227" type="#_x0000_t32" style="position:absolute;left:59249;top:39354;width:0;height:1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v:shape id="Straight Arrow Connector 417" o:spid="_x0000_s1228" type="#_x0000_t32" style="position:absolute;left:72004;top:39354;width:8;height:16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7+/8YAAADbAAAADwAAAGRycy9kb3ducmV2LnhtbESPQWvCQBSE70L/w/IKXqTZ1IKE1FWk&#10;UChFCGovvT2yL9lg9m2aXWPir3cLhR6HmfmGWW9H24qBet84VvCcpCCIS6cbrhV8nd6fMhA+IGts&#10;HZOCiTxsNw+zNebaXflAwzHUIkLY56jAhNDlUvrSkEWfuI44epXrLYYo+1rqHq8Rblu5TNOVtNhw&#10;XDDY0Zuh8ny8WAWLw3dTV9VlP/mXW5Gln8WPKQel5o/j7hVEoDH8h//aH1rBagm/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e/v/GAAAA2wAAAA8AAAAAAAAA&#10;AAAAAAAAoQIAAGRycy9kb3ducmV2LnhtbFBLBQYAAAAABAAEAPkAAACUAwAAAAA=&#10;">
                  <v:stroke endarrow="open"/>
                </v:shape>
                <v:shape id="Straight Arrow Connector 418" o:spid="_x0000_s1229" type="#_x0000_t32" style="position:absolute;left:83670;top:39348;width:0;height:1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AA8QAAADbAAAADwAAAGRycy9kb3ducmV2LnhtbESPzWrDMBCE74W8g9hAL6WR41CnuFZC&#10;CDQt9JQf6HWx1paxtTKW4jhvXxUKPQ4z8w1TbCfbiZEG3zhWsFwkIIhLpxuuFVzO78+vIHxA1tg5&#10;JgV38rDdzB4KzLW78ZHGU6hFhLDPUYEJoc+l9KUhi37heuLoVW6wGKIcaqkHvEW47WSaJJm02HBc&#10;MNjT3lDZnq5WQZVqWj613+Zj/YLV/muVjmN3UOpxPu3eQASawn/4r/2pFWQr+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wADxAAAANsAAAAPAAAAAAAAAAAA&#10;AAAAAKECAABkcnMvZG93bnJldi54bWxQSwUGAAAAAAQABAD5AAAAkgMAAAAA&#10;">
                  <v:stroke endarrow="open"/>
                </v:shape>
                <v:shape id="Straight Arrow Connector 419" o:spid="_x0000_s1230" type="#_x0000_t32" style="position:absolute;left:39909;top:45529;width:0;height:28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Yd8QAAADbAAAADwAAAGRycy9kb3ducmV2LnhtbESPQWvCQBSE70L/w/IKvZS6Ma22pG5E&#10;hFrBk1ro9ZF9yYZk34bsGuO/7xYEj8PMfMMsV6NtxUC9rx0rmE0TEMSF0zVXCn5OXy8fIHxA1tg6&#10;JgVX8rDKHyZLzLS78IGGY6hEhLDPUIEJocuk9IUhi37qOuLola63GKLsK6l7vES4bWWaJAtpsea4&#10;YLCjjaGiOZ6tgjLVNHtufs33+x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ph3xAAAANsAAAAPAAAAAAAAAAAA&#10;AAAAAKECAABkcnMvZG93bnJldi54bWxQSwUGAAAAAAQABAD5AAAAkgMAAAAA&#10;">
                  <v:stroke endarrow="open"/>
                </v:shape>
                <v:shape id="Straight Arrow Connector 420" o:spid="_x0000_s1231" type="#_x0000_t32" style="position:absolute;left:48196;top:45529;width:0;height:28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97MQAAADbAAAADwAAAGRycy9kb3ducmV2LnhtbESPQWvCQBSE74X+h+UVvBTdGDGVmFWK&#10;YFvoSS14fWRfsiHZtyG7jem/7wqFHoeZ+YYp9pPtxEiDbxwrWC4SEMSl0w3XCr4ux/kGhA/IGjvH&#10;pOCHPOx3jw8F5trd+ETjOdQiQtjnqMCE0OdS+tKQRb9wPXH0KjdYDFEOtdQD3iLcdjJNkkxabDgu&#10;GOzpYKhsz99WQZVqWj63V/P+ssbq8LlKx7F7U2r2NL1uQQSawn/4r/2hFWRr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j3sxAAAANsAAAAPAAAAAAAAAAAA&#10;AAAAAKECAABkcnMvZG93bnJldi54bWxQSwUGAAAAAAQABAD5AAAAkgMAAAAA&#10;">
                  <v:stroke endarrow="open"/>
                </v:shape>
                <v:shape id="Straight Arrow Connector 421" o:spid="_x0000_s1232" type="#_x0000_t32" style="position:absolute;left:72015;top:45490;width:85;height:29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4/MUAAADbAAAADwAAAGRycy9kb3ducmV2LnhtbESPQWvCQBSE7wX/w/IKvRTdaCFI6iaU&#10;QkGkINpevD2yL9nQ7NuYXWP017sFweMwM98wq2K0rRio941jBfNZAoK4dLrhWsHvz9d0CcIHZI2t&#10;Y1JwIQ9FPnlaYabdmXc07EMtIoR9hgpMCF0mpS8NWfQz1xFHr3K9xRBlX0vd4znCbSsXSZJKiw3H&#10;BYMdfRoq//Ynq+B1d2jqqjp9X/zbdbtMNtujKQelXp7Hj3cQgcbwCN/ba60gTeH/S/w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X4/MUAAADbAAAADwAAAAAAAAAA&#10;AAAAAAChAgAAZHJzL2Rvd25yZXYueG1sUEsFBgAAAAAEAAQA+QAAAJMDAAAAAA==&#10;">
                  <v:stroke endarrow="open"/>
                </v:shape>
                <v:shape id="Straight Arrow Connector 423" o:spid="_x0000_s1233" type="#_x0000_t32" style="position:absolute;left:83673;top:45529;width:0;height:28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shape id="Text Box 123" o:spid="_x0000_s1234" type="#_x0000_t202" style="position:absolute;left:83099;top:51234;width:4763;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HbsEA&#10;AADbAAAADwAAAGRycy9kb3ducmV2LnhtbERPy4rCMBTdC/MP4Q7MRjR1FiIdo4goDi4EX7O+Ta5t&#10;sbmpTdSOX28WgsvDeY+nra3EjRpfOlYw6CcgiLUzJecKDvtlbwTCB2SDlWNS8E8eppOPzhhT4+68&#10;pdsu5CKGsE9RQRFCnUrpdUEWfd/VxJE7ucZiiLDJpWnwHsNtJb+TZCgtlhwbCqxpXpA+765WwWqd&#10;DR7r40KvLpxVcvvX1Xa+Uerrs539gAjUhrf45f41CoZxbP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x27BAAAA2wAAAA8AAAAAAAAAAAAAAAAAmAIAAGRycy9kb3du&#10;cmV2LnhtbFBLBQYAAAAABAAEAPUAAACG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35" type="#_x0000_t202" style="position:absolute;left:67501;top:51234;width:4762;height:38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i9cUA&#10;AADbAAAADwAAAGRycy9kb3ducmV2LnhtbESPQWvCQBSE7wX/w/IEL0U39iA1zUZEWhQPgtp6fu6+&#10;JsHs2zS7avTXdwtCj8PMfMNks87W4kKtrxwrGI8SEMTamYoLBZ/7j+ErCB+QDdaOScGNPMzy3lOG&#10;qXFX3tJlFwoRIexTVFCG0KRSel2SRT9yDXH0vl1rMUTZFtK0eI1wW8uXJJlIixXHhRIbWpSkT7uz&#10;VbBcH8f39de7Xv7wsZbbw7O2i41Sg343fwMRqAv/4Ud7ZRRMp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WL1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36" type="#_x0000_t202" style="position:absolute;left:56878;top:51234;width:4762;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dtcMA&#10;AADbAAAADwAAAGRycy9kb3ducmV2LnhtbERPy2rCQBTdF/yH4QpuSjPRhZbUUYpUFBcF7WN9M3Ob&#10;hGbupJkxiX59ZyG4PJz3cj3YWnTU+sqxgmmSgiDWzlRcKPj82D49g/AB2WDtmBRcyMN6NXpYYmZc&#10;z0fqTqEQMYR9hgrKEJpMSq9LsugT1xBH7se1FkOEbSFNi30Mt7WcpelcWqw4NpTY0KYk/Xs6WwW7&#10;Qz69Hr7e9O6P81oevx+13bwrNRkPry8gAg3hLr6590bBIq6P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ZdtcMAAADbAAAADwAAAAAAAAAAAAAAAACYAgAAZHJzL2Rv&#10;d25yZXYueG1sUEsFBgAAAAAEAAQA9QAAAIg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37" type="#_x0000_t202" style="position:absolute;left:48410;top:51234;width:4762;height:38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4LsUA&#10;AADbAAAADwAAAGRycy9kb3ducmV2LnhtbESPQWvCQBSE74X+h+UVepG6SQ9aomsooaJ4KKit5+fu&#10;axKafRuzq8b+elcQehxm5htmmve2ESfqfO1YQTpMQBBrZ2ouFXxt5y9vIHxANtg4JgUX8pDPHh+m&#10;mBl35jWdNqEUEcI+QwVVCG0mpdcVWfRD1xJH78d1FkOUXSlNh+cIt418TZKRtFhzXKiwpaIi/bs5&#10;WgWL1T79W31/6MWB941c7wbaFp9KPT/17xMQgfrwH763l0bBOIX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guxQAAANsAAAAPAAAAAAAAAAAAAAAAAJgCAABkcnMv&#10;ZG93bnJldi54bWxQSwUGAAAAAAQABAD1AAAAigM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38" type="#_x0000_t202" style="position:absolute;left:32493;top:51234;width:4763;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mWcQA&#10;AADbAAAADwAAAGRycy9kb3ducmV2LnhtbESPT2sCMRTE7wW/Q3hCL6JZPVRZjSJisXgQ/Ht+Js/d&#10;xc3Lukl166dvCkKPw8z8hpnMGluKO9W+cKyg30tAEGtnCs4UHPaf3REIH5ANlo5JwQ95mE1bbxNM&#10;jXvwlu67kIkIYZ+igjyEKpXS65ws+p6riKN3cbXFEGWdSVPjI8JtKQdJ8iEtFhwXcqxokZO+7r6t&#10;gtX63H+uj0u9uvG5lNtTR9vFRqn3djMfgwjUhP/wq/1lFAwH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ZlnEAAAA2wAAAA8AAAAAAAAAAAAAAAAAmAIAAGRycy9k&#10;b3ducmV2LnhtbFBLBQYAAAAABAAEAPUAAACJAw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239" type="#_x0000_t202" style="position:absolute;left:22563;top:51234;width:4763;height:38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wsYA&#10;AADbAAAADwAAAGRycy9kb3ducmV2LnhtbESPT2vCQBTE74LfYXlCL6KbtNBK6hpELBYPBf+05+fu&#10;axLMvo3ZrUY/fVco9DjMzG+Yad7ZWpyp9ZVjBek4AUGsnam4ULDfvY0mIHxANlg7JgVX8pDP+r0p&#10;ZsZdeEPnbShEhLDPUEEZQpNJ6XVJFv3YNcTR+3atxRBlW0jT4iXCbS0fk+RZWqw4LpTY0KIkfdz+&#10;WAWr9SG9rT+XenXiQy03X0NtFx9KPQy6+SuIQF34D/+1342Cl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TDwsYAAADbAAAADwAAAAAAAAAAAAAAAACYAgAAZHJz&#10;L2Rvd25yZXYueG1sUEsFBgAAAAAEAAQA9QAAAIsDAAAAAA==&#10;" strokeweight=".5pt">
                  <v:textbox>
                    <w:txbxContent>
                      <w:p w:rsidR="00C81E3C" w:rsidRDefault="00C81E3C" w:rsidP="009B51C0">
                        <w:pPr>
                          <w:pStyle w:val="NormalWeb"/>
                          <w:spacing w:before="0" w:beforeAutospacing="0" w:after="0" w:afterAutospacing="0" w:line="276" w:lineRule="auto"/>
                        </w:pPr>
                        <w:r>
                          <w:rPr>
                            <w:rFonts w:ascii="Arial Narrow" w:hAnsi="Arial Narrow"/>
                            <w:sz w:val="18"/>
                            <w:szCs w:val="18"/>
                          </w:rPr>
                          <w:t>Risk of</w:t>
                        </w:r>
                      </w:p>
                      <w:p w:rsidR="00C81E3C" w:rsidRDefault="00C81E3C" w:rsidP="009B51C0">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432" o:spid="_x0000_s1240" type="#_x0000_t32" style="position:absolute;left:25015;top:45529;width:35;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OqsQAAADbAAAADwAAAGRycy9kb3ducmV2LnhtbESPQWvCQBSE70L/w/IKvZS6Ma21pG5E&#10;hFrBk1ro9ZF9yYZk34bsGuO/7xYEj8PMfMMsV6NtxUC9rx0rmE0TEMSF0zVXCn5OXy8fIHxA1tg6&#10;JgVX8rDKHyZLzLS78IGGY6hEhLDPUIEJocuk9IUhi37qOuLola63GKLsK6l7vES4bWWaJO/SYs1x&#10;wWBHG0NFczxbBWWqafbc/JrvxR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w6qxAAAANsAAAAPAAAAAAAAAAAA&#10;AAAAAKECAABkcnMvZG93bnJldi54bWxQSwUGAAAAAAQABAD5AAAAkgMAAAAA&#10;">
                  <v:stroke endarrow="open"/>
                </v:shape>
                <v:shape id="Straight Arrow Connector 433" o:spid="_x0000_s1241" type="#_x0000_t32" style="position:absolute;left:34766;top:45529;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rMcMAAADbAAAADwAAAGRycy9kb3ducmV2LnhtbESPQWvCQBSE74L/YXlCL1I3plhL6ioi&#10;VAVPVaHXR/YlG8y+Ddk1xn/vFgSPw8x8wyxWva1FR62vHCuYThIQxLnTFZcKzqef9y8QPiBrrB2T&#10;gjt5WC2HgwVm2t34l7pjKEWEsM9QgQmhyaT0uSGLfuIa4ugVrrUYomxLqVu8RbitZZokn9JixXHB&#10;YEMbQ/nleLUKilTTdHz5M7v5DIvN4SPtunqr1NuoX3+DCNSHV/jZ3msF8x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qzHDAAAA2wAAAA8AAAAAAAAAAAAA&#10;AAAAoQIAAGRycy9kb3ducmV2LnhtbFBLBQYAAAAABAAEAPkAAACRAwAAAAA=&#10;">
                  <v:stroke endarrow="open"/>
                </v:shape>
                <v:shape id="Straight Arrow Connector 434" o:spid="_x0000_s1242" type="#_x0000_t32" style="position:absolute;left:51736;top:45529;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1RsQAAADbAAAADwAAAGRycy9kb3ducmV2LnhtbESPzWrDMBCE74G8g9hCLiGR45KkuJFD&#10;CDQt5JQf6HWx1paxtTKW6rhvXxUKPQ4z8w2z24+2FQP1vnasYLVMQBAXTtdcKbjf3hYvIHxA1tg6&#10;JgXf5GGfTyc7zLR78IWGa6hEhLDPUIEJocuk9IUhi37pOuLola63GKLsK6l7fES4bWWaJBtpsea4&#10;YLCjo6GiuX5ZBWWqaTVvPs37do3l8fycDkN7Umr2NB5eQQQaw3/4r/2hFWw3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TVGxAAAANsAAAAPAAAAAAAAAAAA&#10;AAAAAKECAABkcnMvZG93bnJldi54bWxQSwUGAAAAAAQABAD5AAAAkgMAAAAA&#10;">
                  <v:stroke endarrow="open"/>
                </v:shape>
                <v:shape id="Straight Arrow Connector 435" o:spid="_x0000_s1243" type="#_x0000_t32" style="position:absolute;left:59251;top:45529;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Q3cQAAADbAAAADwAAAGRycy9kb3ducmV2LnhtbESPT2vCQBTE7wW/w/IEL0U3ptRIdBUR&#10;ags9+Qe8PrIv2WD2bchuY/z2bqHQ4zAzv2HW28E2oqfO144VzGcJCOLC6ZorBZfzx3QJwgdkjY1j&#10;UvAgD9vN6GWNuXZ3PlJ/CpWIEPY5KjAhtLmUvjBk0c9cSxy90nUWQ5RdJXWH9wi3jUyTZCEt1hwX&#10;DLa0N1TcTj9WQZlqmr/eruYze8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WZDdxAAAANsAAAAPAAAAAAAAAAAA&#10;AAAAAKECAABkcnMvZG93bnJldi54bWxQSwUGAAAAAAQABAD5AAAAkgMAAAAA&#10;">
                  <v:stroke endarrow="open"/>
                </v:shape>
                <v:shape id="Straight Arrow Connector 436" o:spid="_x0000_s1244" type="#_x0000_t32" style="position:absolute;left:68580;top:45529;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YEr8EAAADbAAAADwAAAGRycy9kb3ducmV2LnhtbERPz2vCMBS+C/sfwhvsIpra4To6owxh&#10;U/C0buD10bw2xealJFnt/ntzGHj8+H5vdpPtxUg+dI4VrJYZCOLa6Y5bBT/fH4tXECEia+wdk4I/&#10;CrDbPsw2WGp35S8aq9iKFMKhRAUmxqGUMtSGLIalG4gT1zhvMSboW6k9XlO47WWeZS/SYsepweBA&#10;e0P1pfq1Cppc02p+OZtDscZmf3rOx7H/VOrpcXp/AxFpinfxv/uoFRRpbPqSfoD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xgSvwQAAANsAAAAPAAAAAAAAAAAAAAAA&#10;AKECAABkcnMvZG93bnJldi54bWxQSwUGAAAAAAQABAD5AAAAjwMAAAAA&#10;">
                  <v:stroke endarrow="open"/>
                </v:shape>
                <v:shape id="Straight Arrow Connector 437" o:spid="_x0000_s1245" type="#_x0000_t32" style="position:absolute;left:86299;top:45529;width:0;height:5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hNMQAAADbAAAADwAAAGRycy9kb3ducmV2LnhtbESPQWvCQBSE70L/w/IKvZS6MaXapm5E&#10;hFrBk1ro9ZF9yYZk34bsGuO/7xYEj8PMfMMsV6NtxUC9rx0rmE0TEMSF0zVXCn5OXy/vIHxA1tg6&#10;JgVX8rDKHyZLzLS78IGGY6hEhLDPUIEJocuk9IUhi37qOuLola63GKLsK6l7vES4bWWaJHNpsea4&#10;YLCjjaGiOZ6tgjLVNHtufs334g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qE0xAAAANsAAAAPAAAAAAAAAAAA&#10;AAAAAKECAABkcnMvZG93bnJldi54bWxQSwUGAAAAAAQABAD5AAAAkgMAAAAA&#10;">
                  <v:stroke endarrow="open"/>
                </v:shape>
                <v:shape id="Text Box 123" o:spid="_x0000_s1246" type="#_x0000_t202" style="position:absolute;left:872;top:18022;width:21692;height:41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tksEA&#10;AADbAAAADwAAAGRycy9kb3ducmV2LnhtbERPy4rCMBTdC/MP4Q7MRjR1FiIdo4goDi4EX7O+Ta5t&#10;sbmpTdSOX28WgsvDeY+nra3EjRpfOlYw6CcgiLUzJecKDvtlbwTCB2SDlWNS8E8eppOPzhhT4+68&#10;pdsu5CKGsE9RQRFCnUrpdUEWfd/VxJE7ucZiiLDJpWnwHsNtJb+TZCgtlhwbCqxpXpA+765WwWqd&#10;DR7r40KvLpxVcvvX1Xa+Uerrs539gAjUhrf45f41CkZxffwSf4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jLZLBAAAA2wAAAA8AAAAAAAAAAAAAAAAAmAIAAGRycy9kb3du&#10;cmV2LnhtbFBLBQYAAAAABAAEAPUAAACGAwAAAAA=&#10;" strokeweight=".5pt">
                  <v:textbox>
                    <w:txbxContent>
                      <w:p w:rsidR="00C81E3C" w:rsidRDefault="00C81E3C" w:rsidP="00FC3E0D">
                        <w:pPr>
                          <w:pStyle w:val="NormalWeb"/>
                          <w:spacing w:before="0" w:beforeAutospacing="0" w:after="0" w:afterAutospacing="0" w:line="276" w:lineRule="auto"/>
                          <w:jc w:val="center"/>
                        </w:pPr>
                        <w:r>
                          <w:rPr>
                            <w:rFonts w:ascii="Arial Narrow" w:hAnsi="Arial Narrow"/>
                            <w:sz w:val="18"/>
                            <w:szCs w:val="18"/>
                          </w:rPr>
                          <w:t>Clinical assessment, test for vitamin D,</w:t>
                        </w:r>
                      </w:p>
                      <w:p w:rsidR="00C81E3C" w:rsidRDefault="00C81E3C" w:rsidP="00FC3E0D">
                        <w:pPr>
                          <w:pStyle w:val="NormalWeb"/>
                          <w:spacing w:before="0" w:beforeAutospacing="0" w:after="0" w:afterAutospacing="0" w:line="276" w:lineRule="auto"/>
                          <w:jc w:val="cente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v:textbox>
                </v:shape>
                <v:shape id="Text Box 123" o:spid="_x0000_s1247" type="#_x0000_t202" style="position:absolute;left:44369;top:15266;width:21691;height:41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CcUA&#10;AADbAAAADwAAAGRycy9kb3ducmV2LnhtbESPzWrDMBCE74W+g9hCLyWR3UMJTmRTQktKDoH8ntfS&#10;xjaxVq6lJk6fPgoUehxm5htmVgy2FWfqfeNYQTpOQBBrZxquFOy2n6MJCB+QDbaOScGVPBT548MM&#10;M+MuvKbzJlQiQthnqKAOocuk9Lomi37sOuLoHV1vMUTZV9L0eIlw28rXJHmTFhuOCzV2NK9JnzY/&#10;VsFiWaa/y/2HXnxz2cr14UXb+Uqp56fhfQoi0BD+w3/tL6NgksL9S/wB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4gJxQAAANsAAAAPAAAAAAAAAAAAAAAAAJgCAABkcnMv&#10;ZG93bnJldi54bWxQSwUGAAAAAAQABAD1AAAAigMAAAAA&#10;" strokeweight=".5pt">
                  <v:textbox>
                    <w:txbxContent>
                      <w:p w:rsidR="00C81E3C" w:rsidRDefault="00C81E3C" w:rsidP="0078387F">
                        <w:pPr>
                          <w:pStyle w:val="NormalWeb"/>
                          <w:spacing w:before="0" w:beforeAutospacing="0" w:after="0" w:afterAutospacing="0" w:line="276" w:lineRule="auto"/>
                          <w:jc w:val="center"/>
                        </w:pPr>
                        <w:r>
                          <w:rPr>
                            <w:rFonts w:ascii="Arial Narrow" w:hAnsi="Arial Narrow"/>
                            <w:sz w:val="18"/>
                            <w:szCs w:val="18"/>
                          </w:rPr>
                          <w:t>Clinical assessment, test for vitamin D,</w:t>
                        </w:r>
                      </w:p>
                      <w:p w:rsidR="00C81E3C" w:rsidRDefault="00C81E3C" w:rsidP="0078387F">
                        <w:pPr>
                          <w:pStyle w:val="NormalWeb"/>
                          <w:spacing w:before="0" w:beforeAutospacing="0" w:after="0" w:afterAutospacing="0" w:line="276" w:lineRule="auto"/>
                          <w:jc w:val="center"/>
                        </w:pPr>
                        <w:proofErr w:type="gramStart"/>
                        <w:r>
                          <w:rPr>
                            <w:rFonts w:ascii="Arial Narrow" w:hAnsi="Arial Narrow"/>
                            <w:sz w:val="18"/>
                            <w:szCs w:val="18"/>
                          </w:rPr>
                          <w:t>including</w:t>
                        </w:r>
                        <w:proofErr w:type="gramEnd"/>
                        <w:r>
                          <w:rPr>
                            <w:rFonts w:ascii="Arial Narrow" w:hAnsi="Arial Narrow"/>
                            <w:sz w:val="18"/>
                            <w:szCs w:val="18"/>
                          </w:rPr>
                          <w:t xml:space="preserve"> existing fracture risk assessment tools</w:t>
                        </w:r>
                      </w:p>
                    </w:txbxContent>
                  </v:textbox>
                </v:shape>
                <v:shape id="Straight Arrow Connector 1" o:spid="_x0000_s1248" type="#_x0000_t32" style="position:absolute;left:8451;top:15266;width:0;height:2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DYsMAAADbAAAADwAAAGRycy9kb3ducmV2LnhtbESPQWvCQBSE74X+h+UVeim6MdIqqasU&#10;wSr0ZCp4fWRfssHs25BdY/z3riB4HGbmG2axGmwjeup87VjBZJyAIC6crrlScPjfjOYgfEDW2Dgm&#10;BVfysFq+viww0+7Ce+rzUIkIYZ+hAhNCm0npC0MW/di1xNErXWcxRNlVUnd4iXDbyDRJvqTFmuOC&#10;wZbWhopTfrYKylTT5ON0NNvZJ5brv2na982vUu9vw883iEBDeIYf7Z1WME/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7Q2LDAAAA2wAAAA8AAAAAAAAAAAAA&#10;AAAAoQIAAGRycy9kb3ducmV2LnhtbFBLBQYAAAAABAAEAPkAAACRAwAAAAA=&#10;">
                  <v:stroke endarrow="open"/>
                </v:shape>
                <w10:anchorlock/>
              </v:group>
            </w:pict>
          </mc:Fallback>
        </mc:AlternateContent>
      </w:r>
    </w:p>
    <w:p w:rsidR="006379B4" w:rsidRDefault="006379B4">
      <w:pPr>
        <w:jc w:val="left"/>
        <w:sectPr w:rsidR="006379B4" w:rsidSect="009B51C0">
          <w:pgSz w:w="16838" w:h="11906" w:orient="landscape"/>
          <w:pgMar w:top="1440" w:right="1440" w:bottom="1440" w:left="1440" w:header="708" w:footer="708" w:gutter="0"/>
          <w:cols w:space="708"/>
          <w:titlePg/>
          <w:docGrid w:linePitch="360"/>
        </w:sectPr>
      </w:pPr>
    </w:p>
    <w:p w:rsidR="006379B4" w:rsidRDefault="006379B4">
      <w:pPr>
        <w:jc w:val="left"/>
      </w:pPr>
    </w:p>
    <w:p w:rsidR="006379B4" w:rsidRPr="00613957" w:rsidRDefault="006379B4" w:rsidP="00613957">
      <w:pPr>
        <w:pStyle w:val="Heading1"/>
      </w:pPr>
      <w:bookmarkStart w:id="44" w:name="_Toc335902674"/>
      <w:bookmarkStart w:id="45" w:name="_Toc362969235"/>
      <w:r w:rsidRPr="00613957">
        <w:t>Comparator</w:t>
      </w:r>
      <w:bookmarkEnd w:id="44"/>
      <w:bookmarkEnd w:id="45"/>
      <w:r w:rsidRPr="00613957">
        <w:tab/>
      </w:r>
    </w:p>
    <w:p w:rsidR="006379B4" w:rsidRDefault="006379B4" w:rsidP="0038771E">
      <w:r>
        <w:t xml:space="preserve">Currently patients with HIV do not routinely receive DXA scanning, unless they are 70 years of age or older. </w:t>
      </w:r>
      <w:r w:rsidRPr="00871269">
        <w:t xml:space="preserve">Vulnerability to the condition may be predicted through a clinical assessment, including </w:t>
      </w:r>
      <w:r>
        <w:t>a test for vitamin D and the use of</w:t>
      </w:r>
      <w:r w:rsidRPr="00871269">
        <w:t xml:space="preserve"> existing fracture determinant tools. </w:t>
      </w:r>
      <w:r w:rsidR="00EC7E41" w:rsidRPr="00EC7E41">
        <w:t>Determining the probability of 10-year fracture risk can be estimated through use of the FRAX tool (WHO 2007). This tool</w:t>
      </w:r>
      <w:r w:rsidR="00F3753C">
        <w:t xml:space="preserve"> and other similar tools</w:t>
      </w:r>
      <w:r w:rsidR="00EC7E41" w:rsidRPr="00EC7E41">
        <w:t xml:space="preserve"> can be used in combination with DXA results, or without DXA as a predictor of risk of fracture. </w:t>
      </w:r>
      <w:r>
        <w:t>P</w:t>
      </w:r>
      <w:r w:rsidRPr="00C672DE">
        <w:t xml:space="preserve">art of the population </w:t>
      </w:r>
      <w:r>
        <w:t>may take dietary and lifestyle measures to promote good bone health, including</w:t>
      </w:r>
      <w:r w:rsidRPr="00C672DE">
        <w:t xml:space="preserve"> supplements (calcium and vitamin D)</w:t>
      </w:r>
      <w:r>
        <w:t>,</w:t>
      </w:r>
      <w:r w:rsidRPr="00C672DE">
        <w:t xml:space="preserve"> without a</w:t>
      </w:r>
      <w:r>
        <w:t xml:space="preserve"> bone mineral density test</w:t>
      </w:r>
      <w:r w:rsidRPr="00C672DE">
        <w:t xml:space="preserve">. </w:t>
      </w:r>
      <w:r>
        <w:t>These supplements are available without prescription</w:t>
      </w:r>
      <w:r w:rsidRPr="00C672DE">
        <w:t>.</w:t>
      </w:r>
      <w:r w:rsidRPr="000C7A85">
        <w:t xml:space="preserve"> </w:t>
      </w:r>
    </w:p>
    <w:p w:rsidR="006379B4" w:rsidRDefault="006379B4" w:rsidP="0038771E">
      <w:r>
        <w:t>The comparator is:</w:t>
      </w:r>
    </w:p>
    <w:p w:rsidR="006379B4" w:rsidRPr="006E3B6B" w:rsidRDefault="006379B4" w:rsidP="006E3B6B">
      <w:pPr>
        <w:pStyle w:val="ListParagraph"/>
        <w:numPr>
          <w:ilvl w:val="0"/>
          <w:numId w:val="19"/>
        </w:numPr>
      </w:pPr>
      <w:r>
        <w:t>Lifestyle and dietary advice (calcium and vitamin D)</w:t>
      </w:r>
      <w:r w:rsidRPr="00871269">
        <w:t xml:space="preserve"> based on a clinical assessment by a general practitioner using existing fracture risk assessment tools (for example the FRAX </w:t>
      </w:r>
      <w:r w:rsidR="009D3E0D">
        <w:t>tool</w:t>
      </w:r>
      <w:r w:rsidRPr="00871269">
        <w:t xml:space="preserve">) without the results of a bone mineral density test. This clinical assessment would include a test for vitamin D </w:t>
      </w:r>
      <w:r>
        <w:t>sufficiency</w:t>
      </w:r>
      <w:r w:rsidRPr="00871269">
        <w:t xml:space="preserve"> (MBS item 66608).</w:t>
      </w:r>
    </w:p>
    <w:p w:rsidR="006379B4" w:rsidRPr="00CF6D1F" w:rsidRDefault="006379B4" w:rsidP="001D757D"/>
    <w:p w:rsidR="006379B4" w:rsidRDefault="006379B4" w:rsidP="00613957">
      <w:pPr>
        <w:pStyle w:val="Heading1"/>
      </w:pPr>
      <w:bookmarkStart w:id="46" w:name="_Toc335902675"/>
      <w:bookmarkStart w:id="47" w:name="_Toc362969236"/>
      <w:r w:rsidRPr="00613957">
        <w:t>Clinical claim</w:t>
      </w:r>
      <w:bookmarkEnd w:id="46"/>
      <w:bookmarkEnd w:id="47"/>
    </w:p>
    <w:p w:rsidR="006379B4" w:rsidRDefault="006379B4" w:rsidP="006E3B6B">
      <w:r w:rsidRPr="00CF6D1F">
        <w:t>The body of evidence indicates that HIV infection leads to significant decreases in bone mineral density</w:t>
      </w:r>
      <w:r w:rsidRPr="005120F4">
        <w:t xml:space="preserve"> </w:t>
      </w:r>
      <w:r>
        <w:t xml:space="preserve">and may be exacerbated by anti-retroviral therapy such as </w:t>
      </w:r>
      <w:r w:rsidRPr="00D73DDF">
        <w:t>protease inhibitors or nucleoside analogue reverse transcriptase inhibitors</w:t>
      </w:r>
      <w:r w:rsidRPr="00CF6D1F">
        <w:t>. The applicant claims that the proposed MBS item will facilitate the identification of patients with low BMD and</w:t>
      </w:r>
      <w:r w:rsidR="00F3753C">
        <w:t xml:space="preserve"> p</w:t>
      </w:r>
      <w:r w:rsidRPr="00CF6D1F">
        <w:t>otentially prevent fractures and thus the associated costs to the healthcare system and patient</w:t>
      </w:r>
      <w:r w:rsidR="00F3753C">
        <w:t>.</w:t>
      </w: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F3753C" w:rsidRPr="00703ECE" w:rsidTr="00CD5658">
        <w:tc>
          <w:tcPr>
            <w:tcW w:w="9242" w:type="dxa"/>
            <w:tcBorders>
              <w:top w:val="single" w:sz="18" w:space="0" w:color="auto"/>
              <w:bottom w:val="single" w:sz="18" w:space="0" w:color="auto"/>
            </w:tcBorders>
          </w:tcPr>
          <w:p w:rsidR="00F3753C" w:rsidRPr="00BE56F3" w:rsidRDefault="00F3753C" w:rsidP="00CD5658">
            <w:pPr>
              <w:tabs>
                <w:tab w:val="left" w:pos="2835"/>
              </w:tabs>
              <w:spacing w:before="40"/>
              <w:rPr>
                <w:b/>
              </w:rPr>
            </w:pPr>
            <w:r w:rsidRPr="00703ECE">
              <w:t>PASC agreed that the assessment of evidence will need to report the effectiveness of the co-dependent medicines in the proportion of the target population for BMD testing who achieve a threshold result to trigger the initi</w:t>
            </w:r>
            <w:r>
              <w:t>ation of prescribed medication.</w:t>
            </w:r>
          </w:p>
        </w:tc>
      </w:tr>
    </w:tbl>
    <w:p w:rsidR="006379B4" w:rsidRPr="0006322F" w:rsidRDefault="006379B4" w:rsidP="00162EB4"/>
    <w:p w:rsidR="006379B4" w:rsidRDefault="006379B4">
      <w:pPr>
        <w:ind w:left="720"/>
        <w:contextualSpacing/>
        <w:jc w:val="left"/>
        <w:rPr>
          <w:rFonts w:eastAsia="Times New Roman"/>
          <w:lang w:eastAsia="en-US"/>
        </w:rPr>
      </w:pPr>
    </w:p>
    <w:p w:rsidR="006379B4" w:rsidRPr="00CF6D1F" w:rsidRDefault="006379B4">
      <w:pPr>
        <w:ind w:left="720"/>
        <w:contextualSpacing/>
        <w:jc w:val="left"/>
        <w:rPr>
          <w:rFonts w:eastAsia="Times New Roman"/>
          <w:lang w:eastAsia="en-US"/>
        </w:rPr>
      </w:pPr>
    </w:p>
    <w:p w:rsidR="006379B4" w:rsidRPr="00CF6D1F" w:rsidRDefault="006379B4" w:rsidP="005F5995">
      <w:pPr>
        <w:pStyle w:val="Caption"/>
        <w:rPr>
          <w:b w:val="0"/>
          <w:lang w:eastAsia="en-US"/>
        </w:rPr>
      </w:pPr>
      <w:r>
        <w:lastRenderedPageBreak/>
        <w:t xml:space="preserve">Table </w:t>
      </w:r>
      <w:r w:rsidR="008B566C">
        <w:fldChar w:fldCharType="begin"/>
      </w:r>
      <w:r w:rsidR="008B566C">
        <w:instrText xml:space="preserve"> SEQ Table \* ARABIC </w:instrText>
      </w:r>
      <w:r w:rsidR="008B566C">
        <w:fldChar w:fldCharType="separate"/>
      </w:r>
      <w:r w:rsidR="00D24164">
        <w:rPr>
          <w:noProof/>
        </w:rPr>
        <w:t>6</w:t>
      </w:r>
      <w:r w:rsidR="008B566C">
        <w:rPr>
          <w:noProof/>
        </w:rPr>
        <w:fldChar w:fldCharType="end"/>
      </w:r>
      <w:r>
        <w:tab/>
      </w:r>
      <w:r w:rsidRPr="00CF6D1F">
        <w:rPr>
          <w:b w:val="0"/>
          <w:lang w:eastAsia="en-US"/>
        </w:rPr>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6"/>
        <w:gridCol w:w="992"/>
        <w:gridCol w:w="1843"/>
        <w:gridCol w:w="1134"/>
        <w:gridCol w:w="1418"/>
        <w:gridCol w:w="1842"/>
        <w:gridCol w:w="1145"/>
      </w:tblGrid>
      <w:tr w:rsidR="006379B4" w:rsidRPr="00CF6D1F" w:rsidTr="00915B28">
        <w:tc>
          <w:tcPr>
            <w:tcW w:w="1758" w:type="dxa"/>
            <w:gridSpan w:val="2"/>
            <w:vMerge w:val="restart"/>
          </w:tcPr>
          <w:p w:rsidR="006379B4" w:rsidRPr="0063152E" w:rsidRDefault="006379B4">
            <w:pPr>
              <w:keepNext/>
              <w:tabs>
                <w:tab w:val="left" w:pos="2835"/>
              </w:tabs>
              <w:rPr>
                <w:lang w:eastAsia="ja-JP"/>
              </w:rPr>
            </w:pPr>
          </w:p>
        </w:tc>
        <w:tc>
          <w:tcPr>
            <w:tcW w:w="7382" w:type="dxa"/>
            <w:gridSpan w:val="5"/>
          </w:tcPr>
          <w:p w:rsidR="006379B4" w:rsidRPr="0063152E" w:rsidRDefault="006379B4">
            <w:pPr>
              <w:keepNext/>
              <w:tabs>
                <w:tab w:val="left" w:pos="2835"/>
              </w:tabs>
              <w:jc w:val="center"/>
              <w:rPr>
                <w:b/>
                <w:lang w:eastAsia="ja-JP"/>
              </w:rPr>
            </w:pPr>
            <w:r w:rsidRPr="0063152E">
              <w:rPr>
                <w:b/>
                <w:lang w:eastAsia="ja-JP"/>
              </w:rPr>
              <w:t>Comparative effectiveness (DXA scanning, AI) versus comparator</w:t>
            </w:r>
          </w:p>
        </w:tc>
      </w:tr>
      <w:tr w:rsidR="006379B4" w:rsidRPr="00CF6D1F" w:rsidTr="00915B28">
        <w:tc>
          <w:tcPr>
            <w:tcW w:w="1758" w:type="dxa"/>
            <w:gridSpan w:val="2"/>
            <w:vMerge/>
          </w:tcPr>
          <w:p w:rsidR="006379B4" w:rsidRPr="0063152E" w:rsidRDefault="006379B4">
            <w:pPr>
              <w:keepNext/>
              <w:tabs>
                <w:tab w:val="left" w:pos="2835"/>
              </w:tabs>
              <w:rPr>
                <w:lang w:eastAsia="ja-JP"/>
              </w:rPr>
            </w:pPr>
          </w:p>
        </w:tc>
        <w:tc>
          <w:tcPr>
            <w:tcW w:w="2977" w:type="dxa"/>
            <w:gridSpan w:val="2"/>
            <w:vAlign w:val="center"/>
          </w:tcPr>
          <w:p w:rsidR="006379B4" w:rsidRPr="0063152E" w:rsidRDefault="006379B4">
            <w:pPr>
              <w:keepNext/>
              <w:tabs>
                <w:tab w:val="left" w:pos="2835"/>
              </w:tabs>
              <w:ind w:left="720"/>
              <w:contextualSpacing/>
              <w:jc w:val="center"/>
              <w:rPr>
                <w:u w:val="single"/>
                <w:lang w:eastAsia="ja-JP"/>
              </w:rPr>
            </w:pPr>
            <w:r w:rsidRPr="0063152E">
              <w:rPr>
                <w:u w:val="single"/>
                <w:lang w:eastAsia="ja-JP"/>
              </w:rPr>
              <w:t>Superior</w:t>
            </w:r>
          </w:p>
        </w:tc>
        <w:tc>
          <w:tcPr>
            <w:tcW w:w="1418" w:type="dxa"/>
            <w:vAlign w:val="center"/>
          </w:tcPr>
          <w:p w:rsidR="006379B4" w:rsidRPr="0063152E" w:rsidRDefault="006379B4" w:rsidP="00915B28">
            <w:pPr>
              <w:keepNext/>
              <w:tabs>
                <w:tab w:val="left" w:pos="2835"/>
              </w:tabs>
              <w:ind w:left="121"/>
              <w:contextualSpacing/>
              <w:jc w:val="center"/>
              <w:rPr>
                <w:u w:val="single"/>
                <w:lang w:eastAsia="ja-JP"/>
              </w:rPr>
            </w:pPr>
            <w:r w:rsidRPr="0063152E">
              <w:rPr>
                <w:u w:val="single"/>
                <w:lang w:eastAsia="ja-JP"/>
              </w:rPr>
              <w:t>Non-inferior</w:t>
            </w:r>
          </w:p>
        </w:tc>
        <w:tc>
          <w:tcPr>
            <w:tcW w:w="2987" w:type="dxa"/>
            <w:gridSpan w:val="2"/>
            <w:vAlign w:val="center"/>
          </w:tcPr>
          <w:p w:rsidR="006379B4" w:rsidRPr="0063152E" w:rsidRDefault="006379B4">
            <w:pPr>
              <w:keepNext/>
              <w:tabs>
                <w:tab w:val="left" w:pos="2835"/>
              </w:tabs>
              <w:jc w:val="center"/>
              <w:rPr>
                <w:u w:val="single"/>
                <w:lang w:eastAsia="ja-JP"/>
              </w:rPr>
            </w:pPr>
            <w:r w:rsidRPr="0063152E">
              <w:rPr>
                <w:u w:val="single"/>
                <w:lang w:eastAsia="ja-JP"/>
              </w:rPr>
              <w:t>Inferior</w:t>
            </w:r>
          </w:p>
        </w:tc>
      </w:tr>
      <w:tr w:rsidR="006379B4" w:rsidRPr="00CF6D1F" w:rsidTr="005A0753">
        <w:trPr>
          <w:cantSplit/>
          <w:trHeight w:val="385"/>
        </w:trPr>
        <w:tc>
          <w:tcPr>
            <w:tcW w:w="766" w:type="dxa"/>
            <w:vMerge w:val="restart"/>
            <w:textDirection w:val="btLr"/>
            <w:vAlign w:val="center"/>
          </w:tcPr>
          <w:p w:rsidR="006379B4" w:rsidRPr="0063152E" w:rsidRDefault="006379B4" w:rsidP="007C7C77">
            <w:pPr>
              <w:keepNext/>
              <w:tabs>
                <w:tab w:val="left" w:pos="2835"/>
              </w:tabs>
              <w:spacing w:after="0"/>
              <w:ind w:left="113" w:right="113"/>
              <w:jc w:val="center"/>
              <w:rPr>
                <w:b/>
                <w:lang w:eastAsia="ja-JP"/>
              </w:rPr>
            </w:pPr>
            <w:r w:rsidRPr="0063152E">
              <w:rPr>
                <w:b/>
                <w:lang w:eastAsia="ja-JP"/>
              </w:rPr>
              <w:t>Comparative safety versus comparator</w:t>
            </w:r>
          </w:p>
        </w:tc>
        <w:tc>
          <w:tcPr>
            <w:tcW w:w="992" w:type="dxa"/>
            <w:vMerge w:val="restart"/>
            <w:vAlign w:val="center"/>
          </w:tcPr>
          <w:p w:rsidR="006379B4" w:rsidRPr="0063152E" w:rsidRDefault="006379B4" w:rsidP="00915B28">
            <w:pPr>
              <w:keepNext/>
              <w:tabs>
                <w:tab w:val="left" w:pos="2835"/>
              </w:tabs>
              <w:ind w:left="99"/>
              <w:contextualSpacing/>
              <w:jc w:val="left"/>
              <w:rPr>
                <w:u w:val="single"/>
                <w:lang w:eastAsia="ja-JP"/>
              </w:rPr>
            </w:pPr>
            <w:r w:rsidRPr="0063152E">
              <w:rPr>
                <w:u w:val="single"/>
                <w:lang w:eastAsia="ja-JP"/>
              </w:rPr>
              <w:t>Superior</w:t>
            </w:r>
          </w:p>
        </w:tc>
        <w:tc>
          <w:tcPr>
            <w:tcW w:w="2977" w:type="dxa"/>
            <w:gridSpan w:val="2"/>
            <w:vMerge w:val="restart"/>
            <w:vAlign w:val="center"/>
          </w:tcPr>
          <w:p w:rsidR="006379B4" w:rsidRPr="0063152E" w:rsidRDefault="006379B4" w:rsidP="00915B28">
            <w:pPr>
              <w:keepNext/>
              <w:tabs>
                <w:tab w:val="left" w:pos="2835"/>
              </w:tabs>
              <w:ind w:left="99"/>
              <w:contextualSpacing/>
              <w:jc w:val="center"/>
              <w:rPr>
                <w:lang w:eastAsia="ja-JP"/>
              </w:rPr>
            </w:pPr>
            <w:r w:rsidRPr="0063152E">
              <w:rPr>
                <w:lang w:eastAsia="ja-JP"/>
              </w:rPr>
              <w:t>CEA/CUA</w:t>
            </w:r>
          </w:p>
        </w:tc>
        <w:tc>
          <w:tcPr>
            <w:tcW w:w="1418" w:type="dxa"/>
            <w:vMerge w:val="restart"/>
            <w:vAlign w:val="center"/>
          </w:tcPr>
          <w:p w:rsidR="006379B4" w:rsidRPr="0063152E" w:rsidRDefault="006379B4" w:rsidP="00915B28">
            <w:pPr>
              <w:keepNext/>
              <w:tabs>
                <w:tab w:val="left" w:pos="2835"/>
              </w:tabs>
              <w:ind w:left="99"/>
              <w:contextualSpacing/>
              <w:jc w:val="center"/>
              <w:rPr>
                <w:lang w:eastAsia="ja-JP"/>
              </w:rPr>
            </w:pPr>
            <w:r w:rsidRPr="0063152E">
              <w:rPr>
                <w:lang w:eastAsia="ja-JP"/>
              </w:rPr>
              <w:t>CEA/CUA</w:t>
            </w:r>
          </w:p>
        </w:tc>
        <w:tc>
          <w:tcPr>
            <w:tcW w:w="1842" w:type="dxa"/>
          </w:tcPr>
          <w:p w:rsidR="006379B4" w:rsidRPr="0063152E" w:rsidRDefault="006379B4" w:rsidP="00915B28">
            <w:pPr>
              <w:keepNext/>
              <w:tabs>
                <w:tab w:val="left" w:pos="2835"/>
              </w:tabs>
              <w:ind w:left="99"/>
              <w:contextualSpacing/>
              <w:rPr>
                <w:u w:val="single"/>
                <w:lang w:eastAsia="ja-JP"/>
              </w:rPr>
            </w:pPr>
            <w:r w:rsidRPr="0063152E">
              <w:rPr>
                <w:u w:val="single"/>
                <w:lang w:eastAsia="ja-JP"/>
              </w:rPr>
              <w:t>Net clinical benefit</w:t>
            </w:r>
          </w:p>
        </w:tc>
        <w:tc>
          <w:tcPr>
            <w:tcW w:w="1145" w:type="dxa"/>
            <w:vAlign w:val="center"/>
          </w:tcPr>
          <w:p w:rsidR="006379B4" w:rsidRPr="0063152E" w:rsidRDefault="006379B4" w:rsidP="00915B28">
            <w:pPr>
              <w:keepNext/>
              <w:tabs>
                <w:tab w:val="left" w:pos="2835"/>
              </w:tabs>
              <w:ind w:left="99"/>
              <w:jc w:val="center"/>
              <w:rPr>
                <w:lang w:eastAsia="ja-JP"/>
              </w:rPr>
            </w:pPr>
            <w:r w:rsidRPr="0063152E">
              <w:rPr>
                <w:lang w:eastAsia="ja-JP"/>
              </w:rPr>
              <w:t>CEA/CUA</w:t>
            </w:r>
          </w:p>
        </w:tc>
      </w:tr>
      <w:tr w:rsidR="006379B4" w:rsidRPr="00CF6D1F" w:rsidTr="005A0753">
        <w:trPr>
          <w:cantSplit/>
          <w:trHeight w:val="511"/>
        </w:trPr>
        <w:tc>
          <w:tcPr>
            <w:tcW w:w="766" w:type="dxa"/>
            <w:vMerge/>
          </w:tcPr>
          <w:p w:rsidR="006379B4" w:rsidRPr="0063152E" w:rsidRDefault="006379B4">
            <w:pPr>
              <w:tabs>
                <w:tab w:val="left" w:pos="2835"/>
              </w:tabs>
              <w:rPr>
                <w:lang w:eastAsia="ja-JP"/>
              </w:rPr>
            </w:pPr>
          </w:p>
        </w:tc>
        <w:tc>
          <w:tcPr>
            <w:tcW w:w="992" w:type="dxa"/>
            <w:vMerge/>
            <w:vAlign w:val="center"/>
          </w:tcPr>
          <w:p w:rsidR="006379B4" w:rsidRPr="0063152E" w:rsidRDefault="006379B4" w:rsidP="00915B28">
            <w:pPr>
              <w:tabs>
                <w:tab w:val="left" w:pos="2835"/>
              </w:tabs>
              <w:ind w:left="99"/>
              <w:jc w:val="left"/>
              <w:rPr>
                <w:u w:val="single"/>
                <w:lang w:eastAsia="ja-JP"/>
              </w:rPr>
            </w:pPr>
          </w:p>
        </w:tc>
        <w:tc>
          <w:tcPr>
            <w:tcW w:w="2977" w:type="dxa"/>
            <w:gridSpan w:val="2"/>
            <w:vMerge/>
            <w:vAlign w:val="center"/>
          </w:tcPr>
          <w:p w:rsidR="006379B4" w:rsidRPr="0063152E" w:rsidRDefault="006379B4" w:rsidP="00915B28">
            <w:pPr>
              <w:tabs>
                <w:tab w:val="left" w:pos="2835"/>
              </w:tabs>
              <w:ind w:left="99"/>
              <w:jc w:val="center"/>
              <w:rPr>
                <w:lang w:eastAsia="ja-JP"/>
              </w:rPr>
            </w:pPr>
          </w:p>
        </w:tc>
        <w:tc>
          <w:tcPr>
            <w:tcW w:w="1418" w:type="dxa"/>
            <w:vMerge/>
            <w:vAlign w:val="center"/>
          </w:tcPr>
          <w:p w:rsidR="006379B4" w:rsidRPr="0063152E" w:rsidRDefault="006379B4" w:rsidP="00915B28">
            <w:pPr>
              <w:tabs>
                <w:tab w:val="left" w:pos="2835"/>
              </w:tabs>
              <w:ind w:left="99"/>
              <w:jc w:val="center"/>
              <w:rPr>
                <w:lang w:eastAsia="ja-JP"/>
              </w:rPr>
            </w:pPr>
          </w:p>
        </w:tc>
        <w:tc>
          <w:tcPr>
            <w:tcW w:w="1842" w:type="dxa"/>
          </w:tcPr>
          <w:p w:rsidR="006379B4" w:rsidRPr="0063152E" w:rsidRDefault="006379B4" w:rsidP="00915B28">
            <w:pPr>
              <w:tabs>
                <w:tab w:val="left" w:pos="2835"/>
              </w:tabs>
              <w:ind w:left="99"/>
              <w:contextualSpacing/>
              <w:rPr>
                <w:u w:val="single"/>
                <w:lang w:eastAsia="ja-JP"/>
              </w:rPr>
            </w:pPr>
            <w:r w:rsidRPr="0063152E">
              <w:rPr>
                <w:u w:val="single"/>
                <w:lang w:eastAsia="ja-JP"/>
              </w:rPr>
              <w:t>Neutral benefit</w:t>
            </w:r>
          </w:p>
        </w:tc>
        <w:tc>
          <w:tcPr>
            <w:tcW w:w="1145" w:type="dxa"/>
            <w:vAlign w:val="center"/>
          </w:tcPr>
          <w:p w:rsidR="006379B4" w:rsidRPr="0063152E" w:rsidRDefault="006379B4" w:rsidP="00915B28">
            <w:pPr>
              <w:tabs>
                <w:tab w:val="left" w:pos="2835"/>
              </w:tabs>
              <w:ind w:left="99"/>
              <w:contextualSpacing/>
              <w:jc w:val="center"/>
              <w:rPr>
                <w:lang w:eastAsia="ja-JP"/>
              </w:rPr>
            </w:pPr>
            <w:r w:rsidRPr="0063152E">
              <w:rPr>
                <w:lang w:eastAsia="ja-JP"/>
              </w:rPr>
              <w:t>CEA/CUA*</w:t>
            </w:r>
          </w:p>
        </w:tc>
      </w:tr>
      <w:tr w:rsidR="006379B4" w:rsidRPr="00CF6D1F" w:rsidTr="005A0753">
        <w:trPr>
          <w:cantSplit/>
          <w:trHeight w:val="70"/>
        </w:trPr>
        <w:tc>
          <w:tcPr>
            <w:tcW w:w="766" w:type="dxa"/>
            <w:vMerge/>
          </w:tcPr>
          <w:p w:rsidR="006379B4" w:rsidRPr="0063152E" w:rsidRDefault="006379B4">
            <w:pPr>
              <w:tabs>
                <w:tab w:val="left" w:pos="2835"/>
              </w:tabs>
              <w:rPr>
                <w:lang w:eastAsia="ja-JP"/>
              </w:rPr>
            </w:pPr>
          </w:p>
        </w:tc>
        <w:tc>
          <w:tcPr>
            <w:tcW w:w="992" w:type="dxa"/>
            <w:vMerge/>
            <w:vAlign w:val="center"/>
          </w:tcPr>
          <w:p w:rsidR="006379B4" w:rsidRPr="0063152E" w:rsidRDefault="006379B4" w:rsidP="00915B28">
            <w:pPr>
              <w:tabs>
                <w:tab w:val="left" w:pos="2835"/>
              </w:tabs>
              <w:ind w:left="99"/>
              <w:jc w:val="left"/>
              <w:rPr>
                <w:u w:val="single"/>
                <w:lang w:eastAsia="ja-JP"/>
              </w:rPr>
            </w:pPr>
          </w:p>
        </w:tc>
        <w:tc>
          <w:tcPr>
            <w:tcW w:w="2977" w:type="dxa"/>
            <w:gridSpan w:val="2"/>
            <w:vMerge/>
            <w:vAlign w:val="center"/>
          </w:tcPr>
          <w:p w:rsidR="006379B4" w:rsidRPr="0063152E" w:rsidRDefault="006379B4" w:rsidP="00915B28">
            <w:pPr>
              <w:tabs>
                <w:tab w:val="left" w:pos="2835"/>
              </w:tabs>
              <w:ind w:left="99"/>
              <w:jc w:val="center"/>
              <w:rPr>
                <w:lang w:eastAsia="ja-JP"/>
              </w:rPr>
            </w:pPr>
          </w:p>
        </w:tc>
        <w:tc>
          <w:tcPr>
            <w:tcW w:w="1418" w:type="dxa"/>
            <w:vMerge/>
            <w:vAlign w:val="center"/>
          </w:tcPr>
          <w:p w:rsidR="006379B4" w:rsidRPr="0063152E" w:rsidRDefault="006379B4" w:rsidP="00915B28">
            <w:pPr>
              <w:tabs>
                <w:tab w:val="left" w:pos="2835"/>
              </w:tabs>
              <w:ind w:left="99"/>
              <w:jc w:val="center"/>
              <w:rPr>
                <w:lang w:eastAsia="ja-JP"/>
              </w:rPr>
            </w:pPr>
          </w:p>
        </w:tc>
        <w:tc>
          <w:tcPr>
            <w:tcW w:w="1842" w:type="dxa"/>
          </w:tcPr>
          <w:p w:rsidR="006379B4" w:rsidRPr="0063152E" w:rsidRDefault="006379B4" w:rsidP="00915B28">
            <w:pPr>
              <w:tabs>
                <w:tab w:val="left" w:pos="2835"/>
              </w:tabs>
              <w:ind w:left="99"/>
              <w:contextualSpacing/>
              <w:rPr>
                <w:u w:val="single"/>
                <w:lang w:eastAsia="ja-JP"/>
              </w:rPr>
            </w:pPr>
            <w:r w:rsidRPr="0063152E">
              <w:rPr>
                <w:u w:val="single"/>
                <w:lang w:eastAsia="ja-JP"/>
              </w:rPr>
              <w:t>Net harms</w:t>
            </w:r>
          </w:p>
        </w:tc>
        <w:tc>
          <w:tcPr>
            <w:tcW w:w="1145" w:type="dxa"/>
            <w:vAlign w:val="center"/>
          </w:tcPr>
          <w:p w:rsidR="006379B4" w:rsidRPr="0063152E" w:rsidRDefault="006379B4" w:rsidP="00915B28">
            <w:pPr>
              <w:tabs>
                <w:tab w:val="left" w:pos="2835"/>
              </w:tabs>
              <w:ind w:left="99"/>
              <w:contextualSpacing/>
              <w:jc w:val="center"/>
              <w:rPr>
                <w:lang w:eastAsia="ja-JP"/>
              </w:rPr>
            </w:pPr>
            <w:r w:rsidRPr="0063152E">
              <w:rPr>
                <w:lang w:eastAsia="ja-JP"/>
              </w:rPr>
              <w:t>None^</w:t>
            </w:r>
          </w:p>
        </w:tc>
      </w:tr>
      <w:tr w:rsidR="006379B4" w:rsidRPr="00CF6D1F" w:rsidTr="005A0753">
        <w:trPr>
          <w:cantSplit/>
          <w:trHeight w:val="616"/>
        </w:trPr>
        <w:tc>
          <w:tcPr>
            <w:tcW w:w="766" w:type="dxa"/>
            <w:vMerge/>
          </w:tcPr>
          <w:p w:rsidR="006379B4" w:rsidRPr="0063152E" w:rsidRDefault="006379B4">
            <w:pPr>
              <w:tabs>
                <w:tab w:val="left" w:pos="2835"/>
              </w:tabs>
              <w:rPr>
                <w:lang w:eastAsia="ja-JP"/>
              </w:rPr>
            </w:pPr>
          </w:p>
        </w:tc>
        <w:tc>
          <w:tcPr>
            <w:tcW w:w="992" w:type="dxa"/>
            <w:vAlign w:val="center"/>
          </w:tcPr>
          <w:p w:rsidR="006379B4" w:rsidRPr="0063152E" w:rsidRDefault="006379B4" w:rsidP="00915B28">
            <w:pPr>
              <w:tabs>
                <w:tab w:val="left" w:pos="2835"/>
              </w:tabs>
              <w:ind w:left="99"/>
              <w:contextualSpacing/>
              <w:jc w:val="left"/>
              <w:rPr>
                <w:u w:val="single"/>
                <w:lang w:eastAsia="ja-JP"/>
              </w:rPr>
            </w:pPr>
            <w:r w:rsidRPr="0063152E">
              <w:rPr>
                <w:u w:val="single"/>
                <w:lang w:eastAsia="ja-JP"/>
              </w:rPr>
              <w:t>Non-inferior</w:t>
            </w:r>
          </w:p>
        </w:tc>
        <w:tc>
          <w:tcPr>
            <w:tcW w:w="2977" w:type="dxa"/>
            <w:gridSpan w:val="2"/>
            <w:shd w:val="clear" w:color="auto" w:fill="C6D9F1"/>
            <w:vAlign w:val="center"/>
          </w:tcPr>
          <w:p w:rsidR="006379B4" w:rsidRPr="0063152E" w:rsidRDefault="006379B4" w:rsidP="00915B28">
            <w:pPr>
              <w:tabs>
                <w:tab w:val="left" w:pos="2835"/>
              </w:tabs>
              <w:ind w:left="99"/>
              <w:contextualSpacing/>
              <w:jc w:val="center"/>
              <w:rPr>
                <w:sz w:val="32"/>
                <w:szCs w:val="32"/>
                <w:lang w:eastAsia="ja-JP"/>
              </w:rPr>
            </w:pPr>
            <w:r w:rsidRPr="0063152E">
              <w:rPr>
                <w:sz w:val="32"/>
                <w:szCs w:val="32"/>
                <w:lang w:eastAsia="ja-JP"/>
              </w:rPr>
              <w:t>CEA/</w:t>
            </w:r>
            <w:r w:rsidRPr="0063152E">
              <w:rPr>
                <w:b/>
                <w:sz w:val="32"/>
                <w:szCs w:val="32"/>
                <w:u w:val="single"/>
                <w:lang w:eastAsia="ja-JP"/>
              </w:rPr>
              <w:t>CUA</w:t>
            </w:r>
          </w:p>
        </w:tc>
        <w:tc>
          <w:tcPr>
            <w:tcW w:w="1418" w:type="dxa"/>
            <w:vAlign w:val="center"/>
          </w:tcPr>
          <w:p w:rsidR="006379B4" w:rsidRPr="0063152E" w:rsidRDefault="006379B4" w:rsidP="00915B28">
            <w:pPr>
              <w:tabs>
                <w:tab w:val="left" w:pos="2835"/>
              </w:tabs>
              <w:ind w:left="99"/>
              <w:contextualSpacing/>
              <w:jc w:val="center"/>
              <w:rPr>
                <w:lang w:eastAsia="ja-JP"/>
              </w:rPr>
            </w:pPr>
            <w:r w:rsidRPr="0063152E">
              <w:rPr>
                <w:lang w:eastAsia="ja-JP"/>
              </w:rPr>
              <w:t>CEA/CUA*</w:t>
            </w:r>
          </w:p>
        </w:tc>
        <w:tc>
          <w:tcPr>
            <w:tcW w:w="2987" w:type="dxa"/>
            <w:gridSpan w:val="2"/>
            <w:vAlign w:val="center"/>
          </w:tcPr>
          <w:p w:rsidR="006379B4" w:rsidRPr="0063152E" w:rsidRDefault="006379B4" w:rsidP="00915B28">
            <w:pPr>
              <w:tabs>
                <w:tab w:val="left" w:pos="2835"/>
              </w:tabs>
              <w:ind w:left="99"/>
              <w:contextualSpacing/>
              <w:jc w:val="center"/>
              <w:rPr>
                <w:lang w:eastAsia="ja-JP"/>
              </w:rPr>
            </w:pPr>
            <w:r w:rsidRPr="0063152E">
              <w:rPr>
                <w:lang w:eastAsia="ja-JP"/>
              </w:rPr>
              <w:t>None^</w:t>
            </w:r>
          </w:p>
        </w:tc>
      </w:tr>
      <w:tr w:rsidR="006379B4" w:rsidRPr="00CF6D1F" w:rsidTr="005A0753">
        <w:trPr>
          <w:cantSplit/>
          <w:trHeight w:val="570"/>
        </w:trPr>
        <w:tc>
          <w:tcPr>
            <w:tcW w:w="766" w:type="dxa"/>
            <w:vMerge/>
          </w:tcPr>
          <w:p w:rsidR="006379B4" w:rsidRPr="0063152E" w:rsidRDefault="006379B4">
            <w:pPr>
              <w:tabs>
                <w:tab w:val="left" w:pos="2835"/>
              </w:tabs>
              <w:rPr>
                <w:lang w:eastAsia="ja-JP"/>
              </w:rPr>
            </w:pPr>
          </w:p>
        </w:tc>
        <w:tc>
          <w:tcPr>
            <w:tcW w:w="992" w:type="dxa"/>
            <w:vMerge w:val="restart"/>
            <w:vAlign w:val="center"/>
          </w:tcPr>
          <w:p w:rsidR="006379B4" w:rsidRPr="0063152E" w:rsidRDefault="006379B4" w:rsidP="00915B28">
            <w:pPr>
              <w:tabs>
                <w:tab w:val="left" w:pos="2835"/>
              </w:tabs>
              <w:ind w:left="99"/>
              <w:contextualSpacing/>
              <w:jc w:val="left"/>
              <w:rPr>
                <w:u w:val="single"/>
                <w:lang w:eastAsia="ja-JP"/>
              </w:rPr>
            </w:pPr>
            <w:r w:rsidRPr="0063152E">
              <w:rPr>
                <w:u w:val="single"/>
                <w:lang w:eastAsia="ja-JP"/>
              </w:rPr>
              <w:t>Inferior</w:t>
            </w:r>
          </w:p>
        </w:tc>
        <w:tc>
          <w:tcPr>
            <w:tcW w:w="1843" w:type="dxa"/>
            <w:vAlign w:val="center"/>
          </w:tcPr>
          <w:p w:rsidR="006379B4" w:rsidRPr="0063152E" w:rsidRDefault="006379B4" w:rsidP="00915B28">
            <w:pPr>
              <w:tabs>
                <w:tab w:val="left" w:pos="2835"/>
              </w:tabs>
              <w:ind w:left="99"/>
              <w:contextualSpacing/>
              <w:jc w:val="left"/>
              <w:rPr>
                <w:u w:val="single"/>
                <w:lang w:eastAsia="ja-JP"/>
              </w:rPr>
            </w:pPr>
            <w:r w:rsidRPr="0063152E">
              <w:rPr>
                <w:u w:val="single"/>
                <w:lang w:eastAsia="ja-JP"/>
              </w:rPr>
              <w:t>Net clinical benefit</w:t>
            </w:r>
          </w:p>
        </w:tc>
        <w:tc>
          <w:tcPr>
            <w:tcW w:w="1134" w:type="dxa"/>
            <w:vAlign w:val="center"/>
          </w:tcPr>
          <w:p w:rsidR="006379B4" w:rsidRPr="0063152E" w:rsidRDefault="006379B4" w:rsidP="00915B28">
            <w:pPr>
              <w:tabs>
                <w:tab w:val="left" w:pos="2835"/>
              </w:tabs>
              <w:ind w:left="99"/>
              <w:contextualSpacing/>
              <w:jc w:val="center"/>
              <w:rPr>
                <w:lang w:eastAsia="ja-JP"/>
              </w:rPr>
            </w:pPr>
            <w:r w:rsidRPr="0063152E">
              <w:rPr>
                <w:lang w:eastAsia="ja-JP"/>
              </w:rPr>
              <w:t>CEA/CUA</w:t>
            </w:r>
          </w:p>
        </w:tc>
        <w:tc>
          <w:tcPr>
            <w:tcW w:w="1418" w:type="dxa"/>
            <w:vMerge w:val="restart"/>
            <w:vAlign w:val="center"/>
          </w:tcPr>
          <w:p w:rsidR="006379B4" w:rsidRPr="0063152E" w:rsidRDefault="006379B4" w:rsidP="00915B28">
            <w:pPr>
              <w:tabs>
                <w:tab w:val="left" w:pos="2835"/>
              </w:tabs>
              <w:ind w:left="99"/>
              <w:contextualSpacing/>
              <w:jc w:val="center"/>
              <w:rPr>
                <w:lang w:eastAsia="ja-JP"/>
              </w:rPr>
            </w:pPr>
            <w:r w:rsidRPr="0063152E">
              <w:rPr>
                <w:lang w:eastAsia="ja-JP"/>
              </w:rPr>
              <w:t>None^</w:t>
            </w:r>
          </w:p>
        </w:tc>
        <w:tc>
          <w:tcPr>
            <w:tcW w:w="2987" w:type="dxa"/>
            <w:gridSpan w:val="2"/>
            <w:vMerge w:val="restart"/>
            <w:vAlign w:val="center"/>
          </w:tcPr>
          <w:p w:rsidR="006379B4" w:rsidRPr="0063152E" w:rsidRDefault="006379B4" w:rsidP="00915B28">
            <w:pPr>
              <w:tabs>
                <w:tab w:val="left" w:pos="2835"/>
              </w:tabs>
              <w:ind w:left="99"/>
              <w:contextualSpacing/>
              <w:jc w:val="center"/>
              <w:rPr>
                <w:lang w:eastAsia="ja-JP"/>
              </w:rPr>
            </w:pPr>
            <w:r w:rsidRPr="0063152E">
              <w:rPr>
                <w:lang w:eastAsia="ja-JP"/>
              </w:rPr>
              <w:t>None^</w:t>
            </w:r>
          </w:p>
        </w:tc>
      </w:tr>
      <w:tr w:rsidR="006379B4" w:rsidRPr="00CF6D1F" w:rsidTr="005A0753">
        <w:trPr>
          <w:trHeight w:val="20"/>
        </w:trPr>
        <w:tc>
          <w:tcPr>
            <w:tcW w:w="766" w:type="dxa"/>
            <w:vMerge/>
          </w:tcPr>
          <w:p w:rsidR="006379B4" w:rsidRPr="00CF6D1F" w:rsidRDefault="006379B4">
            <w:pPr>
              <w:tabs>
                <w:tab w:val="left" w:pos="2835"/>
              </w:tabs>
              <w:rPr>
                <w:lang w:eastAsia="ja-JP"/>
              </w:rPr>
            </w:pPr>
          </w:p>
        </w:tc>
        <w:tc>
          <w:tcPr>
            <w:tcW w:w="992" w:type="dxa"/>
            <w:vMerge/>
          </w:tcPr>
          <w:p w:rsidR="006379B4" w:rsidRPr="00CF6D1F" w:rsidRDefault="006379B4">
            <w:pPr>
              <w:tabs>
                <w:tab w:val="left" w:pos="2835"/>
              </w:tabs>
              <w:rPr>
                <w:lang w:eastAsia="ja-JP"/>
              </w:rPr>
            </w:pPr>
          </w:p>
        </w:tc>
        <w:tc>
          <w:tcPr>
            <w:tcW w:w="1843" w:type="dxa"/>
            <w:vAlign w:val="center"/>
          </w:tcPr>
          <w:p w:rsidR="006379B4" w:rsidRPr="00CF6D1F" w:rsidRDefault="006379B4" w:rsidP="00915B28">
            <w:pPr>
              <w:tabs>
                <w:tab w:val="left" w:pos="2835"/>
              </w:tabs>
              <w:ind w:left="128"/>
              <w:contextualSpacing/>
              <w:jc w:val="left"/>
              <w:rPr>
                <w:u w:val="single"/>
                <w:lang w:eastAsia="ja-JP"/>
              </w:rPr>
            </w:pPr>
            <w:r w:rsidRPr="00CF6D1F">
              <w:rPr>
                <w:u w:val="single"/>
                <w:lang w:eastAsia="ja-JP"/>
              </w:rPr>
              <w:t>Neutral benefit</w:t>
            </w:r>
          </w:p>
        </w:tc>
        <w:tc>
          <w:tcPr>
            <w:tcW w:w="1134" w:type="dxa"/>
            <w:vAlign w:val="center"/>
          </w:tcPr>
          <w:p w:rsidR="006379B4" w:rsidRPr="00CF6D1F" w:rsidRDefault="006379B4" w:rsidP="00915B28">
            <w:pPr>
              <w:tabs>
                <w:tab w:val="left" w:pos="2835"/>
              </w:tabs>
              <w:ind w:left="100"/>
              <w:contextualSpacing/>
              <w:jc w:val="center"/>
              <w:rPr>
                <w:lang w:eastAsia="ja-JP"/>
              </w:rPr>
            </w:pPr>
            <w:r w:rsidRPr="00CF6D1F">
              <w:rPr>
                <w:lang w:eastAsia="ja-JP"/>
              </w:rPr>
              <w:t>CEA/CUA*</w:t>
            </w:r>
          </w:p>
        </w:tc>
        <w:tc>
          <w:tcPr>
            <w:tcW w:w="1418" w:type="dxa"/>
            <w:vMerge/>
            <w:vAlign w:val="center"/>
          </w:tcPr>
          <w:p w:rsidR="006379B4" w:rsidRPr="00CF6D1F" w:rsidRDefault="006379B4">
            <w:pPr>
              <w:tabs>
                <w:tab w:val="left" w:pos="2835"/>
              </w:tabs>
              <w:jc w:val="center"/>
              <w:rPr>
                <w:lang w:eastAsia="ja-JP"/>
              </w:rPr>
            </w:pPr>
          </w:p>
        </w:tc>
        <w:tc>
          <w:tcPr>
            <w:tcW w:w="2987" w:type="dxa"/>
            <w:gridSpan w:val="2"/>
            <w:vMerge/>
          </w:tcPr>
          <w:p w:rsidR="006379B4" w:rsidRPr="00CF6D1F" w:rsidRDefault="006379B4">
            <w:pPr>
              <w:tabs>
                <w:tab w:val="left" w:pos="2835"/>
              </w:tabs>
              <w:rPr>
                <w:lang w:eastAsia="ja-JP"/>
              </w:rPr>
            </w:pPr>
          </w:p>
        </w:tc>
      </w:tr>
      <w:tr w:rsidR="006379B4" w:rsidRPr="00CF6D1F" w:rsidTr="005A0753">
        <w:trPr>
          <w:trHeight w:val="20"/>
        </w:trPr>
        <w:tc>
          <w:tcPr>
            <w:tcW w:w="766" w:type="dxa"/>
            <w:vMerge/>
          </w:tcPr>
          <w:p w:rsidR="006379B4" w:rsidRPr="00CF6D1F" w:rsidRDefault="006379B4">
            <w:pPr>
              <w:tabs>
                <w:tab w:val="left" w:pos="2835"/>
              </w:tabs>
              <w:rPr>
                <w:lang w:eastAsia="ja-JP"/>
              </w:rPr>
            </w:pPr>
          </w:p>
        </w:tc>
        <w:tc>
          <w:tcPr>
            <w:tcW w:w="992" w:type="dxa"/>
            <w:vMerge/>
          </w:tcPr>
          <w:p w:rsidR="006379B4" w:rsidRPr="00CF6D1F" w:rsidRDefault="006379B4">
            <w:pPr>
              <w:tabs>
                <w:tab w:val="left" w:pos="2835"/>
              </w:tabs>
              <w:rPr>
                <w:lang w:eastAsia="ja-JP"/>
              </w:rPr>
            </w:pPr>
          </w:p>
        </w:tc>
        <w:tc>
          <w:tcPr>
            <w:tcW w:w="1843" w:type="dxa"/>
            <w:vAlign w:val="center"/>
          </w:tcPr>
          <w:p w:rsidR="006379B4" w:rsidRPr="00CF6D1F" w:rsidRDefault="006379B4" w:rsidP="00915B28">
            <w:pPr>
              <w:tabs>
                <w:tab w:val="left" w:pos="2835"/>
              </w:tabs>
              <w:ind w:left="128"/>
              <w:contextualSpacing/>
              <w:jc w:val="left"/>
              <w:rPr>
                <w:u w:val="single"/>
                <w:lang w:eastAsia="ja-JP"/>
              </w:rPr>
            </w:pPr>
            <w:r w:rsidRPr="00CF6D1F">
              <w:rPr>
                <w:u w:val="single"/>
                <w:lang w:eastAsia="ja-JP"/>
              </w:rPr>
              <w:t>Net harms</w:t>
            </w:r>
          </w:p>
        </w:tc>
        <w:tc>
          <w:tcPr>
            <w:tcW w:w="1134" w:type="dxa"/>
            <w:vAlign w:val="center"/>
          </w:tcPr>
          <w:p w:rsidR="006379B4" w:rsidRPr="00CF6D1F" w:rsidRDefault="006379B4" w:rsidP="00915B28">
            <w:pPr>
              <w:tabs>
                <w:tab w:val="left" w:pos="2835"/>
              </w:tabs>
              <w:ind w:left="100"/>
              <w:contextualSpacing/>
              <w:jc w:val="center"/>
              <w:rPr>
                <w:lang w:eastAsia="ja-JP"/>
              </w:rPr>
            </w:pPr>
            <w:r w:rsidRPr="00CF6D1F">
              <w:rPr>
                <w:lang w:eastAsia="ja-JP"/>
              </w:rPr>
              <w:t>None^</w:t>
            </w:r>
          </w:p>
        </w:tc>
        <w:tc>
          <w:tcPr>
            <w:tcW w:w="1418" w:type="dxa"/>
            <w:vMerge/>
            <w:vAlign w:val="center"/>
          </w:tcPr>
          <w:p w:rsidR="006379B4" w:rsidRPr="00CF6D1F" w:rsidRDefault="006379B4">
            <w:pPr>
              <w:tabs>
                <w:tab w:val="left" w:pos="2835"/>
              </w:tabs>
              <w:jc w:val="center"/>
              <w:rPr>
                <w:lang w:eastAsia="ja-JP"/>
              </w:rPr>
            </w:pPr>
          </w:p>
        </w:tc>
        <w:tc>
          <w:tcPr>
            <w:tcW w:w="2987" w:type="dxa"/>
            <w:gridSpan w:val="2"/>
            <w:vMerge/>
          </w:tcPr>
          <w:p w:rsidR="006379B4" w:rsidRPr="00CF6D1F" w:rsidRDefault="006379B4">
            <w:pPr>
              <w:tabs>
                <w:tab w:val="left" w:pos="2835"/>
              </w:tabs>
              <w:rPr>
                <w:lang w:eastAsia="ja-JP"/>
              </w:rPr>
            </w:pPr>
          </w:p>
        </w:tc>
      </w:tr>
    </w:tbl>
    <w:p w:rsidR="006379B4" w:rsidRPr="00AC4693" w:rsidRDefault="006379B4" w:rsidP="00AC4693">
      <w:pPr>
        <w:tabs>
          <w:tab w:val="left" w:pos="284"/>
        </w:tabs>
        <w:spacing w:after="0"/>
        <w:ind w:left="284" w:hanging="284"/>
        <w:rPr>
          <w:rFonts w:ascii="Arial Narrow" w:hAnsi="Arial Narrow"/>
          <w:sz w:val="16"/>
          <w:szCs w:val="16"/>
          <w:lang w:val="en-GB" w:eastAsia="ja-JP"/>
        </w:rPr>
      </w:pPr>
      <w:r w:rsidRPr="00AC4693">
        <w:rPr>
          <w:rFonts w:ascii="Arial Narrow" w:hAnsi="Arial Narrow"/>
          <w:sz w:val="16"/>
          <w:szCs w:val="16"/>
          <w:lang w:val="en-GB" w:eastAsia="ja-JP"/>
        </w:rPr>
        <w:t>Abbreviations:  CEA = cost-effectiveness analysis; CUA = cost-utility analysis</w:t>
      </w:r>
    </w:p>
    <w:p w:rsidR="006379B4" w:rsidRPr="00AC4693" w:rsidRDefault="006379B4" w:rsidP="00AC4693">
      <w:pPr>
        <w:tabs>
          <w:tab w:val="left" w:pos="284"/>
        </w:tabs>
        <w:spacing w:after="0"/>
        <w:ind w:left="284" w:hanging="284"/>
        <w:rPr>
          <w:rFonts w:ascii="Arial Narrow" w:hAnsi="Arial Narrow"/>
          <w:sz w:val="16"/>
          <w:szCs w:val="16"/>
          <w:lang w:val="en-GB" w:eastAsia="ja-JP"/>
        </w:rPr>
      </w:pPr>
      <w:r w:rsidRPr="00AC4693">
        <w:rPr>
          <w:rFonts w:ascii="Arial Narrow" w:hAnsi="Arial Narrow"/>
          <w:sz w:val="16"/>
          <w:szCs w:val="16"/>
          <w:lang w:val="en-GB" w:eastAsia="ja-JP"/>
        </w:rPr>
        <w:t>*</w:t>
      </w:r>
      <w:r w:rsidRPr="00AC4693">
        <w:rPr>
          <w:rFonts w:ascii="Arial Narrow" w:hAnsi="Arial Narrow"/>
          <w:sz w:val="16"/>
          <w:szCs w:val="16"/>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6379B4" w:rsidRPr="00AC4693" w:rsidRDefault="006379B4" w:rsidP="00AC4693">
      <w:pPr>
        <w:tabs>
          <w:tab w:val="left" w:pos="284"/>
        </w:tabs>
        <w:spacing w:after="0"/>
        <w:rPr>
          <w:rFonts w:ascii="Arial Narrow" w:hAnsi="Arial Narrow"/>
          <w:sz w:val="16"/>
          <w:szCs w:val="16"/>
          <w:lang w:val="en-GB" w:eastAsia="ja-JP"/>
        </w:rPr>
      </w:pPr>
      <w:r w:rsidRPr="00AC4693">
        <w:rPr>
          <w:rFonts w:ascii="Arial Narrow" w:hAnsi="Arial Narrow"/>
          <w:sz w:val="16"/>
          <w:szCs w:val="16"/>
          <w:lang w:val="en-GB" w:eastAsia="ja-JP"/>
        </w:rPr>
        <w:t>^</w:t>
      </w:r>
      <w:r w:rsidRPr="00AC4693">
        <w:rPr>
          <w:rFonts w:ascii="Arial Narrow" w:hAnsi="Arial Narrow"/>
          <w:sz w:val="16"/>
          <w:szCs w:val="16"/>
          <w:lang w:val="en-GB" w:eastAsia="ja-JP"/>
        </w:rPr>
        <w:tab/>
        <w:t>No economic evaluation needs to be presented; MSAC is unlikely to recommend government subsidy of this intervention</w:t>
      </w:r>
    </w:p>
    <w:p w:rsidR="006379B4" w:rsidRDefault="006379B4">
      <w:pPr>
        <w:tabs>
          <w:tab w:val="left" w:pos="284"/>
        </w:tabs>
        <w:rPr>
          <w:lang w:val="en-GB" w:eastAsia="ja-JP"/>
        </w:rPr>
      </w:pPr>
    </w:p>
    <w:p w:rsidR="006379B4" w:rsidRPr="00192EAD" w:rsidRDefault="006379B4" w:rsidP="00567C20">
      <w:pPr>
        <w:rPr>
          <w:u w:val="single"/>
          <w:lang w:eastAsia="ja-JP"/>
        </w:rPr>
      </w:pPr>
      <w:r w:rsidRPr="00192EAD">
        <w:rPr>
          <w:u w:val="single"/>
          <w:lang w:eastAsia="ja-JP"/>
        </w:rPr>
        <w:t>Questions for the review relating to the economic evaluation</w:t>
      </w:r>
    </w:p>
    <w:p w:rsidR="006379B4" w:rsidRDefault="006379B4" w:rsidP="00567C20">
      <w:pPr>
        <w:rPr>
          <w:lang w:eastAsia="ja-JP"/>
        </w:rPr>
      </w:pPr>
      <w:r>
        <w:rPr>
          <w:lang w:eastAsia="ja-JP"/>
        </w:rPr>
        <w:t>Cost effectiveness models should be undertaken:</w:t>
      </w:r>
    </w:p>
    <w:p w:rsidR="006379B4" w:rsidRDefault="006379B4" w:rsidP="00821E1A">
      <w:pPr>
        <w:pStyle w:val="ListParagraph"/>
        <w:numPr>
          <w:ilvl w:val="0"/>
          <w:numId w:val="35"/>
        </w:numPr>
        <w:rPr>
          <w:lang w:eastAsia="ja-JP"/>
        </w:rPr>
      </w:pPr>
      <w:r>
        <w:rPr>
          <w:lang w:eastAsia="ja-JP"/>
        </w:rPr>
        <w:t>To establish the baseline scenario: What are the downstream costs and outcomes without the proposed intervention?</w:t>
      </w:r>
    </w:p>
    <w:p w:rsidR="006379B4" w:rsidRDefault="006379B4" w:rsidP="00821E1A">
      <w:pPr>
        <w:pStyle w:val="ListParagraph"/>
        <w:numPr>
          <w:ilvl w:val="0"/>
          <w:numId w:val="35"/>
        </w:numPr>
        <w:rPr>
          <w:lang w:eastAsia="ja-JP"/>
        </w:rPr>
      </w:pPr>
      <w:r>
        <w:rPr>
          <w:lang w:eastAsia="ja-JP"/>
        </w:rPr>
        <w:t>To assess the proposed scenario: What are the downstream costs and outcomes with the proposed intervention?</w:t>
      </w:r>
    </w:p>
    <w:p w:rsidR="006379B4" w:rsidRDefault="006379B4" w:rsidP="00821E1A">
      <w:pPr>
        <w:pStyle w:val="ListParagraph"/>
        <w:numPr>
          <w:ilvl w:val="0"/>
          <w:numId w:val="35"/>
        </w:numPr>
        <w:rPr>
          <w:lang w:eastAsia="ja-JP"/>
        </w:rPr>
      </w:pPr>
      <w:r>
        <w:rPr>
          <w:lang w:eastAsia="ja-JP"/>
        </w:rPr>
        <w:t>As noted throughout the DAP, sensitivity analyses should be undertaken around:</w:t>
      </w:r>
    </w:p>
    <w:p w:rsidR="006379B4" w:rsidRDefault="006379B4" w:rsidP="00821E1A">
      <w:pPr>
        <w:pStyle w:val="ListParagraph"/>
        <w:numPr>
          <w:ilvl w:val="1"/>
          <w:numId w:val="35"/>
        </w:numPr>
        <w:rPr>
          <w:lang w:eastAsia="ja-JP"/>
        </w:rPr>
      </w:pPr>
      <w:r>
        <w:rPr>
          <w:lang w:eastAsia="ja-JP"/>
        </w:rPr>
        <w:t>The factors, ages and eligibility criteria as specified in the proposal;</w:t>
      </w:r>
    </w:p>
    <w:p w:rsidR="006379B4" w:rsidRDefault="006379B4" w:rsidP="00821E1A">
      <w:pPr>
        <w:pStyle w:val="ListParagraph"/>
        <w:numPr>
          <w:ilvl w:val="1"/>
          <w:numId w:val="35"/>
        </w:numPr>
        <w:rPr>
          <w:lang w:eastAsia="ja-JP"/>
        </w:rPr>
      </w:pPr>
      <w:r>
        <w:rPr>
          <w:lang w:eastAsia="ja-JP"/>
        </w:rPr>
        <w:t>The variables as advised by the available evidence;</w:t>
      </w:r>
    </w:p>
    <w:p w:rsidR="006379B4" w:rsidRDefault="006379B4" w:rsidP="00821E1A">
      <w:pPr>
        <w:pStyle w:val="ListParagraph"/>
        <w:numPr>
          <w:ilvl w:val="1"/>
          <w:numId w:val="35"/>
        </w:numPr>
        <w:rPr>
          <w:lang w:eastAsia="ja-JP"/>
        </w:rPr>
      </w:pPr>
      <w:r>
        <w:rPr>
          <w:lang w:eastAsia="ja-JP"/>
        </w:rPr>
        <w:t>The variables as advised by PASC as being informative for sensitivity analyses to inform the final decision making.</w:t>
      </w:r>
    </w:p>
    <w:p w:rsidR="006379B4" w:rsidRDefault="006379B4" w:rsidP="00821E1A">
      <w:pPr>
        <w:pStyle w:val="ListParagraph"/>
        <w:numPr>
          <w:ilvl w:val="1"/>
          <w:numId w:val="35"/>
        </w:numPr>
        <w:rPr>
          <w:lang w:eastAsia="ja-JP"/>
        </w:rPr>
      </w:pPr>
      <w:r>
        <w:rPr>
          <w:lang w:eastAsia="ja-JP"/>
        </w:rPr>
        <w:t>Specifically, what impact does the presence of the HIV infection have on bone mineral density</w:t>
      </w:r>
      <w:r w:rsidR="00F3753C">
        <w:rPr>
          <w:lang w:eastAsia="ja-JP"/>
        </w:rPr>
        <w:t xml:space="preserve"> as a surrogate for minimal trauma fracture</w:t>
      </w:r>
      <w:r>
        <w:rPr>
          <w:lang w:eastAsia="ja-JP"/>
        </w:rPr>
        <w:t>, in the presence and in the absence of anti-</w:t>
      </w:r>
      <w:proofErr w:type="spellStart"/>
      <w:r>
        <w:rPr>
          <w:lang w:eastAsia="ja-JP"/>
        </w:rPr>
        <w:t>retrovirals</w:t>
      </w:r>
      <w:proofErr w:type="spellEnd"/>
      <w:r>
        <w:rPr>
          <w:lang w:eastAsia="ja-JP"/>
        </w:rPr>
        <w:t>? This should include a consideration of the effect of other possible prognostic factors including age and different types of anti-</w:t>
      </w:r>
      <w:proofErr w:type="spellStart"/>
      <w:r>
        <w:rPr>
          <w:lang w:eastAsia="ja-JP"/>
        </w:rPr>
        <w:t>retrovirals</w:t>
      </w:r>
      <w:proofErr w:type="spellEnd"/>
      <w:r>
        <w:rPr>
          <w:lang w:eastAsia="ja-JP"/>
        </w:rPr>
        <w:t>.</w:t>
      </w:r>
    </w:p>
    <w:p w:rsidR="006379B4" w:rsidRDefault="006379B4" w:rsidP="00821E1A">
      <w:pPr>
        <w:pStyle w:val="ListParagraph"/>
        <w:numPr>
          <w:ilvl w:val="0"/>
          <w:numId w:val="35"/>
        </w:numPr>
        <w:rPr>
          <w:lang w:eastAsia="ja-JP"/>
        </w:rPr>
      </w:pPr>
      <w:r>
        <w:rPr>
          <w:lang w:eastAsia="ja-JP"/>
        </w:rPr>
        <w:t>The economic analysis should account for different thresholds for therapy as advised by the available evidence.</w:t>
      </w:r>
    </w:p>
    <w:p w:rsidR="006379B4" w:rsidRDefault="006379B4" w:rsidP="00821E1A">
      <w:pPr>
        <w:pStyle w:val="ListParagraph"/>
        <w:numPr>
          <w:ilvl w:val="0"/>
          <w:numId w:val="35"/>
        </w:numPr>
        <w:rPr>
          <w:lang w:eastAsia="ja-JP"/>
        </w:rPr>
      </w:pPr>
      <w:r>
        <w:rPr>
          <w:lang w:eastAsia="ja-JP"/>
        </w:rPr>
        <w:t>The economic evaluation should account for all patients in the target population who become eligible for current MBS items (for example through age or minimal trauma fracture).</w:t>
      </w:r>
    </w:p>
    <w:p w:rsidR="006379B4" w:rsidRDefault="006379B4">
      <w:pPr>
        <w:tabs>
          <w:tab w:val="left" w:pos="284"/>
        </w:tabs>
        <w:rPr>
          <w:lang w:val="en-GB" w:eastAsia="ja-JP"/>
        </w:rPr>
      </w:pPr>
    </w:p>
    <w:p w:rsidR="006379B4" w:rsidRPr="00613957" w:rsidRDefault="006379B4" w:rsidP="00613957">
      <w:pPr>
        <w:pStyle w:val="Heading1"/>
      </w:pPr>
      <w:bookmarkStart w:id="48" w:name="_Toc335902677"/>
      <w:bookmarkStart w:id="49" w:name="_Toc362969237"/>
      <w:r w:rsidRPr="00613957">
        <w:t>Outcomes and health care resources affected by introduction of proposed intervention</w:t>
      </w:r>
      <w:bookmarkEnd w:id="48"/>
      <w:bookmarkEnd w:id="49"/>
    </w:p>
    <w:p w:rsidR="006379B4" w:rsidRPr="00613957" w:rsidRDefault="006379B4" w:rsidP="00613957">
      <w:pPr>
        <w:pStyle w:val="Heading2"/>
      </w:pPr>
      <w:bookmarkStart w:id="50" w:name="_Toc335902678"/>
      <w:bookmarkStart w:id="51" w:name="_Toc362969238"/>
      <w:r w:rsidRPr="00613957">
        <w:t>Outcomes</w:t>
      </w:r>
      <w:bookmarkEnd w:id="50"/>
      <w:bookmarkEnd w:id="51"/>
    </w:p>
    <w:p w:rsidR="006379B4" w:rsidRDefault="006379B4" w:rsidP="00613957">
      <w:r>
        <w:t>Primary effectiveness outcomes:</w:t>
      </w:r>
    </w:p>
    <w:p w:rsidR="006379B4" w:rsidRDefault="006379B4" w:rsidP="00821E1A">
      <w:pPr>
        <w:pStyle w:val="ListParagraph"/>
        <w:numPr>
          <w:ilvl w:val="0"/>
          <w:numId w:val="20"/>
        </w:numPr>
      </w:pPr>
      <w:r>
        <w:t>Incidence of minimal trauma fracture</w:t>
      </w:r>
    </w:p>
    <w:p w:rsidR="006379B4" w:rsidRDefault="006379B4" w:rsidP="00821E1A">
      <w:pPr>
        <w:pStyle w:val="ListParagraph"/>
        <w:numPr>
          <w:ilvl w:val="0"/>
          <w:numId w:val="20"/>
        </w:numPr>
      </w:pPr>
      <w:r>
        <w:t>Incidence of all fractures</w:t>
      </w:r>
    </w:p>
    <w:p w:rsidR="006379B4" w:rsidRDefault="006379B4" w:rsidP="00821E1A">
      <w:pPr>
        <w:pStyle w:val="ListParagraph"/>
        <w:numPr>
          <w:ilvl w:val="0"/>
          <w:numId w:val="20"/>
        </w:numPr>
      </w:pPr>
      <w:r w:rsidRPr="00CB543C">
        <w:t>P</w:t>
      </w:r>
      <w:r>
        <w:t>atient-related quality of life</w:t>
      </w:r>
    </w:p>
    <w:p w:rsidR="006379B4" w:rsidRDefault="006379B4" w:rsidP="00613957">
      <w:r>
        <w:t>Secondary effectiveness outcomes:</w:t>
      </w:r>
    </w:p>
    <w:p w:rsidR="006379B4" w:rsidRDefault="006379B4" w:rsidP="00821E1A">
      <w:pPr>
        <w:pStyle w:val="ListParagraph"/>
        <w:numPr>
          <w:ilvl w:val="0"/>
          <w:numId w:val="21"/>
        </w:numPr>
      </w:pPr>
      <w:r>
        <w:t>Change in morbidity/mortality</w:t>
      </w:r>
    </w:p>
    <w:p w:rsidR="00EC7E41" w:rsidRDefault="00EC7E41" w:rsidP="005267D7">
      <w:pPr>
        <w:pStyle w:val="ListParagraph"/>
        <w:numPr>
          <w:ilvl w:val="0"/>
          <w:numId w:val="21"/>
        </w:numPr>
      </w:pPr>
      <w:r w:rsidRPr="00EC7E41">
        <w:t>Bone mineral density (for example as determined by the T-score)</w:t>
      </w:r>
      <w:r w:rsidR="006E3B58">
        <w:t xml:space="preserve"> </w:t>
      </w:r>
      <w:r w:rsidR="006E3B58" w:rsidRPr="006E3B58">
        <w:t>for patients 50 years or older, or Z-score for patients younger than 50 years of age</w:t>
      </w:r>
    </w:p>
    <w:p w:rsidR="006379B4" w:rsidRPr="00CF6D1F" w:rsidRDefault="006379B4" w:rsidP="00613957">
      <w:r>
        <w:t>Safety outcomes and adverse events:</w:t>
      </w:r>
    </w:p>
    <w:p w:rsidR="006379B4" w:rsidRDefault="006379B4" w:rsidP="00821E1A">
      <w:pPr>
        <w:pStyle w:val="ListParagraph"/>
        <w:numPr>
          <w:ilvl w:val="0"/>
          <w:numId w:val="22"/>
        </w:numPr>
      </w:pPr>
      <w:bookmarkStart w:id="52" w:name="_Ref329775223"/>
      <w:r w:rsidRPr="00BB68C2">
        <w:t>Any adverse event or complication related to the DXA scanning or treatments for OP</w:t>
      </w:r>
      <w:bookmarkEnd w:id="52"/>
    </w:p>
    <w:p w:rsidR="006379B4" w:rsidRDefault="006379B4" w:rsidP="00821E1A">
      <w:pPr>
        <w:pStyle w:val="ListParagraph"/>
        <w:numPr>
          <w:ilvl w:val="0"/>
          <w:numId w:val="22"/>
        </w:numPr>
      </w:pPr>
      <w:r>
        <w:t>Any adverse event arising from exposure to ionising radiation</w:t>
      </w:r>
    </w:p>
    <w:p w:rsidR="006379B4" w:rsidRPr="00192EAD" w:rsidRDefault="006379B4" w:rsidP="002F7000">
      <w:pPr>
        <w:rPr>
          <w:lang w:eastAsia="ja-JP"/>
        </w:rPr>
      </w:pPr>
    </w:p>
    <w:tbl>
      <w:tblPr>
        <w:tblW w:w="0" w:type="auto"/>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9242"/>
      </w:tblGrid>
      <w:tr w:rsidR="006379B4" w:rsidRPr="00BD0860" w:rsidTr="002F7000">
        <w:tc>
          <w:tcPr>
            <w:tcW w:w="9242" w:type="dxa"/>
            <w:tcBorders>
              <w:top w:val="single" w:sz="18" w:space="0" w:color="auto"/>
            </w:tcBorders>
          </w:tcPr>
          <w:p w:rsidR="006379B4" w:rsidRPr="00BD0860" w:rsidRDefault="006379B4" w:rsidP="002F7000">
            <w:pPr>
              <w:tabs>
                <w:tab w:val="left" w:pos="2835"/>
              </w:tabs>
              <w:spacing w:before="40"/>
              <w:rPr>
                <w:lang w:eastAsia="ja-JP"/>
              </w:rPr>
            </w:pPr>
            <w:r w:rsidRPr="00BD0860">
              <w:rPr>
                <w:lang w:eastAsia="ja-JP"/>
              </w:rPr>
              <w:t>Please note:</w:t>
            </w:r>
          </w:p>
        </w:tc>
      </w:tr>
      <w:tr w:rsidR="006379B4" w:rsidRPr="00BD0860" w:rsidTr="002F7000">
        <w:tc>
          <w:tcPr>
            <w:tcW w:w="9242" w:type="dxa"/>
          </w:tcPr>
          <w:p w:rsidR="006379B4" w:rsidRDefault="006379B4" w:rsidP="00821E1A">
            <w:pPr>
              <w:pStyle w:val="ListParagraph"/>
              <w:numPr>
                <w:ilvl w:val="0"/>
                <w:numId w:val="22"/>
              </w:numPr>
              <w:tabs>
                <w:tab w:val="left" w:pos="2835"/>
              </w:tabs>
              <w:spacing w:before="40"/>
            </w:pPr>
            <w:r w:rsidRPr="00202FDC">
              <w:t>It will be important to note the use and type of anti-retroviral medication in all populations, and to report all outcomes according to this criterion</w:t>
            </w:r>
            <w:r>
              <w:t>.</w:t>
            </w:r>
          </w:p>
          <w:p w:rsidR="006379B4" w:rsidRDefault="006379B4" w:rsidP="00920D49">
            <w:pPr>
              <w:pStyle w:val="ListParagraph"/>
              <w:tabs>
                <w:tab w:val="left" w:pos="2835"/>
              </w:tabs>
              <w:spacing w:before="40"/>
            </w:pPr>
          </w:p>
          <w:p w:rsidR="006379B4" w:rsidRPr="00BD0860" w:rsidRDefault="006E3B58" w:rsidP="005267D7">
            <w:pPr>
              <w:pStyle w:val="ListParagraph"/>
              <w:numPr>
                <w:ilvl w:val="0"/>
                <w:numId w:val="22"/>
              </w:numPr>
              <w:tabs>
                <w:tab w:val="left" w:pos="2835"/>
              </w:tabs>
              <w:spacing w:before="40"/>
            </w:pPr>
            <w:r>
              <w:t>Incidence of minimal trauma fracture is the main primary outcome; however, f</w:t>
            </w:r>
            <w:r w:rsidR="006379B4" w:rsidRPr="00BD0860">
              <w:t>or this DAP PASC considers that bone mineral density loss is an appropriate surrogate for minimal trauma fracture.</w:t>
            </w:r>
          </w:p>
        </w:tc>
      </w:tr>
      <w:tr w:rsidR="006379B4" w:rsidRPr="00BD0860" w:rsidTr="002F7000">
        <w:tc>
          <w:tcPr>
            <w:tcW w:w="9242" w:type="dxa"/>
          </w:tcPr>
          <w:p w:rsidR="006379B4" w:rsidRPr="00BD0860" w:rsidRDefault="006379B4" w:rsidP="00821E1A">
            <w:pPr>
              <w:pStyle w:val="ListParagraph"/>
              <w:numPr>
                <w:ilvl w:val="0"/>
                <w:numId w:val="22"/>
              </w:numPr>
              <w:tabs>
                <w:tab w:val="left" w:pos="2835"/>
              </w:tabs>
              <w:spacing w:before="40"/>
            </w:pPr>
            <w:r w:rsidRPr="00BD0860">
              <w:t>Where possible, the outcome of minimal trauma fracture should be disaggregated to type and location of fracture (</w:t>
            </w:r>
            <w:proofErr w:type="spellStart"/>
            <w:r w:rsidRPr="00BD0860">
              <w:t>eg</w:t>
            </w:r>
            <w:proofErr w:type="spellEnd"/>
            <w:r w:rsidRPr="00BD0860">
              <w:t xml:space="preserve"> hip </w:t>
            </w:r>
            <w:proofErr w:type="spellStart"/>
            <w:r w:rsidRPr="00BD0860">
              <w:t>vs</w:t>
            </w:r>
            <w:proofErr w:type="spellEnd"/>
            <w:r w:rsidRPr="00BD0860">
              <w:t xml:space="preserve"> non-hip) as this is important to translate to any possible effects on life-years and quality-adjusted life-years.</w:t>
            </w:r>
          </w:p>
        </w:tc>
      </w:tr>
      <w:tr w:rsidR="006379B4" w:rsidRPr="00BD0860" w:rsidTr="002F7000">
        <w:tc>
          <w:tcPr>
            <w:tcW w:w="9242" w:type="dxa"/>
          </w:tcPr>
          <w:p w:rsidR="006379B4" w:rsidRPr="00BD0860" w:rsidRDefault="006379B4" w:rsidP="00821E1A">
            <w:pPr>
              <w:pStyle w:val="ListParagraph"/>
              <w:numPr>
                <w:ilvl w:val="0"/>
                <w:numId w:val="22"/>
              </w:numPr>
              <w:tabs>
                <w:tab w:val="left" w:pos="2835"/>
              </w:tabs>
              <w:spacing w:before="40"/>
            </w:pPr>
            <w:r w:rsidRPr="00BD0860">
              <w:t xml:space="preserve">The </w:t>
            </w:r>
            <w:r>
              <w:t>site</w:t>
            </w:r>
            <w:r w:rsidRPr="00BD0860">
              <w:t xml:space="preserve"> of the DXA exam (for example, proximal femur, lumbar spine, hip, distal radius) should be reported for all studies where possible. This is to account for any variability related to the site of the body where the testing is conducted.</w:t>
            </w:r>
          </w:p>
        </w:tc>
      </w:tr>
      <w:tr w:rsidR="006379B4" w:rsidRPr="00BD0860" w:rsidTr="002F7000">
        <w:tc>
          <w:tcPr>
            <w:tcW w:w="9242" w:type="dxa"/>
          </w:tcPr>
          <w:p w:rsidR="006379B4" w:rsidRPr="00BD0860" w:rsidRDefault="006379B4" w:rsidP="00821E1A">
            <w:pPr>
              <w:pStyle w:val="ListParagraph"/>
              <w:numPr>
                <w:ilvl w:val="0"/>
                <w:numId w:val="22"/>
              </w:numPr>
              <w:tabs>
                <w:tab w:val="left" w:pos="2835"/>
              </w:tabs>
              <w:spacing w:before="40"/>
            </w:pPr>
            <w:r w:rsidRPr="00BD0860">
              <w:t>Where</w:t>
            </w:r>
            <w:r>
              <w:t xml:space="preserve"> men and</w:t>
            </w:r>
            <w:r w:rsidRPr="00BD0860">
              <w:t xml:space="preserve"> women are re-tested</w:t>
            </w:r>
            <w:r>
              <w:t xml:space="preserve"> or monitored</w:t>
            </w:r>
            <w:r w:rsidRPr="00BD0860">
              <w:t xml:space="preserve">, it should be noted whether subsequent tests are undertaken on the same machine, or a different machine but the same model, or at </w:t>
            </w:r>
            <w:r w:rsidRPr="00BD0860">
              <w:lastRenderedPageBreak/>
              <w:t>the same or different practice. This is to account for any variability of test results between machines.</w:t>
            </w:r>
          </w:p>
        </w:tc>
      </w:tr>
      <w:tr w:rsidR="006379B4" w:rsidRPr="00BD0860" w:rsidTr="002F7000">
        <w:tc>
          <w:tcPr>
            <w:tcW w:w="9242" w:type="dxa"/>
          </w:tcPr>
          <w:p w:rsidR="006379B4" w:rsidRPr="00BD0860" w:rsidRDefault="006379B4" w:rsidP="00821E1A">
            <w:pPr>
              <w:pStyle w:val="ListParagraph"/>
              <w:numPr>
                <w:ilvl w:val="0"/>
                <w:numId w:val="22"/>
              </w:numPr>
              <w:tabs>
                <w:tab w:val="left" w:pos="2835"/>
              </w:tabs>
              <w:spacing w:before="40"/>
            </w:pPr>
            <w:r w:rsidRPr="00BD0860">
              <w:lastRenderedPageBreak/>
              <w:t>PASC acknowledges that DXA is associated with low radiation doses, but that increasing the availability of DXA may significantly increase the exposure of the proposed population to ionising radiation</w:t>
            </w:r>
            <w:r>
              <w:t>, especially when this population includes young adults</w:t>
            </w:r>
            <w:r w:rsidRPr="00BD0860">
              <w:t>. This issue should be addressed in the assessment of evidence.</w:t>
            </w:r>
          </w:p>
        </w:tc>
      </w:tr>
    </w:tbl>
    <w:p w:rsidR="006379B4" w:rsidRDefault="006379B4" w:rsidP="00B426E6"/>
    <w:p w:rsidR="006379B4" w:rsidRPr="00613957" w:rsidRDefault="006379B4" w:rsidP="00613957">
      <w:pPr>
        <w:pStyle w:val="Heading2"/>
      </w:pPr>
      <w:bookmarkStart w:id="53" w:name="_Toc335902679"/>
      <w:bookmarkStart w:id="54" w:name="_Toc362969239"/>
      <w:r w:rsidRPr="00613957">
        <w:t>Health care resources</w:t>
      </w:r>
      <w:bookmarkEnd w:id="53"/>
      <w:bookmarkEnd w:id="54"/>
    </w:p>
    <w:p w:rsidR="006379B4" w:rsidRPr="0030146D" w:rsidRDefault="006379B4" w:rsidP="00DA5057">
      <w:pPr>
        <w:rPr>
          <w:lang w:eastAsia="ja-JP"/>
        </w:rPr>
      </w:pPr>
      <w:bookmarkStart w:id="55" w:name="_Ref283143211"/>
      <w:bookmarkStart w:id="56" w:name="_Ref283143206"/>
      <w:r>
        <w:rPr>
          <w:lang w:eastAsia="ja-JP"/>
        </w:rPr>
        <w:t>The following section has been provided by the applicant. All issues and data inputs will be examined and reported in full in the assessment report.</w:t>
      </w:r>
    </w:p>
    <w:p w:rsidR="006379B4" w:rsidRPr="00CF6D1F" w:rsidRDefault="006379B4">
      <w:pPr>
        <w:jc w:val="left"/>
        <w:rPr>
          <w:rFonts w:eastAsia="Times New Roman"/>
          <w:lang w:eastAsia="en-US"/>
        </w:rPr>
      </w:pPr>
      <w:r w:rsidRPr="00CF6D1F">
        <w:rPr>
          <w:rFonts w:eastAsia="Times New Roman"/>
          <w:lang w:eastAsia="en-US"/>
        </w:rPr>
        <w:t>Between 2001 and 2004 the percentage of all HIV cases in patients older than 50 increased from 17% to 24%; and by 2015 it is estimated that almost 50% of people with HIV will be over 50 years of age (Cotter 2011).</w:t>
      </w:r>
    </w:p>
    <w:p w:rsidR="006379B4" w:rsidRPr="00CF6D1F" w:rsidRDefault="006379B4">
      <w:pPr>
        <w:jc w:val="left"/>
        <w:rPr>
          <w:rFonts w:eastAsia="Times New Roman"/>
          <w:lang w:eastAsia="en-US"/>
        </w:rPr>
      </w:pPr>
      <w:r w:rsidRPr="00CF6D1F">
        <w:rPr>
          <w:rFonts w:eastAsia="Times New Roman"/>
          <w:lang w:eastAsia="en-US"/>
        </w:rPr>
        <w:t xml:space="preserve">Studies spanning the past decade have reported the prevalence of low BMD in the HIV infected population to range between 32% and 71% (Cotter 2011). </w:t>
      </w:r>
    </w:p>
    <w:p w:rsidR="006379B4" w:rsidRPr="00CF6D1F" w:rsidRDefault="006379B4">
      <w:pPr>
        <w:jc w:val="left"/>
        <w:rPr>
          <w:rFonts w:eastAsia="Times New Roman"/>
          <w:lang w:eastAsia="en-US"/>
        </w:rPr>
      </w:pPr>
      <w:r w:rsidRPr="00CF6D1F">
        <w:rPr>
          <w:rFonts w:eastAsia="Times New Roman"/>
          <w:lang w:eastAsia="en-US"/>
        </w:rPr>
        <w:t>People with osteoporosis and HIV will have similar risks of fractures as the HIV negative population. The cost of the management of fractures in the HIV positive population has the potential to be significant</w:t>
      </w:r>
      <w:r>
        <w:rPr>
          <w:rFonts w:eastAsia="Times New Roman"/>
          <w:lang w:eastAsia="en-US"/>
        </w:rPr>
        <w:t>.</w:t>
      </w:r>
    </w:p>
    <w:p w:rsidR="006379B4" w:rsidRDefault="006379B4" w:rsidP="005F5995">
      <w:pPr>
        <w:pStyle w:val="Caption"/>
        <w:rPr>
          <w:b w:val="0"/>
          <w:lang w:eastAsia="en-US"/>
        </w:rPr>
      </w:pPr>
      <w:r>
        <w:t xml:space="preserve">Table </w:t>
      </w:r>
      <w:r w:rsidR="008B566C">
        <w:fldChar w:fldCharType="begin"/>
      </w:r>
      <w:r w:rsidR="008B566C">
        <w:instrText xml:space="preserve"> SEQ Table \* ARABIC </w:instrText>
      </w:r>
      <w:r w:rsidR="008B566C">
        <w:fldChar w:fldCharType="separate"/>
      </w:r>
      <w:r w:rsidR="00D24164">
        <w:rPr>
          <w:noProof/>
        </w:rPr>
        <w:t>7</w:t>
      </w:r>
      <w:r w:rsidR="008B566C">
        <w:rPr>
          <w:noProof/>
        </w:rPr>
        <w:fldChar w:fldCharType="end"/>
      </w:r>
      <w:r>
        <w:tab/>
      </w:r>
      <w:r>
        <w:rPr>
          <w:b w:val="0"/>
          <w:lang w:eastAsia="en-US"/>
        </w:rPr>
        <w:t>E</w:t>
      </w:r>
      <w:r w:rsidRPr="00CF6D1F">
        <w:rPr>
          <w:b w:val="0"/>
          <w:lang w:eastAsia="en-US"/>
        </w:rPr>
        <w:t>stimate of patient population that will utilize the proposed item</w:t>
      </w:r>
    </w:p>
    <w:tbl>
      <w:tblPr>
        <w:tblStyle w:val="PASC"/>
        <w:tblW w:w="0" w:type="auto"/>
        <w:tblLook w:val="00A0" w:firstRow="1" w:lastRow="0" w:firstColumn="1" w:lastColumn="0" w:noHBand="0" w:noVBand="0"/>
        <w:tblCaption w:val="Table 7 Estimate of patient population that will utilize the proposed item"/>
        <w:tblDescription w:val="Table 7 Estimate of patient population that will utilize the proposed item"/>
      </w:tblPr>
      <w:tblGrid>
        <w:gridCol w:w="4786"/>
        <w:gridCol w:w="2268"/>
        <w:gridCol w:w="2188"/>
      </w:tblGrid>
      <w:tr w:rsidR="006379B4" w:rsidRPr="00BB68C2" w:rsidTr="0069266E">
        <w:trPr>
          <w:cnfStyle w:val="100000000000" w:firstRow="1" w:lastRow="0" w:firstColumn="0" w:lastColumn="0" w:oddVBand="0" w:evenVBand="0" w:oddHBand="0" w:evenHBand="0" w:firstRowFirstColumn="0" w:firstRowLastColumn="0" w:lastRowFirstColumn="0" w:lastRowLastColumn="0"/>
          <w:tblHeader/>
        </w:trPr>
        <w:tc>
          <w:tcPr>
            <w:tcW w:w="4786" w:type="dxa"/>
          </w:tcPr>
          <w:p w:rsidR="006379B4" w:rsidRPr="00BB68C2" w:rsidRDefault="006379B4" w:rsidP="00BB68C2">
            <w:pPr>
              <w:tabs>
                <w:tab w:val="left" w:pos="2835"/>
              </w:tabs>
              <w:spacing w:after="0"/>
              <w:jc w:val="left"/>
              <w:rPr>
                <w:rFonts w:ascii="Arial Narrow" w:hAnsi="Arial Narrow"/>
                <w:b/>
                <w:lang w:eastAsia="en-US"/>
              </w:rPr>
            </w:pPr>
          </w:p>
        </w:tc>
        <w:tc>
          <w:tcPr>
            <w:tcW w:w="2268" w:type="dxa"/>
          </w:tcPr>
          <w:p w:rsidR="006379B4" w:rsidRPr="00BB68C2" w:rsidRDefault="006379B4" w:rsidP="00BB68C2">
            <w:pPr>
              <w:tabs>
                <w:tab w:val="left" w:pos="2835"/>
              </w:tabs>
              <w:spacing w:after="0"/>
              <w:jc w:val="center"/>
              <w:rPr>
                <w:rFonts w:ascii="Arial Narrow" w:hAnsi="Arial Narrow"/>
                <w:b/>
                <w:lang w:eastAsia="en-US"/>
              </w:rPr>
            </w:pPr>
            <w:r>
              <w:rPr>
                <w:rFonts w:ascii="Arial Narrow" w:hAnsi="Arial Narrow"/>
                <w:b/>
                <w:lang w:eastAsia="en-US"/>
              </w:rPr>
              <w:t>E</w:t>
            </w:r>
            <w:r w:rsidRPr="00BB68C2">
              <w:rPr>
                <w:rFonts w:ascii="Arial Narrow" w:hAnsi="Arial Narrow"/>
                <w:b/>
                <w:lang w:eastAsia="en-US"/>
              </w:rPr>
              <w:t>stimate</w:t>
            </w:r>
          </w:p>
        </w:tc>
        <w:tc>
          <w:tcPr>
            <w:tcW w:w="2188" w:type="dxa"/>
          </w:tcPr>
          <w:p w:rsidR="006379B4" w:rsidRPr="00BB68C2" w:rsidRDefault="006379B4" w:rsidP="00BB68C2">
            <w:pPr>
              <w:tabs>
                <w:tab w:val="left" w:pos="2835"/>
              </w:tabs>
              <w:spacing w:after="0"/>
              <w:jc w:val="center"/>
              <w:rPr>
                <w:rFonts w:ascii="Arial Narrow" w:hAnsi="Arial Narrow"/>
                <w:b/>
                <w:lang w:eastAsia="en-US"/>
              </w:rPr>
            </w:pPr>
            <w:r w:rsidRPr="00BB68C2">
              <w:rPr>
                <w:rFonts w:ascii="Arial Narrow" w:hAnsi="Arial Narrow"/>
                <w:b/>
                <w:lang w:eastAsia="en-US"/>
              </w:rPr>
              <w:t>Upper estimate</w:t>
            </w:r>
          </w:p>
        </w:tc>
      </w:tr>
      <w:tr w:rsidR="006379B4" w:rsidRPr="00BB68C2" w:rsidTr="00B86D3A">
        <w:tc>
          <w:tcPr>
            <w:tcW w:w="4786" w:type="dxa"/>
          </w:tcPr>
          <w:p w:rsidR="006379B4" w:rsidRPr="00BB68C2" w:rsidRDefault="006379B4" w:rsidP="00BB68C2">
            <w:pPr>
              <w:tabs>
                <w:tab w:val="left" w:pos="2835"/>
              </w:tabs>
              <w:spacing w:after="0"/>
              <w:jc w:val="left"/>
              <w:rPr>
                <w:rFonts w:ascii="Arial Narrow" w:hAnsi="Arial Narrow"/>
                <w:lang w:eastAsia="en-US"/>
              </w:rPr>
            </w:pPr>
            <w:r w:rsidRPr="00BB68C2">
              <w:rPr>
                <w:rFonts w:ascii="Arial Narrow" w:hAnsi="Arial Narrow"/>
                <w:lang w:eastAsia="en-US"/>
              </w:rPr>
              <w:t xml:space="preserve">People Living with HIV </w:t>
            </w:r>
          </w:p>
        </w:tc>
        <w:tc>
          <w:tcPr>
            <w:tcW w:w="2268" w:type="dxa"/>
          </w:tcPr>
          <w:p w:rsidR="006379B4" w:rsidRPr="00BB68C2" w:rsidRDefault="006379B4" w:rsidP="00BB68C2">
            <w:pPr>
              <w:tabs>
                <w:tab w:val="left" w:pos="2835"/>
              </w:tabs>
              <w:spacing w:after="0"/>
              <w:jc w:val="center"/>
              <w:rPr>
                <w:rFonts w:ascii="Arial Narrow" w:hAnsi="Arial Narrow"/>
                <w:lang w:eastAsia="en-US"/>
              </w:rPr>
            </w:pPr>
            <w:r w:rsidRPr="00BB68C2">
              <w:rPr>
                <w:rFonts w:ascii="Arial Narrow" w:hAnsi="Arial Narrow"/>
                <w:lang w:eastAsia="en-AU"/>
              </w:rPr>
              <w:t>17,444</w:t>
            </w:r>
            <w:r w:rsidRPr="00BB68C2">
              <w:rPr>
                <w:rFonts w:ascii="Arial Narrow" w:hAnsi="Arial Narrow"/>
                <w:lang w:eastAsia="en-US"/>
              </w:rPr>
              <w:t>*</w:t>
            </w:r>
          </w:p>
        </w:tc>
        <w:tc>
          <w:tcPr>
            <w:tcW w:w="2188" w:type="dxa"/>
          </w:tcPr>
          <w:p w:rsidR="006379B4" w:rsidRPr="00BB68C2" w:rsidRDefault="006379B4" w:rsidP="00BB68C2">
            <w:pPr>
              <w:tabs>
                <w:tab w:val="left" w:pos="2835"/>
              </w:tabs>
              <w:spacing w:after="0"/>
              <w:ind w:left="720"/>
              <w:contextualSpacing/>
              <w:jc w:val="center"/>
              <w:rPr>
                <w:rFonts w:ascii="Arial Narrow" w:hAnsi="Arial Narrow"/>
                <w:lang w:eastAsia="en-US"/>
              </w:rPr>
            </w:pPr>
            <w:r w:rsidRPr="00BB68C2">
              <w:rPr>
                <w:rStyle w:val="redbold"/>
                <w:rFonts w:ascii="Arial Narrow" w:hAnsi="Arial Narrow" w:cs="Tahoma"/>
              </w:rPr>
              <w:t>21,391</w:t>
            </w:r>
            <w:r w:rsidRPr="00BB68C2">
              <w:rPr>
                <w:rFonts w:ascii="Arial Narrow" w:hAnsi="Arial Narrow"/>
                <w:vertAlign w:val="superscript"/>
                <w:lang w:eastAsia="en-US"/>
              </w:rPr>
              <w:t>‡</w:t>
            </w:r>
          </w:p>
        </w:tc>
      </w:tr>
      <w:tr w:rsidR="006379B4" w:rsidRPr="00BB68C2" w:rsidTr="00B86D3A">
        <w:tc>
          <w:tcPr>
            <w:tcW w:w="4786" w:type="dxa"/>
          </w:tcPr>
          <w:p w:rsidR="006379B4" w:rsidRPr="00BB68C2" w:rsidRDefault="006379B4" w:rsidP="006E3B58">
            <w:pPr>
              <w:tabs>
                <w:tab w:val="left" w:pos="2835"/>
              </w:tabs>
              <w:spacing w:after="0"/>
              <w:ind w:left="720"/>
              <w:contextualSpacing/>
              <w:jc w:val="left"/>
              <w:rPr>
                <w:rFonts w:ascii="Arial Narrow" w:hAnsi="Arial Narrow"/>
                <w:lang w:eastAsia="en-US"/>
              </w:rPr>
            </w:pPr>
            <w:r w:rsidRPr="00BB68C2">
              <w:rPr>
                <w:rFonts w:ascii="Arial Narrow" w:hAnsi="Arial Narrow"/>
                <w:lang w:eastAsia="en-US"/>
              </w:rPr>
              <w:t xml:space="preserve">Estimated </w:t>
            </w:r>
            <w:r w:rsidR="006E3B58">
              <w:rPr>
                <w:rFonts w:ascii="Arial Narrow" w:hAnsi="Arial Narrow"/>
                <w:lang w:eastAsia="en-US"/>
              </w:rPr>
              <w:t>p</w:t>
            </w:r>
            <w:r w:rsidR="006E3B58" w:rsidRPr="00BB68C2">
              <w:rPr>
                <w:rFonts w:ascii="Arial Narrow" w:hAnsi="Arial Narrow"/>
                <w:lang w:eastAsia="en-US"/>
              </w:rPr>
              <w:t xml:space="preserve">ercentage </w:t>
            </w:r>
            <w:r w:rsidRPr="00BB68C2">
              <w:rPr>
                <w:rFonts w:ascii="Arial Narrow" w:hAnsi="Arial Narrow"/>
                <w:lang w:eastAsia="en-US"/>
              </w:rPr>
              <w:t>accessing DXA in a given year</w:t>
            </w:r>
          </w:p>
        </w:tc>
        <w:tc>
          <w:tcPr>
            <w:tcW w:w="2268" w:type="dxa"/>
          </w:tcPr>
          <w:p w:rsidR="006379B4" w:rsidRPr="00BB68C2" w:rsidRDefault="006379B4" w:rsidP="00BB68C2">
            <w:pPr>
              <w:tabs>
                <w:tab w:val="left" w:pos="2835"/>
              </w:tabs>
              <w:spacing w:after="0"/>
              <w:ind w:left="720"/>
              <w:contextualSpacing/>
              <w:jc w:val="center"/>
              <w:rPr>
                <w:rFonts w:ascii="Arial Narrow" w:hAnsi="Arial Narrow"/>
                <w:lang w:eastAsia="en-US"/>
              </w:rPr>
            </w:pPr>
            <w:r w:rsidRPr="00BB68C2">
              <w:rPr>
                <w:rFonts w:ascii="Arial Narrow" w:hAnsi="Arial Narrow"/>
                <w:lang w:eastAsia="en-US"/>
              </w:rPr>
              <w:t>85%</w:t>
            </w:r>
          </w:p>
        </w:tc>
        <w:tc>
          <w:tcPr>
            <w:tcW w:w="2188" w:type="dxa"/>
          </w:tcPr>
          <w:p w:rsidR="006379B4" w:rsidRPr="00BB68C2" w:rsidRDefault="006379B4" w:rsidP="00BB68C2">
            <w:pPr>
              <w:tabs>
                <w:tab w:val="left" w:pos="2835"/>
              </w:tabs>
              <w:spacing w:after="0"/>
              <w:ind w:left="720"/>
              <w:contextualSpacing/>
              <w:jc w:val="center"/>
              <w:rPr>
                <w:rFonts w:ascii="Arial Narrow" w:hAnsi="Arial Narrow"/>
                <w:lang w:eastAsia="en-US"/>
              </w:rPr>
            </w:pPr>
            <w:r w:rsidRPr="00BB68C2">
              <w:rPr>
                <w:rFonts w:ascii="Arial Narrow" w:hAnsi="Arial Narrow"/>
                <w:lang w:eastAsia="en-US"/>
              </w:rPr>
              <w:t>85%</w:t>
            </w:r>
            <w:r w:rsidRPr="00BB68C2">
              <w:rPr>
                <w:rFonts w:ascii="Arial Narrow" w:hAnsi="Arial Narrow"/>
                <w:vertAlign w:val="superscript"/>
                <w:lang w:eastAsia="en-US"/>
              </w:rPr>
              <w:t>¶</w:t>
            </w:r>
          </w:p>
        </w:tc>
      </w:tr>
      <w:tr w:rsidR="006379B4" w:rsidRPr="00BB68C2" w:rsidTr="00B86D3A">
        <w:tc>
          <w:tcPr>
            <w:tcW w:w="4786" w:type="dxa"/>
          </w:tcPr>
          <w:p w:rsidR="006379B4" w:rsidRPr="00BB68C2" w:rsidRDefault="006379B4" w:rsidP="006E3B58">
            <w:pPr>
              <w:tabs>
                <w:tab w:val="left" w:pos="2835"/>
              </w:tabs>
              <w:spacing w:after="0"/>
              <w:ind w:left="720"/>
              <w:contextualSpacing/>
              <w:jc w:val="left"/>
              <w:rPr>
                <w:rFonts w:ascii="Arial Narrow" w:hAnsi="Arial Narrow"/>
                <w:lang w:eastAsia="en-US"/>
              </w:rPr>
            </w:pPr>
            <w:r w:rsidRPr="00BB68C2">
              <w:rPr>
                <w:rFonts w:ascii="Arial Narrow" w:hAnsi="Arial Narrow"/>
                <w:lang w:eastAsia="en-US"/>
              </w:rPr>
              <w:t xml:space="preserve">Max </w:t>
            </w:r>
            <w:r w:rsidR="006E3B58">
              <w:rPr>
                <w:rFonts w:ascii="Arial Narrow" w:hAnsi="Arial Narrow"/>
                <w:lang w:eastAsia="en-US"/>
              </w:rPr>
              <w:t>n</w:t>
            </w:r>
            <w:r w:rsidR="006E3B58" w:rsidRPr="00BB68C2">
              <w:rPr>
                <w:rFonts w:ascii="Arial Narrow" w:hAnsi="Arial Narrow"/>
                <w:lang w:eastAsia="en-US"/>
              </w:rPr>
              <w:t xml:space="preserve">umber </w:t>
            </w:r>
            <w:r w:rsidRPr="00BB68C2">
              <w:rPr>
                <w:rFonts w:ascii="Arial Narrow" w:hAnsi="Arial Narrow"/>
                <w:lang w:eastAsia="en-US"/>
              </w:rPr>
              <w:t>of patients requiring an scan annually</w:t>
            </w:r>
          </w:p>
        </w:tc>
        <w:tc>
          <w:tcPr>
            <w:tcW w:w="2268" w:type="dxa"/>
          </w:tcPr>
          <w:p w:rsidR="006379B4" w:rsidRPr="00BB68C2" w:rsidRDefault="006379B4" w:rsidP="00BB68C2">
            <w:pPr>
              <w:tabs>
                <w:tab w:val="left" w:pos="2835"/>
              </w:tabs>
              <w:spacing w:after="0"/>
              <w:ind w:left="720"/>
              <w:contextualSpacing/>
              <w:jc w:val="center"/>
              <w:rPr>
                <w:rFonts w:ascii="Arial Narrow" w:hAnsi="Arial Narrow"/>
                <w:lang w:eastAsia="en-US"/>
              </w:rPr>
            </w:pPr>
            <w:r w:rsidRPr="00BB68C2">
              <w:rPr>
                <w:rFonts w:ascii="Arial Narrow" w:hAnsi="Arial Narrow"/>
                <w:lang w:eastAsia="en-US"/>
              </w:rPr>
              <w:t>14,827</w:t>
            </w:r>
          </w:p>
        </w:tc>
        <w:tc>
          <w:tcPr>
            <w:tcW w:w="2188" w:type="dxa"/>
          </w:tcPr>
          <w:p w:rsidR="006379B4" w:rsidRPr="00BB68C2" w:rsidRDefault="006379B4" w:rsidP="00BB68C2">
            <w:pPr>
              <w:tabs>
                <w:tab w:val="left" w:pos="2835"/>
              </w:tabs>
              <w:spacing w:after="0"/>
              <w:ind w:left="720"/>
              <w:contextualSpacing/>
              <w:jc w:val="center"/>
              <w:rPr>
                <w:rFonts w:ascii="Arial Narrow" w:hAnsi="Arial Narrow"/>
                <w:lang w:eastAsia="en-US"/>
              </w:rPr>
            </w:pPr>
            <w:r w:rsidRPr="00BB68C2">
              <w:rPr>
                <w:rFonts w:ascii="Arial Narrow" w:hAnsi="Arial Narrow"/>
                <w:lang w:eastAsia="en-US"/>
              </w:rPr>
              <w:t>18,182</w:t>
            </w:r>
          </w:p>
        </w:tc>
      </w:tr>
    </w:tbl>
    <w:p w:rsidR="0069266E" w:rsidRPr="00BB68C2" w:rsidRDefault="0069266E" w:rsidP="0069266E">
      <w:pPr>
        <w:tabs>
          <w:tab w:val="left" w:pos="2835"/>
        </w:tabs>
        <w:spacing w:after="0"/>
        <w:contextualSpacing/>
        <w:jc w:val="left"/>
        <w:rPr>
          <w:rFonts w:ascii="Arial Narrow" w:hAnsi="Arial Narrow"/>
          <w:lang w:eastAsia="en-US"/>
        </w:rPr>
      </w:pPr>
      <w:r w:rsidRPr="00BB68C2">
        <w:rPr>
          <w:rFonts w:ascii="Arial Narrow" w:hAnsi="Arial Narrow"/>
          <w:lang w:eastAsia="en-US"/>
        </w:rPr>
        <w:t>*Sixth National HIX Strategy 2010-</w:t>
      </w:r>
      <w:proofErr w:type="gramStart"/>
      <w:r w:rsidRPr="00BB68C2">
        <w:rPr>
          <w:rFonts w:ascii="Arial Narrow" w:hAnsi="Arial Narrow"/>
          <w:lang w:eastAsia="en-US"/>
        </w:rPr>
        <w:t>2013  -</w:t>
      </w:r>
      <w:proofErr w:type="gramEnd"/>
      <w:r w:rsidRPr="00BB68C2">
        <w:rPr>
          <w:rFonts w:ascii="Arial Narrow" w:hAnsi="Arial Narrow"/>
          <w:lang w:eastAsia="en-US"/>
        </w:rPr>
        <w:t xml:space="preserve"> 2008 figures</w:t>
      </w:r>
    </w:p>
    <w:p w:rsidR="0069266E" w:rsidRPr="00BB68C2" w:rsidRDefault="0069266E" w:rsidP="0069266E">
      <w:pPr>
        <w:tabs>
          <w:tab w:val="left" w:pos="2835"/>
        </w:tabs>
        <w:spacing w:after="0"/>
        <w:jc w:val="left"/>
        <w:rPr>
          <w:rFonts w:ascii="Arial Narrow" w:hAnsi="Arial Narrow"/>
          <w:lang w:eastAsia="en-US"/>
        </w:rPr>
      </w:pPr>
      <w:r w:rsidRPr="00BB68C2">
        <w:rPr>
          <w:rFonts w:ascii="Arial Narrow" w:hAnsi="Arial Narrow"/>
          <w:lang w:eastAsia="en-US"/>
        </w:rPr>
        <w:t xml:space="preserve">‡ </w:t>
      </w:r>
      <w:hyperlink r:id="rId16" w:tooltip="This is a link to the Avert.org website" w:history="1">
        <w:r w:rsidRPr="00BB68C2">
          <w:rPr>
            <w:rStyle w:val="Hyperlink"/>
            <w:rFonts w:ascii="Arial Narrow" w:hAnsi="Arial Narrow" w:cs="Tahoma"/>
            <w:color w:val="auto"/>
            <w:lang w:eastAsia="en-US"/>
          </w:rPr>
          <w:t>http://www.avert.org/aids-hiv-australia.htm</w:t>
        </w:r>
      </w:hyperlink>
      <w:r w:rsidRPr="00BB68C2">
        <w:rPr>
          <w:rFonts w:ascii="Arial Narrow" w:hAnsi="Arial Narrow"/>
          <w:lang w:eastAsia="en-US"/>
        </w:rPr>
        <w:t xml:space="preserve"> Dec 2010 figures accessed June 25</w:t>
      </w:r>
      <w:proofErr w:type="gramStart"/>
      <w:r w:rsidRPr="00BB68C2">
        <w:rPr>
          <w:rFonts w:ascii="Arial Narrow" w:hAnsi="Arial Narrow"/>
          <w:lang w:eastAsia="en-US"/>
        </w:rPr>
        <w:t>,2012</w:t>
      </w:r>
      <w:proofErr w:type="gramEnd"/>
    </w:p>
    <w:p w:rsidR="006379B4" w:rsidRDefault="0069266E" w:rsidP="0069266E">
      <w:pPr>
        <w:rPr>
          <w:rFonts w:eastAsia="Times New Roman"/>
          <w:lang w:eastAsia="en-US"/>
        </w:rPr>
      </w:pPr>
      <w:r w:rsidRPr="00BB68C2">
        <w:rPr>
          <w:rFonts w:ascii="Arial Narrow" w:hAnsi="Arial Narrow"/>
          <w:lang w:eastAsia="en-US"/>
        </w:rPr>
        <w:t>¶ HIV +</w:t>
      </w:r>
      <w:proofErr w:type="spellStart"/>
      <w:r w:rsidRPr="00BB68C2">
        <w:rPr>
          <w:rFonts w:ascii="Arial Narrow" w:hAnsi="Arial Narrow"/>
          <w:lang w:eastAsia="en-US"/>
        </w:rPr>
        <w:t>ve</w:t>
      </w:r>
      <w:proofErr w:type="spellEnd"/>
      <w:r w:rsidRPr="00BB68C2">
        <w:rPr>
          <w:rFonts w:ascii="Arial Narrow" w:hAnsi="Arial Narrow"/>
          <w:lang w:eastAsia="en-US"/>
        </w:rPr>
        <w:t xml:space="preserve"> patients</w:t>
      </w:r>
      <w:r w:rsidRPr="00BB68C2">
        <w:rPr>
          <w:rFonts w:ascii="Arial Narrow" w:hAnsi="Arial Narrow"/>
          <w:vertAlign w:val="superscript"/>
          <w:lang w:eastAsia="en-US"/>
        </w:rPr>
        <w:t xml:space="preserve"> </w:t>
      </w:r>
      <w:r w:rsidRPr="00BB68C2">
        <w:rPr>
          <w:rFonts w:ascii="Arial Narrow" w:hAnsi="Arial Narrow"/>
          <w:lang w:eastAsia="en-US"/>
        </w:rPr>
        <w:t>gen</w:t>
      </w:r>
      <w:r>
        <w:rPr>
          <w:rFonts w:ascii="Arial Narrow" w:hAnsi="Arial Narrow"/>
          <w:lang w:eastAsia="en-US"/>
        </w:rPr>
        <w:t>e</w:t>
      </w:r>
      <w:r w:rsidRPr="00BB68C2">
        <w:rPr>
          <w:rFonts w:ascii="Arial Narrow" w:hAnsi="Arial Narrow"/>
          <w:lang w:eastAsia="en-US"/>
        </w:rPr>
        <w:t>rally have good medical care and will have a high uptake of treatment</w:t>
      </w:r>
    </w:p>
    <w:p w:rsidR="0069266E" w:rsidRDefault="0069266E" w:rsidP="0063152E">
      <w:pPr>
        <w:rPr>
          <w:rFonts w:eastAsia="Times New Roman"/>
          <w:lang w:eastAsia="en-US"/>
        </w:rPr>
      </w:pPr>
    </w:p>
    <w:p w:rsidR="006379B4" w:rsidRPr="00884352" w:rsidRDefault="006379B4" w:rsidP="00884352">
      <w:pPr>
        <w:rPr>
          <w:rFonts w:eastAsia="Times New Roman"/>
          <w:lang w:eastAsia="en-US"/>
        </w:rPr>
      </w:pPr>
      <w:r w:rsidRPr="00884352">
        <w:rPr>
          <w:rFonts w:eastAsia="Times New Roman"/>
          <w:lang w:eastAsia="en-US"/>
        </w:rPr>
        <w:t>By 31 December 2010, 30 486 cases of HIV infection had been diagnosed in Australia. An estimated 21,391 people were living with diagnosed HIV infection in Australia at the end of 2010. The number of new HIV diagnoses in Australia in 2010 was 1043. The annual number of new HIV diagnoses has remained relatively stable at around 1000 over the pa</w:t>
      </w:r>
      <w:r>
        <w:rPr>
          <w:rFonts w:eastAsia="Times New Roman"/>
          <w:lang w:eastAsia="en-US"/>
        </w:rPr>
        <w:t xml:space="preserve">st five years. </w:t>
      </w:r>
      <w:r>
        <w:t>In addition, the per capita rate of HIV diagnosis in the Aboriginal and Torres Strait Islander population was similar to that in the non</w:t>
      </w:r>
      <w:r w:rsidRPr="00884352">
        <w:rPr>
          <w:rFonts w:ascii="MS UI Gothic" w:eastAsia="MS UI Gothic" w:hAnsi="MS UI Gothic" w:cs="MS UI Gothic" w:hint="eastAsia"/>
        </w:rPr>
        <w:t>‑</w:t>
      </w:r>
      <w:r>
        <w:t>Indigenous population</w:t>
      </w:r>
      <w:r>
        <w:rPr>
          <w:rFonts w:eastAsia="Times New Roman"/>
          <w:lang w:eastAsia="en-US"/>
        </w:rPr>
        <w:t xml:space="preserve"> (Kirby Institute 2011).</w:t>
      </w:r>
    </w:p>
    <w:p w:rsidR="006379B4" w:rsidRDefault="006379B4" w:rsidP="0063152E">
      <w:pPr>
        <w:rPr>
          <w:rFonts w:eastAsia="Times New Roman"/>
          <w:lang w:eastAsia="en-US"/>
        </w:rPr>
      </w:pPr>
      <w:r>
        <w:rPr>
          <w:rFonts w:eastAsia="Times New Roman"/>
          <w:lang w:eastAsia="en-US"/>
        </w:rPr>
        <w:lastRenderedPageBreak/>
        <w:t xml:space="preserve">The applicant has provided data from industry sources that suggests that 34.5% of patients with HIV in Australia are on protease inhibitors. Nearly all HIV patients in Australia receiving treatment are on some sort of nucleoside analogue reverse transcriptase inhibitor. An estimated 69.5% of HIV patients in Australia receive </w:t>
      </w:r>
      <w:proofErr w:type="spellStart"/>
      <w:r>
        <w:rPr>
          <w:rFonts w:eastAsia="Times New Roman"/>
          <w:lang w:eastAsia="en-US"/>
        </w:rPr>
        <w:t>tenofovir</w:t>
      </w:r>
      <w:proofErr w:type="spellEnd"/>
      <w:r>
        <w:rPr>
          <w:rFonts w:eastAsia="Times New Roman"/>
          <w:lang w:eastAsia="en-US"/>
        </w:rPr>
        <w:t>, which is the anti-retroviral most associated with bone mineral density loss.</w:t>
      </w:r>
    </w:p>
    <w:p w:rsidR="006379B4" w:rsidRPr="00CF6D1F" w:rsidRDefault="006379B4" w:rsidP="0063152E">
      <w:pPr>
        <w:rPr>
          <w:rFonts w:eastAsia="Times New Roman"/>
          <w:lang w:eastAsia="en-US"/>
        </w:rPr>
      </w:pPr>
      <w:r w:rsidRPr="00CF6D1F">
        <w:rPr>
          <w:rFonts w:eastAsia="Times New Roman"/>
          <w:lang w:eastAsia="en-US"/>
        </w:rPr>
        <w:t>There may be a significant number of patients who will not require annual scans, and this will be investigated in the submission.</w:t>
      </w:r>
    </w:p>
    <w:bookmarkEnd w:id="55"/>
    <w:p w:rsidR="006379B4" w:rsidRPr="00613957" w:rsidRDefault="006379B4" w:rsidP="005F5995">
      <w:pPr>
        <w:pStyle w:val="Caption"/>
        <w:rPr>
          <w:b w:val="0"/>
        </w:rPr>
      </w:pPr>
      <w:r>
        <w:t xml:space="preserve">Table </w:t>
      </w:r>
      <w:r w:rsidR="008B566C">
        <w:fldChar w:fldCharType="begin"/>
      </w:r>
      <w:r w:rsidR="008B566C">
        <w:instrText xml:space="preserve"> SEQ Table \* ARABIC </w:instrText>
      </w:r>
      <w:r w:rsidR="008B566C">
        <w:fldChar w:fldCharType="separate"/>
      </w:r>
      <w:r w:rsidR="00D24164">
        <w:rPr>
          <w:noProof/>
        </w:rPr>
        <w:t>8</w:t>
      </w:r>
      <w:r w:rsidR="008B566C">
        <w:rPr>
          <w:noProof/>
        </w:rPr>
        <w:fldChar w:fldCharType="end"/>
      </w:r>
      <w:r w:rsidRPr="00613957">
        <w:rPr>
          <w:b w:val="0"/>
        </w:rPr>
        <w:tab/>
        <w:t>List of resources to be considered in the economic analysis</w:t>
      </w:r>
      <w:bookmarkEnd w:id="5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6379B4" w:rsidRPr="00B033F3" w:rsidTr="00BC770E">
        <w:trPr>
          <w:tblHeader/>
        </w:trPr>
        <w:tc>
          <w:tcPr>
            <w:tcW w:w="1728" w:type="dxa"/>
            <w:vMerge w:val="restart"/>
          </w:tcPr>
          <w:p w:rsidR="006379B4" w:rsidRPr="00B033F3" w:rsidRDefault="006379B4" w:rsidP="00B033F3">
            <w:pPr>
              <w:keepNext/>
              <w:spacing w:after="0" w:line="240" w:lineRule="auto"/>
              <w:rPr>
                <w:rFonts w:ascii="Arial Narrow" w:hAnsi="Arial Narrow"/>
                <w:b/>
                <w:sz w:val="18"/>
              </w:rPr>
            </w:pPr>
          </w:p>
        </w:tc>
        <w:tc>
          <w:tcPr>
            <w:tcW w:w="900" w:type="dxa"/>
            <w:vMerge w:val="restart"/>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Provider of resource</w:t>
            </w:r>
          </w:p>
        </w:tc>
        <w:tc>
          <w:tcPr>
            <w:tcW w:w="900" w:type="dxa"/>
            <w:vMerge w:val="restart"/>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Setting in which resource is provided</w:t>
            </w:r>
          </w:p>
        </w:tc>
        <w:tc>
          <w:tcPr>
            <w:tcW w:w="900" w:type="dxa"/>
            <w:vMerge w:val="restart"/>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Proportion of patients receiving resource</w:t>
            </w:r>
          </w:p>
        </w:tc>
        <w:tc>
          <w:tcPr>
            <w:tcW w:w="898" w:type="dxa"/>
            <w:vMerge w:val="restart"/>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Number of units of resource per relevant time horizon per patient receiving resource</w:t>
            </w:r>
          </w:p>
        </w:tc>
        <w:tc>
          <w:tcPr>
            <w:tcW w:w="4421" w:type="dxa"/>
            <w:gridSpan w:val="6"/>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Disaggregated unit cost</w:t>
            </w:r>
          </w:p>
        </w:tc>
      </w:tr>
      <w:tr w:rsidR="006379B4" w:rsidRPr="00B033F3" w:rsidTr="00BC770E">
        <w:trPr>
          <w:tblHeader/>
        </w:trPr>
        <w:tc>
          <w:tcPr>
            <w:tcW w:w="1728" w:type="dxa"/>
            <w:vMerge/>
          </w:tcPr>
          <w:p w:rsidR="006379B4" w:rsidRPr="00B033F3" w:rsidRDefault="006379B4" w:rsidP="00B033F3">
            <w:pPr>
              <w:keepNext/>
              <w:spacing w:after="0" w:line="240" w:lineRule="auto"/>
              <w:rPr>
                <w:rFonts w:ascii="Arial Narrow" w:hAnsi="Arial Narrow"/>
                <w:sz w:val="18"/>
              </w:rPr>
            </w:pPr>
          </w:p>
        </w:tc>
        <w:tc>
          <w:tcPr>
            <w:tcW w:w="900" w:type="dxa"/>
            <w:vMerge/>
          </w:tcPr>
          <w:p w:rsidR="006379B4" w:rsidRPr="00B033F3" w:rsidRDefault="006379B4" w:rsidP="00B033F3">
            <w:pPr>
              <w:keepNext/>
              <w:spacing w:after="0" w:line="240" w:lineRule="auto"/>
              <w:jc w:val="center"/>
              <w:rPr>
                <w:rFonts w:ascii="Arial Narrow" w:hAnsi="Arial Narrow"/>
                <w:sz w:val="18"/>
              </w:rPr>
            </w:pPr>
          </w:p>
        </w:tc>
        <w:tc>
          <w:tcPr>
            <w:tcW w:w="900" w:type="dxa"/>
            <w:vMerge/>
          </w:tcPr>
          <w:p w:rsidR="006379B4" w:rsidRPr="00B033F3" w:rsidRDefault="006379B4" w:rsidP="00B033F3">
            <w:pPr>
              <w:keepNext/>
              <w:spacing w:after="0" w:line="240" w:lineRule="auto"/>
              <w:jc w:val="center"/>
              <w:rPr>
                <w:rFonts w:ascii="Arial Narrow" w:hAnsi="Arial Narrow"/>
                <w:sz w:val="18"/>
              </w:rPr>
            </w:pPr>
          </w:p>
        </w:tc>
        <w:tc>
          <w:tcPr>
            <w:tcW w:w="900" w:type="dxa"/>
            <w:vMerge/>
          </w:tcPr>
          <w:p w:rsidR="006379B4" w:rsidRPr="00B033F3" w:rsidRDefault="006379B4" w:rsidP="00B033F3">
            <w:pPr>
              <w:keepNext/>
              <w:spacing w:after="0" w:line="240" w:lineRule="auto"/>
              <w:jc w:val="center"/>
              <w:rPr>
                <w:rFonts w:ascii="Arial Narrow" w:hAnsi="Arial Narrow"/>
                <w:sz w:val="18"/>
              </w:rPr>
            </w:pPr>
          </w:p>
        </w:tc>
        <w:tc>
          <w:tcPr>
            <w:tcW w:w="898" w:type="dxa"/>
            <w:vMerge/>
          </w:tcPr>
          <w:p w:rsidR="006379B4" w:rsidRPr="00B033F3" w:rsidRDefault="006379B4" w:rsidP="00B033F3">
            <w:pPr>
              <w:keepNext/>
              <w:spacing w:after="0" w:line="240" w:lineRule="auto"/>
              <w:jc w:val="center"/>
              <w:rPr>
                <w:rFonts w:ascii="Arial Narrow" w:hAnsi="Arial Narrow"/>
                <w:sz w:val="18"/>
              </w:rPr>
            </w:pPr>
          </w:p>
        </w:tc>
        <w:tc>
          <w:tcPr>
            <w:tcW w:w="736" w:type="dxa"/>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MBS</w:t>
            </w:r>
          </w:p>
        </w:tc>
        <w:tc>
          <w:tcPr>
            <w:tcW w:w="737" w:type="dxa"/>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Safety nets*</w:t>
            </w:r>
          </w:p>
        </w:tc>
        <w:tc>
          <w:tcPr>
            <w:tcW w:w="737" w:type="dxa"/>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 xml:space="preserve">Other </w:t>
            </w:r>
            <w:proofErr w:type="spellStart"/>
            <w:r w:rsidRPr="00B033F3">
              <w:rPr>
                <w:rFonts w:ascii="Arial Narrow" w:hAnsi="Arial Narrow"/>
                <w:b/>
                <w:sz w:val="18"/>
              </w:rPr>
              <w:t>govt</w:t>
            </w:r>
            <w:proofErr w:type="spellEnd"/>
            <w:r w:rsidRPr="00B033F3">
              <w:rPr>
                <w:rFonts w:ascii="Arial Narrow" w:hAnsi="Arial Narrow"/>
                <w:b/>
                <w:sz w:val="18"/>
              </w:rPr>
              <w:t xml:space="preserve"> budget</w:t>
            </w:r>
          </w:p>
        </w:tc>
        <w:tc>
          <w:tcPr>
            <w:tcW w:w="737" w:type="dxa"/>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Private health insurer</w:t>
            </w:r>
          </w:p>
        </w:tc>
        <w:tc>
          <w:tcPr>
            <w:tcW w:w="737" w:type="dxa"/>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Patient</w:t>
            </w:r>
          </w:p>
        </w:tc>
        <w:tc>
          <w:tcPr>
            <w:tcW w:w="737" w:type="dxa"/>
            <w:vAlign w:val="center"/>
          </w:tcPr>
          <w:p w:rsidR="006379B4" w:rsidRPr="00B033F3" w:rsidRDefault="006379B4" w:rsidP="00B033F3">
            <w:pPr>
              <w:keepNext/>
              <w:spacing w:after="0" w:line="240" w:lineRule="auto"/>
              <w:jc w:val="center"/>
              <w:rPr>
                <w:rFonts w:ascii="Arial Narrow" w:hAnsi="Arial Narrow"/>
                <w:b/>
                <w:sz w:val="18"/>
              </w:rPr>
            </w:pPr>
            <w:r w:rsidRPr="00B033F3">
              <w:rPr>
                <w:rFonts w:ascii="Arial Narrow" w:hAnsi="Arial Narrow"/>
                <w:b/>
                <w:sz w:val="18"/>
              </w:rPr>
              <w:t>Total cost</w:t>
            </w: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 xml:space="preserve">Resources provided to identify eligible population </w:t>
            </w: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 xml:space="preserve">Confirmation of </w:t>
            </w:r>
            <w:r>
              <w:rPr>
                <w:rFonts w:ascii="Arial Narrow" w:hAnsi="Arial Narrow"/>
                <w:sz w:val="18"/>
              </w:rPr>
              <w:t>HIV</w:t>
            </w:r>
            <w:r w:rsidRPr="00B033F3">
              <w:rPr>
                <w:rFonts w:ascii="Arial Narrow" w:hAnsi="Arial Narrow"/>
                <w:color w:val="FF0000"/>
                <w:sz w:val="18"/>
              </w:rPr>
              <w:t xml:space="preserve"> </w:t>
            </w:r>
            <w:r w:rsidRPr="00B033F3">
              <w:rPr>
                <w:rFonts w:ascii="Arial Narrow" w:hAnsi="Arial Narrow"/>
                <w:sz w:val="18"/>
              </w:rPr>
              <w:t>status</w:t>
            </w:r>
          </w:p>
        </w:tc>
        <w:tc>
          <w:tcPr>
            <w:tcW w:w="900" w:type="dxa"/>
          </w:tcPr>
          <w:p w:rsidR="006379B4" w:rsidRPr="00B033F3" w:rsidRDefault="006379B4" w:rsidP="00B033F3">
            <w:pPr>
              <w:spacing w:after="0" w:line="240" w:lineRule="auto"/>
              <w:jc w:val="center"/>
              <w:rPr>
                <w:rFonts w:ascii="Arial Narrow" w:hAnsi="Arial Narrow"/>
                <w:sz w:val="18"/>
              </w:rPr>
            </w:pPr>
            <w:r>
              <w:rPr>
                <w:rFonts w:ascii="Arial Narrow" w:hAnsi="Arial Narrow"/>
                <w:sz w:val="18"/>
              </w:rPr>
              <w:t>Specialist or GP</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public</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100%</w:t>
            </w: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Resources provided to deliver comparator 1</w:t>
            </w: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public</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100%</w:t>
            </w: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Pr>
                <w:rFonts w:ascii="Arial Narrow" w:hAnsi="Arial Narrow"/>
                <w:sz w:val="18"/>
              </w:rPr>
              <w:t>Dietary supplements</w:t>
            </w: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r>
              <w:rPr>
                <w:rFonts w:ascii="Arial Narrow" w:hAnsi="Arial Narrow"/>
                <w:sz w:val="18"/>
              </w:rPr>
              <w:t>Patient cost</w:t>
            </w: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Default="00B46BA9" w:rsidP="00BB68C2">
            <w:pPr>
              <w:numPr>
                <w:ilvl w:val="2"/>
                <w:numId w:val="5"/>
              </w:numPr>
              <w:spacing w:after="0" w:line="240" w:lineRule="auto"/>
              <w:ind w:left="360" w:hanging="218"/>
              <w:contextualSpacing/>
              <w:jc w:val="left"/>
              <w:rPr>
                <w:rFonts w:ascii="Arial Narrow" w:hAnsi="Arial Narrow"/>
                <w:sz w:val="18"/>
              </w:rPr>
            </w:pPr>
            <w:r>
              <w:rPr>
                <w:rFonts w:ascii="Arial Narrow" w:hAnsi="Arial Narrow"/>
                <w:sz w:val="18"/>
              </w:rPr>
              <w:t>Vitamin D test</w:t>
            </w: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B46BA9" w:rsidP="00B033F3">
            <w:pPr>
              <w:spacing w:after="0" w:line="240" w:lineRule="auto"/>
              <w:jc w:val="center"/>
              <w:rPr>
                <w:rFonts w:ascii="Arial Narrow" w:hAnsi="Arial Narrow"/>
                <w:sz w:val="18"/>
              </w:rPr>
            </w:pPr>
            <w:r>
              <w:rPr>
                <w:rFonts w:ascii="Arial Narrow" w:hAnsi="Arial Narrow"/>
                <w:sz w:val="18"/>
              </w:rPr>
              <w:t>Fee $33.20</w:t>
            </w: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Resources provided in association with comparator 1 (e.g., pre-treatments, co-administered interventions, resources used to monitor or in follow-up, resources used in management of adverse events, resources used for treatment of down-stream conditions)</w:t>
            </w: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N/A</w:t>
            </w: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 xml:space="preserve">Resources provided to deliver comparator 2, </w:t>
            </w:r>
            <w:proofErr w:type="spellStart"/>
            <w:r w:rsidRPr="00B033F3">
              <w:rPr>
                <w:rFonts w:ascii="Arial Narrow" w:hAnsi="Arial Narrow"/>
                <w:sz w:val="18"/>
                <w:u w:val="single"/>
              </w:rPr>
              <w:t>etc</w:t>
            </w:r>
            <w:proofErr w:type="spellEnd"/>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N/A</w:t>
            </w: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 xml:space="preserve">Resources provided in association with comparator 2, </w:t>
            </w:r>
            <w:proofErr w:type="spellStart"/>
            <w:r w:rsidRPr="00B033F3">
              <w:rPr>
                <w:rFonts w:ascii="Arial Narrow" w:hAnsi="Arial Narrow"/>
                <w:sz w:val="18"/>
                <w:u w:val="single"/>
              </w:rPr>
              <w:t>etc</w:t>
            </w:r>
            <w:proofErr w:type="spellEnd"/>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N/A</w:t>
            </w: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Resources provided to deliver proposed intervention</w:t>
            </w: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 xml:space="preserve">Dual-Energy X-ray absorptiometry device </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Technician</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Mainly private, but there may be some public</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100%</w:t>
            </w:r>
          </w:p>
        </w:tc>
        <w:tc>
          <w:tcPr>
            <w:tcW w:w="898"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 xml:space="preserve">1 per patient at 12 - </w:t>
            </w:r>
            <w:r>
              <w:rPr>
                <w:rFonts w:ascii="Arial Narrow" w:hAnsi="Arial Narrow"/>
                <w:sz w:val="18"/>
              </w:rPr>
              <w:t>24</w:t>
            </w:r>
            <w:r w:rsidRPr="00B033F3">
              <w:rPr>
                <w:rFonts w:ascii="Arial Narrow" w:hAnsi="Arial Narrow"/>
                <w:sz w:val="18"/>
              </w:rPr>
              <w:t xml:space="preserve"> months intervals</w:t>
            </w: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9747" w:type="dxa"/>
            <w:gridSpan w:val="11"/>
            <w:vAlign w:val="center"/>
          </w:tcPr>
          <w:p w:rsidR="006379B4" w:rsidRPr="00B033F3" w:rsidRDefault="006379B4" w:rsidP="00B033F3">
            <w:pPr>
              <w:spacing w:after="0" w:line="240" w:lineRule="auto"/>
              <w:jc w:val="left"/>
              <w:rPr>
                <w:rFonts w:ascii="Arial Narrow" w:hAnsi="Arial Narrow"/>
                <w:sz w:val="18"/>
                <w:u w:val="single"/>
              </w:rPr>
            </w:pPr>
            <w:r w:rsidRPr="00B033F3">
              <w:rPr>
                <w:rFonts w:ascii="Arial Narrow" w:hAnsi="Arial Narrow"/>
                <w:sz w:val="18"/>
                <w:u w:val="single"/>
              </w:rPr>
              <w:t>Resources provided in association with proposed intervention</w:t>
            </w: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Pr>
                <w:rFonts w:ascii="Arial Narrow" w:hAnsi="Arial Narrow"/>
                <w:sz w:val="18"/>
              </w:rPr>
              <w:t>Dietary supplements</w:t>
            </w:r>
          </w:p>
        </w:tc>
        <w:tc>
          <w:tcPr>
            <w:tcW w:w="900" w:type="dxa"/>
          </w:tcPr>
          <w:p w:rsidR="006379B4"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900" w:type="dxa"/>
          </w:tcPr>
          <w:p w:rsidR="006379B4" w:rsidRPr="00B033F3" w:rsidRDefault="006379B4" w:rsidP="00B033F3">
            <w:pPr>
              <w:spacing w:after="0" w:line="240" w:lineRule="auto"/>
              <w:jc w:val="center"/>
              <w:rPr>
                <w:rFonts w:ascii="Arial Narrow" w:hAnsi="Arial Narrow"/>
                <w:sz w:val="18"/>
              </w:rPr>
            </w:pPr>
          </w:p>
        </w:tc>
        <w:tc>
          <w:tcPr>
            <w:tcW w:w="898" w:type="dxa"/>
          </w:tcPr>
          <w:p w:rsidR="006379B4" w:rsidRPr="00B033F3" w:rsidRDefault="006379B4" w:rsidP="00B033F3">
            <w:pPr>
              <w:spacing w:after="0" w:line="240" w:lineRule="auto"/>
              <w:jc w:val="center"/>
              <w:rPr>
                <w:rFonts w:ascii="Arial Narrow" w:hAnsi="Arial Narrow"/>
                <w:sz w:val="18"/>
              </w:rPr>
            </w:pP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r>
              <w:rPr>
                <w:rFonts w:ascii="Arial Narrow" w:hAnsi="Arial Narrow"/>
                <w:sz w:val="18"/>
              </w:rPr>
              <w:t>Patient cost</w:t>
            </w:r>
          </w:p>
        </w:tc>
        <w:tc>
          <w:tcPr>
            <w:tcW w:w="737" w:type="dxa"/>
          </w:tcPr>
          <w:p w:rsidR="006379B4" w:rsidRPr="00B033F3" w:rsidRDefault="006379B4"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Reporting of results to patient</w:t>
            </w:r>
          </w:p>
        </w:tc>
        <w:tc>
          <w:tcPr>
            <w:tcW w:w="900" w:type="dxa"/>
          </w:tcPr>
          <w:p w:rsidR="006379B4" w:rsidRPr="00B033F3" w:rsidRDefault="006379B4" w:rsidP="00B033F3">
            <w:pPr>
              <w:spacing w:after="0" w:line="240" w:lineRule="auto"/>
              <w:jc w:val="center"/>
              <w:rPr>
                <w:rFonts w:ascii="Arial Narrow" w:hAnsi="Arial Narrow"/>
                <w:sz w:val="18"/>
              </w:rPr>
            </w:pPr>
            <w:r>
              <w:rPr>
                <w:rFonts w:ascii="Arial Narrow" w:hAnsi="Arial Narrow"/>
                <w:sz w:val="18"/>
              </w:rPr>
              <w:t xml:space="preserve">Specialist or </w:t>
            </w:r>
            <w:r w:rsidRPr="00B033F3">
              <w:rPr>
                <w:rFonts w:ascii="Arial Narrow" w:hAnsi="Arial Narrow"/>
                <w:sz w:val="18"/>
              </w:rPr>
              <w:t>GP</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Public</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100%</w:t>
            </w:r>
          </w:p>
        </w:tc>
        <w:tc>
          <w:tcPr>
            <w:tcW w:w="898"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Per scan</w:t>
            </w:r>
          </w:p>
        </w:tc>
        <w:tc>
          <w:tcPr>
            <w:tcW w:w="736"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r w:rsidR="00B46BA9" w:rsidRPr="00B033F3" w:rsidTr="00BC770E">
        <w:tc>
          <w:tcPr>
            <w:tcW w:w="1728" w:type="dxa"/>
          </w:tcPr>
          <w:p w:rsidR="00B46BA9" w:rsidRPr="00B033F3" w:rsidRDefault="00B46BA9" w:rsidP="00BB68C2">
            <w:pPr>
              <w:numPr>
                <w:ilvl w:val="2"/>
                <w:numId w:val="5"/>
              </w:numPr>
              <w:spacing w:after="0" w:line="240" w:lineRule="auto"/>
              <w:ind w:left="360" w:hanging="218"/>
              <w:contextualSpacing/>
              <w:jc w:val="left"/>
              <w:rPr>
                <w:rFonts w:ascii="Arial Narrow" w:hAnsi="Arial Narrow"/>
                <w:sz w:val="18"/>
              </w:rPr>
            </w:pPr>
            <w:r>
              <w:rPr>
                <w:rFonts w:ascii="Arial Narrow" w:hAnsi="Arial Narrow"/>
                <w:sz w:val="18"/>
              </w:rPr>
              <w:t>Vitamin D test</w:t>
            </w:r>
          </w:p>
        </w:tc>
        <w:tc>
          <w:tcPr>
            <w:tcW w:w="900" w:type="dxa"/>
          </w:tcPr>
          <w:p w:rsidR="00B46BA9" w:rsidRDefault="00B46BA9" w:rsidP="00B033F3">
            <w:pPr>
              <w:spacing w:after="0" w:line="240" w:lineRule="auto"/>
              <w:jc w:val="center"/>
              <w:rPr>
                <w:rFonts w:ascii="Arial Narrow" w:hAnsi="Arial Narrow"/>
                <w:sz w:val="18"/>
              </w:rPr>
            </w:pPr>
          </w:p>
        </w:tc>
        <w:tc>
          <w:tcPr>
            <w:tcW w:w="900" w:type="dxa"/>
          </w:tcPr>
          <w:p w:rsidR="00B46BA9" w:rsidRPr="00B033F3" w:rsidRDefault="00B46BA9" w:rsidP="00B033F3">
            <w:pPr>
              <w:spacing w:after="0" w:line="240" w:lineRule="auto"/>
              <w:jc w:val="center"/>
              <w:rPr>
                <w:rFonts w:ascii="Arial Narrow" w:hAnsi="Arial Narrow"/>
                <w:sz w:val="18"/>
              </w:rPr>
            </w:pPr>
          </w:p>
        </w:tc>
        <w:tc>
          <w:tcPr>
            <w:tcW w:w="900" w:type="dxa"/>
          </w:tcPr>
          <w:p w:rsidR="00B46BA9" w:rsidRPr="00B033F3" w:rsidRDefault="00B46BA9" w:rsidP="00B033F3">
            <w:pPr>
              <w:spacing w:after="0" w:line="240" w:lineRule="auto"/>
              <w:jc w:val="center"/>
              <w:rPr>
                <w:rFonts w:ascii="Arial Narrow" w:hAnsi="Arial Narrow"/>
                <w:sz w:val="18"/>
              </w:rPr>
            </w:pPr>
          </w:p>
        </w:tc>
        <w:tc>
          <w:tcPr>
            <w:tcW w:w="898" w:type="dxa"/>
          </w:tcPr>
          <w:p w:rsidR="00B46BA9" w:rsidRPr="00B033F3" w:rsidRDefault="00B46BA9" w:rsidP="00B033F3">
            <w:pPr>
              <w:spacing w:after="0" w:line="240" w:lineRule="auto"/>
              <w:jc w:val="center"/>
              <w:rPr>
                <w:rFonts w:ascii="Arial Narrow" w:hAnsi="Arial Narrow"/>
                <w:sz w:val="18"/>
              </w:rPr>
            </w:pPr>
          </w:p>
        </w:tc>
        <w:tc>
          <w:tcPr>
            <w:tcW w:w="736" w:type="dxa"/>
          </w:tcPr>
          <w:p w:rsidR="00B46BA9" w:rsidRPr="00B033F3" w:rsidRDefault="00B46BA9" w:rsidP="00B033F3">
            <w:pPr>
              <w:spacing w:after="0" w:line="240" w:lineRule="auto"/>
              <w:jc w:val="center"/>
              <w:rPr>
                <w:rFonts w:ascii="Arial Narrow" w:hAnsi="Arial Narrow"/>
                <w:sz w:val="18"/>
              </w:rPr>
            </w:pPr>
            <w:r w:rsidRPr="00B46BA9">
              <w:rPr>
                <w:rFonts w:ascii="Arial Narrow" w:hAnsi="Arial Narrow"/>
                <w:sz w:val="18"/>
              </w:rPr>
              <w:t>Fee $33.20</w:t>
            </w:r>
          </w:p>
        </w:tc>
        <w:tc>
          <w:tcPr>
            <w:tcW w:w="737" w:type="dxa"/>
          </w:tcPr>
          <w:p w:rsidR="00B46BA9" w:rsidRPr="00B033F3" w:rsidRDefault="00B46BA9" w:rsidP="00B033F3">
            <w:pPr>
              <w:spacing w:after="0" w:line="240" w:lineRule="auto"/>
              <w:jc w:val="center"/>
              <w:rPr>
                <w:rFonts w:ascii="Arial Narrow" w:hAnsi="Arial Narrow"/>
                <w:sz w:val="18"/>
              </w:rPr>
            </w:pPr>
          </w:p>
        </w:tc>
        <w:tc>
          <w:tcPr>
            <w:tcW w:w="737" w:type="dxa"/>
          </w:tcPr>
          <w:p w:rsidR="00B46BA9" w:rsidRPr="00B033F3" w:rsidRDefault="00B46BA9" w:rsidP="00B033F3">
            <w:pPr>
              <w:spacing w:after="0" w:line="240" w:lineRule="auto"/>
              <w:jc w:val="center"/>
              <w:rPr>
                <w:rFonts w:ascii="Arial Narrow" w:hAnsi="Arial Narrow"/>
                <w:sz w:val="18"/>
              </w:rPr>
            </w:pPr>
          </w:p>
        </w:tc>
        <w:tc>
          <w:tcPr>
            <w:tcW w:w="737" w:type="dxa"/>
          </w:tcPr>
          <w:p w:rsidR="00B46BA9" w:rsidRPr="00B033F3" w:rsidRDefault="00B46BA9" w:rsidP="00B033F3">
            <w:pPr>
              <w:spacing w:after="0" w:line="240" w:lineRule="auto"/>
              <w:jc w:val="center"/>
              <w:rPr>
                <w:rFonts w:ascii="Arial Narrow" w:hAnsi="Arial Narrow"/>
                <w:sz w:val="18"/>
              </w:rPr>
            </w:pPr>
          </w:p>
        </w:tc>
        <w:tc>
          <w:tcPr>
            <w:tcW w:w="737" w:type="dxa"/>
          </w:tcPr>
          <w:p w:rsidR="00B46BA9" w:rsidRPr="00B033F3" w:rsidRDefault="00B46BA9" w:rsidP="00B033F3">
            <w:pPr>
              <w:spacing w:after="0" w:line="240" w:lineRule="auto"/>
              <w:jc w:val="center"/>
              <w:rPr>
                <w:rFonts w:ascii="Arial Narrow" w:hAnsi="Arial Narrow"/>
                <w:sz w:val="18"/>
              </w:rPr>
            </w:pPr>
          </w:p>
        </w:tc>
        <w:tc>
          <w:tcPr>
            <w:tcW w:w="737" w:type="dxa"/>
          </w:tcPr>
          <w:p w:rsidR="00B46BA9" w:rsidRPr="00B033F3" w:rsidRDefault="00B46BA9" w:rsidP="00B033F3">
            <w:pPr>
              <w:spacing w:after="0" w:line="240" w:lineRule="auto"/>
              <w:jc w:val="center"/>
              <w:rPr>
                <w:rFonts w:ascii="Arial Narrow" w:hAnsi="Arial Narrow"/>
                <w:sz w:val="18"/>
              </w:rPr>
            </w:pPr>
          </w:p>
        </w:tc>
      </w:tr>
      <w:tr w:rsidR="006379B4" w:rsidRPr="00B033F3" w:rsidTr="00BC770E">
        <w:tc>
          <w:tcPr>
            <w:tcW w:w="1728" w:type="dxa"/>
          </w:tcPr>
          <w:p w:rsidR="006379B4" w:rsidRPr="00B033F3" w:rsidRDefault="006379B4" w:rsidP="00BB68C2">
            <w:pPr>
              <w:numPr>
                <w:ilvl w:val="2"/>
                <w:numId w:val="5"/>
              </w:numPr>
              <w:spacing w:after="0" w:line="240" w:lineRule="auto"/>
              <w:ind w:left="360" w:hanging="218"/>
              <w:contextualSpacing/>
              <w:jc w:val="left"/>
              <w:rPr>
                <w:rFonts w:ascii="Arial Narrow" w:hAnsi="Arial Narrow"/>
                <w:sz w:val="18"/>
              </w:rPr>
            </w:pPr>
            <w:r w:rsidRPr="00B033F3">
              <w:rPr>
                <w:rFonts w:ascii="Arial Narrow" w:hAnsi="Arial Narrow"/>
                <w:sz w:val="18"/>
              </w:rPr>
              <w:t>Treatment</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Pharmacy</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Private</w:t>
            </w:r>
          </w:p>
        </w:tc>
        <w:tc>
          <w:tcPr>
            <w:tcW w:w="900"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Unknown</w:t>
            </w:r>
          </w:p>
        </w:tc>
        <w:tc>
          <w:tcPr>
            <w:tcW w:w="898"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Variable**</w:t>
            </w:r>
          </w:p>
        </w:tc>
        <w:tc>
          <w:tcPr>
            <w:tcW w:w="736"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 xml:space="preserve">$37.38 to $589.17 </w:t>
            </w:r>
          </w:p>
        </w:tc>
        <w:tc>
          <w:tcPr>
            <w:tcW w:w="737" w:type="dxa"/>
          </w:tcPr>
          <w:p w:rsidR="006379B4" w:rsidRPr="00B033F3" w:rsidRDefault="006379B4" w:rsidP="00B033F3">
            <w:pPr>
              <w:spacing w:after="0" w:line="240" w:lineRule="auto"/>
              <w:jc w:val="center"/>
              <w:rPr>
                <w:rFonts w:ascii="Arial Narrow" w:hAnsi="Arial Narrow"/>
                <w:sz w:val="18"/>
              </w:rPr>
            </w:pPr>
            <w:r w:rsidRPr="00B033F3">
              <w:rPr>
                <w:rFonts w:ascii="Arial Narrow" w:hAnsi="Arial Narrow"/>
                <w:sz w:val="18"/>
              </w:rPr>
              <w:t>$5.60 to $34.20</w:t>
            </w: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c>
          <w:tcPr>
            <w:tcW w:w="737" w:type="dxa"/>
          </w:tcPr>
          <w:p w:rsidR="006379B4" w:rsidRPr="00B033F3" w:rsidRDefault="006379B4" w:rsidP="00B033F3">
            <w:pPr>
              <w:spacing w:after="0" w:line="240" w:lineRule="auto"/>
              <w:jc w:val="center"/>
              <w:rPr>
                <w:rFonts w:ascii="Arial Narrow" w:hAnsi="Arial Narrow"/>
                <w:sz w:val="18"/>
              </w:rPr>
            </w:pPr>
          </w:p>
        </w:tc>
      </w:tr>
    </w:tbl>
    <w:p w:rsidR="006379B4" w:rsidRPr="00884352" w:rsidRDefault="006379B4" w:rsidP="00B033F3">
      <w:pPr>
        <w:rPr>
          <w:rFonts w:ascii="Arial Narrow" w:hAnsi="Arial Narrow"/>
        </w:rPr>
      </w:pPr>
      <w:r w:rsidRPr="00884352">
        <w:rPr>
          <w:rFonts w:ascii="Arial Narrow" w:hAnsi="Arial Narrow"/>
        </w:rPr>
        <w:t>*eligible patients will be referred to have a DXA scan performed through their GP or other health professional in each case</w:t>
      </w:r>
      <w:r>
        <w:rPr>
          <w:rFonts w:ascii="Arial Narrow" w:hAnsi="Arial Narrow"/>
        </w:rPr>
        <w:br/>
      </w:r>
      <w:r w:rsidRPr="00884352">
        <w:rPr>
          <w:rFonts w:ascii="Arial Narrow" w:hAnsi="Arial Narrow"/>
        </w:rPr>
        <w:t>**although the duration of treatment per prescription varies, prescriptions usually contain sufficient medicine to treat the patient for 28 days.</w:t>
      </w:r>
    </w:p>
    <w:p w:rsidR="006379B4" w:rsidRPr="00613957" w:rsidRDefault="006379B4" w:rsidP="00613957">
      <w:pPr>
        <w:pStyle w:val="Heading1"/>
      </w:pPr>
      <w:bookmarkStart w:id="57" w:name="_Toc335902680"/>
      <w:bookmarkStart w:id="58" w:name="_Toc362969240"/>
      <w:r w:rsidRPr="00613957">
        <w:lastRenderedPageBreak/>
        <w:t>Proposed structure of economic evaluation (decision-analytic)</w:t>
      </w:r>
      <w:bookmarkEnd w:id="57"/>
      <w:bookmarkEnd w:id="58"/>
    </w:p>
    <w:p w:rsidR="006379B4" w:rsidRPr="00613957" w:rsidRDefault="006379B4" w:rsidP="005F5995">
      <w:pPr>
        <w:pStyle w:val="Caption"/>
        <w:rPr>
          <w:b w:val="0"/>
        </w:rPr>
      </w:pPr>
      <w:r>
        <w:t xml:space="preserve">Table </w:t>
      </w:r>
      <w:r w:rsidR="008B566C">
        <w:fldChar w:fldCharType="begin"/>
      </w:r>
      <w:r w:rsidR="008B566C">
        <w:instrText xml:space="preserve"> SEQ Table \* ARABIC </w:instrText>
      </w:r>
      <w:r w:rsidR="008B566C">
        <w:fldChar w:fldCharType="separate"/>
      </w:r>
      <w:r w:rsidR="00D24164">
        <w:rPr>
          <w:noProof/>
        </w:rPr>
        <w:t>9</w:t>
      </w:r>
      <w:r w:rsidR="008B566C">
        <w:rPr>
          <w:noProof/>
        </w:rPr>
        <w:fldChar w:fldCharType="end"/>
      </w:r>
      <w:r>
        <w:tab/>
      </w:r>
      <w:r w:rsidRPr="00613957">
        <w:rPr>
          <w:b w:val="0"/>
        </w:rPr>
        <w:t>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6379B4">
        <w:tc>
          <w:tcPr>
            <w:tcW w:w="1807" w:type="dxa"/>
          </w:tcPr>
          <w:p w:rsidR="006379B4" w:rsidRDefault="006379B4">
            <w:pPr>
              <w:jc w:val="center"/>
              <w:rPr>
                <w:rFonts w:ascii="Arial Narrow" w:hAnsi="Arial Narrow"/>
                <w:b/>
                <w:sz w:val="18"/>
              </w:rPr>
            </w:pPr>
            <w:r>
              <w:rPr>
                <w:rFonts w:ascii="Arial Narrow" w:hAnsi="Arial Narrow"/>
                <w:b/>
                <w:sz w:val="18"/>
              </w:rPr>
              <w:t>Patients</w:t>
            </w:r>
          </w:p>
        </w:tc>
        <w:tc>
          <w:tcPr>
            <w:tcW w:w="1808" w:type="dxa"/>
          </w:tcPr>
          <w:p w:rsidR="006379B4" w:rsidRDefault="006379B4">
            <w:pPr>
              <w:jc w:val="center"/>
              <w:rPr>
                <w:rFonts w:ascii="Arial Narrow" w:hAnsi="Arial Narrow"/>
                <w:b/>
                <w:sz w:val="18"/>
              </w:rPr>
            </w:pPr>
            <w:r>
              <w:rPr>
                <w:rFonts w:ascii="Arial Narrow" w:hAnsi="Arial Narrow"/>
                <w:b/>
                <w:sz w:val="18"/>
              </w:rPr>
              <w:t>Intervention</w:t>
            </w:r>
          </w:p>
        </w:tc>
        <w:tc>
          <w:tcPr>
            <w:tcW w:w="1808" w:type="dxa"/>
          </w:tcPr>
          <w:p w:rsidR="006379B4" w:rsidRDefault="006379B4">
            <w:pPr>
              <w:jc w:val="center"/>
              <w:rPr>
                <w:rFonts w:ascii="Arial Narrow" w:hAnsi="Arial Narrow"/>
                <w:b/>
                <w:sz w:val="18"/>
              </w:rPr>
            </w:pPr>
            <w:r>
              <w:rPr>
                <w:rFonts w:ascii="Arial Narrow" w:hAnsi="Arial Narrow"/>
                <w:b/>
                <w:sz w:val="18"/>
              </w:rPr>
              <w:t>Comparator</w:t>
            </w:r>
          </w:p>
        </w:tc>
        <w:tc>
          <w:tcPr>
            <w:tcW w:w="1808" w:type="dxa"/>
          </w:tcPr>
          <w:p w:rsidR="006379B4" w:rsidRDefault="006379B4">
            <w:pPr>
              <w:jc w:val="center"/>
              <w:rPr>
                <w:rFonts w:ascii="Arial Narrow" w:hAnsi="Arial Narrow"/>
                <w:b/>
                <w:sz w:val="18"/>
              </w:rPr>
            </w:pPr>
            <w:r>
              <w:rPr>
                <w:rFonts w:ascii="Arial Narrow" w:hAnsi="Arial Narrow"/>
                <w:b/>
                <w:sz w:val="18"/>
              </w:rPr>
              <w:t>Outcomes to be assessed</w:t>
            </w:r>
          </w:p>
        </w:tc>
        <w:tc>
          <w:tcPr>
            <w:tcW w:w="1808" w:type="dxa"/>
          </w:tcPr>
          <w:p w:rsidR="006379B4" w:rsidRDefault="006379B4">
            <w:pPr>
              <w:jc w:val="center"/>
              <w:rPr>
                <w:rFonts w:ascii="Arial Narrow" w:hAnsi="Arial Narrow"/>
                <w:b/>
                <w:sz w:val="18"/>
              </w:rPr>
            </w:pPr>
            <w:r>
              <w:rPr>
                <w:rFonts w:ascii="Arial Narrow" w:hAnsi="Arial Narrow"/>
                <w:b/>
                <w:sz w:val="18"/>
              </w:rPr>
              <w:t>Healthcare resources to be considered</w:t>
            </w:r>
          </w:p>
        </w:tc>
      </w:tr>
      <w:tr w:rsidR="006379B4" w:rsidRPr="00915B28">
        <w:tc>
          <w:tcPr>
            <w:tcW w:w="1807" w:type="dxa"/>
          </w:tcPr>
          <w:p w:rsidR="006379B4" w:rsidRDefault="006379B4" w:rsidP="001412DB">
            <w:pPr>
              <w:spacing w:after="0" w:line="240" w:lineRule="auto"/>
              <w:rPr>
                <w:rFonts w:ascii="Arial Narrow" w:hAnsi="Arial Narrow"/>
                <w:sz w:val="18"/>
              </w:rPr>
            </w:pPr>
            <w:r>
              <w:rPr>
                <w:rFonts w:ascii="Arial Narrow" w:hAnsi="Arial Narrow"/>
                <w:sz w:val="18"/>
              </w:rPr>
              <w:t>People who are HIV positive</w:t>
            </w:r>
          </w:p>
          <w:p w:rsidR="006379B4" w:rsidRDefault="006379B4" w:rsidP="001412DB">
            <w:pPr>
              <w:spacing w:after="0" w:line="240" w:lineRule="auto"/>
              <w:rPr>
                <w:rFonts w:ascii="Arial Narrow" w:hAnsi="Arial Narrow"/>
                <w:sz w:val="18"/>
              </w:rPr>
            </w:pPr>
            <w:r>
              <w:rPr>
                <w:rFonts w:ascii="Arial Narrow" w:hAnsi="Arial Narrow"/>
                <w:sz w:val="18"/>
              </w:rPr>
              <w:t>Sub-groups of interest:</w:t>
            </w:r>
          </w:p>
          <w:p w:rsidR="006379B4" w:rsidRPr="009D3E0D" w:rsidRDefault="006379B4" w:rsidP="009D3E0D">
            <w:pPr>
              <w:pStyle w:val="ListParagraph"/>
              <w:numPr>
                <w:ilvl w:val="0"/>
                <w:numId w:val="48"/>
              </w:numPr>
              <w:spacing w:after="0" w:line="240" w:lineRule="auto"/>
              <w:ind w:left="113" w:hanging="113"/>
              <w:rPr>
                <w:rFonts w:ascii="Arial Narrow" w:hAnsi="Arial Narrow"/>
                <w:sz w:val="18"/>
              </w:rPr>
            </w:pPr>
            <w:r w:rsidRPr="009D3E0D">
              <w:rPr>
                <w:rFonts w:ascii="Arial Narrow" w:hAnsi="Arial Narrow"/>
                <w:sz w:val="18"/>
              </w:rPr>
              <w:t>Patients treated with anti-</w:t>
            </w:r>
            <w:proofErr w:type="spellStart"/>
            <w:r w:rsidRPr="009D3E0D">
              <w:rPr>
                <w:rFonts w:ascii="Arial Narrow" w:hAnsi="Arial Narrow"/>
                <w:sz w:val="18"/>
              </w:rPr>
              <w:t>retrovirals</w:t>
            </w:r>
            <w:proofErr w:type="spellEnd"/>
          </w:p>
          <w:p w:rsidR="006379B4" w:rsidRPr="009D3E0D" w:rsidRDefault="006379B4" w:rsidP="009D3E0D">
            <w:pPr>
              <w:pStyle w:val="ListParagraph"/>
              <w:numPr>
                <w:ilvl w:val="0"/>
                <w:numId w:val="48"/>
              </w:numPr>
              <w:spacing w:after="0" w:line="240" w:lineRule="auto"/>
              <w:ind w:left="113" w:hanging="113"/>
              <w:rPr>
                <w:rFonts w:ascii="Arial Narrow" w:hAnsi="Arial Narrow"/>
                <w:sz w:val="18"/>
              </w:rPr>
            </w:pPr>
            <w:r w:rsidRPr="009D3E0D">
              <w:rPr>
                <w:rFonts w:ascii="Arial Narrow" w:hAnsi="Arial Narrow"/>
                <w:sz w:val="18"/>
              </w:rPr>
              <w:t>Patients not treated with anti-retroviral medication</w:t>
            </w:r>
          </w:p>
          <w:p w:rsidR="006379B4" w:rsidRDefault="006379B4" w:rsidP="001412DB">
            <w:pPr>
              <w:spacing w:after="0" w:line="240" w:lineRule="auto"/>
              <w:rPr>
                <w:rFonts w:ascii="Arial Narrow" w:hAnsi="Arial Narrow"/>
                <w:sz w:val="18"/>
              </w:rPr>
            </w:pPr>
            <w:r>
              <w:rPr>
                <w:rFonts w:ascii="Arial Narrow" w:hAnsi="Arial Narrow"/>
                <w:sz w:val="18"/>
              </w:rPr>
              <w:t>Follow-up options:</w:t>
            </w:r>
          </w:p>
          <w:p w:rsidR="006379B4" w:rsidRPr="009D3E0D" w:rsidRDefault="006379B4" w:rsidP="009D3E0D">
            <w:pPr>
              <w:pStyle w:val="ListParagraph"/>
              <w:numPr>
                <w:ilvl w:val="0"/>
                <w:numId w:val="49"/>
              </w:numPr>
              <w:spacing w:after="0" w:line="240" w:lineRule="auto"/>
              <w:ind w:left="113" w:hanging="113"/>
              <w:rPr>
                <w:rFonts w:ascii="Arial Narrow" w:hAnsi="Arial Narrow"/>
                <w:sz w:val="18"/>
              </w:rPr>
            </w:pPr>
            <w:r w:rsidRPr="009D3E0D">
              <w:rPr>
                <w:rFonts w:ascii="Arial Narrow" w:hAnsi="Arial Narrow"/>
                <w:sz w:val="18"/>
              </w:rPr>
              <w:t>T-score ≥-1.0: no repeat scan</w:t>
            </w:r>
          </w:p>
          <w:p w:rsidR="006379B4" w:rsidRPr="009D3E0D" w:rsidRDefault="007935AB" w:rsidP="009D3E0D">
            <w:pPr>
              <w:pStyle w:val="ListParagraph"/>
              <w:numPr>
                <w:ilvl w:val="0"/>
                <w:numId w:val="49"/>
              </w:numPr>
              <w:spacing w:after="0" w:line="240" w:lineRule="auto"/>
              <w:ind w:left="113" w:hanging="113"/>
              <w:rPr>
                <w:rFonts w:ascii="Arial Narrow" w:hAnsi="Arial Narrow"/>
                <w:sz w:val="18"/>
              </w:rPr>
            </w:pPr>
            <w:r w:rsidRPr="009D3E0D">
              <w:rPr>
                <w:rFonts w:ascii="Arial Narrow" w:hAnsi="Arial Narrow"/>
                <w:sz w:val="18"/>
              </w:rPr>
              <w:t>-1.0 &gt; T-score &gt; -2.5</w:t>
            </w:r>
            <w:r w:rsidR="006379B4" w:rsidRPr="009D3E0D">
              <w:rPr>
                <w:rFonts w:ascii="Arial Narrow" w:hAnsi="Arial Narrow"/>
                <w:sz w:val="18"/>
              </w:rPr>
              <w:t>: repeat scan every 24 months</w:t>
            </w:r>
          </w:p>
          <w:p w:rsidR="006379B4" w:rsidRPr="009D3E0D" w:rsidRDefault="006379B4" w:rsidP="009D3E0D">
            <w:pPr>
              <w:pStyle w:val="ListParagraph"/>
              <w:numPr>
                <w:ilvl w:val="0"/>
                <w:numId w:val="49"/>
              </w:numPr>
              <w:spacing w:after="0" w:line="240" w:lineRule="auto"/>
              <w:ind w:left="113" w:hanging="113"/>
              <w:rPr>
                <w:rFonts w:ascii="Arial Narrow" w:hAnsi="Arial Narrow"/>
                <w:sz w:val="18"/>
              </w:rPr>
            </w:pPr>
            <w:r w:rsidRPr="009D3E0D">
              <w:rPr>
                <w:rFonts w:ascii="Arial Narrow" w:hAnsi="Arial Narrow"/>
                <w:sz w:val="18"/>
              </w:rPr>
              <w:t>T-score ≤2.5: repeat scan every 12 months (MBS item 12306)</w:t>
            </w:r>
          </w:p>
          <w:p w:rsidR="006379B4" w:rsidRDefault="006379B4" w:rsidP="001412DB">
            <w:pPr>
              <w:spacing w:after="0" w:line="240" w:lineRule="auto"/>
              <w:rPr>
                <w:rFonts w:ascii="Arial Narrow" w:hAnsi="Arial Narrow"/>
                <w:sz w:val="18"/>
              </w:rPr>
            </w:pPr>
            <w:r w:rsidRPr="001412DB">
              <w:rPr>
                <w:rFonts w:ascii="Arial Narrow" w:hAnsi="Arial Narrow"/>
                <w:sz w:val="18"/>
              </w:rPr>
              <w:t>Sensitivity analyses should investigate other options of repeat scanning as advised by the evidence.</w:t>
            </w:r>
          </w:p>
          <w:p w:rsidR="006379B4" w:rsidRDefault="006379B4" w:rsidP="001412DB">
            <w:pPr>
              <w:spacing w:after="0" w:line="240" w:lineRule="auto"/>
              <w:rPr>
                <w:rFonts w:ascii="Arial Narrow" w:hAnsi="Arial Narrow"/>
                <w:sz w:val="18"/>
              </w:rPr>
            </w:pPr>
            <w:r>
              <w:rPr>
                <w:rFonts w:ascii="Arial Narrow" w:hAnsi="Arial Narrow"/>
                <w:sz w:val="18"/>
              </w:rPr>
              <w:t>Exclude:</w:t>
            </w:r>
          </w:p>
          <w:p w:rsidR="006379B4" w:rsidRDefault="006379B4" w:rsidP="001412DB">
            <w:pPr>
              <w:spacing w:after="0" w:line="240" w:lineRule="auto"/>
              <w:rPr>
                <w:rFonts w:ascii="Arial Narrow" w:hAnsi="Arial Narrow"/>
                <w:sz w:val="18"/>
              </w:rPr>
            </w:pPr>
            <w:r>
              <w:rPr>
                <w:rFonts w:ascii="Arial Narrow" w:hAnsi="Arial Narrow"/>
                <w:sz w:val="18"/>
              </w:rPr>
              <w:t>All men and women at age 70 and over, with a previous minimal traum</w:t>
            </w:r>
            <w:r w:rsidR="006C05CC">
              <w:rPr>
                <w:rFonts w:ascii="Arial Narrow" w:hAnsi="Arial Narrow"/>
                <w:sz w:val="18"/>
              </w:rPr>
              <w:t>a</w:t>
            </w:r>
            <w:r>
              <w:rPr>
                <w:rFonts w:ascii="Arial Narrow" w:hAnsi="Arial Narrow"/>
                <w:sz w:val="18"/>
              </w:rPr>
              <w:t xml:space="preserve"> fracture, or currently eligible for MBS items for DXA scanning.</w:t>
            </w:r>
          </w:p>
        </w:tc>
        <w:tc>
          <w:tcPr>
            <w:tcW w:w="1808" w:type="dxa"/>
          </w:tcPr>
          <w:p w:rsidR="006379B4" w:rsidRPr="001412DB" w:rsidRDefault="006379B4" w:rsidP="001412DB">
            <w:pPr>
              <w:spacing w:after="0" w:line="240" w:lineRule="auto"/>
              <w:rPr>
                <w:rFonts w:ascii="Arial Narrow" w:hAnsi="Arial Narrow"/>
                <w:sz w:val="18"/>
              </w:rPr>
            </w:pPr>
            <w:r w:rsidRPr="001412DB">
              <w:rPr>
                <w:rFonts w:ascii="Arial Narrow" w:hAnsi="Arial Narrow"/>
                <w:sz w:val="18"/>
              </w:rPr>
              <w:t>DXA scan and treatment with a prescription anti-</w:t>
            </w:r>
            <w:proofErr w:type="spellStart"/>
            <w:r w:rsidRPr="001412DB">
              <w:rPr>
                <w:rFonts w:ascii="Arial Narrow" w:hAnsi="Arial Narrow"/>
                <w:sz w:val="18"/>
              </w:rPr>
              <w:t>resorptive</w:t>
            </w:r>
            <w:proofErr w:type="spellEnd"/>
            <w:r w:rsidRPr="001412DB">
              <w:rPr>
                <w:rFonts w:ascii="Arial Narrow" w:hAnsi="Arial Narrow"/>
                <w:sz w:val="18"/>
              </w:rPr>
              <w:t xml:space="preserve"> drug at a T-score of ≤-2.5.</w:t>
            </w:r>
          </w:p>
          <w:p w:rsidR="006379B4" w:rsidRPr="001412DB" w:rsidRDefault="006379B4" w:rsidP="001412DB">
            <w:pPr>
              <w:spacing w:after="0" w:line="240" w:lineRule="auto"/>
              <w:rPr>
                <w:rFonts w:ascii="Arial Narrow" w:hAnsi="Arial Narrow"/>
                <w:sz w:val="18"/>
              </w:rPr>
            </w:pPr>
            <w:r w:rsidRPr="001412DB">
              <w:rPr>
                <w:rFonts w:ascii="Arial Narrow" w:hAnsi="Arial Narrow"/>
                <w:sz w:val="18"/>
              </w:rPr>
              <w:t>Threshold to therapy options for sensitivity analysis:</w:t>
            </w:r>
          </w:p>
          <w:p w:rsidR="006379B4" w:rsidRPr="001412DB" w:rsidRDefault="006379B4" w:rsidP="001412DB">
            <w:pPr>
              <w:spacing w:after="0" w:line="240" w:lineRule="auto"/>
              <w:rPr>
                <w:rFonts w:ascii="Arial Narrow" w:hAnsi="Arial Narrow"/>
                <w:sz w:val="18"/>
              </w:rPr>
            </w:pPr>
            <w:r w:rsidRPr="001412DB">
              <w:rPr>
                <w:rFonts w:ascii="Arial Narrow" w:hAnsi="Arial Narrow"/>
                <w:sz w:val="18"/>
              </w:rPr>
              <w:t>T-scores of -1.0, -1.5, -2.0.</w:t>
            </w:r>
          </w:p>
          <w:p w:rsidR="006379B4" w:rsidRPr="001412DB" w:rsidRDefault="006379B4" w:rsidP="001412DB">
            <w:pPr>
              <w:spacing w:after="0" w:line="240" w:lineRule="auto"/>
              <w:rPr>
                <w:rFonts w:ascii="Arial Narrow" w:hAnsi="Arial Narrow"/>
                <w:sz w:val="18"/>
              </w:rPr>
            </w:pPr>
            <w:r w:rsidRPr="001412DB">
              <w:rPr>
                <w:rFonts w:ascii="Arial Narrow" w:hAnsi="Arial Narrow"/>
                <w:sz w:val="18"/>
              </w:rPr>
              <w:t>Sensitivity analyses should investigate other options of threshold to therapy</w:t>
            </w:r>
            <w:r w:rsidR="006C05CC">
              <w:rPr>
                <w:rFonts w:ascii="Arial Narrow" w:hAnsi="Arial Narrow"/>
                <w:sz w:val="18"/>
              </w:rPr>
              <w:t xml:space="preserve"> </w:t>
            </w:r>
            <w:r w:rsidRPr="001412DB">
              <w:rPr>
                <w:rFonts w:ascii="Arial Narrow" w:hAnsi="Arial Narrow"/>
                <w:sz w:val="18"/>
              </w:rPr>
              <w:t>as advised by the evidence.</w:t>
            </w:r>
          </w:p>
          <w:p w:rsidR="006379B4" w:rsidRPr="001412DB" w:rsidRDefault="006379B4" w:rsidP="001412DB">
            <w:pPr>
              <w:spacing w:after="0" w:line="240" w:lineRule="auto"/>
              <w:rPr>
                <w:rFonts w:ascii="Arial Narrow" w:hAnsi="Arial Narrow"/>
                <w:sz w:val="18"/>
              </w:rPr>
            </w:pPr>
            <w:r w:rsidRPr="001412DB">
              <w:rPr>
                <w:rFonts w:ascii="Arial Narrow" w:hAnsi="Arial Narrow"/>
                <w:sz w:val="18"/>
              </w:rPr>
              <w:t>QCT is excluded</w:t>
            </w:r>
          </w:p>
          <w:p w:rsidR="006379B4" w:rsidRPr="001412DB" w:rsidRDefault="006379B4" w:rsidP="001412DB">
            <w:pPr>
              <w:spacing w:after="0" w:line="240" w:lineRule="auto"/>
              <w:rPr>
                <w:rFonts w:ascii="Arial Narrow" w:hAnsi="Arial Narrow"/>
                <w:sz w:val="18"/>
              </w:rPr>
            </w:pPr>
            <w:r w:rsidRPr="001412DB">
              <w:rPr>
                <w:rFonts w:ascii="Arial Narrow" w:hAnsi="Arial Narrow"/>
                <w:sz w:val="18"/>
              </w:rPr>
              <w:t>Different thresholds of access to therapy should be investigated</w:t>
            </w:r>
          </w:p>
          <w:p w:rsidR="006379B4" w:rsidRPr="00B426E6" w:rsidRDefault="006379B4" w:rsidP="00D25C94">
            <w:pPr>
              <w:jc w:val="center"/>
              <w:rPr>
                <w:rFonts w:ascii="Arial Narrow" w:hAnsi="Arial Narrow"/>
                <w:color w:val="FF0000"/>
                <w:sz w:val="18"/>
              </w:rPr>
            </w:pPr>
            <w:r w:rsidRPr="00B426E6">
              <w:rPr>
                <w:rFonts w:ascii="Arial Narrow" w:hAnsi="Arial Narrow"/>
                <w:color w:val="FF0000"/>
                <w:sz w:val="18"/>
              </w:rPr>
              <w:t xml:space="preserve"> </w:t>
            </w:r>
          </w:p>
        </w:tc>
        <w:tc>
          <w:tcPr>
            <w:tcW w:w="1808" w:type="dxa"/>
          </w:tcPr>
          <w:p w:rsidR="006379B4" w:rsidRPr="00B64B2E" w:rsidRDefault="006379B4" w:rsidP="000D1AF0">
            <w:pPr>
              <w:spacing w:after="0" w:line="240" w:lineRule="auto"/>
              <w:jc w:val="left"/>
              <w:rPr>
                <w:rFonts w:ascii="Arial Narrow" w:hAnsi="Arial Narrow"/>
                <w:sz w:val="18"/>
              </w:rPr>
            </w:pPr>
            <w:r w:rsidRPr="00192EAD">
              <w:rPr>
                <w:rFonts w:ascii="Arial Narrow" w:hAnsi="Arial Narrow"/>
                <w:sz w:val="18"/>
              </w:rPr>
              <w:t xml:space="preserve">Clinical assessment including </w:t>
            </w:r>
            <w:r>
              <w:rPr>
                <w:rFonts w:ascii="Arial Narrow" w:hAnsi="Arial Narrow"/>
                <w:sz w:val="18"/>
              </w:rPr>
              <w:t>the use of</w:t>
            </w:r>
            <w:r w:rsidRPr="00192EAD">
              <w:rPr>
                <w:rFonts w:ascii="Arial Narrow" w:hAnsi="Arial Narrow"/>
                <w:sz w:val="18"/>
              </w:rPr>
              <w:t xml:space="preserve"> existing fracture risk assessment tools (including vitamin D test) with lifestyle and </w:t>
            </w:r>
            <w:r w:rsidRPr="00B64B2E">
              <w:rPr>
                <w:rFonts w:ascii="Arial Narrow" w:hAnsi="Arial Narrow"/>
                <w:sz w:val="18"/>
              </w:rPr>
              <w:t xml:space="preserve">dietary advice. </w:t>
            </w:r>
          </w:p>
          <w:p w:rsidR="006379B4" w:rsidRPr="00B64B2E" w:rsidRDefault="006379B4" w:rsidP="00B033F3">
            <w:pPr>
              <w:spacing w:after="0" w:line="240" w:lineRule="auto"/>
              <w:jc w:val="left"/>
              <w:rPr>
                <w:rFonts w:ascii="Arial Narrow" w:hAnsi="Arial Narrow"/>
                <w:sz w:val="18"/>
              </w:rPr>
            </w:pPr>
          </w:p>
          <w:p w:rsidR="006379B4" w:rsidRPr="00B64B2E" w:rsidRDefault="006379B4" w:rsidP="00B033F3">
            <w:pPr>
              <w:spacing w:after="0" w:line="240" w:lineRule="auto"/>
              <w:jc w:val="left"/>
              <w:rPr>
                <w:rFonts w:ascii="Arial Narrow" w:hAnsi="Arial Narrow"/>
                <w:sz w:val="18"/>
              </w:rPr>
            </w:pPr>
            <w:r w:rsidRPr="00B64B2E">
              <w:rPr>
                <w:rFonts w:ascii="Arial Narrow" w:hAnsi="Arial Narrow"/>
                <w:sz w:val="18"/>
              </w:rPr>
              <w:t>DXA and QCT scanning are excluded,</w:t>
            </w:r>
          </w:p>
          <w:p w:rsidR="006379B4" w:rsidRPr="00B426E6" w:rsidRDefault="006379B4">
            <w:pPr>
              <w:jc w:val="center"/>
              <w:rPr>
                <w:rFonts w:ascii="Arial Narrow" w:hAnsi="Arial Narrow"/>
                <w:color w:val="FF0000"/>
                <w:sz w:val="18"/>
              </w:rPr>
            </w:pPr>
          </w:p>
        </w:tc>
        <w:tc>
          <w:tcPr>
            <w:tcW w:w="1808" w:type="dxa"/>
          </w:tcPr>
          <w:p w:rsidR="006379B4" w:rsidRPr="00B64B2E" w:rsidRDefault="006379B4" w:rsidP="00B64B2E">
            <w:pPr>
              <w:spacing w:after="0" w:line="240" w:lineRule="auto"/>
              <w:jc w:val="left"/>
              <w:rPr>
                <w:rFonts w:ascii="Arial Narrow" w:hAnsi="Arial Narrow"/>
                <w:sz w:val="18"/>
              </w:rPr>
            </w:pPr>
            <w:r w:rsidRPr="00B64B2E">
              <w:rPr>
                <w:rFonts w:ascii="Arial Narrow" w:hAnsi="Arial Narrow"/>
                <w:sz w:val="18"/>
              </w:rPr>
              <w:t>Primary effectiveness outcomes:</w:t>
            </w:r>
          </w:p>
          <w:p w:rsidR="006379B4" w:rsidRPr="00B64B2E" w:rsidRDefault="006379B4" w:rsidP="009D3E0D">
            <w:pPr>
              <w:pStyle w:val="ListParagraph"/>
              <w:numPr>
                <w:ilvl w:val="0"/>
                <w:numId w:val="41"/>
              </w:numPr>
              <w:spacing w:after="0" w:line="240" w:lineRule="auto"/>
              <w:ind w:left="113" w:hanging="113"/>
              <w:jc w:val="left"/>
              <w:rPr>
                <w:rFonts w:ascii="Arial Narrow" w:hAnsi="Arial Narrow"/>
                <w:sz w:val="18"/>
              </w:rPr>
            </w:pPr>
            <w:r w:rsidRPr="00B64B2E">
              <w:rPr>
                <w:rFonts w:ascii="Arial Narrow" w:hAnsi="Arial Narrow"/>
                <w:sz w:val="18"/>
              </w:rPr>
              <w:t>Incidence of minimal trauma fracture</w:t>
            </w:r>
          </w:p>
          <w:p w:rsidR="006379B4" w:rsidRPr="00B64B2E" w:rsidRDefault="006379B4" w:rsidP="009D3E0D">
            <w:pPr>
              <w:pStyle w:val="ListParagraph"/>
              <w:numPr>
                <w:ilvl w:val="0"/>
                <w:numId w:val="41"/>
              </w:numPr>
              <w:spacing w:after="0" w:line="240" w:lineRule="auto"/>
              <w:ind w:left="113" w:hanging="113"/>
              <w:jc w:val="left"/>
              <w:rPr>
                <w:rFonts w:ascii="Arial Narrow" w:hAnsi="Arial Narrow"/>
                <w:sz w:val="18"/>
              </w:rPr>
            </w:pPr>
            <w:r w:rsidRPr="00B64B2E">
              <w:rPr>
                <w:rFonts w:ascii="Arial Narrow" w:hAnsi="Arial Narrow"/>
                <w:sz w:val="18"/>
              </w:rPr>
              <w:t>Incidence of all fractures</w:t>
            </w:r>
          </w:p>
          <w:p w:rsidR="006379B4" w:rsidRPr="00B64B2E" w:rsidRDefault="006379B4" w:rsidP="009D3E0D">
            <w:pPr>
              <w:pStyle w:val="ListParagraph"/>
              <w:numPr>
                <w:ilvl w:val="0"/>
                <w:numId w:val="41"/>
              </w:numPr>
              <w:spacing w:after="0" w:line="240" w:lineRule="auto"/>
              <w:ind w:left="113" w:hanging="113"/>
              <w:jc w:val="left"/>
              <w:rPr>
                <w:rFonts w:ascii="Arial Narrow" w:hAnsi="Arial Narrow"/>
                <w:sz w:val="18"/>
              </w:rPr>
            </w:pPr>
            <w:r w:rsidRPr="00B64B2E">
              <w:rPr>
                <w:rFonts w:ascii="Arial Narrow" w:hAnsi="Arial Narrow"/>
                <w:sz w:val="18"/>
              </w:rPr>
              <w:t>Patient-related quality of life</w:t>
            </w:r>
          </w:p>
          <w:p w:rsidR="006379B4" w:rsidRPr="00B64B2E" w:rsidRDefault="006379B4" w:rsidP="00B64B2E">
            <w:pPr>
              <w:spacing w:after="0" w:line="240" w:lineRule="auto"/>
              <w:jc w:val="left"/>
              <w:rPr>
                <w:rFonts w:ascii="Arial Narrow" w:hAnsi="Arial Narrow"/>
                <w:sz w:val="18"/>
              </w:rPr>
            </w:pPr>
            <w:r w:rsidRPr="00B64B2E">
              <w:rPr>
                <w:rFonts w:ascii="Arial Narrow" w:hAnsi="Arial Narrow"/>
                <w:sz w:val="18"/>
              </w:rPr>
              <w:t>Secondary effectiveness outcomes:</w:t>
            </w:r>
          </w:p>
          <w:p w:rsidR="006379B4" w:rsidRDefault="006379B4" w:rsidP="009D3E0D">
            <w:pPr>
              <w:pStyle w:val="ListParagraph"/>
              <w:numPr>
                <w:ilvl w:val="0"/>
                <w:numId w:val="42"/>
              </w:numPr>
              <w:spacing w:after="0" w:line="240" w:lineRule="auto"/>
              <w:ind w:left="113" w:hanging="113"/>
              <w:jc w:val="left"/>
              <w:rPr>
                <w:rFonts w:ascii="Arial Narrow" w:hAnsi="Arial Narrow"/>
                <w:sz w:val="18"/>
              </w:rPr>
            </w:pPr>
            <w:r w:rsidRPr="00B64B2E">
              <w:rPr>
                <w:rFonts w:ascii="Arial Narrow" w:hAnsi="Arial Narrow"/>
                <w:sz w:val="18"/>
              </w:rPr>
              <w:t>Change in morbidity/mortality</w:t>
            </w:r>
          </w:p>
          <w:p w:rsidR="00B46BA9" w:rsidRPr="00B46BA9" w:rsidRDefault="00B46BA9" w:rsidP="009D3E0D">
            <w:pPr>
              <w:pStyle w:val="ListParagraph"/>
              <w:numPr>
                <w:ilvl w:val="0"/>
                <w:numId w:val="42"/>
              </w:numPr>
              <w:spacing w:after="0" w:line="240" w:lineRule="auto"/>
              <w:ind w:left="113" w:hanging="113"/>
              <w:jc w:val="left"/>
              <w:rPr>
                <w:rFonts w:ascii="Arial Narrow" w:hAnsi="Arial Narrow"/>
                <w:sz w:val="18"/>
              </w:rPr>
            </w:pPr>
            <w:r w:rsidRPr="00B46BA9">
              <w:rPr>
                <w:rFonts w:ascii="Arial Narrow" w:hAnsi="Arial Narrow"/>
                <w:sz w:val="18"/>
              </w:rPr>
              <w:t xml:space="preserve">Bone mineral density (for example as measured by T-score for patients 50 years or older, or Z-score for patients younger than 50 years of age). </w:t>
            </w:r>
          </w:p>
          <w:p w:rsidR="00B46BA9" w:rsidRPr="00B64B2E" w:rsidRDefault="00B46BA9" w:rsidP="00566DBF">
            <w:pPr>
              <w:pStyle w:val="ListParagraph"/>
              <w:spacing w:after="0" w:line="240" w:lineRule="auto"/>
              <w:ind w:left="360"/>
              <w:jc w:val="left"/>
              <w:rPr>
                <w:rFonts w:ascii="Arial Narrow" w:hAnsi="Arial Narrow"/>
                <w:sz w:val="18"/>
              </w:rPr>
            </w:pPr>
          </w:p>
          <w:p w:rsidR="006379B4" w:rsidRPr="00B64B2E" w:rsidRDefault="006379B4" w:rsidP="00B64B2E">
            <w:pPr>
              <w:spacing w:after="0" w:line="240" w:lineRule="auto"/>
              <w:jc w:val="left"/>
              <w:rPr>
                <w:rFonts w:ascii="Arial Narrow" w:hAnsi="Arial Narrow"/>
                <w:sz w:val="18"/>
              </w:rPr>
            </w:pPr>
            <w:r w:rsidRPr="00B64B2E">
              <w:rPr>
                <w:rFonts w:ascii="Arial Narrow" w:hAnsi="Arial Narrow"/>
                <w:sz w:val="18"/>
              </w:rPr>
              <w:t>Safety outcomes and adverse events:</w:t>
            </w:r>
          </w:p>
          <w:p w:rsidR="006379B4" w:rsidRPr="00B64B2E" w:rsidRDefault="006379B4" w:rsidP="009D3E0D">
            <w:pPr>
              <w:pStyle w:val="ListParagraph"/>
              <w:numPr>
                <w:ilvl w:val="0"/>
                <w:numId w:val="42"/>
              </w:numPr>
              <w:spacing w:after="0" w:line="240" w:lineRule="auto"/>
              <w:ind w:left="113" w:hanging="113"/>
              <w:jc w:val="left"/>
              <w:rPr>
                <w:rFonts w:ascii="Arial Narrow" w:hAnsi="Arial Narrow"/>
                <w:sz w:val="18"/>
              </w:rPr>
            </w:pPr>
            <w:r w:rsidRPr="00B64B2E">
              <w:rPr>
                <w:rFonts w:ascii="Arial Narrow" w:hAnsi="Arial Narrow"/>
                <w:sz w:val="18"/>
              </w:rPr>
              <w:t>Any adverse event or complication related to the DXA scanning or treatments for OP</w:t>
            </w:r>
          </w:p>
          <w:p w:rsidR="006379B4" w:rsidRPr="00B64B2E" w:rsidRDefault="006379B4" w:rsidP="009D3E0D">
            <w:pPr>
              <w:pStyle w:val="ListParagraph"/>
              <w:numPr>
                <w:ilvl w:val="0"/>
                <w:numId w:val="42"/>
              </w:numPr>
              <w:ind w:left="113" w:hanging="113"/>
              <w:jc w:val="left"/>
              <w:rPr>
                <w:rFonts w:ascii="Arial Narrow" w:hAnsi="Arial Narrow"/>
                <w:sz w:val="18"/>
              </w:rPr>
            </w:pPr>
            <w:r w:rsidRPr="00B64B2E">
              <w:rPr>
                <w:rFonts w:ascii="Arial Narrow" w:hAnsi="Arial Narrow"/>
                <w:sz w:val="18"/>
              </w:rPr>
              <w:t>Any adverse event arising from exposure to ionising radiation</w:t>
            </w:r>
          </w:p>
        </w:tc>
        <w:tc>
          <w:tcPr>
            <w:tcW w:w="1808" w:type="dxa"/>
          </w:tcPr>
          <w:p w:rsidR="006379B4" w:rsidRPr="00B64B2E" w:rsidRDefault="006379B4" w:rsidP="00224091">
            <w:pPr>
              <w:jc w:val="center"/>
              <w:rPr>
                <w:rFonts w:ascii="Arial Narrow" w:hAnsi="Arial Narrow"/>
                <w:sz w:val="18"/>
              </w:rPr>
            </w:pPr>
            <w:r w:rsidRPr="00B64B2E">
              <w:rPr>
                <w:rFonts w:ascii="Arial Narrow" w:hAnsi="Arial Narrow"/>
                <w:sz w:val="18"/>
              </w:rPr>
              <w:t>See Table 10</w:t>
            </w:r>
          </w:p>
          <w:p w:rsidR="006379B4" w:rsidRPr="00B64B2E" w:rsidRDefault="006379B4" w:rsidP="009D2E88">
            <w:pPr>
              <w:jc w:val="center"/>
              <w:rPr>
                <w:rFonts w:ascii="Arial Narrow" w:hAnsi="Arial Narrow"/>
                <w:sz w:val="18"/>
              </w:rPr>
            </w:pPr>
          </w:p>
        </w:tc>
      </w:tr>
    </w:tbl>
    <w:p w:rsidR="006379B4" w:rsidRPr="00566DBF" w:rsidRDefault="00B46BA9">
      <w:pPr>
        <w:rPr>
          <w:rFonts w:ascii="Arial Narrow" w:hAnsi="Arial Narrow"/>
          <w:sz w:val="18"/>
          <w:szCs w:val="18"/>
          <w:highlight w:val="yellow"/>
        </w:rPr>
      </w:pPr>
      <w:r w:rsidRPr="00566DBF">
        <w:rPr>
          <w:rFonts w:ascii="Arial Narrow" w:hAnsi="Arial Narrow"/>
          <w:sz w:val="18"/>
          <w:szCs w:val="18"/>
        </w:rPr>
        <w:t>MTF: minimal trauma fracture; OP: osteoporosis; MBS: Medicare Benefits Schedule</w:t>
      </w:r>
    </w:p>
    <w:p w:rsidR="006379B4" w:rsidRDefault="006379B4" w:rsidP="005F5995">
      <w:r w:rsidRPr="00AD0B0D">
        <w:rPr>
          <w:lang w:val="en-GB" w:eastAsia="en-US"/>
        </w:rPr>
        <w:t xml:space="preserve">PASC has specified a range of questions which will need to be addressed during the assessment phase. These questions will guide the evaluation and have been raised throughout the DAP. </w:t>
      </w:r>
      <w:r>
        <w:t xml:space="preserve">The assessment should address the questions raised throughout the DAP in relation to the population and intervention in order to provide MSAC with the necessary information to make an informed decision. </w:t>
      </w:r>
    </w:p>
    <w:p w:rsidR="006379B4" w:rsidRDefault="006379B4" w:rsidP="005F5995">
      <w:pPr>
        <w:rPr>
          <w:lang w:val="en-GB" w:eastAsia="en-US"/>
        </w:rPr>
      </w:pPr>
      <w:r w:rsidRPr="00AD0B0D">
        <w:rPr>
          <w:lang w:val="en-GB" w:eastAsia="en-US"/>
        </w:rPr>
        <w:t xml:space="preserve">PASC </w:t>
      </w:r>
      <w:r>
        <w:rPr>
          <w:lang w:val="en-GB" w:eastAsia="en-US"/>
        </w:rPr>
        <w:t xml:space="preserve">also </w:t>
      </w:r>
      <w:r w:rsidRPr="00AD0B0D">
        <w:rPr>
          <w:lang w:val="en-GB" w:eastAsia="en-US"/>
        </w:rPr>
        <w:t xml:space="preserve">identified a need to appropriately structure the assessment phase so as to inform on broad issues of testing thresholds and monitoring protocols. Given the number and complexity of the questions for the assessment phase the key components and requests from PASC are summarised in </w:t>
      </w:r>
      <w:r>
        <w:rPr>
          <w:lang w:val="en-GB" w:eastAsia="en-US"/>
        </w:rPr>
        <w:fldChar w:fldCharType="begin"/>
      </w:r>
      <w:r>
        <w:rPr>
          <w:lang w:val="en-GB" w:eastAsia="en-US"/>
        </w:rPr>
        <w:instrText xml:space="preserve"> REF _Ref357679917 \h </w:instrText>
      </w:r>
      <w:r>
        <w:rPr>
          <w:lang w:val="en-GB" w:eastAsia="en-US"/>
        </w:rPr>
      </w:r>
      <w:r>
        <w:rPr>
          <w:lang w:val="en-GB" w:eastAsia="en-US"/>
        </w:rPr>
        <w:fldChar w:fldCharType="separate"/>
      </w:r>
      <w:r w:rsidR="00D24164">
        <w:t xml:space="preserve">Table </w:t>
      </w:r>
      <w:r w:rsidR="00D24164">
        <w:rPr>
          <w:noProof/>
        </w:rPr>
        <w:t>10</w:t>
      </w:r>
      <w:r>
        <w:rPr>
          <w:lang w:val="en-GB" w:eastAsia="en-US"/>
        </w:rPr>
        <w:fldChar w:fldCharType="end"/>
      </w:r>
      <w:r>
        <w:rPr>
          <w:lang w:val="en-GB" w:eastAsia="en-US"/>
        </w:rPr>
        <w:t xml:space="preserve"> </w:t>
      </w:r>
      <w:r w:rsidRPr="00AD0B0D">
        <w:rPr>
          <w:lang w:val="en-GB" w:eastAsia="en-US"/>
        </w:rPr>
        <w:t>below.</w:t>
      </w:r>
    </w:p>
    <w:p w:rsidR="006379B4" w:rsidRDefault="006379B4" w:rsidP="00A27888">
      <w:pPr>
        <w:pStyle w:val="Caption"/>
        <w:rPr>
          <w:highlight w:val="yellow"/>
        </w:rPr>
      </w:pPr>
      <w:bookmarkStart w:id="59" w:name="_Ref357679917"/>
      <w:r>
        <w:t xml:space="preserve">Table </w:t>
      </w:r>
      <w:r w:rsidR="008B566C">
        <w:fldChar w:fldCharType="begin"/>
      </w:r>
      <w:r w:rsidR="008B566C">
        <w:instrText xml:space="preserve"> SEQ Table \* ARABIC </w:instrText>
      </w:r>
      <w:r w:rsidR="008B566C">
        <w:fldChar w:fldCharType="separate"/>
      </w:r>
      <w:r w:rsidR="00D24164">
        <w:rPr>
          <w:noProof/>
        </w:rPr>
        <w:t>10</w:t>
      </w:r>
      <w:r w:rsidR="008B566C">
        <w:rPr>
          <w:noProof/>
        </w:rPr>
        <w:fldChar w:fldCharType="end"/>
      </w:r>
      <w:bookmarkEnd w:id="59"/>
      <w:r>
        <w:tab/>
        <w:t>Summary of issues relating to the approach to assessment</w:t>
      </w:r>
    </w:p>
    <w:tbl>
      <w:tblPr>
        <w:tblW w:w="5000" w:type="pct"/>
        <w:tblBorders>
          <w:top w:val="single" w:sz="12" w:space="0" w:color="auto"/>
          <w:bottom w:val="single" w:sz="12" w:space="0" w:color="auto"/>
        </w:tblBorders>
        <w:tblLook w:val="00A0" w:firstRow="1" w:lastRow="0" w:firstColumn="1" w:lastColumn="0" w:noHBand="0" w:noVBand="0"/>
      </w:tblPr>
      <w:tblGrid>
        <w:gridCol w:w="1952"/>
        <w:gridCol w:w="7290"/>
      </w:tblGrid>
      <w:tr w:rsidR="006379B4" w:rsidRPr="00B64B2E" w:rsidTr="00297B59">
        <w:trPr>
          <w:trHeight w:val="418"/>
        </w:trPr>
        <w:tc>
          <w:tcPr>
            <w:tcW w:w="1056" w:type="pct"/>
            <w:tcBorders>
              <w:top w:val="single" w:sz="12" w:space="0" w:color="auto"/>
              <w:bottom w:val="single" w:sz="12" w:space="0" w:color="auto"/>
            </w:tcBorders>
            <w:shd w:val="pct10" w:color="auto" w:fill="auto"/>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r w:rsidRPr="00297B59">
              <w:rPr>
                <w:rFonts w:ascii="Arial Narrow" w:eastAsia="Times New Roman" w:hAnsi="Arial Narrow" w:cs="Times New Roman"/>
                <w:b/>
                <w:sz w:val="18"/>
                <w:szCs w:val="18"/>
                <w:lang w:val="en-GB" w:eastAsia="en-US"/>
              </w:rPr>
              <w:t>Population</w:t>
            </w:r>
          </w:p>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p>
        </w:tc>
        <w:tc>
          <w:tcPr>
            <w:tcW w:w="3944" w:type="pct"/>
            <w:tcBorders>
              <w:top w:val="single" w:sz="12" w:space="0" w:color="auto"/>
              <w:bottom w:val="single" w:sz="12" w:space="0" w:color="auto"/>
            </w:tcBorders>
            <w:shd w:val="pct10" w:color="auto" w:fill="auto"/>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Men and women diagnosed with HIV infection. </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Sub-populations include patients being treated with anti-retroviral therapy and patients not being treated with anti-retroviral therapy. </w:t>
            </w:r>
          </w:p>
        </w:tc>
      </w:tr>
      <w:tr w:rsidR="006379B4" w:rsidRPr="00B64B2E" w:rsidTr="00297B59">
        <w:trPr>
          <w:trHeight w:val="418"/>
        </w:trPr>
        <w:tc>
          <w:tcPr>
            <w:tcW w:w="1056" w:type="pct"/>
            <w:tcBorders>
              <w:top w:val="single" w:sz="12" w:space="0" w:color="auto"/>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Context</w:t>
            </w:r>
          </w:p>
        </w:tc>
        <w:tc>
          <w:tcPr>
            <w:tcW w:w="3944" w:type="pct"/>
            <w:tcBorders>
              <w:top w:val="single" w:sz="12" w:space="0" w:color="auto"/>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PASC noted that there was conflicting evidence as to the clinical need for BMD testing in the proposed population and agreed that whether there is a clinical need would need to be explored in the assessment of evidence.</w:t>
            </w:r>
          </w:p>
          <w:p w:rsidR="006379B4" w:rsidRPr="00297B59" w:rsidRDefault="006379B4" w:rsidP="00297B59">
            <w:pPr>
              <w:spacing w:after="0" w:line="240" w:lineRule="auto"/>
              <w:jc w:val="left"/>
              <w:rPr>
                <w:rFonts w:ascii="Arial Narrow" w:hAnsi="Arial Narrow" w:cs="Times New Roman"/>
                <w:sz w:val="18"/>
                <w:szCs w:val="18"/>
                <w:lang w:val="en-GB" w:eastAsia="en-US"/>
              </w:rPr>
            </w:pPr>
            <w:r w:rsidRPr="00297B59">
              <w:rPr>
                <w:rFonts w:ascii="Arial Narrow" w:hAnsi="Arial Narrow" w:cs="Times New Roman"/>
                <w:sz w:val="18"/>
                <w:szCs w:val="18"/>
                <w:lang w:val="en-GB" w:eastAsia="en-US"/>
              </w:rPr>
              <w:t xml:space="preserve">All </w:t>
            </w:r>
            <w:r w:rsidR="00656314">
              <w:rPr>
                <w:rFonts w:ascii="Arial Narrow" w:hAnsi="Arial Narrow" w:cs="Times New Roman"/>
                <w:sz w:val="18"/>
                <w:szCs w:val="18"/>
                <w:lang w:val="en-GB" w:eastAsia="en-US"/>
              </w:rPr>
              <w:t>people</w:t>
            </w:r>
            <w:r w:rsidR="00656314" w:rsidRPr="00297B59">
              <w:rPr>
                <w:rFonts w:ascii="Arial Narrow" w:hAnsi="Arial Narrow" w:cs="Times New Roman"/>
                <w:sz w:val="18"/>
                <w:szCs w:val="18"/>
                <w:lang w:val="en-GB" w:eastAsia="en-US"/>
              </w:rPr>
              <w:t xml:space="preserve"> </w:t>
            </w:r>
            <w:r w:rsidRPr="00297B59">
              <w:rPr>
                <w:rFonts w:ascii="Arial Narrow" w:hAnsi="Arial Narrow" w:cs="Times New Roman"/>
                <w:sz w:val="18"/>
                <w:szCs w:val="18"/>
                <w:lang w:val="en-GB" w:eastAsia="en-US"/>
              </w:rPr>
              <w:t>at age 70 and over are excluded, as these are eligible for current MBS items for DXA scanning.</w:t>
            </w:r>
          </w:p>
          <w:p w:rsidR="006379B4" w:rsidRPr="00297B59" w:rsidRDefault="00656314" w:rsidP="00297B59">
            <w:pPr>
              <w:spacing w:after="0" w:line="240" w:lineRule="auto"/>
              <w:jc w:val="left"/>
              <w:rPr>
                <w:rFonts w:ascii="Arial Narrow" w:hAnsi="Arial Narrow" w:cs="Times New Roman"/>
                <w:sz w:val="18"/>
                <w:szCs w:val="18"/>
                <w:lang w:val="en-GB" w:eastAsia="en-US"/>
              </w:rPr>
            </w:pPr>
            <w:r>
              <w:rPr>
                <w:rFonts w:ascii="Arial Narrow" w:hAnsi="Arial Narrow" w:cs="Times New Roman"/>
                <w:sz w:val="18"/>
                <w:szCs w:val="18"/>
                <w:lang w:val="en-GB" w:eastAsia="en-US"/>
              </w:rPr>
              <w:lastRenderedPageBreak/>
              <w:t>People</w:t>
            </w:r>
            <w:r w:rsidRPr="00297B59">
              <w:rPr>
                <w:rFonts w:ascii="Arial Narrow" w:hAnsi="Arial Narrow" w:cs="Times New Roman"/>
                <w:sz w:val="18"/>
                <w:szCs w:val="18"/>
                <w:lang w:val="en-GB" w:eastAsia="en-US"/>
              </w:rPr>
              <w:t xml:space="preserve"> </w:t>
            </w:r>
            <w:r w:rsidR="006379B4" w:rsidRPr="00297B59">
              <w:rPr>
                <w:rFonts w:ascii="Arial Narrow" w:hAnsi="Arial Narrow" w:cs="Times New Roman"/>
                <w:sz w:val="18"/>
                <w:szCs w:val="18"/>
                <w:lang w:val="en-GB" w:eastAsia="en-US"/>
              </w:rPr>
              <w:t>with a</w:t>
            </w:r>
            <w:r>
              <w:rPr>
                <w:rFonts w:ascii="Arial Narrow" w:hAnsi="Arial Narrow" w:cs="Times New Roman"/>
                <w:sz w:val="18"/>
                <w:szCs w:val="18"/>
                <w:lang w:val="en-GB" w:eastAsia="en-US"/>
              </w:rPr>
              <w:t xml:space="preserve"> history of</w:t>
            </w:r>
            <w:r w:rsidR="006379B4" w:rsidRPr="00297B59">
              <w:rPr>
                <w:rFonts w:ascii="Arial Narrow" w:hAnsi="Arial Narrow" w:cs="Times New Roman"/>
                <w:sz w:val="18"/>
                <w:szCs w:val="18"/>
                <w:lang w:val="en-GB" w:eastAsia="en-US"/>
              </w:rPr>
              <w:t xml:space="preserve"> minimal trauma fracture are excluded, as these are eligible for current MBS items for DXA scanning (12306, 12309).</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tc>
      </w:tr>
      <w:tr w:rsidR="006379B4" w:rsidRPr="00B64B2E" w:rsidTr="00297B59">
        <w:trPr>
          <w:trHeight w:val="418"/>
        </w:trPr>
        <w:tc>
          <w:tcPr>
            <w:tcW w:w="1056"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lastRenderedPageBreak/>
              <w:t>Baseline population</w:t>
            </w:r>
          </w:p>
        </w:tc>
        <w:tc>
          <w:tcPr>
            <w:tcW w:w="3944"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baseline population is age and gender matched peers who are otherwise healthy.</w:t>
            </w:r>
          </w:p>
        </w:tc>
      </w:tr>
      <w:tr w:rsidR="006379B4" w:rsidRPr="00B64B2E" w:rsidTr="00297B59">
        <w:trPr>
          <w:trHeight w:val="418"/>
        </w:trPr>
        <w:tc>
          <w:tcPr>
            <w:tcW w:w="1056"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Benchmark population</w:t>
            </w:r>
          </w:p>
        </w:tc>
        <w:tc>
          <w:tcPr>
            <w:tcW w:w="3944" w:type="pct"/>
            <w:tcBorders>
              <w:top w:val="nil"/>
              <w:bottom w:val="nil"/>
            </w:tcBorders>
          </w:tcPr>
          <w:p w:rsidR="006379B4"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benchmark population is people being treated with long-term glucocorticoid therapy. This benchmark population may be at similar risk and is eligible for access to current MBS and PBS items. The benchmark population should align in terms of age and gender with the target population.</w:t>
            </w:r>
          </w:p>
          <w:p w:rsidR="00656314" w:rsidRPr="00297B59" w:rsidRDefault="00656314" w:rsidP="00297B59">
            <w:pPr>
              <w:spacing w:after="0" w:line="240" w:lineRule="auto"/>
              <w:jc w:val="left"/>
              <w:rPr>
                <w:rFonts w:ascii="Arial Narrow" w:eastAsia="Times New Roman" w:hAnsi="Arial Narrow" w:cs="Times New Roman"/>
                <w:sz w:val="18"/>
                <w:szCs w:val="18"/>
                <w:lang w:val="en-GB" w:eastAsia="en-US"/>
              </w:rPr>
            </w:pPr>
          </w:p>
        </w:tc>
      </w:tr>
      <w:tr w:rsidR="006379B4" w:rsidRPr="00B64B2E" w:rsidTr="00297B59">
        <w:trPr>
          <w:trHeight w:val="418"/>
        </w:trPr>
        <w:tc>
          <w:tcPr>
            <w:tcW w:w="1056" w:type="pct"/>
            <w:tcBorders>
              <w:top w:val="nil"/>
              <w:bottom w:val="single" w:sz="12" w:space="0" w:color="auto"/>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Approach to assessment </w:t>
            </w:r>
          </w:p>
        </w:tc>
        <w:tc>
          <w:tcPr>
            <w:tcW w:w="3944" w:type="pct"/>
            <w:tcBorders>
              <w:top w:val="nil"/>
              <w:bottom w:val="single" w:sz="12" w:space="0" w:color="auto"/>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assessment phase should present evidence to define:</w:t>
            </w:r>
          </w:p>
          <w:p w:rsidR="006379B4" w:rsidRPr="00297B59" w:rsidRDefault="006379B4" w:rsidP="00297B59">
            <w:pPr>
              <w:pStyle w:val="ListParagraph"/>
              <w:numPr>
                <w:ilvl w:val="0"/>
                <w:numId w:val="26"/>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rate of bone loss and minimal trauma fracture in patients with HIV infection on antiretroviral therapy</w:t>
            </w:r>
          </w:p>
          <w:p w:rsidR="006379B4" w:rsidRPr="00297B59" w:rsidRDefault="006379B4" w:rsidP="00297B59">
            <w:pPr>
              <w:pStyle w:val="ListParagraph"/>
              <w:numPr>
                <w:ilvl w:val="0"/>
                <w:numId w:val="26"/>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rate of bone loss and minimal trauma fracture in patients with HIV infection not on antiretroviral therapy</w:t>
            </w:r>
          </w:p>
          <w:p w:rsidR="006379B4" w:rsidRPr="00297B59" w:rsidRDefault="00656314" w:rsidP="00297B59">
            <w:pPr>
              <w:pStyle w:val="ListParagraph"/>
              <w:numPr>
                <w:ilvl w:val="0"/>
                <w:numId w:val="26"/>
              </w:numPr>
              <w:spacing w:after="0" w:line="240" w:lineRule="auto"/>
              <w:jc w:val="left"/>
              <w:rPr>
                <w:rFonts w:ascii="Arial Narrow" w:eastAsia="Times New Roman" w:hAnsi="Arial Narrow" w:cs="Times New Roman"/>
                <w:sz w:val="18"/>
                <w:szCs w:val="18"/>
                <w:lang w:val="en-GB" w:eastAsia="en-US"/>
              </w:rPr>
            </w:pPr>
            <w:r>
              <w:rPr>
                <w:rFonts w:ascii="Arial Narrow" w:eastAsia="Times New Roman" w:hAnsi="Arial Narrow" w:cs="Times New Roman"/>
                <w:sz w:val="18"/>
                <w:szCs w:val="18"/>
                <w:lang w:val="en-GB" w:eastAsia="en-US"/>
              </w:rPr>
              <w:t>All outcomes</w:t>
            </w:r>
            <w:r w:rsidR="006379B4" w:rsidRPr="00297B59">
              <w:rPr>
                <w:rFonts w:ascii="Arial Narrow" w:eastAsia="Times New Roman" w:hAnsi="Arial Narrow" w:cs="Times New Roman"/>
                <w:sz w:val="18"/>
                <w:szCs w:val="18"/>
                <w:lang w:val="en-GB" w:eastAsia="en-US"/>
              </w:rPr>
              <w:t xml:space="preserve"> should be reported in terms of any potential prognostic indicator such as patient age, disease severity or type of anti-retroviral therapy.</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assessment phase should also present evidence to inform on the following:</w:t>
            </w:r>
          </w:p>
          <w:p w:rsidR="006379B4" w:rsidRPr="00297B59" w:rsidRDefault="006379B4" w:rsidP="00297B59">
            <w:pPr>
              <w:pStyle w:val="ListParagraph"/>
              <w:numPr>
                <w:ilvl w:val="0"/>
                <w:numId w:val="40"/>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rate of bone loss in the above populations compared to the baseline population (to establish the clinical need for the intervention in the proposed population).</w:t>
            </w:r>
          </w:p>
          <w:p w:rsidR="006379B4" w:rsidRPr="00297B59" w:rsidRDefault="006379B4" w:rsidP="00297B59">
            <w:pPr>
              <w:pStyle w:val="ListParagraph"/>
              <w:numPr>
                <w:ilvl w:val="0"/>
                <w:numId w:val="40"/>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The rate of bone loss in the above populations compared to that in the benchmark population (to establish the clinical need in the proposed population in comparison with a population already eligible for </w:t>
            </w:r>
            <w:r w:rsidR="006E3B58" w:rsidRPr="00297B59">
              <w:rPr>
                <w:rFonts w:ascii="Arial Narrow" w:eastAsia="Times New Roman" w:hAnsi="Arial Narrow" w:cs="Times New Roman"/>
                <w:sz w:val="18"/>
                <w:szCs w:val="18"/>
                <w:lang w:val="en-GB" w:eastAsia="en-US"/>
              </w:rPr>
              <w:t>rel</w:t>
            </w:r>
            <w:r w:rsidR="006E3B58">
              <w:rPr>
                <w:rFonts w:ascii="Arial Narrow" w:eastAsia="Times New Roman" w:hAnsi="Arial Narrow" w:cs="Times New Roman"/>
                <w:sz w:val="18"/>
                <w:szCs w:val="18"/>
                <w:lang w:val="en-GB" w:eastAsia="en-US"/>
              </w:rPr>
              <w:t>e</w:t>
            </w:r>
            <w:r w:rsidR="006E3B58" w:rsidRPr="00297B59">
              <w:rPr>
                <w:rFonts w:ascii="Arial Narrow" w:eastAsia="Times New Roman" w:hAnsi="Arial Narrow" w:cs="Times New Roman"/>
                <w:sz w:val="18"/>
                <w:szCs w:val="18"/>
                <w:lang w:val="en-GB" w:eastAsia="en-US"/>
              </w:rPr>
              <w:t>vant</w:t>
            </w:r>
            <w:r w:rsidRPr="00297B59">
              <w:rPr>
                <w:rFonts w:ascii="Arial Narrow" w:eastAsia="Times New Roman" w:hAnsi="Arial Narrow" w:cs="Times New Roman"/>
                <w:sz w:val="18"/>
                <w:szCs w:val="18"/>
                <w:lang w:val="en-GB" w:eastAsia="en-US"/>
              </w:rPr>
              <w:t xml:space="preserve"> MBS and PBS services).</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This will be used to inform the cost effectiveness analysis and establish the clinical need for the proposed intervention.</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tc>
      </w:tr>
      <w:tr w:rsidR="006379B4" w:rsidRPr="00B64B2E" w:rsidTr="00297B59">
        <w:trPr>
          <w:trHeight w:val="396"/>
        </w:trPr>
        <w:tc>
          <w:tcPr>
            <w:tcW w:w="1056" w:type="pct"/>
            <w:tcBorders>
              <w:top w:val="single" w:sz="12" w:space="0" w:color="auto"/>
              <w:bottom w:val="single" w:sz="12" w:space="0" w:color="auto"/>
            </w:tcBorders>
            <w:shd w:val="pct10" w:color="auto" w:fill="auto"/>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r w:rsidRPr="00297B59">
              <w:rPr>
                <w:rFonts w:ascii="Arial Narrow" w:eastAsia="Times New Roman" w:hAnsi="Arial Narrow" w:cs="Times New Roman"/>
                <w:b/>
                <w:sz w:val="18"/>
                <w:szCs w:val="18"/>
                <w:lang w:val="en-GB" w:eastAsia="en-US"/>
              </w:rPr>
              <w:t>Intervention</w:t>
            </w:r>
          </w:p>
        </w:tc>
        <w:tc>
          <w:tcPr>
            <w:tcW w:w="3944" w:type="pct"/>
            <w:tcBorders>
              <w:top w:val="single" w:sz="12" w:space="0" w:color="auto"/>
              <w:bottom w:val="single" w:sz="12" w:space="0" w:color="auto"/>
            </w:tcBorders>
            <w:shd w:val="pct10" w:color="auto" w:fill="auto"/>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DXA test for bone density, with lifestyle and dietary advice.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Therapy with anti-</w:t>
            </w:r>
            <w:proofErr w:type="spellStart"/>
            <w:r w:rsidRPr="00297B59">
              <w:rPr>
                <w:rFonts w:ascii="Arial Narrow" w:eastAsia="Times New Roman" w:hAnsi="Arial Narrow" w:cs="Times New Roman"/>
                <w:sz w:val="18"/>
                <w:szCs w:val="18"/>
                <w:lang w:val="en-GB" w:eastAsia="en-US"/>
              </w:rPr>
              <w:t>resorptive</w:t>
            </w:r>
            <w:proofErr w:type="spellEnd"/>
            <w:r w:rsidRPr="00297B59">
              <w:rPr>
                <w:rFonts w:ascii="Arial Narrow" w:eastAsia="Times New Roman" w:hAnsi="Arial Narrow" w:cs="Times New Roman"/>
                <w:sz w:val="18"/>
                <w:szCs w:val="18"/>
                <w:lang w:val="en-GB" w:eastAsia="en-US"/>
              </w:rPr>
              <w:t xml:space="preserve"> medicines when patients meet the threshold.</w:t>
            </w:r>
          </w:p>
        </w:tc>
      </w:tr>
      <w:tr w:rsidR="006379B4" w:rsidRPr="00B64B2E" w:rsidTr="00297B59">
        <w:trPr>
          <w:trHeight w:val="396"/>
        </w:trPr>
        <w:tc>
          <w:tcPr>
            <w:tcW w:w="1056" w:type="pct"/>
            <w:tcBorders>
              <w:top w:val="single" w:sz="12" w:space="0" w:color="auto"/>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Context</w:t>
            </w:r>
          </w:p>
        </w:tc>
        <w:tc>
          <w:tcPr>
            <w:tcW w:w="3944" w:type="pct"/>
            <w:tcBorders>
              <w:top w:val="single" w:sz="12" w:space="0" w:color="auto"/>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proposed test is DXA.</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proposed therapy is lifestyle and dietary advice and treatment with anti-</w:t>
            </w:r>
            <w:proofErr w:type="spellStart"/>
            <w:r w:rsidRPr="00297B59">
              <w:rPr>
                <w:rFonts w:ascii="Arial Narrow" w:eastAsia="Times New Roman" w:hAnsi="Arial Narrow" w:cs="Times New Roman"/>
                <w:sz w:val="18"/>
                <w:szCs w:val="18"/>
                <w:lang w:val="en-GB" w:eastAsia="en-US"/>
              </w:rPr>
              <w:t>resorptives</w:t>
            </w:r>
            <w:proofErr w:type="spellEnd"/>
            <w:r w:rsidRPr="00297B59">
              <w:rPr>
                <w:rFonts w:ascii="Arial Narrow" w:eastAsia="Times New Roman" w:hAnsi="Arial Narrow" w:cs="Times New Roman"/>
                <w:sz w:val="18"/>
                <w:szCs w:val="18"/>
                <w:lang w:val="en-GB" w:eastAsia="en-US"/>
              </w:rPr>
              <w:t>.</w:t>
            </w:r>
          </w:p>
        </w:tc>
      </w:tr>
      <w:tr w:rsidR="006379B4" w:rsidRPr="00B64B2E" w:rsidTr="00297B59">
        <w:trPr>
          <w:trHeight w:val="396"/>
        </w:trPr>
        <w:tc>
          <w:tcPr>
            <w:tcW w:w="1056"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Co-dependency</w:t>
            </w:r>
          </w:p>
        </w:tc>
        <w:tc>
          <w:tcPr>
            <w:tcW w:w="3944"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There is a co-dependency for </w:t>
            </w:r>
            <w:proofErr w:type="gramStart"/>
            <w:r w:rsidRPr="00297B59">
              <w:rPr>
                <w:rFonts w:ascii="Arial Narrow" w:eastAsia="Times New Roman" w:hAnsi="Arial Narrow" w:cs="Times New Roman"/>
                <w:sz w:val="18"/>
                <w:szCs w:val="18"/>
                <w:lang w:val="en-GB" w:eastAsia="en-US"/>
              </w:rPr>
              <w:t>this DAP</w:t>
            </w:r>
            <w:proofErr w:type="gramEnd"/>
            <w:r w:rsidRPr="00297B59">
              <w:rPr>
                <w:rFonts w:ascii="Arial Narrow" w:eastAsia="Times New Roman" w:hAnsi="Arial Narrow" w:cs="Times New Roman"/>
                <w:sz w:val="18"/>
                <w:szCs w:val="18"/>
                <w:lang w:val="en-GB" w:eastAsia="en-US"/>
              </w:rPr>
              <w:t xml:space="preserve">. The assessment of evidence will be required to present evidence with regards to the efficacy of the co-dependent medicines in the proportion of the target population for BMD testing who achieve a threshold result to trigger the initiation of prescribed medication. </w:t>
            </w:r>
            <w:r w:rsidRPr="00297B59">
              <w:rPr>
                <w:rFonts w:ascii="Arial Narrow" w:eastAsia="Times New Roman" w:hAnsi="Arial Narrow" w:cs="Times New Roman"/>
                <w:b/>
                <w:sz w:val="18"/>
                <w:szCs w:val="18"/>
                <w:lang w:val="en-GB" w:eastAsia="en-US"/>
              </w:rPr>
              <w:t>At this stage no co-dependent submission has been received.</w:t>
            </w:r>
            <w:r w:rsidRPr="00297B59">
              <w:rPr>
                <w:rFonts w:ascii="Arial Narrow" w:eastAsia="Times New Roman" w:hAnsi="Arial Narrow" w:cs="Times New Roman"/>
                <w:sz w:val="18"/>
                <w:szCs w:val="18"/>
                <w:lang w:val="en-GB" w:eastAsia="en-US"/>
              </w:rPr>
              <w:t xml:space="preserve"> </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tc>
      </w:tr>
      <w:tr w:rsidR="006379B4" w:rsidRPr="00B64B2E" w:rsidTr="00297B59">
        <w:trPr>
          <w:trHeight w:val="396"/>
        </w:trPr>
        <w:tc>
          <w:tcPr>
            <w:tcW w:w="1056"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r w:rsidRPr="00297B59">
              <w:rPr>
                <w:rFonts w:ascii="Arial Narrow" w:eastAsia="Times New Roman" w:hAnsi="Arial Narrow" w:cs="Times New Roman"/>
                <w:b/>
                <w:sz w:val="18"/>
                <w:szCs w:val="18"/>
                <w:lang w:val="en-GB" w:eastAsia="en-US"/>
              </w:rPr>
              <w:t>Treatment threshold</w:t>
            </w:r>
          </w:p>
        </w:tc>
        <w:tc>
          <w:tcPr>
            <w:tcW w:w="3944"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The proposed threshold to lifestyle and dietary advice is </w:t>
            </w:r>
            <w:r w:rsidR="006C05CC" w:rsidRPr="006C05CC">
              <w:rPr>
                <w:rFonts w:ascii="Arial Narrow" w:eastAsia="Times New Roman" w:hAnsi="Arial Narrow" w:cs="Times New Roman"/>
                <w:sz w:val="18"/>
                <w:szCs w:val="18"/>
                <w:lang w:val="en-GB" w:eastAsia="en-US"/>
              </w:rPr>
              <w:t>T-score from -2.5 (excluded) to -1.0 (excluded)</w:t>
            </w:r>
            <w:r w:rsidRPr="00297B59">
              <w:rPr>
                <w:rFonts w:ascii="Arial Narrow" w:eastAsia="Times New Roman" w:hAnsi="Arial Narrow" w:cs="Times New Roman"/>
                <w:sz w:val="18"/>
                <w:szCs w:val="18"/>
                <w:lang w:val="en-GB" w:eastAsia="en-US"/>
              </w:rPr>
              <w:t>.</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proposed threshold for anti-</w:t>
            </w:r>
            <w:proofErr w:type="spellStart"/>
            <w:r w:rsidRPr="00297B59">
              <w:rPr>
                <w:rFonts w:ascii="Arial Narrow" w:eastAsia="Times New Roman" w:hAnsi="Arial Narrow" w:cs="Times New Roman"/>
                <w:sz w:val="18"/>
                <w:szCs w:val="18"/>
                <w:lang w:val="en-GB" w:eastAsia="en-US"/>
              </w:rPr>
              <w:t>resorptive</w:t>
            </w:r>
            <w:proofErr w:type="spellEnd"/>
            <w:r w:rsidRPr="00297B59">
              <w:rPr>
                <w:rFonts w:ascii="Arial Narrow" w:eastAsia="Times New Roman" w:hAnsi="Arial Narrow" w:cs="Times New Roman"/>
                <w:sz w:val="18"/>
                <w:szCs w:val="18"/>
                <w:lang w:val="en-GB" w:eastAsia="en-US"/>
              </w:rPr>
              <w:t xml:space="preserve"> therapy is a T-score of less than or equal to -2.5. </w:t>
            </w:r>
          </w:p>
        </w:tc>
      </w:tr>
      <w:tr w:rsidR="006379B4" w:rsidRPr="00B64B2E" w:rsidTr="00297B59">
        <w:trPr>
          <w:trHeight w:val="396"/>
        </w:trPr>
        <w:tc>
          <w:tcPr>
            <w:tcW w:w="1056" w:type="pct"/>
            <w:tcBorders>
              <w:top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Context</w:t>
            </w:r>
          </w:p>
        </w:tc>
        <w:tc>
          <w:tcPr>
            <w:tcW w:w="3944" w:type="pct"/>
            <w:tcBorders>
              <w:top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proposal specifies a range of management options for patients depending on their T-score at baseline. A T-score of less than or equal to -2.5 is proposed as the threshold for initiation of anti-</w:t>
            </w:r>
            <w:proofErr w:type="spellStart"/>
            <w:r w:rsidRPr="00297B59">
              <w:rPr>
                <w:rFonts w:ascii="Arial Narrow" w:eastAsia="Times New Roman" w:hAnsi="Arial Narrow" w:cs="Times New Roman"/>
                <w:sz w:val="18"/>
                <w:szCs w:val="18"/>
                <w:lang w:val="en-GB" w:eastAsia="en-US"/>
              </w:rPr>
              <w:t>resorptive</w:t>
            </w:r>
            <w:proofErr w:type="spellEnd"/>
            <w:r w:rsidRPr="00297B59">
              <w:rPr>
                <w:rFonts w:ascii="Arial Narrow" w:eastAsia="Times New Roman" w:hAnsi="Arial Narrow" w:cs="Times New Roman"/>
                <w:sz w:val="18"/>
                <w:szCs w:val="18"/>
                <w:lang w:val="en-GB" w:eastAsia="en-US"/>
              </w:rPr>
              <w:t xml:space="preserve"> therapies. </w:t>
            </w:r>
          </w:p>
        </w:tc>
      </w:tr>
      <w:tr w:rsidR="006379B4" w:rsidRPr="00B64B2E" w:rsidTr="00297B59">
        <w:trPr>
          <w:trHeight w:val="418"/>
        </w:trPr>
        <w:tc>
          <w:tcPr>
            <w:tcW w:w="1056" w:type="pct"/>
            <w:tcBorders>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Approach to assessment</w:t>
            </w:r>
          </w:p>
        </w:tc>
        <w:tc>
          <w:tcPr>
            <w:tcW w:w="3944" w:type="pct"/>
            <w:tcBorders>
              <w:bottom w:val="nil"/>
            </w:tcBorders>
          </w:tcPr>
          <w:p w:rsidR="006379B4" w:rsidRPr="00297B59" w:rsidRDefault="006379B4" w:rsidP="00297B59">
            <w:pPr>
              <w:spacing w:after="0" w:line="240" w:lineRule="auto"/>
              <w:contextualSpacing/>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assessment phase will be required to present evidence examining various thresholds for initiating therapy. The assessment should examine the following thresholds through sensitivity analysis:</w:t>
            </w:r>
          </w:p>
          <w:p w:rsidR="006379B4" w:rsidRPr="00297B59" w:rsidRDefault="006379B4" w:rsidP="00297B59">
            <w:pPr>
              <w:pStyle w:val="ListParagraph"/>
              <w:numPr>
                <w:ilvl w:val="0"/>
                <w:numId w:val="27"/>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T-score -1.0 and -1.5 (PBS eligibility for patients on glucocorticoid therapy), also  -2.0</w:t>
            </w:r>
          </w:p>
          <w:p w:rsidR="006379B4" w:rsidRPr="00297B59" w:rsidRDefault="006379B4" w:rsidP="00297B59">
            <w:pPr>
              <w:pStyle w:val="ListParagraph"/>
              <w:numPr>
                <w:ilvl w:val="0"/>
                <w:numId w:val="27"/>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T-score - 2.5 (proposed threshold for</w:t>
            </w:r>
            <w:r w:rsidR="00656314">
              <w:rPr>
                <w:rFonts w:ascii="Arial Narrow" w:eastAsia="Times New Roman" w:hAnsi="Arial Narrow" w:cs="Times New Roman"/>
                <w:sz w:val="18"/>
                <w:szCs w:val="18"/>
                <w:lang w:val="en-GB" w:eastAsia="en-US"/>
              </w:rPr>
              <w:t xml:space="preserve"> anti-</w:t>
            </w:r>
            <w:proofErr w:type="spellStart"/>
            <w:r w:rsidR="00656314">
              <w:rPr>
                <w:rFonts w:ascii="Arial Narrow" w:eastAsia="Times New Roman" w:hAnsi="Arial Narrow" w:cs="Times New Roman"/>
                <w:sz w:val="18"/>
                <w:szCs w:val="18"/>
                <w:lang w:val="en-GB" w:eastAsia="en-US"/>
              </w:rPr>
              <w:t>resorptive</w:t>
            </w:r>
            <w:proofErr w:type="spellEnd"/>
            <w:r w:rsidRPr="00297B59">
              <w:rPr>
                <w:rFonts w:ascii="Arial Narrow" w:eastAsia="Times New Roman" w:hAnsi="Arial Narrow" w:cs="Times New Roman"/>
                <w:sz w:val="18"/>
                <w:szCs w:val="18"/>
                <w:lang w:val="en-GB" w:eastAsia="en-US"/>
              </w:rPr>
              <w:t xml:space="preserve"> drugs)</w:t>
            </w:r>
          </w:p>
          <w:p w:rsidR="006379B4" w:rsidRPr="00297B59" w:rsidRDefault="006379B4" w:rsidP="00297B59">
            <w:pPr>
              <w:pStyle w:val="ListParagraph"/>
              <w:numPr>
                <w:ilvl w:val="0"/>
                <w:numId w:val="27"/>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T-score as advised by the evidence.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assessment phase will also be required to examine the question of whether BMD testing will promote patient adherence to lifestyle advice. PASC noted that the proposed population is already in receipt of a substantial amount of lifestyle advice.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tc>
      </w:tr>
      <w:tr w:rsidR="006379B4" w:rsidRPr="00B64B2E" w:rsidTr="00297B59">
        <w:trPr>
          <w:trHeight w:val="396"/>
        </w:trPr>
        <w:tc>
          <w:tcPr>
            <w:tcW w:w="1056"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r w:rsidRPr="00297B59">
              <w:rPr>
                <w:rFonts w:ascii="Arial Narrow" w:eastAsia="Times New Roman" w:hAnsi="Arial Narrow" w:cs="Times New Roman"/>
                <w:b/>
                <w:sz w:val="18"/>
                <w:szCs w:val="18"/>
                <w:lang w:val="en-GB" w:eastAsia="en-US"/>
              </w:rPr>
              <w:t>Re-testing and monitoring</w:t>
            </w:r>
          </w:p>
        </w:tc>
        <w:tc>
          <w:tcPr>
            <w:tcW w:w="3944"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benchmark population (patients taking glucocorticoid therapy) are currently eligible for annual retesting under MBS item 12312</w:t>
            </w:r>
          </w:p>
        </w:tc>
      </w:tr>
      <w:tr w:rsidR="006379B4" w:rsidRPr="00B64B2E" w:rsidTr="00297B59">
        <w:trPr>
          <w:trHeight w:val="396"/>
        </w:trPr>
        <w:tc>
          <w:tcPr>
            <w:tcW w:w="1056" w:type="pct"/>
            <w:tcBorders>
              <w:top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Context</w:t>
            </w:r>
          </w:p>
        </w:tc>
        <w:tc>
          <w:tcPr>
            <w:tcW w:w="3944" w:type="pct"/>
            <w:tcBorders>
              <w:top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The proposal has nominated re-testing regimes depending on patients T-score at initial testing and on the management pathway followed. The evidentiary basis for re-testing and monitoring will need to be examined by the assessment phase. </w:t>
            </w:r>
          </w:p>
        </w:tc>
      </w:tr>
      <w:tr w:rsidR="006379B4" w:rsidRPr="00B64B2E" w:rsidTr="00297B59">
        <w:trPr>
          <w:trHeight w:val="418"/>
        </w:trPr>
        <w:tc>
          <w:tcPr>
            <w:tcW w:w="1056" w:type="pct"/>
            <w:tcBorders>
              <w:bottom w:val="single" w:sz="12" w:space="0" w:color="auto"/>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Approach to assessment</w:t>
            </w:r>
          </w:p>
        </w:tc>
        <w:tc>
          <w:tcPr>
            <w:tcW w:w="3944" w:type="pct"/>
            <w:tcBorders>
              <w:bottom w:val="single" w:sz="12" w:space="0" w:color="auto"/>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The assessment phase is required to provide evidence to inform the question of with what frequency re-testing and monitoring should occur in the population of interest. This should include information on the:</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rate of bone loss in patients taking antiretroviral therapies but not anti-</w:t>
            </w:r>
            <w:proofErr w:type="spellStart"/>
            <w:r w:rsidRPr="00297B59">
              <w:rPr>
                <w:rFonts w:ascii="Arial Narrow" w:eastAsia="Times New Roman" w:hAnsi="Arial Narrow" w:cs="Times New Roman"/>
                <w:sz w:val="18"/>
                <w:szCs w:val="18"/>
                <w:lang w:val="en-GB" w:eastAsia="en-US"/>
              </w:rPr>
              <w:t>resorptives</w:t>
            </w:r>
            <w:proofErr w:type="spellEnd"/>
            <w:r w:rsidRPr="00297B59">
              <w:rPr>
                <w:rFonts w:ascii="Arial Narrow" w:eastAsia="Times New Roman" w:hAnsi="Arial Narrow" w:cs="Times New Roman"/>
                <w:sz w:val="18"/>
                <w:szCs w:val="18"/>
                <w:lang w:val="en-GB" w:eastAsia="en-US"/>
              </w:rPr>
              <w:t xml:space="preserve"> (re-testing)</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rate of bone loss in patients not taking antiretroviral therapies and not anti-</w:t>
            </w:r>
            <w:proofErr w:type="spellStart"/>
            <w:r w:rsidRPr="00297B59">
              <w:rPr>
                <w:rFonts w:ascii="Arial Narrow" w:eastAsia="Times New Roman" w:hAnsi="Arial Narrow" w:cs="Times New Roman"/>
                <w:sz w:val="18"/>
                <w:szCs w:val="18"/>
                <w:lang w:val="en-GB" w:eastAsia="en-US"/>
              </w:rPr>
              <w:t>resorptives</w:t>
            </w:r>
            <w:proofErr w:type="spellEnd"/>
            <w:r w:rsidRPr="00297B59">
              <w:rPr>
                <w:rFonts w:ascii="Arial Narrow" w:eastAsia="Times New Roman" w:hAnsi="Arial Narrow" w:cs="Times New Roman"/>
                <w:sz w:val="18"/>
                <w:szCs w:val="18"/>
                <w:lang w:val="en-GB" w:eastAsia="en-US"/>
              </w:rPr>
              <w:t xml:space="preserve"> (re-testing)</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rate of bone loss in patients taking antiretroviral therapies and anti-</w:t>
            </w:r>
            <w:proofErr w:type="spellStart"/>
            <w:r w:rsidRPr="00297B59">
              <w:rPr>
                <w:rFonts w:ascii="Arial Narrow" w:eastAsia="Times New Roman" w:hAnsi="Arial Narrow" w:cs="Times New Roman"/>
                <w:sz w:val="18"/>
                <w:szCs w:val="18"/>
                <w:lang w:val="en-GB" w:eastAsia="en-US"/>
              </w:rPr>
              <w:t>resorptives</w:t>
            </w:r>
            <w:proofErr w:type="spellEnd"/>
            <w:r w:rsidRPr="00297B59">
              <w:rPr>
                <w:rFonts w:ascii="Arial Narrow" w:eastAsia="Times New Roman" w:hAnsi="Arial Narrow" w:cs="Times New Roman"/>
                <w:sz w:val="18"/>
                <w:szCs w:val="18"/>
                <w:lang w:val="en-GB" w:eastAsia="en-US"/>
              </w:rPr>
              <w:t xml:space="preserve"> (monitoring)</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rate of bone loss in patients not taking antiretroviral therapies but taking anti-</w:t>
            </w:r>
            <w:proofErr w:type="spellStart"/>
            <w:r w:rsidRPr="00297B59">
              <w:rPr>
                <w:rFonts w:ascii="Arial Narrow" w:eastAsia="Times New Roman" w:hAnsi="Arial Narrow" w:cs="Times New Roman"/>
                <w:sz w:val="18"/>
                <w:szCs w:val="18"/>
                <w:lang w:val="en-GB" w:eastAsia="en-US"/>
              </w:rPr>
              <w:t>resorptives</w:t>
            </w:r>
            <w:proofErr w:type="spellEnd"/>
            <w:r w:rsidRPr="00297B59">
              <w:rPr>
                <w:rFonts w:ascii="Arial Narrow" w:eastAsia="Times New Roman" w:hAnsi="Arial Narrow" w:cs="Times New Roman"/>
                <w:sz w:val="18"/>
                <w:szCs w:val="18"/>
                <w:lang w:val="en-GB" w:eastAsia="en-US"/>
              </w:rPr>
              <w:t xml:space="preserve"> (monitoring)</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This information will inform the appropriate rate of re-testing in the proportion of the population who do not reach the threshold for therapy at their initial test and the appropriate schedule of monitoring in the proportion of the population which has initiated therapy following their initial test. </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Sensitivity analysis should investigate the following options of re-testing and monitoring:</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lastRenderedPageBreak/>
              <w:t>T-score ≥-1.0: no repeat scan</w:t>
            </w:r>
          </w:p>
          <w:p w:rsidR="006379B4" w:rsidRPr="00297B59" w:rsidRDefault="006C05CC" w:rsidP="006C05CC">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6C05CC">
              <w:rPr>
                <w:rFonts w:ascii="Arial Narrow" w:eastAsia="Times New Roman" w:hAnsi="Arial Narrow" w:cs="Times New Roman"/>
                <w:sz w:val="18"/>
                <w:szCs w:val="18"/>
                <w:lang w:val="en-GB" w:eastAsia="en-US"/>
              </w:rPr>
              <w:t>T-score from -2.5 (excluded) to -1.0 (excluded)</w:t>
            </w:r>
            <w:r w:rsidR="006379B4" w:rsidRPr="00297B59">
              <w:rPr>
                <w:rFonts w:ascii="Arial Narrow" w:eastAsia="Times New Roman" w:hAnsi="Arial Narrow" w:cs="Times New Roman"/>
                <w:sz w:val="18"/>
                <w:szCs w:val="18"/>
                <w:lang w:val="en-GB" w:eastAsia="en-US"/>
              </w:rPr>
              <w:t>: repeat scan every 24 months</w:t>
            </w:r>
          </w:p>
          <w:p w:rsidR="006379B4" w:rsidRPr="00297B59" w:rsidRDefault="006C05CC" w:rsidP="006C05CC">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6C05CC">
              <w:rPr>
                <w:rFonts w:ascii="Arial Narrow" w:eastAsia="Times New Roman" w:hAnsi="Arial Narrow" w:cs="Times New Roman"/>
                <w:sz w:val="18"/>
                <w:szCs w:val="18"/>
                <w:lang w:val="en-GB" w:eastAsia="en-US"/>
              </w:rPr>
              <w:t>T-score from -2.5 (excluded) to -1.0 (excluded)</w:t>
            </w:r>
            <w:r w:rsidR="006379B4" w:rsidRPr="00297B59">
              <w:rPr>
                <w:rFonts w:ascii="Arial Narrow" w:eastAsia="Times New Roman" w:hAnsi="Arial Narrow" w:cs="Times New Roman"/>
                <w:sz w:val="18"/>
                <w:szCs w:val="18"/>
                <w:lang w:val="en-GB" w:eastAsia="en-US"/>
              </w:rPr>
              <w:t xml:space="preserve"> and patient is on anti-retroviral therapy: repeat scan every 12 months</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T-score ≤2.5: repeat scan every 12 months (MBS item 12306)</w:t>
            </w:r>
          </w:p>
          <w:p w:rsidR="006379B4" w:rsidRPr="00297B59" w:rsidRDefault="006379B4" w:rsidP="00297B59">
            <w:pPr>
              <w:pStyle w:val="ListParagraph"/>
              <w:numPr>
                <w:ilvl w:val="0"/>
                <w:numId w:val="28"/>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Re-scanning and monitoring using thresholds as advised by the evidence.</w:t>
            </w:r>
          </w:p>
        </w:tc>
      </w:tr>
      <w:tr w:rsidR="006379B4" w:rsidRPr="00B64B2E" w:rsidTr="00297B59">
        <w:trPr>
          <w:trHeight w:val="418"/>
        </w:trPr>
        <w:tc>
          <w:tcPr>
            <w:tcW w:w="1056" w:type="pct"/>
            <w:tcBorders>
              <w:top w:val="single" w:sz="12" w:space="0" w:color="auto"/>
              <w:bottom w:val="single" w:sz="12" w:space="0" w:color="auto"/>
            </w:tcBorders>
            <w:shd w:val="pct10" w:color="auto" w:fill="auto"/>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r w:rsidRPr="00297B59">
              <w:rPr>
                <w:rFonts w:ascii="Arial Narrow" w:eastAsia="Times New Roman" w:hAnsi="Arial Narrow" w:cs="Times New Roman"/>
                <w:b/>
                <w:sz w:val="18"/>
                <w:szCs w:val="18"/>
                <w:lang w:val="en-GB" w:eastAsia="en-US"/>
              </w:rPr>
              <w:lastRenderedPageBreak/>
              <w:t>Comparator</w:t>
            </w:r>
          </w:p>
        </w:tc>
        <w:tc>
          <w:tcPr>
            <w:tcW w:w="3944" w:type="pct"/>
            <w:tcBorders>
              <w:top w:val="single" w:sz="12" w:space="0" w:color="auto"/>
              <w:bottom w:val="single" w:sz="12" w:space="0" w:color="auto"/>
            </w:tcBorders>
            <w:shd w:val="pct10" w:color="auto" w:fill="auto"/>
          </w:tcPr>
          <w:p w:rsidR="006379B4" w:rsidRPr="00297B59" w:rsidRDefault="006379B4" w:rsidP="00656314">
            <w:pPr>
              <w:spacing w:after="0" w:line="240" w:lineRule="auto"/>
              <w:jc w:val="left"/>
              <w:rPr>
                <w:rFonts w:ascii="Arial Narrow" w:eastAsia="Times New Roman" w:hAnsi="Arial Narrow" w:cs="Times New Roman"/>
                <w:sz w:val="18"/>
                <w:szCs w:val="18"/>
                <w:lang w:val="en-GB" w:eastAsia="en-US"/>
              </w:rPr>
            </w:pPr>
            <w:r w:rsidRPr="00297B59">
              <w:rPr>
                <w:rFonts w:ascii="Arial Narrow" w:hAnsi="Arial Narrow" w:cs="Times New Roman"/>
                <w:sz w:val="18"/>
                <w:szCs w:val="18"/>
                <w:lang w:val="en-GB" w:eastAsia="en-US"/>
              </w:rPr>
              <w:t xml:space="preserve">Lifestyle and dietary advice (calcium and vitamin D) based on a general clinical assessment by a general practitioner using existing fracture risk assessment tools (for example the FRAX </w:t>
            </w:r>
            <w:r w:rsidR="00656314">
              <w:rPr>
                <w:rFonts w:ascii="Arial Narrow" w:hAnsi="Arial Narrow" w:cs="Times New Roman"/>
                <w:sz w:val="18"/>
                <w:szCs w:val="18"/>
                <w:lang w:val="en-GB" w:eastAsia="en-US"/>
              </w:rPr>
              <w:t>tool</w:t>
            </w:r>
            <w:r w:rsidRPr="00297B59">
              <w:rPr>
                <w:rFonts w:ascii="Arial Narrow" w:hAnsi="Arial Narrow" w:cs="Times New Roman"/>
                <w:sz w:val="18"/>
                <w:szCs w:val="18"/>
                <w:lang w:val="en-GB" w:eastAsia="en-US"/>
              </w:rPr>
              <w:t>) without the results of a bone mineral density test. This clinical assessment would include a test for vitamin D sufficiency (MBS item 66608).</w:t>
            </w:r>
          </w:p>
        </w:tc>
      </w:tr>
      <w:tr w:rsidR="006379B4" w:rsidRPr="00B64B2E" w:rsidTr="00297B59">
        <w:trPr>
          <w:trHeight w:val="418"/>
        </w:trPr>
        <w:tc>
          <w:tcPr>
            <w:tcW w:w="1056" w:type="pct"/>
            <w:tcBorders>
              <w:top w:val="single" w:sz="12" w:space="0" w:color="auto"/>
              <w:bottom w:val="single" w:sz="12" w:space="0" w:color="auto"/>
            </w:tcBorders>
            <w:shd w:val="pct10" w:color="auto" w:fill="auto"/>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r w:rsidRPr="00297B59">
              <w:rPr>
                <w:rFonts w:ascii="Arial Narrow" w:eastAsia="Times New Roman" w:hAnsi="Arial Narrow" w:cs="Times New Roman"/>
                <w:b/>
                <w:sz w:val="18"/>
                <w:szCs w:val="18"/>
                <w:lang w:val="en-GB" w:eastAsia="en-US"/>
              </w:rPr>
              <w:t>Outcomes</w:t>
            </w:r>
          </w:p>
        </w:tc>
        <w:tc>
          <w:tcPr>
            <w:tcW w:w="3944" w:type="pct"/>
            <w:tcBorders>
              <w:top w:val="single" w:sz="12" w:space="0" w:color="auto"/>
              <w:bottom w:val="single" w:sz="12" w:space="0" w:color="auto"/>
            </w:tcBorders>
            <w:shd w:val="pct10" w:color="auto" w:fill="auto"/>
          </w:tcPr>
          <w:p w:rsidR="006379B4" w:rsidRPr="00297B59" w:rsidRDefault="006379B4" w:rsidP="006C05CC">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Outcomes include primary effectiveness, secondary effectiveness and safety outcomes. Minimal trauma fracture </w:t>
            </w:r>
            <w:r w:rsidR="006C05CC">
              <w:rPr>
                <w:rFonts w:ascii="Arial Narrow" w:eastAsia="Times New Roman" w:hAnsi="Arial Narrow" w:cs="Times New Roman"/>
                <w:sz w:val="18"/>
                <w:szCs w:val="18"/>
                <w:lang w:val="en-GB" w:eastAsia="en-US"/>
              </w:rPr>
              <w:t>is a primary effectiveness outcome</w:t>
            </w:r>
            <w:r w:rsidRPr="00297B59">
              <w:rPr>
                <w:rFonts w:ascii="Arial Narrow" w:eastAsia="Times New Roman" w:hAnsi="Arial Narrow" w:cs="Times New Roman"/>
                <w:sz w:val="18"/>
                <w:szCs w:val="18"/>
                <w:lang w:val="en-GB" w:eastAsia="en-US"/>
              </w:rPr>
              <w:t>.</w:t>
            </w:r>
          </w:p>
        </w:tc>
      </w:tr>
      <w:tr w:rsidR="006379B4" w:rsidRPr="00B64B2E" w:rsidTr="00297B59">
        <w:trPr>
          <w:trHeight w:val="418"/>
        </w:trPr>
        <w:tc>
          <w:tcPr>
            <w:tcW w:w="1056" w:type="pct"/>
            <w:tcBorders>
              <w:top w:val="single" w:sz="12" w:space="0" w:color="auto"/>
              <w:bottom w:val="nil"/>
            </w:tcBorders>
          </w:tcPr>
          <w:p w:rsidR="006379B4" w:rsidRPr="00297B59" w:rsidRDefault="006379B4" w:rsidP="00297B59">
            <w:pPr>
              <w:spacing w:after="0" w:line="240" w:lineRule="auto"/>
              <w:jc w:val="left"/>
              <w:rPr>
                <w:rFonts w:ascii="Arial Narrow" w:eastAsia="Times New Roman" w:hAnsi="Arial Narrow" w:cs="Times New Roman"/>
                <w:b/>
                <w:sz w:val="18"/>
                <w:szCs w:val="18"/>
                <w:lang w:val="en-GB" w:eastAsia="en-US"/>
              </w:rPr>
            </w:pPr>
          </w:p>
        </w:tc>
        <w:tc>
          <w:tcPr>
            <w:tcW w:w="3944" w:type="pct"/>
            <w:tcBorders>
              <w:top w:val="single" w:sz="12" w:space="0" w:color="auto"/>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Primary effectiveness outcomes:</w:t>
            </w:r>
          </w:p>
          <w:p w:rsidR="006379B4" w:rsidRPr="00297B59" w:rsidRDefault="006379B4" w:rsidP="00297B59">
            <w:pPr>
              <w:pStyle w:val="ListParagraph"/>
              <w:numPr>
                <w:ilvl w:val="0"/>
                <w:numId w:val="29"/>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Incidence of minimal trauma fracture</w:t>
            </w:r>
          </w:p>
          <w:p w:rsidR="006379B4" w:rsidRPr="00297B59" w:rsidRDefault="006379B4" w:rsidP="00297B59">
            <w:pPr>
              <w:pStyle w:val="ListParagraph"/>
              <w:numPr>
                <w:ilvl w:val="0"/>
                <w:numId w:val="29"/>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Incidence of all fractures</w:t>
            </w:r>
          </w:p>
          <w:p w:rsidR="006379B4" w:rsidRPr="00297B59" w:rsidRDefault="006379B4" w:rsidP="00297B59">
            <w:pPr>
              <w:pStyle w:val="ListParagraph"/>
              <w:numPr>
                <w:ilvl w:val="0"/>
                <w:numId w:val="29"/>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Patient-related quality of life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Secondary effectiveness outcomes:</w:t>
            </w:r>
          </w:p>
          <w:p w:rsidR="006379B4" w:rsidRDefault="006379B4" w:rsidP="00297B59">
            <w:pPr>
              <w:pStyle w:val="ListParagraph"/>
              <w:numPr>
                <w:ilvl w:val="0"/>
                <w:numId w:val="30"/>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Change in morbidity/mortality</w:t>
            </w:r>
          </w:p>
          <w:p w:rsidR="00B46BA9" w:rsidRPr="00566DBF" w:rsidRDefault="00566DBF" w:rsidP="00566DBF">
            <w:pPr>
              <w:pStyle w:val="ListParagraph"/>
              <w:numPr>
                <w:ilvl w:val="0"/>
                <w:numId w:val="30"/>
              </w:numPr>
              <w:spacing w:after="0" w:line="240" w:lineRule="auto"/>
              <w:jc w:val="left"/>
              <w:rPr>
                <w:rFonts w:ascii="Arial Narrow" w:eastAsia="Times New Roman" w:hAnsi="Arial Narrow" w:cs="Times New Roman"/>
                <w:sz w:val="18"/>
                <w:szCs w:val="18"/>
                <w:lang w:val="en-GB" w:eastAsia="en-US"/>
              </w:rPr>
            </w:pPr>
            <w:r w:rsidRPr="00566DBF">
              <w:rPr>
                <w:rFonts w:ascii="Arial Narrow" w:eastAsia="Times New Roman" w:hAnsi="Arial Narrow" w:cs="Times New Roman"/>
                <w:sz w:val="18"/>
                <w:szCs w:val="18"/>
                <w:lang w:val="en-GB" w:eastAsia="en-US"/>
              </w:rPr>
              <w:t>Bone mineral density (for example as measured by T-score for patients 50 years or older, or Z-score for patients younger than 50 years of age).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Safety outcomes and adverse events:</w:t>
            </w:r>
          </w:p>
          <w:p w:rsidR="006379B4" w:rsidRPr="00297B59" w:rsidRDefault="006379B4" w:rsidP="00297B59">
            <w:pPr>
              <w:pStyle w:val="ListParagraph"/>
              <w:numPr>
                <w:ilvl w:val="0"/>
                <w:numId w:val="31"/>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Any adverse event or complication related to the DXA scanning or treatments for OP</w:t>
            </w:r>
          </w:p>
          <w:p w:rsidR="006379B4" w:rsidRPr="00297B59" w:rsidRDefault="006379B4" w:rsidP="00297B59">
            <w:pPr>
              <w:pStyle w:val="ListParagraph"/>
              <w:numPr>
                <w:ilvl w:val="0"/>
                <w:numId w:val="31"/>
              </w:num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Any adverse event arising from exposure to ionising radiation</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Please note: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It will be important to note the use and type of anti-retroviral medication in all populations, and to report all outcomes according to this criterion.</w:t>
            </w:r>
          </w:p>
        </w:tc>
      </w:tr>
      <w:tr w:rsidR="006379B4" w:rsidRPr="00B64B2E" w:rsidTr="00297B59">
        <w:trPr>
          <w:trHeight w:val="418"/>
        </w:trPr>
        <w:tc>
          <w:tcPr>
            <w:tcW w:w="1056" w:type="pct"/>
            <w:tcBorders>
              <w:top w:val="nil"/>
              <w:bottom w:val="nil"/>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Context</w:t>
            </w:r>
          </w:p>
        </w:tc>
        <w:tc>
          <w:tcPr>
            <w:tcW w:w="3944" w:type="pct"/>
            <w:tcBorders>
              <w:top w:val="nil"/>
              <w:bottom w:val="nil"/>
            </w:tcBorders>
          </w:tcPr>
          <w:p w:rsidR="006379B4" w:rsidRDefault="006379B4" w:rsidP="00297B59">
            <w:pPr>
              <w:spacing w:after="0" w:line="240" w:lineRule="auto"/>
              <w:contextualSpacing/>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PASC has stated that change in BMD as measured by a T-score or Z-score is an acceptable surrogate marker for the risk of MTF. </w:t>
            </w:r>
          </w:p>
          <w:p w:rsidR="00656314" w:rsidRPr="00297B59" w:rsidRDefault="00656314" w:rsidP="00297B59">
            <w:pPr>
              <w:spacing w:after="0" w:line="240" w:lineRule="auto"/>
              <w:contextualSpacing/>
              <w:jc w:val="left"/>
              <w:rPr>
                <w:rFonts w:ascii="Arial Narrow" w:eastAsia="Times New Roman" w:hAnsi="Arial Narrow" w:cs="Times New Roman"/>
                <w:sz w:val="18"/>
                <w:szCs w:val="18"/>
                <w:lang w:val="en-GB" w:eastAsia="en-US"/>
              </w:rPr>
            </w:pPr>
          </w:p>
        </w:tc>
      </w:tr>
      <w:tr w:rsidR="006379B4" w:rsidRPr="00B64B2E" w:rsidTr="00297B59">
        <w:trPr>
          <w:trHeight w:val="418"/>
        </w:trPr>
        <w:tc>
          <w:tcPr>
            <w:tcW w:w="1056" w:type="pct"/>
            <w:tcBorders>
              <w:top w:val="nil"/>
              <w:bottom w:val="single" w:sz="12" w:space="0" w:color="auto"/>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Approach to assessment</w:t>
            </w:r>
          </w:p>
        </w:tc>
        <w:tc>
          <w:tcPr>
            <w:tcW w:w="3944" w:type="pct"/>
            <w:tcBorders>
              <w:top w:val="nil"/>
              <w:bottom w:val="single" w:sz="12" w:space="0" w:color="auto"/>
            </w:tcBorders>
          </w:tcPr>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Where possible, the outcome of minimal trauma fracture should be disaggregated to type and location of fracture (e.g. hip </w:t>
            </w:r>
            <w:proofErr w:type="spellStart"/>
            <w:r w:rsidRPr="00297B59">
              <w:rPr>
                <w:rFonts w:ascii="Arial Narrow" w:eastAsia="Times New Roman" w:hAnsi="Arial Narrow" w:cs="Times New Roman"/>
                <w:sz w:val="18"/>
                <w:szCs w:val="18"/>
                <w:lang w:val="en-GB" w:eastAsia="en-US"/>
              </w:rPr>
              <w:t>vs</w:t>
            </w:r>
            <w:proofErr w:type="spellEnd"/>
            <w:r w:rsidRPr="00297B59">
              <w:rPr>
                <w:rFonts w:ascii="Arial Narrow" w:eastAsia="Times New Roman" w:hAnsi="Arial Narrow" w:cs="Times New Roman"/>
                <w:sz w:val="18"/>
                <w:szCs w:val="18"/>
                <w:lang w:val="en-GB" w:eastAsia="en-US"/>
              </w:rPr>
              <w:t xml:space="preserve"> non-hip) as this is important to translate to any possible effects on life-years and quality-adjusted life-years.</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The location of the DXA exam (for example, proximal femur, lumbar spine, hip, distal radius) should be reported for all studies where possible. </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Where patients are re-tested, it should be noted whether subsequent tests are undertaken on the same machine, or a different machine but the same model, or at the same or different practice. </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PASC acknowledges that DXA is associated with low radiation doses, but that increasing the availability of DXA may significantly increase the exposure of the proposed population to ionising radiation, especially when this population includes young adults. This issue should be addressed in the assessment of evidence.</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Any evidence relating to the proportion of patients in the target population who will have a T-score below each nominated threshold should be reported. </w:t>
            </w: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p>
          <w:p w:rsidR="006379B4" w:rsidRPr="00297B59" w:rsidRDefault="006379B4" w:rsidP="00297B59">
            <w:pPr>
              <w:spacing w:after="0" w:line="240" w:lineRule="auto"/>
              <w:jc w:val="left"/>
              <w:rPr>
                <w:rFonts w:ascii="Arial Narrow" w:eastAsia="Times New Roman" w:hAnsi="Arial Narrow" w:cs="Times New Roman"/>
                <w:sz w:val="18"/>
                <w:szCs w:val="18"/>
                <w:lang w:val="en-GB" w:eastAsia="en-US"/>
              </w:rPr>
            </w:pPr>
            <w:r w:rsidRPr="00297B59">
              <w:rPr>
                <w:rFonts w:ascii="Arial Narrow" w:eastAsia="Times New Roman" w:hAnsi="Arial Narrow" w:cs="Times New Roman"/>
                <w:sz w:val="18"/>
                <w:szCs w:val="18"/>
                <w:lang w:val="en-GB" w:eastAsia="en-US"/>
              </w:rPr>
              <w:t xml:space="preserve">Outcomes should be separated according to subpopulations if possible. </w:t>
            </w:r>
          </w:p>
        </w:tc>
      </w:tr>
    </w:tbl>
    <w:p w:rsidR="006379B4" w:rsidRDefault="006379B4" w:rsidP="00B777BB"/>
    <w:p w:rsidR="006379B4" w:rsidRPr="00613957" w:rsidRDefault="006379B4" w:rsidP="007E0830">
      <w:pPr>
        <w:pStyle w:val="Heading1"/>
        <w:tabs>
          <w:tab w:val="left" w:pos="6120"/>
        </w:tabs>
      </w:pPr>
      <w:bookmarkStart w:id="60" w:name="_Toc335902681"/>
      <w:bookmarkStart w:id="61" w:name="_Toc362969241"/>
      <w:r w:rsidRPr="00C60C7D">
        <w:t>Clinical research questions for public funding</w:t>
      </w:r>
      <w:bookmarkEnd w:id="60"/>
      <w:bookmarkEnd w:id="61"/>
    </w:p>
    <w:p w:rsidR="006379B4" w:rsidRDefault="006379B4" w:rsidP="00821E1A">
      <w:pPr>
        <w:pStyle w:val="ListParagraph"/>
        <w:numPr>
          <w:ilvl w:val="0"/>
          <w:numId w:val="22"/>
        </w:numPr>
      </w:pPr>
      <w:r>
        <w:t>Is the proposed population of men and women with HIV infection, with and without antiretroviral therapy, at greater risk of minimal trauma fracture than the baseline population? Are there any other prognostic indicators to bone loss, such as patient age, disease progression or type of anti-retroviral medication?</w:t>
      </w:r>
    </w:p>
    <w:p w:rsidR="006379B4" w:rsidRPr="00C8357B" w:rsidRDefault="006379B4" w:rsidP="00821E1A">
      <w:pPr>
        <w:pStyle w:val="ListParagraph"/>
        <w:numPr>
          <w:ilvl w:val="0"/>
          <w:numId w:val="22"/>
        </w:numPr>
      </w:pPr>
      <w:r>
        <w:t xml:space="preserve">What is the </w:t>
      </w:r>
      <w:r w:rsidRPr="00C8357B">
        <w:t>safety of DXA and management of bone mineral density compared with no</w:t>
      </w:r>
      <w:r>
        <w:t xml:space="preserve"> DXA and no</w:t>
      </w:r>
      <w:r w:rsidRPr="00C8357B">
        <w:t xml:space="preserve"> bone loss management </w:t>
      </w:r>
      <w:r>
        <w:t>(</w:t>
      </w:r>
      <w:r w:rsidRPr="00C8357B">
        <w:t>or non-prescription bone loss management</w:t>
      </w:r>
      <w:r>
        <w:t>)</w:t>
      </w:r>
      <w:r w:rsidRPr="00C8357B">
        <w:t xml:space="preserve"> for HIV patients with or without retroviral therapy?</w:t>
      </w:r>
    </w:p>
    <w:p w:rsidR="006379B4" w:rsidRDefault="006379B4" w:rsidP="00821E1A">
      <w:pPr>
        <w:pStyle w:val="ListParagraph"/>
        <w:numPr>
          <w:ilvl w:val="0"/>
          <w:numId w:val="22"/>
        </w:numPr>
      </w:pPr>
      <w:r w:rsidRPr="00C8357B">
        <w:lastRenderedPageBreak/>
        <w:t>What is the effectiveness of DXA and management of bone mineral density compared with no</w:t>
      </w:r>
      <w:r>
        <w:t xml:space="preserve"> DXA and no</w:t>
      </w:r>
      <w:r w:rsidRPr="00C8357B">
        <w:t xml:space="preserve"> bone loss management </w:t>
      </w:r>
      <w:r>
        <w:t>(</w:t>
      </w:r>
      <w:r w:rsidRPr="00C8357B">
        <w:t>or non-prescription bone loss management</w:t>
      </w:r>
      <w:r>
        <w:t>)</w:t>
      </w:r>
      <w:r w:rsidRPr="00C8357B">
        <w:t xml:space="preserve"> for HIV patients with or without retroviral therapy?</w:t>
      </w:r>
    </w:p>
    <w:p w:rsidR="006379B4" w:rsidRDefault="006379B4" w:rsidP="00821E1A">
      <w:pPr>
        <w:pStyle w:val="ListParagraph"/>
        <w:numPr>
          <w:ilvl w:val="0"/>
          <w:numId w:val="22"/>
        </w:numPr>
      </w:pPr>
      <w:r w:rsidRPr="00C8357B">
        <w:t>What is the</w:t>
      </w:r>
      <w:r>
        <w:t xml:space="preserve"> cost</w:t>
      </w:r>
      <w:r w:rsidRPr="00C8357B">
        <w:t xml:space="preserve"> effectiveness of DXA and management of bone mineral density compared with no</w:t>
      </w:r>
      <w:r>
        <w:t xml:space="preserve"> DXA and no</w:t>
      </w:r>
      <w:r w:rsidRPr="00C8357B">
        <w:t xml:space="preserve"> bone loss management </w:t>
      </w:r>
      <w:r>
        <w:t>(</w:t>
      </w:r>
      <w:r w:rsidRPr="00C8357B">
        <w:t>or non-prescription bone loss management</w:t>
      </w:r>
      <w:r>
        <w:t>)</w:t>
      </w:r>
      <w:r w:rsidRPr="00C8357B">
        <w:t xml:space="preserve"> for HIV patients with or without retroviral therapy?</w:t>
      </w:r>
    </w:p>
    <w:p w:rsidR="006379B4" w:rsidRDefault="006379B4" w:rsidP="00821E1A">
      <w:pPr>
        <w:pStyle w:val="ListParagraph"/>
        <w:numPr>
          <w:ilvl w:val="1"/>
          <w:numId w:val="22"/>
        </w:numPr>
      </w:pPr>
      <w:r>
        <w:t xml:space="preserve">Sensitivity analyses should be undertaken to provide information on the range of variables identified throughout this </w:t>
      </w:r>
      <w:proofErr w:type="gramStart"/>
      <w:r>
        <w:t>DAP</w:t>
      </w:r>
      <w:proofErr w:type="gramEnd"/>
      <w:r>
        <w:t>.</w:t>
      </w:r>
    </w:p>
    <w:p w:rsidR="009D3E0D" w:rsidRDefault="009D3E0D" w:rsidP="009D3E0D">
      <w:pPr>
        <w:pStyle w:val="ListParagraph"/>
        <w:numPr>
          <w:ilvl w:val="0"/>
          <w:numId w:val="22"/>
        </w:numPr>
      </w:pPr>
      <w:r>
        <w:t>At what threshold should therapy be made available to the population?</w:t>
      </w:r>
    </w:p>
    <w:p w:rsidR="009D3E0D" w:rsidRDefault="009D3E0D" w:rsidP="009D3E0D">
      <w:pPr>
        <w:pStyle w:val="ListParagraph"/>
        <w:numPr>
          <w:ilvl w:val="0"/>
          <w:numId w:val="22"/>
        </w:numPr>
      </w:pPr>
      <w:r>
        <w:t>At what frequency should re-testing and monitoring be made available to the population?</w:t>
      </w:r>
    </w:p>
    <w:p w:rsidR="006379B4" w:rsidRDefault="006379B4" w:rsidP="00C60C7D">
      <w:r>
        <w:t xml:space="preserve">PASC is interested to define the baseline fracture rate and bone mineral density loss in the HIV population, how this differs from fracture rate and BMD loss in the broader population with age, and how a specific intervention (scanning and medication) can improve bone loss outcomes. Ideally the main outcome measure should be fracture </w:t>
      </w:r>
      <w:r w:rsidRPr="00B64B2E">
        <w:t>rate. In the absence of this information change in BMD as measured by a T-score or Z-score is an acceptable surrogate marker for the risk of MTF.</w:t>
      </w:r>
    </w:p>
    <w:p w:rsidR="006379B4" w:rsidRDefault="006379B4" w:rsidP="00C8357B">
      <w:pPr>
        <w:rPr>
          <w:highlight w:val="yellow"/>
        </w:rPr>
      </w:pPr>
    </w:p>
    <w:p w:rsidR="006379B4" w:rsidRDefault="006379B4">
      <w:pPr>
        <w:rPr>
          <w:highlight w:val="yellow"/>
        </w:rPr>
      </w:pPr>
    </w:p>
    <w:p w:rsidR="006379B4" w:rsidRDefault="006379B4">
      <w:pPr>
        <w:spacing w:after="0" w:line="240" w:lineRule="auto"/>
        <w:jc w:val="left"/>
        <w:rPr>
          <w:highlight w:val="yellow"/>
        </w:rPr>
      </w:pPr>
      <w:r>
        <w:rPr>
          <w:highlight w:val="yellow"/>
        </w:rPr>
        <w:br w:type="page"/>
      </w:r>
    </w:p>
    <w:p w:rsidR="006379B4" w:rsidRPr="00613957" w:rsidRDefault="006379B4" w:rsidP="00613957">
      <w:pPr>
        <w:pStyle w:val="Heading1"/>
      </w:pPr>
      <w:bookmarkStart w:id="62" w:name="_Toc335902682"/>
      <w:bookmarkStart w:id="63" w:name="_Toc362969242"/>
      <w:r w:rsidRPr="00613957">
        <w:lastRenderedPageBreak/>
        <w:t>References</w:t>
      </w:r>
      <w:bookmarkEnd w:id="62"/>
      <w:bookmarkEnd w:id="63"/>
    </w:p>
    <w:p w:rsidR="006379B4" w:rsidRDefault="006379B4">
      <w:proofErr w:type="gramStart"/>
      <w:r>
        <w:t>Australian Institute of Health and Welfare 2008.</w:t>
      </w:r>
      <w:proofErr w:type="gramEnd"/>
      <w:r>
        <w:t xml:space="preserve"> </w:t>
      </w:r>
      <w:proofErr w:type="gramStart"/>
      <w:r>
        <w:t>A picture of osteoporosis in Australia.</w:t>
      </w:r>
      <w:proofErr w:type="gramEnd"/>
      <w:r>
        <w:t xml:space="preserve"> Arthritis</w:t>
      </w:r>
    </w:p>
    <w:p w:rsidR="006379B4" w:rsidRDefault="006379B4">
      <w:proofErr w:type="gramStart"/>
      <w:r>
        <w:t>Australian Institute of Health and Welfare 2010a.</w:t>
      </w:r>
      <w:proofErr w:type="gramEnd"/>
      <w:r>
        <w:t xml:space="preserve"> </w:t>
      </w:r>
      <w:proofErr w:type="gramStart"/>
      <w:r>
        <w:t>Use of health services for arthritis and osteoporosis.</w:t>
      </w:r>
      <w:proofErr w:type="gramEnd"/>
      <w:r>
        <w:t xml:space="preserve"> </w:t>
      </w:r>
      <w:proofErr w:type="gramStart"/>
      <w:r>
        <w:t>Arthritis series no. 14.</w:t>
      </w:r>
      <w:proofErr w:type="gramEnd"/>
      <w:r>
        <w:t xml:space="preserve"> Cat. </w:t>
      </w:r>
      <w:proofErr w:type="gramStart"/>
      <w:r>
        <w:t>no</w:t>
      </w:r>
      <w:proofErr w:type="gramEnd"/>
      <w:r>
        <w:t xml:space="preserve">. </w:t>
      </w:r>
      <w:proofErr w:type="gramStart"/>
      <w:r>
        <w:t>PHE 130.</w:t>
      </w:r>
      <w:proofErr w:type="gramEnd"/>
      <w:r>
        <w:t xml:space="preserve"> Canberra: AIHW.</w:t>
      </w:r>
    </w:p>
    <w:p w:rsidR="006379B4" w:rsidRDefault="006379B4">
      <w:proofErr w:type="gramStart"/>
      <w:r>
        <w:t>Australian Institute of Health and Welfare 2010b.</w:t>
      </w:r>
      <w:proofErr w:type="gramEnd"/>
      <w:r>
        <w:t xml:space="preserve"> </w:t>
      </w:r>
      <w:proofErr w:type="gramStart"/>
      <w:r>
        <w:t>Medication use for arthritis and osteoporosis.</w:t>
      </w:r>
      <w:proofErr w:type="gramEnd"/>
      <w:r>
        <w:t xml:space="preserve"> Cat. </w:t>
      </w:r>
      <w:proofErr w:type="gramStart"/>
      <w:r>
        <w:t>no</w:t>
      </w:r>
      <w:proofErr w:type="gramEnd"/>
      <w:r>
        <w:t xml:space="preserve">. </w:t>
      </w:r>
      <w:proofErr w:type="gramStart"/>
      <w:r>
        <w:t>PHE 121.</w:t>
      </w:r>
      <w:proofErr w:type="gramEnd"/>
      <w:r>
        <w:t xml:space="preserve"> Canberra: AIHW.</w:t>
      </w:r>
    </w:p>
    <w:p w:rsidR="006379B4" w:rsidRDefault="006379B4">
      <w:proofErr w:type="gramStart"/>
      <w:r>
        <w:t>Australian Institute of Health and Welfare 2011.</w:t>
      </w:r>
      <w:proofErr w:type="gramEnd"/>
      <w:r>
        <w:t xml:space="preserve"> </w:t>
      </w:r>
      <w:proofErr w:type="gramStart"/>
      <w:r>
        <w:t>A snapshot of osteoporosis in Australia 2011.</w:t>
      </w:r>
      <w:proofErr w:type="gramEnd"/>
      <w:r>
        <w:t xml:space="preserve"> </w:t>
      </w:r>
      <w:proofErr w:type="gramStart"/>
      <w:r>
        <w:t>Arthritis series no. 15.</w:t>
      </w:r>
      <w:proofErr w:type="gramEnd"/>
      <w:r>
        <w:t xml:space="preserve"> Cat. </w:t>
      </w:r>
      <w:proofErr w:type="gramStart"/>
      <w:r>
        <w:t>no</w:t>
      </w:r>
      <w:proofErr w:type="gramEnd"/>
      <w:r>
        <w:t xml:space="preserve">. </w:t>
      </w:r>
      <w:proofErr w:type="gramStart"/>
      <w:r>
        <w:t>PHE 137.</w:t>
      </w:r>
      <w:proofErr w:type="gramEnd"/>
      <w:r>
        <w:t xml:space="preserve"> Canberra: AIHW. </w:t>
      </w:r>
    </w:p>
    <w:p w:rsidR="006379B4" w:rsidRDefault="006379B4">
      <w:r>
        <w:t xml:space="preserve">Australian Medicines Handbook (AMH), URL: </w:t>
      </w:r>
      <w:hyperlink r:id="rId17" w:tooltip="This is a link to Australian Medicines Handbook " w:history="1">
        <w:r>
          <w:rPr>
            <w:rStyle w:val="Hyperlink"/>
            <w:rFonts w:cs="Tahoma"/>
          </w:rPr>
          <w:t>https://shop.amh.net.au/January</w:t>
        </w:r>
      </w:hyperlink>
      <w:r>
        <w:t xml:space="preserve"> [accessed March 2012]</w:t>
      </w:r>
    </w:p>
    <w:p w:rsidR="006379B4" w:rsidRDefault="006379B4" w:rsidP="004E2E62">
      <w:proofErr w:type="spellStart"/>
      <w:r>
        <w:t>Bedimo</w:t>
      </w:r>
      <w:proofErr w:type="spellEnd"/>
      <w:r>
        <w:t xml:space="preserve"> R, Zhang S, </w:t>
      </w:r>
      <w:proofErr w:type="spellStart"/>
      <w:r>
        <w:t>Dreschler</w:t>
      </w:r>
      <w:proofErr w:type="spellEnd"/>
      <w:r>
        <w:t xml:space="preserve"> H, </w:t>
      </w:r>
      <w:proofErr w:type="spellStart"/>
      <w:r>
        <w:t>Tebas</w:t>
      </w:r>
      <w:proofErr w:type="spellEnd"/>
      <w:r>
        <w:t xml:space="preserve"> P, </w:t>
      </w:r>
      <w:proofErr w:type="spellStart"/>
      <w:r>
        <w:t>Mallouf</w:t>
      </w:r>
      <w:proofErr w:type="spellEnd"/>
      <w:r>
        <w:t xml:space="preserve"> N. Risk of osteoporotic fractures associated with cumulative exposure to </w:t>
      </w:r>
      <w:proofErr w:type="spellStart"/>
      <w:r>
        <w:t>tenofovir</w:t>
      </w:r>
      <w:proofErr w:type="spellEnd"/>
      <w:r>
        <w:t xml:space="preserve"> and other antiretroviral agents. In: Program and abstracts of the 13th International Workshop on Adverse Drug Reactions and Comorbidities (Rome). London: International Medical Press, 2011. </w:t>
      </w:r>
    </w:p>
    <w:p w:rsidR="006379B4" w:rsidRDefault="006379B4" w:rsidP="004E2E62">
      <w:proofErr w:type="spellStart"/>
      <w:r>
        <w:t>Bolland</w:t>
      </w:r>
      <w:proofErr w:type="spellEnd"/>
      <w:r>
        <w:t xml:space="preserve"> MJ, et al Low Body Weight Mediates the relationship between HIV infection and Low Bone Mineral Density: A Meta-Analysis. Journal of Clinical Endocrinology and Metabolism 92 (12) 4522-4528 2007</w:t>
      </w:r>
    </w:p>
    <w:p w:rsidR="006379B4" w:rsidRDefault="006379B4" w:rsidP="004E2E62">
      <w:proofErr w:type="spellStart"/>
      <w:proofErr w:type="gramStart"/>
      <w:r>
        <w:t>Bolland</w:t>
      </w:r>
      <w:proofErr w:type="spellEnd"/>
      <w:r>
        <w:t xml:space="preserve"> MJ, Wang TKM, Grey A et al 2011.</w:t>
      </w:r>
      <w:proofErr w:type="gramEnd"/>
      <w:r>
        <w:t xml:space="preserve"> Stable bone density in HAART-treated individuals with HIV: a meta-analysis. J </w:t>
      </w:r>
      <w:proofErr w:type="spellStart"/>
      <w:r>
        <w:t>Clin</w:t>
      </w:r>
      <w:proofErr w:type="spellEnd"/>
      <w:r>
        <w:t xml:space="preserve"> </w:t>
      </w:r>
      <w:proofErr w:type="spellStart"/>
      <w:r>
        <w:t>Endocrinol</w:t>
      </w:r>
      <w:proofErr w:type="spellEnd"/>
      <w:r>
        <w:t xml:space="preserve"> </w:t>
      </w:r>
      <w:proofErr w:type="spellStart"/>
      <w:r>
        <w:t>Metab</w:t>
      </w:r>
      <w:proofErr w:type="spellEnd"/>
      <w:r>
        <w:t xml:space="preserve"> 96:2721-2731.</w:t>
      </w:r>
    </w:p>
    <w:p w:rsidR="006379B4" w:rsidRDefault="006379B4">
      <w:r>
        <w:t>Brown TT et al. Antiretroviral therapy and the prevalence of osteopenia and osteoporosis: a meta-analytic review. AIDS 2006:20(17):2165-74.</w:t>
      </w:r>
    </w:p>
    <w:p w:rsidR="006379B4" w:rsidRDefault="006379B4">
      <w:proofErr w:type="spellStart"/>
      <w:r>
        <w:t>Center</w:t>
      </w:r>
      <w:proofErr w:type="spellEnd"/>
      <w:r>
        <w:t xml:space="preserve"> JR, </w:t>
      </w:r>
      <w:proofErr w:type="spellStart"/>
      <w:r>
        <w:t>Bliuc</w:t>
      </w:r>
      <w:proofErr w:type="spellEnd"/>
      <w:r>
        <w:t xml:space="preserve"> D, Nguyen TV &amp; </w:t>
      </w:r>
      <w:proofErr w:type="spellStart"/>
      <w:r>
        <w:t>Eisman</w:t>
      </w:r>
      <w:proofErr w:type="spellEnd"/>
      <w:r>
        <w:t xml:space="preserve"> JA 2007. </w:t>
      </w:r>
      <w:proofErr w:type="gramStart"/>
      <w:r>
        <w:t>Risk of subsequent fracture after low-trauma fracture in men and women.</w:t>
      </w:r>
      <w:proofErr w:type="gramEnd"/>
      <w:r>
        <w:t xml:space="preserve"> Journal of American Medical Association 297:387–94.</w:t>
      </w:r>
    </w:p>
    <w:p w:rsidR="006379B4" w:rsidRDefault="006379B4">
      <w:r>
        <w:t>Cotter, EJ et al. HIV Proteins Regulate bone marker secretion and transcription factor activity in cultured human osteoblasts and consequent potential implications for osteoblast function and development. AIDS Res Hum Retroviruses 2007; 23:1521-30</w:t>
      </w:r>
    </w:p>
    <w:p w:rsidR="006379B4" w:rsidRDefault="006379B4">
      <w:r>
        <w:t>Cotter, AG and Mallon PWG, HIV Infection and Bone Disease: implications for an aging population. Sexual Health 2011, 8, 493-501</w:t>
      </w:r>
    </w:p>
    <w:p w:rsidR="006379B4" w:rsidRDefault="006379B4">
      <w:proofErr w:type="spellStart"/>
      <w:proofErr w:type="gramStart"/>
      <w:r>
        <w:t>Damilakis</w:t>
      </w:r>
      <w:proofErr w:type="spellEnd"/>
      <w:r>
        <w:t xml:space="preserve"> J, </w:t>
      </w:r>
      <w:proofErr w:type="spellStart"/>
      <w:r>
        <w:t>Guglielmi</w:t>
      </w:r>
      <w:proofErr w:type="spellEnd"/>
      <w:r>
        <w:t xml:space="preserve"> G. Quality Assurance and </w:t>
      </w:r>
      <w:proofErr w:type="spellStart"/>
      <w:r>
        <w:t>Dosimetry</w:t>
      </w:r>
      <w:proofErr w:type="spellEnd"/>
      <w:r>
        <w:t xml:space="preserve"> in Bone Densitometry.</w:t>
      </w:r>
      <w:proofErr w:type="gramEnd"/>
      <w:r>
        <w:t xml:space="preserve"> Radiology Clinics of North America (2010):48(3):629-640</w:t>
      </w:r>
    </w:p>
    <w:p w:rsidR="006379B4" w:rsidRDefault="006379B4">
      <w:proofErr w:type="gramStart"/>
      <w:r>
        <w:t xml:space="preserve">Dasher LG, Newton CD, </w:t>
      </w:r>
      <w:proofErr w:type="spellStart"/>
      <w:r>
        <w:t>Lenchik</w:t>
      </w:r>
      <w:proofErr w:type="spellEnd"/>
      <w:r>
        <w:t xml:space="preserve"> L. Dual X-ray Absorptiometry in Today’s Clinical Practice.</w:t>
      </w:r>
      <w:proofErr w:type="gramEnd"/>
      <w:r>
        <w:t xml:space="preserve"> Radiologic Clinics of North America 2010</w:t>
      </w:r>
      <w:proofErr w:type="gramStart"/>
      <w:r>
        <w:t>;48</w:t>
      </w:r>
      <w:proofErr w:type="gramEnd"/>
      <w:r>
        <w:t>(3):541-560.</w:t>
      </w:r>
    </w:p>
    <w:p w:rsidR="006379B4" w:rsidRDefault="006379B4" w:rsidP="005A2B59">
      <w:proofErr w:type="gramStart"/>
      <w:r w:rsidRPr="005A2B59">
        <w:lastRenderedPageBreak/>
        <w:t xml:space="preserve">Elders, P.J.M., </w:t>
      </w:r>
      <w:proofErr w:type="spellStart"/>
      <w:r w:rsidRPr="005A2B59">
        <w:t>Netelenbos</w:t>
      </w:r>
      <w:proofErr w:type="spellEnd"/>
      <w:r w:rsidRPr="005A2B59">
        <w:t>, J.C., et al 1988.</w:t>
      </w:r>
      <w:proofErr w:type="gramEnd"/>
      <w:r w:rsidRPr="005A2B59">
        <w:t xml:space="preserve"> ‘Accelerated vertebral bone loss in relation to menopause: a cross-sectional study on lumbar bone density in 286 women of 46-55 years of age’, Bone and Mineral, 5 (1), 11-19.</w:t>
      </w:r>
    </w:p>
    <w:p w:rsidR="006379B4" w:rsidRDefault="006379B4" w:rsidP="00916088">
      <w:proofErr w:type="spellStart"/>
      <w:r>
        <w:t>Ewald</w:t>
      </w:r>
      <w:proofErr w:type="spellEnd"/>
      <w:r>
        <w:t xml:space="preserve">, D.P., </w:t>
      </w:r>
      <w:proofErr w:type="spellStart"/>
      <w:r>
        <w:t>Eisman</w:t>
      </w:r>
      <w:proofErr w:type="spellEnd"/>
      <w:r>
        <w:t xml:space="preserve">, J.A., et al 2009. ‘Population rates of bone densitometry use in Australia, 2001-2005, by sex and rural versus urban location’. </w:t>
      </w:r>
      <w:r w:rsidRPr="000F5E05">
        <w:rPr>
          <w:i/>
        </w:rPr>
        <w:t>Medical Journal of Australia</w:t>
      </w:r>
      <w:r>
        <w:rPr>
          <w:i/>
        </w:rPr>
        <w:t xml:space="preserve">, </w:t>
      </w:r>
      <w:r>
        <w:t>190 (3), 126-128.</w:t>
      </w:r>
    </w:p>
    <w:p w:rsidR="006379B4" w:rsidRDefault="006379B4">
      <w:proofErr w:type="spellStart"/>
      <w:r>
        <w:t>Fakruddin</w:t>
      </w:r>
      <w:proofErr w:type="spellEnd"/>
      <w:r>
        <w:t xml:space="preserve"> JM et al HIP envelope gp120-mediated regulation of </w:t>
      </w:r>
      <w:proofErr w:type="spellStart"/>
      <w:r>
        <w:t>osteoclastsogenesis</w:t>
      </w:r>
      <w:proofErr w:type="spellEnd"/>
      <w:r>
        <w:t xml:space="preserve"> via receptor activator of nuclear factor kappa B </w:t>
      </w:r>
      <w:proofErr w:type="spellStart"/>
      <w:r>
        <w:t>ligang</w:t>
      </w:r>
      <w:proofErr w:type="spellEnd"/>
      <w:r>
        <w:t xml:space="preserve"> (RANKL) secretion and its </w:t>
      </w:r>
      <w:proofErr w:type="spellStart"/>
      <w:r>
        <w:t>moduclation</w:t>
      </w:r>
      <w:proofErr w:type="spellEnd"/>
      <w:r>
        <w:t xml:space="preserve"> by certain HIV protease inhibitors through interferon-gamma/RANKL cross-talk. J. </w:t>
      </w:r>
      <w:proofErr w:type="spellStart"/>
      <w:r>
        <w:t>Biol</w:t>
      </w:r>
      <w:proofErr w:type="spellEnd"/>
      <w:r>
        <w:t xml:space="preserve"> </w:t>
      </w:r>
      <w:proofErr w:type="spellStart"/>
      <w:r>
        <w:t>Chem</w:t>
      </w:r>
      <w:proofErr w:type="spellEnd"/>
      <w:r>
        <w:t xml:space="preserve"> 2003; 278:48251-8.</w:t>
      </w:r>
    </w:p>
    <w:p w:rsidR="006379B4" w:rsidRDefault="006379B4">
      <w:proofErr w:type="spellStart"/>
      <w:r>
        <w:t>Fakruddin</w:t>
      </w:r>
      <w:proofErr w:type="spellEnd"/>
      <w:r>
        <w:t xml:space="preserve"> JM et al, HIV-1 </w:t>
      </w:r>
      <w:proofErr w:type="spellStart"/>
      <w:r>
        <w:t>Vpr</w:t>
      </w:r>
      <w:proofErr w:type="spellEnd"/>
      <w:r>
        <w:t xml:space="preserve"> </w:t>
      </w:r>
      <w:proofErr w:type="gramStart"/>
      <w:r>
        <w:t>enhances</w:t>
      </w:r>
      <w:proofErr w:type="gramEnd"/>
      <w:r>
        <w:t xml:space="preserve"> production of receptor activated NF-</w:t>
      </w:r>
      <w:proofErr w:type="spellStart"/>
      <w:r>
        <w:t>kappaB</w:t>
      </w:r>
      <w:proofErr w:type="spellEnd"/>
      <w:r>
        <w:t xml:space="preserve"> ligand (RANKL) via potentiation of </w:t>
      </w:r>
      <w:proofErr w:type="spellStart"/>
      <w:r>
        <w:t>glutocorticoid</w:t>
      </w:r>
      <w:proofErr w:type="spellEnd"/>
      <w:r>
        <w:t xml:space="preserve"> </w:t>
      </w:r>
      <w:proofErr w:type="spellStart"/>
      <w:r>
        <w:t>receptyor</w:t>
      </w:r>
      <w:proofErr w:type="spellEnd"/>
      <w:r>
        <w:t xml:space="preserve"> activity. Ach </w:t>
      </w:r>
      <w:proofErr w:type="spellStart"/>
      <w:r>
        <w:t>Virol</w:t>
      </w:r>
      <w:proofErr w:type="spellEnd"/>
      <w:r>
        <w:t xml:space="preserve"> 2005; 150:67-78</w:t>
      </w:r>
    </w:p>
    <w:p w:rsidR="006379B4" w:rsidRDefault="006379B4" w:rsidP="004E2E62">
      <w:r>
        <w:t xml:space="preserve">Gallant JE, </w:t>
      </w:r>
      <w:proofErr w:type="spellStart"/>
      <w:r>
        <w:t>Staszewski</w:t>
      </w:r>
      <w:proofErr w:type="spellEnd"/>
      <w:r>
        <w:t xml:space="preserve"> S, </w:t>
      </w:r>
      <w:proofErr w:type="spellStart"/>
      <w:r>
        <w:t>Pozniak</w:t>
      </w:r>
      <w:proofErr w:type="spellEnd"/>
      <w:r>
        <w:t xml:space="preserve"> AL, et al. Efficacy and safety of </w:t>
      </w:r>
      <w:proofErr w:type="spellStart"/>
      <w:r>
        <w:t>tenofovir</w:t>
      </w:r>
      <w:proofErr w:type="spellEnd"/>
      <w:r>
        <w:t xml:space="preserve"> DF </w:t>
      </w:r>
      <w:proofErr w:type="spellStart"/>
      <w:r>
        <w:t>vs</w:t>
      </w:r>
      <w:proofErr w:type="spellEnd"/>
      <w:r>
        <w:t xml:space="preserve"> </w:t>
      </w:r>
      <w:proofErr w:type="spellStart"/>
      <w:r>
        <w:t>stavudine</w:t>
      </w:r>
      <w:proofErr w:type="spellEnd"/>
      <w:r>
        <w:t xml:space="preserve"> in combination therapy in </w:t>
      </w:r>
      <w:proofErr w:type="spellStart"/>
      <w:r>
        <w:t>antiretroviralnaive</w:t>
      </w:r>
      <w:proofErr w:type="spellEnd"/>
      <w:r>
        <w:t xml:space="preserve"> patients: a 3-year randomized trial. JAMA 2004; 292:191–201. </w:t>
      </w:r>
    </w:p>
    <w:p w:rsidR="006379B4" w:rsidRDefault="006379B4" w:rsidP="004E2E62">
      <w:proofErr w:type="spellStart"/>
      <w:r>
        <w:t>Gibellini</w:t>
      </w:r>
      <w:proofErr w:type="spellEnd"/>
      <w:r>
        <w:t xml:space="preserve"> D, </w:t>
      </w:r>
      <w:proofErr w:type="spellStart"/>
      <w:r>
        <w:t>Borderi</w:t>
      </w:r>
      <w:proofErr w:type="spellEnd"/>
      <w:r>
        <w:t xml:space="preserve"> M, De </w:t>
      </w:r>
      <w:proofErr w:type="spellStart"/>
      <w:r>
        <w:t>Crignis</w:t>
      </w:r>
      <w:proofErr w:type="spellEnd"/>
      <w:r>
        <w:t xml:space="preserve"> E, et al. RANKL/OPG/TRAIL plasma levels and bone mass loss evaluation in antiretroviral naïve HIV-1-positive men. J Med </w:t>
      </w:r>
      <w:proofErr w:type="spellStart"/>
      <w:r>
        <w:t>Virol</w:t>
      </w:r>
      <w:proofErr w:type="spellEnd"/>
      <w:r>
        <w:t xml:space="preserve"> 2007; 79:1446–54.</w:t>
      </w:r>
    </w:p>
    <w:p w:rsidR="006379B4" w:rsidRDefault="006379B4">
      <w:proofErr w:type="spellStart"/>
      <w:r w:rsidRPr="00F14BC7">
        <w:t>Haskelberg</w:t>
      </w:r>
      <w:proofErr w:type="spellEnd"/>
      <w:r w:rsidRPr="00F14BC7">
        <w:t xml:space="preserve"> H, Hoy JF, Amin J, </w:t>
      </w:r>
      <w:proofErr w:type="spellStart"/>
      <w:r w:rsidRPr="00F14BC7">
        <w:t>Ebeling</w:t>
      </w:r>
      <w:proofErr w:type="spellEnd"/>
      <w:r w:rsidRPr="00F14BC7">
        <w:t xml:space="preserve"> PR, Emery S, et al. (2012) Changes in Bone Turnover and Bone Loss in HIV-Infected Patients Changing Treatment to </w:t>
      </w:r>
      <w:proofErr w:type="spellStart"/>
      <w:r w:rsidRPr="00F14BC7">
        <w:t>Tenofovir-Emtricitabine</w:t>
      </w:r>
      <w:proofErr w:type="spellEnd"/>
      <w:r w:rsidRPr="00F14BC7">
        <w:t xml:space="preserve"> or </w:t>
      </w:r>
      <w:proofErr w:type="spellStart"/>
      <w:r w:rsidRPr="00F14BC7">
        <w:t>Abacavir</w:t>
      </w:r>
      <w:proofErr w:type="spellEnd"/>
      <w:r w:rsidRPr="00F14BC7">
        <w:t xml:space="preserve">-Lamivudine. </w:t>
      </w:r>
      <w:proofErr w:type="spellStart"/>
      <w:r w:rsidRPr="00F14BC7">
        <w:t>PLoS</w:t>
      </w:r>
      <w:proofErr w:type="spellEnd"/>
      <w:r w:rsidRPr="00F14BC7">
        <w:t xml:space="preserve"> ONE 7(6): e38377. doi:10.1371/journal.pone.0038377</w:t>
      </w:r>
    </w:p>
    <w:p w:rsidR="006379B4" w:rsidRDefault="006379B4">
      <w:r w:rsidRPr="00884352">
        <w:rPr>
          <w:rFonts w:eastAsia="Times New Roman"/>
          <w:lang w:eastAsia="en-US"/>
        </w:rPr>
        <w:t xml:space="preserve">Kirby Institute. </w:t>
      </w:r>
      <w:proofErr w:type="gramStart"/>
      <w:r w:rsidRPr="00884352">
        <w:rPr>
          <w:rFonts w:eastAsia="Times New Roman"/>
          <w:lang w:eastAsia="en-US"/>
        </w:rPr>
        <w:t>HIV, viral hepatitis and sexually transmissible infections in Australia Annual Surveillance Report 2011.</w:t>
      </w:r>
      <w:proofErr w:type="gramEnd"/>
      <w:r w:rsidRPr="00884352">
        <w:rPr>
          <w:rFonts w:eastAsia="Times New Roman"/>
          <w:lang w:eastAsia="en-US"/>
        </w:rPr>
        <w:t xml:space="preserve"> The Kirby Institute, the University of New South Wales, Sydney, NSW</w:t>
      </w:r>
    </w:p>
    <w:p w:rsidR="006379B4" w:rsidRDefault="006379B4">
      <w:r>
        <w:t xml:space="preserve">Marcus R, Feldman D, Nelson DA, Rosen CJ (editors). Osteoporosis (Third Edition), Chapter 2 – The Nature of Osteoporosis, by Marcus R and </w:t>
      </w:r>
      <w:proofErr w:type="spellStart"/>
      <w:r>
        <w:t>Bouxsein</w:t>
      </w:r>
      <w:proofErr w:type="spellEnd"/>
      <w:r>
        <w:t xml:space="preserve"> M. Elsevier Inc. 2008 pp. 27-36</w:t>
      </w:r>
    </w:p>
    <w:p w:rsidR="006379B4" w:rsidRDefault="006379B4" w:rsidP="004E2E62">
      <w:proofErr w:type="spellStart"/>
      <w:r>
        <w:t>McComsey</w:t>
      </w:r>
      <w:proofErr w:type="spellEnd"/>
      <w:r>
        <w:t xml:space="preserve"> GA, </w:t>
      </w:r>
      <w:proofErr w:type="spellStart"/>
      <w:r>
        <w:t>Kitch</w:t>
      </w:r>
      <w:proofErr w:type="spellEnd"/>
      <w:r>
        <w:t xml:space="preserve"> D, </w:t>
      </w:r>
      <w:proofErr w:type="spellStart"/>
      <w:r>
        <w:t>Daar</w:t>
      </w:r>
      <w:proofErr w:type="spellEnd"/>
      <w:r>
        <w:t xml:space="preserve"> ES, et al. Bone mineral density and fractures in antiretroviral-naive persons randomized to receive </w:t>
      </w:r>
      <w:proofErr w:type="spellStart"/>
      <w:r>
        <w:t>abacavir</w:t>
      </w:r>
      <w:proofErr w:type="spellEnd"/>
      <w:r>
        <w:t xml:space="preserve">-lamivudine or </w:t>
      </w:r>
      <w:proofErr w:type="spellStart"/>
      <w:r>
        <w:t>tenofovir</w:t>
      </w:r>
      <w:proofErr w:type="spellEnd"/>
      <w:r>
        <w:t xml:space="preserve"> </w:t>
      </w:r>
      <w:proofErr w:type="spellStart"/>
      <w:r>
        <w:t>disoproxil</w:t>
      </w:r>
      <w:proofErr w:type="spellEnd"/>
      <w:r>
        <w:t xml:space="preserve"> </w:t>
      </w:r>
      <w:proofErr w:type="spellStart"/>
      <w:r>
        <w:t>fumarate-emtricitabine</w:t>
      </w:r>
      <w:proofErr w:type="spellEnd"/>
      <w:r>
        <w:t xml:space="preserve"> along with </w:t>
      </w:r>
      <w:proofErr w:type="spellStart"/>
      <w:r>
        <w:t>efavirenz</w:t>
      </w:r>
      <w:proofErr w:type="spellEnd"/>
      <w:r>
        <w:t xml:space="preserve"> or </w:t>
      </w:r>
      <w:proofErr w:type="spellStart"/>
      <w:r>
        <w:t>atazanavir</w:t>
      </w:r>
      <w:proofErr w:type="spellEnd"/>
      <w:r>
        <w:t xml:space="preserve">-ritonavir: AIDS Clinical Trials Group A5224s, a </w:t>
      </w:r>
      <w:proofErr w:type="spellStart"/>
      <w:r>
        <w:t>substudy</w:t>
      </w:r>
      <w:proofErr w:type="spellEnd"/>
      <w:r>
        <w:t xml:space="preserve"> of ACTG A5202. J Infect Dis 2011; 203:1791–801.</w:t>
      </w:r>
      <w:r w:rsidDel="00EF7333">
        <w:t xml:space="preserve"> </w:t>
      </w:r>
    </w:p>
    <w:p w:rsidR="006379B4" w:rsidRDefault="006379B4" w:rsidP="005A2B59">
      <w:pPr>
        <w:jc w:val="left"/>
      </w:pPr>
      <w:proofErr w:type="gramStart"/>
      <w:r w:rsidRPr="005A2B59">
        <w:t>National Institutes of Health (NIH).</w:t>
      </w:r>
      <w:proofErr w:type="gramEnd"/>
      <w:r w:rsidRPr="005A2B59">
        <w:t xml:space="preserve"> 2012, Bone Mass Measurement: What the Numbers Mean [internet]. Available from: </w:t>
      </w:r>
      <w:hyperlink r:id="rId18" w:tooltip="This is a link to National Institutes of Health (NIH)" w:history="1">
        <w:r w:rsidRPr="005A2B59">
          <w:rPr>
            <w:color w:val="0000FF"/>
            <w:u w:val="single"/>
          </w:rPr>
          <w:t>http://www.niams.nih.gov/Health_Info/Bone/Bone_Health/bone_mass_measure.asp</w:t>
        </w:r>
      </w:hyperlink>
      <w:r w:rsidRPr="005A2B59">
        <w:t xml:space="preserve"> [Accessed 3 June 2013].</w:t>
      </w:r>
    </w:p>
    <w:p w:rsidR="006379B4" w:rsidRDefault="006379B4">
      <w:proofErr w:type="spellStart"/>
      <w:proofErr w:type="gramStart"/>
      <w:r w:rsidRPr="005A2B59">
        <w:t>Nowson</w:t>
      </w:r>
      <w:proofErr w:type="spellEnd"/>
      <w:r w:rsidRPr="005A2B59">
        <w:t>, C.A., McGrath, J.J., et al 2012.</w:t>
      </w:r>
      <w:proofErr w:type="gramEnd"/>
      <w:r w:rsidRPr="005A2B59">
        <w:t xml:space="preserve"> ‘Working Group of the Australian and New Zealand Bone and Mineral Society, Endocrine Society of Australia and Osteoporosis Australia; Vitamin D and health in adults in Australia and New Zealand: a position statement’, Medical Journal of Australia, 196 (11), 686-687.</w:t>
      </w:r>
      <w:r>
        <w:t xml:space="preserve">Ofotokun I. et al,  </w:t>
      </w:r>
      <w:proofErr w:type="spellStart"/>
      <w:r>
        <w:t>HIV:Inflamation</w:t>
      </w:r>
      <w:proofErr w:type="spellEnd"/>
      <w:r>
        <w:t xml:space="preserve"> and Bone; </w:t>
      </w:r>
      <w:proofErr w:type="spellStart"/>
      <w:r>
        <w:t>Curr</w:t>
      </w:r>
      <w:proofErr w:type="spellEnd"/>
      <w:r>
        <w:t xml:space="preserve"> HIV/AID Rep (2012) 9:16-25</w:t>
      </w:r>
    </w:p>
    <w:p w:rsidR="00FA61B1" w:rsidRPr="008B7D53" w:rsidRDefault="00FA61B1" w:rsidP="00FA61B1">
      <w:r>
        <w:lastRenderedPageBreak/>
        <w:t xml:space="preserve">RACGP 2010a, </w:t>
      </w:r>
      <w:r w:rsidRPr="0094474D">
        <w:t>Algorithm for the prevention and treatment of osteoporosis in postmenopausal women and older men</w:t>
      </w:r>
      <w:r>
        <w:t xml:space="preserve">. </w:t>
      </w:r>
      <w:proofErr w:type="gramStart"/>
      <w:r w:rsidRPr="0094474D">
        <w:t>The Royal Australian College of General Practitioners, [Internet].</w:t>
      </w:r>
      <w:proofErr w:type="gramEnd"/>
      <w:r w:rsidRPr="0094474D">
        <w:t xml:space="preserve"> Available from: &lt;http://www.racgp.org.au/guidelines/musculoskeletaldisea</w:t>
      </w:r>
      <w:r>
        <w:t>ses/osteoporosis&gt; [Accessed July 2013</w:t>
      </w:r>
      <w:r w:rsidRPr="0094474D">
        <w:t>].</w:t>
      </w:r>
    </w:p>
    <w:p w:rsidR="00FA61B1" w:rsidRDefault="00FA61B1">
      <w:proofErr w:type="gramStart"/>
      <w:r w:rsidRPr="00FA61B1">
        <w:t>RACGP 2010b, Clinical guideline for the prevention and treatment of osteoporosis in postmenopausal women and older men.</w:t>
      </w:r>
      <w:proofErr w:type="gramEnd"/>
      <w:r w:rsidRPr="00FA61B1">
        <w:t xml:space="preserve"> </w:t>
      </w:r>
      <w:proofErr w:type="gramStart"/>
      <w:r w:rsidRPr="00FA61B1">
        <w:t>The Royal Australian College of General Practitioners, [Internet].</w:t>
      </w:r>
      <w:proofErr w:type="gramEnd"/>
      <w:r w:rsidRPr="00FA61B1">
        <w:t xml:space="preserve"> Available from: &lt;http://www.racgp.org.au/guidelines/musculoskeletaldiseases/osteoporosis&gt; [Accessed </w:t>
      </w:r>
      <w:proofErr w:type="spellStart"/>
      <w:r w:rsidRPr="00FA61B1">
        <w:t>Julyne</w:t>
      </w:r>
      <w:proofErr w:type="spellEnd"/>
      <w:r w:rsidRPr="00FA61B1">
        <w:t xml:space="preserve"> 20131].</w:t>
      </w:r>
    </w:p>
    <w:p w:rsidR="006379B4" w:rsidRDefault="006379B4">
      <w:r w:rsidRPr="005A2B59">
        <w:t xml:space="preserve">Santen, R.J.2011. </w:t>
      </w:r>
      <w:proofErr w:type="gramStart"/>
      <w:r w:rsidRPr="005A2B59">
        <w:t>‘Effect of endocrine therapies on bone in breast cancer patients’, Journal of Clinical Endocrinology and Metabolism, 98 (2), 308-319.</w:t>
      </w:r>
      <w:proofErr w:type="gramEnd"/>
    </w:p>
    <w:p w:rsidR="006379B4" w:rsidRDefault="006379B4">
      <w:r>
        <w:t xml:space="preserve">SIGN – Scottish Intercollegiate Guidelines Network – Management of osteoporosis, </w:t>
      </w:r>
      <w:proofErr w:type="gramStart"/>
      <w:r>
        <w:t>A</w:t>
      </w:r>
      <w:proofErr w:type="gramEnd"/>
      <w:r>
        <w:t xml:space="preserve"> national clinical guideline, June 2003. Website: [Accessed June 2011]</w:t>
      </w:r>
    </w:p>
    <w:p w:rsidR="006379B4" w:rsidRDefault="006379B4" w:rsidP="004E2E62">
      <w:proofErr w:type="spellStart"/>
      <w:r>
        <w:t>Stellbrink</w:t>
      </w:r>
      <w:proofErr w:type="spellEnd"/>
      <w:r>
        <w:t xml:space="preserve"> HJ, </w:t>
      </w:r>
      <w:proofErr w:type="spellStart"/>
      <w:r>
        <w:t>Orkin</w:t>
      </w:r>
      <w:proofErr w:type="spellEnd"/>
      <w:r>
        <w:t xml:space="preserve"> C, </w:t>
      </w:r>
      <w:proofErr w:type="spellStart"/>
      <w:r>
        <w:t>Arribas</w:t>
      </w:r>
      <w:proofErr w:type="spellEnd"/>
      <w:r>
        <w:t xml:space="preserve"> JR, et al. Comparison of changes in bone density and turnover with </w:t>
      </w:r>
      <w:proofErr w:type="spellStart"/>
      <w:r>
        <w:t>abacavir</w:t>
      </w:r>
      <w:proofErr w:type="spellEnd"/>
      <w:r>
        <w:t xml:space="preserve">-lamivudine versus </w:t>
      </w:r>
      <w:proofErr w:type="spellStart"/>
      <w:r>
        <w:t>tenofovir-emtricitabine</w:t>
      </w:r>
      <w:proofErr w:type="spellEnd"/>
      <w:r>
        <w:t xml:space="preserve"> in HIV-infected adults: 48-week results from the ASSERT study. </w:t>
      </w:r>
      <w:proofErr w:type="spellStart"/>
      <w:r>
        <w:t>Clin</w:t>
      </w:r>
      <w:proofErr w:type="spellEnd"/>
      <w:r>
        <w:t xml:space="preserve"> Infect Dis 2010; 51:963–72. </w:t>
      </w:r>
    </w:p>
    <w:p w:rsidR="006379B4" w:rsidRDefault="006379B4" w:rsidP="004E2E62">
      <w:proofErr w:type="gramStart"/>
      <w:r>
        <w:t>The Royal Australian College of General Practitioners (2010) Clinical guideline for the prevention and treatment of osteoporosis in postmenopausal women and older men.</w:t>
      </w:r>
      <w:proofErr w:type="gramEnd"/>
      <w:r>
        <w:t xml:space="preserve"> </w:t>
      </w:r>
      <w:r>
        <w:rPr>
          <w:i/>
        </w:rPr>
        <w:t>The Royal Australian College of General Practitioners</w:t>
      </w:r>
    </w:p>
    <w:p w:rsidR="006379B4" w:rsidRDefault="006379B4">
      <w:r>
        <w:t xml:space="preserve">Walker Harris, Vanessa and </w:t>
      </w:r>
      <w:proofErr w:type="spellStart"/>
      <w:r>
        <w:t>Brown</w:t>
      </w:r>
      <w:proofErr w:type="gramStart"/>
      <w:r>
        <w:t>,Todd</w:t>
      </w:r>
      <w:proofErr w:type="spellEnd"/>
      <w:proofErr w:type="gramEnd"/>
      <w:r>
        <w:t>. Bone Loss in the HIV- Infected Patient: Evidence, Clinical Implications, and Treatment Strategies, Journal of Infectious Diseases, 2012:205 (</w:t>
      </w:r>
      <w:proofErr w:type="spellStart"/>
      <w:r>
        <w:t>Suppl</w:t>
      </w:r>
      <w:proofErr w:type="spellEnd"/>
      <w:r>
        <w:t xml:space="preserve"> 3) S397</w:t>
      </w:r>
    </w:p>
    <w:p w:rsidR="006379B4" w:rsidRDefault="006379B4" w:rsidP="00A028CE">
      <w:pPr>
        <w:jc w:val="left"/>
      </w:pPr>
      <w:proofErr w:type="gramStart"/>
      <w:r>
        <w:t>World Health Organisation (2007) Assessment of osteoporosis at the primary health care level.</w:t>
      </w:r>
      <w:proofErr w:type="gramEnd"/>
      <w:r>
        <w:t xml:space="preserve"> </w:t>
      </w:r>
      <w:proofErr w:type="gramStart"/>
      <w:r>
        <w:t>Summary Report of a WHO Scientific Group.</w:t>
      </w:r>
      <w:proofErr w:type="gramEnd"/>
      <w:r>
        <w:t xml:space="preserve"> WHO, Geneva, </w:t>
      </w:r>
      <w:hyperlink r:id="rId19" w:tooltip="This is a link to the University of Shefield" w:history="1">
        <w:r>
          <w:rPr>
            <w:rStyle w:val="Hyperlink"/>
            <w:rFonts w:cs="Tahoma"/>
          </w:rPr>
          <w:t>http://www.shef.ac.uk/FRAX/pdfs/WHO_Technical_Report.pdf</w:t>
        </w:r>
      </w:hyperlink>
    </w:p>
    <w:p w:rsidR="006379B4" w:rsidRDefault="006379B4"/>
    <w:p w:rsidR="006379B4" w:rsidRDefault="006379B4">
      <w:pPr>
        <w:spacing w:after="0" w:line="240" w:lineRule="auto"/>
        <w:jc w:val="left"/>
      </w:pPr>
      <w:r>
        <w:br w:type="page"/>
      </w:r>
    </w:p>
    <w:p w:rsidR="006379B4" w:rsidRPr="00B64110" w:rsidRDefault="006379B4" w:rsidP="00B64110">
      <w:pPr>
        <w:keepNext/>
        <w:spacing w:before="360" w:after="160"/>
        <w:outlineLvl w:val="0"/>
        <w:rPr>
          <w:rFonts w:cs="Times New Roman"/>
          <w:b/>
          <w:bCs/>
          <w:color w:val="215868"/>
          <w:sz w:val="32"/>
          <w:szCs w:val="32"/>
          <w:lang w:val="en-US"/>
        </w:rPr>
      </w:pPr>
      <w:bookmarkStart w:id="64" w:name="_Toc335747772"/>
      <w:bookmarkStart w:id="65" w:name="_Toc357421836"/>
      <w:bookmarkStart w:id="66" w:name="_Toc335902683"/>
      <w:bookmarkStart w:id="67" w:name="_Toc362969243"/>
      <w:r w:rsidRPr="00B64110">
        <w:rPr>
          <w:rFonts w:cs="Times New Roman"/>
          <w:b/>
          <w:bCs/>
          <w:color w:val="215868"/>
          <w:sz w:val="32"/>
          <w:szCs w:val="32"/>
          <w:lang w:val="en-US"/>
        </w:rPr>
        <w:lastRenderedPageBreak/>
        <w:t>Appendix 1</w:t>
      </w:r>
      <w:bookmarkEnd w:id="64"/>
      <w:r w:rsidRPr="00B64110">
        <w:rPr>
          <w:rFonts w:cs="Times New Roman"/>
          <w:b/>
          <w:bCs/>
          <w:color w:val="215868"/>
          <w:sz w:val="32"/>
          <w:szCs w:val="32"/>
          <w:lang w:val="en-US"/>
        </w:rPr>
        <w:tab/>
        <w:t>Examples of treatments currently listed on the ARTG for the treatment of osteoporosis</w:t>
      </w:r>
      <w:bookmarkEnd w:id="65"/>
      <w:bookmarkEnd w:id="67"/>
    </w:p>
    <w:p w:rsidR="006379B4" w:rsidRPr="00B64110" w:rsidRDefault="006379B4" w:rsidP="00B64110"/>
    <w:tbl>
      <w:tblPr>
        <w:tblW w:w="0" w:type="auto"/>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093"/>
        <w:gridCol w:w="1559"/>
        <w:gridCol w:w="4820"/>
      </w:tblGrid>
      <w:tr w:rsidR="006379B4" w:rsidRPr="00B64110" w:rsidTr="00B64110">
        <w:tc>
          <w:tcPr>
            <w:tcW w:w="2093" w:type="dxa"/>
          </w:tcPr>
          <w:p w:rsidR="006379B4" w:rsidRPr="00B64110" w:rsidRDefault="006379B4" w:rsidP="00B64110">
            <w:pPr>
              <w:tabs>
                <w:tab w:val="left" w:pos="2835"/>
              </w:tabs>
              <w:spacing w:after="0"/>
              <w:rPr>
                <w:rFonts w:ascii="Arial Narrow" w:hAnsi="Arial Narrow"/>
                <w:lang w:eastAsia="ja-JP"/>
              </w:rPr>
            </w:pPr>
            <w:r w:rsidRPr="00B64110">
              <w:rPr>
                <w:rFonts w:ascii="Arial Narrow" w:hAnsi="Arial Narrow"/>
                <w:lang w:eastAsia="ja-JP"/>
              </w:rPr>
              <w:t>ARTG number</w:t>
            </w:r>
          </w:p>
        </w:tc>
        <w:tc>
          <w:tcPr>
            <w:tcW w:w="1559" w:type="dxa"/>
          </w:tcPr>
          <w:p w:rsidR="006379B4" w:rsidRPr="00B64110" w:rsidRDefault="006379B4" w:rsidP="00B64110">
            <w:pPr>
              <w:tabs>
                <w:tab w:val="left" w:pos="2835"/>
              </w:tabs>
              <w:spacing w:after="0"/>
              <w:rPr>
                <w:rFonts w:ascii="Arial Narrow" w:hAnsi="Arial Narrow"/>
                <w:lang w:eastAsia="ja-JP"/>
              </w:rPr>
            </w:pPr>
            <w:r w:rsidRPr="00B64110">
              <w:rPr>
                <w:rFonts w:ascii="Arial Narrow" w:hAnsi="Arial Narrow"/>
                <w:lang w:eastAsia="ja-JP"/>
              </w:rPr>
              <w:t>Product name</w:t>
            </w:r>
          </w:p>
        </w:tc>
        <w:tc>
          <w:tcPr>
            <w:tcW w:w="4820" w:type="dxa"/>
          </w:tcPr>
          <w:p w:rsidR="006379B4" w:rsidRPr="00B64110" w:rsidRDefault="006379B4" w:rsidP="00B64110">
            <w:pPr>
              <w:tabs>
                <w:tab w:val="left" w:pos="2835"/>
              </w:tabs>
              <w:spacing w:after="0"/>
              <w:rPr>
                <w:rFonts w:ascii="Arial Narrow" w:hAnsi="Arial Narrow"/>
                <w:lang w:eastAsia="ja-JP"/>
              </w:rPr>
            </w:pPr>
            <w:r w:rsidRPr="00B64110">
              <w:rPr>
                <w:rFonts w:ascii="Arial Narrow" w:hAnsi="Arial Narrow"/>
                <w:lang w:eastAsia="ja-JP"/>
              </w:rPr>
              <w:t>Approved indication</w:t>
            </w:r>
          </w:p>
        </w:tc>
      </w:tr>
      <w:tr w:rsidR="006379B4" w:rsidRPr="00B64110" w:rsidTr="00B64110">
        <w:tc>
          <w:tcPr>
            <w:tcW w:w="8472" w:type="dxa"/>
            <w:gridSpan w:val="3"/>
          </w:tcPr>
          <w:p w:rsidR="006379B4" w:rsidRPr="00B64110" w:rsidRDefault="006379B4" w:rsidP="00B64110">
            <w:pPr>
              <w:tabs>
                <w:tab w:val="left" w:pos="2835"/>
              </w:tabs>
              <w:spacing w:after="0"/>
              <w:rPr>
                <w:rFonts w:ascii="Arial Narrow" w:hAnsi="Arial Narrow"/>
                <w:b/>
                <w:lang w:eastAsia="ja-JP"/>
              </w:rPr>
            </w:pPr>
            <w:r w:rsidRPr="00B64110">
              <w:rPr>
                <w:rFonts w:ascii="Arial Narrow" w:hAnsi="Arial Narrow"/>
                <w:b/>
                <w:lang w:eastAsia="ja-JP"/>
              </w:rPr>
              <w:t>Selective oestrogen receptor modulators (SERMs)</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161797</w:t>
            </w:r>
          </w:p>
        </w:tc>
        <w:tc>
          <w:tcPr>
            <w:tcW w:w="1559" w:type="dxa"/>
          </w:tcPr>
          <w:p w:rsidR="006379B4" w:rsidRPr="00B64110" w:rsidRDefault="006379B4" w:rsidP="00B64110">
            <w:pPr>
              <w:tabs>
                <w:tab w:val="left" w:pos="2835"/>
              </w:tabs>
              <w:spacing w:after="0"/>
              <w:ind w:left="175"/>
              <w:contextualSpacing/>
              <w:rPr>
                <w:rFonts w:ascii="Arial Narrow" w:hAnsi="Arial Narrow"/>
                <w:lang w:eastAsia="ja-JP"/>
              </w:rPr>
            </w:pPr>
            <w:proofErr w:type="spellStart"/>
            <w:r w:rsidRPr="00B64110">
              <w:rPr>
                <w:rFonts w:ascii="Arial Narrow" w:hAnsi="Arial Narrow"/>
                <w:lang w:eastAsia="ja-JP"/>
              </w:rPr>
              <w:t>Femarelle</w:t>
            </w:r>
            <w:proofErr w:type="spellEnd"/>
          </w:p>
        </w:tc>
        <w:tc>
          <w:tcPr>
            <w:tcW w:w="4820" w:type="dxa"/>
          </w:tcPr>
          <w:p w:rsidR="006379B4" w:rsidRPr="00B64110" w:rsidRDefault="006379B4" w:rsidP="00B64110">
            <w:pPr>
              <w:tabs>
                <w:tab w:val="left" w:pos="2835"/>
              </w:tabs>
              <w:spacing w:after="0"/>
              <w:ind w:left="4"/>
              <w:contextualSpacing/>
              <w:rPr>
                <w:rFonts w:ascii="Arial Narrow" w:hAnsi="Arial Narrow"/>
                <w:lang w:eastAsia="ja-JP"/>
              </w:rPr>
            </w:pPr>
            <w:r w:rsidRPr="00B64110">
              <w:rPr>
                <w:rFonts w:ascii="Arial Narrow" w:hAnsi="Arial Narrow"/>
                <w:lang w:eastAsia="ja-JP"/>
              </w:rPr>
              <w:t>Standard:</w:t>
            </w:r>
            <w:r w:rsidRPr="00B64110">
              <w:rPr>
                <w:rFonts w:ascii="Arial Narrow" w:hAnsi="Arial Narrow"/>
              </w:rPr>
              <w:t xml:space="preserve"> </w:t>
            </w:r>
            <w:r w:rsidRPr="00B64110">
              <w:rPr>
                <w:rFonts w:ascii="Arial Narrow" w:hAnsi="Arial Narrow"/>
                <w:lang w:eastAsia="ja-JP"/>
              </w:rPr>
              <w:t>For the symptomatic relief of menopause.</w:t>
            </w:r>
          </w:p>
          <w:p w:rsidR="006379B4" w:rsidRPr="00B64110" w:rsidRDefault="006379B4" w:rsidP="00B64110">
            <w:pPr>
              <w:tabs>
                <w:tab w:val="left" w:pos="2835"/>
              </w:tabs>
              <w:spacing w:after="0"/>
              <w:rPr>
                <w:rFonts w:ascii="Arial Narrow" w:hAnsi="Arial Narrow"/>
                <w:lang w:eastAsia="ja-JP"/>
              </w:rPr>
            </w:pPr>
            <w:r w:rsidRPr="00B64110">
              <w:rPr>
                <w:rFonts w:ascii="Arial Narrow" w:hAnsi="Arial Narrow"/>
                <w:lang w:eastAsia="ja-JP"/>
              </w:rPr>
              <w:t>Specific: Maintenance of bone health.</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64709</w:t>
            </w:r>
          </w:p>
        </w:tc>
        <w:tc>
          <w:tcPr>
            <w:tcW w:w="1559" w:type="dxa"/>
          </w:tcPr>
          <w:p w:rsidR="006379B4" w:rsidRPr="00B64110" w:rsidRDefault="006379B4" w:rsidP="00B64110">
            <w:pPr>
              <w:tabs>
                <w:tab w:val="left" w:pos="2835"/>
              </w:tabs>
              <w:spacing w:after="0"/>
              <w:ind w:left="175"/>
              <w:contextualSpacing/>
              <w:rPr>
                <w:rFonts w:ascii="Arial Narrow" w:hAnsi="Arial Narrow"/>
                <w:lang w:eastAsia="ja-JP"/>
              </w:rPr>
            </w:pPr>
            <w:proofErr w:type="spellStart"/>
            <w:r w:rsidRPr="00B64110">
              <w:rPr>
                <w:rFonts w:ascii="Arial Narrow" w:hAnsi="Arial Narrow"/>
                <w:lang w:eastAsia="ja-JP"/>
              </w:rPr>
              <w:t>Evista</w:t>
            </w:r>
            <w:proofErr w:type="spellEnd"/>
          </w:p>
        </w:tc>
        <w:tc>
          <w:tcPr>
            <w:tcW w:w="4820" w:type="dxa"/>
          </w:tcPr>
          <w:p w:rsidR="006379B4" w:rsidRPr="00B64110" w:rsidRDefault="006379B4" w:rsidP="00B64110">
            <w:pPr>
              <w:tabs>
                <w:tab w:val="left" w:pos="2835"/>
              </w:tabs>
              <w:spacing w:after="0"/>
              <w:ind w:left="4"/>
              <w:contextualSpacing/>
              <w:rPr>
                <w:rFonts w:ascii="Arial Narrow" w:hAnsi="Arial Narrow"/>
                <w:lang w:eastAsia="ja-JP"/>
              </w:rPr>
            </w:pPr>
            <w:proofErr w:type="spellStart"/>
            <w:r w:rsidRPr="00B64110">
              <w:rPr>
                <w:rFonts w:ascii="Arial Narrow" w:hAnsi="Arial Narrow"/>
                <w:lang w:eastAsia="ja-JP"/>
              </w:rPr>
              <w:t>Evista</w:t>
            </w:r>
            <w:proofErr w:type="spellEnd"/>
            <w:r w:rsidRPr="00B64110">
              <w:rPr>
                <w:rFonts w:ascii="Arial Narrow" w:hAnsi="Arial Narrow"/>
                <w:lang w:eastAsia="ja-JP"/>
              </w:rPr>
              <w:t xml:space="preserve"> is indicated for the prevention and treatment of osteoporosis in post-menopausal women. </w:t>
            </w:r>
            <w:proofErr w:type="spellStart"/>
            <w:r w:rsidRPr="00B64110">
              <w:rPr>
                <w:rFonts w:ascii="Arial Narrow" w:hAnsi="Arial Narrow"/>
                <w:lang w:eastAsia="ja-JP"/>
              </w:rPr>
              <w:t>Evista</w:t>
            </w:r>
            <w:proofErr w:type="spellEnd"/>
            <w:r w:rsidRPr="00B64110">
              <w:rPr>
                <w:rFonts w:ascii="Arial Narrow" w:hAnsi="Arial Narrow"/>
                <w:lang w:eastAsia="ja-JP"/>
              </w:rPr>
              <w:t xml:space="preserve"> is indicated for the reduction in the risk of invasive breast cancer in postmenopausal women with osteoporosis. </w:t>
            </w:r>
            <w:proofErr w:type="spellStart"/>
            <w:r w:rsidRPr="00B64110">
              <w:rPr>
                <w:rFonts w:ascii="Arial Narrow" w:hAnsi="Arial Narrow"/>
                <w:lang w:eastAsia="ja-JP"/>
              </w:rPr>
              <w:t>Evista</w:t>
            </w:r>
            <w:proofErr w:type="spellEnd"/>
            <w:r w:rsidRPr="00B64110">
              <w:rPr>
                <w:rFonts w:ascii="Arial Narrow" w:hAnsi="Arial Narrow"/>
                <w:lang w:eastAsia="ja-JP"/>
              </w:rPr>
              <w:t xml:space="preserve"> is indicated for the reduction in the risk of invasive breast cancer in postmenopausal women at high risk of invasive breast cancer.</w:t>
            </w:r>
          </w:p>
        </w:tc>
      </w:tr>
      <w:tr w:rsidR="006379B4" w:rsidRPr="00B64110" w:rsidTr="00B64110">
        <w:tc>
          <w:tcPr>
            <w:tcW w:w="8472" w:type="dxa"/>
            <w:gridSpan w:val="3"/>
          </w:tcPr>
          <w:p w:rsidR="006379B4" w:rsidRPr="00B64110" w:rsidRDefault="006379B4" w:rsidP="00B64110">
            <w:pPr>
              <w:tabs>
                <w:tab w:val="left" w:pos="2835"/>
              </w:tabs>
              <w:spacing w:after="0"/>
              <w:ind w:left="720"/>
              <w:contextualSpacing/>
              <w:rPr>
                <w:rFonts w:ascii="Arial Narrow" w:hAnsi="Arial Narrow"/>
                <w:b/>
                <w:lang w:eastAsia="ja-JP"/>
              </w:rPr>
            </w:pPr>
            <w:r w:rsidRPr="00B64110">
              <w:rPr>
                <w:rFonts w:ascii="Arial Narrow" w:hAnsi="Arial Narrow"/>
                <w:b/>
                <w:lang w:eastAsia="ja-JP"/>
              </w:rPr>
              <w:t xml:space="preserve">Bisphosphonates </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rPr>
            </w:pPr>
            <w:r w:rsidRPr="00B64110">
              <w:rPr>
                <w:rFonts w:ascii="Arial Narrow" w:hAnsi="Arial Narrow"/>
              </w:rPr>
              <w:t>ARTG number</w:t>
            </w:r>
          </w:p>
        </w:tc>
        <w:tc>
          <w:tcPr>
            <w:tcW w:w="1559" w:type="dxa"/>
          </w:tcPr>
          <w:p w:rsidR="006379B4" w:rsidRPr="00B64110" w:rsidRDefault="006379B4" w:rsidP="00B64110">
            <w:pPr>
              <w:tabs>
                <w:tab w:val="left" w:pos="2835"/>
              </w:tabs>
              <w:spacing w:after="0"/>
              <w:ind w:left="34"/>
              <w:contextualSpacing/>
              <w:rPr>
                <w:rFonts w:ascii="Arial Narrow" w:hAnsi="Arial Narrow"/>
              </w:rPr>
            </w:pPr>
            <w:r w:rsidRPr="00B64110">
              <w:rPr>
                <w:rFonts w:ascii="Arial Narrow" w:hAnsi="Arial Narrow"/>
              </w:rPr>
              <w:t>Product name</w:t>
            </w:r>
          </w:p>
        </w:tc>
        <w:tc>
          <w:tcPr>
            <w:tcW w:w="4820" w:type="dxa"/>
          </w:tcPr>
          <w:p w:rsidR="006379B4" w:rsidRPr="00B64110" w:rsidRDefault="006379B4" w:rsidP="00B64110">
            <w:pPr>
              <w:tabs>
                <w:tab w:val="left" w:pos="2835"/>
              </w:tabs>
              <w:spacing w:after="0"/>
              <w:ind w:left="720"/>
              <w:contextualSpacing/>
              <w:rPr>
                <w:rFonts w:ascii="Arial Narrow" w:hAnsi="Arial Narrow"/>
              </w:rPr>
            </w:pPr>
            <w:r w:rsidRPr="00B64110">
              <w:rPr>
                <w:rFonts w:ascii="Arial Narrow" w:hAnsi="Arial Narrow"/>
              </w:rPr>
              <w:t>Approved indication</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113482,120028,136846,157805, 161137, 53158, 54380, 67262, 68428, 73520, 73772, 76851, 93333, 98944</w:t>
            </w:r>
          </w:p>
        </w:tc>
        <w:tc>
          <w:tcPr>
            <w:tcW w:w="1559" w:type="dxa"/>
          </w:tcPr>
          <w:p w:rsidR="006379B4" w:rsidRPr="00B64110" w:rsidRDefault="006379B4" w:rsidP="00B64110">
            <w:pPr>
              <w:tabs>
                <w:tab w:val="left" w:pos="2835"/>
              </w:tabs>
              <w:spacing w:after="0"/>
              <w:ind w:left="175"/>
              <w:contextualSpacing/>
              <w:rPr>
                <w:rFonts w:ascii="Arial Narrow" w:hAnsi="Arial Narrow"/>
                <w:lang w:eastAsia="ja-JP"/>
              </w:rPr>
            </w:pPr>
            <w:r w:rsidRPr="00B64110">
              <w:rPr>
                <w:rFonts w:ascii="Arial Narrow" w:hAnsi="Arial Narrow"/>
                <w:lang w:eastAsia="ja-JP"/>
              </w:rPr>
              <w:t>Fosamax</w:t>
            </w:r>
          </w:p>
        </w:tc>
        <w:tc>
          <w:tcPr>
            <w:tcW w:w="4820"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Specific: Treatment of osteoporosis in postmenopausal women to prevent fractures, including those of the hip and spine (vertebral compression fractures) and to help ensure vitamin D adequacy and/or to reduce the risk of Vitamin D insufficiency. Treatment of osteoporosis in men to prevent fractures and to help ensure vitamin D adequacy and/or to reduce the risk of Vitamin D insufficiency indicated for the treatment of Paget's disease of bone in men &amp; women.</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46852</w:t>
            </w:r>
          </w:p>
        </w:tc>
        <w:tc>
          <w:tcPr>
            <w:tcW w:w="1559" w:type="dxa"/>
          </w:tcPr>
          <w:p w:rsidR="006379B4" w:rsidRPr="00B64110" w:rsidRDefault="006379B4" w:rsidP="00B64110">
            <w:pPr>
              <w:tabs>
                <w:tab w:val="left" w:pos="2835"/>
              </w:tabs>
              <w:spacing w:after="0"/>
              <w:ind w:left="175"/>
              <w:contextualSpacing/>
              <w:rPr>
                <w:rFonts w:ascii="Arial Narrow" w:hAnsi="Arial Narrow"/>
                <w:lang w:eastAsia="ja-JP"/>
              </w:rPr>
            </w:pPr>
            <w:proofErr w:type="spellStart"/>
            <w:r w:rsidRPr="00B64110">
              <w:rPr>
                <w:rFonts w:ascii="Arial Narrow" w:hAnsi="Arial Narrow"/>
                <w:lang w:eastAsia="ja-JP"/>
              </w:rPr>
              <w:t>Didrocal</w:t>
            </w:r>
            <w:proofErr w:type="spellEnd"/>
          </w:p>
        </w:tc>
        <w:tc>
          <w:tcPr>
            <w:tcW w:w="4820"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Specific: Treatment of osteoporosis. Osteoporosis must be confirmed by the finding of low bone mass (at least two standard deviations below the gender-specific mean for young adults) or by the presence or history of osteoporotic fracture. Prevention of bone loss in patients for whom long-term treatment with high-dose corticosteroids is either about to be commenced or has been recently initiated</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117667, 138211, 141530, 150618, 166838, 166853, 166942,74135, 74136, 82746</w:t>
            </w:r>
          </w:p>
        </w:tc>
        <w:tc>
          <w:tcPr>
            <w:tcW w:w="1559" w:type="dxa"/>
          </w:tcPr>
          <w:p w:rsidR="006379B4" w:rsidRPr="00B64110" w:rsidRDefault="006379B4" w:rsidP="00B64110">
            <w:pPr>
              <w:tabs>
                <w:tab w:val="left" w:pos="2835"/>
              </w:tabs>
              <w:spacing w:after="0"/>
              <w:ind w:left="175"/>
              <w:contextualSpacing/>
              <w:rPr>
                <w:rFonts w:ascii="Arial Narrow" w:hAnsi="Arial Narrow"/>
                <w:lang w:eastAsia="ja-JP"/>
              </w:rPr>
            </w:pPr>
            <w:r w:rsidRPr="00B64110">
              <w:rPr>
                <w:rFonts w:ascii="Arial Narrow" w:hAnsi="Arial Narrow"/>
                <w:lang w:eastAsia="ja-JP"/>
              </w:rPr>
              <w:t>Actonel</w:t>
            </w:r>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Specific: Treatment of osteoporosis. Treatment of glucocorticoid-induced osteoporosis. Preservation of bone mineral density in patients on long-term corticosteroid therapy.</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134664</w:t>
            </w:r>
          </w:p>
        </w:tc>
        <w:tc>
          <w:tcPr>
            <w:tcW w:w="1559" w:type="dxa"/>
          </w:tcPr>
          <w:p w:rsidR="006379B4" w:rsidRPr="00B64110" w:rsidRDefault="006379B4" w:rsidP="00B64110">
            <w:pPr>
              <w:tabs>
                <w:tab w:val="left" w:pos="2835"/>
              </w:tabs>
              <w:spacing w:after="0"/>
              <w:ind w:left="175"/>
              <w:contextualSpacing/>
              <w:rPr>
                <w:rFonts w:ascii="Arial Narrow" w:hAnsi="Arial Narrow"/>
                <w:lang w:eastAsia="ja-JP"/>
              </w:rPr>
            </w:pPr>
            <w:proofErr w:type="spellStart"/>
            <w:r w:rsidRPr="00B64110">
              <w:rPr>
                <w:rFonts w:ascii="Arial Narrow" w:hAnsi="Arial Narrow"/>
                <w:lang w:eastAsia="ja-JP"/>
              </w:rPr>
              <w:t>Aclasta</w:t>
            </w:r>
            <w:proofErr w:type="spellEnd"/>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Specific: Treatment of osteoporosis in postmenopausal women to reduce the incidence of hip, vertebral and non-vertebral fractures. - Treatment of osteoporosis in patients over 50 years of age with a history of at least one low trauma hip fracture, to reduce the incidence of further fractures. - To increase bone mineral density in men with osteoporosis. - To increase bone mineral density in patients with osteoporosis associated with long term glucocorticoid use. To prevent glucocorticoid-</w:t>
            </w:r>
            <w:r w:rsidRPr="00B64110">
              <w:rPr>
                <w:rFonts w:ascii="Arial Narrow" w:hAnsi="Arial Narrow"/>
                <w:lang w:eastAsia="ja-JP"/>
              </w:rPr>
              <w:lastRenderedPageBreak/>
              <w:t>induced bone mineral density loss. - Treatment of Paget's disease of bone.</w:t>
            </w:r>
          </w:p>
        </w:tc>
      </w:tr>
      <w:tr w:rsidR="006379B4" w:rsidRPr="00B64110" w:rsidTr="00B64110">
        <w:tc>
          <w:tcPr>
            <w:tcW w:w="2093" w:type="dxa"/>
          </w:tcPr>
          <w:p w:rsidR="006379B4" w:rsidRPr="00B64110" w:rsidRDefault="006379B4" w:rsidP="00B64110">
            <w:pPr>
              <w:tabs>
                <w:tab w:val="left" w:pos="2835"/>
              </w:tabs>
              <w:spacing w:after="0"/>
              <w:rPr>
                <w:rFonts w:ascii="Arial Narrow" w:hAnsi="Arial Narrow"/>
                <w:lang w:eastAsia="ja-JP"/>
              </w:rPr>
            </w:pPr>
          </w:p>
        </w:tc>
        <w:tc>
          <w:tcPr>
            <w:tcW w:w="1559" w:type="dxa"/>
          </w:tcPr>
          <w:p w:rsidR="006379B4" w:rsidRPr="00B64110" w:rsidRDefault="006379B4" w:rsidP="00B64110">
            <w:pPr>
              <w:tabs>
                <w:tab w:val="left" w:pos="2835"/>
              </w:tabs>
              <w:spacing w:after="0"/>
              <w:rPr>
                <w:rFonts w:ascii="Arial Narrow" w:hAnsi="Arial Narrow"/>
                <w:lang w:eastAsia="ja-JP"/>
              </w:rPr>
            </w:pPr>
          </w:p>
        </w:tc>
        <w:tc>
          <w:tcPr>
            <w:tcW w:w="4820" w:type="dxa"/>
          </w:tcPr>
          <w:p w:rsidR="006379B4" w:rsidRPr="00B64110" w:rsidRDefault="006379B4" w:rsidP="00B64110">
            <w:pPr>
              <w:tabs>
                <w:tab w:val="left" w:pos="2835"/>
              </w:tabs>
              <w:spacing w:after="0"/>
              <w:rPr>
                <w:rFonts w:ascii="Arial Narrow" w:hAnsi="Arial Narrow"/>
                <w:lang w:eastAsia="ja-JP"/>
              </w:rPr>
            </w:pPr>
          </w:p>
        </w:tc>
      </w:tr>
      <w:tr w:rsidR="006379B4" w:rsidRPr="00B64110" w:rsidTr="00B64110">
        <w:tc>
          <w:tcPr>
            <w:tcW w:w="8472" w:type="dxa"/>
            <w:gridSpan w:val="3"/>
          </w:tcPr>
          <w:p w:rsidR="006379B4" w:rsidRPr="00B64110" w:rsidRDefault="006379B4" w:rsidP="00B64110">
            <w:pPr>
              <w:tabs>
                <w:tab w:val="left" w:pos="2835"/>
              </w:tabs>
              <w:spacing w:after="0"/>
              <w:ind w:left="720"/>
              <w:contextualSpacing/>
              <w:rPr>
                <w:rFonts w:ascii="Arial Narrow" w:hAnsi="Arial Narrow"/>
                <w:b/>
                <w:lang w:eastAsia="ja-JP"/>
              </w:rPr>
            </w:pPr>
            <w:r w:rsidRPr="00B64110">
              <w:rPr>
                <w:rFonts w:ascii="Arial Narrow" w:hAnsi="Arial Narrow"/>
                <w:b/>
                <w:lang w:eastAsia="ja-JP"/>
              </w:rPr>
              <w:t>Monoclonal antibodies</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rPr>
            </w:pPr>
            <w:r w:rsidRPr="00B64110">
              <w:rPr>
                <w:rFonts w:ascii="Arial Narrow" w:hAnsi="Arial Narrow"/>
              </w:rPr>
              <w:t>ARTG number</w:t>
            </w:r>
          </w:p>
        </w:tc>
        <w:tc>
          <w:tcPr>
            <w:tcW w:w="1559" w:type="dxa"/>
          </w:tcPr>
          <w:p w:rsidR="006379B4" w:rsidRPr="00B64110" w:rsidRDefault="006379B4" w:rsidP="00B64110">
            <w:pPr>
              <w:tabs>
                <w:tab w:val="left" w:pos="2835"/>
              </w:tabs>
              <w:spacing w:after="0"/>
              <w:ind w:left="34"/>
              <w:contextualSpacing/>
              <w:rPr>
                <w:rFonts w:ascii="Arial Narrow" w:hAnsi="Arial Narrow"/>
              </w:rPr>
            </w:pPr>
            <w:r w:rsidRPr="00B64110">
              <w:rPr>
                <w:rFonts w:ascii="Arial Narrow" w:hAnsi="Arial Narrow"/>
              </w:rPr>
              <w:t>Product name</w:t>
            </w:r>
          </w:p>
        </w:tc>
        <w:tc>
          <w:tcPr>
            <w:tcW w:w="4820" w:type="dxa"/>
          </w:tcPr>
          <w:p w:rsidR="006379B4" w:rsidRPr="00B64110" w:rsidRDefault="006379B4" w:rsidP="00B64110">
            <w:pPr>
              <w:tabs>
                <w:tab w:val="left" w:pos="2835"/>
              </w:tabs>
              <w:spacing w:after="0"/>
              <w:ind w:left="34"/>
              <w:contextualSpacing/>
              <w:rPr>
                <w:rFonts w:ascii="Arial Narrow" w:hAnsi="Arial Narrow"/>
              </w:rPr>
            </w:pPr>
            <w:r w:rsidRPr="00B64110">
              <w:rPr>
                <w:rFonts w:ascii="Arial Narrow" w:hAnsi="Arial Narrow"/>
              </w:rPr>
              <w:t>Approved indication</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159322, 159323, 159324</w:t>
            </w:r>
          </w:p>
        </w:tc>
        <w:tc>
          <w:tcPr>
            <w:tcW w:w="1559" w:type="dxa"/>
          </w:tcPr>
          <w:p w:rsidR="006379B4" w:rsidRPr="00B64110" w:rsidRDefault="006379B4" w:rsidP="00B64110">
            <w:pPr>
              <w:tabs>
                <w:tab w:val="left" w:pos="2835"/>
              </w:tabs>
              <w:spacing w:after="0"/>
              <w:contextualSpacing/>
              <w:rPr>
                <w:rFonts w:ascii="Arial Narrow" w:hAnsi="Arial Narrow"/>
                <w:lang w:eastAsia="ja-JP"/>
              </w:rPr>
            </w:pPr>
            <w:proofErr w:type="spellStart"/>
            <w:r w:rsidRPr="00B64110">
              <w:rPr>
                <w:rFonts w:ascii="Arial Narrow" w:hAnsi="Arial Narrow"/>
                <w:lang w:eastAsia="ja-JP"/>
              </w:rPr>
              <w:t>Denosumab</w:t>
            </w:r>
            <w:proofErr w:type="spellEnd"/>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 xml:space="preserve">The treatment of osteoporosis in postmenopausal women. </w:t>
            </w:r>
            <w:proofErr w:type="spellStart"/>
            <w:r w:rsidRPr="00B64110">
              <w:rPr>
                <w:rFonts w:ascii="Arial Narrow" w:hAnsi="Arial Narrow"/>
                <w:lang w:eastAsia="ja-JP"/>
              </w:rPr>
              <w:t>Prolia</w:t>
            </w:r>
            <w:proofErr w:type="spellEnd"/>
            <w:r w:rsidRPr="00B64110">
              <w:rPr>
                <w:rFonts w:ascii="Arial Narrow" w:hAnsi="Arial Narrow"/>
                <w:lang w:eastAsia="ja-JP"/>
              </w:rPr>
              <w:t xml:space="preserve"> significantly reduces the risk of vertebral, non-vertebral and hip fractures.</w:t>
            </w:r>
          </w:p>
        </w:tc>
      </w:tr>
      <w:tr w:rsidR="006379B4" w:rsidRPr="00B64110" w:rsidTr="00B64110">
        <w:tc>
          <w:tcPr>
            <w:tcW w:w="8472" w:type="dxa"/>
            <w:gridSpan w:val="3"/>
          </w:tcPr>
          <w:p w:rsidR="006379B4" w:rsidRPr="00B64110" w:rsidRDefault="006379B4" w:rsidP="00B64110">
            <w:pPr>
              <w:tabs>
                <w:tab w:val="left" w:pos="2835"/>
              </w:tabs>
              <w:spacing w:after="0"/>
              <w:ind w:left="720"/>
              <w:contextualSpacing/>
              <w:rPr>
                <w:rFonts w:ascii="Arial Narrow" w:hAnsi="Arial Narrow"/>
                <w:b/>
                <w:lang w:eastAsia="ja-JP"/>
              </w:rPr>
            </w:pPr>
            <w:r w:rsidRPr="00B64110">
              <w:rPr>
                <w:rFonts w:ascii="Arial Narrow" w:hAnsi="Arial Narrow"/>
                <w:b/>
                <w:lang w:eastAsia="ja-JP"/>
              </w:rPr>
              <w:t>Parathyroid hormone</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ARTG number</w:t>
            </w:r>
          </w:p>
        </w:tc>
        <w:tc>
          <w:tcPr>
            <w:tcW w:w="1559"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Product name</w:t>
            </w:r>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Approved indication</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80333</w:t>
            </w:r>
          </w:p>
        </w:tc>
        <w:tc>
          <w:tcPr>
            <w:tcW w:w="1559" w:type="dxa"/>
          </w:tcPr>
          <w:p w:rsidR="006379B4" w:rsidRPr="00B64110" w:rsidRDefault="006379B4" w:rsidP="00B64110">
            <w:pPr>
              <w:tabs>
                <w:tab w:val="left" w:pos="2835"/>
              </w:tabs>
              <w:spacing w:after="0"/>
              <w:ind w:left="34"/>
              <w:contextualSpacing/>
              <w:rPr>
                <w:rFonts w:ascii="Arial Narrow" w:hAnsi="Arial Narrow"/>
                <w:lang w:eastAsia="ja-JP"/>
              </w:rPr>
            </w:pPr>
            <w:proofErr w:type="spellStart"/>
            <w:r w:rsidRPr="00B64110">
              <w:rPr>
                <w:rFonts w:ascii="Arial Narrow" w:hAnsi="Arial Narrow"/>
                <w:lang w:eastAsia="ja-JP"/>
              </w:rPr>
              <w:t>Teriparatide</w:t>
            </w:r>
            <w:proofErr w:type="spellEnd"/>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proofErr w:type="gramStart"/>
            <w:r w:rsidRPr="00B64110">
              <w:rPr>
                <w:rFonts w:ascii="Arial Narrow" w:hAnsi="Arial Narrow"/>
                <w:lang w:eastAsia="ja-JP"/>
              </w:rPr>
              <w:t>indicated</w:t>
            </w:r>
            <w:proofErr w:type="gramEnd"/>
            <w:r w:rsidRPr="00B64110">
              <w:rPr>
                <w:rFonts w:ascii="Arial Narrow" w:hAnsi="Arial Narrow"/>
                <w:lang w:eastAsia="ja-JP"/>
              </w:rPr>
              <w:t xml:space="preserve"> for the treatment of osteoporosis in postmenopausal women and the treatment of primary osteoporosis in men when other agents are considered unsuitable and when there is a high risk of fractures. </w:t>
            </w:r>
            <w:proofErr w:type="spellStart"/>
            <w:r w:rsidRPr="00B64110">
              <w:rPr>
                <w:rFonts w:ascii="Arial Narrow" w:hAnsi="Arial Narrow"/>
                <w:lang w:eastAsia="ja-JP"/>
              </w:rPr>
              <w:t>Teriparatide</w:t>
            </w:r>
            <w:proofErr w:type="spellEnd"/>
            <w:r w:rsidRPr="00B64110">
              <w:rPr>
                <w:rFonts w:ascii="Arial Narrow" w:hAnsi="Arial Narrow"/>
                <w:lang w:eastAsia="ja-JP"/>
              </w:rPr>
              <w:t xml:space="preserve"> is indicated for the treatment of osteoporosis associated with sustained systemic glucocorticoid therapy in women and men at high risk for fracture.</w:t>
            </w:r>
          </w:p>
        </w:tc>
      </w:tr>
      <w:tr w:rsidR="006379B4" w:rsidRPr="00B64110" w:rsidTr="00B64110">
        <w:tc>
          <w:tcPr>
            <w:tcW w:w="2093" w:type="dxa"/>
          </w:tcPr>
          <w:p w:rsidR="006379B4" w:rsidRPr="00B64110" w:rsidRDefault="006379B4" w:rsidP="00B64110">
            <w:pPr>
              <w:tabs>
                <w:tab w:val="left" w:pos="2835"/>
              </w:tabs>
              <w:spacing w:after="0"/>
              <w:ind w:left="720"/>
              <w:contextualSpacing/>
              <w:rPr>
                <w:rFonts w:ascii="Arial Narrow" w:hAnsi="Arial Narrow"/>
                <w:lang w:eastAsia="ja-JP"/>
              </w:rPr>
            </w:pPr>
          </w:p>
        </w:tc>
        <w:tc>
          <w:tcPr>
            <w:tcW w:w="1559" w:type="dxa"/>
          </w:tcPr>
          <w:p w:rsidR="006379B4" w:rsidRPr="00B64110" w:rsidRDefault="006379B4" w:rsidP="00B64110">
            <w:pPr>
              <w:tabs>
                <w:tab w:val="left" w:pos="2835"/>
              </w:tabs>
              <w:spacing w:after="0"/>
              <w:ind w:left="34"/>
              <w:contextualSpacing/>
              <w:rPr>
                <w:rFonts w:ascii="Arial Narrow" w:hAnsi="Arial Narrow"/>
                <w:lang w:eastAsia="ja-JP"/>
              </w:rPr>
            </w:pPr>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p>
        </w:tc>
      </w:tr>
      <w:tr w:rsidR="006379B4" w:rsidRPr="00B64110" w:rsidTr="00B64110">
        <w:tc>
          <w:tcPr>
            <w:tcW w:w="8472" w:type="dxa"/>
            <w:gridSpan w:val="3"/>
          </w:tcPr>
          <w:p w:rsidR="006379B4" w:rsidRPr="00B64110" w:rsidRDefault="006379B4" w:rsidP="00B64110">
            <w:pPr>
              <w:tabs>
                <w:tab w:val="left" w:pos="2835"/>
              </w:tabs>
              <w:spacing w:after="0"/>
              <w:ind w:left="720"/>
              <w:contextualSpacing/>
              <w:rPr>
                <w:rFonts w:ascii="Arial Narrow" w:hAnsi="Arial Narrow"/>
                <w:b/>
                <w:lang w:eastAsia="ja-JP"/>
              </w:rPr>
            </w:pPr>
            <w:r w:rsidRPr="00B64110">
              <w:rPr>
                <w:rFonts w:ascii="Arial Narrow" w:hAnsi="Arial Narrow"/>
                <w:b/>
                <w:lang w:eastAsia="ja-JP"/>
              </w:rPr>
              <w:t xml:space="preserve">Strontium </w:t>
            </w:r>
            <w:proofErr w:type="spellStart"/>
            <w:r w:rsidRPr="00B64110">
              <w:rPr>
                <w:rFonts w:ascii="Arial Narrow" w:hAnsi="Arial Narrow"/>
                <w:b/>
                <w:lang w:eastAsia="ja-JP"/>
              </w:rPr>
              <w:t>ranelate</w:t>
            </w:r>
            <w:proofErr w:type="spellEnd"/>
          </w:p>
        </w:tc>
      </w:tr>
      <w:tr w:rsidR="006379B4" w:rsidRPr="00B64110" w:rsidTr="00B64110">
        <w:tc>
          <w:tcPr>
            <w:tcW w:w="2093" w:type="dxa"/>
          </w:tcPr>
          <w:p w:rsidR="006379B4" w:rsidRPr="00B64110" w:rsidRDefault="006379B4" w:rsidP="00B64110">
            <w:pPr>
              <w:spacing w:after="0"/>
              <w:rPr>
                <w:rFonts w:ascii="Arial Narrow" w:hAnsi="Arial Narrow"/>
              </w:rPr>
            </w:pPr>
            <w:r w:rsidRPr="00B64110">
              <w:rPr>
                <w:rFonts w:ascii="Arial Narrow" w:hAnsi="Arial Narrow"/>
              </w:rPr>
              <w:t>ARTG number</w:t>
            </w:r>
          </w:p>
        </w:tc>
        <w:tc>
          <w:tcPr>
            <w:tcW w:w="1559" w:type="dxa"/>
          </w:tcPr>
          <w:p w:rsidR="006379B4" w:rsidRPr="00B64110" w:rsidRDefault="006379B4" w:rsidP="00B64110">
            <w:pPr>
              <w:spacing w:after="0"/>
              <w:rPr>
                <w:rFonts w:ascii="Arial Narrow" w:hAnsi="Arial Narrow"/>
              </w:rPr>
            </w:pPr>
            <w:r w:rsidRPr="00B64110">
              <w:rPr>
                <w:rFonts w:ascii="Arial Narrow" w:hAnsi="Arial Narrow"/>
              </w:rPr>
              <w:t>Product name</w:t>
            </w:r>
          </w:p>
        </w:tc>
        <w:tc>
          <w:tcPr>
            <w:tcW w:w="4820" w:type="dxa"/>
          </w:tcPr>
          <w:p w:rsidR="006379B4" w:rsidRPr="00B64110" w:rsidRDefault="006379B4" w:rsidP="00B64110">
            <w:pPr>
              <w:spacing w:after="0"/>
              <w:rPr>
                <w:rFonts w:ascii="Arial Narrow" w:hAnsi="Arial Narrow"/>
              </w:rPr>
            </w:pPr>
            <w:r w:rsidRPr="00B64110">
              <w:rPr>
                <w:rFonts w:ascii="Arial Narrow" w:hAnsi="Arial Narrow"/>
              </w:rPr>
              <w:t>Approved indication</w:t>
            </w:r>
          </w:p>
        </w:tc>
      </w:tr>
      <w:tr w:rsidR="006379B4" w:rsidRPr="00B64110" w:rsidTr="00B64110">
        <w:tc>
          <w:tcPr>
            <w:tcW w:w="2093" w:type="dxa"/>
          </w:tcPr>
          <w:p w:rsidR="006379B4" w:rsidRPr="00B64110" w:rsidRDefault="006379B4" w:rsidP="00B64110">
            <w:pPr>
              <w:tabs>
                <w:tab w:val="left" w:pos="2835"/>
              </w:tabs>
              <w:spacing w:after="0"/>
              <w:contextualSpacing/>
              <w:rPr>
                <w:rFonts w:ascii="Arial Narrow" w:hAnsi="Arial Narrow"/>
                <w:lang w:eastAsia="ja-JP"/>
              </w:rPr>
            </w:pPr>
            <w:r w:rsidRPr="00B64110">
              <w:rPr>
                <w:rFonts w:ascii="Arial Narrow" w:hAnsi="Arial Narrow"/>
                <w:lang w:eastAsia="ja-JP"/>
              </w:rPr>
              <w:t>99978</w:t>
            </w:r>
          </w:p>
        </w:tc>
        <w:tc>
          <w:tcPr>
            <w:tcW w:w="1559"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 xml:space="preserve">Strontium </w:t>
            </w:r>
            <w:proofErr w:type="spellStart"/>
            <w:r w:rsidRPr="00B64110">
              <w:rPr>
                <w:rFonts w:ascii="Arial Narrow" w:hAnsi="Arial Narrow"/>
                <w:lang w:eastAsia="ja-JP"/>
              </w:rPr>
              <w:t>ranelate</w:t>
            </w:r>
            <w:proofErr w:type="spellEnd"/>
            <w:r w:rsidRPr="00B64110">
              <w:rPr>
                <w:rFonts w:ascii="Arial Narrow" w:hAnsi="Arial Narrow"/>
                <w:lang w:eastAsia="ja-JP"/>
              </w:rPr>
              <w:t xml:space="preserve"> (</w:t>
            </w:r>
            <w:proofErr w:type="spellStart"/>
            <w:r w:rsidRPr="00B64110">
              <w:rPr>
                <w:rFonts w:ascii="Arial Narrow" w:hAnsi="Arial Narrow"/>
                <w:lang w:eastAsia="ja-JP"/>
              </w:rPr>
              <w:t>Protos</w:t>
            </w:r>
            <w:proofErr w:type="spellEnd"/>
            <w:r w:rsidRPr="00B64110">
              <w:rPr>
                <w:rFonts w:ascii="Arial Narrow" w:hAnsi="Arial Narrow"/>
                <w:lang w:eastAsia="ja-JP"/>
              </w:rPr>
              <w:t>)</w:t>
            </w:r>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Treatment of postmenopausal osteoporosis to reduce the risk of fracture.</w:t>
            </w:r>
          </w:p>
          <w:p w:rsidR="006379B4" w:rsidRPr="00B64110" w:rsidRDefault="006379B4" w:rsidP="00B64110">
            <w:pPr>
              <w:tabs>
                <w:tab w:val="left" w:pos="2835"/>
              </w:tabs>
              <w:spacing w:after="0"/>
              <w:ind w:left="34"/>
              <w:contextualSpacing/>
              <w:rPr>
                <w:rFonts w:ascii="Arial Narrow" w:hAnsi="Arial Narrow"/>
                <w:lang w:eastAsia="ja-JP"/>
              </w:rPr>
            </w:pPr>
            <w:r w:rsidRPr="00B64110">
              <w:rPr>
                <w:rFonts w:ascii="Arial Narrow" w:hAnsi="Arial Narrow"/>
                <w:lang w:eastAsia="ja-JP"/>
              </w:rPr>
              <w:t>Treatment of osteoporosis in men at increased risk of fracture.</w:t>
            </w:r>
          </w:p>
        </w:tc>
      </w:tr>
      <w:tr w:rsidR="006379B4" w:rsidRPr="00B64110" w:rsidTr="00B64110">
        <w:tc>
          <w:tcPr>
            <w:tcW w:w="2093" w:type="dxa"/>
          </w:tcPr>
          <w:p w:rsidR="006379B4" w:rsidRPr="00B64110" w:rsidRDefault="006379B4" w:rsidP="00B64110">
            <w:pPr>
              <w:tabs>
                <w:tab w:val="left" w:pos="2835"/>
              </w:tabs>
              <w:spacing w:after="0"/>
              <w:ind w:left="720"/>
              <w:contextualSpacing/>
              <w:rPr>
                <w:rFonts w:ascii="Arial Narrow" w:hAnsi="Arial Narrow"/>
                <w:lang w:eastAsia="ja-JP"/>
              </w:rPr>
            </w:pPr>
          </w:p>
        </w:tc>
        <w:tc>
          <w:tcPr>
            <w:tcW w:w="1559" w:type="dxa"/>
          </w:tcPr>
          <w:p w:rsidR="006379B4" w:rsidRPr="00B64110" w:rsidRDefault="006379B4" w:rsidP="00B64110">
            <w:pPr>
              <w:tabs>
                <w:tab w:val="left" w:pos="2835"/>
              </w:tabs>
              <w:spacing w:after="0"/>
              <w:ind w:left="34"/>
              <w:contextualSpacing/>
              <w:rPr>
                <w:rFonts w:ascii="Arial Narrow" w:hAnsi="Arial Narrow"/>
                <w:lang w:eastAsia="ja-JP"/>
              </w:rPr>
            </w:pPr>
          </w:p>
        </w:tc>
        <w:tc>
          <w:tcPr>
            <w:tcW w:w="4820" w:type="dxa"/>
          </w:tcPr>
          <w:p w:rsidR="006379B4" w:rsidRPr="00B64110" w:rsidRDefault="006379B4" w:rsidP="00B64110">
            <w:pPr>
              <w:tabs>
                <w:tab w:val="left" w:pos="2835"/>
              </w:tabs>
              <w:spacing w:after="0"/>
              <w:ind w:left="34"/>
              <w:contextualSpacing/>
              <w:rPr>
                <w:rFonts w:ascii="Arial Narrow" w:hAnsi="Arial Narrow"/>
                <w:lang w:eastAsia="ja-JP"/>
              </w:rPr>
            </w:pPr>
          </w:p>
        </w:tc>
      </w:tr>
    </w:tbl>
    <w:p w:rsidR="006379B4" w:rsidRPr="00B64110" w:rsidRDefault="006379B4" w:rsidP="00B64110">
      <w:pPr>
        <w:rPr>
          <w:lang w:eastAsia="ja-JP"/>
        </w:rPr>
      </w:pPr>
      <w:r w:rsidRPr="00B64110">
        <w:t xml:space="preserve">Source: Australian Register of Therapeutic Goods (ARTG) searched on 01/08/2012 &lt; </w:t>
      </w:r>
      <w:hyperlink r:id="rId20" w:tooltip="This is a link to the TGA website" w:history="1">
        <w:r w:rsidRPr="00B64110">
          <w:rPr>
            <w:color w:val="0000FF"/>
            <w:u w:val="single"/>
          </w:rPr>
          <w:t>https://www.ebs.tga.gov.au/</w:t>
        </w:r>
      </w:hyperlink>
      <w:r w:rsidRPr="00B64110">
        <w:t>&gt;</w:t>
      </w:r>
    </w:p>
    <w:p w:rsidR="006379B4" w:rsidRPr="00B64110" w:rsidRDefault="006379B4" w:rsidP="00B64110">
      <w:pPr>
        <w:spacing w:after="0" w:line="240" w:lineRule="auto"/>
        <w:jc w:val="left"/>
      </w:pPr>
    </w:p>
    <w:p w:rsidR="006379B4" w:rsidRPr="00B64110" w:rsidRDefault="006379B4" w:rsidP="00B64110">
      <w:pPr>
        <w:spacing w:after="0" w:line="240" w:lineRule="auto"/>
        <w:jc w:val="left"/>
      </w:pPr>
      <w:r w:rsidRPr="00B64110">
        <w:br w:type="page"/>
      </w:r>
    </w:p>
    <w:p w:rsidR="006379B4" w:rsidRPr="00B64110" w:rsidRDefault="006379B4" w:rsidP="00B64110">
      <w:pPr>
        <w:spacing w:after="0" w:line="240" w:lineRule="auto"/>
        <w:jc w:val="left"/>
      </w:pPr>
    </w:p>
    <w:p w:rsidR="0069266E" w:rsidRDefault="006379B4" w:rsidP="00B64110">
      <w:pPr>
        <w:keepNext/>
        <w:spacing w:before="360" w:after="160"/>
        <w:jc w:val="left"/>
        <w:outlineLvl w:val="0"/>
        <w:rPr>
          <w:rFonts w:cs="Times New Roman"/>
          <w:b/>
          <w:bCs/>
          <w:color w:val="215868"/>
          <w:sz w:val="32"/>
          <w:szCs w:val="32"/>
          <w:lang w:val="en-US"/>
        </w:rPr>
      </w:pPr>
      <w:bookmarkStart w:id="68" w:name="_Toc357421837"/>
      <w:bookmarkStart w:id="69" w:name="_Toc362969244"/>
      <w:r w:rsidRPr="00B64110">
        <w:rPr>
          <w:rFonts w:cs="Times New Roman"/>
          <w:b/>
          <w:bCs/>
          <w:color w:val="215868"/>
          <w:sz w:val="32"/>
          <w:szCs w:val="32"/>
          <w:lang w:val="en-US"/>
        </w:rPr>
        <w:t>Appendix 2</w:t>
      </w:r>
    </w:p>
    <w:p w:rsidR="006379B4" w:rsidRPr="0069266E" w:rsidRDefault="006379B4" w:rsidP="0069266E">
      <w:pPr>
        <w:rPr>
          <w:b/>
          <w:sz w:val="24"/>
          <w:szCs w:val="24"/>
          <w:lang w:val="en-US"/>
        </w:rPr>
      </w:pPr>
      <w:r w:rsidRPr="0069266E">
        <w:rPr>
          <w:b/>
          <w:sz w:val="24"/>
          <w:szCs w:val="24"/>
          <w:lang w:val="en-US"/>
        </w:rPr>
        <w:t>Indications, contraindications and potential complications of the co-administered interventions</w:t>
      </w:r>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Co-administered interventions</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b/>
                <w:i/>
                <w:sz w:val="18"/>
                <w:szCs w:val="22"/>
                <w:lang w:eastAsia="en-US"/>
              </w:rPr>
            </w:pPr>
            <w:r w:rsidRPr="00B64110">
              <w:rPr>
                <w:rFonts w:ascii="Calibri" w:hAnsi="Calibri" w:cs="Calibri"/>
                <w:b/>
                <w:sz w:val="18"/>
                <w:szCs w:val="22"/>
                <w:lang w:eastAsia="en-US"/>
              </w:rPr>
              <w:t xml:space="preserve">Bisphosphonates; Alendronate (Fosamax), Disodium </w:t>
            </w:r>
            <w:proofErr w:type="spellStart"/>
            <w:r w:rsidRPr="00B64110">
              <w:rPr>
                <w:rFonts w:ascii="Calibri" w:hAnsi="Calibri" w:cs="Calibri"/>
                <w:b/>
                <w:sz w:val="18"/>
                <w:szCs w:val="22"/>
                <w:lang w:eastAsia="en-US"/>
              </w:rPr>
              <w:t>etidronate</w:t>
            </w:r>
            <w:proofErr w:type="spellEnd"/>
            <w:r w:rsidRPr="00B64110">
              <w:rPr>
                <w:rFonts w:ascii="Calibri" w:hAnsi="Calibri" w:cs="Calibri"/>
                <w:b/>
                <w:sz w:val="18"/>
                <w:szCs w:val="22"/>
                <w:lang w:eastAsia="en-US"/>
              </w:rPr>
              <w:t xml:space="preserve"> (</w:t>
            </w:r>
            <w:proofErr w:type="spellStart"/>
            <w:r w:rsidRPr="00B64110">
              <w:rPr>
                <w:rFonts w:ascii="Calibri" w:hAnsi="Calibri" w:cs="Calibri"/>
                <w:b/>
                <w:sz w:val="18"/>
                <w:szCs w:val="22"/>
                <w:lang w:eastAsia="en-US"/>
              </w:rPr>
              <w:t>Didrocal</w:t>
            </w:r>
            <w:proofErr w:type="spellEnd"/>
            <w:r w:rsidRPr="00B64110">
              <w:rPr>
                <w:rFonts w:ascii="Calibri" w:hAnsi="Calibri" w:cs="Calibri"/>
                <w:b/>
                <w:sz w:val="18"/>
                <w:szCs w:val="22"/>
                <w:lang w:eastAsia="en-US"/>
              </w:rPr>
              <w:t xml:space="preserve">), </w:t>
            </w:r>
            <w:proofErr w:type="spellStart"/>
            <w:r w:rsidRPr="00B64110">
              <w:rPr>
                <w:rFonts w:ascii="Calibri" w:hAnsi="Calibri" w:cs="Calibri"/>
                <w:b/>
                <w:sz w:val="18"/>
                <w:szCs w:val="22"/>
                <w:lang w:eastAsia="en-US"/>
              </w:rPr>
              <w:t>Risedronate</w:t>
            </w:r>
            <w:proofErr w:type="spellEnd"/>
            <w:r w:rsidRPr="00B64110">
              <w:t xml:space="preserve"> (</w:t>
            </w:r>
            <w:r w:rsidRPr="00B64110">
              <w:rPr>
                <w:rFonts w:ascii="Calibri" w:hAnsi="Calibri" w:cs="Calibri"/>
                <w:b/>
                <w:sz w:val="18"/>
                <w:szCs w:val="22"/>
                <w:lang w:eastAsia="en-US"/>
              </w:rPr>
              <w:t xml:space="preserve">Actonel), </w:t>
            </w:r>
            <w:proofErr w:type="spellStart"/>
            <w:r w:rsidRPr="00B64110">
              <w:rPr>
                <w:rFonts w:ascii="Calibri" w:hAnsi="Calibri" w:cs="Calibri"/>
                <w:b/>
                <w:sz w:val="18"/>
                <w:szCs w:val="22"/>
                <w:lang w:eastAsia="en-US"/>
              </w:rPr>
              <w:t>Zoledronic</w:t>
            </w:r>
            <w:proofErr w:type="spellEnd"/>
            <w:r w:rsidRPr="00B64110">
              <w:rPr>
                <w:rFonts w:ascii="Calibri" w:hAnsi="Calibri" w:cs="Calibri"/>
                <w:b/>
                <w:sz w:val="18"/>
                <w:szCs w:val="22"/>
                <w:lang w:eastAsia="en-US"/>
              </w:rPr>
              <w:t xml:space="preserve"> Acid (</w:t>
            </w:r>
            <w:proofErr w:type="spellStart"/>
            <w:r w:rsidRPr="00B64110">
              <w:rPr>
                <w:rFonts w:ascii="Calibri" w:hAnsi="Calibri" w:cs="Calibri"/>
                <w:b/>
                <w:sz w:val="18"/>
                <w:szCs w:val="22"/>
                <w:lang w:eastAsia="en-US"/>
              </w:rPr>
              <w:t>Aclasta</w:t>
            </w:r>
            <w:proofErr w:type="spellEnd"/>
            <w:r w:rsidRPr="00B64110">
              <w:rPr>
                <w:rFonts w:ascii="Calibri" w:hAnsi="Calibri" w:cs="Calibri"/>
                <w:b/>
                <w:sz w:val="18"/>
                <w:szCs w:val="22"/>
                <w:lang w:eastAsia="en-US"/>
              </w:rPr>
              <w:t>)</w:t>
            </w:r>
            <w:r w:rsidR="0069266E" w:rsidRPr="00B64110">
              <w:rPr>
                <w:rFonts w:ascii="Calibri" w:hAnsi="Calibri" w:cs="Calibri"/>
                <w:b/>
                <w:i/>
                <w:sz w:val="18"/>
                <w:szCs w:val="22"/>
                <w:lang w:eastAsia="en-US"/>
              </w:rPr>
              <w:t xml:space="preserve"> </w:t>
            </w:r>
            <w:r w:rsidRPr="00B64110">
              <w:rPr>
                <w:rFonts w:ascii="Calibri" w:hAnsi="Calibri" w:cs="Calibri"/>
                <w:b/>
                <w:i/>
                <w:sz w:val="18"/>
                <w:szCs w:val="22"/>
                <w:lang w:eastAsia="en-US"/>
              </w:rPr>
              <w:t>[prevention (Grade A), treatment (Grade A)]</w:t>
            </w:r>
          </w:p>
          <w:p w:rsidR="006379B4" w:rsidRPr="00B64110" w:rsidRDefault="006379B4" w:rsidP="00B64110">
            <w:pPr>
              <w:spacing w:after="0" w:line="240" w:lineRule="auto"/>
              <w:jc w:val="center"/>
              <w:rPr>
                <w:rFonts w:ascii="Calibri" w:hAnsi="Calibri" w:cs="Calibri"/>
                <w:b/>
                <w:i/>
                <w:sz w:val="18"/>
                <w:szCs w:val="22"/>
                <w:lang w:eastAsia="en-US"/>
              </w:rPr>
            </w:pPr>
            <w:r w:rsidRPr="00B64110">
              <w:rPr>
                <w:rFonts w:ascii="Calibri" w:hAnsi="Calibri" w:cs="Calibri"/>
                <w:sz w:val="18"/>
                <w:szCs w:val="22"/>
                <w:lang w:eastAsia="en-US"/>
              </w:rPr>
              <w:t xml:space="preserve">ARTG: Fosamax: </w:t>
            </w:r>
            <w:r w:rsidRPr="00B64110">
              <w:rPr>
                <w:rFonts w:ascii="Arial Narrow" w:hAnsi="Arial Narrow"/>
                <w:lang w:eastAsia="ja-JP"/>
              </w:rPr>
              <w:t xml:space="preserve">113482,120028,136846,157805, 161137, 53158, 54380, 67262, 68428, 73520, 73772, 76851, 93333, 98944; </w:t>
            </w:r>
            <w:proofErr w:type="spellStart"/>
            <w:r w:rsidRPr="00B64110">
              <w:rPr>
                <w:rFonts w:ascii="Arial Narrow" w:hAnsi="Arial Narrow"/>
                <w:lang w:eastAsia="ja-JP"/>
              </w:rPr>
              <w:t>Dirrocal</w:t>
            </w:r>
            <w:proofErr w:type="spellEnd"/>
            <w:r w:rsidRPr="00B64110">
              <w:rPr>
                <w:rFonts w:ascii="Arial Narrow" w:hAnsi="Arial Narrow"/>
                <w:lang w:eastAsia="ja-JP"/>
              </w:rPr>
              <w:t xml:space="preserve">: 46852; Actonel: 117667, 138211, 141530, 150618, 166838, 166853, 166942,74135, 74136, 82746; </w:t>
            </w:r>
            <w:proofErr w:type="spellStart"/>
            <w:r w:rsidRPr="00B64110">
              <w:rPr>
                <w:rFonts w:ascii="Arial Narrow" w:hAnsi="Arial Narrow"/>
                <w:lang w:eastAsia="ja-JP"/>
              </w:rPr>
              <w:t>Aclasta</w:t>
            </w:r>
            <w:proofErr w:type="spellEnd"/>
            <w:r w:rsidRPr="00B64110">
              <w:rPr>
                <w:rFonts w:ascii="Arial Narrow" w:hAnsi="Arial Narrow"/>
                <w:lang w:eastAsia="ja-JP"/>
              </w:rPr>
              <w:t xml:space="preserve">: 134664; </w:t>
            </w:r>
            <w:proofErr w:type="spellStart"/>
            <w:r w:rsidRPr="00B64110">
              <w:rPr>
                <w:rFonts w:ascii="Arial Narrow" w:hAnsi="Arial Narrow"/>
                <w:lang w:eastAsia="ja-JP"/>
              </w:rPr>
              <w:t>Clodronate</w:t>
            </w:r>
            <w:proofErr w:type="spellEnd"/>
            <w:r w:rsidRPr="00B64110">
              <w:rPr>
                <w:rFonts w:ascii="Arial Narrow" w:hAnsi="Arial Narrow"/>
                <w:lang w:eastAsia="ja-JP"/>
              </w:rPr>
              <w:t>: 181921, 181922, 66703, 66704, 80125, 80130</w:t>
            </w:r>
          </w:p>
          <w:p w:rsidR="006379B4" w:rsidRPr="00B64110" w:rsidRDefault="006379B4" w:rsidP="00B64110">
            <w:pPr>
              <w:spacing w:after="0" w:line="240" w:lineRule="auto"/>
              <w:jc w:val="center"/>
              <w:rPr>
                <w:rFonts w:ascii="Calibri" w:hAnsi="Calibri" w:cs="Calibri"/>
                <w:sz w:val="18"/>
                <w:szCs w:val="22"/>
                <w:lang w:eastAsia="en-US"/>
              </w:rPr>
            </w:pP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Paget's disease of bone</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Prevention and treatment of osteoporosis (including postmenopausal and corticosteroid-induced)</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Hypercalcaemia</w:t>
            </w:r>
            <w:proofErr w:type="spellEnd"/>
            <w:r w:rsidRPr="00B64110">
              <w:rPr>
                <w:rFonts w:ascii="Calibri" w:hAnsi="Calibri" w:cs="Calibri"/>
                <w:sz w:val="18"/>
                <w:szCs w:val="22"/>
                <w:lang w:eastAsia="en-US"/>
              </w:rPr>
              <w:t xml:space="preserve"> of malignancy</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Prevention of skeletal-related events in patients with malignancies involving bone</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Prevention and treatment of heterotopic ossification due to spinal cord injury or complicating total hip replacement</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Abnormalities of the oesophagus which delay oesophageal emptying, such as stricture or achalasia.</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Inability to stand or sit upright for at least 30 minutes.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Hypersensitivity to any component of bisphosphonates.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Hypocalcaemia.</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Severe </w:t>
            </w:r>
            <w:proofErr w:type="spellStart"/>
            <w:r w:rsidRPr="00B64110">
              <w:rPr>
                <w:rFonts w:ascii="Calibri" w:hAnsi="Calibri" w:cs="Calibri"/>
                <w:sz w:val="18"/>
                <w:szCs w:val="22"/>
                <w:lang w:eastAsia="en-US"/>
              </w:rPr>
              <w:t>hypercalciuria</w:t>
            </w:r>
            <w:proofErr w:type="spellEnd"/>
            <w:r w:rsidRPr="00B64110">
              <w:rPr>
                <w:rFonts w:ascii="Calibri" w:hAnsi="Calibri" w:cs="Calibri"/>
                <w:sz w:val="18"/>
                <w:szCs w:val="22"/>
                <w:lang w:eastAsia="en-US"/>
              </w:rPr>
              <w:t>.</w:t>
            </w: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nausea, vomiting, diarrhoea, headache, hypocalcaemia, musculoskeletal pain (may rarely be severe and/or disabling)</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IV: fever, flu-like symptoms, injection site reaction, increased </w:t>
            </w:r>
            <w:proofErr w:type="spellStart"/>
            <w:r w:rsidRPr="00B64110">
              <w:rPr>
                <w:rFonts w:ascii="Calibri" w:hAnsi="Calibri" w:cs="Calibri"/>
                <w:sz w:val="18"/>
                <w:szCs w:val="22"/>
                <w:lang w:eastAsia="en-US"/>
              </w:rPr>
              <w:t>creatinine</w:t>
            </w:r>
            <w:proofErr w:type="spellEnd"/>
            <w:r w:rsidRPr="00B64110">
              <w:rPr>
                <w:rFonts w:ascii="Calibri" w:hAnsi="Calibri" w:cs="Calibri"/>
                <w:sz w:val="18"/>
                <w:szCs w:val="22"/>
                <w:lang w:eastAsia="en-US"/>
              </w:rPr>
              <w:t xml:space="preserve"> concentration, </w:t>
            </w:r>
            <w:proofErr w:type="spellStart"/>
            <w:r w:rsidRPr="00B64110">
              <w:rPr>
                <w:rFonts w:ascii="Calibri" w:hAnsi="Calibri" w:cs="Calibri"/>
                <w:sz w:val="18"/>
                <w:szCs w:val="22"/>
                <w:lang w:eastAsia="en-US"/>
              </w:rPr>
              <w:t>hypophosphataemia</w:t>
            </w:r>
            <w:proofErr w:type="spellEnd"/>
            <w:r w:rsidRPr="00B64110">
              <w:rPr>
                <w:rFonts w:ascii="Calibri" w:hAnsi="Calibri" w:cs="Calibri"/>
                <w:sz w:val="18"/>
                <w:szCs w:val="22"/>
                <w:lang w:eastAsia="en-US"/>
              </w:rPr>
              <w:t>, myalgia, bone pain, hypertension</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Infrequent</w:t>
            </w:r>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oesophagitis</w:t>
            </w:r>
            <w:proofErr w:type="spellEnd"/>
            <w:r w:rsidRPr="00B64110">
              <w:rPr>
                <w:rFonts w:ascii="Calibri" w:hAnsi="Calibri" w:cs="Calibri"/>
                <w:sz w:val="18"/>
                <w:szCs w:val="22"/>
                <w:lang w:eastAsia="en-US"/>
              </w:rPr>
              <w:t xml:space="preserve">, oesophageal erosions and ulcers (mainly with alendronate), gastritis, </w:t>
            </w:r>
            <w:proofErr w:type="spellStart"/>
            <w:r w:rsidRPr="00B64110">
              <w:rPr>
                <w:rFonts w:ascii="Calibri" w:hAnsi="Calibri" w:cs="Calibri"/>
                <w:sz w:val="18"/>
                <w:szCs w:val="22"/>
                <w:lang w:eastAsia="en-US"/>
              </w:rPr>
              <w:t>duodenitis</w:t>
            </w:r>
            <w:proofErr w:type="spellEnd"/>
            <w:r w:rsidRPr="00B64110">
              <w:rPr>
                <w:rFonts w:ascii="Calibri" w:hAnsi="Calibri" w:cs="Calibri"/>
                <w:sz w:val="18"/>
                <w:szCs w:val="22"/>
                <w:lang w:eastAsia="en-US"/>
              </w:rPr>
              <w:t xml:space="preserve">, </w:t>
            </w:r>
            <w:proofErr w:type="spellStart"/>
            <w:r w:rsidRPr="00B64110">
              <w:rPr>
                <w:rFonts w:ascii="Calibri" w:hAnsi="Calibri" w:cs="Calibri"/>
                <w:sz w:val="18"/>
                <w:szCs w:val="22"/>
                <w:lang w:eastAsia="en-US"/>
              </w:rPr>
              <w:t>glossitis</w:t>
            </w:r>
            <w:proofErr w:type="spellEnd"/>
            <w:r w:rsidRPr="00B64110">
              <w:rPr>
                <w:rFonts w:ascii="Calibri" w:hAnsi="Calibri" w:cs="Calibri"/>
                <w:sz w:val="18"/>
                <w:szCs w:val="22"/>
                <w:lang w:eastAsia="en-US"/>
              </w:rPr>
              <w:t>, rash</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IV: hypotension, hypomagnesaemia, hypokalaemia</w:t>
            </w: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Rare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heart failure, renal impairment, ocular inflammation, osteonecrosis of the jaw, allergic reactions including angioedema</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IV: anaphylactic shock</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*Osteonecrosis of the jaw</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Risk appears to be associated with the potency, route and total dose of bisphosphonate and a history of dental surgery, trauma or disease. </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Possible associations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Atypical low-energy femoral fractures have occurred rarely during long-term bisphosphonate treatment for osteoporosis. It is possible that bisphosphonates slightly increase the risk of AF, although this association was not found in all studies. Some epidemiological data suggest an association between long-term use of oral bisphosphonates and an increased risk of oesophageal cancer; further </w:t>
            </w:r>
            <w:r w:rsidRPr="00B64110">
              <w:rPr>
                <w:rFonts w:ascii="Calibri" w:hAnsi="Calibri" w:cs="Calibri"/>
                <w:sz w:val="18"/>
                <w:szCs w:val="22"/>
                <w:lang w:eastAsia="en-US"/>
              </w:rPr>
              <w:lastRenderedPageBreak/>
              <w:t>evidence is needed.</w:t>
            </w:r>
          </w:p>
          <w:p w:rsidR="006379B4" w:rsidRPr="00B64110" w:rsidRDefault="006379B4" w:rsidP="00B64110">
            <w:pPr>
              <w:spacing w:after="0" w:line="240" w:lineRule="auto"/>
              <w:jc w:val="left"/>
              <w:rPr>
                <w:rFonts w:ascii="Calibri" w:hAnsi="Calibri" w:cs="Calibri"/>
                <w:sz w:val="18"/>
                <w:szCs w:val="22"/>
                <w:lang w:eastAsia="en-US"/>
              </w:rPr>
            </w:pP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b/>
                <w:sz w:val="18"/>
                <w:szCs w:val="22"/>
                <w:lang w:eastAsia="en-US"/>
              </w:rPr>
            </w:pPr>
            <w:r w:rsidRPr="00B64110">
              <w:rPr>
                <w:rFonts w:ascii="Calibri" w:hAnsi="Calibri" w:cs="Calibri"/>
                <w:b/>
                <w:sz w:val="18"/>
                <w:szCs w:val="22"/>
                <w:lang w:eastAsia="en-US"/>
              </w:rPr>
              <w:lastRenderedPageBreak/>
              <w:t xml:space="preserve">Hormone Replacement Therapy </w:t>
            </w:r>
          </w:p>
          <w:p w:rsidR="006379B4" w:rsidRPr="00B64110" w:rsidRDefault="006379B4" w:rsidP="00B64110">
            <w:pPr>
              <w:spacing w:after="0" w:line="240" w:lineRule="auto"/>
              <w:jc w:val="center"/>
              <w:rPr>
                <w:rFonts w:ascii="Calibri" w:hAnsi="Calibri" w:cs="Calibri"/>
                <w:b/>
                <w:i/>
                <w:sz w:val="18"/>
                <w:szCs w:val="22"/>
                <w:lang w:eastAsia="en-US"/>
              </w:rPr>
            </w:pPr>
            <w:r w:rsidRPr="00B64110">
              <w:rPr>
                <w:rFonts w:ascii="Calibri" w:hAnsi="Calibri" w:cs="Calibri"/>
                <w:b/>
                <w:sz w:val="18"/>
                <w:szCs w:val="22"/>
                <w:lang w:eastAsia="en-US"/>
              </w:rPr>
              <w:t xml:space="preserve"> </w:t>
            </w:r>
            <w:r w:rsidRPr="00B64110">
              <w:rPr>
                <w:rFonts w:ascii="Calibri" w:hAnsi="Calibri" w:cs="Calibri"/>
                <w:b/>
                <w:i/>
                <w:sz w:val="18"/>
                <w:szCs w:val="22"/>
                <w:lang w:eastAsia="en-US"/>
              </w:rPr>
              <w:t>[prevention (Grade A), treatment (Grade A)]</w:t>
            </w:r>
          </w:p>
          <w:p w:rsidR="006379B4" w:rsidRPr="00B64110" w:rsidRDefault="006379B4" w:rsidP="00B64110">
            <w:pPr>
              <w:spacing w:after="0" w:line="240" w:lineRule="auto"/>
              <w:jc w:val="center"/>
              <w:rPr>
                <w:rFonts w:ascii="Calibri" w:hAnsi="Calibri" w:cs="Calibri"/>
                <w:sz w:val="18"/>
                <w:szCs w:val="22"/>
                <w:lang w:eastAsia="en-US"/>
              </w:rPr>
            </w:pP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Prevention of postmenopausal osteoporosis when there is a high risk of fractures and alternative treatment is inappropriate</w:t>
            </w: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Breast cancer or other oestrogen-dependent tumour.</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Unexplained vaginal bleeding.</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History of endometriosis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Uterine fibroids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Migraine—may be exacerbated or relieved.</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Diabetes—HRT may improve glycaemic control</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Epilepsy</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Treatment with enzyme-inducing drugs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Smoking</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Systemic lupus </w:t>
            </w:r>
            <w:proofErr w:type="spellStart"/>
            <w:r w:rsidRPr="00B64110">
              <w:rPr>
                <w:rFonts w:ascii="Calibri" w:hAnsi="Calibri" w:cs="Calibri"/>
                <w:sz w:val="18"/>
                <w:szCs w:val="22"/>
                <w:lang w:eastAsia="en-US"/>
              </w:rPr>
              <w:t>erythematosus</w:t>
            </w:r>
            <w:proofErr w:type="spellEnd"/>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Hereditary angioedema</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breast enlargement and tenderness, abnormal mammogram, headache, depression, change in libido, irregular or breakthrough bleeding, spotting, endometrial hyperplasia (oestrogen-only HRT; infrequent with combined HRT), leg cramps, dry eye syndrome (oestrogen-only HRT; infrequent with combined HRT)</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Infrequent</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benign proliferative breast disease, breast cancer, premenstrual-like syndrome, dementia, migraine, cardiovascular events, fluid retention, oedema, increased BP, exacerbation or recurrence of endometriosis, acne, itch, nausea, increased triglycerides, gall stones</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Rare</w:t>
            </w:r>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cholestatic</w:t>
            </w:r>
            <w:proofErr w:type="spellEnd"/>
            <w:r w:rsidRPr="00B64110">
              <w:rPr>
                <w:rFonts w:ascii="Calibri" w:hAnsi="Calibri" w:cs="Calibri"/>
                <w:sz w:val="18"/>
                <w:szCs w:val="22"/>
                <w:lang w:eastAsia="en-US"/>
              </w:rPr>
              <w:t xml:space="preserve"> jaundice, pancreatitis, glucose intolerance, </w:t>
            </w:r>
            <w:proofErr w:type="spellStart"/>
            <w:r w:rsidRPr="00B64110">
              <w:rPr>
                <w:rFonts w:ascii="Calibri" w:hAnsi="Calibri" w:cs="Calibri"/>
                <w:sz w:val="18"/>
                <w:szCs w:val="22"/>
                <w:lang w:eastAsia="en-US"/>
              </w:rPr>
              <w:t>galactorrhoea</w:t>
            </w:r>
            <w:proofErr w:type="spellEnd"/>
            <w:r w:rsidRPr="00B64110">
              <w:rPr>
                <w:rFonts w:ascii="Calibri" w:hAnsi="Calibri" w:cs="Calibri"/>
                <w:sz w:val="18"/>
                <w:szCs w:val="22"/>
                <w:lang w:eastAsia="en-US"/>
              </w:rPr>
              <w:t xml:space="preserve">, visual changes, </w:t>
            </w:r>
            <w:proofErr w:type="spellStart"/>
            <w:r w:rsidRPr="00B64110">
              <w:rPr>
                <w:rFonts w:ascii="Calibri" w:hAnsi="Calibri" w:cs="Calibri"/>
                <w:sz w:val="18"/>
                <w:szCs w:val="22"/>
                <w:lang w:eastAsia="en-US"/>
              </w:rPr>
              <w:t>chloasma</w:t>
            </w:r>
            <w:proofErr w:type="spellEnd"/>
            <w:r w:rsidRPr="00B64110">
              <w:rPr>
                <w:rFonts w:ascii="Calibri" w:hAnsi="Calibri" w:cs="Calibri"/>
                <w:sz w:val="18"/>
                <w:szCs w:val="22"/>
                <w:lang w:eastAsia="en-US"/>
              </w:rPr>
              <w:t xml:space="preserve">, hypersensitivity (angioedema, </w:t>
            </w:r>
            <w:proofErr w:type="spellStart"/>
            <w:r w:rsidRPr="00B64110">
              <w:rPr>
                <w:rFonts w:ascii="Calibri" w:hAnsi="Calibri" w:cs="Calibri"/>
                <w:sz w:val="18"/>
                <w:szCs w:val="22"/>
                <w:lang w:eastAsia="en-US"/>
              </w:rPr>
              <w:t>urticaria</w:t>
            </w:r>
            <w:proofErr w:type="spellEnd"/>
            <w:r w:rsidRPr="00B64110">
              <w:rPr>
                <w:rFonts w:ascii="Calibri" w:hAnsi="Calibri" w:cs="Calibri"/>
                <w:sz w:val="18"/>
                <w:szCs w:val="22"/>
                <w:lang w:eastAsia="en-US"/>
              </w:rPr>
              <w:t xml:space="preserve">), ovarian cancer, endometrial cancer, enlargement of uterine fibroids, enlargement of hepatic </w:t>
            </w:r>
            <w:proofErr w:type="spellStart"/>
            <w:r w:rsidRPr="00B64110">
              <w:rPr>
                <w:rFonts w:ascii="Calibri" w:hAnsi="Calibri" w:cs="Calibri"/>
                <w:sz w:val="18"/>
                <w:szCs w:val="22"/>
                <w:lang w:eastAsia="en-US"/>
              </w:rPr>
              <w:t>haemangiomas</w:t>
            </w:r>
            <w:proofErr w:type="spellEnd"/>
          </w:p>
          <w:p w:rsidR="006379B4" w:rsidRPr="00B64110" w:rsidRDefault="006379B4" w:rsidP="00B64110">
            <w:pPr>
              <w:spacing w:after="0" w:line="240" w:lineRule="auto"/>
              <w:jc w:val="left"/>
              <w:rPr>
                <w:rFonts w:ascii="Calibri" w:hAnsi="Calibri" w:cs="Calibri"/>
                <w:sz w:val="18"/>
                <w:szCs w:val="22"/>
                <w:lang w:eastAsia="en-US"/>
              </w:rPr>
            </w:pP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b/>
                <w:i/>
                <w:sz w:val="18"/>
                <w:szCs w:val="22"/>
                <w:lang w:eastAsia="en-US"/>
              </w:rPr>
            </w:pPr>
            <w:r w:rsidRPr="00B64110">
              <w:rPr>
                <w:rFonts w:ascii="Calibri" w:hAnsi="Calibri" w:cs="Calibri"/>
                <w:b/>
                <w:sz w:val="18"/>
                <w:szCs w:val="22"/>
                <w:lang w:eastAsia="en-US"/>
              </w:rPr>
              <w:t>Selective oestrogen receptor modulators (SERMs);</w:t>
            </w:r>
            <w:r w:rsidRPr="00B64110">
              <w:t xml:space="preserve"> </w:t>
            </w:r>
            <w:proofErr w:type="spellStart"/>
            <w:r w:rsidRPr="00B64110">
              <w:rPr>
                <w:rFonts w:ascii="Calibri" w:hAnsi="Calibri" w:cs="Calibri"/>
                <w:b/>
                <w:i/>
                <w:sz w:val="18"/>
                <w:szCs w:val="22"/>
                <w:lang w:eastAsia="en-US"/>
              </w:rPr>
              <w:t>Raloxifene</w:t>
            </w:r>
            <w:proofErr w:type="spellEnd"/>
            <w:r w:rsidRPr="00B64110">
              <w:rPr>
                <w:rFonts w:ascii="Calibri" w:hAnsi="Calibri" w:cs="Calibri"/>
                <w:b/>
                <w:i/>
                <w:sz w:val="18"/>
                <w:szCs w:val="22"/>
                <w:lang w:eastAsia="en-US"/>
              </w:rPr>
              <w:t xml:space="preserve"> hydrochloride</w:t>
            </w:r>
            <w:r w:rsidRPr="00B64110">
              <w:rPr>
                <w:rFonts w:ascii="Calibri" w:hAnsi="Calibri" w:cs="Calibri"/>
                <w:b/>
                <w:sz w:val="18"/>
                <w:szCs w:val="22"/>
                <w:lang w:eastAsia="en-US"/>
              </w:rPr>
              <w:t xml:space="preserve"> ( </w:t>
            </w:r>
            <w:proofErr w:type="spellStart"/>
            <w:r w:rsidRPr="00B64110">
              <w:rPr>
                <w:rFonts w:ascii="Calibri" w:hAnsi="Calibri" w:cs="Calibri"/>
                <w:b/>
                <w:sz w:val="18"/>
                <w:szCs w:val="22"/>
                <w:lang w:eastAsia="en-US"/>
              </w:rPr>
              <w:t>Evista</w:t>
            </w:r>
            <w:proofErr w:type="spellEnd"/>
            <w:r w:rsidRPr="00B64110">
              <w:rPr>
                <w:rFonts w:ascii="Calibri" w:hAnsi="Calibri" w:cs="Calibri"/>
                <w:b/>
                <w:i/>
                <w:sz w:val="18"/>
                <w:szCs w:val="22"/>
                <w:lang w:eastAsia="en-US"/>
              </w:rPr>
              <w:t>)</w:t>
            </w:r>
          </w:p>
          <w:p w:rsidR="006379B4" w:rsidRPr="00B64110" w:rsidRDefault="006379B4" w:rsidP="00B64110">
            <w:pPr>
              <w:spacing w:after="0" w:line="240" w:lineRule="auto"/>
              <w:jc w:val="center"/>
              <w:rPr>
                <w:rFonts w:ascii="Calibri" w:hAnsi="Calibri" w:cs="Calibri"/>
                <w:b/>
                <w:i/>
                <w:sz w:val="18"/>
                <w:szCs w:val="22"/>
                <w:lang w:eastAsia="en-US"/>
              </w:rPr>
            </w:pPr>
            <w:r w:rsidRPr="00B64110">
              <w:rPr>
                <w:rFonts w:ascii="Calibri" w:hAnsi="Calibri" w:cs="Calibri"/>
                <w:b/>
                <w:i/>
                <w:sz w:val="18"/>
                <w:szCs w:val="22"/>
                <w:lang w:eastAsia="en-US"/>
              </w:rPr>
              <w:t>[treatment (Grade A)]</w:t>
            </w:r>
          </w:p>
          <w:p w:rsidR="006379B4" w:rsidRPr="00B64110" w:rsidRDefault="006379B4" w:rsidP="00B64110">
            <w:pPr>
              <w:spacing w:after="0" w:line="240" w:lineRule="auto"/>
              <w:jc w:val="center"/>
              <w:rPr>
                <w:rFonts w:ascii="Calibri" w:hAnsi="Calibri" w:cs="Calibri"/>
                <w:i/>
                <w:sz w:val="18"/>
                <w:szCs w:val="22"/>
                <w:lang w:eastAsia="en-US"/>
              </w:rPr>
            </w:pPr>
            <w:r w:rsidRPr="00B64110">
              <w:rPr>
                <w:rFonts w:ascii="Calibri" w:hAnsi="Calibri" w:cs="Calibri"/>
                <w:sz w:val="18"/>
                <w:szCs w:val="22"/>
                <w:lang w:eastAsia="en-US"/>
              </w:rPr>
              <w:t xml:space="preserve">ARTG: </w:t>
            </w:r>
            <w:proofErr w:type="spellStart"/>
            <w:r w:rsidRPr="00B64110">
              <w:rPr>
                <w:rFonts w:ascii="Calibri" w:hAnsi="Calibri" w:cs="Calibri"/>
                <w:sz w:val="18"/>
                <w:szCs w:val="22"/>
                <w:lang w:eastAsia="en-US"/>
              </w:rPr>
              <w:t>Evista</w:t>
            </w:r>
            <w:proofErr w:type="spellEnd"/>
            <w:r w:rsidRPr="00B64110">
              <w:rPr>
                <w:rFonts w:ascii="Calibri" w:hAnsi="Calibri" w:cs="Calibri"/>
                <w:sz w:val="18"/>
                <w:szCs w:val="22"/>
                <w:lang w:eastAsia="en-US"/>
              </w:rPr>
              <w:t>:</w:t>
            </w:r>
            <w:r w:rsidRPr="00B64110">
              <w:t xml:space="preserve"> </w:t>
            </w:r>
            <w:r w:rsidRPr="00B64110">
              <w:rPr>
                <w:rFonts w:ascii="Calibri" w:hAnsi="Calibri" w:cs="Calibri"/>
                <w:sz w:val="18"/>
                <w:szCs w:val="22"/>
                <w:lang w:eastAsia="en-US"/>
              </w:rPr>
              <w:t xml:space="preserve">64709; </w:t>
            </w:r>
            <w:proofErr w:type="spellStart"/>
            <w:r w:rsidRPr="00B64110">
              <w:rPr>
                <w:rFonts w:ascii="Calibri" w:hAnsi="Calibri" w:cs="Calibri"/>
                <w:sz w:val="18"/>
                <w:szCs w:val="22"/>
                <w:lang w:eastAsia="en-US"/>
              </w:rPr>
              <w:t>Femarelle</w:t>
            </w:r>
            <w:proofErr w:type="spellEnd"/>
            <w:r w:rsidRPr="00B64110">
              <w:rPr>
                <w:rFonts w:ascii="Calibri" w:hAnsi="Calibri" w:cs="Calibri"/>
                <w:sz w:val="18"/>
                <w:szCs w:val="22"/>
                <w:lang w:eastAsia="en-US"/>
              </w:rPr>
              <w:t>: 161797</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For the symptomatic relief of menopause.</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Maintenance of bone </w:t>
            </w:r>
            <w:proofErr w:type="spellStart"/>
            <w:r w:rsidRPr="00B64110">
              <w:rPr>
                <w:rFonts w:ascii="Calibri" w:hAnsi="Calibri" w:cs="Calibri"/>
                <w:sz w:val="18"/>
                <w:szCs w:val="22"/>
                <w:lang w:eastAsia="en-US"/>
              </w:rPr>
              <w:t>health</w:t>
            </w:r>
            <w:proofErr w:type="gramStart"/>
            <w:r w:rsidRPr="00B64110">
              <w:rPr>
                <w:rFonts w:ascii="Calibri" w:hAnsi="Calibri" w:cs="Calibri"/>
                <w:sz w:val="18"/>
                <w:szCs w:val="22"/>
                <w:lang w:eastAsia="en-US"/>
              </w:rPr>
              <w:t>,indicated</w:t>
            </w:r>
            <w:proofErr w:type="spellEnd"/>
            <w:proofErr w:type="gramEnd"/>
            <w:r w:rsidRPr="00B64110">
              <w:rPr>
                <w:rFonts w:ascii="Calibri" w:hAnsi="Calibri" w:cs="Calibri"/>
                <w:sz w:val="18"/>
                <w:szCs w:val="22"/>
                <w:lang w:eastAsia="en-US"/>
              </w:rPr>
              <w:t xml:space="preserve"> for the prevention and treatment of osteoporosis. </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Hormone receptor-positive breast cancer</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Venous thromboembolism (VTE) —contraindicated in patients with a history of VTE or risk factors for </w:t>
            </w:r>
            <w:proofErr w:type="gramStart"/>
            <w:r w:rsidRPr="00B64110">
              <w:rPr>
                <w:rFonts w:ascii="Calibri" w:hAnsi="Calibri" w:cs="Calibri"/>
                <w:sz w:val="18"/>
                <w:szCs w:val="22"/>
                <w:lang w:eastAsia="en-US"/>
              </w:rPr>
              <w:t>VTE .</w:t>
            </w:r>
            <w:proofErr w:type="gramEnd"/>
            <w:r w:rsidRPr="00B64110">
              <w:rPr>
                <w:rFonts w:ascii="Calibri" w:hAnsi="Calibri" w:cs="Calibri"/>
                <w:sz w:val="18"/>
                <w:szCs w:val="22"/>
                <w:lang w:eastAsia="en-US"/>
              </w:rPr>
              <w:t xml:space="preserve"> Prolonged immobilisation—increases risk of VTE.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Women with or at risk of coronary heart disease—increased risk of VTE or fatal stroke.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History of </w:t>
            </w:r>
            <w:proofErr w:type="spellStart"/>
            <w:r w:rsidRPr="00B64110">
              <w:rPr>
                <w:rFonts w:ascii="Calibri" w:hAnsi="Calibri" w:cs="Calibri"/>
                <w:sz w:val="18"/>
                <w:szCs w:val="22"/>
                <w:lang w:eastAsia="en-US"/>
              </w:rPr>
              <w:t>hypertriglyceridaemia</w:t>
            </w:r>
            <w:proofErr w:type="spellEnd"/>
            <w:r w:rsidRPr="00B64110">
              <w:rPr>
                <w:rFonts w:ascii="Calibri" w:hAnsi="Calibri" w:cs="Calibri"/>
                <w:sz w:val="18"/>
                <w:szCs w:val="22"/>
                <w:lang w:eastAsia="en-US"/>
              </w:rPr>
              <w:t xml:space="preserve"> induced by oestrogens—increased risk of </w:t>
            </w:r>
            <w:proofErr w:type="spellStart"/>
            <w:r w:rsidRPr="00B64110">
              <w:rPr>
                <w:rFonts w:ascii="Calibri" w:hAnsi="Calibri" w:cs="Calibri"/>
                <w:sz w:val="18"/>
                <w:szCs w:val="22"/>
                <w:lang w:eastAsia="en-US"/>
              </w:rPr>
              <w:t>hypertriglyceridaemia</w:t>
            </w:r>
            <w:proofErr w:type="spellEnd"/>
            <w:r w:rsidRPr="00B64110">
              <w:rPr>
                <w:rFonts w:ascii="Calibri" w:hAnsi="Calibri" w:cs="Calibri"/>
                <w:sz w:val="18"/>
                <w:szCs w:val="22"/>
                <w:lang w:eastAsia="en-US"/>
              </w:rPr>
              <w:t>.</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History of breast cancer—</w:t>
            </w:r>
            <w:proofErr w:type="spellStart"/>
            <w:r w:rsidRPr="00B64110">
              <w:rPr>
                <w:rFonts w:ascii="Calibri" w:hAnsi="Calibri" w:cs="Calibri"/>
                <w:sz w:val="18"/>
                <w:szCs w:val="22"/>
                <w:lang w:eastAsia="en-US"/>
              </w:rPr>
              <w:t>raloxifene</w:t>
            </w:r>
            <w:proofErr w:type="spellEnd"/>
            <w:r w:rsidRPr="00B64110">
              <w:rPr>
                <w:rFonts w:ascii="Calibri" w:hAnsi="Calibri" w:cs="Calibri"/>
                <w:sz w:val="18"/>
                <w:szCs w:val="22"/>
                <w:lang w:eastAsia="en-US"/>
              </w:rPr>
              <w:t xml:space="preserve"> is not indicated for treating, or reducing risk of recurrence of, breast cancer.</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hepatic impairment</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Surgery</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Pregnancy</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Breastfeeding</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Contraindicated.</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hot flushes, sweating, leg cramps, peripheral oedema, sleep disorders</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Infrequent</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VTE</w:t>
            </w:r>
          </w:p>
          <w:p w:rsidR="006379B4" w:rsidRPr="00B64110" w:rsidRDefault="006379B4" w:rsidP="00B64110">
            <w:pPr>
              <w:spacing w:after="0" w:line="240" w:lineRule="auto"/>
              <w:jc w:val="left"/>
              <w:rPr>
                <w:rFonts w:ascii="Calibri" w:hAnsi="Calibri" w:cs="Calibri"/>
                <w:sz w:val="18"/>
                <w:szCs w:val="22"/>
                <w:lang w:eastAsia="en-US"/>
              </w:rPr>
            </w:pP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b/>
                <w:i/>
                <w:sz w:val="18"/>
                <w:szCs w:val="22"/>
                <w:lang w:eastAsia="en-US"/>
              </w:rPr>
            </w:pPr>
            <w:r w:rsidRPr="00B64110">
              <w:rPr>
                <w:rFonts w:ascii="Calibri" w:hAnsi="Calibri" w:cs="Calibri"/>
                <w:b/>
                <w:sz w:val="18"/>
                <w:szCs w:val="22"/>
                <w:lang w:eastAsia="en-US"/>
              </w:rPr>
              <w:lastRenderedPageBreak/>
              <w:t xml:space="preserve">Monoclonal antibodies; </w:t>
            </w:r>
            <w:proofErr w:type="spellStart"/>
            <w:r w:rsidRPr="00B64110">
              <w:rPr>
                <w:rFonts w:ascii="Calibri" w:hAnsi="Calibri" w:cs="Calibri"/>
                <w:b/>
                <w:i/>
                <w:sz w:val="18"/>
                <w:szCs w:val="22"/>
                <w:lang w:eastAsia="en-US"/>
              </w:rPr>
              <w:t>Denosumab</w:t>
            </w:r>
            <w:proofErr w:type="spellEnd"/>
            <w:r w:rsidRPr="00B64110">
              <w:rPr>
                <w:rFonts w:ascii="Calibri" w:hAnsi="Calibri" w:cs="Calibri"/>
                <w:b/>
                <w:i/>
                <w:sz w:val="18"/>
                <w:szCs w:val="22"/>
                <w:lang w:eastAsia="en-US"/>
              </w:rPr>
              <w:t xml:space="preserve"> (</w:t>
            </w:r>
            <w:proofErr w:type="spellStart"/>
            <w:r w:rsidRPr="00B64110">
              <w:rPr>
                <w:rFonts w:ascii="Calibri" w:hAnsi="Calibri" w:cs="Calibri"/>
                <w:b/>
                <w:sz w:val="18"/>
                <w:szCs w:val="22"/>
                <w:lang w:eastAsia="en-US"/>
              </w:rPr>
              <w:t>Prolia</w:t>
            </w:r>
            <w:proofErr w:type="spellEnd"/>
            <w:r w:rsidRPr="00B64110">
              <w:rPr>
                <w:rFonts w:ascii="Calibri" w:hAnsi="Calibri" w:cs="Calibri"/>
                <w:b/>
                <w:sz w:val="18"/>
                <w:szCs w:val="22"/>
                <w:lang w:eastAsia="en-US"/>
              </w:rPr>
              <w:t>)</w:t>
            </w:r>
          </w:p>
          <w:p w:rsidR="006379B4" w:rsidRPr="00B64110" w:rsidRDefault="006379B4" w:rsidP="00B64110">
            <w:pPr>
              <w:spacing w:after="0" w:line="240" w:lineRule="auto"/>
              <w:jc w:val="center"/>
              <w:rPr>
                <w:rFonts w:ascii="Calibri" w:hAnsi="Calibri" w:cs="Calibri"/>
                <w:b/>
                <w:sz w:val="18"/>
                <w:szCs w:val="22"/>
                <w:lang w:eastAsia="en-US"/>
              </w:rPr>
            </w:pPr>
            <w:r w:rsidRPr="00B64110">
              <w:rPr>
                <w:rFonts w:ascii="Calibri" w:hAnsi="Calibri" w:cs="Calibri"/>
                <w:b/>
                <w:sz w:val="18"/>
                <w:szCs w:val="22"/>
                <w:lang w:eastAsia="en-US"/>
              </w:rPr>
              <w:t xml:space="preserve"> </w:t>
            </w:r>
            <w:r w:rsidRPr="00B64110">
              <w:rPr>
                <w:rFonts w:ascii="Calibri" w:hAnsi="Calibri" w:cs="Calibri"/>
                <w:sz w:val="18"/>
                <w:szCs w:val="22"/>
                <w:lang w:eastAsia="en-US"/>
              </w:rPr>
              <w:t>ARTG: 159322,159323, 159324</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Treatment of postmenopausal osteoporosis</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Hypocalcaemia</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Renal increased risk of hypocalcaemia if </w:t>
            </w:r>
            <w:proofErr w:type="spellStart"/>
            <w:r w:rsidRPr="00B64110">
              <w:rPr>
                <w:rFonts w:ascii="Calibri" w:hAnsi="Calibri" w:cs="Calibri"/>
                <w:sz w:val="18"/>
                <w:szCs w:val="22"/>
                <w:lang w:eastAsia="en-US"/>
              </w:rPr>
              <w:t>CrCl</w:t>
            </w:r>
            <w:proofErr w:type="spellEnd"/>
            <w:r w:rsidRPr="00B64110">
              <w:rPr>
                <w:rFonts w:ascii="Calibri" w:hAnsi="Calibri" w:cs="Calibri"/>
                <w:sz w:val="18"/>
                <w:szCs w:val="22"/>
                <w:lang w:eastAsia="en-US"/>
              </w:rPr>
              <w:t xml:space="preserve"> &lt;30 mL/minute.</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eczema, </w:t>
            </w:r>
            <w:proofErr w:type="spellStart"/>
            <w:r w:rsidRPr="00B64110">
              <w:rPr>
                <w:rFonts w:ascii="Calibri" w:hAnsi="Calibri" w:cs="Calibri"/>
                <w:sz w:val="18"/>
                <w:szCs w:val="22"/>
                <w:lang w:eastAsia="en-US"/>
              </w:rPr>
              <w:t>hypercholesterolaemia</w:t>
            </w:r>
            <w:proofErr w:type="spellEnd"/>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Infrequent</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skin infections (mainly cellulitis)</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Rare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hypocalcaemia, osteonecrosis of the jaw</w:t>
            </w: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i/>
                <w:sz w:val="18"/>
                <w:szCs w:val="22"/>
                <w:lang w:eastAsia="en-US"/>
              </w:rPr>
            </w:pPr>
            <w:proofErr w:type="spellStart"/>
            <w:r w:rsidRPr="00B64110">
              <w:rPr>
                <w:rFonts w:ascii="Calibri" w:hAnsi="Calibri" w:cs="Calibri"/>
                <w:b/>
                <w:sz w:val="18"/>
                <w:szCs w:val="22"/>
                <w:lang w:eastAsia="en-US"/>
              </w:rPr>
              <w:t>Teriparatide</w:t>
            </w:r>
            <w:proofErr w:type="spellEnd"/>
            <w:r w:rsidRPr="00B64110">
              <w:rPr>
                <w:rFonts w:ascii="Calibri" w:hAnsi="Calibri" w:cs="Calibri"/>
                <w:b/>
                <w:sz w:val="18"/>
                <w:szCs w:val="22"/>
                <w:lang w:eastAsia="en-US"/>
              </w:rPr>
              <w:t xml:space="preserve"> (</w:t>
            </w:r>
            <w:proofErr w:type="spellStart"/>
            <w:r w:rsidRPr="00B64110">
              <w:rPr>
                <w:rFonts w:ascii="Calibri" w:hAnsi="Calibri" w:cs="Calibri"/>
                <w:b/>
                <w:sz w:val="18"/>
                <w:szCs w:val="22"/>
                <w:lang w:eastAsia="en-US"/>
              </w:rPr>
              <w:t>Forteo</w:t>
            </w:r>
            <w:proofErr w:type="spellEnd"/>
            <w:r w:rsidRPr="00B64110">
              <w:rPr>
                <w:rFonts w:ascii="Calibri" w:hAnsi="Calibri" w:cs="Calibri"/>
                <w:b/>
                <w:sz w:val="18"/>
                <w:szCs w:val="22"/>
                <w:lang w:eastAsia="en-US"/>
              </w:rPr>
              <w:t>) (parathyroid hormone)</w:t>
            </w:r>
            <w:r w:rsidRPr="00B64110">
              <w:rPr>
                <w:rFonts w:ascii="Calibri" w:hAnsi="Calibri" w:cs="Calibri"/>
                <w:i/>
                <w:sz w:val="18"/>
                <w:szCs w:val="22"/>
                <w:lang w:eastAsia="en-US"/>
              </w:rPr>
              <w:t xml:space="preserve"> [treatment – (Grade A)]</w:t>
            </w:r>
          </w:p>
          <w:p w:rsidR="006379B4" w:rsidRPr="00B64110" w:rsidRDefault="006379B4" w:rsidP="00B64110">
            <w:pPr>
              <w:spacing w:after="0" w:line="240" w:lineRule="auto"/>
              <w:jc w:val="center"/>
              <w:rPr>
                <w:rFonts w:ascii="Calibri" w:hAnsi="Calibri" w:cs="Calibri"/>
                <w:sz w:val="18"/>
                <w:szCs w:val="22"/>
                <w:lang w:eastAsia="en-US"/>
              </w:rPr>
            </w:pPr>
            <w:r w:rsidRPr="00B64110">
              <w:rPr>
                <w:rFonts w:ascii="Calibri" w:hAnsi="Calibri" w:cs="Calibri"/>
                <w:sz w:val="18"/>
                <w:szCs w:val="22"/>
                <w:lang w:eastAsia="en-US"/>
              </w:rPr>
              <w:t>ARTG:</w:t>
            </w:r>
            <w:r w:rsidRPr="00B64110">
              <w:t xml:space="preserve"> </w:t>
            </w:r>
            <w:r w:rsidRPr="00B64110">
              <w:rPr>
                <w:rFonts w:ascii="Calibri" w:hAnsi="Calibri" w:cs="Calibri"/>
                <w:sz w:val="18"/>
                <w:szCs w:val="22"/>
                <w:lang w:eastAsia="en-US"/>
              </w:rPr>
              <w:t>80333</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Postmenopausal osteoporosis when there is a high risk of fractures and other agents are unsuitable</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Primary osteoporosis in men when there is a high risk of fractures and other agents are unsuitable</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Corticosteroid-induced osteoporosis in patients at high risk of fractures</w:t>
            </w:r>
          </w:p>
          <w:p w:rsidR="006379B4" w:rsidRPr="00B64110" w:rsidRDefault="006379B4" w:rsidP="00B64110">
            <w:pPr>
              <w:spacing w:after="0" w:line="240" w:lineRule="auto"/>
              <w:jc w:val="left"/>
              <w:rPr>
                <w:rFonts w:ascii="Calibri" w:hAnsi="Calibri" w:cs="Calibri"/>
                <w:b/>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Paget's disease of bone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Hyperparathyroidism</w:t>
            </w:r>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Urolithiasis</w:t>
            </w:r>
            <w:proofErr w:type="spellEnd"/>
            <w:r w:rsidRPr="00B64110">
              <w:rPr>
                <w:rFonts w:ascii="Calibri" w:hAnsi="Calibri" w:cs="Calibri"/>
                <w:sz w:val="18"/>
                <w:szCs w:val="22"/>
                <w:lang w:eastAsia="en-US"/>
              </w:rPr>
              <w:t xml:space="preserve">, </w:t>
            </w:r>
            <w:proofErr w:type="spellStart"/>
            <w:r w:rsidRPr="00B64110">
              <w:rPr>
                <w:rFonts w:ascii="Calibri" w:hAnsi="Calibri" w:cs="Calibri"/>
                <w:sz w:val="18"/>
                <w:szCs w:val="22"/>
                <w:lang w:eastAsia="en-US"/>
              </w:rPr>
              <w:t>hypercalcaemia</w:t>
            </w:r>
            <w:proofErr w:type="spellEnd"/>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Skeletal malignancies, history of skeletal radiation treatment, unexplained increases in ALP—manufacturer discourages use.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Treatment with alendronate—may reduce the effectiveness of </w:t>
            </w:r>
            <w:proofErr w:type="spellStart"/>
            <w:r w:rsidRPr="00B64110">
              <w:rPr>
                <w:rFonts w:ascii="Calibri" w:hAnsi="Calibri" w:cs="Calibri"/>
                <w:sz w:val="18"/>
                <w:szCs w:val="22"/>
                <w:lang w:eastAsia="en-US"/>
              </w:rPr>
              <w:t>teriparatide</w:t>
            </w:r>
            <w:proofErr w:type="spellEnd"/>
            <w:r w:rsidRPr="00B64110">
              <w:rPr>
                <w:rFonts w:ascii="Calibri" w:hAnsi="Calibri" w:cs="Calibri"/>
                <w:sz w:val="18"/>
                <w:szCs w:val="22"/>
                <w:lang w:eastAsia="en-US"/>
              </w:rPr>
              <w:t>; combination not recommended. Effect of combination with other bisphosphonates is not known.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Renal</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Limited clinical experience in renal impairment; avoid if </w:t>
            </w:r>
            <w:proofErr w:type="spellStart"/>
            <w:r w:rsidRPr="00B64110">
              <w:rPr>
                <w:rFonts w:ascii="Calibri" w:hAnsi="Calibri" w:cs="Calibri"/>
                <w:sz w:val="18"/>
                <w:szCs w:val="22"/>
                <w:lang w:eastAsia="en-US"/>
              </w:rPr>
              <w:t>CrCl</w:t>
            </w:r>
            <w:proofErr w:type="spellEnd"/>
            <w:r w:rsidRPr="00B64110">
              <w:rPr>
                <w:rFonts w:ascii="Calibri" w:hAnsi="Calibri" w:cs="Calibri"/>
                <w:sz w:val="18"/>
                <w:szCs w:val="22"/>
                <w:lang w:eastAsia="en-US"/>
              </w:rPr>
              <w:t xml:space="preserve"> &lt;30mL/minute.</w:t>
            </w:r>
          </w:p>
          <w:p w:rsidR="006379B4" w:rsidRPr="00B64110" w:rsidRDefault="006379B4" w:rsidP="00B64110">
            <w:pPr>
              <w:spacing w:after="0" w:line="240" w:lineRule="auto"/>
              <w:jc w:val="left"/>
              <w:rPr>
                <w:rFonts w:ascii="Calibri" w:hAnsi="Calibri" w:cs="Calibri"/>
                <w:sz w:val="18"/>
                <w:szCs w:val="22"/>
                <w:lang w:eastAsia="en-US"/>
              </w:rPr>
            </w:pPr>
            <w:proofErr w:type="gramStart"/>
            <w:r w:rsidRPr="00B64110">
              <w:rPr>
                <w:rFonts w:ascii="Calibri" w:hAnsi="Calibri" w:cs="Calibri"/>
                <w:sz w:val="18"/>
                <w:szCs w:val="22"/>
                <w:lang w:eastAsia="en-US"/>
              </w:rPr>
              <w:t>manufacturer</w:t>
            </w:r>
            <w:proofErr w:type="gramEnd"/>
            <w:r w:rsidRPr="00B64110">
              <w:rPr>
                <w:rFonts w:ascii="Calibri" w:hAnsi="Calibri" w:cs="Calibri"/>
                <w:sz w:val="18"/>
                <w:szCs w:val="22"/>
                <w:lang w:eastAsia="en-US"/>
              </w:rPr>
              <w:t xml:space="preserve"> discourages use in children and young adults with open epiphyses.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Avoid in women planning to conceive or who are not using adequate contraception.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Pregnancy</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Breastfeeding</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b/>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nausea, headache, dizziness, muscle cramp, arthralgia, </w:t>
            </w:r>
            <w:proofErr w:type="spellStart"/>
            <w:r w:rsidRPr="00B64110">
              <w:rPr>
                <w:rFonts w:ascii="Calibri" w:hAnsi="Calibri" w:cs="Calibri"/>
                <w:sz w:val="18"/>
                <w:szCs w:val="22"/>
                <w:lang w:eastAsia="en-US"/>
              </w:rPr>
              <w:t>hyperuricaemia</w:t>
            </w:r>
            <w:proofErr w:type="spellEnd"/>
            <w:r w:rsidRPr="00B64110">
              <w:rPr>
                <w:rFonts w:ascii="Calibri" w:hAnsi="Calibri" w:cs="Calibri"/>
                <w:sz w:val="18"/>
                <w:szCs w:val="22"/>
                <w:lang w:eastAsia="en-US"/>
              </w:rPr>
              <w:t>, injection site reactions</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Infrequent</w:t>
            </w:r>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hypercalcaemia</w:t>
            </w:r>
            <w:proofErr w:type="spellEnd"/>
            <w:r w:rsidRPr="00B64110">
              <w:rPr>
                <w:rFonts w:ascii="Calibri" w:hAnsi="Calibri" w:cs="Calibri"/>
                <w:sz w:val="18"/>
                <w:szCs w:val="22"/>
                <w:lang w:eastAsia="en-US"/>
              </w:rPr>
              <w:t>, myalgia, increased ALP</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Rare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allergic reactions</w:t>
            </w:r>
          </w:p>
          <w:p w:rsidR="006379B4" w:rsidRPr="00B64110" w:rsidRDefault="006379B4" w:rsidP="00B64110">
            <w:pPr>
              <w:spacing w:after="0" w:line="240" w:lineRule="auto"/>
              <w:jc w:val="left"/>
              <w:rPr>
                <w:rFonts w:ascii="Calibri" w:hAnsi="Calibri" w:cs="Calibri"/>
                <w:b/>
                <w:sz w:val="18"/>
                <w:szCs w:val="22"/>
                <w:lang w:eastAsia="en-US"/>
              </w:rPr>
            </w:pP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sz w:val="18"/>
                <w:szCs w:val="22"/>
                <w:lang w:eastAsia="en-US"/>
              </w:rPr>
            </w:pPr>
            <w:r w:rsidRPr="00B64110">
              <w:rPr>
                <w:rFonts w:ascii="Calibri" w:hAnsi="Calibri" w:cs="Calibri"/>
                <w:b/>
                <w:sz w:val="18"/>
                <w:szCs w:val="22"/>
                <w:lang w:eastAsia="en-US"/>
              </w:rPr>
              <w:t xml:space="preserve">Strontium </w:t>
            </w:r>
            <w:proofErr w:type="spellStart"/>
            <w:r w:rsidRPr="00B64110">
              <w:rPr>
                <w:rFonts w:ascii="Calibri" w:hAnsi="Calibri" w:cs="Calibri"/>
                <w:b/>
                <w:sz w:val="18"/>
                <w:szCs w:val="22"/>
                <w:lang w:eastAsia="en-US"/>
              </w:rPr>
              <w:t>Ranelate</w:t>
            </w:r>
            <w:proofErr w:type="spellEnd"/>
            <w:r w:rsidRPr="00B64110">
              <w:rPr>
                <w:rFonts w:ascii="Calibri" w:hAnsi="Calibri" w:cs="Calibri"/>
                <w:b/>
                <w:sz w:val="18"/>
                <w:szCs w:val="22"/>
                <w:lang w:eastAsia="en-US"/>
              </w:rPr>
              <w:t xml:space="preserve"> </w:t>
            </w:r>
            <w:r w:rsidRPr="00B64110">
              <w:rPr>
                <w:rFonts w:ascii="Calibri" w:hAnsi="Calibri" w:cs="Calibri"/>
                <w:i/>
                <w:sz w:val="18"/>
                <w:szCs w:val="22"/>
                <w:lang w:eastAsia="en-US"/>
              </w:rPr>
              <w:t>(</w:t>
            </w:r>
            <w:proofErr w:type="spellStart"/>
            <w:r w:rsidRPr="00B64110">
              <w:rPr>
                <w:rFonts w:ascii="Calibri" w:hAnsi="Calibri" w:cs="Calibri"/>
                <w:b/>
                <w:sz w:val="18"/>
                <w:szCs w:val="22"/>
                <w:lang w:eastAsia="en-US"/>
              </w:rPr>
              <w:t>Protos</w:t>
            </w:r>
            <w:proofErr w:type="spellEnd"/>
            <w:r w:rsidRPr="00B64110">
              <w:rPr>
                <w:rFonts w:ascii="Calibri" w:hAnsi="Calibri" w:cs="Calibri"/>
                <w:sz w:val="18"/>
                <w:szCs w:val="22"/>
                <w:lang w:eastAsia="en-US"/>
              </w:rPr>
              <w:t>)</w:t>
            </w:r>
          </w:p>
          <w:p w:rsidR="006379B4" w:rsidRPr="00B64110" w:rsidRDefault="006379B4" w:rsidP="00B64110">
            <w:pPr>
              <w:spacing w:after="0" w:line="240" w:lineRule="auto"/>
              <w:jc w:val="center"/>
              <w:rPr>
                <w:rFonts w:ascii="Calibri" w:hAnsi="Calibri" w:cs="Calibri"/>
                <w:sz w:val="18"/>
                <w:szCs w:val="22"/>
                <w:lang w:eastAsia="en-US"/>
              </w:rPr>
            </w:pPr>
            <w:r w:rsidRPr="00B64110">
              <w:rPr>
                <w:rFonts w:ascii="Calibri" w:hAnsi="Calibri" w:cs="Calibri"/>
                <w:sz w:val="18"/>
                <w:szCs w:val="22"/>
                <w:lang w:eastAsia="en-US"/>
              </w:rPr>
              <w:t xml:space="preserve"> </w:t>
            </w:r>
            <w:r w:rsidRPr="00B64110">
              <w:rPr>
                <w:rFonts w:ascii="Calibri" w:hAnsi="Calibri" w:cs="Calibri"/>
                <w:i/>
                <w:sz w:val="18"/>
                <w:szCs w:val="22"/>
                <w:lang w:eastAsia="en-US"/>
              </w:rPr>
              <w:t xml:space="preserve"> [treatment – (Grade A)]</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Treatment of postmenopausal osteoporosis to reduce the risk of fracture.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Treatment of osteoporosis in men at increased risk of fracture.</w:t>
            </w:r>
          </w:p>
        </w:tc>
        <w:tc>
          <w:tcPr>
            <w:tcW w:w="3081" w:type="dxa"/>
            <w:tcBorders>
              <w:left w:val="nil"/>
              <w:right w:val="nil"/>
            </w:tcBorders>
          </w:tcPr>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 xml:space="preserve">Known hypersensitivity to strontium </w:t>
            </w:r>
            <w:proofErr w:type="spellStart"/>
            <w:r w:rsidRPr="00B64110">
              <w:rPr>
                <w:rFonts w:ascii="Calibri" w:hAnsi="Calibri" w:cs="Calibri"/>
                <w:color w:val="000000"/>
                <w:sz w:val="18"/>
                <w:szCs w:val="18"/>
                <w:lang w:eastAsia="en-US"/>
              </w:rPr>
              <w:t>ranelate</w:t>
            </w:r>
            <w:proofErr w:type="spellEnd"/>
            <w:r w:rsidRPr="00B64110">
              <w:rPr>
                <w:rFonts w:ascii="Calibri" w:hAnsi="Calibri" w:cs="Calibri"/>
                <w:color w:val="000000"/>
                <w:sz w:val="18"/>
                <w:szCs w:val="18"/>
                <w:lang w:eastAsia="en-US"/>
              </w:rPr>
              <w:t xml:space="preserve"> or to any of the excipients</w:t>
            </w: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Severe renal impairment (see Pharmacokinetics – Special Populations)</w:t>
            </w: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Current or previous venous thromboembolic events (VTE), including deep vein thrombosis and pulmonary embolism.</w:t>
            </w: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 xml:space="preserve">Temporary or permanent immobilisation (e.g. post-surgical recovery or prolonged bed rest).um </w:t>
            </w:r>
            <w:proofErr w:type="spellStart"/>
            <w:r w:rsidRPr="00B64110">
              <w:rPr>
                <w:rFonts w:ascii="Calibri" w:hAnsi="Calibri" w:cs="Calibri"/>
                <w:color w:val="000000"/>
                <w:sz w:val="18"/>
                <w:szCs w:val="18"/>
                <w:lang w:eastAsia="en-US"/>
              </w:rPr>
              <w:lastRenderedPageBreak/>
              <w:t>ranelate</w:t>
            </w:r>
            <w:proofErr w:type="spellEnd"/>
            <w:r w:rsidRPr="00B64110">
              <w:rPr>
                <w:rFonts w:ascii="Calibri" w:hAnsi="Calibri" w:cs="Calibri"/>
                <w:color w:val="000000"/>
                <w:sz w:val="18"/>
                <w:szCs w:val="18"/>
                <w:lang w:eastAsia="en-US"/>
              </w:rPr>
              <w:t xml:space="preserve"> or to any of the excipients </w:t>
            </w: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 xml:space="preserve">Severe renal impairment (see Pharmacokinetics – Special Populations) </w:t>
            </w: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 xml:space="preserve">Current or previous venous thromboembolic events (VTE), including deep vein thrombosis and pulmonary embolism. </w:t>
            </w: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p>
          <w:p w:rsidR="006379B4" w:rsidRPr="00B64110" w:rsidRDefault="006379B4" w:rsidP="00B64110">
            <w:pPr>
              <w:autoSpaceDE w:val="0"/>
              <w:autoSpaceDN w:val="0"/>
              <w:adjustRightInd w:val="0"/>
              <w:spacing w:after="0" w:line="240" w:lineRule="auto"/>
              <w:jc w:val="left"/>
              <w:rPr>
                <w:rFonts w:ascii="Calibri" w:hAnsi="Calibri" w:cs="Calibri"/>
                <w:color w:val="000000"/>
                <w:sz w:val="18"/>
                <w:szCs w:val="18"/>
                <w:lang w:eastAsia="en-US"/>
              </w:rPr>
            </w:pPr>
            <w:r w:rsidRPr="00B64110">
              <w:rPr>
                <w:rFonts w:ascii="Calibri" w:hAnsi="Calibri" w:cs="Calibri"/>
                <w:color w:val="000000"/>
                <w:sz w:val="18"/>
                <w:szCs w:val="18"/>
                <w:lang w:eastAsia="en-US"/>
              </w:rPr>
              <w:t xml:space="preserve">· Temporary or permanent immobilisation (e.g. post-surgical recovery or prolonged bed rest). </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lastRenderedPageBreak/>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Headache, disturbances in consciousness, memory loss, nausea, diarrhoea, loose stools, venous thromboembolism, blood </w:t>
            </w:r>
            <w:proofErr w:type="spellStart"/>
            <w:r w:rsidRPr="00B64110">
              <w:rPr>
                <w:rFonts w:ascii="Calibri" w:hAnsi="Calibri" w:cs="Calibri"/>
                <w:sz w:val="18"/>
                <w:szCs w:val="22"/>
                <w:lang w:eastAsia="en-US"/>
              </w:rPr>
              <w:t>creatinine</w:t>
            </w:r>
            <w:proofErr w:type="spellEnd"/>
            <w:r w:rsidRPr="00B64110">
              <w:rPr>
                <w:rFonts w:ascii="Calibri" w:hAnsi="Calibri" w:cs="Calibri"/>
                <w:sz w:val="18"/>
                <w:szCs w:val="22"/>
                <w:lang w:eastAsia="en-US"/>
              </w:rPr>
              <w:t xml:space="preserve"> phosphokinase (CPK) increase</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Uncommon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Seizures.</w:t>
            </w:r>
          </w:p>
          <w:p w:rsidR="006379B4" w:rsidRPr="00B64110" w:rsidRDefault="006379B4" w:rsidP="00B64110">
            <w:pPr>
              <w:spacing w:after="0" w:line="240" w:lineRule="auto"/>
              <w:jc w:val="left"/>
              <w:rPr>
                <w:rFonts w:ascii="Calibri" w:hAnsi="Calibri" w:cs="Calibri"/>
                <w:sz w:val="18"/>
                <w:szCs w:val="22"/>
                <w:lang w:eastAsia="en-US"/>
              </w:rPr>
            </w:pPr>
          </w:p>
        </w:tc>
      </w:tr>
      <w:tr w:rsidR="006379B4" w:rsidRPr="00B64110" w:rsidTr="00B64110">
        <w:tc>
          <w:tcPr>
            <w:tcW w:w="9242" w:type="dxa"/>
            <w:gridSpan w:val="3"/>
            <w:tcBorders>
              <w:left w:val="nil"/>
              <w:right w:val="nil"/>
            </w:tcBorders>
          </w:tcPr>
          <w:p w:rsidR="006379B4" w:rsidRPr="00B64110" w:rsidRDefault="006379B4" w:rsidP="00B64110">
            <w:pPr>
              <w:spacing w:after="0" w:line="240" w:lineRule="auto"/>
              <w:jc w:val="center"/>
              <w:rPr>
                <w:rFonts w:ascii="Calibri" w:hAnsi="Calibri" w:cs="Calibri"/>
                <w:i/>
                <w:sz w:val="18"/>
                <w:szCs w:val="22"/>
                <w:lang w:eastAsia="en-US"/>
              </w:rPr>
            </w:pPr>
            <w:r w:rsidRPr="00B64110">
              <w:rPr>
                <w:rFonts w:ascii="Calibri" w:hAnsi="Calibri" w:cs="Calibri"/>
                <w:b/>
                <w:sz w:val="18"/>
                <w:szCs w:val="22"/>
                <w:lang w:eastAsia="en-US"/>
              </w:rPr>
              <w:lastRenderedPageBreak/>
              <w:t xml:space="preserve">Calcium and vitamin D </w:t>
            </w:r>
            <w:r w:rsidRPr="00B64110">
              <w:rPr>
                <w:rFonts w:ascii="Calibri" w:hAnsi="Calibri" w:cs="Calibri"/>
                <w:i/>
                <w:sz w:val="18"/>
                <w:szCs w:val="22"/>
                <w:lang w:eastAsia="en-US"/>
              </w:rPr>
              <w:t xml:space="preserve">[prevention (Grade C), treatment (Grade C)] </w:t>
            </w:r>
          </w:p>
          <w:p w:rsidR="006379B4" w:rsidRPr="00B64110" w:rsidRDefault="006379B4" w:rsidP="00B64110">
            <w:pPr>
              <w:spacing w:after="0" w:line="240" w:lineRule="auto"/>
              <w:jc w:val="center"/>
              <w:rPr>
                <w:rFonts w:ascii="Calibri" w:hAnsi="Calibri" w:cs="Calibri"/>
                <w:sz w:val="18"/>
                <w:szCs w:val="22"/>
                <w:lang w:eastAsia="en-US"/>
              </w:rPr>
            </w:pPr>
            <w:r w:rsidRPr="00B64110">
              <w:rPr>
                <w:rFonts w:ascii="Calibri" w:hAnsi="Calibri" w:cs="Calibri"/>
                <w:sz w:val="18"/>
                <w:szCs w:val="22"/>
                <w:lang w:eastAsia="en-US"/>
              </w:rPr>
              <w:t xml:space="preserve"> </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Contraindication</w:t>
            </w:r>
          </w:p>
        </w:tc>
        <w:tc>
          <w:tcPr>
            <w:tcW w:w="3081" w:type="dxa"/>
            <w:tcBorders>
              <w:left w:val="nil"/>
              <w:right w:val="nil"/>
            </w:tcBorders>
          </w:tcPr>
          <w:p w:rsidR="006379B4" w:rsidRPr="00B64110" w:rsidRDefault="006379B4" w:rsidP="00B64110">
            <w:pPr>
              <w:spacing w:after="0" w:line="240" w:lineRule="auto"/>
              <w:jc w:val="center"/>
              <w:rPr>
                <w:rFonts w:ascii="Calibri" w:hAnsi="Calibri" w:cs="Calibri"/>
                <w:b/>
                <w:sz w:val="22"/>
                <w:szCs w:val="22"/>
                <w:lang w:eastAsia="en-US"/>
              </w:rPr>
            </w:pPr>
            <w:r w:rsidRPr="00B64110">
              <w:rPr>
                <w:rFonts w:ascii="Calibri" w:hAnsi="Calibri" w:cs="Calibri"/>
                <w:b/>
                <w:sz w:val="22"/>
                <w:szCs w:val="22"/>
                <w:lang w:eastAsia="en-US"/>
              </w:rPr>
              <w:t>Side effects</w:t>
            </w:r>
          </w:p>
        </w:tc>
      </w:tr>
      <w:tr w:rsidR="006379B4" w:rsidRPr="00B64110" w:rsidTr="00B64110">
        <w:tc>
          <w:tcPr>
            <w:tcW w:w="3080"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Calcium; Adjunctive treatment in osteoporosis</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Vitamin D; Treatment of osteoporosis, when vitamin D supplementation is recommended</w:t>
            </w: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Hypercalcaemia</w:t>
            </w:r>
            <w:proofErr w:type="spellEnd"/>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Hypercalciuria</w:t>
            </w:r>
            <w:proofErr w:type="spellEnd"/>
            <w:r w:rsidRPr="00B64110">
              <w:rPr>
                <w:rFonts w:ascii="Calibri" w:hAnsi="Calibri" w:cs="Calibri"/>
                <w:sz w:val="18"/>
                <w:szCs w:val="22"/>
                <w:lang w:eastAsia="en-US"/>
              </w:rPr>
              <w:t>, history of nephrolithiasis</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Treatment with digoxin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Treatment with </w:t>
            </w:r>
            <w:proofErr w:type="spellStart"/>
            <w:r w:rsidRPr="00B64110">
              <w:rPr>
                <w:rFonts w:ascii="Calibri" w:hAnsi="Calibri" w:cs="Calibri"/>
                <w:sz w:val="18"/>
                <w:szCs w:val="22"/>
                <w:lang w:eastAsia="en-US"/>
              </w:rPr>
              <w:t>calcitriol</w:t>
            </w:r>
            <w:proofErr w:type="spellEnd"/>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Decreased gastric acidity</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Phenylketonuria</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Sodium restriction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Renal</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Monitor plasma calcium concentration in renal impairment; if necessary, reduce dosage or stop.</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Vitamin D;</w:t>
            </w:r>
            <w:r w:rsidRPr="00B64110">
              <w:rPr>
                <w:rFonts w:ascii="Calibri" w:hAnsi="Calibri" w:cs="Calibri"/>
                <w:b/>
                <w:sz w:val="18"/>
                <w:szCs w:val="22"/>
                <w:lang w:eastAsia="en-US"/>
              </w:rPr>
              <w:t xml:space="preserve"> </w:t>
            </w:r>
            <w:proofErr w:type="spellStart"/>
            <w:r w:rsidRPr="00B64110">
              <w:rPr>
                <w:rFonts w:ascii="Calibri" w:hAnsi="Calibri" w:cs="Calibri"/>
                <w:sz w:val="18"/>
                <w:szCs w:val="22"/>
                <w:lang w:eastAsia="en-US"/>
              </w:rPr>
              <w:t>Hyperphosphataemia</w:t>
            </w:r>
            <w:proofErr w:type="spellEnd"/>
            <w:r w:rsidRPr="00B64110">
              <w:rPr>
                <w:rFonts w:ascii="Calibri" w:hAnsi="Calibri" w:cs="Calibri"/>
                <w:sz w:val="18"/>
                <w:szCs w:val="22"/>
                <w:lang w:eastAsia="en-US"/>
              </w:rPr>
              <w:t xml:space="preserve"> (Vitamin D only)</w:t>
            </w:r>
          </w:p>
          <w:p w:rsidR="006379B4" w:rsidRPr="00B64110" w:rsidRDefault="006379B4" w:rsidP="00B64110">
            <w:pPr>
              <w:spacing w:after="0" w:line="240" w:lineRule="auto"/>
              <w:jc w:val="left"/>
              <w:rPr>
                <w:rFonts w:ascii="Calibri" w:hAnsi="Calibri" w:cs="Calibri"/>
                <w:sz w:val="18"/>
                <w:szCs w:val="22"/>
                <w:lang w:eastAsia="en-US"/>
              </w:rPr>
            </w:pPr>
          </w:p>
        </w:tc>
        <w:tc>
          <w:tcPr>
            <w:tcW w:w="3081" w:type="dxa"/>
            <w:tcBorders>
              <w:left w:val="nil"/>
              <w:right w:val="nil"/>
            </w:tcBorders>
          </w:tcPr>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Common</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belching, flatulence, abdominal distension, constipation</w:t>
            </w:r>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Infrequent</w:t>
            </w:r>
          </w:p>
          <w:p w:rsidR="006379B4" w:rsidRPr="00B64110" w:rsidRDefault="006379B4" w:rsidP="00B64110">
            <w:pPr>
              <w:spacing w:after="0" w:line="240" w:lineRule="auto"/>
              <w:jc w:val="left"/>
              <w:rPr>
                <w:rFonts w:ascii="Calibri" w:hAnsi="Calibri" w:cs="Calibri"/>
                <w:sz w:val="18"/>
                <w:szCs w:val="22"/>
                <w:lang w:eastAsia="en-US"/>
              </w:rPr>
            </w:pPr>
            <w:proofErr w:type="spellStart"/>
            <w:r w:rsidRPr="00B64110">
              <w:rPr>
                <w:rFonts w:ascii="Calibri" w:hAnsi="Calibri" w:cs="Calibri"/>
                <w:sz w:val="18"/>
                <w:szCs w:val="22"/>
                <w:lang w:eastAsia="en-US"/>
              </w:rPr>
              <w:t>hypercalcaemia</w:t>
            </w:r>
            <w:proofErr w:type="spellEnd"/>
            <w:r w:rsidRPr="00B64110">
              <w:rPr>
                <w:rFonts w:ascii="Calibri" w:hAnsi="Calibri" w:cs="Calibri"/>
                <w:sz w:val="18"/>
                <w:szCs w:val="22"/>
                <w:lang w:eastAsia="en-US"/>
              </w:rPr>
              <w:t xml:space="preserve">, alkalosis, </w:t>
            </w:r>
            <w:proofErr w:type="spellStart"/>
            <w:r w:rsidRPr="00B64110">
              <w:rPr>
                <w:rFonts w:ascii="Calibri" w:hAnsi="Calibri" w:cs="Calibri"/>
                <w:sz w:val="18"/>
                <w:szCs w:val="22"/>
                <w:lang w:eastAsia="en-US"/>
              </w:rPr>
              <w:t>hypophosphataemia</w:t>
            </w:r>
            <w:proofErr w:type="spellEnd"/>
          </w:p>
          <w:p w:rsidR="006379B4" w:rsidRPr="00B64110" w:rsidRDefault="006379B4" w:rsidP="00B64110">
            <w:pPr>
              <w:spacing w:after="0" w:line="240" w:lineRule="auto"/>
              <w:jc w:val="left"/>
              <w:rPr>
                <w:rFonts w:ascii="Calibri" w:hAnsi="Calibri" w:cs="Calibri"/>
                <w:sz w:val="18"/>
                <w:szCs w:val="22"/>
                <w:lang w:eastAsia="en-US"/>
              </w:rPr>
            </w:pPr>
          </w:p>
          <w:p w:rsidR="006379B4" w:rsidRPr="00B64110" w:rsidRDefault="006379B4" w:rsidP="00B64110">
            <w:pPr>
              <w:spacing w:after="0" w:line="240" w:lineRule="auto"/>
              <w:jc w:val="left"/>
              <w:rPr>
                <w:rFonts w:ascii="Calibri" w:hAnsi="Calibri" w:cs="Calibri"/>
                <w:i/>
                <w:sz w:val="18"/>
                <w:szCs w:val="22"/>
                <w:lang w:eastAsia="en-US"/>
              </w:rPr>
            </w:pPr>
            <w:r w:rsidRPr="00B64110">
              <w:rPr>
                <w:rFonts w:ascii="Calibri" w:hAnsi="Calibri" w:cs="Calibri"/>
                <w:i/>
                <w:sz w:val="18"/>
                <w:szCs w:val="22"/>
                <w:lang w:eastAsia="en-US"/>
              </w:rPr>
              <w:t>Rare</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renal calculi, milk-alkali syndrome </w:t>
            </w: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IV skin necrosis (extravasation), irritation</w:t>
            </w:r>
          </w:p>
          <w:p w:rsidR="006379B4" w:rsidRPr="00B64110" w:rsidRDefault="006379B4" w:rsidP="00B64110">
            <w:pPr>
              <w:spacing w:after="0" w:line="240" w:lineRule="auto"/>
              <w:jc w:val="left"/>
              <w:rPr>
                <w:rFonts w:ascii="Calibri" w:hAnsi="Calibri" w:cs="Calibri"/>
                <w:b/>
                <w:sz w:val="18"/>
                <w:szCs w:val="22"/>
                <w:lang w:eastAsia="en-US"/>
              </w:rPr>
            </w:pPr>
          </w:p>
          <w:p w:rsidR="006379B4" w:rsidRPr="00B64110" w:rsidRDefault="006379B4" w:rsidP="00B64110">
            <w:pPr>
              <w:spacing w:after="0" w:line="240" w:lineRule="auto"/>
              <w:jc w:val="left"/>
              <w:rPr>
                <w:rFonts w:ascii="Calibri" w:hAnsi="Calibri" w:cs="Calibri"/>
                <w:sz w:val="18"/>
                <w:szCs w:val="22"/>
                <w:lang w:eastAsia="en-US"/>
              </w:rPr>
            </w:pPr>
            <w:r w:rsidRPr="00B64110">
              <w:rPr>
                <w:rFonts w:ascii="Calibri" w:hAnsi="Calibri" w:cs="Calibri"/>
                <w:sz w:val="18"/>
                <w:szCs w:val="22"/>
                <w:lang w:eastAsia="en-US"/>
              </w:rPr>
              <w:t xml:space="preserve">Vitamin D; </w:t>
            </w:r>
            <w:proofErr w:type="spellStart"/>
            <w:r w:rsidRPr="00B64110">
              <w:rPr>
                <w:rFonts w:ascii="Calibri" w:hAnsi="Calibri" w:cs="Calibri"/>
                <w:sz w:val="18"/>
                <w:szCs w:val="22"/>
                <w:lang w:eastAsia="en-US"/>
              </w:rPr>
              <w:t>hypercalcaemia</w:t>
            </w:r>
            <w:proofErr w:type="spellEnd"/>
            <w:r w:rsidRPr="00B64110">
              <w:rPr>
                <w:rFonts w:ascii="Calibri" w:hAnsi="Calibri" w:cs="Calibri"/>
                <w:sz w:val="18"/>
                <w:szCs w:val="22"/>
                <w:lang w:eastAsia="en-US"/>
              </w:rPr>
              <w:t>, renal and cardiovascular damage may occur because of ectopic calcification.</w:t>
            </w:r>
          </w:p>
          <w:p w:rsidR="006379B4" w:rsidRPr="00B64110" w:rsidRDefault="006379B4" w:rsidP="00B64110">
            <w:pPr>
              <w:spacing w:after="0" w:line="240" w:lineRule="auto"/>
              <w:jc w:val="left"/>
              <w:rPr>
                <w:rFonts w:ascii="Calibri" w:hAnsi="Calibri" w:cs="Calibri"/>
                <w:sz w:val="18"/>
                <w:szCs w:val="22"/>
                <w:lang w:eastAsia="en-US"/>
              </w:rPr>
            </w:pPr>
          </w:p>
        </w:tc>
      </w:tr>
      <w:tr w:rsidR="006379B4" w:rsidRPr="00B64110" w:rsidTr="00B64110">
        <w:tc>
          <w:tcPr>
            <w:tcW w:w="9242" w:type="dxa"/>
            <w:gridSpan w:val="3"/>
            <w:tcBorders>
              <w:left w:val="nil"/>
              <w:bottom w:val="nil"/>
              <w:right w:val="nil"/>
            </w:tcBorders>
          </w:tcPr>
          <w:p w:rsidR="006379B4" w:rsidRPr="00B64110" w:rsidRDefault="006379B4" w:rsidP="00B64110">
            <w:pPr>
              <w:spacing w:after="0" w:line="240" w:lineRule="auto"/>
              <w:jc w:val="left"/>
              <w:rPr>
                <w:rFonts w:ascii="Calibri" w:hAnsi="Calibri" w:cs="Times New Roman"/>
                <w:sz w:val="18"/>
                <w:szCs w:val="22"/>
                <w:lang w:eastAsia="en-US"/>
              </w:rPr>
            </w:pPr>
            <w:r w:rsidRPr="00B64110">
              <w:rPr>
                <w:rFonts w:ascii="Calibri" w:hAnsi="Calibri" w:cs="Times New Roman"/>
                <w:sz w:val="16"/>
                <w:szCs w:val="22"/>
                <w:lang w:eastAsia="en-US"/>
              </w:rPr>
              <w:t>All information obtained from the Australian Medicines Handbook (AMH), January 2012  or the NHMRC clinical guidelines 2010</w:t>
            </w:r>
          </w:p>
        </w:tc>
      </w:tr>
    </w:tbl>
    <w:p w:rsidR="006379B4" w:rsidRPr="00B64110" w:rsidRDefault="006379B4" w:rsidP="00B64110"/>
    <w:p w:rsidR="006379B4" w:rsidRPr="00B64110" w:rsidRDefault="006379B4" w:rsidP="00B64110">
      <w:pPr>
        <w:rPr>
          <w:lang w:val="en-US"/>
        </w:rPr>
      </w:pPr>
    </w:p>
    <w:p w:rsidR="006379B4" w:rsidRPr="00B64110" w:rsidRDefault="006379B4" w:rsidP="00B64110">
      <w:pPr>
        <w:spacing w:after="0" w:line="240" w:lineRule="auto"/>
        <w:jc w:val="left"/>
        <w:rPr>
          <w:lang w:val="en-US"/>
        </w:rPr>
        <w:sectPr w:rsidR="006379B4" w:rsidRPr="00B64110" w:rsidSect="00D61C4E">
          <w:pgSz w:w="11906" w:h="16838"/>
          <w:pgMar w:top="1440" w:right="1440" w:bottom="1440" w:left="1440" w:header="708" w:footer="708" w:gutter="0"/>
          <w:cols w:space="708"/>
          <w:titlePg/>
          <w:docGrid w:linePitch="360"/>
        </w:sectPr>
      </w:pPr>
    </w:p>
    <w:p w:rsidR="0069266E" w:rsidRDefault="006379B4" w:rsidP="00B64110">
      <w:pPr>
        <w:keepNext/>
        <w:spacing w:before="360" w:after="160"/>
        <w:outlineLvl w:val="0"/>
        <w:rPr>
          <w:rFonts w:cs="Times New Roman"/>
          <w:b/>
          <w:bCs/>
          <w:color w:val="215868"/>
          <w:sz w:val="32"/>
          <w:szCs w:val="32"/>
          <w:lang w:val="en-US"/>
        </w:rPr>
      </w:pPr>
      <w:bookmarkStart w:id="70" w:name="_Toc335747774"/>
      <w:bookmarkStart w:id="71" w:name="_Toc357421838"/>
      <w:bookmarkStart w:id="72" w:name="_Toc362969245"/>
      <w:r w:rsidRPr="00B64110">
        <w:rPr>
          <w:rFonts w:cs="Times New Roman"/>
          <w:b/>
          <w:bCs/>
          <w:color w:val="215868"/>
          <w:sz w:val="32"/>
          <w:szCs w:val="32"/>
          <w:lang w:val="en-US"/>
        </w:rPr>
        <w:lastRenderedPageBreak/>
        <w:t>Appendix 3</w:t>
      </w:r>
      <w:bookmarkEnd w:id="70"/>
    </w:p>
    <w:p w:rsidR="006379B4" w:rsidRPr="0069266E" w:rsidRDefault="006379B4" w:rsidP="0069266E">
      <w:pPr>
        <w:rPr>
          <w:b/>
          <w:sz w:val="24"/>
          <w:szCs w:val="24"/>
          <w:lang w:val="en-US"/>
        </w:rPr>
      </w:pPr>
      <w:r w:rsidRPr="0069266E">
        <w:rPr>
          <w:b/>
          <w:sz w:val="24"/>
          <w:szCs w:val="24"/>
          <w:lang w:val="en-US"/>
        </w:rPr>
        <w:t xml:space="preserve">PBS listed pharmaceuticals (by drug) for the treatment of diseases of bone structure and </w:t>
      </w:r>
      <w:proofErr w:type="spellStart"/>
      <w:r w:rsidRPr="0069266E">
        <w:rPr>
          <w:b/>
          <w:sz w:val="24"/>
          <w:szCs w:val="24"/>
          <w:lang w:val="en-US"/>
        </w:rPr>
        <w:t>mineralisation</w:t>
      </w:r>
      <w:bookmarkEnd w:id="71"/>
      <w:bookmarkEnd w:id="72"/>
      <w:proofErr w:type="spellEnd"/>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1438"/>
        <w:gridCol w:w="1273"/>
        <w:gridCol w:w="8721"/>
        <w:gridCol w:w="1234"/>
      </w:tblGrid>
      <w:tr w:rsidR="006379B4" w:rsidRPr="00B64110" w:rsidTr="00B64110">
        <w:tc>
          <w:tcPr>
            <w:tcW w:w="1744" w:type="dxa"/>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Drug</w:t>
            </w:r>
          </w:p>
        </w:tc>
        <w:tc>
          <w:tcPr>
            <w:tcW w:w="1438" w:type="dxa"/>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strength</w:t>
            </w:r>
          </w:p>
        </w:tc>
        <w:tc>
          <w:tcPr>
            <w:tcW w:w="1273" w:type="dxa"/>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Indication code</w:t>
            </w:r>
          </w:p>
        </w:tc>
        <w:tc>
          <w:tcPr>
            <w:tcW w:w="8721" w:type="dxa"/>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Specific indication</w:t>
            </w:r>
          </w:p>
        </w:tc>
        <w:tc>
          <w:tcPr>
            <w:tcW w:w="1234" w:type="dxa"/>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BMD / T-score</w:t>
            </w:r>
          </w:p>
        </w:tc>
      </w:tr>
      <w:tr w:rsidR="006379B4" w:rsidRPr="00B64110" w:rsidTr="00B64110">
        <w:tc>
          <w:tcPr>
            <w:tcW w:w="14410" w:type="dxa"/>
            <w:gridSpan w:val="5"/>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b/>
                <w:lang w:eastAsia="en-US"/>
              </w:rPr>
              <w:t>Bisphosphonates</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Alendronate Sodium</w:t>
            </w: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40 mg </w:t>
            </w:r>
            <w:proofErr w:type="spellStart"/>
            <w:r w:rsidRPr="00B64110">
              <w:rPr>
                <w:rFonts w:ascii="Calibri" w:hAnsi="Calibri" w:cs="Times New Roman"/>
                <w:lang w:eastAsia="en-US"/>
              </w:rPr>
              <w:t>alendronic</w:t>
            </w:r>
            <w:proofErr w:type="spellEnd"/>
            <w:r w:rsidRPr="00B64110">
              <w:rPr>
                <w:rFonts w:ascii="Calibri" w:hAnsi="Calibri" w:cs="Times New Roman"/>
                <w:lang w:eastAsia="en-US"/>
              </w:rPr>
              <w:t xml:space="preserve"> acid</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3256</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70 mg </w:t>
            </w:r>
            <w:proofErr w:type="spellStart"/>
            <w:r w:rsidRPr="00B64110">
              <w:rPr>
                <w:rFonts w:ascii="Calibri" w:hAnsi="Calibri" w:cs="Times New Roman"/>
                <w:lang w:eastAsia="en-US"/>
              </w:rPr>
              <w:t>alendronic</w:t>
            </w:r>
            <w:proofErr w:type="spellEnd"/>
            <w:r w:rsidRPr="00B64110">
              <w:rPr>
                <w:rFonts w:ascii="Calibri" w:hAnsi="Calibri" w:cs="Times New Roman"/>
                <w:lang w:eastAsia="en-US"/>
              </w:rPr>
              <w:t xml:space="preserve"> acid</w:t>
            </w:r>
          </w:p>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4122</w:t>
            </w:r>
          </w:p>
          <w:p w:rsidR="006379B4" w:rsidRPr="00B64110" w:rsidRDefault="006379B4" w:rsidP="00B64110">
            <w:pPr>
              <w:spacing w:after="0" w:line="240" w:lineRule="auto"/>
              <w:jc w:val="left"/>
              <w:rPr>
                <w:rFonts w:ascii="Calibri" w:hAnsi="Calibri" w:cs="Times New Roman"/>
                <w:lang w:eastAsia="en-US"/>
              </w:rPr>
            </w:pP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Corticosteroid-induced osteoporosis in a patient currently on long-term (≥ 3 months), high-dose (7.5 mg/day prednisolone or equivalent) corticosteroid therapy.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Duration and dose of corticosteroid therapy together with the date, site (femoral neck or lumbar spine) and score of the qualifying BMD measurement must be documented in the patient’s medical records when treatment is initiated. </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w:t>
            </w:r>
            <w:r w:rsidRPr="00B64110">
              <w:rPr>
                <w:rFonts w:ascii="Calibri" w:hAnsi="Calibri" w:cs="Times New Roman"/>
                <w:lang w:eastAsia="en-US"/>
              </w:rPr>
              <w:t>-1.5</w:t>
            </w:r>
          </w:p>
        </w:tc>
      </w:tr>
      <w:tr w:rsidR="006379B4" w:rsidRPr="00B64110" w:rsidTr="00B64110">
        <w:trPr>
          <w:trHeight w:val="319"/>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4133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4123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w:t>
            </w:r>
            <w:r w:rsidRPr="00B64110">
              <w:rPr>
                <w:rFonts w:ascii="Calibri" w:hAnsi="Calibri" w:cs="Times New Roman"/>
                <w:lang w:eastAsia="en-US"/>
              </w:rPr>
              <w:lastRenderedPageBreak/>
              <w:t xml:space="preserve">Sodium with </w:t>
            </w:r>
            <w:proofErr w:type="spellStart"/>
            <w:r w:rsidRPr="00B64110">
              <w:rPr>
                <w:rFonts w:ascii="Calibri" w:hAnsi="Calibri" w:cs="Times New Roman"/>
                <w:lang w:eastAsia="en-US"/>
              </w:rPr>
              <w:t>Colecalciferol</w:t>
            </w:r>
            <w:proofErr w:type="spellEnd"/>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 xml:space="preserve">70 mg </w:t>
            </w:r>
            <w:proofErr w:type="spellStart"/>
            <w:r w:rsidRPr="00B64110">
              <w:rPr>
                <w:rFonts w:ascii="Calibri" w:hAnsi="Calibri" w:cs="Times New Roman"/>
                <w:lang w:eastAsia="en-US"/>
              </w:rPr>
              <w:lastRenderedPageBreak/>
              <w:t>alendronic</w:t>
            </w:r>
            <w:proofErr w:type="spellEnd"/>
            <w:r w:rsidRPr="00B64110">
              <w:rPr>
                <w:rFonts w:ascii="Calibri" w:hAnsi="Calibri" w:cs="Times New Roman"/>
                <w:lang w:eastAsia="en-US"/>
              </w:rPr>
              <w:t xml:space="preserve"> acid +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70 micrograms </w:t>
            </w:r>
            <w:proofErr w:type="spellStart"/>
            <w:r w:rsidRPr="00B64110">
              <w:rPr>
                <w:rFonts w:ascii="Calibri" w:hAnsi="Calibri" w:cs="Times New Roman"/>
                <w:lang w:eastAsia="en-US"/>
              </w:rPr>
              <w:t>colecalciferol</w:t>
            </w:r>
            <w:proofErr w:type="spellEnd"/>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N/A</w:t>
            </w:r>
          </w:p>
        </w:tc>
        <w:tc>
          <w:tcPr>
            <w:tcW w:w="8721" w:type="dxa"/>
          </w:tcPr>
          <w:p w:rsidR="006379B4" w:rsidRPr="00B64110" w:rsidRDefault="006379B4" w:rsidP="00B64110">
            <w:pPr>
              <w:tabs>
                <w:tab w:val="left" w:pos="1476"/>
              </w:tabs>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w:t>
            </w:r>
            <w:r w:rsidRPr="00B64110">
              <w:rPr>
                <w:rFonts w:ascii="Calibri" w:hAnsi="Calibri" w:cs="Times New Roman"/>
                <w:lang w:eastAsia="en-US"/>
              </w:rPr>
              <w:lastRenderedPageBreak/>
              <w:t xml:space="preserve">are undergoing continuous treatment with a dose </w:t>
            </w:r>
            <w:r w:rsidRPr="00B64110">
              <w:rPr>
                <w:rFonts w:ascii="Calibri" w:hAnsi="Calibri" w:cs="Calibri"/>
                <w:lang w:eastAsia="en-US"/>
              </w:rPr>
              <w:t>≥</w:t>
            </w:r>
            <w:r w:rsidRPr="00B64110">
              <w:rPr>
                <w:rFonts w:ascii="Calibri" w:hAnsi="Calibri" w:cs="Times New Roman"/>
                <w:lang w:eastAsia="en-US"/>
              </w:rPr>
              <w:t>7.5 mg of prednisone or equivalent per day. Prescribers need to demonstrate that the patient has been on continuous therapy for</w:t>
            </w:r>
            <w:r w:rsidRPr="00B64110">
              <w:rPr>
                <w:rFonts w:ascii="Calibri" w:hAnsi="Calibri" w:cs="Calibri"/>
                <w:lang w:eastAsia="en-US"/>
              </w:rPr>
              <w:t>≥</w:t>
            </w:r>
            <w:r w:rsidRPr="00B64110">
              <w:rPr>
                <w:rFonts w:ascii="Calibri" w:hAnsi="Calibri" w:cs="Times New Roman"/>
                <w:lang w:eastAsia="en-US"/>
              </w:rPr>
              <w:t xml:space="preserve"> 3 months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4070</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Corticosteroid-induced osteoporosis in a patient currently on long-term (≥ 3 months), high-dose (7.5 mg/day prednisolone or equivalent) corticosteroid therapy.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4087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4087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70 mg +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140 </w:t>
            </w:r>
            <w:proofErr w:type="spellStart"/>
            <w:r w:rsidRPr="00B64110">
              <w:rPr>
                <w:rFonts w:ascii="Calibri" w:hAnsi="Calibri" w:cs="Times New Roman"/>
                <w:lang w:eastAsia="en-US"/>
              </w:rPr>
              <w:t>microg</w:t>
            </w:r>
            <w:proofErr w:type="spellEnd"/>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w:t>
            </w:r>
            <w:r w:rsidRPr="00B64110">
              <w:rPr>
                <w:rFonts w:ascii="Calibri" w:hAnsi="Calibri" w:cs="Calibri"/>
                <w:lang w:eastAsia="en-US"/>
              </w:rPr>
              <w:t>≥</w:t>
            </w:r>
            <w:r w:rsidRPr="00B64110">
              <w:rPr>
                <w:rFonts w:ascii="Calibri" w:hAnsi="Calibri" w:cs="Times New Roman"/>
                <w:lang w:eastAsia="en-US"/>
              </w:rPr>
              <w:t>7.5 mg of prednisone or equivalent per day. Prescribers need to demonstrate that the patient has been on continuous therapy for</w:t>
            </w:r>
            <w:r w:rsidRPr="00B64110">
              <w:rPr>
                <w:rFonts w:ascii="Calibri" w:hAnsi="Calibri" w:cs="Calibri"/>
                <w:lang w:eastAsia="en-US"/>
              </w:rPr>
              <w:t>≥</w:t>
            </w:r>
            <w:r w:rsidRPr="00B64110">
              <w:rPr>
                <w:rFonts w:ascii="Calibri" w:hAnsi="Calibri" w:cs="Times New Roman"/>
                <w:lang w:eastAsia="en-US"/>
              </w:rPr>
              <w:t xml:space="preserve"> 3 months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4122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Corticosteroid-induced osteoporosis in a patient currently on long-term (≥ 3 months), high-dose (7.5 mg/day prednisolone or equivalent) corticosteroid therapy.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lastRenderedPageBreak/>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4133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and Calcium Carbonate</w:t>
            </w: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70 mg + 140 </w:t>
            </w:r>
            <w:proofErr w:type="spellStart"/>
            <w:r w:rsidRPr="00B64110">
              <w:rPr>
                <w:rFonts w:ascii="Calibri" w:hAnsi="Calibri" w:cs="Times New Roman"/>
                <w:lang w:eastAsia="en-US"/>
              </w:rPr>
              <w:t>microg</w:t>
            </w:r>
            <w:proofErr w:type="spellEnd"/>
            <w:r w:rsidRPr="00B64110">
              <w:rPr>
                <w:rFonts w:ascii="Calibri" w:hAnsi="Calibri" w:cs="Times New Roman"/>
                <w:lang w:eastAsia="en-US"/>
              </w:rPr>
              <w:t xml:space="preserve"> + 500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w:t>
            </w:r>
            <w:r w:rsidRPr="00B64110">
              <w:rPr>
                <w:rFonts w:ascii="Calibri" w:hAnsi="Calibri" w:cs="Calibri"/>
                <w:lang w:eastAsia="en-US"/>
              </w:rPr>
              <w:t>≥</w:t>
            </w:r>
            <w:r w:rsidRPr="00B64110">
              <w:rPr>
                <w:rFonts w:ascii="Calibri" w:hAnsi="Calibri" w:cs="Times New Roman"/>
                <w:lang w:eastAsia="en-US"/>
              </w:rPr>
              <w:t>7.5 mg of prednisone or equivalent per day. Prescribers need to demonstrate that the patient has been on continuous therapy for</w:t>
            </w:r>
            <w:r w:rsidRPr="00B64110">
              <w:rPr>
                <w:rFonts w:ascii="Calibri" w:hAnsi="Calibri" w:cs="Calibri"/>
                <w:lang w:eastAsia="en-US"/>
              </w:rPr>
              <w:t>≥</w:t>
            </w:r>
            <w:r w:rsidRPr="00B64110">
              <w:rPr>
                <w:rFonts w:ascii="Calibri" w:hAnsi="Calibri" w:cs="Times New Roman"/>
                <w:lang w:eastAsia="en-US"/>
              </w:rPr>
              <w:t xml:space="preserve"> 3 months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4122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Corticosteroid-induced osteoporosis in a patient currently on long-term (≥ 3 months), high-dose (7.5 mg/day prednisolone or equivalent) corticosteroid therapy.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Duration and dose of corticosteroid therapy together with the 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4133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 xml:space="preserve">Date, site (femoral neck or lumbar spine) and score of the qualifying BMD measurement must be </w:t>
            </w:r>
            <w:r w:rsidRPr="00B64110">
              <w:rPr>
                <w:rFonts w:ascii="Calibri" w:hAnsi="Calibri" w:cs="Calibri"/>
                <w:lang w:eastAsia="en-US"/>
              </w:rPr>
              <w:lastRenderedPageBreak/>
              <w:t>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≤-2.5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w:t>
            </w: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5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w:t>
            </w:r>
            <w:r w:rsidRPr="00B64110">
              <w:rPr>
                <w:rFonts w:ascii="Calibri" w:hAnsi="Calibri" w:cs="Calibri"/>
                <w:lang w:eastAsia="en-US"/>
              </w:rPr>
              <w:t>≥</w:t>
            </w:r>
            <w:r w:rsidRPr="00B64110">
              <w:rPr>
                <w:rFonts w:ascii="Calibri" w:hAnsi="Calibri" w:cs="Times New Roman"/>
                <w:lang w:eastAsia="en-US"/>
              </w:rPr>
              <w:t>7.5 mg of prednisone or equivalent per day. Prescribers need to demonstrate that the patient has been on continuous therapy for</w:t>
            </w:r>
            <w:r w:rsidRPr="00B64110">
              <w:rPr>
                <w:rFonts w:ascii="Calibri" w:hAnsi="Calibri" w:cs="Calibri"/>
                <w:lang w:eastAsia="en-US"/>
              </w:rPr>
              <w:t>≥</w:t>
            </w:r>
            <w:r w:rsidRPr="00B64110">
              <w:rPr>
                <w:rFonts w:ascii="Calibri" w:hAnsi="Calibri" w:cs="Times New Roman"/>
                <w:lang w:eastAsia="en-US"/>
              </w:rPr>
              <w:t xml:space="preserve"> 3 months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≤-1.5 </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3256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35 mg </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w:t>
            </w:r>
            <w:r w:rsidRPr="00B64110">
              <w:rPr>
                <w:rFonts w:ascii="Calibri" w:hAnsi="Calibri" w:cs="Times New Roman"/>
                <w:lang w:eastAsia="en-US"/>
              </w:rPr>
              <w:lastRenderedPageBreak/>
              <w:t xml:space="preserve">for 3 months or more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Tablet 35 mg (enteric coated)</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w:t>
            </w:r>
            <w:r w:rsidRPr="00B64110">
              <w:rPr>
                <w:rFonts w:ascii="Calibri" w:hAnsi="Calibri" w:cs="Times New Roman"/>
                <w:lang w:eastAsia="en-US"/>
              </w:rPr>
              <w:lastRenderedPageBreak/>
              <w:t xml:space="preserve">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150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w:t>
            </w: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35 mg + 500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lastRenderedPageBreak/>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35 mg + 1.25g (enteric coated)</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Prescribers need to demonstrate that the patient has been on continuous therapy for 3 months or more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with </w:t>
            </w:r>
            <w:proofErr w:type="spellStart"/>
            <w:r w:rsidRPr="00B64110">
              <w:rPr>
                <w:rFonts w:ascii="Calibri" w:hAnsi="Calibri" w:cs="Times New Roman"/>
                <w:lang w:eastAsia="en-US"/>
              </w:rPr>
              <w:t>Colecalciferol</w:t>
            </w:r>
            <w:proofErr w:type="spellEnd"/>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35 mg + 2.5 g + 22 </w:t>
            </w:r>
            <w:proofErr w:type="spellStart"/>
            <w:r w:rsidRPr="00B64110">
              <w:rPr>
                <w:rFonts w:ascii="Calibri" w:hAnsi="Calibri" w:cs="Times New Roman"/>
                <w:lang w:eastAsia="en-US"/>
              </w:rPr>
              <w:t>microg</w:t>
            </w:r>
            <w:proofErr w:type="spellEnd"/>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 N/R</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preservation of bone mineral density in patients on long-term glucocorticoid therapy where patients are undergoing continuous treatment with a dose equal to or greater than 7.5 mg of prednisone or equivalent per day.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Prescribers need to demonstrate that the patient has been on continuous therapy for 3 months or more and demonstrate that the patient is </w:t>
            </w:r>
            <w:proofErr w:type="spellStart"/>
            <w:r w:rsidRPr="00B64110">
              <w:rPr>
                <w:rFonts w:ascii="Calibri" w:hAnsi="Calibri" w:cs="Times New Roman"/>
                <w:lang w:eastAsia="en-US"/>
              </w:rPr>
              <w:t>osteopenic</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&lt;-1.0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 xml:space="preserve">4122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Corticosteroid-induced osteoporosis in a patient currently on long-term (≥ 3 months), high-dose (7.5 mg/day prednisolone or equivalent) corticosteroid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rPr>
              <w:t>≤-1.5</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or older.</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Date, site (femoral neck or lumbar spine) and score of the qualifying BMD measurement must be documented in the patient’s medical records when treatment is initiated.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4123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Patient must not receive concomitant treatment with any other PBS-subscribed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CT or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w:t>
            </w:r>
            <w:r w:rsidRPr="00B64110">
              <w:rPr>
                <w:rFonts w:ascii="Calibri" w:hAnsi="Calibri" w:cs="Calibri"/>
                <w:lang w:eastAsia="en-US"/>
              </w:rPr>
              <w:t>≥</w:t>
            </w:r>
            <w:r w:rsidRPr="00B64110">
              <w:rPr>
                <w:rFonts w:ascii="Calibri" w:hAnsi="Calibri" w:cs="Times New Roman"/>
                <w:lang w:eastAsia="en-US"/>
              </w:rPr>
              <w:t xml:space="preserve">20% reduction in height of the anterior or mid portion of a vertebral body relative to the posterior height of that body or a </w:t>
            </w:r>
            <w:r w:rsidRPr="00B64110">
              <w:rPr>
                <w:rFonts w:ascii="Calibri" w:hAnsi="Calibri" w:cs="Calibri"/>
                <w:lang w:eastAsia="en-US"/>
              </w:rPr>
              <w:t xml:space="preserve">≥ </w:t>
            </w:r>
            <w:r w:rsidRPr="00B64110">
              <w:rPr>
                <w:rFonts w:ascii="Calibri" w:hAnsi="Calibri" w:cs="Times New Roman"/>
                <w:lang w:eastAsia="en-US"/>
              </w:rPr>
              <w:t>20%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405"/>
        </w:trPr>
        <w:tc>
          <w:tcPr>
            <w:tcW w:w="174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Disodium </w:t>
            </w:r>
            <w:proofErr w:type="spellStart"/>
            <w:r w:rsidRPr="00B64110">
              <w:rPr>
                <w:rFonts w:ascii="Calibri" w:hAnsi="Calibri" w:cs="Times New Roman"/>
                <w:lang w:eastAsia="en-US"/>
              </w:rPr>
              <w:t>Etidronate</w:t>
            </w:r>
            <w:proofErr w:type="spellEnd"/>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200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3257 </w:t>
            </w:r>
          </w:p>
          <w:p w:rsidR="006379B4" w:rsidRPr="00B64110" w:rsidRDefault="006379B4" w:rsidP="00B64110">
            <w:pPr>
              <w:spacing w:after="0" w:line="240" w:lineRule="auto"/>
              <w:jc w:val="left"/>
              <w:rPr>
                <w:rFonts w:ascii="Calibri" w:hAnsi="Calibri" w:cs="Times New Roman"/>
                <w:lang w:eastAsia="en-US"/>
              </w:rPr>
            </w:pP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Paget disease of bone when calcitonin has been found to be unsatisfactory due to lack of efficacy</w:t>
            </w:r>
          </w:p>
        </w:tc>
        <w:tc>
          <w:tcPr>
            <w:tcW w:w="123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180"/>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3258</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Paget disease of bone when calcitonin has been found to be unsatisfactory due to unacceptable side effects</w:t>
            </w:r>
          </w:p>
        </w:tc>
        <w:tc>
          <w:tcPr>
            <w:tcW w:w="1234" w:type="dxa"/>
            <w:vMerge/>
          </w:tcPr>
          <w:p w:rsidR="006379B4" w:rsidRPr="00B64110" w:rsidRDefault="006379B4" w:rsidP="00B64110">
            <w:pPr>
              <w:spacing w:after="0" w:line="240" w:lineRule="auto"/>
              <w:jc w:val="left"/>
              <w:rPr>
                <w:rFonts w:ascii="Calibri" w:hAnsi="Calibri" w:cs="Times New Roman"/>
                <w:lang w:eastAsia="en-US"/>
              </w:rPr>
            </w:pPr>
          </w:p>
        </w:tc>
      </w:tr>
      <w:tr w:rsidR="006379B4" w:rsidRPr="00B64110" w:rsidTr="00B64110">
        <w:trPr>
          <w:trHeight w:val="274"/>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1153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Heterotopic ossification</w:t>
            </w:r>
          </w:p>
        </w:tc>
        <w:tc>
          <w:tcPr>
            <w:tcW w:w="1234" w:type="dxa"/>
            <w:vMerge/>
          </w:tcPr>
          <w:p w:rsidR="006379B4" w:rsidRPr="00B64110" w:rsidRDefault="006379B4" w:rsidP="00B64110">
            <w:pPr>
              <w:spacing w:after="0" w:line="240" w:lineRule="auto"/>
              <w:jc w:val="left"/>
              <w:rPr>
                <w:rFonts w:ascii="Calibri" w:hAnsi="Calibri" w:cs="Times New Roman"/>
                <w:lang w:eastAsia="en-US"/>
              </w:rPr>
            </w:pPr>
          </w:p>
        </w:tc>
      </w:tr>
      <w:tr w:rsidR="006379B4" w:rsidRPr="00B64110" w:rsidTr="00B64110">
        <w:tc>
          <w:tcPr>
            <w:tcW w:w="174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xml:space="preserve"> and Calcium Carbonate</w:t>
            </w: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200 mg + 1.25g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2646</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patients with fracture due to minimal trauma</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Dosodium</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Pamidronate</w:t>
            </w:r>
            <w:proofErr w:type="spellEnd"/>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15 mg/5 mL injection, 1 x 5</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 mg/10 mL injection, 1 x 10 mL vial</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60 mg/10 mL injection, 1 x 10 mL vial</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315"/>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90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234"/>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3342</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Multiple myeloma</w:t>
            </w:r>
          </w:p>
        </w:tc>
        <w:tc>
          <w:tcPr>
            <w:tcW w:w="1234" w:type="dxa"/>
            <w:vMerge/>
          </w:tcPr>
          <w:p w:rsidR="006379B4" w:rsidRPr="00B64110" w:rsidRDefault="006379B4" w:rsidP="00B64110">
            <w:pPr>
              <w:spacing w:after="0" w:line="240" w:lineRule="auto"/>
              <w:jc w:val="left"/>
              <w:rPr>
                <w:rFonts w:ascii="Calibri" w:hAnsi="Calibri" w:cs="Times New Roman"/>
                <w:lang w:eastAsia="en-US"/>
              </w:rPr>
            </w:pPr>
          </w:p>
        </w:tc>
      </w:tr>
      <w:tr w:rsidR="006379B4" w:rsidRPr="00B64110" w:rsidTr="00B64110">
        <w:trPr>
          <w:trHeight w:val="255"/>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3343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breast cancer</w:t>
            </w:r>
          </w:p>
        </w:tc>
        <w:tc>
          <w:tcPr>
            <w:tcW w:w="1234" w:type="dxa"/>
            <w:vMerge/>
          </w:tcPr>
          <w:p w:rsidR="006379B4" w:rsidRPr="00B64110" w:rsidRDefault="006379B4" w:rsidP="00B64110">
            <w:pPr>
              <w:spacing w:after="0" w:line="240" w:lineRule="auto"/>
              <w:jc w:val="left"/>
              <w:rPr>
                <w:rFonts w:ascii="Calibri" w:hAnsi="Calibri" w:cs="Times New Roman"/>
                <w:lang w:eastAsia="en-US"/>
              </w:rPr>
            </w:pP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 vials powder 15 mg + 4 ampoules solvent 5 ml</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Treatment of </w:t>
            </w: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p w:rsidR="006379B4" w:rsidRPr="00B64110" w:rsidRDefault="006379B4" w:rsidP="00B64110">
            <w:pPr>
              <w:spacing w:after="0" w:line="240" w:lineRule="auto"/>
              <w:jc w:val="center"/>
              <w:rPr>
                <w:rFonts w:ascii="Calibri" w:hAnsi="Calibri" w:cs="Times New Roman"/>
                <w:lang w:eastAsia="en-US"/>
              </w:rPr>
            </w:pP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2 vials powder 30 mg + 2 ampoules solvent 10 ml</w:t>
            </w: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3256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Concentrated injection 15 mg in 5 mL</w:t>
            </w:r>
          </w:p>
        </w:tc>
        <w:tc>
          <w:tcPr>
            <w:tcW w:w="1273"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N/R</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3256 </w:t>
            </w:r>
          </w:p>
        </w:tc>
        <w:tc>
          <w:tcPr>
            <w:tcW w:w="8721"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 xml:space="preserve">Treatment of </w:t>
            </w:r>
            <w:proofErr w:type="spellStart"/>
            <w:r w:rsidRPr="00B64110">
              <w:rPr>
                <w:rFonts w:ascii="Calibri" w:hAnsi="Calibri" w:cs="Calibri"/>
              </w:rPr>
              <w:t>hypercalcaemia</w:t>
            </w:r>
            <w:proofErr w:type="spellEnd"/>
            <w:r w:rsidRPr="00B64110">
              <w:rPr>
                <w:rFonts w:ascii="Calibri" w:hAnsi="Calibri" w:cs="Calibri"/>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Concentrated injection 30 mg in 10 mL</w:t>
            </w:r>
          </w:p>
        </w:tc>
        <w:tc>
          <w:tcPr>
            <w:tcW w:w="1273"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N/R</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3256 </w:t>
            </w:r>
          </w:p>
        </w:tc>
        <w:tc>
          <w:tcPr>
            <w:tcW w:w="8721"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 xml:space="preserve">Treatment of </w:t>
            </w:r>
            <w:proofErr w:type="spellStart"/>
            <w:r w:rsidRPr="00B64110">
              <w:rPr>
                <w:rFonts w:ascii="Calibri" w:hAnsi="Calibri" w:cs="Calibri"/>
              </w:rPr>
              <w:t>hypercalcaemia</w:t>
            </w:r>
            <w:proofErr w:type="spellEnd"/>
            <w:r w:rsidRPr="00B64110">
              <w:rPr>
                <w:rFonts w:ascii="Calibri" w:hAnsi="Calibri" w:cs="Calibri"/>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Concentrated injection 60 mg in 10 mL</w:t>
            </w:r>
          </w:p>
        </w:tc>
        <w:tc>
          <w:tcPr>
            <w:tcW w:w="1273"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N/R</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3256 </w:t>
            </w:r>
          </w:p>
        </w:tc>
        <w:tc>
          <w:tcPr>
            <w:tcW w:w="8721"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 xml:space="preserve">Treatment of </w:t>
            </w:r>
            <w:proofErr w:type="spellStart"/>
            <w:r w:rsidRPr="00B64110">
              <w:rPr>
                <w:rFonts w:ascii="Calibri" w:hAnsi="Calibri" w:cs="Calibri"/>
              </w:rPr>
              <w:t>hypercalcaemia</w:t>
            </w:r>
            <w:proofErr w:type="spellEnd"/>
            <w:r w:rsidRPr="00B64110">
              <w:rPr>
                <w:rFonts w:ascii="Calibri" w:hAnsi="Calibri" w:cs="Calibri"/>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Concentrated injection 90 mg in 10 mL</w:t>
            </w:r>
          </w:p>
        </w:tc>
        <w:tc>
          <w:tcPr>
            <w:tcW w:w="1273"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N/R</w:t>
            </w:r>
          </w:p>
        </w:tc>
        <w:tc>
          <w:tcPr>
            <w:tcW w:w="8721"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 xml:space="preserve">Treatment of </w:t>
            </w:r>
            <w:proofErr w:type="spellStart"/>
            <w:r w:rsidRPr="00B64110">
              <w:rPr>
                <w:rFonts w:ascii="Calibri" w:hAnsi="Calibri" w:cs="Calibri"/>
              </w:rPr>
              <w:t>hypercalcaemia</w:t>
            </w:r>
            <w:proofErr w:type="spellEnd"/>
            <w:r w:rsidRPr="00B64110">
              <w:rPr>
                <w:rFonts w:ascii="Calibri" w:hAnsi="Calibri" w:cs="Calibri"/>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90 mg injection [1 x 90 mg vial] (&amp;) inert substance diluent [1 x 10 mL ampoule], 1 pack</w:t>
            </w: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N/R</w:t>
            </w:r>
          </w:p>
        </w:tc>
        <w:tc>
          <w:tcPr>
            <w:tcW w:w="8721" w:type="dxa"/>
          </w:tcPr>
          <w:p w:rsidR="006379B4" w:rsidRPr="00B64110" w:rsidRDefault="006379B4" w:rsidP="00B64110">
            <w:pPr>
              <w:spacing w:after="0" w:line="240" w:lineRule="auto"/>
              <w:jc w:val="left"/>
              <w:rPr>
                <w:rFonts w:ascii="Calibri" w:hAnsi="Calibri" w:cs="Calibri"/>
                <w:lang w:eastAsia="en-US"/>
              </w:rPr>
            </w:pPr>
            <w:proofErr w:type="spellStart"/>
            <w:r w:rsidRPr="00B64110">
              <w:rPr>
                <w:rFonts w:ascii="Calibri" w:hAnsi="Calibri" w:cs="Calibri"/>
                <w:lang w:eastAsia="en-US"/>
              </w:rPr>
              <w:t>Hypercalcaemia</w:t>
            </w:r>
            <w:proofErr w:type="spellEnd"/>
            <w:r w:rsidRPr="00B64110">
              <w:rPr>
                <w:rFonts w:ascii="Calibri" w:hAnsi="Calibri" w:cs="Calibri"/>
                <w:lang w:eastAsia="en-US"/>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Multiple myeloma</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Bone metastases from breast cancer</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30 mg injection [2 x 30 mg vials] (&amp;) inert substance </w:t>
            </w:r>
            <w:r w:rsidRPr="00B64110">
              <w:rPr>
                <w:rFonts w:ascii="Calibri" w:hAnsi="Calibri" w:cs="Calibri"/>
                <w:lang w:eastAsia="en-US"/>
              </w:rPr>
              <w:lastRenderedPageBreak/>
              <w:t>diluent [2 x 10 mL ampoules], 1 pack</w:t>
            </w:r>
          </w:p>
        </w:tc>
        <w:tc>
          <w:tcPr>
            <w:tcW w:w="1273"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lastRenderedPageBreak/>
              <w:t>N/R</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3256 </w:t>
            </w:r>
          </w:p>
        </w:tc>
        <w:tc>
          <w:tcPr>
            <w:tcW w:w="8721"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 xml:space="preserve">Treatment of </w:t>
            </w:r>
            <w:proofErr w:type="spellStart"/>
            <w:r w:rsidRPr="00B64110">
              <w:rPr>
                <w:rFonts w:ascii="Calibri" w:hAnsi="Calibri" w:cs="Calibri"/>
              </w:rPr>
              <w:t>hypercalcaemia</w:t>
            </w:r>
            <w:proofErr w:type="spellEnd"/>
            <w:r w:rsidRPr="00B64110">
              <w:rPr>
                <w:rFonts w:ascii="Calibri" w:hAnsi="Calibri" w:cs="Calibri"/>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15 mg injection [4 x 15 mg vials] (&amp;) inert substance diluent [4 x 5 mL ampoules]</w:t>
            </w:r>
          </w:p>
        </w:tc>
        <w:tc>
          <w:tcPr>
            <w:tcW w:w="1273"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N/R</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 xml:space="preserve">3256 </w:t>
            </w:r>
          </w:p>
        </w:tc>
        <w:tc>
          <w:tcPr>
            <w:tcW w:w="8721" w:type="dxa"/>
          </w:tcPr>
          <w:p w:rsidR="006379B4" w:rsidRPr="00B64110" w:rsidRDefault="006379B4" w:rsidP="00B64110">
            <w:pPr>
              <w:spacing w:after="0" w:line="240" w:lineRule="auto"/>
              <w:jc w:val="left"/>
              <w:rPr>
                <w:rFonts w:ascii="Calibri" w:hAnsi="Calibri" w:cs="Calibri"/>
              </w:rPr>
            </w:pPr>
            <w:r w:rsidRPr="00B64110">
              <w:rPr>
                <w:rFonts w:ascii="Calibri" w:hAnsi="Calibri" w:cs="Calibri"/>
              </w:rPr>
              <w:t xml:space="preserve">Treatment of </w:t>
            </w:r>
            <w:proofErr w:type="spellStart"/>
            <w:r w:rsidRPr="00B64110">
              <w:rPr>
                <w:rFonts w:ascii="Calibri" w:hAnsi="Calibri" w:cs="Calibri"/>
              </w:rPr>
              <w:t>hypercalcaemia</w:t>
            </w:r>
            <w:proofErr w:type="spellEnd"/>
            <w:r w:rsidRPr="00B64110">
              <w:rPr>
                <w:rFonts w:ascii="Calibri" w:hAnsi="Calibri" w:cs="Calibri"/>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p>
        </w:tc>
        <w:tc>
          <w:tcPr>
            <w:tcW w:w="1273" w:type="dxa"/>
          </w:tcPr>
          <w:p w:rsidR="006379B4" w:rsidRPr="00B64110" w:rsidRDefault="006379B4" w:rsidP="00B64110">
            <w:pPr>
              <w:spacing w:after="0" w:line="240" w:lineRule="auto"/>
              <w:jc w:val="left"/>
              <w:rPr>
                <w:rFonts w:ascii="Calibri" w:hAnsi="Calibri" w:cs="Calibri"/>
              </w:rPr>
            </w:pPr>
          </w:p>
        </w:tc>
        <w:tc>
          <w:tcPr>
            <w:tcW w:w="8721" w:type="dxa"/>
          </w:tcPr>
          <w:p w:rsidR="006379B4" w:rsidRPr="00B64110" w:rsidRDefault="006379B4" w:rsidP="00B64110">
            <w:pPr>
              <w:spacing w:after="0" w:line="240" w:lineRule="auto"/>
              <w:jc w:val="left"/>
              <w:rPr>
                <w:rFonts w:ascii="Calibri" w:hAnsi="Calibri" w:cs="Calibri"/>
              </w:rPr>
            </w:pPr>
          </w:p>
        </w:tc>
        <w:tc>
          <w:tcPr>
            <w:tcW w:w="1234" w:type="dxa"/>
          </w:tcPr>
          <w:p w:rsidR="006379B4" w:rsidRPr="00B64110" w:rsidRDefault="006379B4" w:rsidP="00B64110">
            <w:pPr>
              <w:spacing w:after="0" w:line="240" w:lineRule="auto"/>
              <w:jc w:val="left"/>
              <w:rPr>
                <w:rFonts w:ascii="Calibri" w:hAnsi="Calibri" w:cs="Calibri"/>
              </w:rPr>
            </w:pP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roofErr w:type="spellStart"/>
            <w:r w:rsidRPr="00B64110">
              <w:rPr>
                <w:rFonts w:ascii="Calibri" w:hAnsi="Calibri" w:cs="Calibri"/>
                <w:lang w:eastAsia="en-US"/>
              </w:rPr>
              <w:t>Clodronate</w:t>
            </w:r>
            <w:proofErr w:type="spellEnd"/>
            <w:r w:rsidRPr="00B64110">
              <w:rPr>
                <w:rFonts w:ascii="Calibri" w:hAnsi="Calibri" w:cs="Calibri"/>
                <w:lang w:eastAsia="en-US"/>
              </w:rPr>
              <w:t xml:space="preserve"> sodium</w:t>
            </w: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400 mg</w:t>
            </w: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N/R</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Maintenance treatment of </w:t>
            </w:r>
            <w:proofErr w:type="spellStart"/>
            <w:r w:rsidRPr="00B64110">
              <w:rPr>
                <w:rFonts w:ascii="Calibri" w:hAnsi="Calibri" w:cs="Calibri"/>
                <w:lang w:eastAsia="en-US"/>
              </w:rPr>
              <w:t>hypercalcaemia</w:t>
            </w:r>
            <w:proofErr w:type="spellEnd"/>
            <w:r w:rsidRPr="00B64110">
              <w:rPr>
                <w:rFonts w:ascii="Calibri" w:hAnsi="Calibri" w:cs="Calibri"/>
                <w:lang w:eastAsia="en-US"/>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Multiple myeloma</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Bone metastases from breast cancer</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800 mg</w:t>
            </w: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N/R</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Maintenance treatment of </w:t>
            </w:r>
            <w:proofErr w:type="spellStart"/>
            <w:r w:rsidRPr="00B64110">
              <w:rPr>
                <w:rFonts w:ascii="Calibri" w:hAnsi="Calibri" w:cs="Calibri"/>
                <w:lang w:eastAsia="en-US"/>
              </w:rPr>
              <w:t>hypercalcaemia</w:t>
            </w:r>
            <w:proofErr w:type="spellEnd"/>
            <w:r w:rsidRPr="00B64110">
              <w:rPr>
                <w:rFonts w:ascii="Calibri" w:hAnsi="Calibri" w:cs="Calibri"/>
                <w:lang w:eastAsia="en-US"/>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Multiple myeloma</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Bone metastases from breast cancer</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w:t>
            </w:r>
            <w:proofErr w:type="spellStart"/>
            <w:r w:rsidRPr="00B64110">
              <w:rPr>
                <w:rFonts w:ascii="Calibri" w:hAnsi="Calibri" w:cs="Calibri"/>
                <w:lang w:eastAsia="en-US"/>
              </w:rPr>
              <w:t>Tiludronate</w:t>
            </w:r>
            <w:proofErr w:type="spellEnd"/>
            <w:r w:rsidRPr="00B64110">
              <w:rPr>
                <w:rFonts w:ascii="Calibri" w:hAnsi="Calibri" w:cs="Calibri"/>
                <w:lang w:eastAsia="en-US"/>
              </w:rPr>
              <w:t xml:space="preserve"> Disodium</w:t>
            </w: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200 mg</w:t>
            </w: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3256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Symptomatic Paget disease of bone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w:t>
            </w:r>
            <w:proofErr w:type="spellStart"/>
            <w:r w:rsidRPr="00B64110">
              <w:rPr>
                <w:rFonts w:ascii="Calibri" w:hAnsi="Calibri" w:cs="Calibri"/>
                <w:lang w:eastAsia="en-US"/>
              </w:rPr>
              <w:t>Ibandronic</w:t>
            </w:r>
            <w:proofErr w:type="spellEnd"/>
            <w:r w:rsidRPr="00B64110">
              <w:rPr>
                <w:rFonts w:ascii="Calibri" w:hAnsi="Calibri" w:cs="Calibri"/>
                <w:lang w:eastAsia="en-US"/>
              </w:rPr>
              <w:t xml:space="preserve"> Acid</w:t>
            </w:r>
          </w:p>
        </w:tc>
        <w:tc>
          <w:tcPr>
            <w:tcW w:w="1438"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6 mg/6 mL injection, 1 x 6 mL vial</w:t>
            </w:r>
          </w:p>
        </w:tc>
        <w:tc>
          <w:tcPr>
            <w:tcW w:w="1273"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3343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Bone metastases from breast cancer</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Times New Roman"/>
                <w:lang w:eastAsia="en-US"/>
              </w:rPr>
            </w:pP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50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breast cancer</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Zoledronic</w:t>
            </w:r>
            <w:proofErr w:type="spellEnd"/>
            <w:r w:rsidRPr="00B64110">
              <w:rPr>
                <w:rFonts w:ascii="Calibri" w:hAnsi="Calibri" w:cs="Times New Roman"/>
                <w:lang w:eastAsia="en-US"/>
              </w:rPr>
              <w:t xml:space="preserve"> Acid</w:t>
            </w: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 mg/5 mL injection, 1 x 5 mL vial </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3342</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3343</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4052</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Multiple myeloma</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breast cancer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castration-resistant prostate cancer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Treatment of </w:t>
            </w: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5 mg/100 mL injection, 1 x 100 mL vial</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4100</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Corticosteroid-induced osteoporosis in a patient currently on (prednisolone or equivalent) corticosteroid therapy.</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Patient must currently be on long-term (at least 3 months), high-dose (at least 7.5 mg per day prednisolone or equivalent) corticosteroid therapy,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Patient must have a Bone Mineral Density (BMD) T-score of -1.5 or less,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more than one PBS-subsidised treatment per year.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duration and dose of corticosteroid therapy together with the date, site (femoral neck or lumbar spine) and score of the qualifying BMD measurement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lastRenderedPageBreak/>
              <w:t>≤</w:t>
            </w:r>
            <w:r w:rsidRPr="00B64110">
              <w:rPr>
                <w:rFonts w:ascii="Calibri" w:hAnsi="Calibri" w:cs="Times New Roman"/>
                <w:lang w:eastAsia="en-US"/>
              </w:rPr>
              <w:t>-1.5</w:t>
            </w:r>
          </w:p>
        </w:tc>
      </w:tr>
      <w:tr w:rsidR="006379B4" w:rsidRPr="00B64110" w:rsidTr="00B64110">
        <w:trPr>
          <w:trHeight w:val="351"/>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4149</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Population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be aged 70 years or older,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a Bone Mineral Density (BMD) T-score of -3.0 or less,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more than one PBS-subsidised treatment per year.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≤-3.0</w:t>
            </w:r>
          </w:p>
        </w:tc>
      </w:tr>
      <w:tr w:rsidR="006379B4" w:rsidRPr="00B64110" w:rsidTr="00B64110">
        <w:trPr>
          <w:trHeight w:val="351"/>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4157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fracture due to minimal trauma,</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more than one PBS-subsidised treatment per year.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20% or greater reduction in height of the anterior or mid portion of a vertebral body relative to the posterior height of that body, or, a 20% or greater reduction in any of </w:t>
            </w:r>
            <w:r w:rsidRPr="00B64110">
              <w:rPr>
                <w:rFonts w:ascii="Calibri" w:hAnsi="Calibri" w:cs="Times New Roman"/>
                <w:lang w:eastAsia="en-US"/>
              </w:rPr>
              <w:lastRenderedPageBreak/>
              <w:t>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N/R</w:t>
            </w:r>
          </w:p>
        </w:tc>
      </w:tr>
      <w:tr w:rsidR="006379B4" w:rsidRPr="00B64110" w:rsidTr="00B64110">
        <w:trPr>
          <w:trHeight w:val="732"/>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Symptomatic Paget disease of bone.</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Only 1 treatment each year per patient will be PBS-subsidised</w:t>
            </w:r>
          </w:p>
          <w:p w:rsidR="006379B4" w:rsidRPr="00B64110" w:rsidRDefault="006379B4" w:rsidP="00B64110">
            <w:pPr>
              <w:spacing w:after="0" w:line="240" w:lineRule="auto"/>
              <w:jc w:val="left"/>
              <w:rPr>
                <w:rFonts w:ascii="Calibri" w:hAnsi="Calibri" w:cs="Times New Roman"/>
                <w:lang w:eastAsia="en-US"/>
              </w:rPr>
            </w:pPr>
          </w:p>
        </w:tc>
        <w:tc>
          <w:tcPr>
            <w:tcW w:w="1234" w:type="dxa"/>
          </w:tcPr>
          <w:p w:rsidR="006379B4" w:rsidRPr="00B64110" w:rsidRDefault="006379B4" w:rsidP="00B64110">
            <w:pPr>
              <w:spacing w:after="0" w:line="240" w:lineRule="auto"/>
              <w:jc w:val="left"/>
              <w:rPr>
                <w:rFonts w:ascii="Calibri" w:hAnsi="Calibri" w:cs="Times New Roman"/>
                <w:lang w:eastAsia="en-US"/>
              </w:rPr>
            </w:pPr>
          </w:p>
        </w:tc>
      </w:tr>
      <w:tr w:rsidR="006379B4" w:rsidRPr="00B64110" w:rsidTr="00B64110">
        <w:trPr>
          <w:trHeight w:val="351"/>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3947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 in a patient aged 70 years of age or older</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≤-3.0</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3946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 in a patient with fracture due to minimal trauma</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496"/>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t>N/R</w:t>
            </w:r>
          </w:p>
          <w:p w:rsidR="006379B4" w:rsidRPr="00B64110" w:rsidRDefault="006379B4" w:rsidP="00B64110">
            <w:pPr>
              <w:spacing w:after="0" w:line="240" w:lineRule="auto"/>
              <w:jc w:val="left"/>
              <w:rPr>
                <w:rFonts w:ascii="Calibri" w:hAnsi="Calibri" w:cs="Times New Roman"/>
                <w:lang w:eastAsia="en-US"/>
              </w:rPr>
            </w:pP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Symptomatic Paget disease of bone</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Only 1 treatment each year per patient will be PBS-subsidised</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315"/>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 mg/5 mL injection, 1 x 5 mL vial10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3342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Multiple myeloma</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360"/>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breast cancer</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165"/>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4052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castration-resistant prostate cancer</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407"/>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3341</w:t>
            </w:r>
          </w:p>
        </w:tc>
        <w:tc>
          <w:tcPr>
            <w:tcW w:w="8721"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 refractory to anti-neoplastic therapy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4410" w:type="dxa"/>
            <w:gridSpan w:val="5"/>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 xml:space="preserve">Selective </w:t>
            </w:r>
            <w:proofErr w:type="spellStart"/>
            <w:r w:rsidRPr="00B64110">
              <w:rPr>
                <w:rFonts w:ascii="Calibri" w:hAnsi="Calibri" w:cs="Times New Roman"/>
                <w:b/>
                <w:lang w:eastAsia="en-US"/>
              </w:rPr>
              <w:t>estrogen</w:t>
            </w:r>
            <w:proofErr w:type="spellEnd"/>
            <w:r w:rsidRPr="00B64110">
              <w:rPr>
                <w:rFonts w:ascii="Calibri" w:hAnsi="Calibri" w:cs="Times New Roman"/>
                <w:b/>
                <w:lang w:eastAsia="en-US"/>
              </w:rPr>
              <w:t xml:space="preserve"> receptor modulator (SERM)</w:t>
            </w:r>
          </w:p>
        </w:tc>
      </w:tr>
      <w:tr w:rsidR="006379B4" w:rsidRPr="00B64110" w:rsidTr="00B64110">
        <w:tc>
          <w:tcPr>
            <w:tcW w:w="1744"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raloxifene</w:t>
            </w:r>
            <w:proofErr w:type="spellEnd"/>
            <w:r w:rsidRPr="00B64110">
              <w:rPr>
                <w:rFonts w:ascii="Calibri" w:hAnsi="Calibri" w:cs="Times New Roman"/>
                <w:lang w:eastAsia="en-US"/>
              </w:rPr>
              <w:t xml:space="preserve"> hydrochloride</w:t>
            </w:r>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60 mg</w:t>
            </w:r>
          </w:p>
        </w:tc>
        <w:tc>
          <w:tcPr>
            <w:tcW w:w="1273" w:type="dxa"/>
          </w:tcPr>
          <w:p w:rsidR="006379B4" w:rsidRPr="00B64110" w:rsidDel="00216E4A"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4071</w:t>
            </w:r>
          </w:p>
          <w:p w:rsidR="006379B4" w:rsidRPr="00B64110" w:rsidRDefault="006379B4" w:rsidP="00B64110">
            <w:pPr>
              <w:spacing w:after="0" w:line="240" w:lineRule="auto"/>
              <w:jc w:val="left"/>
              <w:rPr>
                <w:rFonts w:ascii="Calibri" w:hAnsi="Calibri" w:cs="Times New Roman"/>
                <w:lang w:eastAsia="en-US"/>
              </w:rPr>
            </w:pP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post-menopausal 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fracture due to minimal trauma,</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c>
          <w:tcPr>
            <w:tcW w:w="14410" w:type="dxa"/>
            <w:gridSpan w:val="5"/>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b/>
                <w:lang w:eastAsia="en-US"/>
              </w:rPr>
              <w:t>Monoclonal antibody</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Denosumab</w:t>
            </w:r>
            <w:proofErr w:type="spellEnd"/>
          </w:p>
        </w:tc>
        <w:tc>
          <w:tcPr>
            <w:tcW w:w="1438"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120 mg/1.7ml</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4158</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4150</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breast cancer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castration-resistant prostate cancer</w:t>
            </w: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369"/>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60 mg/ml</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4094</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Population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be female,</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Population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Patient must be aged 70 years or older,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a Bone Mineral Density (BMD) T-score of -2.5 or less,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tc>
        <w:tc>
          <w:tcPr>
            <w:tcW w:w="123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lastRenderedPageBreak/>
              <w:t>≤</w:t>
            </w:r>
            <w:r w:rsidRPr="00B64110">
              <w:rPr>
                <w:rFonts w:ascii="Calibri" w:hAnsi="Calibri" w:cs="Times New Roman"/>
                <w:lang w:eastAsia="en-US"/>
              </w:rPr>
              <w:t>-2.5</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N/A</w:t>
            </w:r>
          </w:p>
        </w:tc>
      </w:tr>
      <w:tr w:rsidR="006379B4" w:rsidRPr="00B64110" w:rsidTr="00B64110">
        <w:trPr>
          <w:trHeight w:val="351"/>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4145</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post-menopausal 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fracture due to minimal trauma,</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vMerge/>
          </w:tcPr>
          <w:p w:rsidR="006379B4" w:rsidRPr="00B64110" w:rsidRDefault="006379B4" w:rsidP="00B64110">
            <w:pPr>
              <w:spacing w:after="0" w:line="240" w:lineRule="auto"/>
              <w:jc w:val="left"/>
              <w:rPr>
                <w:rFonts w:ascii="Calibri" w:hAnsi="Calibri" w:cs="Calibri"/>
                <w:lang w:eastAsia="en-US"/>
              </w:rPr>
            </w:pP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Carbamazepine</w:t>
            </w:r>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200 mg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Continuing therapy only.</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Note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t>For item codes 2419H and 1706T, pharmaceutical benefits that have the form tablet 200 mg are equivalent for the purposes of substitution.</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N/R</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t xml:space="preserve">For item codes 5040G and 1724R, pharmaceutical benefits that have the form tablet 200 mg are equivalent for the purposes of substitution. </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4455" w:type="dxa"/>
            <w:gridSpan w:val="3"/>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Parathyroid Hormone</w:t>
            </w:r>
          </w:p>
        </w:tc>
        <w:tc>
          <w:tcPr>
            <w:tcW w:w="8721" w:type="dxa"/>
          </w:tcPr>
          <w:p w:rsidR="006379B4" w:rsidRPr="00B64110" w:rsidRDefault="006379B4" w:rsidP="00B64110">
            <w:pPr>
              <w:spacing w:after="0" w:line="240" w:lineRule="auto"/>
              <w:jc w:val="left"/>
              <w:rPr>
                <w:rFonts w:ascii="Calibri" w:hAnsi="Calibri" w:cs="Calibri"/>
                <w:lang w:eastAsia="en-US"/>
              </w:rPr>
            </w:pPr>
          </w:p>
        </w:tc>
        <w:tc>
          <w:tcPr>
            <w:tcW w:w="1234" w:type="dxa"/>
          </w:tcPr>
          <w:p w:rsidR="006379B4" w:rsidRPr="00B64110" w:rsidRDefault="006379B4" w:rsidP="00B64110">
            <w:pPr>
              <w:spacing w:after="0" w:line="240" w:lineRule="auto"/>
              <w:jc w:val="left"/>
              <w:rPr>
                <w:rFonts w:ascii="Calibri" w:hAnsi="Calibri" w:cs="Calibri"/>
                <w:lang w:eastAsia="en-US"/>
              </w:rPr>
            </w:pPr>
          </w:p>
        </w:tc>
      </w:tr>
      <w:tr w:rsidR="006379B4" w:rsidRPr="00B64110" w:rsidTr="00B64110">
        <w:trPr>
          <w:trHeight w:val="8604"/>
        </w:trPr>
        <w:tc>
          <w:tcPr>
            <w:tcW w:w="1744" w:type="dxa"/>
            <w:vMerge w:val="restart"/>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lastRenderedPageBreak/>
              <w:t>Teriparatide</w:t>
            </w:r>
            <w:proofErr w:type="spellEnd"/>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20 microgram/dose injection, 1 x 2.4 mL cartridge</w:t>
            </w:r>
          </w:p>
        </w:tc>
        <w:tc>
          <w:tcPr>
            <w:tcW w:w="1273"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 </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Initial treatment, as the sole PBS-subsidised agent, by a specialist or consultant physician, for severe, established osteoporosis in a patient with a very high risk of fracture who: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has a bone mineral density (BMD) T-score of -3.0 or less; and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(b) has had 2 or more fractures due to minimal trauma; and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(c) </w:t>
            </w:r>
            <w:proofErr w:type="gramStart"/>
            <w:r w:rsidRPr="00B64110">
              <w:rPr>
                <w:rFonts w:ascii="Calibri" w:hAnsi="Calibri" w:cs="Times New Roman"/>
                <w:lang w:eastAsia="en-US"/>
              </w:rPr>
              <w:t>has</w:t>
            </w:r>
            <w:proofErr w:type="gramEnd"/>
            <w:r w:rsidRPr="00B64110">
              <w:rPr>
                <w:rFonts w:ascii="Calibri" w:hAnsi="Calibri" w:cs="Times New Roman"/>
                <w:lang w:eastAsia="en-US"/>
              </w:rPr>
              <w:t xml:space="preserve"> experienced at least 1 symptomatic new fracture after at least 12 months continuous therapy with an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at adequate doses.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If treatment with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therapy is contraindicated according to the relevant TGA-approved Product Information, details of the contraindication must be provided at the time of application.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If an intolerance of a severity necessitating permanent treatment withdrawal develops during the relevant period of use of one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alternate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agents must be trialled so that the patient achieves the minimum requirement of 12 months continuous therapy. Details of accepted toxicities including severity can be found on the Medicare Australia website at www.medicareaustralia.gov.au and must be provided at the time of application.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t>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therapies for osteoporosis and their adequate doses which will be accepted for the purposes of administering this restriction are alendronate sodium 10 mg per day or 70 mg once weekly,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5 mg per day or 35 mg once weekly or 150 mg once monthly, </w:t>
            </w:r>
            <w:proofErr w:type="spellStart"/>
            <w:r w:rsidRPr="00B64110">
              <w:rPr>
                <w:rFonts w:ascii="Calibri" w:hAnsi="Calibri" w:cs="Times New Roman"/>
                <w:lang w:eastAsia="en-US"/>
              </w:rPr>
              <w:t>raloxifene</w:t>
            </w:r>
            <w:proofErr w:type="spellEnd"/>
            <w:r w:rsidRPr="00B64110">
              <w:rPr>
                <w:rFonts w:ascii="Calibri" w:hAnsi="Calibri" w:cs="Times New Roman"/>
                <w:lang w:eastAsia="en-US"/>
              </w:rPr>
              <w:t xml:space="preserve"> hydrochloride 60 mg per day (women only), </w:t>
            </w:r>
            <w:proofErr w:type="spellStart"/>
            <w:r w:rsidRPr="00B64110">
              <w:rPr>
                <w:rFonts w:ascii="Calibri" w:hAnsi="Calibri" w:cs="Times New Roman"/>
                <w:lang w:eastAsia="en-US"/>
              </w:rPr>
              <w:t>denosumab</w:t>
            </w:r>
            <w:proofErr w:type="spellEnd"/>
            <w:r w:rsidRPr="00B64110">
              <w:rPr>
                <w:rFonts w:ascii="Calibri" w:hAnsi="Calibri" w:cs="Times New Roman"/>
                <w:lang w:eastAsia="en-US"/>
              </w:rPr>
              <w:t xml:space="preserve"> 60 mg once every 6 </w:t>
            </w:r>
          </w:p>
          <w:p w:rsidR="006379B4" w:rsidRPr="00B64110" w:rsidRDefault="006379B4" w:rsidP="00B64110">
            <w:pPr>
              <w:spacing w:after="0" w:line="240" w:lineRule="auto"/>
              <w:jc w:val="left"/>
              <w:rPr>
                <w:rFonts w:ascii="Calibri" w:hAnsi="Calibri" w:cs="Times New Roman"/>
                <w:lang w:eastAsia="en-US"/>
              </w:rPr>
            </w:pPr>
            <w:proofErr w:type="gramStart"/>
            <w:r w:rsidRPr="00B64110">
              <w:rPr>
                <w:rFonts w:ascii="Calibri" w:hAnsi="Calibri" w:cs="Times New Roman"/>
                <w:lang w:eastAsia="en-US"/>
              </w:rPr>
              <w:t>months</w:t>
            </w:r>
            <w:proofErr w:type="gramEnd"/>
            <w:r w:rsidRPr="00B64110">
              <w:rPr>
                <w:rFonts w:ascii="Calibri" w:hAnsi="Calibri" w:cs="Times New Roman"/>
                <w:lang w:eastAsia="en-US"/>
              </w:rPr>
              <w:t xml:space="preserve">, 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xml:space="preserve"> 200 mg with calcium carbonate 1.25 g per day, strontium </w:t>
            </w:r>
            <w:proofErr w:type="spellStart"/>
            <w:r w:rsidRPr="00B64110">
              <w:rPr>
                <w:rFonts w:ascii="Calibri" w:hAnsi="Calibri" w:cs="Times New Roman"/>
                <w:lang w:eastAsia="en-US"/>
              </w:rPr>
              <w:t>ranelate</w:t>
            </w:r>
            <w:proofErr w:type="spellEnd"/>
            <w:r w:rsidRPr="00B64110">
              <w:rPr>
                <w:rFonts w:ascii="Calibri" w:hAnsi="Calibri" w:cs="Times New Roman"/>
                <w:lang w:eastAsia="en-US"/>
              </w:rPr>
              <w:t xml:space="preserve"> 2 g per day and </w:t>
            </w:r>
            <w:proofErr w:type="spellStart"/>
            <w:r w:rsidRPr="00B64110">
              <w:rPr>
                <w:rFonts w:ascii="Calibri" w:hAnsi="Calibri" w:cs="Times New Roman"/>
                <w:lang w:eastAsia="en-US"/>
              </w:rPr>
              <w:t>zoledronic</w:t>
            </w:r>
            <w:proofErr w:type="spellEnd"/>
            <w:r w:rsidRPr="00B64110">
              <w:rPr>
                <w:rFonts w:ascii="Calibri" w:hAnsi="Calibri" w:cs="Times New Roman"/>
                <w:lang w:eastAsia="en-US"/>
              </w:rPr>
              <w:t xml:space="preserve"> acid 5 mg per annum.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Details of prior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therapy, fracture history including the date(s), site(s), the symptoms associated with the fracture(s) which developed during the course of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therapy and the score of the qualifying BMD measurement must be provided to Medicare Australia at the time of application.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Note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No applications for increased maximum quantities and/or repeats will be authorised. </w:t>
            </w:r>
          </w:p>
          <w:p w:rsidR="006379B4" w:rsidRPr="00B64110" w:rsidRDefault="006379B4" w:rsidP="00B64110">
            <w:pPr>
              <w:spacing w:after="0" w:line="240" w:lineRule="auto"/>
              <w:jc w:val="left"/>
              <w:rPr>
                <w:rFonts w:ascii="Calibri" w:hAnsi="Calibri" w:cs="Calibri"/>
                <w:lang w:eastAsia="en-US"/>
              </w:rPr>
            </w:pPr>
          </w:p>
        </w:tc>
        <w:tc>
          <w:tcPr>
            <w:tcW w:w="1234" w:type="dxa"/>
            <w:vMerge w:val="restart"/>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≤-3.0</w:t>
            </w:r>
          </w:p>
        </w:tc>
      </w:tr>
      <w:tr w:rsidR="006379B4" w:rsidRPr="00B64110" w:rsidTr="00B64110">
        <w:trPr>
          <w:trHeight w:val="2210"/>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vMerge/>
          </w:tcPr>
          <w:p w:rsidR="006379B4" w:rsidRPr="00B64110" w:rsidRDefault="006379B4" w:rsidP="00B64110">
            <w:pPr>
              <w:spacing w:after="0" w:line="240" w:lineRule="auto"/>
              <w:jc w:val="left"/>
              <w:rPr>
                <w:rFonts w:ascii="Calibri" w:hAnsi="Calibri" w:cs="Times New Roman"/>
                <w:lang w:eastAsia="en-US"/>
              </w:rPr>
            </w:pP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Continuing treatment for severe established osteoporosis where the patient has previously been issued with an authority prescription for this drug. </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Teriparatide</w:t>
            </w:r>
            <w:proofErr w:type="spellEnd"/>
            <w:r w:rsidRPr="00B64110">
              <w:rPr>
                <w:rFonts w:ascii="Calibri" w:hAnsi="Calibri" w:cs="Times New Roman"/>
                <w:lang w:eastAsia="en-US"/>
              </w:rPr>
              <w:t xml:space="preserve"> must only be used for a lifetime maximum of 18 months therapy (18 pens). Up to a maximum of 18 pens will be reimbursed through the PBS.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Note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applications for increased maximum quantities and/or repeats will be authorised.</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Continuing treatment for severe established osteoporosis where the patient has previously been issued with an authority prescription for this drug. </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Teriparatide</w:t>
            </w:r>
            <w:proofErr w:type="spellEnd"/>
            <w:r w:rsidRPr="00B64110">
              <w:rPr>
                <w:rFonts w:ascii="Calibri" w:hAnsi="Calibri" w:cs="Times New Roman"/>
                <w:lang w:eastAsia="en-US"/>
              </w:rPr>
              <w:t xml:space="preserve"> must only be used for a lifetime maximum of 18 months therapy (18 pens). Up to a maximum of 18 pens will be reimbursed through the PBS. </w:t>
            </w:r>
          </w:p>
          <w:p w:rsidR="006379B4" w:rsidRPr="00B64110" w:rsidRDefault="006379B4" w:rsidP="00B64110">
            <w:pPr>
              <w:spacing w:after="0" w:line="240" w:lineRule="auto"/>
              <w:jc w:val="left"/>
              <w:rPr>
                <w:rFonts w:ascii="Calibri" w:hAnsi="Calibri" w:cs="Times New Roman"/>
                <w:lang w:eastAsia="en-US"/>
              </w:rPr>
            </w:pP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Note </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applications for increased maximum quantities and/or repeats will be authorised.</w:t>
            </w:r>
          </w:p>
        </w:tc>
        <w:tc>
          <w:tcPr>
            <w:tcW w:w="1234" w:type="dxa"/>
            <w:vMerge/>
          </w:tcPr>
          <w:p w:rsidR="006379B4" w:rsidRPr="00B64110" w:rsidRDefault="006379B4" w:rsidP="00B64110">
            <w:pPr>
              <w:spacing w:after="0" w:line="240" w:lineRule="auto"/>
              <w:jc w:val="left"/>
              <w:rPr>
                <w:rFonts w:ascii="Calibri" w:hAnsi="Calibri" w:cs="Calibri"/>
                <w:lang w:eastAsia="en-US"/>
              </w:rPr>
            </w:pP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b/>
                <w:lang w:eastAsia="en-US"/>
              </w:rPr>
            </w:pPr>
            <w:r w:rsidRPr="00B64110">
              <w:rPr>
                <w:rFonts w:ascii="Calibri" w:hAnsi="Calibri" w:cs="Times New Roman"/>
                <w:b/>
                <w:lang w:eastAsia="en-US"/>
              </w:rPr>
              <w:t xml:space="preserve">strontium </w:t>
            </w:r>
            <w:proofErr w:type="spellStart"/>
            <w:r w:rsidRPr="00B64110">
              <w:rPr>
                <w:rFonts w:ascii="Calibri" w:hAnsi="Calibri" w:cs="Times New Roman"/>
                <w:b/>
                <w:lang w:eastAsia="en-US"/>
              </w:rPr>
              <w:t>ranelate</w:t>
            </w:r>
            <w:proofErr w:type="spellEnd"/>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 g</w:t>
            </w: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4117</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Population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be aged 70 years or older,</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a Bone Mineral Density (BMD) T-score of -3.0 or less,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date, site (femoral neck or lumbar spine) and score of the qualifying BMD measurement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p>
        </w:tc>
        <w:tc>
          <w:tcPr>
            <w:tcW w:w="1234"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Calibri"/>
                <w:lang w:eastAsia="en-US"/>
              </w:rPr>
              <w:t>≤</w:t>
            </w:r>
            <w:r w:rsidRPr="00B64110">
              <w:rPr>
                <w:rFonts w:ascii="Calibri" w:hAnsi="Calibri" w:cs="Times New Roman"/>
                <w:lang w:eastAsia="en-US"/>
              </w:rPr>
              <w:t>-3.0</w:t>
            </w:r>
          </w:p>
        </w:tc>
      </w:tr>
      <w:tr w:rsidR="006379B4" w:rsidRPr="00B64110" w:rsidTr="00B64110">
        <w:trPr>
          <w:trHeight w:val="296"/>
        </w:trPr>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4123</w:t>
            </w:r>
          </w:p>
        </w:tc>
        <w:tc>
          <w:tcPr>
            <w:tcW w:w="872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Established osteoporosis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have fracture due to minimal trauma,</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AND the Clinical criteria is:</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Patient must not receive concomitant treatment with any other PBS-subsidised anti-</w:t>
            </w:r>
            <w:proofErr w:type="spellStart"/>
            <w:r w:rsidRPr="00B64110">
              <w:rPr>
                <w:rFonts w:ascii="Calibri" w:hAnsi="Calibri" w:cs="Times New Roman"/>
                <w:lang w:eastAsia="en-US"/>
              </w:rPr>
              <w:t>resorptive</w:t>
            </w:r>
            <w:proofErr w:type="spellEnd"/>
            <w:r w:rsidRPr="00B64110">
              <w:rPr>
                <w:rFonts w:ascii="Calibri" w:hAnsi="Calibri" w:cs="Times New Roman"/>
                <w:lang w:eastAsia="en-US"/>
              </w:rPr>
              <w:t xml:space="preserve"> agent for this condition.</w:t>
            </w:r>
          </w:p>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The fracture must have been demonstrated </w:t>
            </w:r>
            <w:proofErr w:type="spellStart"/>
            <w:r w:rsidRPr="00B64110">
              <w:rPr>
                <w:rFonts w:ascii="Calibri" w:hAnsi="Calibri" w:cs="Times New Roman"/>
                <w:lang w:eastAsia="en-US"/>
              </w:rPr>
              <w:t>radiologically</w:t>
            </w:r>
            <w:proofErr w:type="spellEnd"/>
            <w:r w:rsidRPr="00B64110">
              <w:rPr>
                <w:rFonts w:ascii="Calibri" w:hAnsi="Calibri" w:cs="Times New Roman"/>
                <w:lang w:eastAsia="en-US"/>
              </w:rPr>
              <w:t xml:space="preserve"> and the year of plain x-ray or computed tomography (CT) scan or magnetic resonance imaging (MRI) scan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lastRenderedPageBreak/>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lastRenderedPageBreak/>
              <w:t>N/A</w:t>
            </w:r>
          </w:p>
        </w:tc>
      </w:tr>
      <w:tr w:rsidR="006379B4" w:rsidRPr="00B64110" w:rsidTr="00B64110">
        <w:tc>
          <w:tcPr>
            <w:tcW w:w="1744" w:type="dxa"/>
            <w:vMerge w:val="restart"/>
          </w:tcPr>
          <w:p w:rsidR="006379B4" w:rsidRPr="00B64110" w:rsidRDefault="006379B4" w:rsidP="00B64110">
            <w:pPr>
              <w:spacing w:after="0" w:line="240" w:lineRule="auto"/>
              <w:jc w:val="left"/>
              <w:rPr>
                <w:rFonts w:ascii="Calibri" w:hAnsi="Calibri" w:cs="Times New Roman"/>
                <w:b/>
                <w:lang w:eastAsia="en-US"/>
              </w:rPr>
            </w:pPr>
            <w:proofErr w:type="spellStart"/>
            <w:r w:rsidRPr="00B64110">
              <w:rPr>
                <w:rFonts w:ascii="Calibri" w:hAnsi="Calibri" w:cs="Times New Roman"/>
                <w:b/>
                <w:lang w:eastAsia="en-US"/>
              </w:rPr>
              <w:lastRenderedPageBreak/>
              <w:t>Calcitriol</w:t>
            </w:r>
            <w:proofErr w:type="spellEnd"/>
          </w:p>
        </w:tc>
        <w:tc>
          <w:tcPr>
            <w:tcW w:w="1438" w:type="dxa"/>
            <w:vMerge w:val="restart"/>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0.25 </w:t>
            </w:r>
            <w:proofErr w:type="spellStart"/>
            <w:r w:rsidRPr="00B64110">
              <w:rPr>
                <w:rFonts w:ascii="Calibri" w:hAnsi="Calibri" w:cs="Times New Roman"/>
                <w:lang w:eastAsia="en-US"/>
              </w:rPr>
              <w:t>microg</w:t>
            </w:r>
            <w:proofErr w:type="spellEnd"/>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1165</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t>Hypocalcaemia due to renal disease.</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1166</w:t>
            </w:r>
          </w:p>
        </w:tc>
        <w:tc>
          <w:tcPr>
            <w:tcW w:w="8721" w:type="dxa"/>
          </w:tcPr>
          <w:p w:rsidR="006379B4" w:rsidRPr="00B64110" w:rsidRDefault="006379B4" w:rsidP="00B64110">
            <w:pPr>
              <w:spacing w:after="0" w:line="240" w:lineRule="auto"/>
              <w:jc w:val="left"/>
              <w:rPr>
                <w:rFonts w:ascii="Calibri" w:hAnsi="Calibri" w:cs="Calibri"/>
                <w:lang w:eastAsia="en-US"/>
              </w:rPr>
            </w:pPr>
            <w:proofErr w:type="spellStart"/>
            <w:r w:rsidRPr="00B64110">
              <w:rPr>
                <w:rFonts w:ascii="Calibri" w:hAnsi="Calibri" w:cs="Times New Roman"/>
                <w:lang w:eastAsia="en-US"/>
              </w:rPr>
              <w:t>Hypoparathyroidism</w:t>
            </w:r>
            <w:proofErr w:type="spellEnd"/>
            <w:r w:rsidRPr="00B64110">
              <w:rPr>
                <w:rFonts w:ascii="Calibri" w:hAnsi="Calibri" w:cs="Times New Roman"/>
                <w:lang w:eastAsia="en-US"/>
              </w:rPr>
              <w:t>.</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1167 </w:t>
            </w:r>
          </w:p>
        </w:tc>
        <w:tc>
          <w:tcPr>
            <w:tcW w:w="8721" w:type="dxa"/>
          </w:tcPr>
          <w:p w:rsidR="006379B4" w:rsidRPr="00B64110" w:rsidRDefault="006379B4" w:rsidP="00B64110">
            <w:pPr>
              <w:spacing w:after="0" w:line="240" w:lineRule="auto"/>
              <w:jc w:val="left"/>
              <w:rPr>
                <w:rFonts w:ascii="Calibri" w:hAnsi="Calibri" w:cs="Calibri"/>
                <w:lang w:eastAsia="en-US"/>
              </w:rPr>
            </w:pPr>
            <w:proofErr w:type="spellStart"/>
            <w:r w:rsidRPr="00B64110">
              <w:rPr>
                <w:rFonts w:ascii="Calibri" w:hAnsi="Calibri" w:cs="Times New Roman"/>
                <w:lang w:eastAsia="en-US"/>
              </w:rPr>
              <w:t>Hypophosphataemic</w:t>
            </w:r>
            <w:proofErr w:type="spellEnd"/>
            <w:r w:rsidRPr="00B64110">
              <w:rPr>
                <w:rFonts w:ascii="Calibri" w:hAnsi="Calibri" w:cs="Times New Roman"/>
                <w:lang w:eastAsia="en-US"/>
              </w:rPr>
              <w:t xml:space="preserve"> rickets.</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1467 </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t>Vitamin D-resistant rickets.</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744" w:type="dxa"/>
            <w:vMerge/>
          </w:tcPr>
          <w:p w:rsidR="006379B4" w:rsidRPr="00B64110" w:rsidRDefault="006379B4" w:rsidP="00B64110">
            <w:pPr>
              <w:spacing w:after="0" w:line="240" w:lineRule="auto"/>
              <w:jc w:val="left"/>
              <w:rPr>
                <w:rFonts w:ascii="Calibri" w:hAnsi="Calibri" w:cs="Times New Roman"/>
                <w:lang w:eastAsia="en-US"/>
              </w:rPr>
            </w:pPr>
          </w:p>
        </w:tc>
        <w:tc>
          <w:tcPr>
            <w:tcW w:w="1438" w:type="dxa"/>
            <w:vMerge/>
          </w:tcPr>
          <w:p w:rsidR="006379B4" w:rsidRPr="00B64110" w:rsidRDefault="006379B4" w:rsidP="00B64110">
            <w:pPr>
              <w:spacing w:after="0" w:line="240" w:lineRule="auto"/>
              <w:jc w:val="left"/>
              <w:rPr>
                <w:rFonts w:ascii="Calibri" w:hAnsi="Calibri" w:cs="Times New Roman"/>
                <w:lang w:eastAsia="en-US"/>
              </w:rPr>
            </w:pPr>
          </w:p>
        </w:tc>
        <w:tc>
          <w:tcPr>
            <w:tcW w:w="1273"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2636</w:t>
            </w:r>
          </w:p>
        </w:tc>
        <w:tc>
          <w:tcPr>
            <w:tcW w:w="8721"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Times New Roman"/>
                <w:lang w:eastAsia="en-US"/>
              </w:rPr>
              <w:t>Established osteoporosis in patients with fracture due to minimal trauma.</w:t>
            </w:r>
          </w:p>
        </w:tc>
        <w:tc>
          <w:tcPr>
            <w:tcW w:w="1234" w:type="dxa"/>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N/A</w:t>
            </w:r>
          </w:p>
        </w:tc>
      </w:tr>
      <w:tr w:rsidR="006379B4" w:rsidRPr="00B64110" w:rsidTr="00B64110">
        <w:tc>
          <w:tcPr>
            <w:tcW w:w="14410" w:type="dxa"/>
            <w:gridSpan w:val="5"/>
          </w:tcPr>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1153 Heterotopic ossification.</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1165 Hypocalcaemia due to renal disease.</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1166Hypoparathyroidism.</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1167 </w:t>
            </w:r>
            <w:proofErr w:type="spellStart"/>
            <w:r w:rsidRPr="00B64110">
              <w:rPr>
                <w:rFonts w:ascii="Calibri" w:hAnsi="Calibri" w:cs="Calibri"/>
                <w:lang w:eastAsia="en-US"/>
              </w:rPr>
              <w:t>Hypophosphataemic</w:t>
            </w:r>
            <w:proofErr w:type="spellEnd"/>
            <w:r w:rsidRPr="00B64110">
              <w:rPr>
                <w:rFonts w:ascii="Calibri" w:hAnsi="Calibri" w:cs="Calibri"/>
                <w:lang w:eastAsia="en-US"/>
              </w:rPr>
              <w:t xml:space="preserve"> rickets.</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1467 Vitamin D-resistant rickets.</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2636Treatment for established osteoporosis in patients with fracture due to minimal trauma. The fracture must have been demonstrated </w:t>
            </w:r>
            <w:proofErr w:type="spellStart"/>
            <w:r w:rsidRPr="00B64110">
              <w:rPr>
                <w:rFonts w:ascii="Calibri" w:hAnsi="Calibri" w:cs="Calibri"/>
                <w:lang w:eastAsia="en-US"/>
              </w:rPr>
              <w:t>radiologically</w:t>
            </w:r>
            <w:proofErr w:type="spellEnd"/>
            <w:r w:rsidRPr="00B64110">
              <w:rPr>
                <w:rFonts w:ascii="Calibri" w:hAnsi="Calibri" w:cs="Calibri"/>
                <w:lang w:eastAsia="en-US"/>
              </w:rPr>
              <w:t xml:space="preserve"> and the year of plain x-ray or CT-scan or MRI scan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2645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osteoporosis in a patient aged 70 years of age or older with a Bone Mineral Density (BMD) T-score of -3.0 or less.  The date, site (femoral neck or lumbar spine) and score of the qualifying BMD measurement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2646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established osteoporosis in patients with fracture due to minimal trauma. The fracture must have been demonstrated </w:t>
            </w:r>
            <w:proofErr w:type="spellStart"/>
            <w:r w:rsidRPr="00B64110">
              <w:rPr>
                <w:rFonts w:ascii="Calibri" w:hAnsi="Calibri" w:cs="Calibri"/>
                <w:lang w:eastAsia="en-US"/>
              </w:rPr>
              <w:t>radiologically</w:t>
            </w:r>
            <w:proofErr w:type="spellEnd"/>
            <w:r w:rsidRPr="00B64110">
              <w:rPr>
                <w:rFonts w:ascii="Calibri" w:hAnsi="Calibri" w:cs="Calibri"/>
                <w:lang w:eastAsia="en-US"/>
              </w:rPr>
              <w:t xml:space="preserve"> and the year of plain x-ray or CT-scan or MRI scan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Note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agents in established osteoporosis include alendronate sodium, </w:t>
            </w:r>
            <w:proofErr w:type="spellStart"/>
            <w:r w:rsidRPr="00B64110">
              <w:rPr>
                <w:rFonts w:ascii="Calibri" w:hAnsi="Calibri" w:cs="Calibri"/>
                <w:lang w:eastAsia="en-US"/>
              </w:rPr>
              <w:t>risedronate</w:t>
            </w:r>
            <w:proofErr w:type="spellEnd"/>
            <w:r w:rsidRPr="00B64110">
              <w:rPr>
                <w:rFonts w:ascii="Calibri" w:hAnsi="Calibri" w:cs="Calibri"/>
                <w:lang w:eastAsia="en-US"/>
              </w:rPr>
              <w:t xml:space="preserve"> sodium, </w:t>
            </w:r>
            <w:proofErr w:type="spellStart"/>
            <w:r w:rsidRPr="00B64110">
              <w:rPr>
                <w:rFonts w:ascii="Calibri" w:hAnsi="Calibri" w:cs="Calibri"/>
                <w:lang w:eastAsia="en-US"/>
              </w:rPr>
              <w:t>denosumab</w:t>
            </w:r>
            <w:proofErr w:type="spellEnd"/>
            <w:r w:rsidRPr="00B64110">
              <w:rPr>
                <w:rFonts w:ascii="Calibri" w:hAnsi="Calibri" w:cs="Calibri"/>
                <w:lang w:eastAsia="en-US"/>
              </w:rPr>
              <w:t xml:space="preserve">, disodium </w:t>
            </w:r>
            <w:proofErr w:type="spellStart"/>
            <w:r w:rsidRPr="00B64110">
              <w:rPr>
                <w:rFonts w:ascii="Calibri" w:hAnsi="Calibri" w:cs="Calibri"/>
                <w:lang w:eastAsia="en-US"/>
              </w:rPr>
              <w:t>etidronate</w:t>
            </w:r>
            <w:proofErr w:type="spellEnd"/>
            <w:r w:rsidRPr="00B64110">
              <w:rPr>
                <w:rFonts w:ascii="Calibri" w:hAnsi="Calibri" w:cs="Calibri"/>
                <w:lang w:eastAsia="en-US"/>
              </w:rPr>
              <w:t xml:space="preserve">, </w:t>
            </w:r>
            <w:proofErr w:type="spellStart"/>
            <w:r w:rsidRPr="00B64110">
              <w:rPr>
                <w:rFonts w:ascii="Calibri" w:hAnsi="Calibri" w:cs="Calibri"/>
                <w:lang w:eastAsia="en-US"/>
              </w:rPr>
              <w:t>raloxifene</w:t>
            </w:r>
            <w:proofErr w:type="spellEnd"/>
            <w:r w:rsidRPr="00B64110">
              <w:rPr>
                <w:rFonts w:ascii="Calibri" w:hAnsi="Calibri" w:cs="Calibri"/>
                <w:lang w:eastAsia="en-US"/>
              </w:rPr>
              <w:t xml:space="preserve"> hydrochloride, strontium </w:t>
            </w:r>
            <w:proofErr w:type="spellStart"/>
            <w:r w:rsidRPr="00B64110">
              <w:rPr>
                <w:rFonts w:ascii="Calibri" w:hAnsi="Calibri" w:cs="Calibri"/>
                <w:lang w:eastAsia="en-US"/>
              </w:rPr>
              <w:t>ranelate</w:t>
            </w:r>
            <w:proofErr w:type="spellEnd"/>
            <w:r w:rsidRPr="00B64110">
              <w:rPr>
                <w:rFonts w:ascii="Calibri" w:hAnsi="Calibri" w:cs="Calibri"/>
                <w:lang w:eastAsia="en-US"/>
              </w:rPr>
              <w:t xml:space="preserve"> and </w:t>
            </w:r>
            <w:proofErr w:type="spellStart"/>
            <w:r w:rsidRPr="00B64110">
              <w:rPr>
                <w:rFonts w:ascii="Calibri" w:hAnsi="Calibri" w:cs="Calibri"/>
                <w:lang w:eastAsia="en-US"/>
              </w:rPr>
              <w:t>zoledronic</w:t>
            </w:r>
            <w:proofErr w:type="spellEnd"/>
            <w:r w:rsidRPr="00B64110">
              <w:rPr>
                <w:rFonts w:ascii="Calibri" w:hAnsi="Calibri" w:cs="Calibri"/>
                <w:lang w:eastAsia="en-US"/>
              </w:rPr>
              <w:t xml:space="preserve"> acid.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lastRenderedPageBreak/>
              <w:t>2647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established post-menopausal osteoporosis in patients with fracture due to minimal trauma. The fracture must have been demonstrated </w:t>
            </w:r>
            <w:proofErr w:type="spellStart"/>
            <w:r w:rsidRPr="00B64110">
              <w:rPr>
                <w:rFonts w:ascii="Calibri" w:hAnsi="Calibri" w:cs="Calibri"/>
                <w:lang w:eastAsia="en-US"/>
              </w:rPr>
              <w:t>radiologically</w:t>
            </w:r>
            <w:proofErr w:type="spellEnd"/>
            <w:r w:rsidRPr="00B64110">
              <w:rPr>
                <w:rFonts w:ascii="Calibri" w:hAnsi="Calibri" w:cs="Calibri"/>
                <w:lang w:eastAsia="en-US"/>
              </w:rPr>
              <w:t xml:space="preserve"> and the year of plain x-ray or CT-scan or MRI scan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Note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agents in established osteoporosis include alendronate sodium, </w:t>
            </w:r>
            <w:proofErr w:type="spellStart"/>
            <w:r w:rsidRPr="00B64110">
              <w:rPr>
                <w:rFonts w:ascii="Calibri" w:hAnsi="Calibri" w:cs="Calibri"/>
                <w:lang w:eastAsia="en-US"/>
              </w:rPr>
              <w:t>risedronate</w:t>
            </w:r>
            <w:proofErr w:type="spellEnd"/>
            <w:r w:rsidRPr="00B64110">
              <w:rPr>
                <w:rFonts w:ascii="Calibri" w:hAnsi="Calibri" w:cs="Calibri"/>
                <w:lang w:eastAsia="en-US"/>
              </w:rPr>
              <w:t xml:space="preserve"> sodium, </w:t>
            </w:r>
            <w:proofErr w:type="spellStart"/>
            <w:r w:rsidRPr="00B64110">
              <w:rPr>
                <w:rFonts w:ascii="Calibri" w:hAnsi="Calibri" w:cs="Calibri"/>
                <w:lang w:eastAsia="en-US"/>
              </w:rPr>
              <w:t>denosumab</w:t>
            </w:r>
            <w:proofErr w:type="spellEnd"/>
            <w:r w:rsidRPr="00B64110">
              <w:rPr>
                <w:rFonts w:ascii="Calibri" w:hAnsi="Calibri" w:cs="Calibri"/>
                <w:lang w:eastAsia="en-US"/>
              </w:rPr>
              <w:t xml:space="preserve">, disodium </w:t>
            </w:r>
            <w:proofErr w:type="spellStart"/>
            <w:r w:rsidRPr="00B64110">
              <w:rPr>
                <w:rFonts w:ascii="Calibri" w:hAnsi="Calibri" w:cs="Calibri"/>
                <w:lang w:eastAsia="en-US"/>
              </w:rPr>
              <w:t>etidronate</w:t>
            </w:r>
            <w:proofErr w:type="spellEnd"/>
            <w:r w:rsidRPr="00B64110">
              <w:rPr>
                <w:rFonts w:ascii="Calibri" w:hAnsi="Calibri" w:cs="Calibri"/>
                <w:lang w:eastAsia="en-US"/>
              </w:rPr>
              <w:t xml:space="preserve">, </w:t>
            </w:r>
            <w:proofErr w:type="spellStart"/>
            <w:r w:rsidRPr="00B64110">
              <w:rPr>
                <w:rFonts w:ascii="Calibri" w:hAnsi="Calibri" w:cs="Calibri"/>
                <w:lang w:eastAsia="en-US"/>
              </w:rPr>
              <w:t>raloxifene</w:t>
            </w:r>
            <w:proofErr w:type="spellEnd"/>
            <w:r w:rsidRPr="00B64110">
              <w:rPr>
                <w:rFonts w:ascii="Calibri" w:hAnsi="Calibri" w:cs="Calibri"/>
                <w:lang w:eastAsia="en-US"/>
              </w:rPr>
              <w:t xml:space="preserve"> hydrochloride, strontium </w:t>
            </w:r>
            <w:proofErr w:type="spellStart"/>
            <w:r w:rsidRPr="00B64110">
              <w:rPr>
                <w:rFonts w:ascii="Calibri" w:hAnsi="Calibri" w:cs="Calibri"/>
                <w:lang w:eastAsia="en-US"/>
              </w:rPr>
              <w:t>ranelate</w:t>
            </w:r>
            <w:proofErr w:type="spellEnd"/>
            <w:r w:rsidRPr="00B64110">
              <w:rPr>
                <w:rFonts w:ascii="Calibri" w:hAnsi="Calibri" w:cs="Calibri"/>
                <w:lang w:eastAsia="en-US"/>
              </w:rPr>
              <w:t xml:space="preserve"> and </w:t>
            </w:r>
            <w:proofErr w:type="spellStart"/>
            <w:r w:rsidRPr="00B64110">
              <w:rPr>
                <w:rFonts w:ascii="Calibri" w:hAnsi="Calibri" w:cs="Calibri"/>
                <w:lang w:eastAsia="en-US"/>
              </w:rPr>
              <w:t>zoledronic</w:t>
            </w:r>
            <w:proofErr w:type="spellEnd"/>
            <w:r w:rsidRPr="00B64110">
              <w:rPr>
                <w:rFonts w:ascii="Calibri" w:hAnsi="Calibri" w:cs="Calibri"/>
                <w:lang w:eastAsia="en-US"/>
              </w:rPr>
              <w:t xml:space="preserve"> acid.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2758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osteoporosis in a woman aged 70 years or older with a bone mineral density (BMD) T-score of -3.0 or less. </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3070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corticosteroid-induced osteoporosis in a patient currently on long-term (at least 3 months), high-dose (at least 7.5 mg per day prednisolone or equivalent) corticosteroid therapy with a Bone Mineral Density (BMD) T-score of -1.5 or less. The duration and dose of corticosteroid therapy together with the date, site (femoral neck or lumbar spine) and score of the qualifying BMD measurement must be documented in the patient's medical records when treatment is initiated.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3256 Symptomatic Paget disease of bone.</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3257 Symptomatic Paget disease of bone when calcitonin has been found to be unsatisfactory due to lack of efficacy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3258 Symptomatic Paget disease of bone when calcitonin has been found to be unsatisfactory due to unacceptable side effects</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3341Treatment of </w:t>
            </w:r>
            <w:proofErr w:type="spellStart"/>
            <w:r w:rsidRPr="00B64110">
              <w:rPr>
                <w:rFonts w:ascii="Calibri" w:hAnsi="Calibri" w:cs="Calibri"/>
                <w:lang w:eastAsia="en-US"/>
              </w:rPr>
              <w:t>hypercalcaemia</w:t>
            </w:r>
            <w:proofErr w:type="spellEnd"/>
            <w:r w:rsidRPr="00B64110">
              <w:rPr>
                <w:rFonts w:ascii="Calibri" w:hAnsi="Calibri" w:cs="Calibri"/>
                <w:lang w:eastAsia="en-US"/>
              </w:rPr>
              <w:t xml:space="preserve"> of malignancy refractory to anti-neoplastic therapy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3342 Multiple myeloma</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3343 Bone metastases from breast cancer</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3256 Symptomatic Paget disease of bone.</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lastRenderedPageBreak/>
              <w:t>3257 Symptomatic Paget disease of bone when calcitonin has been found to be unsatisfactory due to lack of efficacy.</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3258 Symptomatic Paget disease of bone when calcitonin has been found to be unsatisfactory due to unacceptable side effects.</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3933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osteoporosis in a patient aged 70 years of age or older with a Bone Mineral Density (BMD) T-score of -2.5 or less. The date, site (femoral neck or lumbar spine) and score of the qualifying BMD measurement must be documented in the patient's medical records when treatment is initiated.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3945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corticosteroid-induced osteoporosis in a patient currently on long-term (at least 3 months), high-dose (at least 7.5 mg per day prednisolone or equivalent) corticosteroid therapy with a Bone Mineral Density (BMD) T-score of -1.5 or less.</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3946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established osteoporosis in a patient with fracture due to minimal trauma.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In all cases, the fracture must have been demonstrated </w:t>
            </w:r>
            <w:proofErr w:type="spellStart"/>
            <w:r w:rsidRPr="00B64110">
              <w:rPr>
                <w:rFonts w:ascii="Calibri" w:hAnsi="Calibri" w:cs="Calibri"/>
                <w:lang w:eastAsia="en-US"/>
              </w:rPr>
              <w:t>radiologically</w:t>
            </w:r>
            <w:proofErr w:type="spellEnd"/>
            <w:r w:rsidRPr="00B64110">
              <w:rPr>
                <w:rFonts w:ascii="Calibri" w:hAnsi="Calibri" w:cs="Calibri"/>
                <w:lang w:eastAsia="en-US"/>
              </w:rPr>
              <w:t xml:space="preserve"> and the year of plain x-ray or CT-scan or MRI scan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Only 1 treatment each year per patient will be PBS-subsidised.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3947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osteoporosis in a patient aged 70 years of age or older with a Bone Mineral Density (BMD) T-score of -3.0 or less.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The date, site (femoral neck or lumbar spine) and score of the qualifying BMD measurement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Only 1 treatment each year per patient will be PBS-subsidised.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3987</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established post-menopausal osteoporosis in a woman with fracture due to minimal trauma. The fracture must have been demonstrated </w:t>
            </w:r>
            <w:proofErr w:type="spellStart"/>
            <w:r w:rsidRPr="00B64110">
              <w:rPr>
                <w:rFonts w:ascii="Calibri" w:hAnsi="Calibri" w:cs="Calibri"/>
                <w:lang w:eastAsia="en-US"/>
              </w:rPr>
              <w:t>radiologically</w:t>
            </w:r>
            <w:proofErr w:type="spellEnd"/>
            <w:r w:rsidRPr="00B64110">
              <w:rPr>
                <w:rFonts w:ascii="Calibri" w:hAnsi="Calibri" w:cs="Calibri"/>
                <w:lang w:eastAsia="en-US"/>
              </w:rPr>
              <w:t xml:space="preserve"> and the year of plain x-ray or CT-scan or MRI scan must be documented in the patient's medical records when treatment is initiated.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 xml:space="preserve">Note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agents in established osteoporosis include alendronate sodium, </w:t>
            </w:r>
            <w:proofErr w:type="spellStart"/>
            <w:r w:rsidRPr="00B64110">
              <w:rPr>
                <w:rFonts w:ascii="Calibri" w:hAnsi="Calibri" w:cs="Calibri"/>
                <w:lang w:eastAsia="en-US"/>
              </w:rPr>
              <w:t>risedronate</w:t>
            </w:r>
            <w:proofErr w:type="spellEnd"/>
            <w:r w:rsidRPr="00B64110">
              <w:rPr>
                <w:rFonts w:ascii="Calibri" w:hAnsi="Calibri" w:cs="Calibri"/>
                <w:lang w:eastAsia="en-US"/>
              </w:rPr>
              <w:t xml:space="preserve"> sodium, </w:t>
            </w:r>
            <w:proofErr w:type="spellStart"/>
            <w:r w:rsidRPr="00B64110">
              <w:rPr>
                <w:rFonts w:ascii="Calibri" w:hAnsi="Calibri" w:cs="Calibri"/>
                <w:lang w:eastAsia="en-US"/>
              </w:rPr>
              <w:t>denosumab</w:t>
            </w:r>
            <w:proofErr w:type="spellEnd"/>
            <w:r w:rsidRPr="00B64110">
              <w:rPr>
                <w:rFonts w:ascii="Calibri" w:hAnsi="Calibri" w:cs="Calibri"/>
                <w:lang w:eastAsia="en-US"/>
              </w:rPr>
              <w:t xml:space="preserve">, disodium </w:t>
            </w:r>
            <w:proofErr w:type="spellStart"/>
            <w:r w:rsidRPr="00B64110">
              <w:rPr>
                <w:rFonts w:ascii="Calibri" w:hAnsi="Calibri" w:cs="Calibri"/>
                <w:lang w:eastAsia="en-US"/>
              </w:rPr>
              <w:t>etidronate</w:t>
            </w:r>
            <w:proofErr w:type="spellEnd"/>
            <w:r w:rsidRPr="00B64110">
              <w:rPr>
                <w:rFonts w:ascii="Calibri" w:hAnsi="Calibri" w:cs="Calibri"/>
                <w:lang w:eastAsia="en-US"/>
              </w:rPr>
              <w:t xml:space="preserve">, </w:t>
            </w:r>
            <w:proofErr w:type="spellStart"/>
            <w:r w:rsidRPr="00B64110">
              <w:rPr>
                <w:rFonts w:ascii="Calibri" w:hAnsi="Calibri" w:cs="Calibri"/>
                <w:lang w:eastAsia="en-US"/>
              </w:rPr>
              <w:t>raloxifene</w:t>
            </w:r>
            <w:proofErr w:type="spellEnd"/>
            <w:r w:rsidRPr="00B64110">
              <w:rPr>
                <w:rFonts w:ascii="Calibri" w:hAnsi="Calibri" w:cs="Calibri"/>
                <w:lang w:eastAsia="en-US"/>
              </w:rPr>
              <w:t xml:space="preserve"> hydrochloride, strontium </w:t>
            </w:r>
            <w:proofErr w:type="spellStart"/>
            <w:r w:rsidRPr="00B64110">
              <w:rPr>
                <w:rFonts w:ascii="Calibri" w:hAnsi="Calibri" w:cs="Calibri"/>
                <w:lang w:eastAsia="en-US"/>
              </w:rPr>
              <w:t>ranelate</w:t>
            </w:r>
            <w:proofErr w:type="spellEnd"/>
            <w:r w:rsidRPr="00B64110">
              <w:rPr>
                <w:rFonts w:ascii="Calibri" w:hAnsi="Calibri" w:cs="Calibri"/>
                <w:lang w:eastAsia="en-US"/>
              </w:rPr>
              <w:t xml:space="preserve"> and </w:t>
            </w:r>
            <w:proofErr w:type="spellStart"/>
            <w:r w:rsidRPr="00B64110">
              <w:rPr>
                <w:rFonts w:ascii="Calibri" w:hAnsi="Calibri" w:cs="Calibri"/>
                <w:lang w:eastAsia="en-US"/>
              </w:rPr>
              <w:t>zoledronic</w:t>
            </w:r>
            <w:proofErr w:type="spellEnd"/>
            <w:r w:rsidRPr="00B64110">
              <w:rPr>
                <w:rFonts w:ascii="Calibri" w:hAnsi="Calibri" w:cs="Calibri"/>
                <w:lang w:eastAsia="en-US"/>
              </w:rPr>
              <w:t xml:space="preserve"> acid.</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4052Bone metastases from castration-resistant prostate cancer.</w:t>
            </w:r>
          </w:p>
          <w:p w:rsidR="006379B4" w:rsidRPr="00B64110" w:rsidRDefault="006379B4" w:rsidP="00B64110">
            <w:pPr>
              <w:spacing w:after="0" w:line="240" w:lineRule="auto"/>
              <w:jc w:val="left"/>
              <w:rPr>
                <w:rFonts w:ascii="Calibri" w:hAnsi="Calibri" w:cs="Calibri"/>
                <w:lang w:eastAsia="en-US"/>
              </w:rPr>
            </w:pP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lastRenderedPageBreak/>
              <w:t>4054 Treatment as the sole PBS-subsidised anti-</w:t>
            </w:r>
            <w:proofErr w:type="spellStart"/>
            <w:r w:rsidRPr="00B64110">
              <w:rPr>
                <w:rFonts w:ascii="Calibri" w:hAnsi="Calibri" w:cs="Calibri"/>
                <w:lang w:eastAsia="en-US"/>
              </w:rPr>
              <w:t>resorptive</w:t>
            </w:r>
            <w:proofErr w:type="spellEnd"/>
            <w:r w:rsidRPr="00B64110">
              <w:rPr>
                <w:rFonts w:ascii="Calibri" w:hAnsi="Calibri" w:cs="Calibri"/>
                <w:lang w:eastAsia="en-US"/>
              </w:rPr>
              <w:t xml:space="preserve"> agent for osteoporosis in a woman aged 70 years of age or older with a Bone Mineral Density (BMD) T-score of -2.5 or less. </w:t>
            </w:r>
          </w:p>
          <w:p w:rsidR="006379B4" w:rsidRPr="00B64110" w:rsidRDefault="006379B4" w:rsidP="00B64110">
            <w:pPr>
              <w:spacing w:after="0" w:line="240" w:lineRule="auto"/>
              <w:jc w:val="left"/>
              <w:rPr>
                <w:rFonts w:ascii="Calibri" w:hAnsi="Calibri" w:cs="Calibri"/>
                <w:lang w:eastAsia="en-US"/>
              </w:rPr>
            </w:pPr>
            <w:r w:rsidRPr="00B64110">
              <w:rPr>
                <w:rFonts w:ascii="Calibri" w:hAnsi="Calibri" w:cs="Calibri"/>
                <w:lang w:eastAsia="en-US"/>
              </w:rPr>
              <w:t>The date, site (femoral neck or lumbar spine) and score of the qualifying BMD measurement must be documented in the patient's medical records when treatment is initiated.</w:t>
            </w:r>
          </w:p>
        </w:tc>
      </w:tr>
    </w:tbl>
    <w:p w:rsidR="006379B4" w:rsidRPr="00B64110" w:rsidRDefault="006379B4" w:rsidP="00B64110">
      <w:pPr>
        <w:spacing w:after="200" w:line="276" w:lineRule="auto"/>
        <w:jc w:val="left"/>
        <w:rPr>
          <w:rFonts w:ascii="Calibri" w:hAnsi="Calibri" w:cs="Times New Roman"/>
          <w:sz w:val="22"/>
          <w:szCs w:val="22"/>
          <w:lang w:eastAsia="en-US"/>
        </w:rPr>
      </w:pPr>
      <w:r w:rsidRPr="00B64110">
        <w:rPr>
          <w:rFonts w:ascii="Calibri" w:hAnsi="Calibri" w:cs="Times New Roman"/>
          <w:sz w:val="22"/>
          <w:szCs w:val="22"/>
          <w:lang w:eastAsia="en-US"/>
        </w:rPr>
        <w:lastRenderedPageBreak/>
        <w:t>Source: Pharmaceutical Benefits Scheme (PBS) as on 01/09/2012 &lt;</w:t>
      </w:r>
      <w:hyperlink r:id="rId21" w:tooltip="This is a link to the PBS website" w:history="1">
        <w:r w:rsidRPr="00B64110">
          <w:rPr>
            <w:rFonts w:ascii="Calibri" w:hAnsi="Calibri" w:cs="Times New Roman"/>
            <w:color w:val="0000FF"/>
            <w:sz w:val="22"/>
            <w:szCs w:val="22"/>
            <w:u w:val="single"/>
            <w:lang w:eastAsia="en-US"/>
          </w:rPr>
          <w:t>http://www.pbs.gov.au/browse/body-system?depth=3&amp;codes=m05b</w:t>
        </w:r>
      </w:hyperlink>
      <w:r w:rsidRPr="00B64110">
        <w:rPr>
          <w:rFonts w:ascii="Calibri" w:hAnsi="Calibri" w:cs="Times New Roman"/>
          <w:sz w:val="22"/>
          <w:szCs w:val="22"/>
          <w:lang w:eastAsia="en-US"/>
        </w:rPr>
        <w:t xml:space="preserve">&gt;. Authority required to access details of indication for each drug. </w:t>
      </w:r>
    </w:p>
    <w:p w:rsidR="006379B4" w:rsidRPr="00B64110" w:rsidRDefault="006379B4" w:rsidP="00B64110"/>
    <w:p w:rsidR="006379B4" w:rsidRPr="00B64110" w:rsidRDefault="006379B4" w:rsidP="00B64110">
      <w:pPr>
        <w:spacing w:after="0" w:line="240" w:lineRule="auto"/>
        <w:jc w:val="left"/>
      </w:pPr>
      <w:r w:rsidRPr="00B64110">
        <w:br w:type="page"/>
      </w:r>
    </w:p>
    <w:p w:rsidR="0069266E" w:rsidRDefault="006379B4" w:rsidP="00B64110">
      <w:pPr>
        <w:keepNext/>
        <w:spacing w:before="360" w:after="160"/>
        <w:outlineLvl w:val="0"/>
        <w:rPr>
          <w:rFonts w:cs="Times New Roman"/>
          <w:b/>
          <w:bCs/>
          <w:color w:val="215868"/>
          <w:sz w:val="32"/>
          <w:szCs w:val="32"/>
          <w:lang w:val="en-US"/>
        </w:rPr>
      </w:pPr>
      <w:bookmarkStart w:id="73" w:name="_Toc335747775"/>
      <w:bookmarkStart w:id="74" w:name="_Toc357421839"/>
      <w:bookmarkStart w:id="75" w:name="_Toc362969246"/>
      <w:r w:rsidRPr="00B64110">
        <w:rPr>
          <w:rFonts w:cs="Times New Roman"/>
          <w:b/>
          <w:bCs/>
          <w:color w:val="215868"/>
          <w:sz w:val="32"/>
          <w:szCs w:val="32"/>
          <w:lang w:val="en-US"/>
        </w:rPr>
        <w:lastRenderedPageBreak/>
        <w:t>Appendix 4</w:t>
      </w:r>
      <w:bookmarkEnd w:id="73"/>
    </w:p>
    <w:p w:rsidR="006379B4" w:rsidRPr="0069266E" w:rsidRDefault="006379B4" w:rsidP="0069266E">
      <w:pPr>
        <w:rPr>
          <w:b/>
          <w:sz w:val="24"/>
          <w:szCs w:val="24"/>
          <w:lang w:val="en-US"/>
        </w:rPr>
      </w:pPr>
      <w:r w:rsidRPr="0069266E">
        <w:rPr>
          <w:b/>
          <w:sz w:val="24"/>
          <w:szCs w:val="24"/>
          <w:lang w:val="en-US"/>
        </w:rPr>
        <w:t xml:space="preserve">PBS listed pharmaceuticals (by indication) for treatment of diseases of bone structure and </w:t>
      </w:r>
      <w:proofErr w:type="spellStart"/>
      <w:r w:rsidRPr="0069266E">
        <w:rPr>
          <w:b/>
          <w:sz w:val="24"/>
          <w:szCs w:val="24"/>
          <w:lang w:val="en-US"/>
        </w:rPr>
        <w:t>mineralisation</w:t>
      </w:r>
      <w:bookmarkEnd w:id="74"/>
      <w:bookmarkEnd w:id="75"/>
      <w:proofErr w:type="spellEnd"/>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961"/>
        <w:gridCol w:w="4536"/>
      </w:tblGrid>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Indication</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ARTG</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PBS (indicated T-score)</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Prevention and/or treatment of osteoporosis</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sodium:120028, 76851;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141530, 150618, 166838, 166853, 166942, 74135, 82746</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Treatment for established osteoporosis (T-score </w:t>
            </w:r>
            <w:r w:rsidRPr="00B64110">
              <w:rPr>
                <w:rFonts w:ascii="Calibri" w:hAnsi="Calibri" w:cs="Calibri"/>
                <w:lang w:eastAsia="en-US"/>
              </w:rPr>
              <w:t>≤</w:t>
            </w:r>
            <w:r w:rsidRPr="00B64110">
              <w:rPr>
                <w:rFonts w:ascii="Calibri" w:hAnsi="Calibri" w:cs="Times New Roman"/>
                <w:lang w:eastAsia="en-US"/>
              </w:rPr>
              <w:t>-2.0) (MBS item 12321)</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76851, 9333, 161137, 73520, 67262, 73772; 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46852</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14283" w:type="dxa"/>
            <w:gridSpan w:val="3"/>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b/>
                <w:lang w:eastAsia="en-US"/>
              </w:rPr>
              <w:t xml:space="preserve">Risk factors for osteoporosis </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Postmenopausal women, with fracture</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157805, 68428, 120028, 53158, 67262, 76851, 98944; 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xml:space="preserve">: 46852; </w:t>
            </w:r>
            <w:proofErr w:type="spellStart"/>
            <w:r w:rsidRPr="00B64110">
              <w:rPr>
                <w:rFonts w:ascii="Calibri" w:hAnsi="Calibri" w:cs="Times New Roman"/>
                <w:lang w:eastAsia="en-US"/>
              </w:rPr>
              <w:t>Zoledronic</w:t>
            </w:r>
            <w:proofErr w:type="spellEnd"/>
            <w:r w:rsidRPr="00B64110">
              <w:rPr>
                <w:rFonts w:ascii="Calibri" w:hAnsi="Calibri" w:cs="Times New Roman"/>
                <w:lang w:eastAsia="en-US"/>
              </w:rPr>
              <w:t xml:space="preserve"> acid: 134664</w:t>
            </w:r>
          </w:p>
        </w:tc>
        <w:tc>
          <w:tcPr>
            <w:tcW w:w="4536"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Raloxifene</w:t>
            </w:r>
            <w:proofErr w:type="spellEnd"/>
            <w:r w:rsidRPr="00B64110">
              <w:rPr>
                <w:rFonts w:ascii="Calibri" w:hAnsi="Calibri" w:cs="Times New Roman"/>
                <w:lang w:eastAsia="en-US"/>
              </w:rPr>
              <w:t xml:space="preserve"> hydrochloride , </w:t>
            </w:r>
            <w:proofErr w:type="spellStart"/>
            <w:r w:rsidRPr="00B64110">
              <w:rPr>
                <w:rFonts w:ascii="Calibri" w:hAnsi="Calibri" w:cs="Times New Roman"/>
                <w:lang w:eastAsia="en-US"/>
              </w:rPr>
              <w:t>Raloxifene</w:t>
            </w:r>
            <w:proofErr w:type="spellEnd"/>
            <w:r w:rsidRPr="00B64110">
              <w:rPr>
                <w:rFonts w:ascii="Calibri" w:hAnsi="Calibri" w:cs="Times New Roman"/>
                <w:lang w:eastAsia="en-US"/>
              </w:rPr>
              <w:t xml:space="preserve"> hydrochloride (with fractures), </w:t>
            </w:r>
            <w:proofErr w:type="spellStart"/>
            <w:r w:rsidRPr="00B64110">
              <w:rPr>
                <w:rFonts w:ascii="Calibri" w:hAnsi="Calibri" w:cs="Times New Roman"/>
                <w:lang w:eastAsia="en-US"/>
              </w:rPr>
              <w:t>Denosumab</w:t>
            </w:r>
            <w:proofErr w:type="spellEnd"/>
            <w:r w:rsidRPr="00B64110">
              <w:rPr>
                <w:rFonts w:ascii="Calibri" w:hAnsi="Calibri" w:cs="Times New Roman"/>
                <w:lang w:eastAsia="en-US"/>
              </w:rPr>
              <w:t xml:space="preserve"> (with fractures), Strontium </w:t>
            </w:r>
            <w:proofErr w:type="spellStart"/>
            <w:r w:rsidRPr="00B64110">
              <w:rPr>
                <w:rFonts w:ascii="Calibri" w:hAnsi="Calibri" w:cs="Times New Roman"/>
                <w:lang w:eastAsia="en-US"/>
              </w:rPr>
              <w:t>ranelate</w:t>
            </w:r>
            <w:proofErr w:type="spellEnd"/>
            <w:r w:rsidRPr="00B64110">
              <w:rPr>
                <w:rFonts w:ascii="Calibri" w:hAnsi="Calibri" w:cs="Times New Roman"/>
                <w:lang w:eastAsia="en-US"/>
              </w:rPr>
              <w:t xml:space="preserve"> (with fractures)</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Previous fractures (including minimal trauma fractures)(MBS item 12306, 12321)</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161137, 67262, 73772, 76851, 93333, </w:t>
            </w:r>
            <w:r w:rsidRPr="00B64110">
              <w:rPr>
                <w:rFonts w:ascii="Calibri" w:hAnsi="Calibri" w:cs="Calibri"/>
                <w:lang w:eastAsia="en-US"/>
              </w:rPr>
              <w:t xml:space="preserve">98944; </w:t>
            </w:r>
            <w:proofErr w:type="spellStart"/>
            <w:r w:rsidRPr="00B64110">
              <w:rPr>
                <w:rFonts w:ascii="Calibri" w:hAnsi="Calibri" w:cs="Calibri"/>
                <w:iCs/>
                <w:lang w:val="en-US" w:eastAsia="en-US"/>
              </w:rPr>
              <w:t>Zoledronic</w:t>
            </w:r>
            <w:proofErr w:type="spellEnd"/>
            <w:r w:rsidRPr="00B64110">
              <w:rPr>
                <w:rFonts w:ascii="Calibri" w:hAnsi="Calibri" w:cs="Calibri"/>
                <w:iCs/>
                <w:lang w:val="en-US" w:eastAsia="en-US"/>
              </w:rPr>
              <w:t xml:space="preserve"> acid: 134664</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 Alendronate sodium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 Alendronate sodium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and Calcium carbonate ,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 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xml:space="preserve"> and Calcium carbonate ,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 , </w:t>
            </w:r>
            <w:proofErr w:type="spellStart"/>
            <w:r w:rsidRPr="00B64110">
              <w:rPr>
                <w:rFonts w:ascii="Calibri" w:hAnsi="Calibri" w:cs="Times New Roman"/>
                <w:lang w:eastAsia="en-US"/>
              </w:rPr>
              <w:t>Denosumab</w:t>
            </w:r>
            <w:proofErr w:type="spellEnd"/>
            <w:r w:rsidRPr="00B64110">
              <w:rPr>
                <w:rFonts w:ascii="Calibri" w:hAnsi="Calibri" w:cs="Times New Roman"/>
                <w:lang w:eastAsia="en-US"/>
              </w:rPr>
              <w:t xml:space="preserve"> (for postmenopausal women), </w:t>
            </w:r>
            <w:proofErr w:type="spellStart"/>
            <w:r w:rsidRPr="00B64110">
              <w:rPr>
                <w:rFonts w:ascii="Calibri" w:hAnsi="Calibri" w:cs="Times New Roman"/>
                <w:lang w:eastAsia="en-US"/>
              </w:rPr>
              <w:t>Teriparatide</w:t>
            </w:r>
            <w:proofErr w:type="spellEnd"/>
            <w:r w:rsidRPr="00B64110">
              <w:rPr>
                <w:rFonts w:ascii="Calibri" w:hAnsi="Calibri" w:cs="Times New Roman"/>
                <w:lang w:eastAsia="en-US"/>
              </w:rPr>
              <w:t xml:space="preserve"> (≤-3.0), Strontium </w:t>
            </w:r>
            <w:proofErr w:type="spellStart"/>
            <w:r w:rsidRPr="00B64110">
              <w:rPr>
                <w:rFonts w:ascii="Calibri" w:hAnsi="Calibri" w:cs="Times New Roman"/>
                <w:lang w:eastAsia="en-US"/>
              </w:rPr>
              <w:t>ranelate</w:t>
            </w:r>
            <w:proofErr w:type="spellEnd"/>
            <w:r w:rsidRPr="00B64110">
              <w:rPr>
                <w:rFonts w:ascii="Calibri" w:hAnsi="Calibri" w:cs="Times New Roman"/>
                <w:lang w:eastAsia="en-US"/>
              </w:rPr>
              <w:t xml:space="preserve"> (for postmenopausal women), </w:t>
            </w:r>
            <w:proofErr w:type="spellStart"/>
            <w:r w:rsidRPr="00B64110">
              <w:rPr>
                <w:rFonts w:ascii="Calibri" w:hAnsi="Calibri" w:cs="Times New Roman"/>
                <w:lang w:eastAsia="en-US"/>
              </w:rPr>
              <w:t>Raloxifene</w:t>
            </w:r>
            <w:proofErr w:type="spellEnd"/>
            <w:r w:rsidRPr="00B64110">
              <w:rPr>
                <w:rFonts w:ascii="Calibri" w:hAnsi="Calibri" w:cs="Times New Roman"/>
                <w:lang w:eastAsia="en-US"/>
              </w:rPr>
              <w:t xml:space="preserve"> hydrochloride (for postmenopausal women), </w:t>
            </w:r>
            <w:proofErr w:type="spellStart"/>
            <w:r w:rsidRPr="00B64110">
              <w:rPr>
                <w:rFonts w:ascii="Calibri" w:hAnsi="Calibri" w:cs="Times New Roman"/>
                <w:lang w:eastAsia="en-US"/>
              </w:rPr>
              <w:t>Calcitriol</w:t>
            </w:r>
            <w:proofErr w:type="spellEnd"/>
            <w:r w:rsidRPr="00B64110">
              <w:rPr>
                <w:rFonts w:ascii="Calibri" w:hAnsi="Calibri" w:cs="Times New Roman"/>
                <w:lang w:eastAsia="en-US"/>
              </w:rPr>
              <w:t xml:space="preserve"> . </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70 years or over (MBS item 12323)</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(≤-2.5), Alendronate sodium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(≤-2.5), Alendronate sodium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and Calcium carbonate (≤-2.5),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(≤-3.0),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(≤-3.0),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(≤-3.0),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 (≤-3.0), </w:t>
            </w:r>
            <w:proofErr w:type="spellStart"/>
            <w:r w:rsidRPr="00B64110">
              <w:rPr>
                <w:rFonts w:ascii="Calibri" w:hAnsi="Calibri" w:cs="Times New Roman"/>
                <w:lang w:eastAsia="en-US"/>
              </w:rPr>
              <w:t>Denosumab</w:t>
            </w:r>
            <w:proofErr w:type="spellEnd"/>
            <w:r w:rsidRPr="00B64110">
              <w:rPr>
                <w:rFonts w:ascii="Calibri" w:hAnsi="Calibri" w:cs="Times New Roman"/>
                <w:lang w:eastAsia="en-US"/>
              </w:rPr>
              <w:t xml:space="preserve"> (≤-2.5), Strontium </w:t>
            </w:r>
            <w:proofErr w:type="spellStart"/>
            <w:r w:rsidRPr="00B64110">
              <w:rPr>
                <w:rFonts w:ascii="Calibri" w:hAnsi="Calibri" w:cs="Times New Roman"/>
                <w:lang w:eastAsia="en-US"/>
              </w:rPr>
              <w:t>ranelate</w:t>
            </w:r>
            <w:proofErr w:type="spellEnd"/>
            <w:r w:rsidRPr="00B64110">
              <w:rPr>
                <w:rFonts w:ascii="Calibri" w:hAnsi="Calibri" w:cs="Times New Roman"/>
                <w:lang w:eastAsia="en-US"/>
              </w:rPr>
              <w:t xml:space="preserve"> (≤-3.0 for women)</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Corticosteroids use (MBS item 12312)</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68428, 80333, 53158, 67262, 76851, 9333, 98944; 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xml:space="preserve">: 46852;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w:t>
            </w:r>
            <w:r w:rsidRPr="00B64110">
              <w:rPr>
                <w:rFonts w:ascii="Calibri" w:hAnsi="Calibri" w:cs="Times New Roman"/>
                <w:lang w:eastAsia="en-US"/>
              </w:rPr>
              <w:lastRenderedPageBreak/>
              <w:t xml:space="preserve">sodium: 117667, 138211, 141530, 150618, 166838, 166853, 166942, 74135, 82746; </w:t>
            </w:r>
            <w:proofErr w:type="spellStart"/>
            <w:r w:rsidRPr="00B64110">
              <w:rPr>
                <w:rFonts w:ascii="Calibri" w:hAnsi="Calibri" w:cs="Times New Roman"/>
                <w:lang w:eastAsia="en-US"/>
              </w:rPr>
              <w:t>Zoledronic</w:t>
            </w:r>
            <w:proofErr w:type="spellEnd"/>
            <w:r w:rsidRPr="00B64110">
              <w:rPr>
                <w:rFonts w:ascii="Calibri" w:hAnsi="Calibri" w:cs="Times New Roman"/>
                <w:lang w:eastAsia="en-US"/>
              </w:rPr>
              <w:t xml:space="preserve"> acid: 134664; </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 xml:space="preserve">Alendronate sodium (≤-1.5), Alendronate sodium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(≤-1.5), Alendronate sodium with </w:t>
            </w:r>
            <w:proofErr w:type="spellStart"/>
            <w:r w:rsidRPr="00B64110">
              <w:rPr>
                <w:rFonts w:ascii="Calibri" w:hAnsi="Calibri" w:cs="Times New Roman"/>
                <w:lang w:eastAsia="en-US"/>
              </w:rPr>
              <w:lastRenderedPageBreak/>
              <w:t>Colecalciferol</w:t>
            </w:r>
            <w:proofErr w:type="spellEnd"/>
            <w:r w:rsidRPr="00B64110">
              <w:rPr>
                <w:rFonts w:ascii="Calibri" w:hAnsi="Calibri" w:cs="Times New Roman"/>
                <w:lang w:eastAsia="en-US"/>
              </w:rPr>
              <w:t xml:space="preserve"> and Calcium carbonate (≤-1.5),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(≤-1.0 if patients on steroids for &gt; 3 months),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(≤-1.5),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(NR),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and Calcium carbonate with </w:t>
            </w:r>
            <w:proofErr w:type="spellStart"/>
            <w:r w:rsidRPr="00B64110">
              <w:rPr>
                <w:rFonts w:ascii="Calibri" w:hAnsi="Calibri" w:cs="Times New Roman"/>
                <w:lang w:eastAsia="en-US"/>
              </w:rPr>
              <w:t>Colecalciferol</w:t>
            </w:r>
            <w:proofErr w:type="spellEnd"/>
            <w:r w:rsidRPr="00B64110">
              <w:rPr>
                <w:rFonts w:ascii="Calibri" w:hAnsi="Calibri" w:cs="Times New Roman"/>
                <w:lang w:eastAsia="en-US"/>
              </w:rPr>
              <w:t xml:space="preserve"> (≤-1.5),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 (≤-1.5)</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lastRenderedPageBreak/>
              <w:t xml:space="preserve">Male </w:t>
            </w:r>
            <w:proofErr w:type="spellStart"/>
            <w:r w:rsidRPr="00B64110">
              <w:rPr>
                <w:rFonts w:ascii="Calibri" w:hAnsi="Calibri" w:cs="Times New Roman"/>
                <w:lang w:eastAsia="en-US"/>
              </w:rPr>
              <w:t>Hypogonadism</w:t>
            </w:r>
            <w:proofErr w:type="spellEnd"/>
            <w:r w:rsidRPr="00B64110">
              <w:rPr>
                <w:rFonts w:ascii="Calibri" w:hAnsi="Calibri" w:cs="Times New Roman"/>
                <w:lang w:eastAsia="en-US"/>
              </w:rPr>
              <w:t xml:space="preserve"> (MBS item 12312)</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Famale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Hypogonadismlasting</w:t>
            </w:r>
            <w:proofErr w:type="spellEnd"/>
            <w:r w:rsidRPr="00B64110">
              <w:rPr>
                <w:rFonts w:ascii="Calibri" w:hAnsi="Calibri" w:cs="Times New Roman"/>
                <w:lang w:eastAsia="en-US"/>
              </w:rPr>
              <w:t xml:space="preserve"> &gt;6 months before age of 45 (MBS item 12312)</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Primary Hyperparathyroidism (MBS item 12315)</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Chronic renal disease (MBS item 12315)</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Chronic liver disease (MBS item 12315)</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Rheumatoid arthritis (MBS item 12315)</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Conditions associated with </w:t>
            </w:r>
            <w:proofErr w:type="spellStart"/>
            <w:r w:rsidRPr="00B64110">
              <w:rPr>
                <w:rFonts w:ascii="Calibri" w:hAnsi="Calibri" w:cs="Times New Roman"/>
                <w:lang w:eastAsia="en-US"/>
              </w:rPr>
              <w:t>thyroxine</w:t>
            </w:r>
            <w:proofErr w:type="spellEnd"/>
            <w:r w:rsidRPr="00B64110">
              <w:rPr>
                <w:rFonts w:ascii="Calibri" w:hAnsi="Calibri" w:cs="Times New Roman"/>
                <w:lang w:eastAsia="en-US"/>
              </w:rPr>
              <w:t xml:space="preserve"> excess (MBS item 12315)</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Proven </w:t>
            </w:r>
            <w:proofErr w:type="spellStart"/>
            <w:r w:rsidRPr="00B64110">
              <w:rPr>
                <w:rFonts w:ascii="Calibri" w:hAnsi="Calibri" w:cs="Times New Roman"/>
                <w:lang w:eastAsia="en-US"/>
              </w:rPr>
              <w:t>malabsorptive</w:t>
            </w:r>
            <w:proofErr w:type="spellEnd"/>
            <w:r w:rsidRPr="00B64110">
              <w:rPr>
                <w:rFonts w:ascii="Calibri" w:hAnsi="Calibri" w:cs="Times New Roman"/>
                <w:lang w:eastAsia="en-US"/>
              </w:rPr>
              <w:t xml:space="preserve"> disorders (MBS item 12315)</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Breast cancer patients receiving aromatase inhibitor treatment</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HIV</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Paget’s disease *</w:t>
            </w:r>
          </w:p>
        </w:tc>
        <w:tc>
          <w:tcPr>
            <w:tcW w:w="4961"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74136</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Alendronate sodium, </w:t>
            </w:r>
            <w:proofErr w:type="spellStart"/>
            <w:r w:rsidRPr="00B64110">
              <w:rPr>
                <w:rFonts w:ascii="Calibri" w:hAnsi="Calibri" w:cs="Times New Roman"/>
                <w:lang w:eastAsia="en-US"/>
              </w:rPr>
              <w:t>Risedronate</w:t>
            </w:r>
            <w:proofErr w:type="spellEnd"/>
            <w:r w:rsidRPr="00B64110">
              <w:rPr>
                <w:rFonts w:ascii="Calibri" w:hAnsi="Calibri" w:cs="Times New Roman"/>
                <w:lang w:eastAsia="en-US"/>
              </w:rPr>
              <w:t xml:space="preserve"> sodium, Disodium </w:t>
            </w:r>
            <w:proofErr w:type="spellStart"/>
            <w:r w:rsidRPr="00B64110">
              <w:rPr>
                <w:rFonts w:ascii="Calibri" w:hAnsi="Calibri" w:cs="Times New Roman"/>
                <w:lang w:eastAsia="en-US"/>
              </w:rPr>
              <w:t>etidronate</w:t>
            </w:r>
            <w:proofErr w:type="spellEnd"/>
            <w:r w:rsidRPr="00B64110">
              <w:rPr>
                <w:rFonts w:ascii="Calibri" w:hAnsi="Calibri" w:cs="Times New Roman"/>
                <w:lang w:eastAsia="en-US"/>
              </w:rPr>
              <w:t xml:space="preserve">, Disodium </w:t>
            </w:r>
            <w:proofErr w:type="spellStart"/>
            <w:r w:rsidRPr="00B64110">
              <w:rPr>
                <w:rFonts w:ascii="Calibri" w:hAnsi="Calibri" w:cs="Times New Roman"/>
                <w:lang w:eastAsia="en-US"/>
              </w:rPr>
              <w:t>pamidronate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 </w:t>
            </w:r>
            <w:proofErr w:type="spellStart"/>
            <w:r w:rsidRPr="00B64110">
              <w:rPr>
                <w:rFonts w:ascii="Calibri" w:hAnsi="Calibri" w:cs="Times New Roman"/>
                <w:lang w:eastAsia="en-US"/>
              </w:rPr>
              <w:t>Tiludronate</w:t>
            </w:r>
            <w:proofErr w:type="spellEnd"/>
            <w:r w:rsidRPr="00B64110">
              <w:rPr>
                <w:rFonts w:ascii="Calibri" w:hAnsi="Calibri" w:cs="Times New Roman"/>
                <w:lang w:eastAsia="en-US"/>
              </w:rPr>
              <w:t xml:space="preserve"> disodium</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Heterotopic ossification*</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Disodium </w:t>
            </w:r>
            <w:proofErr w:type="spellStart"/>
            <w:r w:rsidRPr="00B64110">
              <w:rPr>
                <w:rFonts w:ascii="Calibri" w:hAnsi="Calibri" w:cs="Times New Roman"/>
                <w:lang w:eastAsia="en-US"/>
              </w:rPr>
              <w:t>etidronate</w:t>
            </w:r>
            <w:proofErr w:type="spellEnd"/>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hypercalcaemia</w:t>
            </w:r>
            <w:proofErr w:type="spellEnd"/>
            <w:r w:rsidRPr="00B64110">
              <w:rPr>
                <w:rFonts w:ascii="Calibri" w:hAnsi="Calibri" w:cs="Times New Roman"/>
                <w:lang w:eastAsia="en-US"/>
              </w:rPr>
              <w:t xml:space="preserve"> of malignancy*</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Sodium </w:t>
            </w:r>
            <w:proofErr w:type="spellStart"/>
            <w:r w:rsidRPr="00B64110">
              <w:rPr>
                <w:rFonts w:ascii="Calibri" w:hAnsi="Calibri" w:cs="Times New Roman"/>
                <w:lang w:eastAsia="en-US"/>
              </w:rPr>
              <w:t>clodronate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tetrahydrate</w:t>
            </w:r>
            <w:proofErr w:type="spellEnd"/>
            <w:r w:rsidRPr="00B64110">
              <w:rPr>
                <w:rFonts w:ascii="Calibri" w:hAnsi="Calibri" w:cs="Times New Roman"/>
                <w:lang w:eastAsia="en-US"/>
              </w:rPr>
              <w:t xml:space="preserve">: 181921, 181922, 66703, 66704, </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Disodium </w:t>
            </w:r>
            <w:proofErr w:type="spellStart"/>
            <w:r w:rsidRPr="00B64110">
              <w:rPr>
                <w:rFonts w:ascii="Calibri" w:hAnsi="Calibri" w:cs="Times New Roman"/>
                <w:lang w:eastAsia="en-US"/>
              </w:rPr>
              <w:t>pamidronate</w:t>
            </w:r>
            <w:proofErr w:type="spellEnd"/>
            <w:r w:rsidRPr="00B64110">
              <w:rPr>
                <w:rFonts w:ascii="Calibri" w:hAnsi="Calibri" w:cs="Times New Roman"/>
                <w:lang w:eastAsia="en-US"/>
              </w:rPr>
              <w:t xml:space="preserve">, Sodium </w:t>
            </w:r>
            <w:proofErr w:type="spellStart"/>
            <w:r w:rsidRPr="00B64110">
              <w:rPr>
                <w:rFonts w:ascii="Calibri" w:hAnsi="Calibri" w:cs="Times New Roman"/>
                <w:lang w:eastAsia="en-US"/>
              </w:rPr>
              <w:t>clodronate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tetrahydrate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Multiple myeloma*</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 xml:space="preserve">Disodium </w:t>
            </w:r>
            <w:proofErr w:type="spellStart"/>
            <w:r w:rsidRPr="00B64110">
              <w:rPr>
                <w:rFonts w:ascii="Calibri" w:hAnsi="Calibri" w:cs="Times New Roman"/>
                <w:lang w:eastAsia="en-US"/>
              </w:rPr>
              <w:t>pamidronate</w:t>
            </w:r>
            <w:proofErr w:type="spellEnd"/>
            <w:r w:rsidRPr="00B64110">
              <w:rPr>
                <w:rFonts w:ascii="Calibri" w:hAnsi="Calibri" w:cs="Times New Roman"/>
                <w:lang w:eastAsia="en-US"/>
              </w:rPr>
              <w:t xml:space="preserve">, Sodium </w:t>
            </w:r>
            <w:proofErr w:type="spellStart"/>
            <w:r w:rsidRPr="00B64110">
              <w:rPr>
                <w:rFonts w:ascii="Calibri" w:hAnsi="Calibri" w:cs="Times New Roman"/>
                <w:lang w:eastAsia="en-US"/>
              </w:rPr>
              <w:t>clodronate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tetrahydrate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breast cancer*</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Ibandronic</w:t>
            </w:r>
            <w:proofErr w:type="spellEnd"/>
            <w:r w:rsidRPr="00B64110">
              <w:rPr>
                <w:rFonts w:ascii="Calibri" w:hAnsi="Calibri" w:cs="Times New Roman"/>
                <w:lang w:eastAsia="en-US"/>
              </w:rPr>
              <w:t xml:space="preserve"> acid, Disodium </w:t>
            </w:r>
            <w:proofErr w:type="spellStart"/>
            <w:r w:rsidRPr="00B64110">
              <w:rPr>
                <w:rFonts w:ascii="Calibri" w:hAnsi="Calibri" w:cs="Times New Roman"/>
                <w:lang w:eastAsia="en-US"/>
              </w:rPr>
              <w:t>pamidronate</w:t>
            </w:r>
            <w:proofErr w:type="spellEnd"/>
            <w:r w:rsidRPr="00B64110">
              <w:rPr>
                <w:rFonts w:ascii="Calibri" w:hAnsi="Calibri" w:cs="Times New Roman"/>
                <w:lang w:eastAsia="en-US"/>
              </w:rPr>
              <w:t xml:space="preserve">, Sodium </w:t>
            </w:r>
            <w:proofErr w:type="spellStart"/>
            <w:r w:rsidRPr="00B64110">
              <w:rPr>
                <w:rFonts w:ascii="Calibri" w:hAnsi="Calibri" w:cs="Times New Roman"/>
                <w:lang w:eastAsia="en-US"/>
              </w:rPr>
              <w:t>clodronate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tetrahydrate</w:t>
            </w:r>
            <w:proofErr w:type="spellEnd"/>
            <w:r w:rsidRPr="00B64110">
              <w:rPr>
                <w:rFonts w:ascii="Calibri" w:hAnsi="Calibri" w:cs="Times New Roman"/>
                <w:lang w:eastAsia="en-US"/>
              </w:rPr>
              <w:t xml:space="preserve">, </w:t>
            </w: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w:t>
            </w:r>
          </w:p>
        </w:tc>
      </w:tr>
      <w:tr w:rsidR="006379B4" w:rsidRPr="00B64110" w:rsidTr="00B64110">
        <w:tc>
          <w:tcPr>
            <w:tcW w:w="4786"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Bone metastases from prostate cancer*</w:t>
            </w:r>
          </w:p>
        </w:tc>
        <w:tc>
          <w:tcPr>
            <w:tcW w:w="4961" w:type="dxa"/>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 drug specifically indicated</w:t>
            </w:r>
          </w:p>
        </w:tc>
        <w:tc>
          <w:tcPr>
            <w:tcW w:w="4536" w:type="dxa"/>
          </w:tcPr>
          <w:p w:rsidR="006379B4" w:rsidRPr="00B64110" w:rsidRDefault="006379B4" w:rsidP="00B64110">
            <w:pPr>
              <w:spacing w:after="0" w:line="240" w:lineRule="auto"/>
              <w:jc w:val="left"/>
              <w:rPr>
                <w:rFonts w:ascii="Calibri" w:hAnsi="Calibri" w:cs="Times New Roman"/>
                <w:lang w:eastAsia="en-US"/>
              </w:rPr>
            </w:pPr>
            <w:proofErr w:type="spellStart"/>
            <w:r w:rsidRPr="00B64110">
              <w:rPr>
                <w:rFonts w:ascii="Calibri" w:hAnsi="Calibri" w:cs="Times New Roman"/>
                <w:lang w:eastAsia="en-US"/>
              </w:rPr>
              <w:t>Zolendronic</w:t>
            </w:r>
            <w:proofErr w:type="spellEnd"/>
            <w:r w:rsidRPr="00B64110">
              <w:rPr>
                <w:rFonts w:ascii="Calibri" w:hAnsi="Calibri" w:cs="Times New Roman"/>
                <w:lang w:eastAsia="en-US"/>
              </w:rPr>
              <w:t xml:space="preserve"> acid</w:t>
            </w:r>
          </w:p>
        </w:tc>
      </w:tr>
      <w:tr w:rsidR="006379B4" w:rsidRPr="00B64110" w:rsidTr="00B64110">
        <w:tc>
          <w:tcPr>
            <w:tcW w:w="14283" w:type="dxa"/>
            <w:gridSpan w:val="3"/>
          </w:tcPr>
          <w:p w:rsidR="006379B4" w:rsidRPr="00B64110" w:rsidRDefault="006379B4" w:rsidP="00B64110">
            <w:pPr>
              <w:spacing w:after="0" w:line="240" w:lineRule="auto"/>
              <w:jc w:val="left"/>
              <w:rPr>
                <w:rFonts w:ascii="Calibri" w:hAnsi="Calibri" w:cs="Times New Roman"/>
                <w:lang w:eastAsia="en-US"/>
              </w:rPr>
            </w:pPr>
            <w:r w:rsidRPr="00B64110">
              <w:rPr>
                <w:rFonts w:ascii="Calibri" w:hAnsi="Calibri" w:cs="Times New Roman"/>
                <w:lang w:eastAsia="en-US"/>
              </w:rPr>
              <w:t>*not considered as a risk factor for osteoporosis; NR: Not reported.</w:t>
            </w:r>
          </w:p>
        </w:tc>
      </w:tr>
    </w:tbl>
    <w:p w:rsidR="006379B4" w:rsidRPr="00B64110" w:rsidRDefault="006379B4" w:rsidP="00B64110">
      <w:pPr>
        <w:spacing w:after="200" w:line="276" w:lineRule="auto"/>
        <w:jc w:val="left"/>
        <w:rPr>
          <w:rFonts w:ascii="Calibri" w:hAnsi="Calibri" w:cs="Times New Roman"/>
          <w:sz w:val="22"/>
          <w:szCs w:val="22"/>
          <w:lang w:eastAsia="en-US"/>
        </w:rPr>
        <w:sectPr w:rsidR="006379B4" w:rsidRPr="00B64110" w:rsidSect="00B64110">
          <w:pgSz w:w="16838" w:h="11906" w:orient="landscape"/>
          <w:pgMar w:top="1440" w:right="1440" w:bottom="1440" w:left="1440" w:header="708" w:footer="708" w:gutter="0"/>
          <w:cols w:space="708"/>
          <w:titlePg/>
          <w:docGrid w:linePitch="360"/>
        </w:sectPr>
      </w:pPr>
      <w:r w:rsidRPr="00B64110">
        <w:rPr>
          <w:rFonts w:ascii="Calibri" w:hAnsi="Calibri" w:cs="Times New Roman"/>
          <w:sz w:val="22"/>
          <w:szCs w:val="22"/>
          <w:lang w:eastAsia="en-US"/>
        </w:rPr>
        <w:t>Source: Pharmaceutical Benefits Scheme (PBS) as on 01/09/2012 &lt;</w:t>
      </w:r>
      <w:hyperlink r:id="rId22" w:tooltip="This is a link to the PBS website" w:history="1">
        <w:r w:rsidRPr="00B64110">
          <w:rPr>
            <w:rFonts w:ascii="Calibri" w:hAnsi="Calibri" w:cs="Times New Roman"/>
            <w:color w:val="0000FF"/>
            <w:sz w:val="22"/>
            <w:szCs w:val="22"/>
            <w:u w:val="single"/>
            <w:lang w:eastAsia="en-US"/>
          </w:rPr>
          <w:t>http://www.pbs.gov.au/browse/body-system?depth=3&amp;codes=m05b</w:t>
        </w:r>
      </w:hyperlink>
      <w:r w:rsidRPr="00B64110">
        <w:rPr>
          <w:rFonts w:ascii="Calibri" w:hAnsi="Calibri" w:cs="Times New Roman"/>
          <w:sz w:val="22"/>
          <w:szCs w:val="22"/>
          <w:lang w:eastAsia="en-US"/>
        </w:rPr>
        <w:t xml:space="preserve">&gt;. Authority required to access details of indication for each drug (including indicated T-score) </w:t>
      </w:r>
    </w:p>
    <w:p w:rsidR="006379B4" w:rsidRPr="00B64110" w:rsidRDefault="006379B4" w:rsidP="00B64110">
      <w:pPr>
        <w:keepNext/>
        <w:spacing w:before="360" w:after="160"/>
        <w:outlineLvl w:val="0"/>
        <w:rPr>
          <w:rFonts w:cs="Times New Roman"/>
          <w:b/>
          <w:bCs/>
          <w:color w:val="215868"/>
          <w:sz w:val="32"/>
          <w:szCs w:val="32"/>
          <w:lang w:val="en-US"/>
        </w:rPr>
      </w:pPr>
      <w:bookmarkStart w:id="76" w:name="_Toc357421840"/>
      <w:bookmarkStart w:id="77" w:name="_Toc362969247"/>
      <w:r w:rsidRPr="00B64110">
        <w:rPr>
          <w:rFonts w:cs="Times New Roman"/>
          <w:b/>
          <w:bCs/>
          <w:color w:val="215868"/>
          <w:sz w:val="32"/>
          <w:szCs w:val="32"/>
          <w:lang w:val="en-US"/>
        </w:rPr>
        <w:lastRenderedPageBreak/>
        <w:t xml:space="preserve">Appendix 5 </w:t>
      </w:r>
      <w:r w:rsidRPr="00B64110">
        <w:rPr>
          <w:rFonts w:cs="Times New Roman"/>
          <w:b/>
          <w:bCs/>
          <w:color w:val="215868"/>
          <w:sz w:val="32"/>
          <w:szCs w:val="32"/>
          <w:lang w:val="en-US"/>
        </w:rPr>
        <w:tab/>
        <w:t>Medicare Benefits Schedule - Note D1.27</w:t>
      </w:r>
      <w:bookmarkEnd w:id="76"/>
      <w:bookmarkEnd w:id="77"/>
    </w:p>
    <w:p w:rsidR="006379B4" w:rsidRPr="00B64110" w:rsidRDefault="006379B4" w:rsidP="00B64110">
      <w:r w:rsidRPr="00B64110">
        <w:t xml:space="preserve">Category 2 - DIAGNOSTIC PROCEDURES AND INVESTIGATIONS </w:t>
      </w:r>
      <w:proofErr w:type="gramStart"/>
      <w:r w:rsidRPr="00B64110">
        <w:t>D1.27  Bone</w:t>
      </w:r>
      <w:proofErr w:type="gramEnd"/>
      <w:r w:rsidRPr="00B64110">
        <w:t xml:space="preserve"> Densitometry - (Items 12306 to 12323)  </w:t>
      </w:r>
    </w:p>
    <w:p w:rsidR="006379B4" w:rsidRPr="00B64110" w:rsidRDefault="006379B4" w:rsidP="00B64110">
      <w:r w:rsidRPr="00B64110">
        <w:t>Item 12321 is intended to allow for bone mineral density measurement following a significant change in therapy - e.g. a change in the class of drugs - rather than for a change in the dosage regimen.</w:t>
      </w:r>
    </w:p>
    <w:p w:rsidR="006379B4" w:rsidRPr="00B64110" w:rsidRDefault="006379B4" w:rsidP="00B64110">
      <w:r w:rsidRPr="00B64110">
        <w:t xml:space="preserve">Item 12323 enables the payment of a Medicare benefit for a bone densitometry service performed on a patient aged 70 years or over.  The Government has decided to expand access to Medicare subsidised bone mineral density testing to coincide with the expanded eligibility for the osteoporosis medication 'alendronate' under the Pharmaceutical Benefits Scheme.  </w:t>
      </w:r>
    </w:p>
    <w:p w:rsidR="006379B4" w:rsidRPr="00B64110" w:rsidRDefault="006379B4" w:rsidP="00B64110">
      <w:r w:rsidRPr="00B64110">
        <w:t>An examination under any of these items covers the measurement of 2 or more sites, interpretation and provision of a report.  Two or more sites must include the measurement of bone density of the lumbar spine and proximal femur.  If technical difficulties preclude measurement at these sites, other sites can be used for the purpose of measurements.  The measurement of bone mineral density at either forearms or both heels or in combination is excluded for the purpose of Medicare benefit.</w:t>
      </w:r>
    </w:p>
    <w:p w:rsidR="006379B4" w:rsidRPr="00B64110" w:rsidRDefault="006379B4" w:rsidP="00B64110">
      <w:r w:rsidRPr="00B64110">
        <w:t>Referrals</w:t>
      </w:r>
    </w:p>
    <w:p w:rsidR="006379B4" w:rsidRPr="00B64110" w:rsidRDefault="006379B4" w:rsidP="00B64110">
      <w:r w:rsidRPr="00B64110">
        <w:t>Bone densitometry services are available on the basis of referral by a medical practitioner to a specialist or consultant physician.  However, providers of bone densitometry to whom a patient is referred for management may determine that a bone densitometry service is required in line with the provisions of Items 12306, 12309, 12312, 12315, 12318, 12321 and 12323.</w:t>
      </w:r>
    </w:p>
    <w:p w:rsidR="006379B4" w:rsidRPr="00B64110" w:rsidRDefault="006379B4" w:rsidP="00B64110">
      <w:r w:rsidRPr="00B64110">
        <w:t>For Items 12306 and 12309 the referral should specify the indication for the test, namely:</w:t>
      </w:r>
    </w:p>
    <w:p w:rsidR="006379B4" w:rsidRPr="00B64110" w:rsidRDefault="006379B4" w:rsidP="00B64110">
      <w:r w:rsidRPr="00B64110">
        <w:t xml:space="preserve"> (a) 1 or more fractures occurring after minimal trauma; or</w:t>
      </w:r>
    </w:p>
    <w:p w:rsidR="006379B4" w:rsidRPr="00B64110" w:rsidRDefault="006379B4" w:rsidP="00B64110">
      <w:r w:rsidRPr="00B64110">
        <w:t xml:space="preserve"> (b) </w:t>
      </w:r>
      <w:proofErr w:type="gramStart"/>
      <w:r w:rsidRPr="00B64110">
        <w:t>monitoring</w:t>
      </w:r>
      <w:proofErr w:type="gramEnd"/>
      <w:r w:rsidRPr="00B64110">
        <w:t xml:space="preserve"> of low bone mineral density proven by previous bone densitometry.</w:t>
      </w:r>
    </w:p>
    <w:p w:rsidR="006379B4" w:rsidRPr="00B64110" w:rsidRDefault="006379B4" w:rsidP="00B64110">
      <w:r w:rsidRPr="00B64110">
        <w:t>For Item 12312 the referral should specify the indication for the test, namely:</w:t>
      </w:r>
    </w:p>
    <w:p w:rsidR="006379B4" w:rsidRPr="00B64110" w:rsidRDefault="006379B4" w:rsidP="00B64110">
      <w:r w:rsidRPr="00B64110">
        <w:t xml:space="preserve"> (a) </w:t>
      </w:r>
      <w:proofErr w:type="gramStart"/>
      <w:r w:rsidRPr="00B64110">
        <w:t>prolonged</w:t>
      </w:r>
      <w:proofErr w:type="gramEnd"/>
      <w:r w:rsidRPr="00B64110">
        <w:t xml:space="preserve"> glucocorticoid therapy;</w:t>
      </w:r>
    </w:p>
    <w:p w:rsidR="006379B4" w:rsidRPr="00B64110" w:rsidRDefault="006379B4" w:rsidP="00B64110">
      <w:r w:rsidRPr="00B64110">
        <w:t xml:space="preserve"> (b) </w:t>
      </w:r>
      <w:proofErr w:type="gramStart"/>
      <w:r w:rsidRPr="00B64110">
        <w:t>conditions</w:t>
      </w:r>
      <w:proofErr w:type="gramEnd"/>
      <w:r w:rsidRPr="00B64110">
        <w:t xml:space="preserve"> associated with excess glucocorticoid secretion;</w:t>
      </w:r>
    </w:p>
    <w:p w:rsidR="006379B4" w:rsidRPr="00B64110" w:rsidRDefault="006379B4" w:rsidP="00B64110">
      <w:r w:rsidRPr="00B64110">
        <w:t xml:space="preserve"> (c) </w:t>
      </w:r>
      <w:proofErr w:type="gramStart"/>
      <w:r w:rsidRPr="00B64110">
        <w:t>male</w:t>
      </w:r>
      <w:proofErr w:type="gramEnd"/>
      <w:r w:rsidRPr="00B64110">
        <w:t xml:space="preserve"> </w:t>
      </w:r>
      <w:proofErr w:type="spellStart"/>
      <w:r w:rsidRPr="00B64110">
        <w:t>hypogonadism</w:t>
      </w:r>
      <w:proofErr w:type="spellEnd"/>
      <w:r w:rsidRPr="00B64110">
        <w:t>; or</w:t>
      </w:r>
    </w:p>
    <w:p w:rsidR="006379B4" w:rsidRPr="00B64110" w:rsidRDefault="006379B4" w:rsidP="00B64110">
      <w:r w:rsidRPr="00B64110">
        <w:t xml:space="preserve"> (d) </w:t>
      </w:r>
      <w:proofErr w:type="gramStart"/>
      <w:r w:rsidRPr="00B64110">
        <w:t>female</w:t>
      </w:r>
      <w:proofErr w:type="gramEnd"/>
      <w:r w:rsidRPr="00B64110">
        <w:t xml:space="preserve"> </w:t>
      </w:r>
      <w:proofErr w:type="spellStart"/>
      <w:r w:rsidRPr="00B64110">
        <w:t>hypogonadism</w:t>
      </w:r>
      <w:proofErr w:type="spellEnd"/>
      <w:r w:rsidRPr="00B64110">
        <w:t xml:space="preserve"> lasting more than 6 months before the age of 45.</w:t>
      </w:r>
    </w:p>
    <w:p w:rsidR="006379B4" w:rsidRPr="00B64110" w:rsidRDefault="006379B4" w:rsidP="00B64110">
      <w:r w:rsidRPr="00B64110">
        <w:t>For Item 12315 the referral should specify the indication for the test, namely:</w:t>
      </w:r>
    </w:p>
    <w:p w:rsidR="006379B4" w:rsidRPr="00B64110" w:rsidRDefault="006379B4" w:rsidP="00B64110">
      <w:r w:rsidRPr="00B64110">
        <w:t xml:space="preserve"> (a) </w:t>
      </w:r>
      <w:proofErr w:type="gramStart"/>
      <w:r w:rsidRPr="00B64110">
        <w:t>primary</w:t>
      </w:r>
      <w:proofErr w:type="gramEnd"/>
      <w:r w:rsidRPr="00B64110">
        <w:t xml:space="preserve"> hyperparathyroidism;</w:t>
      </w:r>
    </w:p>
    <w:p w:rsidR="006379B4" w:rsidRPr="00B64110" w:rsidRDefault="006379B4" w:rsidP="00B64110">
      <w:r w:rsidRPr="00B64110">
        <w:t xml:space="preserve"> (b) </w:t>
      </w:r>
      <w:proofErr w:type="gramStart"/>
      <w:r w:rsidRPr="00B64110">
        <w:t>chronic</w:t>
      </w:r>
      <w:proofErr w:type="gramEnd"/>
      <w:r w:rsidRPr="00B64110">
        <w:t xml:space="preserve"> liver disease;</w:t>
      </w:r>
    </w:p>
    <w:p w:rsidR="006379B4" w:rsidRPr="00B64110" w:rsidRDefault="006379B4" w:rsidP="00B64110">
      <w:r w:rsidRPr="00B64110">
        <w:lastRenderedPageBreak/>
        <w:t xml:space="preserve"> (c) </w:t>
      </w:r>
      <w:proofErr w:type="gramStart"/>
      <w:r w:rsidRPr="00B64110">
        <w:t>chronic</w:t>
      </w:r>
      <w:proofErr w:type="gramEnd"/>
      <w:r w:rsidRPr="00B64110">
        <w:t xml:space="preserve"> renal disease;</w:t>
      </w:r>
    </w:p>
    <w:p w:rsidR="006379B4" w:rsidRPr="00B64110" w:rsidRDefault="006379B4" w:rsidP="00B64110">
      <w:r w:rsidRPr="00B64110">
        <w:t xml:space="preserve"> (d) </w:t>
      </w:r>
      <w:proofErr w:type="gramStart"/>
      <w:r w:rsidRPr="00B64110">
        <w:t>proven</w:t>
      </w:r>
      <w:proofErr w:type="gramEnd"/>
      <w:r w:rsidRPr="00B64110">
        <w:t xml:space="preserve"> </w:t>
      </w:r>
      <w:proofErr w:type="spellStart"/>
      <w:r w:rsidRPr="00B64110">
        <w:t>malabsorptive</w:t>
      </w:r>
      <w:proofErr w:type="spellEnd"/>
      <w:r w:rsidRPr="00B64110">
        <w:t xml:space="preserve"> disorders;</w:t>
      </w:r>
    </w:p>
    <w:p w:rsidR="006379B4" w:rsidRPr="00B64110" w:rsidRDefault="006379B4" w:rsidP="00B64110">
      <w:r w:rsidRPr="00B64110">
        <w:t xml:space="preserve"> (e) </w:t>
      </w:r>
      <w:proofErr w:type="gramStart"/>
      <w:r w:rsidRPr="00B64110">
        <w:t>rheumatoid</w:t>
      </w:r>
      <w:proofErr w:type="gramEnd"/>
      <w:r w:rsidRPr="00B64110">
        <w:t xml:space="preserve"> arthritis; or</w:t>
      </w:r>
    </w:p>
    <w:p w:rsidR="006379B4" w:rsidRPr="00B64110" w:rsidRDefault="006379B4" w:rsidP="00B64110">
      <w:r w:rsidRPr="00B64110">
        <w:t xml:space="preserve"> (f) </w:t>
      </w:r>
      <w:proofErr w:type="gramStart"/>
      <w:r w:rsidRPr="00B64110">
        <w:t>conditions</w:t>
      </w:r>
      <w:proofErr w:type="gramEnd"/>
      <w:r w:rsidRPr="00B64110">
        <w:t xml:space="preserve"> associated with </w:t>
      </w:r>
      <w:proofErr w:type="spellStart"/>
      <w:r w:rsidRPr="00B64110">
        <w:t>thyroxine</w:t>
      </w:r>
      <w:proofErr w:type="spellEnd"/>
      <w:r w:rsidRPr="00B64110">
        <w:t xml:space="preserve"> excess.</w:t>
      </w:r>
    </w:p>
    <w:p w:rsidR="006379B4" w:rsidRPr="00B64110" w:rsidRDefault="006379B4" w:rsidP="00B64110">
      <w:r w:rsidRPr="00B64110">
        <w:t>For Item 12318 the referral should specify the indication for the test, namely:</w:t>
      </w:r>
    </w:p>
    <w:p w:rsidR="006379B4" w:rsidRPr="00B64110" w:rsidRDefault="006379B4" w:rsidP="00B64110">
      <w:r w:rsidRPr="00B64110">
        <w:t xml:space="preserve"> (a) </w:t>
      </w:r>
      <w:proofErr w:type="gramStart"/>
      <w:r w:rsidRPr="00B64110">
        <w:t>prolonged</w:t>
      </w:r>
      <w:proofErr w:type="gramEnd"/>
      <w:r w:rsidRPr="00B64110">
        <w:t xml:space="preserve"> glucocorticoid therapy;</w:t>
      </w:r>
    </w:p>
    <w:p w:rsidR="006379B4" w:rsidRPr="00B64110" w:rsidRDefault="006379B4" w:rsidP="00B64110">
      <w:r w:rsidRPr="00B64110">
        <w:t xml:space="preserve"> (b) </w:t>
      </w:r>
      <w:proofErr w:type="gramStart"/>
      <w:r w:rsidRPr="00B64110">
        <w:t>conditions</w:t>
      </w:r>
      <w:proofErr w:type="gramEnd"/>
      <w:r w:rsidRPr="00B64110">
        <w:t xml:space="preserve"> associated with excess glucocorticoid secretion;</w:t>
      </w:r>
    </w:p>
    <w:p w:rsidR="006379B4" w:rsidRPr="00B64110" w:rsidRDefault="006379B4" w:rsidP="00B64110">
      <w:r w:rsidRPr="00B64110">
        <w:t xml:space="preserve"> (c) </w:t>
      </w:r>
      <w:proofErr w:type="gramStart"/>
      <w:r w:rsidRPr="00B64110">
        <w:t>male</w:t>
      </w:r>
      <w:proofErr w:type="gramEnd"/>
      <w:r w:rsidRPr="00B64110">
        <w:t xml:space="preserve"> </w:t>
      </w:r>
      <w:proofErr w:type="spellStart"/>
      <w:r w:rsidRPr="00B64110">
        <w:t>hypogonadism</w:t>
      </w:r>
      <w:proofErr w:type="spellEnd"/>
      <w:r w:rsidRPr="00B64110">
        <w:t>;</w:t>
      </w:r>
    </w:p>
    <w:p w:rsidR="006379B4" w:rsidRPr="00B64110" w:rsidRDefault="006379B4" w:rsidP="00B64110">
      <w:r w:rsidRPr="00B64110">
        <w:t xml:space="preserve"> (d) </w:t>
      </w:r>
      <w:proofErr w:type="gramStart"/>
      <w:r w:rsidRPr="00B64110">
        <w:t>female</w:t>
      </w:r>
      <w:proofErr w:type="gramEnd"/>
      <w:r w:rsidRPr="00B64110">
        <w:t xml:space="preserve"> </w:t>
      </w:r>
      <w:proofErr w:type="spellStart"/>
      <w:r w:rsidRPr="00B64110">
        <w:t>hypogonadism</w:t>
      </w:r>
      <w:proofErr w:type="spellEnd"/>
      <w:r w:rsidRPr="00B64110">
        <w:t xml:space="preserve"> lasting more than 6 months before the age of 45;</w:t>
      </w:r>
    </w:p>
    <w:p w:rsidR="006379B4" w:rsidRPr="00B64110" w:rsidRDefault="006379B4" w:rsidP="00B64110">
      <w:r w:rsidRPr="00B64110">
        <w:t xml:space="preserve"> (e) </w:t>
      </w:r>
      <w:proofErr w:type="gramStart"/>
      <w:r w:rsidRPr="00B64110">
        <w:t>primary</w:t>
      </w:r>
      <w:proofErr w:type="gramEnd"/>
      <w:r w:rsidRPr="00B64110">
        <w:t xml:space="preserve"> hyperparathyroidism;</w:t>
      </w:r>
    </w:p>
    <w:p w:rsidR="006379B4" w:rsidRPr="00B64110" w:rsidRDefault="006379B4" w:rsidP="00B64110">
      <w:r w:rsidRPr="00B64110">
        <w:t xml:space="preserve"> (f) </w:t>
      </w:r>
      <w:proofErr w:type="gramStart"/>
      <w:r w:rsidRPr="00B64110">
        <w:t>chronic</w:t>
      </w:r>
      <w:proofErr w:type="gramEnd"/>
      <w:r w:rsidRPr="00B64110">
        <w:t xml:space="preserve"> liver disease;</w:t>
      </w:r>
    </w:p>
    <w:p w:rsidR="006379B4" w:rsidRPr="00B64110" w:rsidRDefault="006379B4" w:rsidP="00B64110">
      <w:r w:rsidRPr="00B64110">
        <w:t xml:space="preserve"> (g) </w:t>
      </w:r>
      <w:proofErr w:type="gramStart"/>
      <w:r w:rsidRPr="00B64110">
        <w:t>chronic</w:t>
      </w:r>
      <w:proofErr w:type="gramEnd"/>
      <w:r w:rsidRPr="00B64110">
        <w:t xml:space="preserve"> renal disease;</w:t>
      </w:r>
    </w:p>
    <w:p w:rsidR="006379B4" w:rsidRPr="00B64110" w:rsidRDefault="006379B4" w:rsidP="00B64110">
      <w:r w:rsidRPr="00B64110">
        <w:t xml:space="preserve"> (h) </w:t>
      </w:r>
      <w:proofErr w:type="gramStart"/>
      <w:r w:rsidRPr="00B64110">
        <w:t>proven</w:t>
      </w:r>
      <w:proofErr w:type="gramEnd"/>
      <w:r w:rsidRPr="00B64110">
        <w:t xml:space="preserve"> </w:t>
      </w:r>
      <w:proofErr w:type="spellStart"/>
      <w:r w:rsidRPr="00B64110">
        <w:t>malabsorptive</w:t>
      </w:r>
      <w:proofErr w:type="spellEnd"/>
      <w:r w:rsidRPr="00B64110">
        <w:t xml:space="preserve"> disorders;</w:t>
      </w:r>
    </w:p>
    <w:p w:rsidR="006379B4" w:rsidRPr="00B64110" w:rsidRDefault="006379B4" w:rsidP="00B64110">
      <w:r w:rsidRPr="00B64110">
        <w:t xml:space="preserve"> (</w:t>
      </w:r>
      <w:proofErr w:type="spellStart"/>
      <w:r w:rsidRPr="00B64110">
        <w:t>i</w:t>
      </w:r>
      <w:proofErr w:type="spellEnd"/>
      <w:r w:rsidRPr="00B64110">
        <w:t xml:space="preserve">) </w:t>
      </w:r>
      <w:proofErr w:type="gramStart"/>
      <w:r w:rsidRPr="00B64110">
        <w:t>rheumatoid</w:t>
      </w:r>
      <w:proofErr w:type="gramEnd"/>
      <w:r w:rsidRPr="00B64110">
        <w:t xml:space="preserve"> arthritis; or</w:t>
      </w:r>
    </w:p>
    <w:p w:rsidR="006379B4" w:rsidRPr="00B64110" w:rsidRDefault="006379B4" w:rsidP="00B64110">
      <w:r w:rsidRPr="00B64110">
        <w:t xml:space="preserve"> (j) </w:t>
      </w:r>
      <w:proofErr w:type="gramStart"/>
      <w:r w:rsidRPr="00B64110">
        <w:t>conditions</w:t>
      </w:r>
      <w:proofErr w:type="gramEnd"/>
      <w:r w:rsidRPr="00B64110">
        <w:t xml:space="preserve"> associated with </w:t>
      </w:r>
      <w:proofErr w:type="spellStart"/>
      <w:r w:rsidRPr="00B64110">
        <w:t>thyroxine</w:t>
      </w:r>
      <w:proofErr w:type="spellEnd"/>
      <w:r w:rsidRPr="00B64110">
        <w:t xml:space="preserve"> excess.</w:t>
      </w:r>
    </w:p>
    <w:p w:rsidR="006379B4" w:rsidRPr="00B64110" w:rsidRDefault="006379B4" w:rsidP="00B64110">
      <w:r w:rsidRPr="00B64110">
        <w:t>Definitions</w:t>
      </w:r>
    </w:p>
    <w:p w:rsidR="006379B4" w:rsidRPr="00B64110" w:rsidRDefault="006379B4" w:rsidP="00B64110">
      <w:r w:rsidRPr="00B64110">
        <w:t>Low bone mineral density is present when the bone (organ) mineral density falls more than 1.5 standard deviations below the age matched mean or more than 2.5 standard deviations below the young normal mean at the same site and in the same gender.</w:t>
      </w:r>
    </w:p>
    <w:p w:rsidR="006379B4" w:rsidRPr="00B64110" w:rsidRDefault="006379B4" w:rsidP="00B64110">
      <w:r w:rsidRPr="00B64110">
        <w:t>For Items 12312 and 12318</w:t>
      </w:r>
    </w:p>
    <w:p w:rsidR="006379B4" w:rsidRPr="00B64110" w:rsidRDefault="006379B4" w:rsidP="00B64110">
      <w:r w:rsidRPr="00B64110">
        <w:t xml:space="preserve"> (a) 'Prolonged glucocorticoid therapy' is defined as the commencement of a dosage of inhaled glucocorticoid equivalent to or greater than 800 micrograms </w:t>
      </w:r>
      <w:proofErr w:type="spellStart"/>
      <w:r w:rsidRPr="00B64110">
        <w:t>beclomethasone</w:t>
      </w:r>
      <w:proofErr w:type="spellEnd"/>
      <w:r w:rsidRPr="00B64110">
        <w:t xml:space="preserve"> </w:t>
      </w:r>
      <w:proofErr w:type="spellStart"/>
      <w:r w:rsidRPr="00B64110">
        <w:t>dipropionate</w:t>
      </w:r>
      <w:proofErr w:type="spellEnd"/>
      <w:r w:rsidRPr="00B64110">
        <w:t xml:space="preserve"> or budesonide per day; or</w:t>
      </w:r>
    </w:p>
    <w:p w:rsidR="006379B4" w:rsidRPr="00B64110" w:rsidRDefault="006379B4" w:rsidP="00B64110">
      <w:r w:rsidRPr="00B64110">
        <w:t xml:space="preserve"> (b) </w:t>
      </w:r>
      <w:proofErr w:type="gramStart"/>
      <w:r w:rsidRPr="00B64110">
        <w:t>a</w:t>
      </w:r>
      <w:proofErr w:type="gramEnd"/>
      <w:r w:rsidRPr="00B64110">
        <w:t xml:space="preserve"> </w:t>
      </w:r>
      <w:proofErr w:type="spellStart"/>
      <w:r w:rsidRPr="00B64110">
        <w:t>supraphysiological</w:t>
      </w:r>
      <w:proofErr w:type="spellEnd"/>
      <w:r w:rsidRPr="00B64110">
        <w:t xml:space="preserve"> glucocorticoid dosage equivalent to or greater than 7.5 mg prednisolone in an adult taken orally per day;</w:t>
      </w:r>
    </w:p>
    <w:p w:rsidR="006379B4" w:rsidRPr="00B64110" w:rsidRDefault="006379B4" w:rsidP="00B64110">
      <w:proofErr w:type="gramStart"/>
      <w:r w:rsidRPr="00B64110">
        <w:t>for</w:t>
      </w:r>
      <w:proofErr w:type="gramEnd"/>
      <w:r w:rsidRPr="00B64110">
        <w:t xml:space="preserve"> a period anticipated to last for at least 4 months.</w:t>
      </w:r>
    </w:p>
    <w:p w:rsidR="006379B4" w:rsidRPr="00B64110" w:rsidRDefault="006379B4" w:rsidP="00B64110">
      <w:r w:rsidRPr="00B64110">
        <w:lastRenderedPageBreak/>
        <w:t>Glucocorticoid therapy must be contemporaneous with the current scan. Patients no longer on steroids would not qualify for benefits.</w:t>
      </w:r>
    </w:p>
    <w:p w:rsidR="006379B4" w:rsidRPr="00B64110" w:rsidRDefault="006379B4" w:rsidP="00B64110">
      <w:r w:rsidRPr="00B64110">
        <w:t>For Items 12312 and 12318</w:t>
      </w:r>
    </w:p>
    <w:p w:rsidR="006379B4" w:rsidRPr="00B64110" w:rsidRDefault="006379B4" w:rsidP="00B64110">
      <w:r w:rsidRPr="00B64110">
        <w:t xml:space="preserve"> (a) Male </w:t>
      </w:r>
      <w:proofErr w:type="spellStart"/>
      <w:r w:rsidRPr="00B64110">
        <w:t>hypogonadism</w:t>
      </w:r>
      <w:proofErr w:type="spellEnd"/>
      <w:r w:rsidRPr="00B64110">
        <w:t xml:space="preserve"> is defined as serum testosterone levels below the age matched normal range.</w:t>
      </w:r>
    </w:p>
    <w:p w:rsidR="006379B4" w:rsidRPr="00B64110" w:rsidRDefault="006379B4" w:rsidP="00B64110">
      <w:r w:rsidRPr="00B64110">
        <w:t xml:space="preserve"> (b) Female </w:t>
      </w:r>
      <w:proofErr w:type="spellStart"/>
      <w:r w:rsidRPr="00B64110">
        <w:t>hypogonadism</w:t>
      </w:r>
      <w:proofErr w:type="spellEnd"/>
      <w:r w:rsidRPr="00B64110">
        <w:t xml:space="preserve"> is defined as serum oestrogen levels below the age matched normal range.</w:t>
      </w:r>
    </w:p>
    <w:p w:rsidR="006379B4" w:rsidRPr="00B64110" w:rsidRDefault="006379B4" w:rsidP="00B64110">
      <w:r w:rsidRPr="00B64110">
        <w:t>For Items 12315 and 12318</w:t>
      </w:r>
    </w:p>
    <w:p w:rsidR="006379B4" w:rsidRPr="00B64110" w:rsidRDefault="006379B4" w:rsidP="00B64110">
      <w:r w:rsidRPr="00B64110">
        <w:t xml:space="preserve">A </w:t>
      </w:r>
      <w:proofErr w:type="spellStart"/>
      <w:r w:rsidRPr="00B64110">
        <w:t>malabsorptive</w:t>
      </w:r>
      <w:proofErr w:type="spellEnd"/>
      <w:r w:rsidRPr="00B64110">
        <w:t xml:space="preserve"> disorder is defined as one or more of the following:</w:t>
      </w:r>
    </w:p>
    <w:p w:rsidR="006379B4" w:rsidRPr="00B64110" w:rsidRDefault="006379B4" w:rsidP="00B64110">
      <w:r w:rsidRPr="00B64110">
        <w:t xml:space="preserve"> (a) </w:t>
      </w:r>
      <w:proofErr w:type="spellStart"/>
      <w:r w:rsidRPr="00B64110">
        <w:t>malabsorption</w:t>
      </w:r>
      <w:proofErr w:type="spellEnd"/>
      <w:r w:rsidRPr="00B64110">
        <w:t xml:space="preserve"> of fat, defined as faecal fat estimated at greater than 18 </w:t>
      </w:r>
      <w:proofErr w:type="spellStart"/>
      <w:r w:rsidRPr="00B64110">
        <w:t>gm</w:t>
      </w:r>
      <w:proofErr w:type="spellEnd"/>
      <w:r w:rsidRPr="00B64110">
        <w:t xml:space="preserve"> per 72 hours on a normal fat diet; or</w:t>
      </w:r>
    </w:p>
    <w:p w:rsidR="006379B4" w:rsidRPr="00B64110" w:rsidRDefault="006379B4" w:rsidP="00B64110">
      <w:r w:rsidRPr="00B64110">
        <w:t xml:space="preserve"> (b) </w:t>
      </w:r>
      <w:proofErr w:type="gramStart"/>
      <w:r w:rsidRPr="00B64110">
        <w:t>bowel</w:t>
      </w:r>
      <w:proofErr w:type="gramEnd"/>
      <w:r w:rsidRPr="00B64110">
        <w:t xml:space="preserve"> disease with presumptive vitamin D </w:t>
      </w:r>
      <w:proofErr w:type="spellStart"/>
      <w:r w:rsidRPr="00B64110">
        <w:t>malabsorption</w:t>
      </w:r>
      <w:proofErr w:type="spellEnd"/>
      <w:r w:rsidRPr="00B64110">
        <w:t xml:space="preserve"> as indicated by a sub-normal circulating 25-hydroxyvitamin D level; or</w:t>
      </w:r>
    </w:p>
    <w:p w:rsidR="006379B4" w:rsidRPr="00B64110" w:rsidRDefault="006379B4" w:rsidP="00B64110">
      <w:r w:rsidRPr="00B64110">
        <w:t xml:space="preserve"> (c)</w:t>
      </w:r>
      <w:bookmarkStart w:id="78" w:name="_GoBack"/>
      <w:bookmarkEnd w:id="78"/>
      <w:r w:rsidRPr="00B64110">
        <w:t xml:space="preserve"> histologically proven Coeliac disease.</w:t>
      </w:r>
    </w:p>
    <w:p w:rsidR="006379B4" w:rsidRPr="00B64110" w:rsidRDefault="006379B4" w:rsidP="00B64110">
      <w:r w:rsidRPr="00B64110">
        <w:t>Related Items: 12306, 12309, 12312, 12315, 12318, 12321, 12323</w:t>
      </w:r>
    </w:p>
    <w:bookmarkEnd w:id="66"/>
    <w:p w:rsidR="006379B4" w:rsidRPr="00D73DDF" w:rsidRDefault="006379B4" w:rsidP="00D73DDF">
      <w:pPr>
        <w:rPr>
          <w:rFonts w:ascii="Arial Narrow" w:hAnsi="Arial Narrow"/>
        </w:rPr>
      </w:pPr>
    </w:p>
    <w:sectPr w:rsidR="006379B4" w:rsidRPr="00D73DDF" w:rsidSect="0012212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6E" w:rsidRDefault="0029466E">
      <w:r>
        <w:separator/>
      </w:r>
    </w:p>
  </w:endnote>
  <w:endnote w:type="continuationSeparator" w:id="0">
    <w:p w:rsidR="0029466E" w:rsidRDefault="0029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Frutiger LT">
    <w:altName w:val="Frutiger LT"/>
    <w:panose1 w:val="00000000000000000000"/>
    <w:charset w:val="00"/>
    <w:family w:val="swiss"/>
    <w:notTrueType/>
    <w:pitch w:val="default"/>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3C" w:rsidRDefault="00C81E3C">
    <w:pPr>
      <w:pStyle w:val="Footer"/>
      <w:jc w:val="right"/>
    </w:pPr>
    <w:r>
      <w:fldChar w:fldCharType="begin"/>
    </w:r>
    <w:r>
      <w:instrText xml:space="preserve"> PAGE   \* MERGEFORMAT </w:instrText>
    </w:r>
    <w:r>
      <w:fldChar w:fldCharType="separate"/>
    </w:r>
    <w:r w:rsidR="0069266E">
      <w:rPr>
        <w:noProof/>
      </w:rPr>
      <w:t>65</w:t>
    </w:r>
    <w:r>
      <w:rPr>
        <w:noProof/>
      </w:rPr>
      <w:fldChar w:fldCharType="end"/>
    </w:r>
  </w:p>
  <w:p w:rsidR="00C81E3C" w:rsidRDefault="00C8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6E" w:rsidRDefault="0029466E">
      <w:r>
        <w:separator/>
      </w:r>
    </w:p>
  </w:footnote>
  <w:footnote w:type="continuationSeparator" w:id="0">
    <w:p w:rsidR="0029466E" w:rsidRDefault="0029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3C" w:rsidRDefault="0069266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049" o:spid="_x0000_s2049"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3C" w:rsidRDefault="0069266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050" o:spid="_x0000_s2050"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3C" w:rsidRDefault="0069266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048" o:spid="_x0000_s2051"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74E"/>
    <w:multiLevelType w:val="hybridMultilevel"/>
    <w:tmpl w:val="B56E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457CBE"/>
    <w:multiLevelType w:val="hybridMultilevel"/>
    <w:tmpl w:val="C5A2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96F80"/>
    <w:multiLevelType w:val="hybridMultilevel"/>
    <w:tmpl w:val="A2449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8E7CAC"/>
    <w:multiLevelType w:val="hybridMultilevel"/>
    <w:tmpl w:val="5920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DA5072"/>
    <w:multiLevelType w:val="hybridMultilevel"/>
    <w:tmpl w:val="D730C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61197F"/>
    <w:multiLevelType w:val="hybridMultilevel"/>
    <w:tmpl w:val="825A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340426"/>
    <w:multiLevelType w:val="hybridMultilevel"/>
    <w:tmpl w:val="C97C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E13128"/>
    <w:multiLevelType w:val="hybridMultilevel"/>
    <w:tmpl w:val="F6C4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121BE5"/>
    <w:multiLevelType w:val="hybridMultilevel"/>
    <w:tmpl w:val="B67C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0A2E02"/>
    <w:multiLevelType w:val="singleLevel"/>
    <w:tmpl w:val="87E8459A"/>
    <w:lvl w:ilvl="0">
      <w:start w:val="1"/>
      <w:numFmt w:val="bullet"/>
      <w:lvlText w:val=""/>
      <w:lvlJc w:val="left"/>
      <w:pPr>
        <w:tabs>
          <w:tab w:val="num" w:pos="357"/>
        </w:tabs>
        <w:ind w:left="357" w:hanging="357"/>
      </w:pPr>
      <w:rPr>
        <w:rFonts w:ascii="Symbol" w:hAnsi="Symbol" w:hint="default"/>
        <w:sz w:val="20"/>
      </w:rPr>
    </w:lvl>
  </w:abstractNum>
  <w:abstractNum w:abstractNumId="10">
    <w:nsid w:val="226D7276"/>
    <w:multiLevelType w:val="hybridMultilevel"/>
    <w:tmpl w:val="B108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61D59A8"/>
    <w:multiLevelType w:val="hybridMultilevel"/>
    <w:tmpl w:val="8AAC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130F30"/>
    <w:multiLevelType w:val="hybridMultilevel"/>
    <w:tmpl w:val="CE82F584"/>
    <w:lvl w:ilvl="0" w:tplc="E4CA9AC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25237EA"/>
    <w:multiLevelType w:val="hybridMultilevel"/>
    <w:tmpl w:val="8C96C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FC03B3"/>
    <w:multiLevelType w:val="hybridMultilevel"/>
    <w:tmpl w:val="0270C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832C63"/>
    <w:multiLevelType w:val="hybridMultilevel"/>
    <w:tmpl w:val="FE3E5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8C07EC"/>
    <w:multiLevelType w:val="hybridMultilevel"/>
    <w:tmpl w:val="18E2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DD1F24"/>
    <w:multiLevelType w:val="multilevel"/>
    <w:tmpl w:val="B34611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D786480"/>
    <w:multiLevelType w:val="hybridMultilevel"/>
    <w:tmpl w:val="B122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94892"/>
    <w:multiLevelType w:val="hybridMultilevel"/>
    <w:tmpl w:val="9180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750260"/>
    <w:multiLevelType w:val="hybridMultilevel"/>
    <w:tmpl w:val="1C065D1E"/>
    <w:lvl w:ilvl="0" w:tplc="B7CC9B30">
      <w:start w:val="1"/>
      <w:numFmt w:val="lowerLetter"/>
      <w:lvlText w:val="(%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1FC2AE7"/>
    <w:multiLevelType w:val="hybridMultilevel"/>
    <w:tmpl w:val="5A2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96D9B"/>
    <w:multiLevelType w:val="hybridMultilevel"/>
    <w:tmpl w:val="4340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3760D1"/>
    <w:multiLevelType w:val="hybridMultilevel"/>
    <w:tmpl w:val="ECC8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FB25DF"/>
    <w:multiLevelType w:val="hybridMultilevel"/>
    <w:tmpl w:val="2FB6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6349DB"/>
    <w:multiLevelType w:val="hybridMultilevel"/>
    <w:tmpl w:val="1C96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F51947"/>
    <w:multiLevelType w:val="hybridMultilevel"/>
    <w:tmpl w:val="61EE7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8E009E2"/>
    <w:multiLevelType w:val="hybridMultilevel"/>
    <w:tmpl w:val="973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8D63CF"/>
    <w:multiLevelType w:val="hybridMultilevel"/>
    <w:tmpl w:val="9AE23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BB279E"/>
    <w:multiLevelType w:val="hybridMultilevel"/>
    <w:tmpl w:val="ADB691A2"/>
    <w:lvl w:ilvl="0" w:tplc="FBB29DD0">
      <w:start w:val="1"/>
      <w:numFmt w:val="lowerLetter"/>
      <w:lvlText w:val="(%1)"/>
      <w:lvlJc w:val="left"/>
      <w:pPr>
        <w:ind w:left="720" w:hanging="360"/>
      </w:pPr>
      <w:rPr>
        <w:rFonts w:ascii="Arial Narrow" w:eastAsia="Times New Roman" w:hAnsi="Arial Narrow" w:cs="Times New Roman" w:hint="default"/>
        <w:sz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AB23CB"/>
    <w:multiLevelType w:val="hybridMultilevel"/>
    <w:tmpl w:val="971A4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E4799D"/>
    <w:multiLevelType w:val="hybridMultilevel"/>
    <w:tmpl w:val="C2FC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C11055"/>
    <w:multiLevelType w:val="hybridMultilevel"/>
    <w:tmpl w:val="96FE3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632716"/>
    <w:multiLevelType w:val="hybridMultilevel"/>
    <w:tmpl w:val="6892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37">
    <w:nsid w:val="5FC4284E"/>
    <w:multiLevelType w:val="hybridMultilevel"/>
    <w:tmpl w:val="E0B4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062F38"/>
    <w:multiLevelType w:val="hybridMultilevel"/>
    <w:tmpl w:val="486A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40">
    <w:nsid w:val="698A1E9A"/>
    <w:multiLevelType w:val="hybridMultilevel"/>
    <w:tmpl w:val="4E3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25261C"/>
    <w:multiLevelType w:val="hybridMultilevel"/>
    <w:tmpl w:val="7306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37677A"/>
    <w:multiLevelType w:val="hybridMultilevel"/>
    <w:tmpl w:val="02D2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8440BC"/>
    <w:multiLevelType w:val="hybridMultilevel"/>
    <w:tmpl w:val="771282E2"/>
    <w:lvl w:ilvl="0" w:tplc="841A6E1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79226E44"/>
    <w:multiLevelType w:val="hybridMultilevel"/>
    <w:tmpl w:val="0C6A8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A71154C"/>
    <w:multiLevelType w:val="hybridMultilevel"/>
    <w:tmpl w:val="C9EE3A64"/>
    <w:lvl w:ilvl="0" w:tplc="4FBE8D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47">
    <w:nsid w:val="7B1D6189"/>
    <w:multiLevelType w:val="hybridMultilevel"/>
    <w:tmpl w:val="402E98B8"/>
    <w:lvl w:ilvl="0" w:tplc="D6BC821E">
      <w:start w:val="1"/>
      <w:numFmt w:val="bullet"/>
      <w:lvlText w:val=""/>
      <w:lvlJc w:val="left"/>
      <w:pPr>
        <w:tabs>
          <w:tab w:val="num" w:pos="578"/>
        </w:tabs>
        <w:ind w:left="578" w:hanging="360"/>
      </w:pPr>
      <w:rPr>
        <w:rFonts w:ascii="Symbol" w:hAnsi="Symbol" w:hint="default"/>
        <w:sz w:val="20"/>
      </w:rPr>
    </w:lvl>
    <w:lvl w:ilvl="1" w:tplc="0C090003" w:tentative="1">
      <w:start w:val="1"/>
      <w:numFmt w:val="bullet"/>
      <w:lvlText w:val="o"/>
      <w:lvlJc w:val="left"/>
      <w:pPr>
        <w:tabs>
          <w:tab w:val="num" w:pos="1658"/>
        </w:tabs>
        <w:ind w:left="1658" w:hanging="360"/>
      </w:pPr>
      <w:rPr>
        <w:rFonts w:ascii="Courier New" w:hAnsi="Courier New" w:hint="default"/>
      </w:rPr>
    </w:lvl>
    <w:lvl w:ilvl="2" w:tplc="0C090005" w:tentative="1">
      <w:start w:val="1"/>
      <w:numFmt w:val="bullet"/>
      <w:lvlText w:val=""/>
      <w:lvlJc w:val="left"/>
      <w:pPr>
        <w:tabs>
          <w:tab w:val="num" w:pos="2378"/>
        </w:tabs>
        <w:ind w:left="2378" w:hanging="360"/>
      </w:pPr>
      <w:rPr>
        <w:rFonts w:ascii="Wingdings" w:hAnsi="Wingdings" w:hint="default"/>
      </w:rPr>
    </w:lvl>
    <w:lvl w:ilvl="3" w:tplc="0C090001" w:tentative="1">
      <w:start w:val="1"/>
      <w:numFmt w:val="bullet"/>
      <w:lvlText w:val=""/>
      <w:lvlJc w:val="left"/>
      <w:pPr>
        <w:tabs>
          <w:tab w:val="num" w:pos="3098"/>
        </w:tabs>
        <w:ind w:left="3098" w:hanging="360"/>
      </w:pPr>
      <w:rPr>
        <w:rFonts w:ascii="Symbol" w:hAnsi="Symbol" w:hint="default"/>
      </w:rPr>
    </w:lvl>
    <w:lvl w:ilvl="4" w:tplc="0C090003" w:tentative="1">
      <w:start w:val="1"/>
      <w:numFmt w:val="bullet"/>
      <w:lvlText w:val="o"/>
      <w:lvlJc w:val="left"/>
      <w:pPr>
        <w:tabs>
          <w:tab w:val="num" w:pos="3818"/>
        </w:tabs>
        <w:ind w:left="3818" w:hanging="360"/>
      </w:pPr>
      <w:rPr>
        <w:rFonts w:ascii="Courier New" w:hAnsi="Courier New" w:hint="default"/>
      </w:rPr>
    </w:lvl>
    <w:lvl w:ilvl="5" w:tplc="0C090005" w:tentative="1">
      <w:start w:val="1"/>
      <w:numFmt w:val="bullet"/>
      <w:lvlText w:val=""/>
      <w:lvlJc w:val="left"/>
      <w:pPr>
        <w:tabs>
          <w:tab w:val="num" w:pos="4538"/>
        </w:tabs>
        <w:ind w:left="4538" w:hanging="360"/>
      </w:pPr>
      <w:rPr>
        <w:rFonts w:ascii="Wingdings" w:hAnsi="Wingdings" w:hint="default"/>
      </w:rPr>
    </w:lvl>
    <w:lvl w:ilvl="6" w:tplc="0C090001" w:tentative="1">
      <w:start w:val="1"/>
      <w:numFmt w:val="bullet"/>
      <w:lvlText w:val=""/>
      <w:lvlJc w:val="left"/>
      <w:pPr>
        <w:tabs>
          <w:tab w:val="num" w:pos="5258"/>
        </w:tabs>
        <w:ind w:left="5258" w:hanging="360"/>
      </w:pPr>
      <w:rPr>
        <w:rFonts w:ascii="Symbol" w:hAnsi="Symbol" w:hint="default"/>
      </w:rPr>
    </w:lvl>
    <w:lvl w:ilvl="7" w:tplc="0C090003" w:tentative="1">
      <w:start w:val="1"/>
      <w:numFmt w:val="bullet"/>
      <w:lvlText w:val="o"/>
      <w:lvlJc w:val="left"/>
      <w:pPr>
        <w:tabs>
          <w:tab w:val="num" w:pos="5978"/>
        </w:tabs>
        <w:ind w:left="5978" w:hanging="360"/>
      </w:pPr>
      <w:rPr>
        <w:rFonts w:ascii="Courier New" w:hAnsi="Courier New" w:hint="default"/>
      </w:rPr>
    </w:lvl>
    <w:lvl w:ilvl="8" w:tplc="0C090005" w:tentative="1">
      <w:start w:val="1"/>
      <w:numFmt w:val="bullet"/>
      <w:lvlText w:val=""/>
      <w:lvlJc w:val="left"/>
      <w:pPr>
        <w:tabs>
          <w:tab w:val="num" w:pos="6698"/>
        </w:tabs>
        <w:ind w:left="6698" w:hanging="360"/>
      </w:pPr>
      <w:rPr>
        <w:rFonts w:ascii="Wingdings" w:hAnsi="Wingdings" w:hint="default"/>
      </w:rPr>
    </w:lvl>
  </w:abstractNum>
  <w:abstractNum w:abstractNumId="48">
    <w:nsid w:val="7BBE0BEA"/>
    <w:multiLevelType w:val="hybridMultilevel"/>
    <w:tmpl w:val="8162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31"/>
  </w:num>
  <w:num w:numId="4">
    <w:abstractNumId w:val="36"/>
  </w:num>
  <w:num w:numId="5">
    <w:abstractNumId w:val="39"/>
  </w:num>
  <w:num w:numId="6">
    <w:abstractNumId w:val="0"/>
  </w:num>
  <w:num w:numId="7">
    <w:abstractNumId w:val="41"/>
  </w:num>
  <w:num w:numId="8">
    <w:abstractNumId w:val="38"/>
  </w:num>
  <w:num w:numId="9">
    <w:abstractNumId w:val="29"/>
  </w:num>
  <w:num w:numId="10">
    <w:abstractNumId w:val="45"/>
  </w:num>
  <w:num w:numId="11">
    <w:abstractNumId w:val="13"/>
  </w:num>
  <w:num w:numId="12">
    <w:abstractNumId w:val="23"/>
  </w:num>
  <w:num w:numId="13">
    <w:abstractNumId w:val="43"/>
  </w:num>
  <w:num w:numId="14">
    <w:abstractNumId w:val="7"/>
  </w:num>
  <w:num w:numId="15">
    <w:abstractNumId w:val="21"/>
  </w:num>
  <w:num w:numId="16">
    <w:abstractNumId w:val="15"/>
  </w:num>
  <w:num w:numId="17">
    <w:abstractNumId w:val="6"/>
  </w:num>
  <w:num w:numId="18">
    <w:abstractNumId w:val="25"/>
  </w:num>
  <w:num w:numId="19">
    <w:abstractNumId w:val="17"/>
  </w:num>
  <w:num w:numId="20">
    <w:abstractNumId w:val="26"/>
  </w:num>
  <w:num w:numId="21">
    <w:abstractNumId w:val="5"/>
  </w:num>
  <w:num w:numId="22">
    <w:abstractNumId w:val="4"/>
  </w:num>
  <w:num w:numId="23">
    <w:abstractNumId w:val="30"/>
  </w:num>
  <w:num w:numId="24">
    <w:abstractNumId w:val="34"/>
  </w:num>
  <w:num w:numId="25">
    <w:abstractNumId w:val="48"/>
  </w:num>
  <w:num w:numId="26">
    <w:abstractNumId w:val="40"/>
  </w:num>
  <w:num w:numId="27">
    <w:abstractNumId w:val="22"/>
  </w:num>
  <w:num w:numId="28">
    <w:abstractNumId w:val="19"/>
  </w:num>
  <w:num w:numId="29">
    <w:abstractNumId w:val="10"/>
  </w:num>
  <w:num w:numId="30">
    <w:abstractNumId w:val="12"/>
  </w:num>
  <w:num w:numId="31">
    <w:abstractNumId w:val="42"/>
  </w:num>
  <w:num w:numId="32">
    <w:abstractNumId w:val="37"/>
  </w:num>
  <w:num w:numId="33">
    <w:abstractNumId w:val="20"/>
  </w:num>
  <w:num w:numId="34">
    <w:abstractNumId w:val="28"/>
  </w:num>
  <w:num w:numId="35">
    <w:abstractNumId w:val="14"/>
  </w:num>
  <w:num w:numId="36">
    <w:abstractNumId w:val="1"/>
  </w:num>
  <w:num w:numId="37">
    <w:abstractNumId w:val="24"/>
  </w:num>
  <w:num w:numId="38">
    <w:abstractNumId w:val="16"/>
  </w:num>
  <w:num w:numId="39">
    <w:abstractNumId w:val="33"/>
  </w:num>
  <w:num w:numId="40">
    <w:abstractNumId w:val="35"/>
  </w:num>
  <w:num w:numId="41">
    <w:abstractNumId w:val="3"/>
  </w:num>
  <w:num w:numId="42">
    <w:abstractNumId w:val="27"/>
  </w:num>
  <w:num w:numId="43">
    <w:abstractNumId w:val="9"/>
  </w:num>
  <w:num w:numId="44">
    <w:abstractNumId w:val="47"/>
  </w:num>
  <w:num w:numId="45">
    <w:abstractNumId w:val="18"/>
  </w:num>
  <w:num w:numId="46">
    <w:abstractNumId w:val="32"/>
  </w:num>
  <w:num w:numId="47">
    <w:abstractNumId w:val="2"/>
  </w:num>
  <w:num w:numId="48">
    <w:abstractNumId w:val="8"/>
  </w:num>
  <w:num w:numId="49">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92"/>
    <w:rsid w:val="00001F7D"/>
    <w:rsid w:val="00002C84"/>
    <w:rsid w:val="00002C89"/>
    <w:rsid w:val="00024BF4"/>
    <w:rsid w:val="0006322F"/>
    <w:rsid w:val="00074AC2"/>
    <w:rsid w:val="0008022E"/>
    <w:rsid w:val="00085019"/>
    <w:rsid w:val="00090CD1"/>
    <w:rsid w:val="00091714"/>
    <w:rsid w:val="000A56D4"/>
    <w:rsid w:val="000A660B"/>
    <w:rsid w:val="000C2B0C"/>
    <w:rsid w:val="000C7A85"/>
    <w:rsid w:val="000D1AF0"/>
    <w:rsid w:val="000D3801"/>
    <w:rsid w:val="000D7AE4"/>
    <w:rsid w:val="000E42BD"/>
    <w:rsid w:val="000E5C64"/>
    <w:rsid w:val="000F03CD"/>
    <w:rsid w:val="000F2863"/>
    <w:rsid w:val="000F5E05"/>
    <w:rsid w:val="001074E0"/>
    <w:rsid w:val="001130B3"/>
    <w:rsid w:val="0012212B"/>
    <w:rsid w:val="00131A94"/>
    <w:rsid w:val="0013406A"/>
    <w:rsid w:val="001412DB"/>
    <w:rsid w:val="001413D2"/>
    <w:rsid w:val="00144527"/>
    <w:rsid w:val="00162EB4"/>
    <w:rsid w:val="001704EB"/>
    <w:rsid w:val="00176EB9"/>
    <w:rsid w:val="00192317"/>
    <w:rsid w:val="00192EAD"/>
    <w:rsid w:val="0019411C"/>
    <w:rsid w:val="00195C2E"/>
    <w:rsid w:val="001A1723"/>
    <w:rsid w:val="001D757D"/>
    <w:rsid w:val="001E656F"/>
    <w:rsid w:val="001E67BA"/>
    <w:rsid w:val="001F5077"/>
    <w:rsid w:val="001F55DE"/>
    <w:rsid w:val="001F6C99"/>
    <w:rsid w:val="00202FDC"/>
    <w:rsid w:val="00205BBF"/>
    <w:rsid w:val="002073EE"/>
    <w:rsid w:val="00207DCF"/>
    <w:rsid w:val="00210422"/>
    <w:rsid w:val="00214072"/>
    <w:rsid w:val="002152A1"/>
    <w:rsid w:val="00216E4A"/>
    <w:rsid w:val="00224091"/>
    <w:rsid w:val="00226A98"/>
    <w:rsid w:val="00227F5F"/>
    <w:rsid w:val="00230E79"/>
    <w:rsid w:val="00232097"/>
    <w:rsid w:val="00232515"/>
    <w:rsid w:val="00241F51"/>
    <w:rsid w:val="00246568"/>
    <w:rsid w:val="002501A7"/>
    <w:rsid w:val="00267A7B"/>
    <w:rsid w:val="0027797A"/>
    <w:rsid w:val="0029466E"/>
    <w:rsid w:val="00297B59"/>
    <w:rsid w:val="002B6023"/>
    <w:rsid w:val="002D2623"/>
    <w:rsid w:val="002D4CCC"/>
    <w:rsid w:val="002F7000"/>
    <w:rsid w:val="0030146D"/>
    <w:rsid w:val="003023B7"/>
    <w:rsid w:val="00320827"/>
    <w:rsid w:val="00320A42"/>
    <w:rsid w:val="00323207"/>
    <w:rsid w:val="00323599"/>
    <w:rsid w:val="0032446B"/>
    <w:rsid w:val="00326443"/>
    <w:rsid w:val="00333CD0"/>
    <w:rsid w:val="003363D8"/>
    <w:rsid w:val="003372F7"/>
    <w:rsid w:val="003402EB"/>
    <w:rsid w:val="00343D6B"/>
    <w:rsid w:val="00346737"/>
    <w:rsid w:val="00350F55"/>
    <w:rsid w:val="0036510C"/>
    <w:rsid w:val="003818EF"/>
    <w:rsid w:val="0038771E"/>
    <w:rsid w:val="003909AE"/>
    <w:rsid w:val="003B5493"/>
    <w:rsid w:val="003B724B"/>
    <w:rsid w:val="003D3826"/>
    <w:rsid w:val="003E5E12"/>
    <w:rsid w:val="003F5993"/>
    <w:rsid w:val="003F7389"/>
    <w:rsid w:val="0040282E"/>
    <w:rsid w:val="0041070C"/>
    <w:rsid w:val="00413BC1"/>
    <w:rsid w:val="004178E4"/>
    <w:rsid w:val="004229FA"/>
    <w:rsid w:val="004270BA"/>
    <w:rsid w:val="00434776"/>
    <w:rsid w:val="004350F2"/>
    <w:rsid w:val="0044116C"/>
    <w:rsid w:val="0047106E"/>
    <w:rsid w:val="0047192E"/>
    <w:rsid w:val="00490DA1"/>
    <w:rsid w:val="004938BF"/>
    <w:rsid w:val="004B0134"/>
    <w:rsid w:val="004B0640"/>
    <w:rsid w:val="004B5BD2"/>
    <w:rsid w:val="004C43CE"/>
    <w:rsid w:val="004D61DE"/>
    <w:rsid w:val="004E2E62"/>
    <w:rsid w:val="004F1D89"/>
    <w:rsid w:val="005120F4"/>
    <w:rsid w:val="00517152"/>
    <w:rsid w:val="00520917"/>
    <w:rsid w:val="005267D7"/>
    <w:rsid w:val="005405F3"/>
    <w:rsid w:val="00544D24"/>
    <w:rsid w:val="00555C03"/>
    <w:rsid w:val="00561D38"/>
    <w:rsid w:val="00565E36"/>
    <w:rsid w:val="00566DBF"/>
    <w:rsid w:val="00567C20"/>
    <w:rsid w:val="00576F2D"/>
    <w:rsid w:val="00577D2E"/>
    <w:rsid w:val="005864F9"/>
    <w:rsid w:val="005A0753"/>
    <w:rsid w:val="005A2B59"/>
    <w:rsid w:val="005B5260"/>
    <w:rsid w:val="005C35C3"/>
    <w:rsid w:val="005D43EC"/>
    <w:rsid w:val="005D67BC"/>
    <w:rsid w:val="005E59E9"/>
    <w:rsid w:val="005F3EAC"/>
    <w:rsid w:val="005F5995"/>
    <w:rsid w:val="005F6DD3"/>
    <w:rsid w:val="00613957"/>
    <w:rsid w:val="0063152E"/>
    <w:rsid w:val="00632592"/>
    <w:rsid w:val="00632AE6"/>
    <w:rsid w:val="006351C8"/>
    <w:rsid w:val="006379B4"/>
    <w:rsid w:val="00656314"/>
    <w:rsid w:val="00660FCE"/>
    <w:rsid w:val="0066116A"/>
    <w:rsid w:val="00674DEF"/>
    <w:rsid w:val="006755AF"/>
    <w:rsid w:val="00676D04"/>
    <w:rsid w:val="0069266E"/>
    <w:rsid w:val="006A768E"/>
    <w:rsid w:val="006C05CC"/>
    <w:rsid w:val="006C08B9"/>
    <w:rsid w:val="006E3B58"/>
    <w:rsid w:val="006E3B6B"/>
    <w:rsid w:val="006F13A3"/>
    <w:rsid w:val="006F418F"/>
    <w:rsid w:val="006F64F6"/>
    <w:rsid w:val="00700A0B"/>
    <w:rsid w:val="007059E9"/>
    <w:rsid w:val="007071C8"/>
    <w:rsid w:val="007226B1"/>
    <w:rsid w:val="00727A88"/>
    <w:rsid w:val="00727EDF"/>
    <w:rsid w:val="007333BD"/>
    <w:rsid w:val="007407F9"/>
    <w:rsid w:val="00741EBE"/>
    <w:rsid w:val="00746ECF"/>
    <w:rsid w:val="007518AC"/>
    <w:rsid w:val="00753BF5"/>
    <w:rsid w:val="00764C0B"/>
    <w:rsid w:val="007675E6"/>
    <w:rsid w:val="00770A80"/>
    <w:rsid w:val="00770FFB"/>
    <w:rsid w:val="00773BA6"/>
    <w:rsid w:val="007754AB"/>
    <w:rsid w:val="0078387F"/>
    <w:rsid w:val="007935AB"/>
    <w:rsid w:val="00794F2D"/>
    <w:rsid w:val="007A486D"/>
    <w:rsid w:val="007A4FF5"/>
    <w:rsid w:val="007C3077"/>
    <w:rsid w:val="007C7C77"/>
    <w:rsid w:val="007D21BA"/>
    <w:rsid w:val="007E0830"/>
    <w:rsid w:val="007E1253"/>
    <w:rsid w:val="007E1E55"/>
    <w:rsid w:val="007F58C8"/>
    <w:rsid w:val="007F6675"/>
    <w:rsid w:val="007F690E"/>
    <w:rsid w:val="00801A8B"/>
    <w:rsid w:val="00802118"/>
    <w:rsid w:val="008072CF"/>
    <w:rsid w:val="0081433E"/>
    <w:rsid w:val="00815E6D"/>
    <w:rsid w:val="008160BB"/>
    <w:rsid w:val="00821E1A"/>
    <w:rsid w:val="0082752A"/>
    <w:rsid w:val="00831E5D"/>
    <w:rsid w:val="008508D9"/>
    <w:rsid w:val="00871269"/>
    <w:rsid w:val="00884352"/>
    <w:rsid w:val="00887DEC"/>
    <w:rsid w:val="00894F35"/>
    <w:rsid w:val="008A1C66"/>
    <w:rsid w:val="008A4CF8"/>
    <w:rsid w:val="008B566C"/>
    <w:rsid w:val="008B7E52"/>
    <w:rsid w:val="008C7DE0"/>
    <w:rsid w:val="008D117C"/>
    <w:rsid w:val="008D3188"/>
    <w:rsid w:val="008E47E8"/>
    <w:rsid w:val="008E5D6A"/>
    <w:rsid w:val="008E7EB3"/>
    <w:rsid w:val="008F2969"/>
    <w:rsid w:val="008F336C"/>
    <w:rsid w:val="008F5422"/>
    <w:rsid w:val="00906630"/>
    <w:rsid w:val="0090722E"/>
    <w:rsid w:val="00910F82"/>
    <w:rsid w:val="00915B28"/>
    <w:rsid w:val="00916088"/>
    <w:rsid w:val="00920D49"/>
    <w:rsid w:val="00940BFD"/>
    <w:rsid w:val="00942F08"/>
    <w:rsid w:val="00946BAC"/>
    <w:rsid w:val="0095625F"/>
    <w:rsid w:val="00967805"/>
    <w:rsid w:val="00974910"/>
    <w:rsid w:val="009847F7"/>
    <w:rsid w:val="0099090E"/>
    <w:rsid w:val="009B1F8E"/>
    <w:rsid w:val="009B51C0"/>
    <w:rsid w:val="009B539B"/>
    <w:rsid w:val="009B68B8"/>
    <w:rsid w:val="009B7BF9"/>
    <w:rsid w:val="009D2E88"/>
    <w:rsid w:val="009D3E0D"/>
    <w:rsid w:val="009E0A89"/>
    <w:rsid w:val="00A0033A"/>
    <w:rsid w:val="00A028CE"/>
    <w:rsid w:val="00A05EB0"/>
    <w:rsid w:val="00A07B5F"/>
    <w:rsid w:val="00A154BE"/>
    <w:rsid w:val="00A201D3"/>
    <w:rsid w:val="00A2478C"/>
    <w:rsid w:val="00A25219"/>
    <w:rsid w:val="00A27888"/>
    <w:rsid w:val="00A473FF"/>
    <w:rsid w:val="00A55DE9"/>
    <w:rsid w:val="00A95563"/>
    <w:rsid w:val="00AA3219"/>
    <w:rsid w:val="00AB31FD"/>
    <w:rsid w:val="00AB3A0B"/>
    <w:rsid w:val="00AC0722"/>
    <w:rsid w:val="00AC4693"/>
    <w:rsid w:val="00AD0B0D"/>
    <w:rsid w:val="00AD43EF"/>
    <w:rsid w:val="00AD7B4D"/>
    <w:rsid w:val="00AE2901"/>
    <w:rsid w:val="00AE3828"/>
    <w:rsid w:val="00B00660"/>
    <w:rsid w:val="00B033F3"/>
    <w:rsid w:val="00B132DA"/>
    <w:rsid w:val="00B21023"/>
    <w:rsid w:val="00B40726"/>
    <w:rsid w:val="00B42176"/>
    <w:rsid w:val="00B426E6"/>
    <w:rsid w:val="00B446E6"/>
    <w:rsid w:val="00B4473C"/>
    <w:rsid w:val="00B46636"/>
    <w:rsid w:val="00B46BA9"/>
    <w:rsid w:val="00B4777C"/>
    <w:rsid w:val="00B61279"/>
    <w:rsid w:val="00B64110"/>
    <w:rsid w:val="00B64B2E"/>
    <w:rsid w:val="00B715EC"/>
    <w:rsid w:val="00B762F3"/>
    <w:rsid w:val="00B777BB"/>
    <w:rsid w:val="00B86D3A"/>
    <w:rsid w:val="00B9307E"/>
    <w:rsid w:val="00B95127"/>
    <w:rsid w:val="00BA6085"/>
    <w:rsid w:val="00BB1E7C"/>
    <w:rsid w:val="00BB2E2B"/>
    <w:rsid w:val="00BB68C2"/>
    <w:rsid w:val="00BC770E"/>
    <w:rsid w:val="00BD04FC"/>
    <w:rsid w:val="00BD05B7"/>
    <w:rsid w:val="00BD0860"/>
    <w:rsid w:val="00BD4BBC"/>
    <w:rsid w:val="00BD69BB"/>
    <w:rsid w:val="00BE174B"/>
    <w:rsid w:val="00BE26E4"/>
    <w:rsid w:val="00BF1541"/>
    <w:rsid w:val="00C046D2"/>
    <w:rsid w:val="00C253F8"/>
    <w:rsid w:val="00C31591"/>
    <w:rsid w:val="00C3388B"/>
    <w:rsid w:val="00C45381"/>
    <w:rsid w:val="00C510F1"/>
    <w:rsid w:val="00C513F5"/>
    <w:rsid w:val="00C5725C"/>
    <w:rsid w:val="00C60C7D"/>
    <w:rsid w:val="00C671C1"/>
    <w:rsid w:val="00C672DE"/>
    <w:rsid w:val="00C75B9D"/>
    <w:rsid w:val="00C81E3C"/>
    <w:rsid w:val="00C8357B"/>
    <w:rsid w:val="00C94430"/>
    <w:rsid w:val="00C946A0"/>
    <w:rsid w:val="00C95551"/>
    <w:rsid w:val="00CA5ED6"/>
    <w:rsid w:val="00CA7CB4"/>
    <w:rsid w:val="00CB4A0B"/>
    <w:rsid w:val="00CB543C"/>
    <w:rsid w:val="00CD5658"/>
    <w:rsid w:val="00CD7F66"/>
    <w:rsid w:val="00CE0A44"/>
    <w:rsid w:val="00CE40DE"/>
    <w:rsid w:val="00CF6D1F"/>
    <w:rsid w:val="00D03903"/>
    <w:rsid w:val="00D0485A"/>
    <w:rsid w:val="00D05F59"/>
    <w:rsid w:val="00D07ACA"/>
    <w:rsid w:val="00D21033"/>
    <w:rsid w:val="00D22017"/>
    <w:rsid w:val="00D24164"/>
    <w:rsid w:val="00D25C94"/>
    <w:rsid w:val="00D32F1C"/>
    <w:rsid w:val="00D36E61"/>
    <w:rsid w:val="00D51955"/>
    <w:rsid w:val="00D60CF4"/>
    <w:rsid w:val="00D61C4E"/>
    <w:rsid w:val="00D6292C"/>
    <w:rsid w:val="00D63840"/>
    <w:rsid w:val="00D660E0"/>
    <w:rsid w:val="00D72F92"/>
    <w:rsid w:val="00D73DDF"/>
    <w:rsid w:val="00D80291"/>
    <w:rsid w:val="00D83C92"/>
    <w:rsid w:val="00D94B1A"/>
    <w:rsid w:val="00D9553A"/>
    <w:rsid w:val="00D96280"/>
    <w:rsid w:val="00DA100D"/>
    <w:rsid w:val="00DA3249"/>
    <w:rsid w:val="00DA5057"/>
    <w:rsid w:val="00DB47C2"/>
    <w:rsid w:val="00DC215B"/>
    <w:rsid w:val="00DC75AC"/>
    <w:rsid w:val="00DD0F23"/>
    <w:rsid w:val="00DD5A30"/>
    <w:rsid w:val="00DD718D"/>
    <w:rsid w:val="00DE040B"/>
    <w:rsid w:val="00DE5166"/>
    <w:rsid w:val="00DE705F"/>
    <w:rsid w:val="00DF4A74"/>
    <w:rsid w:val="00E04EF4"/>
    <w:rsid w:val="00E0607A"/>
    <w:rsid w:val="00E16302"/>
    <w:rsid w:val="00E16E93"/>
    <w:rsid w:val="00E34DAD"/>
    <w:rsid w:val="00E43941"/>
    <w:rsid w:val="00E6107F"/>
    <w:rsid w:val="00E613E2"/>
    <w:rsid w:val="00E71433"/>
    <w:rsid w:val="00E75520"/>
    <w:rsid w:val="00E758D4"/>
    <w:rsid w:val="00E75F5D"/>
    <w:rsid w:val="00E87393"/>
    <w:rsid w:val="00EA7132"/>
    <w:rsid w:val="00EB1069"/>
    <w:rsid w:val="00EB5081"/>
    <w:rsid w:val="00EB53FC"/>
    <w:rsid w:val="00EC7E41"/>
    <w:rsid w:val="00EE2F45"/>
    <w:rsid w:val="00EE7A2C"/>
    <w:rsid w:val="00EF29C6"/>
    <w:rsid w:val="00EF7333"/>
    <w:rsid w:val="00F14BC7"/>
    <w:rsid w:val="00F231BC"/>
    <w:rsid w:val="00F33EBC"/>
    <w:rsid w:val="00F35A5D"/>
    <w:rsid w:val="00F3753C"/>
    <w:rsid w:val="00F541CC"/>
    <w:rsid w:val="00F547C5"/>
    <w:rsid w:val="00F81E48"/>
    <w:rsid w:val="00F834A4"/>
    <w:rsid w:val="00F90C20"/>
    <w:rsid w:val="00FA61B1"/>
    <w:rsid w:val="00FA6E20"/>
    <w:rsid w:val="00FB6F3C"/>
    <w:rsid w:val="00FC1C98"/>
    <w:rsid w:val="00FC3E0D"/>
    <w:rsid w:val="00FE39A5"/>
    <w:rsid w:val="00FF296E"/>
    <w:rsid w:val="00FF3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semiHidden="0" w:uiPriority="39" w:unhideWhenUsed="0"/>
    <w:lsdException w:name="toc 2" w:locked="0" w:semiHidden="0" w:uiPriority="39" w:unhideWhenUsed="0"/>
    <w:lsdException w:name="toc 3" w:uiPriority="39"/>
    <w:lsdException w:name="toc 4" w:uiPriority="39"/>
    <w:lsdException w:name="toc 5" w:uiPriority="39"/>
    <w:lsdException w:name="toc 6" w:uiPriority="39"/>
    <w:lsdException w:name="toc 7" w:locked="0" w:semiHidden="0" w:uiPriority="0" w:unhideWhenUsed="0"/>
    <w:lsdException w:name="toc 8" w:locked="0" w:semiHidden="0" w:uiPriority="0" w:unhideWhenUsed="0"/>
    <w:lsdException w:name="toc 9" w:locked="0" w:semiHidden="0" w:uiPriority="0" w:unhideWhenUsed="0"/>
    <w:lsdException w:name="caption" w:locked="0" w:semiHidden="0" w:uiPriority="0" w:unhideWhenUsed="0" w:qFormat="1"/>
    <w:lsdException w:name="Title" w:locked="0" w:semiHidden="0" w:uiPriority="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81E3C"/>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D9553A"/>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9553A"/>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D9553A"/>
    <w:pPr>
      <w:keepNext/>
      <w:spacing w:after="120"/>
      <w:outlineLvl w:val="2"/>
    </w:pPr>
    <w:rPr>
      <w:color w:val="41A7BF"/>
    </w:rPr>
  </w:style>
  <w:style w:type="paragraph" w:styleId="Heading4">
    <w:name w:val="heading 4"/>
    <w:basedOn w:val="Normal"/>
    <w:next w:val="Normal"/>
    <w:link w:val="Heading4Char"/>
    <w:uiPriority w:val="99"/>
    <w:qFormat/>
    <w:rsid w:val="00D9553A"/>
    <w:pPr>
      <w:keepNext/>
      <w:numPr>
        <w:ilvl w:val="3"/>
        <w:numId w:val="1"/>
      </w:numPr>
      <w:outlineLvl w:val="3"/>
    </w:pPr>
    <w:rPr>
      <w:u w:val="single"/>
    </w:rPr>
  </w:style>
  <w:style w:type="paragraph" w:styleId="Heading5">
    <w:name w:val="heading 5"/>
    <w:basedOn w:val="Normal"/>
    <w:next w:val="Normal"/>
    <w:link w:val="Heading5Char"/>
    <w:uiPriority w:val="99"/>
    <w:qFormat/>
    <w:rsid w:val="00D9553A"/>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D9553A"/>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D9553A"/>
    <w:pPr>
      <w:keepNext/>
      <w:outlineLvl w:val="6"/>
    </w:pPr>
    <w:rPr>
      <w:i/>
    </w:rPr>
  </w:style>
  <w:style w:type="paragraph" w:styleId="Heading8">
    <w:name w:val="heading 8"/>
    <w:basedOn w:val="Normal"/>
    <w:next w:val="Normal"/>
    <w:link w:val="Heading8Char"/>
    <w:uiPriority w:val="99"/>
    <w:qFormat/>
    <w:rsid w:val="00D9553A"/>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D9553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553A"/>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9553A"/>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D9553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D9553A"/>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D9553A"/>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D9553A"/>
    <w:rPr>
      <w:rFonts w:ascii="Tahoma" w:eastAsia="SimSun" w:hAnsi="Tahoma" w:cs="Tahoma"/>
      <w:b/>
      <w:sz w:val="20"/>
      <w:szCs w:val="20"/>
      <w:lang w:val="en-AU" w:eastAsia="zh-CN"/>
    </w:rPr>
  </w:style>
  <w:style w:type="character" w:customStyle="1" w:styleId="Heading7Char">
    <w:name w:val="Heading 7 Char"/>
    <w:basedOn w:val="DefaultParagraphFont"/>
    <w:link w:val="Heading7"/>
    <w:uiPriority w:val="99"/>
    <w:locked/>
    <w:rsid w:val="00D9553A"/>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D9553A"/>
    <w:rPr>
      <w:rFonts w:ascii="Tahoma" w:eastAsia="SimSun" w:hAnsi="Tahoma" w:cs="Tahoma"/>
      <w:sz w:val="20"/>
      <w:szCs w:val="20"/>
      <w:lang w:val="en-AU" w:eastAsia="zh-CN"/>
    </w:rPr>
  </w:style>
  <w:style w:type="character" w:customStyle="1" w:styleId="Heading9Char">
    <w:name w:val="Heading 9 Char"/>
    <w:basedOn w:val="DefaultParagraphFont"/>
    <w:link w:val="Heading9"/>
    <w:uiPriority w:val="99"/>
    <w:locked/>
    <w:rsid w:val="00D9553A"/>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D9553A"/>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D9553A"/>
    <w:pPr>
      <w:spacing w:line="240" w:lineRule="auto"/>
    </w:pPr>
    <w:rPr>
      <w:sz w:val="16"/>
      <w:szCs w:val="16"/>
    </w:rPr>
  </w:style>
  <w:style w:type="character" w:customStyle="1" w:styleId="BalloonTextChar">
    <w:name w:val="Balloon Text Char"/>
    <w:basedOn w:val="DefaultParagraphFont"/>
    <w:link w:val="BalloonText"/>
    <w:uiPriority w:val="99"/>
    <w:locked/>
    <w:rsid w:val="00D9553A"/>
    <w:rPr>
      <w:rFonts w:ascii="Tahoma" w:eastAsia="SimSun" w:hAnsi="Tahoma" w:cs="Tahoma"/>
      <w:sz w:val="16"/>
      <w:szCs w:val="16"/>
      <w:lang w:eastAsia="zh-CN"/>
    </w:rPr>
  </w:style>
  <w:style w:type="paragraph" w:customStyle="1" w:styleId="Bulletedtext">
    <w:name w:val="Bulleted text"/>
    <w:basedOn w:val="Normal"/>
    <w:uiPriority w:val="99"/>
    <w:rsid w:val="00D9553A"/>
    <w:pPr>
      <w:tabs>
        <w:tab w:val="left" w:pos="2835"/>
      </w:tabs>
    </w:pPr>
  </w:style>
  <w:style w:type="paragraph" w:customStyle="1" w:styleId="Bulletedtext2ndlevel">
    <w:name w:val="Bulleted text 2nd level"/>
    <w:basedOn w:val="Normal"/>
    <w:uiPriority w:val="99"/>
    <w:rsid w:val="00D9553A"/>
    <w:pPr>
      <w:tabs>
        <w:tab w:val="num" w:pos="720"/>
      </w:tabs>
      <w:ind w:left="720" w:hanging="360"/>
      <w:jc w:val="left"/>
    </w:pPr>
  </w:style>
  <w:style w:type="paragraph" w:customStyle="1" w:styleId="Captioncontinued">
    <w:name w:val="Caption (continued)"/>
    <w:basedOn w:val="Normal"/>
    <w:next w:val="Normal"/>
    <w:uiPriority w:val="99"/>
    <w:rsid w:val="00D9553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D9553A"/>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D9553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D9553A"/>
    <w:rPr>
      <w:rFonts w:cs="Times New Roman"/>
      <w:sz w:val="16"/>
      <w:szCs w:val="16"/>
    </w:rPr>
  </w:style>
  <w:style w:type="paragraph" w:styleId="CommentText">
    <w:name w:val="annotation text"/>
    <w:basedOn w:val="Normal"/>
    <w:link w:val="CommentTextChar"/>
    <w:uiPriority w:val="99"/>
    <w:semiHidden/>
    <w:rsid w:val="00D9553A"/>
  </w:style>
  <w:style w:type="character" w:customStyle="1" w:styleId="CommentTextChar">
    <w:name w:val="Comment Text Char"/>
    <w:basedOn w:val="DefaultParagraphFont"/>
    <w:link w:val="CommentText"/>
    <w:uiPriority w:val="99"/>
    <w:semiHidden/>
    <w:locked/>
    <w:rsid w:val="00D9553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D9553A"/>
    <w:rPr>
      <w:b/>
      <w:bCs/>
    </w:rPr>
  </w:style>
  <w:style w:type="character" w:customStyle="1" w:styleId="CommentSubjectChar">
    <w:name w:val="Comment Subject Char"/>
    <w:basedOn w:val="CommentTextChar"/>
    <w:link w:val="CommentSubject"/>
    <w:uiPriority w:val="99"/>
    <w:semiHidden/>
    <w:locked/>
    <w:rsid w:val="00D9553A"/>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D9553A"/>
    <w:pPr>
      <w:spacing w:line="288" w:lineRule="auto"/>
    </w:pPr>
    <w:rPr>
      <w:sz w:val="22"/>
    </w:rPr>
  </w:style>
  <w:style w:type="paragraph" w:styleId="Footer">
    <w:name w:val="footer"/>
    <w:basedOn w:val="Normal"/>
    <w:link w:val="FooterChar"/>
    <w:uiPriority w:val="99"/>
    <w:rsid w:val="00D9553A"/>
    <w:pPr>
      <w:tabs>
        <w:tab w:val="center" w:pos="4320"/>
        <w:tab w:val="right" w:pos="8640"/>
      </w:tabs>
    </w:pPr>
  </w:style>
  <w:style w:type="character" w:customStyle="1" w:styleId="FooterChar">
    <w:name w:val="Footer Char"/>
    <w:basedOn w:val="DefaultParagraphFont"/>
    <w:link w:val="Footer"/>
    <w:uiPriority w:val="99"/>
    <w:locked/>
    <w:rsid w:val="00D9553A"/>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D9553A"/>
    <w:rPr>
      <w:rFonts w:cs="Times New Roman"/>
      <w:vertAlign w:val="superscript"/>
    </w:rPr>
  </w:style>
  <w:style w:type="paragraph" w:styleId="FootnoteText">
    <w:name w:val="footnote text"/>
    <w:basedOn w:val="Normal"/>
    <w:link w:val="FootnoteTextChar"/>
    <w:uiPriority w:val="99"/>
    <w:semiHidden/>
    <w:rsid w:val="00D9553A"/>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D9553A"/>
    <w:rPr>
      <w:rFonts w:cs="Times New Roman"/>
      <w:sz w:val="20"/>
      <w:szCs w:val="20"/>
    </w:rPr>
  </w:style>
  <w:style w:type="paragraph" w:customStyle="1" w:styleId="GMHEADING1">
    <w:name w:val="GMHEADING1"/>
    <w:basedOn w:val="Normal"/>
    <w:next w:val="Normal"/>
    <w:uiPriority w:val="99"/>
    <w:rsid w:val="00D9553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D9553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D9553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D9553A"/>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D9553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D9553A"/>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D9553A"/>
    <w:rPr>
      <w:rFonts w:cs="Times New Roman"/>
      <w:color w:val="0000FF"/>
      <w:u w:val="single"/>
    </w:rPr>
  </w:style>
  <w:style w:type="paragraph" w:customStyle="1" w:styleId="Numberedtext">
    <w:name w:val="Numbered text"/>
    <w:basedOn w:val="Normal"/>
    <w:uiPriority w:val="99"/>
    <w:semiHidden/>
    <w:rsid w:val="00D9553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D9553A"/>
    <w:pPr>
      <w:tabs>
        <w:tab w:val="left" w:pos="0"/>
      </w:tabs>
      <w:spacing w:before="40" w:after="40" w:line="288" w:lineRule="auto"/>
      <w:jc w:val="left"/>
    </w:pPr>
    <w:rPr>
      <w:sz w:val="22"/>
      <w:szCs w:val="22"/>
    </w:rPr>
  </w:style>
  <w:style w:type="character" w:styleId="PageNumber">
    <w:name w:val="page number"/>
    <w:basedOn w:val="DefaultParagraphFont"/>
    <w:uiPriority w:val="99"/>
    <w:rsid w:val="00D9553A"/>
    <w:rPr>
      <w:rFonts w:cs="Times New Roman"/>
    </w:rPr>
  </w:style>
  <w:style w:type="paragraph" w:customStyle="1" w:styleId="Source">
    <w:name w:val="Source"/>
    <w:basedOn w:val="Normal"/>
    <w:uiPriority w:val="99"/>
    <w:rsid w:val="00D9553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D9553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D9553A"/>
    <w:rPr>
      <w:rFonts w:eastAsia="SimSun" w:cs="Times New Roman"/>
      <w:sz w:val="18"/>
      <w:szCs w:val="18"/>
      <w:lang w:val="en-AU" w:eastAsia="en-US" w:bidi="ar-SA"/>
    </w:rPr>
  </w:style>
  <w:style w:type="paragraph" w:customStyle="1" w:styleId="Spaceundertable">
    <w:name w:val="Space under table"/>
    <w:basedOn w:val="Normal"/>
    <w:uiPriority w:val="99"/>
    <w:rsid w:val="00D9553A"/>
    <w:pPr>
      <w:numPr>
        <w:numId w:val="4"/>
      </w:numPr>
      <w:spacing w:line="240" w:lineRule="auto"/>
      <w:jc w:val="left"/>
    </w:pPr>
    <w:rPr>
      <w:sz w:val="8"/>
      <w:szCs w:val="8"/>
    </w:rPr>
  </w:style>
  <w:style w:type="paragraph" w:customStyle="1" w:styleId="Style1">
    <w:name w:val="Style1"/>
    <w:basedOn w:val="GMHeading2"/>
    <w:uiPriority w:val="99"/>
    <w:rsid w:val="00D9553A"/>
  </w:style>
  <w:style w:type="paragraph" w:customStyle="1" w:styleId="Style2">
    <w:name w:val="Style2"/>
    <w:basedOn w:val="GMHeading3"/>
    <w:uiPriority w:val="99"/>
    <w:rsid w:val="00D9553A"/>
  </w:style>
  <w:style w:type="table" w:styleId="TableGrid">
    <w:name w:val="Table Grid"/>
    <w:basedOn w:val="TableNormal"/>
    <w:uiPriority w:val="99"/>
    <w:rsid w:val="00D9553A"/>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D9553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D9553A"/>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D9553A"/>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D9553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D9553A"/>
    <w:pPr>
      <w:numPr>
        <w:numId w:val="2"/>
      </w:numPr>
      <w:spacing w:before="40" w:after="40" w:line="240" w:lineRule="auto"/>
      <w:jc w:val="left"/>
    </w:pPr>
  </w:style>
  <w:style w:type="paragraph" w:customStyle="1" w:styleId="Tabletextbullettedv2">
    <w:name w:val="Table text bulletted v2"/>
    <w:basedOn w:val="Tabletextbulleted"/>
    <w:uiPriority w:val="99"/>
    <w:rsid w:val="00D9553A"/>
    <w:pPr>
      <w:numPr>
        <w:numId w:val="0"/>
      </w:numPr>
      <w:spacing w:before="20" w:after="20"/>
    </w:pPr>
    <w:rPr>
      <w:lang w:val="en-US"/>
    </w:rPr>
  </w:style>
  <w:style w:type="paragraph" w:customStyle="1" w:styleId="Tabletextindentleft">
    <w:name w:val="Table text indent left"/>
    <w:basedOn w:val="TableText1left"/>
    <w:uiPriority w:val="99"/>
    <w:semiHidden/>
    <w:rsid w:val="00D9553A"/>
    <w:pPr>
      <w:ind w:left="252"/>
    </w:pPr>
    <w:rPr>
      <w:lang w:val="en-AU"/>
    </w:rPr>
  </w:style>
  <w:style w:type="paragraph" w:customStyle="1" w:styleId="TabletextindentedlistA">
    <w:name w:val="Table text indented list A"/>
    <w:aliases w:val="B,C"/>
    <w:basedOn w:val="Tabletextbulleted"/>
    <w:uiPriority w:val="99"/>
    <w:rsid w:val="00D9553A"/>
    <w:pPr>
      <w:numPr>
        <w:numId w:val="0"/>
      </w:numPr>
      <w:tabs>
        <w:tab w:val="left" w:pos="284"/>
        <w:tab w:val="left" w:pos="2835"/>
      </w:tabs>
    </w:pPr>
  </w:style>
  <w:style w:type="paragraph" w:customStyle="1" w:styleId="TabletextRelativeRisksRR">
    <w:name w:val="Table text Relative Risks (RR)"/>
    <w:basedOn w:val="Normal"/>
    <w:uiPriority w:val="99"/>
    <w:semiHidden/>
    <w:rsid w:val="00D9553A"/>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D9553A"/>
    <w:pPr>
      <w:spacing w:after="170" w:line="280" w:lineRule="atLeast"/>
    </w:pPr>
    <w:rPr>
      <w:lang w:val="en-US"/>
    </w:rPr>
  </w:style>
  <w:style w:type="paragraph" w:styleId="Title">
    <w:name w:val="Title"/>
    <w:basedOn w:val="Normal"/>
    <w:link w:val="TitleChar"/>
    <w:uiPriority w:val="99"/>
    <w:qFormat/>
    <w:rsid w:val="00D9553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D9553A"/>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D9553A"/>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D9553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D9553A"/>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D9553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D9553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D9553A"/>
    <w:pPr>
      <w:tabs>
        <w:tab w:val="right" w:leader="dot" w:pos="9469"/>
      </w:tabs>
      <w:ind w:left="960"/>
    </w:pPr>
  </w:style>
  <w:style w:type="paragraph" w:styleId="TOC6">
    <w:name w:val="toc 6"/>
    <w:basedOn w:val="Normal"/>
    <w:next w:val="Normal"/>
    <w:uiPriority w:val="99"/>
    <w:semiHidden/>
    <w:rsid w:val="00D9553A"/>
    <w:pPr>
      <w:tabs>
        <w:tab w:val="right" w:leader="dot" w:pos="9469"/>
      </w:tabs>
      <w:ind w:left="1200"/>
    </w:pPr>
  </w:style>
  <w:style w:type="paragraph" w:styleId="TOCHeading0">
    <w:name w:val="TOC Heading"/>
    <w:basedOn w:val="Heading1"/>
    <w:next w:val="Normal"/>
    <w:uiPriority w:val="39"/>
    <w:qFormat/>
    <w:rsid w:val="00D9553A"/>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D9553A"/>
    <w:pPr>
      <w:ind w:left="720"/>
      <w:contextualSpacing/>
    </w:pPr>
  </w:style>
  <w:style w:type="paragraph" w:styleId="NoSpacing">
    <w:name w:val="No Spacing"/>
    <w:link w:val="NoSpacingChar"/>
    <w:uiPriority w:val="99"/>
    <w:qFormat/>
    <w:rsid w:val="00D9553A"/>
    <w:rPr>
      <w:rFonts w:eastAsia="Times New Roman"/>
      <w:lang w:val="en-US" w:eastAsia="en-US"/>
    </w:rPr>
  </w:style>
  <w:style w:type="character" w:customStyle="1" w:styleId="NoSpacingChar">
    <w:name w:val="No Spacing Char"/>
    <w:basedOn w:val="DefaultParagraphFont"/>
    <w:link w:val="NoSpacing"/>
    <w:uiPriority w:val="99"/>
    <w:locked/>
    <w:rsid w:val="00D9553A"/>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D9553A"/>
    <w:rPr>
      <w:rFonts w:cs="Times New Roman"/>
      <w:color w:val="800080"/>
      <w:u w:val="single"/>
    </w:rPr>
  </w:style>
  <w:style w:type="paragraph" w:customStyle="1" w:styleId="CharChar1CharCharCharChar">
    <w:name w:val="Char Char1 Char Char Char Char"/>
    <w:basedOn w:val="Normal"/>
    <w:uiPriority w:val="99"/>
    <w:rsid w:val="00D9553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D9553A"/>
    <w:pPr>
      <w:keepNext/>
      <w:spacing w:after="0" w:line="240" w:lineRule="auto"/>
      <w:jc w:val="left"/>
    </w:pPr>
    <w:rPr>
      <w:rFonts w:ascii="Trebuchet MS" w:eastAsia="Times New Roman" w:hAnsi="Trebuchet MS" w:cs="Times New Roman"/>
      <w:sz w:val="18"/>
      <w:lang w:eastAsia="en-US"/>
    </w:rPr>
  </w:style>
  <w:style w:type="table" w:customStyle="1" w:styleId="TableGrid3">
    <w:name w:val="Table Grid3"/>
    <w:uiPriority w:val="99"/>
    <w:rsid w:val="00D9553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bold">
    <w:name w:val="redbold"/>
    <w:basedOn w:val="DefaultParagraphFont"/>
    <w:uiPriority w:val="99"/>
    <w:rsid w:val="00B4777C"/>
    <w:rPr>
      <w:rFonts w:cs="Times New Roman"/>
    </w:rPr>
  </w:style>
  <w:style w:type="paragraph" w:styleId="NormalWeb">
    <w:name w:val="Normal (Web)"/>
    <w:basedOn w:val="Normal"/>
    <w:uiPriority w:val="99"/>
    <w:locked/>
    <w:rsid w:val="009B51C0"/>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table" w:customStyle="1" w:styleId="TableGrid1">
    <w:name w:val="Table Grid1"/>
    <w:uiPriority w:val="99"/>
    <w:rsid w:val="00632AE6"/>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32AE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F336C"/>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md1">
    <w:name w:val="addmd1"/>
    <w:basedOn w:val="DefaultParagraphFont"/>
    <w:uiPriority w:val="99"/>
    <w:rsid w:val="00B64110"/>
    <w:rPr>
      <w:rFonts w:cs="Times New Roman"/>
      <w:sz w:val="20"/>
      <w:szCs w:val="20"/>
    </w:rPr>
  </w:style>
  <w:style w:type="paragraph" w:styleId="BodyText2">
    <w:name w:val="Body Text 2"/>
    <w:basedOn w:val="Normal"/>
    <w:link w:val="BodyText2Char"/>
    <w:uiPriority w:val="99"/>
    <w:locked/>
    <w:rsid w:val="00B64110"/>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B64110"/>
    <w:rPr>
      <w:rFonts w:ascii="Bookman Old Style" w:hAnsi="Bookman Old Style" w:cs="Times New Roman"/>
      <w:noProof/>
      <w:sz w:val="20"/>
      <w:szCs w:val="20"/>
    </w:rPr>
  </w:style>
  <w:style w:type="paragraph" w:customStyle="1" w:styleId="Protocolheading1">
    <w:name w:val="Protocol heading 1"/>
    <w:basedOn w:val="Normal"/>
    <w:uiPriority w:val="99"/>
    <w:rsid w:val="00B64110"/>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B64110"/>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B64110"/>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B64110"/>
    <w:rPr>
      <w:rFonts w:ascii="Arial" w:hAnsi="Arial" w:cs="Times New Roman"/>
      <w:sz w:val="24"/>
      <w:szCs w:val="24"/>
      <w:lang w:val="en-AU"/>
    </w:rPr>
  </w:style>
  <w:style w:type="paragraph" w:styleId="BodyText">
    <w:name w:val="Body Text"/>
    <w:basedOn w:val="Normal"/>
    <w:link w:val="BodyTextChar"/>
    <w:uiPriority w:val="99"/>
    <w:locked/>
    <w:rsid w:val="00B64110"/>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B64110"/>
    <w:rPr>
      <w:rFonts w:ascii="Bookman Old Style" w:hAnsi="Bookman Old Style" w:cs="Times New Roman"/>
      <w:sz w:val="20"/>
      <w:szCs w:val="20"/>
      <w:lang w:val="en-AU"/>
    </w:rPr>
  </w:style>
  <w:style w:type="paragraph" w:styleId="BodyTextIndent">
    <w:name w:val="Body Text Indent"/>
    <w:basedOn w:val="Normal"/>
    <w:link w:val="BodyTextIndentChar"/>
    <w:uiPriority w:val="99"/>
    <w:locked/>
    <w:rsid w:val="00B64110"/>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B64110"/>
    <w:rPr>
      <w:rFonts w:ascii="Bookman Old Style" w:hAnsi="Bookman Old Style" w:cs="Times New Roman"/>
      <w:sz w:val="20"/>
      <w:szCs w:val="20"/>
      <w:lang w:val="en-AU"/>
    </w:rPr>
  </w:style>
  <w:style w:type="paragraph" w:styleId="BodyTextIndent2">
    <w:name w:val="Body Text Indent 2"/>
    <w:basedOn w:val="Normal"/>
    <w:link w:val="BodyTextIndent2Char"/>
    <w:uiPriority w:val="99"/>
    <w:locked/>
    <w:rsid w:val="00B64110"/>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B64110"/>
    <w:rPr>
      <w:rFonts w:ascii="Bookman Old Style" w:hAnsi="Bookman Old Style" w:cs="Times New Roman"/>
      <w:sz w:val="20"/>
      <w:szCs w:val="20"/>
      <w:lang w:val="en-AU"/>
    </w:rPr>
  </w:style>
  <w:style w:type="paragraph" w:customStyle="1" w:styleId="TableNotes">
    <w:name w:val="TableNotes"/>
    <w:basedOn w:val="TableText"/>
    <w:link w:val="TableNotesChar"/>
    <w:uiPriority w:val="99"/>
    <w:rsid w:val="00B64110"/>
    <w:pPr>
      <w:keepNext w:val="0"/>
      <w:keepLines/>
      <w:ind w:left="1440" w:hanging="720"/>
    </w:pPr>
    <w:rPr>
      <w:rFonts w:ascii="Arial Narrow" w:hAnsi="Arial Narrow"/>
      <w:sz w:val="16"/>
    </w:rPr>
  </w:style>
  <w:style w:type="character" w:customStyle="1" w:styleId="TableNotesChar">
    <w:name w:val="TableNotes Char"/>
    <w:basedOn w:val="DefaultParagraphFont"/>
    <w:link w:val="TableNotes"/>
    <w:uiPriority w:val="99"/>
    <w:locked/>
    <w:rsid w:val="00B64110"/>
    <w:rPr>
      <w:rFonts w:ascii="Arial Narrow" w:hAnsi="Arial Narrow" w:cs="Times New Roman"/>
      <w:sz w:val="20"/>
      <w:szCs w:val="20"/>
      <w:lang w:val="en-AU"/>
    </w:rPr>
  </w:style>
  <w:style w:type="paragraph" w:customStyle="1" w:styleId="TableText0">
    <w:name w:val="Table Text"/>
    <w:basedOn w:val="BodyText"/>
    <w:uiPriority w:val="99"/>
    <w:rsid w:val="00B64110"/>
    <w:pPr>
      <w:spacing w:after="0"/>
    </w:pPr>
    <w:rPr>
      <w:rFonts w:ascii="Arial Narrow" w:hAnsi="Arial Narrow" w:cs="Arial"/>
      <w:sz w:val="24"/>
      <w:szCs w:val="24"/>
    </w:rPr>
  </w:style>
  <w:style w:type="paragraph" w:customStyle="1" w:styleId="TableHeading">
    <w:name w:val="TableHeading"/>
    <w:basedOn w:val="TableText"/>
    <w:uiPriority w:val="99"/>
    <w:rsid w:val="00B64110"/>
    <w:pPr>
      <w:spacing w:before="40" w:after="40"/>
    </w:pPr>
    <w:rPr>
      <w:rFonts w:ascii="Arial Narrow" w:hAnsi="Arial Narrow"/>
      <w:b/>
    </w:rPr>
  </w:style>
  <w:style w:type="paragraph" w:customStyle="1" w:styleId="TableName">
    <w:name w:val="TableName"/>
    <w:basedOn w:val="TableText"/>
    <w:link w:val="TableNameChar"/>
    <w:uiPriority w:val="99"/>
    <w:rsid w:val="00B64110"/>
    <w:pPr>
      <w:spacing w:before="120" w:after="120"/>
      <w:ind w:left="1800" w:hanging="1080"/>
    </w:pPr>
    <w:rPr>
      <w:rFonts w:ascii="Arial Narrow" w:hAnsi="Arial Narrow"/>
      <w:b/>
      <w:sz w:val="20"/>
    </w:rPr>
  </w:style>
  <w:style w:type="character" w:customStyle="1" w:styleId="TableNameChar">
    <w:name w:val="TableName Char"/>
    <w:basedOn w:val="DefaultParagraphFont"/>
    <w:link w:val="TableName"/>
    <w:uiPriority w:val="99"/>
    <w:locked/>
    <w:rsid w:val="00B64110"/>
    <w:rPr>
      <w:rFonts w:ascii="Arial Narrow" w:hAnsi="Arial Narrow" w:cs="Times New Roman"/>
      <w:b/>
      <w:sz w:val="20"/>
      <w:szCs w:val="20"/>
      <w:lang w:val="en-AU"/>
    </w:rPr>
  </w:style>
  <w:style w:type="paragraph" w:customStyle="1" w:styleId="TableHeading0">
    <w:name w:val="Table Heading"/>
    <w:basedOn w:val="TableText0"/>
    <w:next w:val="TableText0"/>
    <w:uiPriority w:val="99"/>
    <w:rsid w:val="00B64110"/>
    <w:pPr>
      <w:keepNext/>
      <w:spacing w:before="40" w:after="40"/>
    </w:pPr>
    <w:rPr>
      <w:rFonts w:ascii="Arial" w:hAnsi="Arial" w:cs="Times New Roman"/>
      <w:b/>
      <w:sz w:val="18"/>
      <w:szCs w:val="20"/>
      <w:lang w:val="en-GB"/>
    </w:rPr>
  </w:style>
  <w:style w:type="paragraph" w:styleId="Date">
    <w:name w:val="Date"/>
    <w:basedOn w:val="Normal"/>
    <w:next w:val="Normal"/>
    <w:link w:val="DateChar"/>
    <w:uiPriority w:val="99"/>
    <w:locked/>
    <w:rsid w:val="00B64110"/>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B64110"/>
    <w:rPr>
      <w:rFonts w:ascii="Garamond" w:hAnsi="Garamond" w:cs="Times New Roman"/>
      <w:sz w:val="24"/>
      <w:szCs w:val="24"/>
    </w:rPr>
  </w:style>
  <w:style w:type="character" w:customStyle="1" w:styleId="mainsubheader1">
    <w:name w:val="mainsubheader1"/>
    <w:basedOn w:val="DefaultParagraphFont"/>
    <w:uiPriority w:val="99"/>
    <w:rsid w:val="00B64110"/>
    <w:rPr>
      <w:rFonts w:cs="Times New Roman"/>
      <w:b/>
      <w:bCs/>
    </w:rPr>
  </w:style>
  <w:style w:type="paragraph" w:customStyle="1" w:styleId="Bullet12">
    <w:name w:val="Bullet+12"/>
    <w:basedOn w:val="Normal"/>
    <w:uiPriority w:val="99"/>
    <w:rsid w:val="00B64110"/>
    <w:pPr>
      <w:tabs>
        <w:tab w:val="num" w:pos="357"/>
      </w:tabs>
      <w:spacing w:line="240" w:lineRule="auto"/>
      <w:ind w:left="357" w:hanging="357"/>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B64110"/>
    <w:pPr>
      <w:tabs>
        <w:tab w:val="num" w:pos="578"/>
      </w:tabs>
      <w:spacing w:after="0" w:line="240" w:lineRule="auto"/>
      <w:ind w:left="578" w:hanging="360"/>
      <w:jc w:val="left"/>
    </w:pPr>
    <w:rPr>
      <w:rFonts w:ascii="Times New Roman" w:eastAsia="Times New Roman" w:hAnsi="Times New Roman" w:cs="Times New Roman"/>
      <w:sz w:val="24"/>
      <w:szCs w:val="24"/>
      <w:lang w:eastAsia="en-AU"/>
    </w:rPr>
  </w:style>
  <w:style w:type="paragraph" w:customStyle="1" w:styleId="Default">
    <w:name w:val="Default"/>
    <w:uiPriority w:val="99"/>
    <w:rsid w:val="00B64110"/>
    <w:pPr>
      <w:autoSpaceDE w:val="0"/>
      <w:autoSpaceDN w:val="0"/>
      <w:adjustRightInd w:val="0"/>
    </w:pPr>
    <w:rPr>
      <w:rFonts w:ascii="Arial" w:eastAsia="Times New Roman" w:hAnsi="Arial" w:cs="Arial"/>
      <w:color w:val="000000"/>
      <w:sz w:val="24"/>
      <w:szCs w:val="24"/>
    </w:rPr>
  </w:style>
  <w:style w:type="character" w:customStyle="1" w:styleId="EndnoteTextChar">
    <w:name w:val="Endnote Text Char"/>
    <w:basedOn w:val="DefaultParagraphFont"/>
    <w:link w:val="EndnoteText"/>
    <w:uiPriority w:val="99"/>
    <w:semiHidden/>
    <w:locked/>
    <w:rsid w:val="00B64110"/>
    <w:rPr>
      <w:rFonts w:ascii="Tahoma" w:eastAsia="SimSun" w:hAnsi="Tahoma" w:cs="Tahoma"/>
      <w:sz w:val="20"/>
      <w:szCs w:val="20"/>
      <w:lang w:val="en-AU" w:eastAsia="zh-CN"/>
    </w:rPr>
  </w:style>
  <w:style w:type="paragraph" w:styleId="EndnoteText">
    <w:name w:val="endnote text"/>
    <w:basedOn w:val="Normal"/>
    <w:link w:val="EndnoteTextChar"/>
    <w:uiPriority w:val="99"/>
    <w:semiHidden/>
    <w:locked/>
    <w:rsid w:val="00B64110"/>
    <w:pPr>
      <w:spacing w:after="0" w:line="240" w:lineRule="auto"/>
    </w:pPr>
  </w:style>
  <w:style w:type="character" w:customStyle="1" w:styleId="EndnoteTextChar1">
    <w:name w:val="Endnote Text Char1"/>
    <w:basedOn w:val="DefaultParagraphFont"/>
    <w:uiPriority w:val="99"/>
    <w:semiHidden/>
    <w:rsid w:val="005823BD"/>
    <w:rPr>
      <w:rFonts w:ascii="Tahoma" w:eastAsia="SimSun" w:hAnsi="Tahoma" w:cs="Tahoma"/>
      <w:sz w:val="20"/>
      <w:szCs w:val="20"/>
      <w:lang w:eastAsia="zh-CN"/>
    </w:rPr>
  </w:style>
  <w:style w:type="character" w:customStyle="1" w:styleId="highlight">
    <w:name w:val="highlight"/>
    <w:basedOn w:val="DefaultParagraphFont"/>
    <w:uiPriority w:val="99"/>
    <w:rsid w:val="00B64110"/>
    <w:rPr>
      <w:rFonts w:cs="Times New Roman"/>
    </w:rPr>
  </w:style>
  <w:style w:type="table" w:customStyle="1" w:styleId="PASC">
    <w:name w:val="PASC"/>
    <w:basedOn w:val="TableNormal"/>
    <w:uiPriority w:val="99"/>
    <w:rsid w:val="00090CD1"/>
    <w:tblPr>
      <w:tblInd w:w="0" w:type="dxa"/>
      <w:tblBorders>
        <w:bottom w:val="single" w:sz="12" w:space="0" w:color="auto"/>
      </w:tblBorders>
      <w:tblCellMar>
        <w:top w:w="0" w:type="dxa"/>
        <w:left w:w="108" w:type="dxa"/>
        <w:bottom w:w="0" w:type="dxa"/>
        <w:right w:w="108" w:type="dxa"/>
      </w:tblCellMar>
    </w:tblPr>
    <w:tblStylePr w:type="firstRow">
      <w:tblPr/>
      <w:tcPr>
        <w:tcBorders>
          <w:top w:val="single" w:sz="12" w:space="0" w:color="auto"/>
          <w:bottom w:val="single" w:sz="4"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semiHidden="0" w:uiPriority="0" w:unhideWhenUsed="0" w:qFormat="1"/>
    <w:lsdException w:name="heading 9" w:locked="0" w:semiHidden="0" w:uiPriority="0" w:unhideWhenUsed="0" w:qFormat="1"/>
    <w:lsdException w:name="toc 1" w:locked="0" w:semiHidden="0" w:uiPriority="39" w:unhideWhenUsed="0"/>
    <w:lsdException w:name="toc 2" w:locked="0" w:semiHidden="0" w:uiPriority="39" w:unhideWhenUsed="0"/>
    <w:lsdException w:name="toc 3" w:uiPriority="39"/>
    <w:lsdException w:name="toc 4" w:uiPriority="39"/>
    <w:lsdException w:name="toc 5" w:uiPriority="39"/>
    <w:lsdException w:name="toc 6" w:uiPriority="39"/>
    <w:lsdException w:name="toc 7" w:locked="0" w:semiHidden="0" w:uiPriority="0" w:unhideWhenUsed="0"/>
    <w:lsdException w:name="toc 8" w:locked="0" w:semiHidden="0" w:uiPriority="0" w:unhideWhenUsed="0"/>
    <w:lsdException w:name="toc 9" w:locked="0" w:semiHidden="0" w:uiPriority="0" w:unhideWhenUsed="0"/>
    <w:lsdException w:name="caption" w:locked="0" w:semiHidden="0" w:uiPriority="0" w:unhideWhenUsed="0" w:qFormat="1"/>
    <w:lsdException w:name="Title" w:locked="0" w:semiHidden="0" w:uiPriority="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81E3C"/>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D9553A"/>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9553A"/>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D9553A"/>
    <w:pPr>
      <w:keepNext/>
      <w:spacing w:after="120"/>
      <w:outlineLvl w:val="2"/>
    </w:pPr>
    <w:rPr>
      <w:color w:val="41A7BF"/>
    </w:rPr>
  </w:style>
  <w:style w:type="paragraph" w:styleId="Heading4">
    <w:name w:val="heading 4"/>
    <w:basedOn w:val="Normal"/>
    <w:next w:val="Normal"/>
    <w:link w:val="Heading4Char"/>
    <w:uiPriority w:val="99"/>
    <w:qFormat/>
    <w:rsid w:val="00D9553A"/>
    <w:pPr>
      <w:keepNext/>
      <w:numPr>
        <w:ilvl w:val="3"/>
        <w:numId w:val="1"/>
      </w:numPr>
      <w:outlineLvl w:val="3"/>
    </w:pPr>
    <w:rPr>
      <w:u w:val="single"/>
    </w:rPr>
  </w:style>
  <w:style w:type="paragraph" w:styleId="Heading5">
    <w:name w:val="heading 5"/>
    <w:basedOn w:val="Normal"/>
    <w:next w:val="Normal"/>
    <w:link w:val="Heading5Char"/>
    <w:uiPriority w:val="99"/>
    <w:qFormat/>
    <w:rsid w:val="00D9553A"/>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D9553A"/>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D9553A"/>
    <w:pPr>
      <w:keepNext/>
      <w:outlineLvl w:val="6"/>
    </w:pPr>
    <w:rPr>
      <w:i/>
    </w:rPr>
  </w:style>
  <w:style w:type="paragraph" w:styleId="Heading8">
    <w:name w:val="heading 8"/>
    <w:basedOn w:val="Normal"/>
    <w:next w:val="Normal"/>
    <w:link w:val="Heading8Char"/>
    <w:uiPriority w:val="99"/>
    <w:qFormat/>
    <w:rsid w:val="00D9553A"/>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D9553A"/>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553A"/>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9553A"/>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D9553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D9553A"/>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D9553A"/>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D9553A"/>
    <w:rPr>
      <w:rFonts w:ascii="Tahoma" w:eastAsia="SimSun" w:hAnsi="Tahoma" w:cs="Tahoma"/>
      <w:b/>
      <w:sz w:val="20"/>
      <w:szCs w:val="20"/>
      <w:lang w:val="en-AU" w:eastAsia="zh-CN"/>
    </w:rPr>
  </w:style>
  <w:style w:type="character" w:customStyle="1" w:styleId="Heading7Char">
    <w:name w:val="Heading 7 Char"/>
    <w:basedOn w:val="DefaultParagraphFont"/>
    <w:link w:val="Heading7"/>
    <w:uiPriority w:val="99"/>
    <w:locked/>
    <w:rsid w:val="00D9553A"/>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D9553A"/>
    <w:rPr>
      <w:rFonts w:ascii="Tahoma" w:eastAsia="SimSun" w:hAnsi="Tahoma" w:cs="Tahoma"/>
      <w:sz w:val="20"/>
      <w:szCs w:val="20"/>
      <w:lang w:val="en-AU" w:eastAsia="zh-CN"/>
    </w:rPr>
  </w:style>
  <w:style w:type="character" w:customStyle="1" w:styleId="Heading9Char">
    <w:name w:val="Heading 9 Char"/>
    <w:basedOn w:val="DefaultParagraphFont"/>
    <w:link w:val="Heading9"/>
    <w:uiPriority w:val="99"/>
    <w:locked/>
    <w:rsid w:val="00D9553A"/>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D9553A"/>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D9553A"/>
    <w:pPr>
      <w:spacing w:line="240" w:lineRule="auto"/>
    </w:pPr>
    <w:rPr>
      <w:sz w:val="16"/>
      <w:szCs w:val="16"/>
    </w:rPr>
  </w:style>
  <w:style w:type="character" w:customStyle="1" w:styleId="BalloonTextChar">
    <w:name w:val="Balloon Text Char"/>
    <w:basedOn w:val="DefaultParagraphFont"/>
    <w:link w:val="BalloonText"/>
    <w:uiPriority w:val="99"/>
    <w:locked/>
    <w:rsid w:val="00D9553A"/>
    <w:rPr>
      <w:rFonts w:ascii="Tahoma" w:eastAsia="SimSun" w:hAnsi="Tahoma" w:cs="Tahoma"/>
      <w:sz w:val="16"/>
      <w:szCs w:val="16"/>
      <w:lang w:eastAsia="zh-CN"/>
    </w:rPr>
  </w:style>
  <w:style w:type="paragraph" w:customStyle="1" w:styleId="Bulletedtext">
    <w:name w:val="Bulleted text"/>
    <w:basedOn w:val="Normal"/>
    <w:uiPriority w:val="99"/>
    <w:rsid w:val="00D9553A"/>
    <w:pPr>
      <w:tabs>
        <w:tab w:val="left" w:pos="2835"/>
      </w:tabs>
    </w:pPr>
  </w:style>
  <w:style w:type="paragraph" w:customStyle="1" w:styleId="Bulletedtext2ndlevel">
    <w:name w:val="Bulleted text 2nd level"/>
    <w:basedOn w:val="Normal"/>
    <w:uiPriority w:val="99"/>
    <w:rsid w:val="00D9553A"/>
    <w:pPr>
      <w:tabs>
        <w:tab w:val="num" w:pos="720"/>
      </w:tabs>
      <w:ind w:left="720" w:hanging="360"/>
      <w:jc w:val="left"/>
    </w:pPr>
  </w:style>
  <w:style w:type="paragraph" w:customStyle="1" w:styleId="Captioncontinued">
    <w:name w:val="Caption (continued)"/>
    <w:basedOn w:val="Normal"/>
    <w:next w:val="Normal"/>
    <w:uiPriority w:val="99"/>
    <w:rsid w:val="00D9553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D9553A"/>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D9553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D9553A"/>
    <w:rPr>
      <w:rFonts w:cs="Times New Roman"/>
      <w:sz w:val="16"/>
      <w:szCs w:val="16"/>
    </w:rPr>
  </w:style>
  <w:style w:type="paragraph" w:styleId="CommentText">
    <w:name w:val="annotation text"/>
    <w:basedOn w:val="Normal"/>
    <w:link w:val="CommentTextChar"/>
    <w:uiPriority w:val="99"/>
    <w:semiHidden/>
    <w:rsid w:val="00D9553A"/>
  </w:style>
  <w:style w:type="character" w:customStyle="1" w:styleId="CommentTextChar">
    <w:name w:val="Comment Text Char"/>
    <w:basedOn w:val="DefaultParagraphFont"/>
    <w:link w:val="CommentText"/>
    <w:uiPriority w:val="99"/>
    <w:semiHidden/>
    <w:locked/>
    <w:rsid w:val="00D9553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D9553A"/>
    <w:rPr>
      <w:b/>
      <w:bCs/>
    </w:rPr>
  </w:style>
  <w:style w:type="character" w:customStyle="1" w:styleId="CommentSubjectChar">
    <w:name w:val="Comment Subject Char"/>
    <w:basedOn w:val="CommentTextChar"/>
    <w:link w:val="CommentSubject"/>
    <w:uiPriority w:val="99"/>
    <w:semiHidden/>
    <w:locked/>
    <w:rsid w:val="00D9553A"/>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D9553A"/>
    <w:pPr>
      <w:spacing w:line="288" w:lineRule="auto"/>
    </w:pPr>
    <w:rPr>
      <w:sz w:val="22"/>
    </w:rPr>
  </w:style>
  <w:style w:type="paragraph" w:styleId="Footer">
    <w:name w:val="footer"/>
    <w:basedOn w:val="Normal"/>
    <w:link w:val="FooterChar"/>
    <w:uiPriority w:val="99"/>
    <w:rsid w:val="00D9553A"/>
    <w:pPr>
      <w:tabs>
        <w:tab w:val="center" w:pos="4320"/>
        <w:tab w:val="right" w:pos="8640"/>
      </w:tabs>
    </w:pPr>
  </w:style>
  <w:style w:type="character" w:customStyle="1" w:styleId="FooterChar">
    <w:name w:val="Footer Char"/>
    <w:basedOn w:val="DefaultParagraphFont"/>
    <w:link w:val="Footer"/>
    <w:uiPriority w:val="99"/>
    <w:locked/>
    <w:rsid w:val="00D9553A"/>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D9553A"/>
    <w:rPr>
      <w:rFonts w:cs="Times New Roman"/>
      <w:vertAlign w:val="superscript"/>
    </w:rPr>
  </w:style>
  <w:style w:type="paragraph" w:styleId="FootnoteText">
    <w:name w:val="footnote text"/>
    <w:basedOn w:val="Normal"/>
    <w:link w:val="FootnoteTextChar"/>
    <w:uiPriority w:val="99"/>
    <w:semiHidden/>
    <w:rsid w:val="00D9553A"/>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D9553A"/>
    <w:rPr>
      <w:rFonts w:cs="Times New Roman"/>
      <w:sz w:val="20"/>
      <w:szCs w:val="20"/>
    </w:rPr>
  </w:style>
  <w:style w:type="paragraph" w:customStyle="1" w:styleId="GMHEADING1">
    <w:name w:val="GMHEADING1"/>
    <w:basedOn w:val="Normal"/>
    <w:next w:val="Normal"/>
    <w:uiPriority w:val="99"/>
    <w:rsid w:val="00D9553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D9553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D9553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D9553A"/>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D9553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D9553A"/>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D9553A"/>
    <w:rPr>
      <w:rFonts w:cs="Times New Roman"/>
      <w:color w:val="0000FF"/>
      <w:u w:val="single"/>
    </w:rPr>
  </w:style>
  <w:style w:type="paragraph" w:customStyle="1" w:styleId="Numberedtext">
    <w:name w:val="Numbered text"/>
    <w:basedOn w:val="Normal"/>
    <w:uiPriority w:val="99"/>
    <w:semiHidden/>
    <w:rsid w:val="00D9553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D9553A"/>
    <w:pPr>
      <w:tabs>
        <w:tab w:val="left" w:pos="0"/>
      </w:tabs>
      <w:spacing w:before="40" w:after="40" w:line="288" w:lineRule="auto"/>
      <w:jc w:val="left"/>
    </w:pPr>
    <w:rPr>
      <w:sz w:val="22"/>
      <w:szCs w:val="22"/>
    </w:rPr>
  </w:style>
  <w:style w:type="character" w:styleId="PageNumber">
    <w:name w:val="page number"/>
    <w:basedOn w:val="DefaultParagraphFont"/>
    <w:uiPriority w:val="99"/>
    <w:rsid w:val="00D9553A"/>
    <w:rPr>
      <w:rFonts w:cs="Times New Roman"/>
    </w:rPr>
  </w:style>
  <w:style w:type="paragraph" w:customStyle="1" w:styleId="Source">
    <w:name w:val="Source"/>
    <w:basedOn w:val="Normal"/>
    <w:uiPriority w:val="99"/>
    <w:rsid w:val="00D9553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D9553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D9553A"/>
    <w:rPr>
      <w:rFonts w:eastAsia="SimSun" w:cs="Times New Roman"/>
      <w:sz w:val="18"/>
      <w:szCs w:val="18"/>
      <w:lang w:val="en-AU" w:eastAsia="en-US" w:bidi="ar-SA"/>
    </w:rPr>
  </w:style>
  <w:style w:type="paragraph" w:customStyle="1" w:styleId="Spaceundertable">
    <w:name w:val="Space under table"/>
    <w:basedOn w:val="Normal"/>
    <w:uiPriority w:val="99"/>
    <w:rsid w:val="00D9553A"/>
    <w:pPr>
      <w:numPr>
        <w:numId w:val="4"/>
      </w:numPr>
      <w:spacing w:line="240" w:lineRule="auto"/>
      <w:jc w:val="left"/>
    </w:pPr>
    <w:rPr>
      <w:sz w:val="8"/>
      <w:szCs w:val="8"/>
    </w:rPr>
  </w:style>
  <w:style w:type="paragraph" w:customStyle="1" w:styleId="Style1">
    <w:name w:val="Style1"/>
    <w:basedOn w:val="GMHeading2"/>
    <w:uiPriority w:val="99"/>
    <w:rsid w:val="00D9553A"/>
  </w:style>
  <w:style w:type="paragraph" w:customStyle="1" w:styleId="Style2">
    <w:name w:val="Style2"/>
    <w:basedOn w:val="GMHeading3"/>
    <w:uiPriority w:val="99"/>
    <w:rsid w:val="00D9553A"/>
  </w:style>
  <w:style w:type="table" w:styleId="TableGrid">
    <w:name w:val="Table Grid"/>
    <w:basedOn w:val="TableNormal"/>
    <w:uiPriority w:val="99"/>
    <w:rsid w:val="00D9553A"/>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D9553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D9553A"/>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D9553A"/>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D9553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D9553A"/>
    <w:pPr>
      <w:numPr>
        <w:numId w:val="2"/>
      </w:numPr>
      <w:spacing w:before="40" w:after="40" w:line="240" w:lineRule="auto"/>
      <w:jc w:val="left"/>
    </w:pPr>
  </w:style>
  <w:style w:type="paragraph" w:customStyle="1" w:styleId="Tabletextbullettedv2">
    <w:name w:val="Table text bulletted v2"/>
    <w:basedOn w:val="Tabletextbulleted"/>
    <w:uiPriority w:val="99"/>
    <w:rsid w:val="00D9553A"/>
    <w:pPr>
      <w:numPr>
        <w:numId w:val="0"/>
      </w:numPr>
      <w:spacing w:before="20" w:after="20"/>
    </w:pPr>
    <w:rPr>
      <w:lang w:val="en-US"/>
    </w:rPr>
  </w:style>
  <w:style w:type="paragraph" w:customStyle="1" w:styleId="Tabletextindentleft">
    <w:name w:val="Table text indent left"/>
    <w:basedOn w:val="TableText1left"/>
    <w:uiPriority w:val="99"/>
    <w:semiHidden/>
    <w:rsid w:val="00D9553A"/>
    <w:pPr>
      <w:ind w:left="252"/>
    </w:pPr>
    <w:rPr>
      <w:lang w:val="en-AU"/>
    </w:rPr>
  </w:style>
  <w:style w:type="paragraph" w:customStyle="1" w:styleId="TabletextindentedlistA">
    <w:name w:val="Table text indented list A"/>
    <w:aliases w:val="B,C"/>
    <w:basedOn w:val="Tabletextbulleted"/>
    <w:uiPriority w:val="99"/>
    <w:rsid w:val="00D9553A"/>
    <w:pPr>
      <w:numPr>
        <w:numId w:val="0"/>
      </w:numPr>
      <w:tabs>
        <w:tab w:val="left" w:pos="284"/>
        <w:tab w:val="left" w:pos="2835"/>
      </w:tabs>
    </w:pPr>
  </w:style>
  <w:style w:type="paragraph" w:customStyle="1" w:styleId="TabletextRelativeRisksRR">
    <w:name w:val="Table text Relative Risks (RR)"/>
    <w:basedOn w:val="Normal"/>
    <w:uiPriority w:val="99"/>
    <w:semiHidden/>
    <w:rsid w:val="00D9553A"/>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D9553A"/>
    <w:pPr>
      <w:spacing w:after="170" w:line="280" w:lineRule="atLeast"/>
    </w:pPr>
    <w:rPr>
      <w:lang w:val="en-US"/>
    </w:rPr>
  </w:style>
  <w:style w:type="paragraph" w:styleId="Title">
    <w:name w:val="Title"/>
    <w:basedOn w:val="Normal"/>
    <w:link w:val="TitleChar"/>
    <w:uiPriority w:val="99"/>
    <w:qFormat/>
    <w:rsid w:val="00D9553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D9553A"/>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D9553A"/>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D9553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D9553A"/>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D9553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D9553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D9553A"/>
    <w:pPr>
      <w:tabs>
        <w:tab w:val="right" w:leader="dot" w:pos="9469"/>
      </w:tabs>
      <w:ind w:left="960"/>
    </w:pPr>
  </w:style>
  <w:style w:type="paragraph" w:styleId="TOC6">
    <w:name w:val="toc 6"/>
    <w:basedOn w:val="Normal"/>
    <w:next w:val="Normal"/>
    <w:uiPriority w:val="99"/>
    <w:semiHidden/>
    <w:rsid w:val="00D9553A"/>
    <w:pPr>
      <w:tabs>
        <w:tab w:val="right" w:leader="dot" w:pos="9469"/>
      </w:tabs>
      <w:ind w:left="1200"/>
    </w:pPr>
  </w:style>
  <w:style w:type="paragraph" w:styleId="TOCHeading0">
    <w:name w:val="TOC Heading"/>
    <w:basedOn w:val="Heading1"/>
    <w:next w:val="Normal"/>
    <w:uiPriority w:val="39"/>
    <w:qFormat/>
    <w:rsid w:val="00D9553A"/>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D9553A"/>
    <w:pPr>
      <w:ind w:left="720"/>
      <w:contextualSpacing/>
    </w:pPr>
  </w:style>
  <w:style w:type="paragraph" w:styleId="NoSpacing">
    <w:name w:val="No Spacing"/>
    <w:link w:val="NoSpacingChar"/>
    <w:uiPriority w:val="99"/>
    <w:qFormat/>
    <w:rsid w:val="00D9553A"/>
    <w:rPr>
      <w:rFonts w:eastAsia="Times New Roman"/>
      <w:lang w:val="en-US" w:eastAsia="en-US"/>
    </w:rPr>
  </w:style>
  <w:style w:type="character" w:customStyle="1" w:styleId="NoSpacingChar">
    <w:name w:val="No Spacing Char"/>
    <w:basedOn w:val="DefaultParagraphFont"/>
    <w:link w:val="NoSpacing"/>
    <w:uiPriority w:val="99"/>
    <w:locked/>
    <w:rsid w:val="00D9553A"/>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D9553A"/>
    <w:rPr>
      <w:rFonts w:cs="Times New Roman"/>
      <w:color w:val="800080"/>
      <w:u w:val="single"/>
    </w:rPr>
  </w:style>
  <w:style w:type="paragraph" w:customStyle="1" w:styleId="CharChar1CharCharCharChar">
    <w:name w:val="Char Char1 Char Char Char Char"/>
    <w:basedOn w:val="Normal"/>
    <w:uiPriority w:val="99"/>
    <w:rsid w:val="00D9553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D9553A"/>
    <w:pPr>
      <w:keepNext/>
      <w:spacing w:after="0" w:line="240" w:lineRule="auto"/>
      <w:jc w:val="left"/>
    </w:pPr>
    <w:rPr>
      <w:rFonts w:ascii="Trebuchet MS" w:eastAsia="Times New Roman" w:hAnsi="Trebuchet MS" w:cs="Times New Roman"/>
      <w:sz w:val="18"/>
      <w:lang w:eastAsia="en-US"/>
    </w:rPr>
  </w:style>
  <w:style w:type="table" w:customStyle="1" w:styleId="TableGrid3">
    <w:name w:val="Table Grid3"/>
    <w:uiPriority w:val="99"/>
    <w:rsid w:val="00D9553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bold">
    <w:name w:val="redbold"/>
    <w:basedOn w:val="DefaultParagraphFont"/>
    <w:uiPriority w:val="99"/>
    <w:rsid w:val="00B4777C"/>
    <w:rPr>
      <w:rFonts w:cs="Times New Roman"/>
    </w:rPr>
  </w:style>
  <w:style w:type="paragraph" w:styleId="NormalWeb">
    <w:name w:val="Normal (Web)"/>
    <w:basedOn w:val="Normal"/>
    <w:uiPriority w:val="99"/>
    <w:locked/>
    <w:rsid w:val="009B51C0"/>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table" w:customStyle="1" w:styleId="TableGrid1">
    <w:name w:val="Table Grid1"/>
    <w:uiPriority w:val="99"/>
    <w:rsid w:val="00632AE6"/>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32AE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F336C"/>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md1">
    <w:name w:val="addmd1"/>
    <w:basedOn w:val="DefaultParagraphFont"/>
    <w:uiPriority w:val="99"/>
    <w:rsid w:val="00B64110"/>
    <w:rPr>
      <w:rFonts w:cs="Times New Roman"/>
      <w:sz w:val="20"/>
      <w:szCs w:val="20"/>
    </w:rPr>
  </w:style>
  <w:style w:type="paragraph" w:styleId="BodyText2">
    <w:name w:val="Body Text 2"/>
    <w:basedOn w:val="Normal"/>
    <w:link w:val="BodyText2Char"/>
    <w:uiPriority w:val="99"/>
    <w:locked/>
    <w:rsid w:val="00B64110"/>
    <w:pPr>
      <w:spacing w:line="240" w:lineRule="auto"/>
      <w:jc w:val="left"/>
    </w:pPr>
    <w:rPr>
      <w:rFonts w:ascii="Bookman Old Style" w:eastAsia="Times New Roman" w:hAnsi="Bookman Old Style" w:cs="Times New Roman"/>
      <w:noProof/>
      <w:sz w:val="42"/>
      <w:lang w:val="en-US" w:eastAsia="en-US"/>
    </w:rPr>
  </w:style>
  <w:style w:type="character" w:customStyle="1" w:styleId="BodyText2Char">
    <w:name w:val="Body Text 2 Char"/>
    <w:basedOn w:val="DefaultParagraphFont"/>
    <w:link w:val="BodyText2"/>
    <w:uiPriority w:val="99"/>
    <w:locked/>
    <w:rsid w:val="00B64110"/>
    <w:rPr>
      <w:rFonts w:ascii="Bookman Old Style" w:hAnsi="Bookman Old Style" w:cs="Times New Roman"/>
      <w:noProof/>
      <w:sz w:val="20"/>
      <w:szCs w:val="20"/>
    </w:rPr>
  </w:style>
  <w:style w:type="paragraph" w:customStyle="1" w:styleId="Protocolheading1">
    <w:name w:val="Protocol heading 1"/>
    <w:basedOn w:val="Normal"/>
    <w:uiPriority w:val="99"/>
    <w:rsid w:val="00B64110"/>
    <w:pPr>
      <w:spacing w:after="0" w:line="240" w:lineRule="auto"/>
      <w:jc w:val="left"/>
    </w:pPr>
    <w:rPr>
      <w:rFonts w:ascii="Arial" w:eastAsia="Times New Roman" w:hAnsi="Arial" w:cs="Times New Roman"/>
      <w:b/>
      <w:sz w:val="52"/>
      <w:szCs w:val="24"/>
      <w:lang w:eastAsia="en-US"/>
    </w:rPr>
  </w:style>
  <w:style w:type="paragraph" w:customStyle="1" w:styleId="Protocolheading3">
    <w:name w:val="Protocol heading 3"/>
    <w:basedOn w:val="Normal"/>
    <w:uiPriority w:val="99"/>
    <w:rsid w:val="00B64110"/>
    <w:pPr>
      <w:spacing w:after="0" w:line="240" w:lineRule="auto"/>
      <w:jc w:val="left"/>
    </w:pPr>
    <w:rPr>
      <w:rFonts w:ascii="Arial" w:eastAsia="Times New Roman" w:hAnsi="Arial" w:cs="Times New Roman"/>
      <w:b/>
      <w:sz w:val="44"/>
      <w:szCs w:val="24"/>
      <w:lang w:eastAsia="en-US"/>
    </w:rPr>
  </w:style>
  <w:style w:type="paragraph" w:customStyle="1" w:styleId="Protocolnormal">
    <w:name w:val="Protocol normal"/>
    <w:basedOn w:val="Normal"/>
    <w:link w:val="ProtocolnormalChar"/>
    <w:uiPriority w:val="99"/>
    <w:rsid w:val="00B64110"/>
    <w:pPr>
      <w:spacing w:after="0" w:line="240" w:lineRule="auto"/>
      <w:jc w:val="left"/>
    </w:pPr>
    <w:rPr>
      <w:rFonts w:ascii="Arial" w:eastAsia="Times New Roman" w:hAnsi="Arial" w:cs="Times New Roman"/>
      <w:sz w:val="22"/>
      <w:szCs w:val="24"/>
      <w:lang w:eastAsia="en-US"/>
    </w:rPr>
  </w:style>
  <w:style w:type="character" w:customStyle="1" w:styleId="ProtocolnormalChar">
    <w:name w:val="Protocol normal Char"/>
    <w:basedOn w:val="DefaultParagraphFont"/>
    <w:link w:val="Protocolnormal"/>
    <w:uiPriority w:val="99"/>
    <w:locked/>
    <w:rsid w:val="00B64110"/>
    <w:rPr>
      <w:rFonts w:ascii="Arial" w:hAnsi="Arial" w:cs="Times New Roman"/>
      <w:sz w:val="24"/>
      <w:szCs w:val="24"/>
      <w:lang w:val="en-AU"/>
    </w:rPr>
  </w:style>
  <w:style w:type="paragraph" w:styleId="BodyText">
    <w:name w:val="Body Text"/>
    <w:basedOn w:val="Normal"/>
    <w:link w:val="BodyTextChar"/>
    <w:uiPriority w:val="99"/>
    <w:locked/>
    <w:rsid w:val="00B64110"/>
    <w:pPr>
      <w:spacing w:after="120" w:line="240" w:lineRule="auto"/>
      <w:jc w:val="left"/>
    </w:pPr>
    <w:rPr>
      <w:rFonts w:ascii="Bookman Old Style" w:eastAsia="Times New Roman" w:hAnsi="Bookman Old Style" w:cs="Times New Roman"/>
      <w:sz w:val="22"/>
      <w:lang w:eastAsia="en-US"/>
    </w:rPr>
  </w:style>
  <w:style w:type="character" w:customStyle="1" w:styleId="BodyTextChar">
    <w:name w:val="Body Text Char"/>
    <w:basedOn w:val="DefaultParagraphFont"/>
    <w:link w:val="BodyText"/>
    <w:uiPriority w:val="99"/>
    <w:locked/>
    <w:rsid w:val="00B64110"/>
    <w:rPr>
      <w:rFonts w:ascii="Bookman Old Style" w:hAnsi="Bookman Old Style" w:cs="Times New Roman"/>
      <w:sz w:val="20"/>
      <w:szCs w:val="20"/>
      <w:lang w:val="en-AU"/>
    </w:rPr>
  </w:style>
  <w:style w:type="paragraph" w:styleId="BodyTextIndent">
    <w:name w:val="Body Text Indent"/>
    <w:basedOn w:val="Normal"/>
    <w:link w:val="BodyTextIndentChar"/>
    <w:uiPriority w:val="99"/>
    <w:locked/>
    <w:rsid w:val="00B64110"/>
    <w:pPr>
      <w:spacing w:after="120" w:line="240" w:lineRule="auto"/>
      <w:ind w:left="283"/>
      <w:jc w:val="left"/>
    </w:pPr>
    <w:rPr>
      <w:rFonts w:ascii="Bookman Old Style" w:eastAsia="Times New Roman" w:hAnsi="Bookman Old Style" w:cs="Times New Roman"/>
      <w:sz w:val="22"/>
      <w:lang w:eastAsia="en-US"/>
    </w:rPr>
  </w:style>
  <w:style w:type="character" w:customStyle="1" w:styleId="BodyTextIndentChar">
    <w:name w:val="Body Text Indent Char"/>
    <w:basedOn w:val="DefaultParagraphFont"/>
    <w:link w:val="BodyTextIndent"/>
    <w:uiPriority w:val="99"/>
    <w:locked/>
    <w:rsid w:val="00B64110"/>
    <w:rPr>
      <w:rFonts w:ascii="Bookman Old Style" w:hAnsi="Bookman Old Style" w:cs="Times New Roman"/>
      <w:sz w:val="20"/>
      <w:szCs w:val="20"/>
      <w:lang w:val="en-AU"/>
    </w:rPr>
  </w:style>
  <w:style w:type="paragraph" w:styleId="BodyTextIndent2">
    <w:name w:val="Body Text Indent 2"/>
    <w:basedOn w:val="Normal"/>
    <w:link w:val="BodyTextIndent2Char"/>
    <w:uiPriority w:val="99"/>
    <w:locked/>
    <w:rsid w:val="00B64110"/>
    <w:pPr>
      <w:spacing w:after="120" w:line="480" w:lineRule="auto"/>
      <w:ind w:left="283"/>
      <w:jc w:val="left"/>
    </w:pPr>
    <w:rPr>
      <w:rFonts w:ascii="Bookman Old Style" w:eastAsia="Times New Roman" w:hAnsi="Bookman Old Style" w:cs="Times New Roman"/>
      <w:sz w:val="22"/>
      <w:lang w:eastAsia="en-US"/>
    </w:rPr>
  </w:style>
  <w:style w:type="character" w:customStyle="1" w:styleId="BodyTextIndent2Char">
    <w:name w:val="Body Text Indent 2 Char"/>
    <w:basedOn w:val="DefaultParagraphFont"/>
    <w:link w:val="BodyTextIndent2"/>
    <w:uiPriority w:val="99"/>
    <w:locked/>
    <w:rsid w:val="00B64110"/>
    <w:rPr>
      <w:rFonts w:ascii="Bookman Old Style" w:hAnsi="Bookman Old Style" w:cs="Times New Roman"/>
      <w:sz w:val="20"/>
      <w:szCs w:val="20"/>
      <w:lang w:val="en-AU"/>
    </w:rPr>
  </w:style>
  <w:style w:type="paragraph" w:customStyle="1" w:styleId="TableNotes">
    <w:name w:val="TableNotes"/>
    <w:basedOn w:val="TableText"/>
    <w:link w:val="TableNotesChar"/>
    <w:uiPriority w:val="99"/>
    <w:rsid w:val="00B64110"/>
    <w:pPr>
      <w:keepNext w:val="0"/>
      <w:keepLines/>
      <w:ind w:left="1440" w:hanging="720"/>
    </w:pPr>
    <w:rPr>
      <w:rFonts w:ascii="Arial Narrow" w:hAnsi="Arial Narrow"/>
      <w:sz w:val="16"/>
    </w:rPr>
  </w:style>
  <w:style w:type="character" w:customStyle="1" w:styleId="TableNotesChar">
    <w:name w:val="TableNotes Char"/>
    <w:basedOn w:val="DefaultParagraphFont"/>
    <w:link w:val="TableNotes"/>
    <w:uiPriority w:val="99"/>
    <w:locked/>
    <w:rsid w:val="00B64110"/>
    <w:rPr>
      <w:rFonts w:ascii="Arial Narrow" w:hAnsi="Arial Narrow" w:cs="Times New Roman"/>
      <w:sz w:val="20"/>
      <w:szCs w:val="20"/>
      <w:lang w:val="en-AU"/>
    </w:rPr>
  </w:style>
  <w:style w:type="paragraph" w:customStyle="1" w:styleId="TableText0">
    <w:name w:val="Table Text"/>
    <w:basedOn w:val="BodyText"/>
    <w:uiPriority w:val="99"/>
    <w:rsid w:val="00B64110"/>
    <w:pPr>
      <w:spacing w:after="0"/>
    </w:pPr>
    <w:rPr>
      <w:rFonts w:ascii="Arial Narrow" w:hAnsi="Arial Narrow" w:cs="Arial"/>
      <w:sz w:val="24"/>
      <w:szCs w:val="24"/>
    </w:rPr>
  </w:style>
  <w:style w:type="paragraph" w:customStyle="1" w:styleId="TableHeading">
    <w:name w:val="TableHeading"/>
    <w:basedOn w:val="TableText"/>
    <w:uiPriority w:val="99"/>
    <w:rsid w:val="00B64110"/>
    <w:pPr>
      <w:spacing w:before="40" w:after="40"/>
    </w:pPr>
    <w:rPr>
      <w:rFonts w:ascii="Arial Narrow" w:hAnsi="Arial Narrow"/>
      <w:b/>
    </w:rPr>
  </w:style>
  <w:style w:type="paragraph" w:customStyle="1" w:styleId="TableName">
    <w:name w:val="TableName"/>
    <w:basedOn w:val="TableText"/>
    <w:link w:val="TableNameChar"/>
    <w:uiPriority w:val="99"/>
    <w:rsid w:val="00B64110"/>
    <w:pPr>
      <w:spacing w:before="120" w:after="120"/>
      <w:ind w:left="1800" w:hanging="1080"/>
    </w:pPr>
    <w:rPr>
      <w:rFonts w:ascii="Arial Narrow" w:hAnsi="Arial Narrow"/>
      <w:b/>
      <w:sz w:val="20"/>
    </w:rPr>
  </w:style>
  <w:style w:type="character" w:customStyle="1" w:styleId="TableNameChar">
    <w:name w:val="TableName Char"/>
    <w:basedOn w:val="DefaultParagraphFont"/>
    <w:link w:val="TableName"/>
    <w:uiPriority w:val="99"/>
    <w:locked/>
    <w:rsid w:val="00B64110"/>
    <w:rPr>
      <w:rFonts w:ascii="Arial Narrow" w:hAnsi="Arial Narrow" w:cs="Times New Roman"/>
      <w:b/>
      <w:sz w:val="20"/>
      <w:szCs w:val="20"/>
      <w:lang w:val="en-AU"/>
    </w:rPr>
  </w:style>
  <w:style w:type="paragraph" w:customStyle="1" w:styleId="TableHeading0">
    <w:name w:val="Table Heading"/>
    <w:basedOn w:val="TableText0"/>
    <w:next w:val="TableText0"/>
    <w:uiPriority w:val="99"/>
    <w:rsid w:val="00B64110"/>
    <w:pPr>
      <w:keepNext/>
      <w:spacing w:before="40" w:after="40"/>
    </w:pPr>
    <w:rPr>
      <w:rFonts w:ascii="Arial" w:hAnsi="Arial" w:cs="Times New Roman"/>
      <w:b/>
      <w:sz w:val="18"/>
      <w:szCs w:val="20"/>
      <w:lang w:val="en-GB"/>
    </w:rPr>
  </w:style>
  <w:style w:type="paragraph" w:styleId="Date">
    <w:name w:val="Date"/>
    <w:basedOn w:val="Normal"/>
    <w:next w:val="Normal"/>
    <w:link w:val="DateChar"/>
    <w:uiPriority w:val="99"/>
    <w:locked/>
    <w:rsid w:val="00B64110"/>
    <w:pPr>
      <w:spacing w:after="180" w:line="240" w:lineRule="auto"/>
      <w:jc w:val="left"/>
    </w:pPr>
    <w:rPr>
      <w:rFonts w:ascii="Garamond" w:eastAsia="Times New Roman" w:hAnsi="Garamond" w:cs="Times New Roman"/>
      <w:sz w:val="24"/>
      <w:szCs w:val="24"/>
      <w:lang w:val="en-US" w:eastAsia="en-US"/>
    </w:rPr>
  </w:style>
  <w:style w:type="character" w:customStyle="1" w:styleId="DateChar">
    <w:name w:val="Date Char"/>
    <w:basedOn w:val="DefaultParagraphFont"/>
    <w:link w:val="Date"/>
    <w:uiPriority w:val="99"/>
    <w:locked/>
    <w:rsid w:val="00B64110"/>
    <w:rPr>
      <w:rFonts w:ascii="Garamond" w:hAnsi="Garamond" w:cs="Times New Roman"/>
      <w:sz w:val="24"/>
      <w:szCs w:val="24"/>
    </w:rPr>
  </w:style>
  <w:style w:type="character" w:customStyle="1" w:styleId="mainsubheader1">
    <w:name w:val="mainsubheader1"/>
    <w:basedOn w:val="DefaultParagraphFont"/>
    <w:uiPriority w:val="99"/>
    <w:rsid w:val="00B64110"/>
    <w:rPr>
      <w:rFonts w:cs="Times New Roman"/>
      <w:b/>
      <w:bCs/>
    </w:rPr>
  </w:style>
  <w:style w:type="paragraph" w:customStyle="1" w:styleId="Bullet12">
    <w:name w:val="Bullet+12"/>
    <w:basedOn w:val="Normal"/>
    <w:uiPriority w:val="99"/>
    <w:rsid w:val="00B64110"/>
    <w:pPr>
      <w:tabs>
        <w:tab w:val="num" w:pos="357"/>
      </w:tabs>
      <w:spacing w:line="240" w:lineRule="auto"/>
      <w:ind w:left="357" w:hanging="357"/>
      <w:jc w:val="left"/>
    </w:pPr>
    <w:rPr>
      <w:rFonts w:ascii="Times New Roman" w:eastAsia="Times New Roman" w:hAnsi="Times New Roman" w:cs="Times New Roman"/>
      <w:sz w:val="24"/>
      <w:lang w:eastAsia="en-US"/>
    </w:rPr>
  </w:style>
  <w:style w:type="paragraph" w:customStyle="1" w:styleId="Bullet6">
    <w:name w:val="Bullet+6"/>
    <w:basedOn w:val="Normal"/>
    <w:uiPriority w:val="99"/>
    <w:rsid w:val="00B64110"/>
    <w:pPr>
      <w:tabs>
        <w:tab w:val="num" w:pos="578"/>
      </w:tabs>
      <w:spacing w:after="0" w:line="240" w:lineRule="auto"/>
      <w:ind w:left="578" w:hanging="360"/>
      <w:jc w:val="left"/>
    </w:pPr>
    <w:rPr>
      <w:rFonts w:ascii="Times New Roman" w:eastAsia="Times New Roman" w:hAnsi="Times New Roman" w:cs="Times New Roman"/>
      <w:sz w:val="24"/>
      <w:szCs w:val="24"/>
      <w:lang w:eastAsia="en-AU"/>
    </w:rPr>
  </w:style>
  <w:style w:type="paragraph" w:customStyle="1" w:styleId="Default">
    <w:name w:val="Default"/>
    <w:uiPriority w:val="99"/>
    <w:rsid w:val="00B64110"/>
    <w:pPr>
      <w:autoSpaceDE w:val="0"/>
      <w:autoSpaceDN w:val="0"/>
      <w:adjustRightInd w:val="0"/>
    </w:pPr>
    <w:rPr>
      <w:rFonts w:ascii="Arial" w:eastAsia="Times New Roman" w:hAnsi="Arial" w:cs="Arial"/>
      <w:color w:val="000000"/>
      <w:sz w:val="24"/>
      <w:szCs w:val="24"/>
    </w:rPr>
  </w:style>
  <w:style w:type="character" w:customStyle="1" w:styleId="EndnoteTextChar">
    <w:name w:val="Endnote Text Char"/>
    <w:basedOn w:val="DefaultParagraphFont"/>
    <w:link w:val="EndnoteText"/>
    <w:uiPriority w:val="99"/>
    <w:semiHidden/>
    <w:locked/>
    <w:rsid w:val="00B64110"/>
    <w:rPr>
      <w:rFonts w:ascii="Tahoma" w:eastAsia="SimSun" w:hAnsi="Tahoma" w:cs="Tahoma"/>
      <w:sz w:val="20"/>
      <w:szCs w:val="20"/>
      <w:lang w:val="en-AU" w:eastAsia="zh-CN"/>
    </w:rPr>
  </w:style>
  <w:style w:type="paragraph" w:styleId="EndnoteText">
    <w:name w:val="endnote text"/>
    <w:basedOn w:val="Normal"/>
    <w:link w:val="EndnoteTextChar"/>
    <w:uiPriority w:val="99"/>
    <w:semiHidden/>
    <w:locked/>
    <w:rsid w:val="00B64110"/>
    <w:pPr>
      <w:spacing w:after="0" w:line="240" w:lineRule="auto"/>
    </w:pPr>
  </w:style>
  <w:style w:type="character" w:customStyle="1" w:styleId="EndnoteTextChar1">
    <w:name w:val="Endnote Text Char1"/>
    <w:basedOn w:val="DefaultParagraphFont"/>
    <w:uiPriority w:val="99"/>
    <w:semiHidden/>
    <w:rsid w:val="005823BD"/>
    <w:rPr>
      <w:rFonts w:ascii="Tahoma" w:eastAsia="SimSun" w:hAnsi="Tahoma" w:cs="Tahoma"/>
      <w:sz w:val="20"/>
      <w:szCs w:val="20"/>
      <w:lang w:eastAsia="zh-CN"/>
    </w:rPr>
  </w:style>
  <w:style w:type="character" w:customStyle="1" w:styleId="highlight">
    <w:name w:val="highlight"/>
    <w:basedOn w:val="DefaultParagraphFont"/>
    <w:uiPriority w:val="99"/>
    <w:rsid w:val="00B64110"/>
    <w:rPr>
      <w:rFonts w:cs="Times New Roman"/>
    </w:rPr>
  </w:style>
  <w:style w:type="table" w:customStyle="1" w:styleId="PASC">
    <w:name w:val="PASC"/>
    <w:basedOn w:val="TableNormal"/>
    <w:uiPriority w:val="99"/>
    <w:rsid w:val="00090CD1"/>
    <w:tblPr>
      <w:tblInd w:w="0" w:type="dxa"/>
      <w:tblBorders>
        <w:bottom w:val="single" w:sz="12" w:space="0" w:color="auto"/>
      </w:tblBorders>
      <w:tblCellMar>
        <w:top w:w="0" w:type="dxa"/>
        <w:left w:w="108" w:type="dxa"/>
        <w:bottom w:w="0" w:type="dxa"/>
        <w:right w:w="108" w:type="dxa"/>
      </w:tblCellMar>
    </w:tblPr>
    <w:tblStylePr w:type="firstRow">
      <w:tblPr/>
      <w:tcPr>
        <w:tcBorders>
          <w:top w:val="single" w:sz="12" w:space="0" w:color="auto"/>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6753">
      <w:bodyDiv w:val="1"/>
      <w:marLeft w:val="0"/>
      <w:marRight w:val="0"/>
      <w:marTop w:val="0"/>
      <w:marBottom w:val="0"/>
      <w:divBdr>
        <w:top w:val="none" w:sz="0" w:space="0" w:color="auto"/>
        <w:left w:val="none" w:sz="0" w:space="0" w:color="auto"/>
        <w:bottom w:val="none" w:sz="0" w:space="0" w:color="auto"/>
        <w:right w:val="none" w:sz="0" w:space="0" w:color="auto"/>
      </w:divBdr>
    </w:div>
    <w:div w:id="1170604163">
      <w:marLeft w:val="0"/>
      <w:marRight w:val="0"/>
      <w:marTop w:val="0"/>
      <w:marBottom w:val="0"/>
      <w:divBdr>
        <w:top w:val="none" w:sz="0" w:space="0" w:color="auto"/>
        <w:left w:val="none" w:sz="0" w:space="0" w:color="auto"/>
        <w:bottom w:val="none" w:sz="0" w:space="0" w:color="auto"/>
        <w:right w:val="none" w:sz="0" w:space="0" w:color="auto"/>
      </w:divBdr>
      <w:divsChild>
        <w:div w:id="1170604183">
          <w:marLeft w:val="240"/>
          <w:marRight w:val="240"/>
          <w:marTop w:val="360"/>
          <w:marBottom w:val="0"/>
          <w:divBdr>
            <w:top w:val="none" w:sz="0" w:space="0" w:color="auto"/>
            <w:left w:val="none" w:sz="0" w:space="0" w:color="auto"/>
            <w:bottom w:val="none" w:sz="0" w:space="0" w:color="auto"/>
            <w:right w:val="none" w:sz="0" w:space="0" w:color="auto"/>
          </w:divBdr>
          <w:divsChild>
            <w:div w:id="1170604170">
              <w:marLeft w:val="480"/>
              <w:marRight w:val="480"/>
              <w:marTop w:val="240"/>
              <w:marBottom w:val="0"/>
              <w:divBdr>
                <w:top w:val="none" w:sz="0" w:space="0" w:color="auto"/>
                <w:left w:val="none" w:sz="0" w:space="0" w:color="auto"/>
                <w:bottom w:val="none" w:sz="0" w:space="0" w:color="auto"/>
                <w:right w:val="none" w:sz="0" w:space="0" w:color="auto"/>
              </w:divBdr>
              <w:divsChild>
                <w:div w:id="1170604172">
                  <w:marLeft w:val="720"/>
                  <w:marRight w:val="720"/>
                  <w:marTop w:val="0"/>
                  <w:marBottom w:val="0"/>
                  <w:divBdr>
                    <w:top w:val="none" w:sz="0" w:space="0" w:color="auto"/>
                    <w:left w:val="none" w:sz="0" w:space="0" w:color="auto"/>
                    <w:bottom w:val="none" w:sz="0" w:space="0" w:color="auto"/>
                    <w:right w:val="none" w:sz="0" w:space="0" w:color="auto"/>
                  </w:divBdr>
                  <w:divsChild>
                    <w:div w:id="1170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4165">
      <w:marLeft w:val="0"/>
      <w:marRight w:val="0"/>
      <w:marTop w:val="0"/>
      <w:marBottom w:val="0"/>
      <w:divBdr>
        <w:top w:val="none" w:sz="0" w:space="0" w:color="auto"/>
        <w:left w:val="none" w:sz="0" w:space="0" w:color="auto"/>
        <w:bottom w:val="none" w:sz="0" w:space="0" w:color="auto"/>
        <w:right w:val="none" w:sz="0" w:space="0" w:color="auto"/>
      </w:divBdr>
      <w:divsChild>
        <w:div w:id="1170604178">
          <w:marLeft w:val="0"/>
          <w:marRight w:val="0"/>
          <w:marTop w:val="0"/>
          <w:marBottom w:val="0"/>
          <w:divBdr>
            <w:top w:val="none" w:sz="0" w:space="0" w:color="auto"/>
            <w:left w:val="none" w:sz="0" w:space="0" w:color="auto"/>
            <w:bottom w:val="none" w:sz="0" w:space="0" w:color="auto"/>
            <w:right w:val="none" w:sz="0" w:space="0" w:color="auto"/>
          </w:divBdr>
          <w:divsChild>
            <w:div w:id="11706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169">
      <w:marLeft w:val="0"/>
      <w:marRight w:val="0"/>
      <w:marTop w:val="0"/>
      <w:marBottom w:val="0"/>
      <w:divBdr>
        <w:top w:val="none" w:sz="0" w:space="0" w:color="auto"/>
        <w:left w:val="none" w:sz="0" w:space="0" w:color="auto"/>
        <w:bottom w:val="none" w:sz="0" w:space="0" w:color="auto"/>
        <w:right w:val="none" w:sz="0" w:space="0" w:color="auto"/>
      </w:divBdr>
      <w:divsChild>
        <w:div w:id="1170604167">
          <w:marLeft w:val="240"/>
          <w:marRight w:val="240"/>
          <w:marTop w:val="360"/>
          <w:marBottom w:val="0"/>
          <w:divBdr>
            <w:top w:val="none" w:sz="0" w:space="0" w:color="auto"/>
            <w:left w:val="none" w:sz="0" w:space="0" w:color="auto"/>
            <w:bottom w:val="none" w:sz="0" w:space="0" w:color="auto"/>
            <w:right w:val="none" w:sz="0" w:space="0" w:color="auto"/>
          </w:divBdr>
          <w:divsChild>
            <w:div w:id="1170604164">
              <w:marLeft w:val="480"/>
              <w:marRight w:val="480"/>
              <w:marTop w:val="240"/>
              <w:marBottom w:val="0"/>
              <w:divBdr>
                <w:top w:val="none" w:sz="0" w:space="0" w:color="auto"/>
                <w:left w:val="none" w:sz="0" w:space="0" w:color="auto"/>
                <w:bottom w:val="none" w:sz="0" w:space="0" w:color="auto"/>
                <w:right w:val="none" w:sz="0" w:space="0" w:color="auto"/>
              </w:divBdr>
              <w:divsChild>
                <w:div w:id="1170604177">
                  <w:marLeft w:val="720"/>
                  <w:marRight w:val="720"/>
                  <w:marTop w:val="0"/>
                  <w:marBottom w:val="0"/>
                  <w:divBdr>
                    <w:top w:val="none" w:sz="0" w:space="0" w:color="auto"/>
                    <w:left w:val="none" w:sz="0" w:space="0" w:color="auto"/>
                    <w:bottom w:val="none" w:sz="0" w:space="0" w:color="auto"/>
                    <w:right w:val="none" w:sz="0" w:space="0" w:color="auto"/>
                  </w:divBdr>
                  <w:divsChild>
                    <w:div w:id="11706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4174">
      <w:marLeft w:val="0"/>
      <w:marRight w:val="0"/>
      <w:marTop w:val="0"/>
      <w:marBottom w:val="0"/>
      <w:divBdr>
        <w:top w:val="none" w:sz="0" w:space="0" w:color="auto"/>
        <w:left w:val="none" w:sz="0" w:space="0" w:color="auto"/>
        <w:bottom w:val="none" w:sz="0" w:space="0" w:color="auto"/>
        <w:right w:val="none" w:sz="0" w:space="0" w:color="auto"/>
      </w:divBdr>
      <w:divsChild>
        <w:div w:id="1170604162">
          <w:marLeft w:val="0"/>
          <w:marRight w:val="0"/>
          <w:marTop w:val="0"/>
          <w:marBottom w:val="0"/>
          <w:divBdr>
            <w:top w:val="none" w:sz="0" w:space="0" w:color="auto"/>
            <w:left w:val="none" w:sz="0" w:space="0" w:color="auto"/>
            <w:bottom w:val="none" w:sz="0" w:space="0" w:color="auto"/>
            <w:right w:val="none" w:sz="0" w:space="0" w:color="auto"/>
          </w:divBdr>
          <w:divsChild>
            <w:div w:id="11706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176">
      <w:marLeft w:val="0"/>
      <w:marRight w:val="0"/>
      <w:marTop w:val="0"/>
      <w:marBottom w:val="0"/>
      <w:divBdr>
        <w:top w:val="none" w:sz="0" w:space="0" w:color="auto"/>
        <w:left w:val="none" w:sz="0" w:space="0" w:color="auto"/>
        <w:bottom w:val="none" w:sz="0" w:space="0" w:color="auto"/>
        <w:right w:val="none" w:sz="0" w:space="0" w:color="auto"/>
      </w:divBdr>
      <w:divsChild>
        <w:div w:id="1170604166">
          <w:marLeft w:val="0"/>
          <w:marRight w:val="0"/>
          <w:marTop w:val="0"/>
          <w:marBottom w:val="150"/>
          <w:divBdr>
            <w:top w:val="single" w:sz="6" w:space="15" w:color="FFFFFF"/>
            <w:left w:val="none" w:sz="0" w:space="0" w:color="auto"/>
            <w:bottom w:val="none" w:sz="0" w:space="0" w:color="auto"/>
            <w:right w:val="none" w:sz="0" w:space="0" w:color="auto"/>
          </w:divBdr>
          <w:divsChild>
            <w:div w:id="1170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182">
      <w:marLeft w:val="0"/>
      <w:marRight w:val="0"/>
      <w:marTop w:val="0"/>
      <w:marBottom w:val="0"/>
      <w:divBdr>
        <w:top w:val="none" w:sz="0" w:space="0" w:color="auto"/>
        <w:left w:val="none" w:sz="0" w:space="0" w:color="auto"/>
        <w:bottom w:val="none" w:sz="0" w:space="0" w:color="auto"/>
        <w:right w:val="none" w:sz="0" w:space="0" w:color="auto"/>
      </w:divBdr>
      <w:divsChild>
        <w:div w:id="1170604168">
          <w:marLeft w:val="0"/>
          <w:marRight w:val="0"/>
          <w:marTop w:val="0"/>
          <w:marBottom w:val="150"/>
          <w:divBdr>
            <w:top w:val="single" w:sz="6" w:space="15" w:color="FFFFFF"/>
            <w:left w:val="none" w:sz="0" w:space="0" w:color="auto"/>
            <w:bottom w:val="none" w:sz="0" w:space="0" w:color="auto"/>
            <w:right w:val="none" w:sz="0" w:space="0" w:color="auto"/>
          </w:divBdr>
          <w:divsChild>
            <w:div w:id="11706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188">
      <w:marLeft w:val="0"/>
      <w:marRight w:val="0"/>
      <w:marTop w:val="0"/>
      <w:marBottom w:val="0"/>
      <w:divBdr>
        <w:top w:val="none" w:sz="0" w:space="0" w:color="auto"/>
        <w:left w:val="none" w:sz="0" w:space="0" w:color="auto"/>
        <w:bottom w:val="none" w:sz="0" w:space="0" w:color="auto"/>
        <w:right w:val="none" w:sz="0" w:space="0" w:color="auto"/>
      </w:divBdr>
      <w:divsChild>
        <w:div w:id="1170604158">
          <w:marLeft w:val="0"/>
          <w:marRight w:val="0"/>
          <w:marTop w:val="0"/>
          <w:marBottom w:val="0"/>
          <w:divBdr>
            <w:top w:val="none" w:sz="0" w:space="0" w:color="auto"/>
            <w:left w:val="none" w:sz="0" w:space="0" w:color="auto"/>
            <w:bottom w:val="none" w:sz="0" w:space="0" w:color="auto"/>
            <w:right w:val="none" w:sz="0" w:space="0" w:color="auto"/>
          </w:divBdr>
          <w:divsChild>
            <w:div w:id="1170604184">
              <w:marLeft w:val="0"/>
              <w:marRight w:val="0"/>
              <w:marTop w:val="0"/>
              <w:marBottom w:val="0"/>
              <w:divBdr>
                <w:top w:val="none" w:sz="0" w:space="0" w:color="auto"/>
                <w:left w:val="none" w:sz="0" w:space="0" w:color="auto"/>
                <w:bottom w:val="none" w:sz="0" w:space="0" w:color="auto"/>
                <w:right w:val="none" w:sz="0" w:space="0" w:color="auto"/>
              </w:divBdr>
              <w:divsChild>
                <w:div w:id="1170604161">
                  <w:marLeft w:val="0"/>
                  <w:marRight w:val="0"/>
                  <w:marTop w:val="0"/>
                  <w:marBottom w:val="0"/>
                  <w:divBdr>
                    <w:top w:val="none" w:sz="0" w:space="0" w:color="auto"/>
                    <w:left w:val="none" w:sz="0" w:space="0" w:color="auto"/>
                    <w:bottom w:val="none" w:sz="0" w:space="0" w:color="auto"/>
                    <w:right w:val="none" w:sz="0" w:space="0" w:color="auto"/>
                  </w:divBdr>
                  <w:divsChild>
                    <w:div w:id="1170604159">
                      <w:marLeft w:val="0"/>
                      <w:marRight w:val="0"/>
                      <w:marTop w:val="0"/>
                      <w:marBottom w:val="0"/>
                      <w:divBdr>
                        <w:top w:val="none" w:sz="0" w:space="0" w:color="auto"/>
                        <w:left w:val="none" w:sz="0" w:space="0" w:color="auto"/>
                        <w:bottom w:val="none" w:sz="0" w:space="0" w:color="auto"/>
                        <w:right w:val="none" w:sz="0" w:space="0" w:color="auto"/>
                      </w:divBdr>
                    </w:div>
                    <w:div w:id="1170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4189">
      <w:marLeft w:val="0"/>
      <w:marRight w:val="0"/>
      <w:marTop w:val="0"/>
      <w:marBottom w:val="0"/>
      <w:divBdr>
        <w:top w:val="none" w:sz="0" w:space="0" w:color="auto"/>
        <w:left w:val="none" w:sz="0" w:space="0" w:color="auto"/>
        <w:bottom w:val="none" w:sz="0" w:space="0" w:color="auto"/>
        <w:right w:val="none" w:sz="0" w:space="0" w:color="auto"/>
      </w:divBdr>
      <w:divsChild>
        <w:div w:id="1170604185">
          <w:marLeft w:val="0"/>
          <w:marRight w:val="0"/>
          <w:marTop w:val="0"/>
          <w:marBottom w:val="0"/>
          <w:divBdr>
            <w:top w:val="none" w:sz="0" w:space="0" w:color="auto"/>
            <w:left w:val="none" w:sz="0" w:space="0" w:color="auto"/>
            <w:bottom w:val="none" w:sz="0" w:space="0" w:color="auto"/>
            <w:right w:val="none" w:sz="0" w:space="0" w:color="auto"/>
          </w:divBdr>
          <w:divsChild>
            <w:div w:id="1170604187">
              <w:marLeft w:val="0"/>
              <w:marRight w:val="0"/>
              <w:marTop w:val="0"/>
              <w:marBottom w:val="0"/>
              <w:divBdr>
                <w:top w:val="none" w:sz="0" w:space="0" w:color="auto"/>
                <w:left w:val="none" w:sz="0" w:space="0" w:color="auto"/>
                <w:bottom w:val="none" w:sz="0" w:space="0" w:color="auto"/>
                <w:right w:val="none" w:sz="0" w:space="0" w:color="auto"/>
              </w:divBdr>
              <w:divsChild>
                <w:div w:id="1170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niams.nih.gov/Health_Info/Bone/Bone_Health/bone_mass_measure.asp" TargetMode="External"/><Relationship Id="rId3" Type="http://schemas.openxmlformats.org/officeDocument/2006/relationships/styles" Target="styles.xml"/><Relationship Id="rId21" Type="http://schemas.openxmlformats.org/officeDocument/2006/relationships/hyperlink" Target="http://www.pbs.gov.au/browse/body-system?depth=3&amp;codes=m05b"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hop.amh.net.au/January" TargetMode="External"/><Relationship Id="rId2" Type="http://schemas.openxmlformats.org/officeDocument/2006/relationships/numbering" Target="numbering.xml"/><Relationship Id="rId16" Type="http://schemas.openxmlformats.org/officeDocument/2006/relationships/hyperlink" Target="http://www.avert.org/aids-hiv-australia.htm" TargetMode="External"/><Relationship Id="rId20" Type="http://schemas.openxmlformats.org/officeDocument/2006/relationships/hyperlink" Target="https://www.ebs.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bs.tga.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9.health.gov.au/mbs/search.cfm" TargetMode="External"/><Relationship Id="rId19" Type="http://schemas.openxmlformats.org/officeDocument/2006/relationships/hyperlink" Target="http://www.shef.ac.uk/FRAX/pdfs/WHO_Technical_Report.pdf" TargetMode="External"/><Relationship Id="rId4" Type="http://schemas.microsoft.com/office/2007/relationships/stylesWithEffects" Target="stylesWithEffects.xml"/><Relationship Id="rId9" Type="http://schemas.openxmlformats.org/officeDocument/2006/relationships/hyperlink" Target="http://www.shef.ac.uk/FRAX/tool.jsp?country=31" TargetMode="External"/><Relationship Id="rId14" Type="http://schemas.openxmlformats.org/officeDocument/2006/relationships/footer" Target="footer1.xml"/><Relationship Id="rId22" Type="http://schemas.openxmlformats.org/officeDocument/2006/relationships/hyperlink" Target="http://www.pbs.gov.au/browse/body-system?depth=3&amp;codes=m0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56C8-976C-4C37-863B-02964B39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19965</Words>
  <Characters>119653</Characters>
  <Application>Microsoft Office Word</Application>
  <DocSecurity>0</DocSecurity>
  <Lines>997</Lines>
  <Paragraphs>278</Paragraphs>
  <ScaleCrop>false</ScaleCrop>
  <HeadingPairs>
    <vt:vector size="2" baseType="variant">
      <vt:variant>
        <vt:lpstr>Title</vt:lpstr>
      </vt:variant>
      <vt:variant>
        <vt:i4>1</vt:i4>
      </vt:variant>
    </vt:vector>
  </HeadingPairs>
  <TitlesOfParts>
    <vt:vector size="1" baseType="lpstr">
      <vt:lpstr>Draft protocol to guide the assessment of  [name of intervention]</vt:lpstr>
    </vt:vector>
  </TitlesOfParts>
  <Company>Royal Australasian College Of Surgeons</Company>
  <LinksUpToDate>false</LinksUpToDate>
  <CharactersWithSpaces>139340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[name of intervention]</dc:title>
  <dc:creator>Liliana Bulfone</dc:creator>
  <cp:lastModifiedBy>Orr Audrey</cp:lastModifiedBy>
  <cp:revision>2</cp:revision>
  <cp:lastPrinted>2013-07-11T00:59:00Z</cp:lastPrinted>
  <dcterms:created xsi:type="dcterms:W3CDTF">2013-07-30T07:49:00Z</dcterms:created>
  <dcterms:modified xsi:type="dcterms:W3CDTF">2013-07-30T07:49:00Z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