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0C6F">
        <w:rPr>
          <w:rFonts w:ascii="Arial" w:hAnsi="Arial" w:cs="Arial"/>
          <w:b/>
          <w:bCs/>
          <w:i/>
          <w:color w:val="000080"/>
          <w:sz w:val="28"/>
          <w:szCs w:val="28"/>
        </w:rPr>
        <w:t>1</w:t>
      </w:r>
      <w:r w:rsidR="00ED7913">
        <w:rPr>
          <w:rFonts w:ascii="Arial" w:hAnsi="Arial" w:cs="Arial"/>
          <w:b/>
          <w:bCs/>
          <w:i/>
          <w:color w:val="000080"/>
          <w:sz w:val="28"/>
          <w:szCs w:val="28"/>
        </w:rPr>
        <w:t>3</w:t>
      </w:r>
      <w:r w:rsidR="00E321E9">
        <w:rPr>
          <w:rFonts w:ascii="Arial" w:hAnsi="Arial" w:cs="Arial"/>
          <w:b/>
          <w:bCs/>
          <w:i/>
          <w:color w:val="000080"/>
          <w:sz w:val="28"/>
          <w:szCs w:val="28"/>
        </w:rPr>
        <w:t>70</w:t>
      </w:r>
      <w:r w:rsidR="0069385D">
        <w:rPr>
          <w:rFonts w:ascii="Arial" w:hAnsi="Arial" w:cs="Arial"/>
          <w:b/>
          <w:bCs/>
          <w:i/>
          <w:color w:val="000080"/>
          <w:sz w:val="28"/>
          <w:szCs w:val="28"/>
        </w:rPr>
        <w:t>.1</w:t>
      </w:r>
      <w:r w:rsidR="007305BD">
        <w:t xml:space="preserve"> </w:t>
      </w:r>
      <w:r w:rsidRPr="007B32D1">
        <w:rPr>
          <w:rFonts w:ascii="Arial" w:hAnsi="Arial" w:cs="Arial"/>
          <w:b/>
          <w:bCs/>
          <w:i/>
          <w:color w:val="000080"/>
          <w:sz w:val="28"/>
          <w:szCs w:val="28"/>
        </w:rPr>
        <w:t xml:space="preserve">– </w:t>
      </w:r>
      <w:r w:rsidR="00E321E9" w:rsidRPr="00E321E9">
        <w:rPr>
          <w:rFonts w:ascii="Arial" w:hAnsi="Arial" w:cs="Arial"/>
          <w:b/>
          <w:bCs/>
          <w:i/>
          <w:color w:val="000080"/>
          <w:sz w:val="28"/>
          <w:szCs w:val="28"/>
        </w:rPr>
        <w:t>Ocriplasm</w:t>
      </w:r>
      <w:r w:rsidR="00F304C4">
        <w:rPr>
          <w:rFonts w:ascii="Arial" w:hAnsi="Arial" w:cs="Arial"/>
          <w:b/>
          <w:bCs/>
          <w:i/>
          <w:color w:val="000080"/>
          <w:sz w:val="28"/>
          <w:szCs w:val="28"/>
        </w:rPr>
        <w:t>in</w:t>
      </w:r>
      <w:r w:rsidR="00E321E9" w:rsidRPr="00E321E9">
        <w:rPr>
          <w:rFonts w:ascii="Arial" w:hAnsi="Arial" w:cs="Arial"/>
          <w:b/>
          <w:bCs/>
          <w:i/>
          <w:color w:val="000080"/>
          <w:sz w:val="28"/>
          <w:szCs w:val="28"/>
        </w:rPr>
        <w:t xml:space="preserve"> for symptomatic vitreomacular adhesion (VMA) including macular hole</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Default="00B35595" w:rsidP="00D3732C">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D3732C" w:rsidRPr="00B35595">
        <w:rPr>
          <w:rFonts w:ascii="Arial" w:hAnsi="Arial" w:cs="Arial"/>
          <w:b/>
          <w:szCs w:val="24"/>
        </w:rPr>
        <w:t>Alcon Laboratories (Australia) Pty Ltd</w:t>
      </w:r>
    </w:p>
    <w:p w:rsidR="00D3732C" w:rsidRPr="00D90A38" w:rsidRDefault="00D3732C" w:rsidP="00D3732C">
      <w:pPr>
        <w:ind w:left="3600" w:hanging="3600"/>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D3732C">
        <w:rPr>
          <w:rFonts w:ascii="Arial" w:hAnsi="Arial" w:cs="Arial"/>
          <w:b/>
          <w:szCs w:val="24"/>
        </w:rPr>
        <w:t>30-</w:t>
      </w:r>
      <w:r w:rsidR="000661A0">
        <w:rPr>
          <w:rFonts w:ascii="Arial" w:hAnsi="Arial" w:cs="Arial"/>
          <w:b/>
          <w:szCs w:val="24"/>
        </w:rPr>
        <w:t>31 March 2016</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Medical Services Advisory Committee website 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04C4" w:rsidRDefault="003D7F29" w:rsidP="00F304C4">
      <w:pPr>
        <w:tabs>
          <w:tab w:val="left" w:pos="720"/>
          <w:tab w:val="left" w:pos="1140"/>
        </w:tabs>
        <w:rPr>
          <w:bCs/>
          <w:szCs w:val="24"/>
        </w:rPr>
      </w:pPr>
    </w:p>
    <w:p w:rsidR="006054FE" w:rsidRDefault="00D3732C" w:rsidP="003D7F29">
      <w:r>
        <w:t xml:space="preserve">The </w:t>
      </w:r>
      <w:r w:rsidR="006F6559">
        <w:t>re</w:t>
      </w:r>
      <w:r>
        <w:t xml:space="preserve">application sought </w:t>
      </w:r>
      <w:r w:rsidRPr="00C204FB">
        <w:rPr>
          <w:szCs w:val="24"/>
        </w:rPr>
        <w:t>Medicare Benefits Schedule (MBS) listing of optical coherence tomography (OCT) for the determi</w:t>
      </w:r>
      <w:r w:rsidR="00786966">
        <w:rPr>
          <w:szCs w:val="24"/>
        </w:rPr>
        <w:t>nation of patient eligibility for treatment with</w:t>
      </w:r>
      <w:r w:rsidRPr="00C204FB">
        <w:rPr>
          <w:szCs w:val="24"/>
        </w:rPr>
        <w:t xml:space="preserve"> ocriplasmin</w:t>
      </w:r>
      <w:r>
        <w:t xml:space="preserve"> based on the previous November 2014 recommendation</w:t>
      </w:r>
      <w:r w:rsidRPr="00D95C78">
        <w:t xml:space="preserve"> by MSAC to </w:t>
      </w:r>
      <w:r>
        <w:t>defer</w:t>
      </w:r>
      <w:r w:rsidR="00EC09B1">
        <w:t xml:space="preserve"> MBS listing of OCT</w:t>
      </w:r>
      <w:r w:rsidR="00EC09B1" w:rsidRPr="00D95C78">
        <w:t xml:space="preserve"> </w:t>
      </w:r>
      <w:r w:rsidR="00EC09B1">
        <w:t>pending a</w:t>
      </w:r>
      <w:r w:rsidR="00EC09B1" w:rsidRPr="004C2B1E">
        <w:t xml:space="preserve"> </w:t>
      </w:r>
      <w:r w:rsidR="002C6B59">
        <w:t>Pharmaceutical Benefits Advisory Committee (</w:t>
      </w:r>
      <w:r w:rsidR="00EC09B1" w:rsidRPr="004C2B1E">
        <w:t>PBAC</w:t>
      </w:r>
      <w:r w:rsidR="002C6B59">
        <w:t>)</w:t>
      </w:r>
      <w:r w:rsidR="00EC09B1" w:rsidRPr="004C2B1E">
        <w:t xml:space="preserve"> recommend</w:t>
      </w:r>
      <w:r w:rsidR="00EC09B1">
        <w:t>ation to list</w:t>
      </w:r>
      <w:r w:rsidR="00EC09B1" w:rsidRPr="004C2B1E">
        <w:t xml:space="preserve"> </w:t>
      </w:r>
      <w:r w:rsidR="00EC09B1">
        <w:t xml:space="preserve">ocriplasmin </w:t>
      </w:r>
      <w:r w:rsidR="00EC09B1" w:rsidRPr="00F9557D">
        <w:t xml:space="preserve">on the </w:t>
      </w:r>
      <w:r w:rsidR="002C6B59">
        <w:t>Pharmaceutical Benefits Scheme (</w:t>
      </w:r>
      <w:r w:rsidR="00EC09B1" w:rsidRPr="00F9557D">
        <w:t>PBS</w:t>
      </w:r>
      <w:r w:rsidR="002C6B59">
        <w:t>)</w:t>
      </w:r>
      <w:r w:rsidR="00EC09B1">
        <w:t>.</w:t>
      </w:r>
    </w:p>
    <w:p w:rsidR="00D3732C" w:rsidRPr="00F304C4" w:rsidRDefault="00D3732C" w:rsidP="003D7F29">
      <w:pPr>
        <w:rPr>
          <w:szCs w:val="24"/>
        </w:rPr>
      </w:pPr>
    </w:p>
    <w:p w:rsidR="00E977EE" w:rsidRDefault="00E977EE" w:rsidP="00E977EE">
      <w:pPr>
        <w:pStyle w:val="Heading1"/>
        <w:numPr>
          <w:ilvl w:val="0"/>
          <w:numId w:val="23"/>
        </w:numPr>
        <w:ind w:hanging="720"/>
      </w:pPr>
      <w:r w:rsidRPr="008D5885">
        <w:t>MSAC’s advice to the Minister</w:t>
      </w:r>
    </w:p>
    <w:p w:rsidR="00E977EE" w:rsidRPr="00F304C4" w:rsidRDefault="00E977EE" w:rsidP="00E977EE">
      <w:pPr>
        <w:tabs>
          <w:tab w:val="left" w:pos="720"/>
        </w:tabs>
        <w:ind w:left="709" w:hanging="709"/>
        <w:rPr>
          <w:szCs w:val="24"/>
        </w:rPr>
      </w:pPr>
    </w:p>
    <w:p w:rsidR="007305BD" w:rsidRPr="00915461" w:rsidRDefault="007305BD" w:rsidP="007305BD">
      <w:r w:rsidRPr="00915461">
        <w:t>After considering the available evidence in relation to safety, clinical effectiveness and cost-effectiveness, MSAC</w:t>
      </w:r>
      <w:r>
        <w:t xml:space="preserve"> supported listing OCT for confirming the diagnosis</w:t>
      </w:r>
      <w:r w:rsidRPr="00EC1AD7">
        <w:t xml:space="preserve"> of </w:t>
      </w:r>
      <w:r w:rsidR="002C6B59">
        <w:t>vitreomacular traction (</w:t>
      </w:r>
      <w:r w:rsidRPr="00EC1AD7">
        <w:t>VMT</w:t>
      </w:r>
      <w:r w:rsidR="002C6B59">
        <w:t>)</w:t>
      </w:r>
      <w:r w:rsidRPr="00EC1AD7">
        <w:t xml:space="preserve"> with or without </w:t>
      </w:r>
      <w:r w:rsidR="002C6B59">
        <w:t>macular hole</w:t>
      </w:r>
      <w:r w:rsidR="002C6B59" w:rsidRPr="00EC1AD7">
        <w:t xml:space="preserve"> </w:t>
      </w:r>
      <w:r w:rsidR="002C6B59">
        <w:t>(</w:t>
      </w:r>
      <w:r w:rsidRPr="00EC1AD7">
        <w:t>MH</w:t>
      </w:r>
      <w:r w:rsidR="002C6B59">
        <w:t>)</w:t>
      </w:r>
      <w:r w:rsidRPr="00EC1AD7">
        <w:t xml:space="preserve"> </w:t>
      </w:r>
      <w:r>
        <w:t xml:space="preserve">to inform treatment with PBS subsidised ocriplasmin. </w:t>
      </w:r>
      <w:r w:rsidRPr="00915461">
        <w:t>MSAC a</w:t>
      </w:r>
      <w:r w:rsidR="00B93E62">
        <w:t>dvised</w:t>
      </w:r>
      <w:r w:rsidRPr="00915461">
        <w:t xml:space="preserve"> that patients treated with ocriplasmin </w:t>
      </w:r>
      <w:r>
        <w:t>would be eligible for two OCT</w:t>
      </w:r>
      <w:r w:rsidR="00F304C4">
        <w:t xml:space="preserve"> service</w:t>
      </w:r>
      <w:r>
        <w:t>s,</w:t>
      </w:r>
      <w:r w:rsidRPr="00915461">
        <w:t xml:space="preserve"> one prior to treatment and another three months later to ensure the adhesion was fully resolved and to rule out the need for vitrectomy. MSAC suggested a </w:t>
      </w:r>
      <w:r>
        <w:t>f</w:t>
      </w:r>
      <w:r w:rsidRPr="00915461">
        <w:t>ee</w:t>
      </w:r>
      <w:r>
        <w:t xml:space="preserve"> of $40 </w:t>
      </w:r>
      <w:r w:rsidRPr="00915461">
        <w:t xml:space="preserve">was appropriate. </w:t>
      </w:r>
      <w:r>
        <w:t>MSAC considered that p</w:t>
      </w:r>
      <w:r w:rsidRPr="00915461">
        <w:t xml:space="preserve">otential </w:t>
      </w:r>
      <w:r>
        <w:t>over use of MBS subsidised OCT</w:t>
      </w:r>
      <w:r w:rsidRPr="00915461">
        <w:t xml:space="preserve"> </w:t>
      </w:r>
      <w:r>
        <w:t>could</w:t>
      </w:r>
      <w:r w:rsidRPr="00915461">
        <w:t xml:space="preserve"> be </w:t>
      </w:r>
      <w:r>
        <w:t>monitored</w:t>
      </w:r>
      <w:r w:rsidRPr="00915461">
        <w:t xml:space="preserve"> by comparing the number of MBS claims for OCT in people with VMT with the number of PBS claims for ocriplasmin.</w:t>
      </w:r>
    </w:p>
    <w:p w:rsidR="00E977EE" w:rsidRPr="00F304C4" w:rsidRDefault="00E977EE" w:rsidP="00F304C4">
      <w:pPr>
        <w:pStyle w:val="Default"/>
        <w:rPr>
          <w:color w:val="auto"/>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7305BD" w:rsidRPr="00915461" w:rsidRDefault="007305BD" w:rsidP="007305BD">
      <w:r>
        <w:t>MSAC recalled that t</w:t>
      </w:r>
      <w:r w:rsidRPr="00915461">
        <w:t>h</w:t>
      </w:r>
      <w:r>
        <w:t>is</w:t>
      </w:r>
      <w:r w:rsidRPr="00915461">
        <w:t xml:space="preserve"> application to list OCT on the MBS is part of an integrated co-dependent submission, which also requested that PBAC consider PBS listing ocriplasmin to treat VMT. </w:t>
      </w:r>
      <w:r>
        <w:t>MSAC deferred the application</w:t>
      </w:r>
      <w:r w:rsidRPr="00915461">
        <w:t xml:space="preserve"> in November 2014 until such time as PBAC recommended the corresponding PBS listing of ocriplasmin. A resubmission to list ocriplasmin </w:t>
      </w:r>
      <w:r>
        <w:t>o</w:t>
      </w:r>
      <w:r w:rsidRPr="00915461">
        <w:t>n the PBS was considered at the March 2016 PBAC meeting</w:t>
      </w:r>
      <w:r w:rsidR="00F304C4">
        <w:t>,</w:t>
      </w:r>
      <w:r w:rsidRPr="00915461">
        <w:t xml:space="preserve"> where it rece</w:t>
      </w:r>
      <w:r w:rsidR="00F304C4">
        <w:t>ived a positive recommendation.</w:t>
      </w:r>
    </w:p>
    <w:p w:rsidR="007305BD" w:rsidRDefault="007305BD" w:rsidP="007305BD"/>
    <w:p w:rsidR="007305BD" w:rsidRPr="00915461" w:rsidRDefault="007305BD" w:rsidP="007305BD">
      <w:r>
        <w:lastRenderedPageBreak/>
        <w:t>N</w:t>
      </w:r>
      <w:r w:rsidRPr="00915461">
        <w:t xml:space="preserve">o new submission </w:t>
      </w:r>
      <w:r>
        <w:t xml:space="preserve">was </w:t>
      </w:r>
      <w:r w:rsidRPr="00915461">
        <w:t xml:space="preserve">provided to MSAC so it was assumed that the application was the same </w:t>
      </w:r>
      <w:r>
        <w:t xml:space="preserve">as </w:t>
      </w:r>
      <w:r w:rsidRPr="00915461">
        <w:t xml:space="preserve">that considered at </w:t>
      </w:r>
      <w:r w:rsidR="00F304C4">
        <w:t>the November 2014 MSAC meeting.</w:t>
      </w:r>
    </w:p>
    <w:p w:rsidR="007305BD" w:rsidRPr="00915461" w:rsidRDefault="007305BD" w:rsidP="007305BD"/>
    <w:p w:rsidR="007305BD" w:rsidRPr="00915461" w:rsidRDefault="007305BD" w:rsidP="007305BD">
      <w:r>
        <w:t>MSAC recalled that</w:t>
      </w:r>
      <w:r w:rsidR="00F304C4">
        <w:t>,</w:t>
      </w:r>
      <w:r>
        <w:t xml:space="preserve"> i</w:t>
      </w:r>
      <w:r w:rsidRPr="00915461">
        <w:t>n July 2015, a separate application for the use of OCT to detect macular oedema in order to access PBS-subsidised treatment for macular conditions</w:t>
      </w:r>
      <w:r>
        <w:t xml:space="preserve"> was considered. It was recommend that there be a</w:t>
      </w:r>
      <w:r w:rsidRPr="00915461">
        <w:t xml:space="preserve"> limit of no more than one OCT service per patient per year</w:t>
      </w:r>
      <w:r>
        <w:t xml:space="preserve"> and no</w:t>
      </w:r>
      <w:r w:rsidRPr="00915461">
        <w:t xml:space="preserve"> additional monitoring with OCT to assess post-treatment response, </w:t>
      </w:r>
      <w:r>
        <w:t>noting</w:t>
      </w:r>
      <w:r w:rsidRPr="00915461">
        <w:t xml:space="preserve"> this was better determined by a visual acuity test. However, MSAC noted that patients with VMT </w:t>
      </w:r>
      <w:r>
        <w:t>a</w:t>
      </w:r>
      <w:r w:rsidRPr="00915461">
        <w:t>re a different and distinct population to the patients included in the macular oedema application. MSAC a</w:t>
      </w:r>
      <w:r w:rsidR="00B93E62">
        <w:t>dvised</w:t>
      </w:r>
      <w:r w:rsidRPr="00915461">
        <w:t xml:space="preserve"> that in patients with VMT, a second OCT </w:t>
      </w:r>
      <w:r w:rsidR="00F304C4">
        <w:t xml:space="preserve">service </w:t>
      </w:r>
      <w:r w:rsidRPr="00915461">
        <w:t xml:space="preserve">(three months post-treatment) was necessary to assess </w:t>
      </w:r>
      <w:r>
        <w:t>the need for further treatment following</w:t>
      </w:r>
      <w:r w:rsidRPr="00915461">
        <w:t xml:space="preserve"> ocriplasmin, </w:t>
      </w:r>
      <w:r>
        <w:t xml:space="preserve">to </w:t>
      </w:r>
      <w:r w:rsidRPr="00915461">
        <w:t>ensure that any adhesion had been fully resolved and to ru</w:t>
      </w:r>
      <w:r w:rsidR="00F304C4">
        <w:t>le out the need for vitrectomy.</w:t>
      </w:r>
    </w:p>
    <w:p w:rsidR="007305BD" w:rsidRPr="00915461" w:rsidRDefault="007305BD" w:rsidP="007305BD"/>
    <w:p w:rsidR="007305BD" w:rsidRPr="00915461" w:rsidRDefault="007305BD" w:rsidP="007305BD">
      <w:r w:rsidRPr="00915461">
        <w:t xml:space="preserve">At the November 2014 meeting, MSAC indicated that the estimated MBS cost for OCT </w:t>
      </w:r>
      <w:r w:rsidR="00F304C4">
        <w:t>services</w:t>
      </w:r>
      <w:r w:rsidRPr="00915461">
        <w:t xml:space="preserve"> (less than $500,000 per annum) was likely to be an underestimate, as it did not take into account patients who are identified as being ineligible for ocriplasmin treatment once an OCT has been conducted (e.g. because OCT indicates there is no VMT or the MH is too large) and because of a risk that the term ‘suspected VMT’ would be interpreted broadly to justify billing the OCT service to the MBS even when other ocular conditions may be more likely. However, MSAC noted that it would be possible to identify overuse of OCT for suspected VMT given its link to the PBS listing for subsidised ocriplasmin, as OCT usage that is considerably higher than the number of PBS claims for ocriplasmin would </w:t>
      </w:r>
      <w:r w:rsidR="00F304C4">
        <w:t>be highly likely to be leakage.</w:t>
      </w:r>
      <w:r w:rsidR="00694B13">
        <w:t xml:space="preserve"> </w:t>
      </w:r>
    </w:p>
    <w:p w:rsidR="007305BD" w:rsidRPr="00915461" w:rsidRDefault="007305BD" w:rsidP="007305BD"/>
    <w:p w:rsidR="00F97914" w:rsidRPr="00915461" w:rsidRDefault="007305BD" w:rsidP="00F97914">
      <w:r w:rsidRPr="00915461">
        <w:t>The MBS costs in the application were calculated on a cost of $91.75 per OCT</w:t>
      </w:r>
      <w:r w:rsidR="00F304C4">
        <w:t xml:space="preserve"> service</w:t>
      </w:r>
      <w:r w:rsidRPr="00915461">
        <w:t>. In July 2015</w:t>
      </w:r>
      <w:r w:rsidR="003E5024">
        <w:t>,</w:t>
      </w:r>
      <w:r w:rsidRPr="00915461">
        <w:t xml:space="preserve"> MSAC supported listing of </w:t>
      </w:r>
      <w:r w:rsidR="00694B13">
        <w:t xml:space="preserve">another item for </w:t>
      </w:r>
      <w:r w:rsidRPr="00915461">
        <w:t xml:space="preserve">OCT to determine eligibility for PBS-subsidised treatments for macular oedema and </w:t>
      </w:r>
      <w:r w:rsidR="00F97914">
        <w:t>advised that a fee of $40 would be appropriate for the service</w:t>
      </w:r>
      <w:r w:rsidRPr="00915461">
        <w:t>.</w:t>
      </w:r>
      <w:r w:rsidRPr="00915461">
        <w:rPr>
          <w:color w:val="FF0000"/>
        </w:rPr>
        <w:t xml:space="preserve"> </w:t>
      </w:r>
      <w:r w:rsidR="00F97914" w:rsidRPr="009F1972">
        <w:t xml:space="preserve">MSAC considered that the MBS fee should be consistent </w:t>
      </w:r>
      <w:r w:rsidR="00F97914">
        <w:t xml:space="preserve">across all OCT items listed </w:t>
      </w:r>
      <w:r w:rsidR="00F97914" w:rsidRPr="009F1972">
        <w:t>to</w:t>
      </w:r>
      <w:r w:rsidR="00F97914">
        <w:t xml:space="preserve"> ensure there i</w:t>
      </w:r>
      <w:r w:rsidR="00F97914" w:rsidRPr="002264E4">
        <w:t xml:space="preserve">s no leakage </w:t>
      </w:r>
      <w:r w:rsidR="00F97914">
        <w:t xml:space="preserve">between </w:t>
      </w:r>
      <w:r w:rsidR="00F97914" w:rsidRPr="009F1972">
        <w:t>item</w:t>
      </w:r>
      <w:r w:rsidR="00F97914">
        <w:t>s. Consequently MSAC revised its advice on the fee for this service and considered</w:t>
      </w:r>
      <w:r w:rsidR="00F97914" w:rsidRPr="009F1972">
        <w:t xml:space="preserve"> an MBS fee of $40 </w:t>
      </w:r>
      <w:r w:rsidR="00F97914">
        <w:t xml:space="preserve">as </w:t>
      </w:r>
      <w:r w:rsidR="00F97914" w:rsidRPr="009F1972">
        <w:t>appropriate.</w:t>
      </w:r>
    </w:p>
    <w:p w:rsidR="007305BD" w:rsidRDefault="007305BD" w:rsidP="007305BD"/>
    <w:p w:rsidR="00F97914" w:rsidRPr="00AA6225" w:rsidRDefault="00F97914" w:rsidP="00F97914">
      <w:pPr>
        <w:rPr>
          <w:b/>
        </w:rPr>
      </w:pPr>
      <w:r>
        <w:rPr>
          <w:b/>
        </w:rPr>
        <w:t xml:space="preserve">Relevant MSAC advice from additional </w:t>
      </w:r>
      <w:r w:rsidR="00BA7886">
        <w:rPr>
          <w:b/>
        </w:rPr>
        <w:t xml:space="preserve">OCT </w:t>
      </w:r>
      <w:r>
        <w:rPr>
          <w:b/>
        </w:rPr>
        <w:t>agenda item at March 2016 meeting</w:t>
      </w:r>
    </w:p>
    <w:p w:rsidR="00F97914" w:rsidRDefault="00F97914" w:rsidP="00F97914">
      <w:r>
        <w:t xml:space="preserve">The March 2016 meeting included an agenda item for MSAC to provide advice on the co-ordination of the multiple applications for OCT currently under consideration to ensure consistency across the applications. The three OCT services considered were application 1370, application 1377 and a broad OCT item </w:t>
      </w:r>
      <w:r w:rsidRPr="00D52129">
        <w:rPr>
          <w:szCs w:val="24"/>
        </w:rPr>
        <w:t xml:space="preserve">to determine the presence of macular oedema and thus eligibility for </w:t>
      </w:r>
      <w:r>
        <w:rPr>
          <w:szCs w:val="24"/>
        </w:rPr>
        <w:t>PBS</w:t>
      </w:r>
      <w:r w:rsidRPr="00D52129">
        <w:rPr>
          <w:szCs w:val="24"/>
        </w:rPr>
        <w:t>-subsidised therapies for treat</w:t>
      </w:r>
      <w:r>
        <w:rPr>
          <w:szCs w:val="24"/>
        </w:rPr>
        <w:t>ment of all PBS-listed macular conditions.</w:t>
      </w:r>
      <w:r>
        <w:t xml:space="preserve"> </w:t>
      </w:r>
      <w:r>
        <w:rPr>
          <w:szCs w:val="24"/>
        </w:rPr>
        <w:t xml:space="preserve">MSAC advised that the evidence </w:t>
      </w:r>
      <w:r w:rsidRPr="003C2CEB">
        <w:rPr>
          <w:szCs w:val="24"/>
        </w:rPr>
        <w:t>supports use of OCT for diagnosis, but not for monitoring</w:t>
      </w:r>
      <w:r>
        <w:rPr>
          <w:szCs w:val="24"/>
        </w:rPr>
        <w:t>. Therefore, MSAC supported the restriction of the OCT service to diagnosis, at no more frequently than once per patient per annum, across all indications involving macular oedema, in order to help determine eligibility to initiate an appropriate PBS-subsidised treatment. However, MSAC did support an additional MBS item following treatment with ocriplasmin to assess whether the vitreomacular adhesion was fully resolved and to rule out the need for vitrectomy.</w:t>
      </w:r>
      <w:r>
        <w:t xml:space="preserve"> MSAC advised that a $40 fee for all OCT services was appropriate based on evidence of fees used in overseas countries and on the decreasing costs of the equipment required to deliver the service. The positions supported by MSAC during this agenda item were applied to the individual application</w:t>
      </w:r>
      <w:r w:rsidR="00BA7886">
        <w:t>s 1370 and</w:t>
      </w:r>
      <w:r>
        <w:t xml:space="preserve"> 1377.  </w:t>
      </w:r>
    </w:p>
    <w:p w:rsidR="00CF3F9E" w:rsidRDefault="00CF3F9E">
      <w:r>
        <w:br w:type="page"/>
      </w:r>
    </w:p>
    <w:p w:rsidR="009464C9" w:rsidRDefault="009464C9" w:rsidP="009464C9">
      <w:r>
        <w:lastRenderedPageBreak/>
        <w:t>The following proposed MBS item descriptors were developed based on these outcomes:</w:t>
      </w:r>
    </w:p>
    <w:p w:rsidR="009464C9" w:rsidRDefault="009464C9" w:rsidP="009464C9"/>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9464C9" w:rsidRPr="002A00FA" w:rsidTr="00681DAA">
        <w:tc>
          <w:tcPr>
            <w:tcW w:w="9204" w:type="dxa"/>
            <w:tcBorders>
              <w:top w:val="single" w:sz="4" w:space="0" w:color="000000"/>
              <w:left w:val="single" w:sz="4" w:space="0" w:color="000000"/>
              <w:bottom w:val="single" w:sz="4" w:space="0" w:color="000000"/>
              <w:right w:val="single" w:sz="4" w:space="0" w:color="000000"/>
            </w:tcBorders>
          </w:tcPr>
          <w:p w:rsidR="009464C9" w:rsidRPr="002A00FA" w:rsidRDefault="009464C9" w:rsidP="00681DAA">
            <w:pPr>
              <w:keepNext/>
              <w:spacing w:before="40" w:after="120"/>
              <w:rPr>
                <w:rFonts w:ascii="Arial" w:hAnsi="Arial" w:cs="Arial"/>
                <w:sz w:val="20"/>
                <w:lang w:eastAsia="ja-JP"/>
              </w:rPr>
            </w:pPr>
            <w:bookmarkStart w:id="0" w:name="Descriptor"/>
            <w:r w:rsidRPr="002A00FA">
              <w:rPr>
                <w:rFonts w:ascii="Arial" w:hAnsi="Arial" w:cs="Arial"/>
                <w:sz w:val="20"/>
                <w:lang w:eastAsia="ja-JP"/>
              </w:rPr>
              <w:t>Category 2 – DIAGNOSTIC PROCEDURES AND INVESTIGATIONS</w:t>
            </w:r>
          </w:p>
          <w:p w:rsidR="009464C9" w:rsidRPr="002A00FA" w:rsidRDefault="009464C9"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9464C9" w:rsidRPr="002A00FA" w:rsidRDefault="009464C9"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9464C9" w:rsidRPr="002A00FA" w:rsidTr="00681DAA">
        <w:tc>
          <w:tcPr>
            <w:tcW w:w="9204" w:type="dxa"/>
            <w:tcBorders>
              <w:top w:val="single" w:sz="4" w:space="0" w:color="000000"/>
              <w:left w:val="single" w:sz="4" w:space="0" w:color="000000"/>
              <w:bottom w:val="single" w:sz="4" w:space="0" w:color="000000"/>
              <w:right w:val="single" w:sz="4" w:space="0" w:color="000000"/>
            </w:tcBorders>
          </w:tcPr>
          <w:p w:rsidR="009464C9" w:rsidRPr="002A00FA" w:rsidRDefault="009464C9"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9464C9" w:rsidRPr="002A00FA" w:rsidRDefault="009464C9" w:rsidP="00681DAA">
            <w:pPr>
              <w:spacing w:after="120"/>
              <w:jc w:val="both"/>
              <w:rPr>
                <w:rFonts w:ascii="Arial" w:hAnsi="Arial" w:cs="Arial"/>
                <w:sz w:val="20"/>
                <w:lang w:eastAsia="ja-JP"/>
              </w:rPr>
            </w:pPr>
            <w:r w:rsidRPr="002A00FA">
              <w:rPr>
                <w:rFonts w:ascii="Arial" w:hAnsi="Arial" w:cs="Arial"/>
                <w:sz w:val="20"/>
                <w:lang w:eastAsia="ja-JP"/>
              </w:rPr>
              <w:t>OPTICAL COHERENCE TOMOGRAPHY to determine if the requirements relating to:</w:t>
            </w:r>
          </w:p>
          <w:p w:rsidR="009464C9" w:rsidRPr="002A00FA" w:rsidRDefault="009464C9" w:rsidP="009464C9">
            <w:pPr>
              <w:pStyle w:val="ListParagraph"/>
              <w:numPr>
                <w:ilvl w:val="0"/>
                <w:numId w:val="26"/>
              </w:numPr>
              <w:spacing w:after="120"/>
              <w:jc w:val="both"/>
              <w:rPr>
                <w:rFonts w:ascii="Arial" w:hAnsi="Arial" w:cs="Arial"/>
                <w:sz w:val="20"/>
                <w:lang w:eastAsia="ja-JP"/>
              </w:rPr>
            </w:pPr>
            <w:r w:rsidRPr="002A00FA">
              <w:rPr>
                <w:rFonts w:ascii="Arial" w:hAnsi="Arial" w:cs="Arial"/>
                <w:sz w:val="20"/>
                <w:lang w:eastAsia="ja-JP"/>
              </w:rPr>
              <w:t>age</w:t>
            </w:r>
            <w:r>
              <w:rPr>
                <w:rFonts w:ascii="Arial" w:hAnsi="Arial" w:cs="Arial"/>
                <w:sz w:val="20"/>
                <w:lang w:eastAsia="ja-JP"/>
              </w:rPr>
              <w:t>-</w:t>
            </w:r>
            <w:r w:rsidRPr="002A00FA">
              <w:rPr>
                <w:rFonts w:ascii="Arial" w:hAnsi="Arial" w:cs="Arial"/>
                <w:sz w:val="20"/>
                <w:lang w:eastAsia="ja-JP"/>
              </w:rPr>
              <w:t>related macular degeneration for access to initial treatment with ranibizumab or aflibercept, OR</w:t>
            </w:r>
          </w:p>
          <w:p w:rsidR="009464C9" w:rsidRPr="002A00FA" w:rsidRDefault="009464C9" w:rsidP="009464C9">
            <w:pPr>
              <w:pStyle w:val="ListParagraph"/>
              <w:numPr>
                <w:ilvl w:val="0"/>
                <w:numId w:val="26"/>
              </w:numPr>
              <w:spacing w:after="120"/>
              <w:jc w:val="both"/>
              <w:rPr>
                <w:rFonts w:ascii="Arial" w:hAnsi="Arial" w:cs="Arial"/>
                <w:sz w:val="20"/>
                <w:lang w:eastAsia="ja-JP"/>
              </w:rPr>
            </w:pPr>
            <w:r w:rsidRPr="002A00FA">
              <w:rPr>
                <w:rFonts w:ascii="Arial" w:hAnsi="Arial" w:cs="Arial"/>
                <w:sz w:val="20"/>
                <w:lang w:eastAsia="ja-JP"/>
              </w:rPr>
              <w:t>diabetic macular oedema for access to initial treatment with ranibizumab, aflibercept or dexamethasone, OR</w:t>
            </w:r>
          </w:p>
          <w:p w:rsidR="009464C9" w:rsidRPr="002A00FA" w:rsidRDefault="009464C9" w:rsidP="009464C9">
            <w:pPr>
              <w:pStyle w:val="ListParagraph"/>
              <w:numPr>
                <w:ilvl w:val="0"/>
                <w:numId w:val="26"/>
              </w:numPr>
              <w:spacing w:after="120"/>
              <w:jc w:val="both"/>
              <w:rPr>
                <w:rFonts w:ascii="Arial" w:hAnsi="Arial" w:cs="Arial"/>
                <w:sz w:val="20"/>
                <w:lang w:eastAsia="ja-JP"/>
              </w:rPr>
            </w:pPr>
            <w:r w:rsidRPr="002A00FA">
              <w:rPr>
                <w:rFonts w:ascii="Arial" w:hAnsi="Arial" w:cs="Arial"/>
                <w:sz w:val="20"/>
                <w:lang w:eastAsia="ja-JP"/>
              </w:rPr>
              <w:t>central or branch retinal vein occlusion for access to initial treatment with ranibizumab or aflibercept</w:t>
            </w:r>
            <w:r>
              <w:rPr>
                <w:rFonts w:ascii="Arial" w:hAnsi="Arial" w:cs="Arial"/>
                <w:sz w:val="20"/>
                <w:lang w:eastAsia="ja-JP"/>
              </w:rPr>
              <w:t>*</w:t>
            </w:r>
            <w:r w:rsidRPr="002A00FA">
              <w:rPr>
                <w:rFonts w:ascii="Arial" w:hAnsi="Arial" w:cs="Arial"/>
                <w:sz w:val="20"/>
                <w:lang w:eastAsia="ja-JP"/>
              </w:rPr>
              <w:t>, OR</w:t>
            </w:r>
          </w:p>
          <w:p w:rsidR="009464C9" w:rsidRPr="002A00FA" w:rsidRDefault="009464C9" w:rsidP="009464C9">
            <w:pPr>
              <w:pStyle w:val="ListParagraph"/>
              <w:numPr>
                <w:ilvl w:val="0"/>
                <w:numId w:val="26"/>
              </w:numPr>
              <w:spacing w:after="120"/>
              <w:jc w:val="both"/>
              <w:rPr>
                <w:rFonts w:ascii="Arial" w:hAnsi="Arial" w:cs="Arial"/>
                <w:sz w:val="20"/>
                <w:lang w:eastAsia="ja-JP"/>
              </w:rPr>
            </w:pPr>
            <w:r w:rsidRPr="002A00FA">
              <w:rPr>
                <w:rFonts w:ascii="Arial" w:hAnsi="Arial" w:cs="Arial"/>
                <w:sz w:val="20"/>
                <w:lang w:eastAsia="ja-JP"/>
              </w:rPr>
              <w:t xml:space="preserve"> vitreomacular traction for access to initial treatment with ocriplasmin,</w:t>
            </w:r>
          </w:p>
          <w:p w:rsidR="009464C9" w:rsidRPr="002A00FA" w:rsidRDefault="009464C9" w:rsidP="00681DAA">
            <w:pPr>
              <w:spacing w:after="120"/>
              <w:jc w:val="both"/>
              <w:rPr>
                <w:rFonts w:ascii="Arial" w:hAnsi="Arial" w:cs="Arial"/>
                <w:sz w:val="20"/>
                <w:lang w:eastAsia="ja-JP"/>
              </w:rPr>
            </w:pPr>
            <w:proofErr w:type="gramStart"/>
            <w:r w:rsidRPr="002A00FA">
              <w:rPr>
                <w:rFonts w:ascii="Arial" w:hAnsi="Arial" w:cs="Arial"/>
                <w:sz w:val="20"/>
                <w:lang w:eastAsia="ja-JP"/>
              </w:rPr>
              <w:t>under</w:t>
            </w:r>
            <w:proofErr w:type="gramEnd"/>
            <w:r w:rsidRPr="002A00FA">
              <w:rPr>
                <w:rFonts w:ascii="Arial" w:hAnsi="Arial" w:cs="Arial"/>
                <w:sz w:val="20"/>
                <w:lang w:eastAsia="ja-JP"/>
              </w:rPr>
              <w:t xml:space="preserve"> the Pharmaceutical Benefits Scheme (PBS) are fulfilled.</w:t>
            </w:r>
          </w:p>
          <w:p w:rsidR="009464C9" w:rsidRPr="002A00FA" w:rsidRDefault="009464C9" w:rsidP="00681DAA">
            <w:pPr>
              <w:spacing w:after="120"/>
              <w:jc w:val="both"/>
              <w:rPr>
                <w:rFonts w:ascii="Arial" w:hAnsi="Arial" w:cs="Arial"/>
                <w:sz w:val="20"/>
                <w:lang w:eastAsia="ja-JP"/>
              </w:rPr>
            </w:pPr>
            <w:r w:rsidRPr="002A00FA">
              <w:rPr>
                <w:rFonts w:ascii="Arial" w:hAnsi="Arial" w:cs="Arial"/>
                <w:sz w:val="20"/>
                <w:lang w:eastAsia="ja-JP"/>
              </w:rPr>
              <w:t>Limited to one service per annum, unilateral or bilateral.</w:t>
            </w:r>
          </w:p>
          <w:p w:rsidR="009464C9" w:rsidRPr="002A00FA" w:rsidRDefault="009464C9" w:rsidP="00681DAA">
            <w:pPr>
              <w:spacing w:after="120"/>
              <w:jc w:val="both"/>
              <w:rPr>
                <w:rFonts w:ascii="Arial" w:hAnsi="Arial" w:cs="Arial"/>
                <w:sz w:val="20"/>
                <w:lang w:eastAsia="ja-JP"/>
              </w:rPr>
            </w:pPr>
            <w:r w:rsidRPr="002A00FA">
              <w:rPr>
                <w:rFonts w:ascii="Arial" w:hAnsi="Arial" w:cs="Arial"/>
                <w:sz w:val="20"/>
                <w:lang w:eastAsia="ja-JP"/>
              </w:rPr>
              <w:t>Fee: $40.00</w:t>
            </w:r>
          </w:p>
        </w:tc>
      </w:tr>
    </w:tbl>
    <w:bookmarkEnd w:id="0"/>
    <w:p w:rsidR="000A7EB3" w:rsidRPr="004C3D60" w:rsidRDefault="000A7EB3" w:rsidP="000A7EB3">
      <w:pPr>
        <w:rPr>
          <w:rFonts w:ascii="Arial" w:hAnsi="Arial" w:cs="Arial"/>
          <w:sz w:val="18"/>
          <w:szCs w:val="18"/>
        </w:rPr>
      </w:pPr>
      <w:r w:rsidRPr="004C3D60">
        <w:rPr>
          <w:rFonts w:ascii="Arial" w:hAnsi="Arial" w:cs="Arial"/>
          <w:sz w:val="18"/>
          <w:szCs w:val="18"/>
        </w:rPr>
        <w:t>*point c) is written in reflection of the PBAC recommendation to add BRVO to the aflibercept listing</w:t>
      </w:r>
    </w:p>
    <w:p w:rsidR="009464C9" w:rsidRDefault="009464C9" w:rsidP="009464C9">
      <w:pPr>
        <w:rPr>
          <w:rStyle w:val="IntenseReference"/>
          <w:b w:val="0"/>
          <w:bCs w:val="0"/>
          <w:i w:val="0"/>
          <w:smallCaps w:val="0"/>
        </w:rPr>
      </w:pPr>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9464C9" w:rsidRPr="002A00FA" w:rsidTr="00681DAA">
        <w:tc>
          <w:tcPr>
            <w:tcW w:w="9204" w:type="dxa"/>
            <w:tcBorders>
              <w:top w:val="single" w:sz="4" w:space="0" w:color="000000"/>
              <w:left w:val="single" w:sz="4" w:space="0" w:color="000000"/>
              <w:bottom w:val="single" w:sz="4" w:space="0" w:color="000000"/>
              <w:right w:val="single" w:sz="4" w:space="0" w:color="000000"/>
            </w:tcBorders>
          </w:tcPr>
          <w:p w:rsidR="009464C9" w:rsidRPr="002A00FA" w:rsidRDefault="009464C9" w:rsidP="00681DAA">
            <w:pPr>
              <w:keepNext/>
              <w:spacing w:before="40" w:after="120"/>
              <w:rPr>
                <w:rFonts w:ascii="Arial" w:hAnsi="Arial" w:cs="Arial"/>
                <w:sz w:val="20"/>
                <w:lang w:eastAsia="ja-JP"/>
              </w:rPr>
            </w:pPr>
            <w:r w:rsidRPr="002A00FA">
              <w:rPr>
                <w:rFonts w:ascii="Arial" w:hAnsi="Arial" w:cs="Arial"/>
                <w:sz w:val="20"/>
                <w:lang w:eastAsia="ja-JP"/>
              </w:rPr>
              <w:t>Category 2 – DIAGNOSTIC PROCEDURES AND INVESTIGATIONS</w:t>
            </w:r>
          </w:p>
          <w:p w:rsidR="009464C9" w:rsidRPr="002A00FA" w:rsidRDefault="009464C9"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9464C9" w:rsidRPr="002A00FA" w:rsidRDefault="009464C9"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9464C9" w:rsidRPr="002A00FA" w:rsidTr="00681DAA">
        <w:tc>
          <w:tcPr>
            <w:tcW w:w="9204" w:type="dxa"/>
            <w:tcBorders>
              <w:top w:val="single" w:sz="4" w:space="0" w:color="000000"/>
              <w:left w:val="single" w:sz="4" w:space="0" w:color="000000"/>
              <w:bottom w:val="single" w:sz="4" w:space="0" w:color="000000"/>
              <w:right w:val="single" w:sz="4" w:space="0" w:color="000000"/>
            </w:tcBorders>
          </w:tcPr>
          <w:p w:rsidR="009464C9" w:rsidRPr="002A00FA" w:rsidRDefault="009464C9"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9464C9" w:rsidRPr="002A00FA" w:rsidRDefault="009464C9" w:rsidP="00681DAA">
            <w:pPr>
              <w:spacing w:after="120"/>
              <w:jc w:val="both"/>
              <w:rPr>
                <w:rFonts w:ascii="Arial" w:hAnsi="Arial" w:cs="Arial"/>
                <w:sz w:val="20"/>
                <w:lang w:eastAsia="ja-JP"/>
              </w:rPr>
            </w:pPr>
            <w:r w:rsidRPr="002A00FA">
              <w:rPr>
                <w:rFonts w:ascii="Arial" w:hAnsi="Arial" w:cs="Arial"/>
                <w:sz w:val="20"/>
                <w:lang w:eastAsia="ja-JP"/>
              </w:rPr>
              <w:t xml:space="preserve">OPTICAL COHERENCE TOMOGRAPHY for the assessment of the need for further treatment following PBS-subsidised ocriplasmin, claimable </w:t>
            </w:r>
            <w:r>
              <w:rPr>
                <w:rFonts w:ascii="Arial" w:hAnsi="Arial" w:cs="Arial"/>
                <w:sz w:val="20"/>
                <w:lang w:eastAsia="ja-JP"/>
              </w:rPr>
              <w:t>only once per eye per lifetime.</w:t>
            </w:r>
          </w:p>
          <w:p w:rsidR="009464C9" w:rsidRPr="002A00FA" w:rsidRDefault="009464C9" w:rsidP="00681DAA">
            <w:pPr>
              <w:spacing w:after="120"/>
              <w:jc w:val="both"/>
              <w:rPr>
                <w:rFonts w:ascii="Arial" w:hAnsi="Arial" w:cs="Arial"/>
                <w:sz w:val="20"/>
                <w:lang w:eastAsia="ja-JP"/>
              </w:rPr>
            </w:pPr>
            <w:r w:rsidRPr="002A00FA">
              <w:rPr>
                <w:rFonts w:ascii="Arial" w:hAnsi="Arial" w:cs="Arial"/>
                <w:sz w:val="20"/>
                <w:lang w:eastAsia="ja-JP"/>
              </w:rPr>
              <w:t>Fee: $40.00</w:t>
            </w:r>
          </w:p>
        </w:tc>
      </w:tr>
    </w:tbl>
    <w:p w:rsidR="009464C9" w:rsidRDefault="009464C9" w:rsidP="007305BD"/>
    <w:p w:rsidR="00BC1364" w:rsidRPr="00D90A38" w:rsidRDefault="00BC1364" w:rsidP="007B32D1">
      <w:pPr>
        <w:pStyle w:val="Heading1"/>
        <w:numPr>
          <w:ilvl w:val="0"/>
          <w:numId w:val="23"/>
        </w:numPr>
        <w:ind w:hanging="720"/>
      </w:pPr>
      <w:r w:rsidRPr="00D90A38">
        <w:t>Background</w:t>
      </w:r>
    </w:p>
    <w:p w:rsidR="00BC1364" w:rsidRPr="00F304C4" w:rsidRDefault="00BC1364" w:rsidP="00DD2858">
      <w:pPr>
        <w:rPr>
          <w:szCs w:val="24"/>
        </w:rPr>
      </w:pPr>
    </w:p>
    <w:p w:rsidR="007305BD" w:rsidRDefault="007305BD" w:rsidP="007305BD">
      <w:pPr>
        <w:rPr>
          <w:rStyle w:val="Hyperlink"/>
          <w:szCs w:val="24"/>
        </w:rPr>
      </w:pPr>
      <w:r>
        <w:rPr>
          <w:szCs w:val="24"/>
        </w:rPr>
        <w:t>The original submission details can be found in the</w:t>
      </w:r>
      <w:r w:rsidRPr="007471F0">
        <w:rPr>
          <w:szCs w:val="24"/>
        </w:rPr>
        <w:t xml:space="preserve"> Public Summary Document for </w:t>
      </w:r>
      <w:r>
        <w:rPr>
          <w:szCs w:val="24"/>
        </w:rPr>
        <w:t xml:space="preserve">Application 1370, </w:t>
      </w:r>
      <w:hyperlink r:id="rId10" w:tooltip="link to Public Summary Document 1370" w:history="1">
        <w:r w:rsidRPr="00950DB7">
          <w:rPr>
            <w:rStyle w:val="Hyperlink"/>
            <w:szCs w:val="24"/>
          </w:rPr>
          <w:t>http://www.msac.gov.au/internet/msac/publishing.nsf/Content/1370-public</w:t>
        </w:r>
      </w:hyperlink>
    </w:p>
    <w:p w:rsidR="00CF3F9E" w:rsidRDefault="00CF3F9E" w:rsidP="007305BD">
      <w:pPr>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Pr="00F304C4" w:rsidRDefault="00BC1364" w:rsidP="00230D6B">
      <w:pPr>
        <w:tabs>
          <w:tab w:val="left" w:pos="720"/>
        </w:tabs>
        <w:ind w:left="709" w:hanging="709"/>
        <w:rPr>
          <w:szCs w:val="24"/>
        </w:rPr>
      </w:pPr>
    </w:p>
    <w:p w:rsidR="000F75DF" w:rsidRPr="00AA716E" w:rsidRDefault="00AA716E" w:rsidP="000F75DF">
      <w:pPr>
        <w:rPr>
          <w:szCs w:val="24"/>
        </w:rPr>
      </w:pPr>
      <w:r w:rsidRPr="00AA716E">
        <w:rPr>
          <w:szCs w:val="24"/>
        </w:rPr>
        <w:t>The applicant had no comments.</w:t>
      </w:r>
    </w:p>
    <w:p w:rsidR="00BC1364" w:rsidRPr="00F304C4" w:rsidRDefault="00BC1364" w:rsidP="00230D6B">
      <w:pPr>
        <w:rPr>
          <w:szCs w:val="24"/>
        </w:rPr>
      </w:pPr>
      <w:bookmarkStart w:id="1" w:name="_GoBack"/>
      <w:bookmarkEnd w:id="1"/>
    </w:p>
    <w:p w:rsidR="00BC1364" w:rsidRDefault="00271F18" w:rsidP="007B32D1">
      <w:pPr>
        <w:pStyle w:val="Heading1"/>
        <w:numPr>
          <w:ilvl w:val="0"/>
          <w:numId w:val="23"/>
        </w:numPr>
        <w:ind w:hanging="720"/>
      </w:pPr>
      <w:r>
        <w:t>Further information on MSAC</w:t>
      </w:r>
    </w:p>
    <w:p w:rsidR="00BC1364" w:rsidRPr="00F304C4" w:rsidRDefault="00BC1364" w:rsidP="00DD2858">
      <w:pPr>
        <w:tabs>
          <w:tab w:val="left" w:pos="720"/>
        </w:tabs>
        <w:ind w:left="709" w:hanging="709"/>
        <w:rPr>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F304C4">
        <w:rPr>
          <w:szCs w:val="24"/>
        </w:rPr>
        <w:t>.</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A7" w:rsidRDefault="00A834A7" w:rsidP="00065623">
      <w:r>
        <w:separator/>
      </w:r>
    </w:p>
  </w:endnote>
  <w:endnote w:type="continuationSeparator" w:id="0">
    <w:p w:rsidR="00A834A7" w:rsidRDefault="00A834A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AA716E">
          <w:rPr>
            <w:noProof/>
          </w:rPr>
          <w:t>3</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A7" w:rsidRDefault="00A834A7" w:rsidP="00065623">
      <w:r>
        <w:separator/>
      </w:r>
    </w:p>
  </w:footnote>
  <w:footnote w:type="continuationSeparator" w:id="0">
    <w:p w:rsidR="00A834A7" w:rsidRDefault="00A834A7"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A608C3"/>
    <w:multiLevelType w:val="hybridMultilevel"/>
    <w:tmpl w:val="5F329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5"/>
  </w:num>
  <w:num w:numId="10">
    <w:abstractNumId w:val="0"/>
  </w:num>
  <w:num w:numId="11">
    <w:abstractNumId w:val="17"/>
  </w:num>
  <w:num w:numId="12">
    <w:abstractNumId w:val="19"/>
  </w:num>
  <w:num w:numId="13">
    <w:abstractNumId w:val="4"/>
  </w:num>
  <w:num w:numId="14">
    <w:abstractNumId w:val="24"/>
  </w:num>
  <w:num w:numId="15">
    <w:abstractNumId w:val="16"/>
  </w:num>
  <w:num w:numId="16">
    <w:abstractNumId w:val="21"/>
  </w:num>
  <w:num w:numId="17">
    <w:abstractNumId w:val="11"/>
  </w:num>
  <w:num w:numId="18">
    <w:abstractNumId w:val="12"/>
  </w:num>
  <w:num w:numId="19">
    <w:abstractNumId w:val="23"/>
  </w:num>
  <w:num w:numId="20">
    <w:abstractNumId w:val="22"/>
  </w:num>
  <w:num w:numId="21">
    <w:abstractNumId w:val="3"/>
  </w:num>
  <w:num w:numId="22">
    <w:abstractNumId w:val="8"/>
  </w:num>
  <w:num w:numId="23">
    <w:abstractNumId w:val="2"/>
  </w:num>
  <w:num w:numId="24">
    <w:abstractNumId w:val="7"/>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51B9"/>
    <w:rsid w:val="00047606"/>
    <w:rsid w:val="00065623"/>
    <w:rsid w:val="000661A0"/>
    <w:rsid w:val="000756B9"/>
    <w:rsid w:val="000921A5"/>
    <w:rsid w:val="00096B67"/>
    <w:rsid w:val="00096DAF"/>
    <w:rsid w:val="000A7EB3"/>
    <w:rsid w:val="000C2F47"/>
    <w:rsid w:val="000D6C00"/>
    <w:rsid w:val="000E4E04"/>
    <w:rsid w:val="000E502C"/>
    <w:rsid w:val="000F14B4"/>
    <w:rsid w:val="000F75DF"/>
    <w:rsid w:val="00131F53"/>
    <w:rsid w:val="001328FA"/>
    <w:rsid w:val="00147AAF"/>
    <w:rsid w:val="001552C0"/>
    <w:rsid w:val="001640B1"/>
    <w:rsid w:val="00172A7D"/>
    <w:rsid w:val="0018435E"/>
    <w:rsid w:val="002041A1"/>
    <w:rsid w:val="002054F0"/>
    <w:rsid w:val="00230D6B"/>
    <w:rsid w:val="00232068"/>
    <w:rsid w:val="002330F2"/>
    <w:rsid w:val="00243D9E"/>
    <w:rsid w:val="00253B66"/>
    <w:rsid w:val="00261DF1"/>
    <w:rsid w:val="00271F18"/>
    <w:rsid w:val="00282779"/>
    <w:rsid w:val="0028334D"/>
    <w:rsid w:val="002B7FFA"/>
    <w:rsid w:val="002C2BCF"/>
    <w:rsid w:val="002C6B59"/>
    <w:rsid w:val="002F13D0"/>
    <w:rsid w:val="002F279D"/>
    <w:rsid w:val="002F43B8"/>
    <w:rsid w:val="00301668"/>
    <w:rsid w:val="00336856"/>
    <w:rsid w:val="0034554D"/>
    <w:rsid w:val="00352224"/>
    <w:rsid w:val="003671E6"/>
    <w:rsid w:val="00384272"/>
    <w:rsid w:val="00386D67"/>
    <w:rsid w:val="003945B8"/>
    <w:rsid w:val="003D7F29"/>
    <w:rsid w:val="003E5024"/>
    <w:rsid w:val="00405A6B"/>
    <w:rsid w:val="00407B1F"/>
    <w:rsid w:val="00414C57"/>
    <w:rsid w:val="0041758C"/>
    <w:rsid w:val="004435F4"/>
    <w:rsid w:val="004539DE"/>
    <w:rsid w:val="004A2CF1"/>
    <w:rsid w:val="004C0EF0"/>
    <w:rsid w:val="004C3035"/>
    <w:rsid w:val="004C307F"/>
    <w:rsid w:val="004E4BA8"/>
    <w:rsid w:val="004F340F"/>
    <w:rsid w:val="004F7B7C"/>
    <w:rsid w:val="0051515D"/>
    <w:rsid w:val="0052243D"/>
    <w:rsid w:val="00532435"/>
    <w:rsid w:val="00550354"/>
    <w:rsid w:val="00554C8D"/>
    <w:rsid w:val="00571236"/>
    <w:rsid w:val="005953A1"/>
    <w:rsid w:val="005A3D47"/>
    <w:rsid w:val="005C08FB"/>
    <w:rsid w:val="005D0332"/>
    <w:rsid w:val="005D0D8C"/>
    <w:rsid w:val="005F5936"/>
    <w:rsid w:val="006054FE"/>
    <w:rsid w:val="006430C4"/>
    <w:rsid w:val="006776AE"/>
    <w:rsid w:val="0069385D"/>
    <w:rsid w:val="00694B13"/>
    <w:rsid w:val="006A0D97"/>
    <w:rsid w:val="006B13A7"/>
    <w:rsid w:val="006B1F86"/>
    <w:rsid w:val="006C0A91"/>
    <w:rsid w:val="006E00BF"/>
    <w:rsid w:val="006F6559"/>
    <w:rsid w:val="007054BB"/>
    <w:rsid w:val="00707064"/>
    <w:rsid w:val="007305BD"/>
    <w:rsid w:val="00730683"/>
    <w:rsid w:val="007461C0"/>
    <w:rsid w:val="0075261F"/>
    <w:rsid w:val="0075468E"/>
    <w:rsid w:val="007665D8"/>
    <w:rsid w:val="00766BCA"/>
    <w:rsid w:val="00766E36"/>
    <w:rsid w:val="007765F4"/>
    <w:rsid w:val="00776633"/>
    <w:rsid w:val="00784D53"/>
    <w:rsid w:val="00786966"/>
    <w:rsid w:val="00797797"/>
    <w:rsid w:val="007A63C9"/>
    <w:rsid w:val="007B32D1"/>
    <w:rsid w:val="007B7095"/>
    <w:rsid w:val="007D24E1"/>
    <w:rsid w:val="007F4CE9"/>
    <w:rsid w:val="007F4E20"/>
    <w:rsid w:val="00822C7E"/>
    <w:rsid w:val="00847060"/>
    <w:rsid w:val="00856A33"/>
    <w:rsid w:val="00892620"/>
    <w:rsid w:val="008C7D37"/>
    <w:rsid w:val="008D5885"/>
    <w:rsid w:val="00923FA2"/>
    <w:rsid w:val="00932D98"/>
    <w:rsid w:val="009464C9"/>
    <w:rsid w:val="0096060D"/>
    <w:rsid w:val="00964311"/>
    <w:rsid w:val="0096562E"/>
    <w:rsid w:val="00967005"/>
    <w:rsid w:val="00974A50"/>
    <w:rsid w:val="0097585A"/>
    <w:rsid w:val="009924B0"/>
    <w:rsid w:val="009942C9"/>
    <w:rsid w:val="009B35C4"/>
    <w:rsid w:val="009C630A"/>
    <w:rsid w:val="009E0702"/>
    <w:rsid w:val="009E0D98"/>
    <w:rsid w:val="00A068A1"/>
    <w:rsid w:val="00A1207D"/>
    <w:rsid w:val="00A12FD8"/>
    <w:rsid w:val="00A3129B"/>
    <w:rsid w:val="00A346FC"/>
    <w:rsid w:val="00A834A7"/>
    <w:rsid w:val="00A84F93"/>
    <w:rsid w:val="00AA716E"/>
    <w:rsid w:val="00AB1AC5"/>
    <w:rsid w:val="00AB3BFC"/>
    <w:rsid w:val="00AC4F2E"/>
    <w:rsid w:val="00AD0C37"/>
    <w:rsid w:val="00AD385F"/>
    <w:rsid w:val="00AE6E2A"/>
    <w:rsid w:val="00B30C6F"/>
    <w:rsid w:val="00B31E9C"/>
    <w:rsid w:val="00B35595"/>
    <w:rsid w:val="00B51C6D"/>
    <w:rsid w:val="00B76499"/>
    <w:rsid w:val="00B86D64"/>
    <w:rsid w:val="00B93E62"/>
    <w:rsid w:val="00BA4AC5"/>
    <w:rsid w:val="00BA7886"/>
    <w:rsid w:val="00BC1364"/>
    <w:rsid w:val="00BC7DE9"/>
    <w:rsid w:val="00BE4F99"/>
    <w:rsid w:val="00BF479B"/>
    <w:rsid w:val="00BF5925"/>
    <w:rsid w:val="00C02577"/>
    <w:rsid w:val="00C204FB"/>
    <w:rsid w:val="00C20BEE"/>
    <w:rsid w:val="00C2158D"/>
    <w:rsid w:val="00C6148C"/>
    <w:rsid w:val="00C67DD2"/>
    <w:rsid w:val="00C725CB"/>
    <w:rsid w:val="00C76F5C"/>
    <w:rsid w:val="00C9092B"/>
    <w:rsid w:val="00C956E2"/>
    <w:rsid w:val="00C96BAD"/>
    <w:rsid w:val="00CA6944"/>
    <w:rsid w:val="00CB0F8E"/>
    <w:rsid w:val="00CB7E7D"/>
    <w:rsid w:val="00CC2911"/>
    <w:rsid w:val="00CD6855"/>
    <w:rsid w:val="00CF0C6D"/>
    <w:rsid w:val="00CF3F9E"/>
    <w:rsid w:val="00CF7307"/>
    <w:rsid w:val="00CF7C68"/>
    <w:rsid w:val="00D124FA"/>
    <w:rsid w:val="00D264FB"/>
    <w:rsid w:val="00D340DE"/>
    <w:rsid w:val="00D3732C"/>
    <w:rsid w:val="00D40FB3"/>
    <w:rsid w:val="00D42D33"/>
    <w:rsid w:val="00D55723"/>
    <w:rsid w:val="00D62FAD"/>
    <w:rsid w:val="00D70450"/>
    <w:rsid w:val="00D83BFD"/>
    <w:rsid w:val="00D90A38"/>
    <w:rsid w:val="00DA0515"/>
    <w:rsid w:val="00DA171E"/>
    <w:rsid w:val="00DA56AA"/>
    <w:rsid w:val="00DB5833"/>
    <w:rsid w:val="00DD1FD7"/>
    <w:rsid w:val="00DD2858"/>
    <w:rsid w:val="00E03E33"/>
    <w:rsid w:val="00E321E9"/>
    <w:rsid w:val="00E3642A"/>
    <w:rsid w:val="00E415C4"/>
    <w:rsid w:val="00E50016"/>
    <w:rsid w:val="00E50744"/>
    <w:rsid w:val="00E50EAA"/>
    <w:rsid w:val="00E656D6"/>
    <w:rsid w:val="00E977EE"/>
    <w:rsid w:val="00EA67A2"/>
    <w:rsid w:val="00EC09B1"/>
    <w:rsid w:val="00EC4F98"/>
    <w:rsid w:val="00ED7913"/>
    <w:rsid w:val="00F12F02"/>
    <w:rsid w:val="00F304C4"/>
    <w:rsid w:val="00F32E0D"/>
    <w:rsid w:val="00F35134"/>
    <w:rsid w:val="00F41812"/>
    <w:rsid w:val="00F73333"/>
    <w:rsid w:val="00F95D8F"/>
    <w:rsid w:val="00F97914"/>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464C9"/>
    <w:rPr>
      <w:rFonts w:eastAsia="Times New Roman"/>
      <w:sz w:val="24"/>
      <w:szCs w:val="20"/>
    </w:rPr>
  </w:style>
  <w:style w:type="character" w:styleId="IntenseReference">
    <w:name w:val="Intense Reference"/>
    <w:basedOn w:val="DefaultParagraphFont"/>
    <w:uiPriority w:val="32"/>
    <w:qFormat/>
    <w:rsid w:val="009464C9"/>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9464C9"/>
    <w:rPr>
      <w:rFonts w:eastAsia="Times New Roman"/>
      <w:sz w:val="24"/>
      <w:szCs w:val="20"/>
    </w:rPr>
  </w:style>
  <w:style w:type="character" w:styleId="IntenseReference">
    <w:name w:val="Intense Reference"/>
    <w:basedOn w:val="DefaultParagraphFont"/>
    <w:uiPriority w:val="32"/>
    <w:qFormat/>
    <w:rsid w:val="009464C9"/>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hyperlink" Target="http://www.msac.gov.au/internet/msac/publishing.nsf/Content/1370-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2016-05-11T05:22:00Z</cp:lastPrinted>
  <dcterms:created xsi:type="dcterms:W3CDTF">2016-05-26T03:30:00Z</dcterms:created>
  <dcterms:modified xsi:type="dcterms:W3CDTF">2016-05-26T03:30:00Z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