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B80" w:rsidRPr="00F637B3" w:rsidRDefault="00E44B80" w:rsidP="001F2F80">
      <w:pPr>
        <w:spacing w:before="0"/>
        <w:jc w:val="center"/>
        <w:rPr>
          <w:b/>
          <w:szCs w:val="20"/>
        </w:rPr>
      </w:pPr>
      <w:r w:rsidRPr="00F637B3">
        <w:rPr>
          <w:b/>
          <w:noProof/>
          <w:szCs w:val="20"/>
          <w:lang w:eastAsia="en-AU"/>
        </w:rPr>
        <w:drawing>
          <wp:inline distT="0" distB="0" distL="0" distR="0" wp14:anchorId="3712ADFF" wp14:editId="62A9DFBC">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rsidR="008B2610" w:rsidRPr="006F20CF" w:rsidRDefault="008B2610" w:rsidP="001F2F80">
      <w:pPr>
        <w:pStyle w:val="Title"/>
        <w:spacing w:before="0" w:after="120"/>
      </w:pPr>
      <w:r w:rsidRPr="001906CD">
        <w:t>Application Form</w:t>
      </w:r>
    </w:p>
    <w:p w:rsidR="00E44B80" w:rsidRPr="00D73646" w:rsidRDefault="00E44B80" w:rsidP="001F2F80">
      <w:pPr>
        <w:pStyle w:val="Title"/>
        <w:spacing w:before="0" w:after="120"/>
        <w:rPr>
          <w:sz w:val="28"/>
          <w:szCs w:val="28"/>
        </w:rPr>
      </w:pPr>
      <w:r w:rsidRPr="00D73646">
        <w:rPr>
          <w:sz w:val="28"/>
          <w:szCs w:val="28"/>
        </w:rPr>
        <w:t>(</w:t>
      </w:r>
      <w:r w:rsidR="001906CD" w:rsidRPr="00D73646">
        <w:rPr>
          <w:sz w:val="28"/>
          <w:szCs w:val="28"/>
        </w:rPr>
        <w:t>New and Amended</w:t>
      </w:r>
      <w:r w:rsidR="00EB0182">
        <w:rPr>
          <w:sz w:val="28"/>
          <w:szCs w:val="28"/>
        </w:rPr>
        <w:t xml:space="preserve"> </w:t>
      </w:r>
      <w:r w:rsidR="003433D1" w:rsidRPr="00D73646">
        <w:rPr>
          <w:sz w:val="28"/>
          <w:szCs w:val="28"/>
        </w:rPr>
        <w:t>Requests for Public Funding</w:t>
      </w:r>
      <w:r w:rsidR="008B2610" w:rsidRPr="00D73646">
        <w:rPr>
          <w:sz w:val="28"/>
          <w:szCs w:val="28"/>
        </w:rPr>
        <w:t>)</w:t>
      </w:r>
    </w:p>
    <w:p w:rsidR="00EB0182" w:rsidRDefault="003013A9" w:rsidP="001F2F80">
      <w:pPr>
        <w:spacing w:before="0"/>
        <w:jc w:val="center"/>
        <w:rPr>
          <w:rFonts w:ascii="Arial" w:hAnsi="Arial" w:cs="Arial"/>
          <w:b/>
          <w:sz w:val="52"/>
          <w:szCs w:val="52"/>
        </w:rPr>
      </w:pPr>
      <w:r w:rsidRPr="00D73646">
        <w:rPr>
          <w:sz w:val="28"/>
          <w:szCs w:val="28"/>
        </w:rPr>
        <w:t xml:space="preserve">(Version </w:t>
      </w:r>
      <w:r w:rsidR="0005089D">
        <w:rPr>
          <w:sz w:val="28"/>
          <w:szCs w:val="28"/>
        </w:rPr>
        <w:t>2.</w:t>
      </w:r>
      <w:r w:rsidR="00FF1A00">
        <w:rPr>
          <w:sz w:val="28"/>
          <w:szCs w:val="28"/>
        </w:rPr>
        <w:t>5</w:t>
      </w:r>
      <w:r w:rsidR="00EB0182">
        <w:rPr>
          <w:sz w:val="28"/>
          <w:szCs w:val="28"/>
        </w:rPr>
        <w:t>)</w:t>
      </w:r>
    </w:p>
    <w:p w:rsidR="00E44B80" w:rsidRPr="00154B00" w:rsidRDefault="00300EEB" w:rsidP="001F2F80">
      <w:pPr>
        <w:spacing w:before="0"/>
      </w:pPr>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rsidR="008B2610" w:rsidRDefault="008B2610" w:rsidP="001F2F80">
      <w:pPr>
        <w:spacing w:before="0"/>
      </w:pPr>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rsidR="00EB0182" w:rsidRDefault="00EB0182" w:rsidP="001F2F80">
      <w:pPr>
        <w:spacing w:before="0"/>
        <w:jc w:val="both"/>
        <w:rPr>
          <w:szCs w:val="20"/>
        </w:rPr>
      </w:pPr>
      <w:r>
        <w:rPr>
          <w:szCs w:val="20"/>
        </w:rPr>
        <w:t xml:space="preserve">The application form will be disseminated to professional bodies / organisations and consumer organisations that have </w:t>
      </w:r>
      <w:r w:rsidR="004A68EF">
        <w:rPr>
          <w:szCs w:val="20"/>
        </w:rPr>
        <w:t xml:space="preserve">will </w:t>
      </w:r>
      <w:r>
        <w:rPr>
          <w:szCs w:val="20"/>
        </w:rPr>
        <w:t xml:space="preserve">be identified in Part 5, and any additional groups that the Department </w:t>
      </w:r>
      <w:r w:rsidR="004A68EF">
        <w:rPr>
          <w:szCs w:val="20"/>
        </w:rPr>
        <w:t>deem</w:t>
      </w:r>
      <w:r>
        <w:rPr>
          <w:szCs w:val="20"/>
        </w:rPr>
        <w:t xml:space="preserve"> should be consulted with.</w:t>
      </w:r>
      <w:r w:rsidR="004A68EF">
        <w:rPr>
          <w:szCs w:val="20"/>
        </w:rPr>
        <w:t xml:space="preserve">  </w:t>
      </w:r>
      <w:r>
        <w:rPr>
          <w:szCs w:val="20"/>
        </w:rPr>
        <w:t>The application form, with relevant material can be redacted if requested by the Applicant.</w:t>
      </w:r>
    </w:p>
    <w:p w:rsidR="008B2610" w:rsidRPr="00154B00" w:rsidRDefault="009F5758" w:rsidP="001F2F80">
      <w:pPr>
        <w:spacing w:before="0"/>
      </w:pPr>
      <w:r w:rsidRPr="00154B00">
        <w:t>Should you require any further assistance, d</w:t>
      </w:r>
      <w:r w:rsidR="008B2610" w:rsidRPr="00154B00">
        <w:t>epartmental staff are available through the contact numbers and email below to discuss</w:t>
      </w:r>
      <w:r w:rsidRPr="00154B00">
        <w:t xml:space="preserve"> the application form, or any other component of the Medical Services Advisory Committee process.</w:t>
      </w:r>
    </w:p>
    <w:p w:rsidR="008B2610" w:rsidRPr="00154B00" w:rsidRDefault="009F5758" w:rsidP="001F2F80">
      <w:pPr>
        <w:spacing w:before="0"/>
      </w:pPr>
      <w:r w:rsidRPr="00154B00">
        <w:t>Phone:  +61 2 6289 7550</w:t>
      </w:r>
    </w:p>
    <w:p w:rsidR="009F5758" w:rsidRPr="00154B00" w:rsidRDefault="009F5758" w:rsidP="001F2F80">
      <w:pPr>
        <w:spacing w:before="0"/>
      </w:pPr>
      <w:r w:rsidRPr="00154B00">
        <w:t>Fax:  +61 2 6289 5540</w:t>
      </w:r>
    </w:p>
    <w:p w:rsidR="009F5758" w:rsidRPr="00154B00" w:rsidRDefault="009F5758" w:rsidP="001F2F80">
      <w:pPr>
        <w:spacing w:before="0"/>
      </w:pPr>
      <w:r w:rsidRPr="00154B00">
        <w:t xml:space="preserve">Email:  </w:t>
      </w:r>
      <w:hyperlink r:id="rId10" w:tooltip="click here to email the Department of Health HTA Team" w:history="1">
        <w:r w:rsidRPr="00154B00">
          <w:rPr>
            <w:rStyle w:val="Hyperlink"/>
            <w:szCs w:val="20"/>
          </w:rPr>
          <w:t>hta@health.gov.au</w:t>
        </w:r>
      </w:hyperlink>
    </w:p>
    <w:p w:rsidR="009F5758" w:rsidRPr="00154B00" w:rsidRDefault="009F5758" w:rsidP="001F2F80">
      <w:pPr>
        <w:spacing w:before="0"/>
      </w:pPr>
      <w:r w:rsidRPr="00154B00">
        <w:t xml:space="preserve">Website:  </w:t>
      </w:r>
      <w:hyperlink r:id="rId11"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rsidR="001D77ED" w:rsidRPr="003F7CB9" w:rsidRDefault="00D73646" w:rsidP="001F2F80">
      <w:pPr>
        <w:spacing w:before="0"/>
      </w:pPr>
      <w:bookmarkStart w:id="0" w:name="_Toc443555803"/>
      <w:r>
        <w:rPr>
          <w:rStyle w:val="IntenseReference"/>
        </w:rPr>
        <w:br w:type="page"/>
      </w:r>
      <w:bookmarkEnd w:id="0"/>
    </w:p>
    <w:p w:rsidR="00E04FB3" w:rsidRPr="00C776B1" w:rsidRDefault="00494011" w:rsidP="001F2F80">
      <w:pPr>
        <w:pStyle w:val="Heading1"/>
        <w:spacing w:after="120" w:line="240" w:lineRule="auto"/>
      </w:pPr>
      <w:r>
        <w:lastRenderedPageBreak/>
        <w:t>PART 1</w:t>
      </w:r>
      <w:r w:rsidR="00F93784">
        <w:t xml:space="preserve"> – </w:t>
      </w:r>
      <w:r w:rsidR="00E04FB3" w:rsidRPr="00C776B1">
        <w:t>APPLICANT DETAILS</w:t>
      </w:r>
    </w:p>
    <w:p w:rsidR="00392F00" w:rsidRDefault="00D57F88" w:rsidP="001F2F80">
      <w:pPr>
        <w:pStyle w:val="Heading2"/>
        <w:spacing w:before="0"/>
      </w:pPr>
      <w:r w:rsidRPr="00A8732C">
        <w:t>Applicant d</w:t>
      </w:r>
      <w:r w:rsidR="00392F00" w:rsidRPr="00A8732C">
        <w:t>etails</w:t>
      </w:r>
      <w:r w:rsidR="000D066E" w:rsidRPr="00A8732C">
        <w:t xml:space="preserve"> (primary and alternative contacts)</w:t>
      </w:r>
    </w:p>
    <w:p w:rsidR="00C171FB" w:rsidRDefault="00C171FB" w:rsidP="001F2F80">
      <w:pPr>
        <w:pBdr>
          <w:top w:val="single" w:sz="4" w:space="1" w:color="auto"/>
          <w:left w:val="single" w:sz="4" w:space="4" w:color="auto"/>
          <w:bottom w:val="single" w:sz="4" w:space="1" w:color="auto"/>
          <w:right w:val="single" w:sz="4" w:space="4" w:color="auto"/>
        </w:pBdr>
        <w:spacing w:before="0"/>
      </w:pPr>
      <w:r>
        <w:t xml:space="preserve">Corporation / partnership details (where relevant): </w:t>
      </w:r>
      <w:r w:rsidR="00070866">
        <w:rPr>
          <w:szCs w:val="20"/>
        </w:rPr>
        <w:t>Merck Sharp &amp; Dohme</w:t>
      </w:r>
    </w:p>
    <w:p w:rsidR="00C171FB" w:rsidRDefault="00C171FB" w:rsidP="001F2F80">
      <w:pPr>
        <w:pBdr>
          <w:top w:val="single" w:sz="4" w:space="1" w:color="auto"/>
          <w:left w:val="single" w:sz="4" w:space="4" w:color="auto"/>
          <w:bottom w:val="single" w:sz="4" w:space="1" w:color="auto"/>
          <w:right w:val="single" w:sz="4" w:space="4" w:color="auto"/>
        </w:pBdr>
        <w:spacing w:before="0"/>
      </w:pPr>
      <w:r>
        <w:t xml:space="preserve">Corporation name: </w:t>
      </w:r>
      <w:r w:rsidR="00070866" w:rsidRPr="00070866">
        <w:rPr>
          <w:b/>
        </w:rPr>
        <w:t>redacted</w:t>
      </w:r>
    </w:p>
    <w:p w:rsidR="00C171FB" w:rsidRDefault="00C171FB" w:rsidP="001F2F80">
      <w:pPr>
        <w:pBdr>
          <w:top w:val="single" w:sz="4" w:space="1" w:color="auto"/>
          <w:left w:val="single" w:sz="4" w:space="4" w:color="auto"/>
          <w:bottom w:val="single" w:sz="4" w:space="1" w:color="auto"/>
          <w:right w:val="single" w:sz="4" w:space="4" w:color="auto"/>
        </w:pBdr>
        <w:spacing w:before="0"/>
      </w:pPr>
      <w:r>
        <w:t xml:space="preserve">ABN: </w:t>
      </w:r>
      <w:r w:rsidR="00070866" w:rsidRPr="00070866">
        <w:rPr>
          <w:b/>
        </w:rPr>
        <w:t>redacted</w:t>
      </w:r>
    </w:p>
    <w:p w:rsidR="00C171FB" w:rsidRPr="00C171FB" w:rsidRDefault="00C171FB" w:rsidP="00365551">
      <w:pPr>
        <w:pBdr>
          <w:top w:val="single" w:sz="4" w:space="1" w:color="auto"/>
          <w:left w:val="single" w:sz="4" w:space="4" w:color="auto"/>
          <w:bottom w:val="single" w:sz="4" w:space="1" w:color="auto"/>
          <w:right w:val="single" w:sz="4" w:space="4" w:color="auto"/>
        </w:pBdr>
        <w:spacing w:before="0"/>
      </w:pPr>
      <w:r>
        <w:t xml:space="preserve">Business trading name: </w:t>
      </w:r>
      <w:r w:rsidR="00070866" w:rsidRPr="00070866">
        <w:rPr>
          <w:b/>
        </w:rPr>
        <w:t>redacted</w:t>
      </w:r>
    </w:p>
    <w:p w:rsidR="00C171FB" w:rsidRPr="00C171FB" w:rsidRDefault="00C171FB" w:rsidP="001F2F80">
      <w:pPr>
        <w:spacing w:before="0"/>
        <w:rPr>
          <w:b/>
        </w:rPr>
      </w:pPr>
      <w:r>
        <w:rPr>
          <w:b/>
        </w:rPr>
        <w:t xml:space="preserve">Primary contact name: </w:t>
      </w:r>
      <w:r w:rsidR="00070866" w:rsidRPr="00070866">
        <w:rPr>
          <w:b/>
        </w:rPr>
        <w:t>redacted</w:t>
      </w:r>
    </w:p>
    <w:p w:rsidR="00C171FB" w:rsidRDefault="00C171FB" w:rsidP="001F2F80">
      <w:pPr>
        <w:pBdr>
          <w:top w:val="single" w:sz="4" w:space="1" w:color="auto"/>
          <w:left w:val="single" w:sz="4" w:space="4" w:color="auto"/>
          <w:bottom w:val="single" w:sz="4" w:space="1" w:color="auto"/>
          <w:right w:val="single" w:sz="4" w:space="4" w:color="auto"/>
        </w:pBdr>
        <w:spacing w:before="0"/>
      </w:pPr>
      <w:r>
        <w:t>Primary contact numbers</w:t>
      </w:r>
    </w:p>
    <w:p w:rsidR="00C171FB" w:rsidRDefault="00C171FB" w:rsidP="001F2F80">
      <w:pPr>
        <w:pBdr>
          <w:top w:val="single" w:sz="4" w:space="1" w:color="auto"/>
          <w:left w:val="single" w:sz="4" w:space="4" w:color="auto"/>
          <w:bottom w:val="single" w:sz="4" w:space="1" w:color="auto"/>
          <w:right w:val="single" w:sz="4" w:space="4" w:color="auto"/>
        </w:pBdr>
        <w:spacing w:before="0"/>
      </w:pPr>
      <w:r>
        <w:t xml:space="preserve">Business: </w:t>
      </w:r>
      <w:r w:rsidR="00070866" w:rsidRPr="00070866">
        <w:rPr>
          <w:b/>
        </w:rPr>
        <w:t>redacted</w:t>
      </w:r>
    </w:p>
    <w:p w:rsidR="00C171FB" w:rsidRDefault="00C171FB" w:rsidP="001F2F80">
      <w:pPr>
        <w:pBdr>
          <w:top w:val="single" w:sz="4" w:space="1" w:color="auto"/>
          <w:left w:val="single" w:sz="4" w:space="4" w:color="auto"/>
          <w:bottom w:val="single" w:sz="4" w:space="1" w:color="auto"/>
          <w:right w:val="single" w:sz="4" w:space="4" w:color="auto"/>
        </w:pBdr>
        <w:spacing w:before="0"/>
      </w:pPr>
      <w:r>
        <w:t>Mobile:</w:t>
      </w:r>
      <w:r>
        <w:tab/>
      </w:r>
      <w:r w:rsidR="00070866" w:rsidRPr="00070866">
        <w:rPr>
          <w:b/>
        </w:rPr>
        <w:t>redacted</w:t>
      </w:r>
    </w:p>
    <w:p w:rsidR="00C171FB" w:rsidRDefault="00C171FB" w:rsidP="001F2F80">
      <w:pPr>
        <w:pBdr>
          <w:top w:val="single" w:sz="4" w:space="1" w:color="auto"/>
          <w:left w:val="single" w:sz="4" w:space="4" w:color="auto"/>
          <w:bottom w:val="single" w:sz="4" w:space="1" w:color="auto"/>
          <w:right w:val="single" w:sz="4" w:space="4" w:color="auto"/>
        </w:pBdr>
        <w:spacing w:before="0"/>
        <w:rPr>
          <w:b/>
        </w:rPr>
      </w:pPr>
      <w:r>
        <w:t xml:space="preserve">Email: </w:t>
      </w:r>
      <w:r w:rsidR="00070866" w:rsidRPr="00070866">
        <w:rPr>
          <w:b/>
        </w:rPr>
        <w:t>redacted</w:t>
      </w:r>
    </w:p>
    <w:p w:rsidR="00C171FB" w:rsidRPr="00C171FB" w:rsidRDefault="00C171FB" w:rsidP="001F2F80">
      <w:pPr>
        <w:spacing w:before="0"/>
        <w:rPr>
          <w:b/>
        </w:rPr>
      </w:pPr>
      <w:r>
        <w:rPr>
          <w:b/>
        </w:rPr>
        <w:t xml:space="preserve">Alternative contact name: </w:t>
      </w:r>
      <w:r w:rsidR="00070866" w:rsidRPr="00070866">
        <w:rPr>
          <w:b/>
        </w:rPr>
        <w:t>redacted</w:t>
      </w:r>
    </w:p>
    <w:p w:rsidR="00C171FB" w:rsidRDefault="00C171FB" w:rsidP="001F2F80">
      <w:pPr>
        <w:pBdr>
          <w:top w:val="single" w:sz="4" w:space="1" w:color="auto"/>
          <w:left w:val="single" w:sz="4" w:space="4" w:color="auto"/>
          <w:bottom w:val="single" w:sz="4" w:space="1" w:color="auto"/>
          <w:right w:val="single" w:sz="4" w:space="4" w:color="auto"/>
        </w:pBdr>
        <w:spacing w:before="0"/>
      </w:pPr>
      <w:r>
        <w:t>Alternative contact numbers</w:t>
      </w:r>
      <w:r>
        <w:tab/>
      </w:r>
    </w:p>
    <w:p w:rsidR="00C171FB" w:rsidRDefault="00C171FB" w:rsidP="001F2F80">
      <w:pPr>
        <w:pBdr>
          <w:top w:val="single" w:sz="4" w:space="1" w:color="auto"/>
          <w:left w:val="single" w:sz="4" w:space="4" w:color="auto"/>
          <w:bottom w:val="single" w:sz="4" w:space="1" w:color="auto"/>
          <w:right w:val="single" w:sz="4" w:space="4" w:color="auto"/>
        </w:pBdr>
        <w:spacing w:before="0"/>
      </w:pPr>
      <w:r>
        <w:t xml:space="preserve">Business: </w:t>
      </w:r>
      <w:r w:rsidR="00070866" w:rsidRPr="00070866">
        <w:rPr>
          <w:b/>
        </w:rPr>
        <w:t>redacted</w:t>
      </w:r>
    </w:p>
    <w:p w:rsidR="00C171FB" w:rsidRDefault="00C171FB" w:rsidP="001F2F80">
      <w:pPr>
        <w:pBdr>
          <w:top w:val="single" w:sz="4" w:space="1" w:color="auto"/>
          <w:left w:val="single" w:sz="4" w:space="4" w:color="auto"/>
          <w:bottom w:val="single" w:sz="4" w:space="1" w:color="auto"/>
          <w:right w:val="single" w:sz="4" w:space="4" w:color="auto"/>
        </w:pBdr>
        <w:spacing w:before="0"/>
      </w:pPr>
      <w:r>
        <w:t xml:space="preserve">Mobile: </w:t>
      </w:r>
      <w:r w:rsidR="00070866" w:rsidRPr="00070866">
        <w:rPr>
          <w:b/>
        </w:rPr>
        <w:t>redacted</w:t>
      </w:r>
    </w:p>
    <w:p w:rsidR="00C171FB" w:rsidRDefault="00C171FB" w:rsidP="001F2F80">
      <w:pPr>
        <w:pBdr>
          <w:top w:val="single" w:sz="4" w:space="1" w:color="auto"/>
          <w:left w:val="single" w:sz="4" w:space="4" w:color="auto"/>
          <w:bottom w:val="single" w:sz="4" w:space="1" w:color="auto"/>
          <w:right w:val="single" w:sz="4" w:space="4" w:color="auto"/>
        </w:pBdr>
        <w:spacing w:before="0"/>
      </w:pPr>
      <w:r>
        <w:t xml:space="preserve">Email: </w:t>
      </w:r>
      <w:r w:rsidR="00070866" w:rsidRPr="00070866">
        <w:rPr>
          <w:b/>
        </w:rPr>
        <w:t>redacted</w:t>
      </w:r>
    </w:p>
    <w:p w:rsidR="00F34AEC" w:rsidRPr="00154B00" w:rsidRDefault="00F34AEC" w:rsidP="001F2F80">
      <w:pPr>
        <w:pStyle w:val="Heading2"/>
        <w:spacing w:before="0"/>
      </w:pPr>
      <w:r>
        <w:t>(a) Are you a consultant acting on behalf of an Applicant?</w:t>
      </w:r>
    </w:p>
    <w:p w:rsidR="00F34AEC" w:rsidRDefault="00F34AEC" w:rsidP="001F2F80">
      <w:pPr>
        <w:spacing w:before="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625EC9">
        <w:rPr>
          <w:szCs w:val="20"/>
        </w:rPr>
      </w:r>
      <w:r w:rsidR="00625EC9">
        <w:rPr>
          <w:szCs w:val="20"/>
        </w:rPr>
        <w:fldChar w:fldCharType="separate"/>
      </w:r>
      <w:r w:rsidRPr="00753C44">
        <w:rPr>
          <w:szCs w:val="20"/>
        </w:rPr>
        <w:fldChar w:fldCharType="end"/>
      </w:r>
      <w:r>
        <w:rPr>
          <w:szCs w:val="20"/>
        </w:rPr>
        <w:t xml:space="preserve"> Yes</w:t>
      </w:r>
    </w:p>
    <w:p w:rsidR="00F34AEC" w:rsidRPr="00070866" w:rsidRDefault="00070866" w:rsidP="001F2F80">
      <w:pPr>
        <w:spacing w:before="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625EC9">
        <w:rPr>
          <w:szCs w:val="20"/>
        </w:rPr>
      </w:r>
      <w:r w:rsidR="00625EC9">
        <w:rPr>
          <w:szCs w:val="20"/>
        </w:rPr>
        <w:fldChar w:fldCharType="separate"/>
      </w:r>
      <w:r>
        <w:rPr>
          <w:szCs w:val="20"/>
        </w:rPr>
        <w:fldChar w:fldCharType="end"/>
      </w:r>
      <w:bookmarkEnd w:id="1"/>
      <w:r w:rsidR="00F34AEC">
        <w:rPr>
          <w:szCs w:val="20"/>
        </w:rPr>
        <w:t xml:space="preserve"> No</w:t>
      </w:r>
      <w:r w:rsidR="00352047">
        <w:rPr>
          <w:szCs w:val="20"/>
        </w:rPr>
        <w:t xml:space="preserve"> </w:t>
      </w:r>
    </w:p>
    <w:p w:rsidR="00F34AEC" w:rsidRPr="002F55EF" w:rsidRDefault="00F34AEC" w:rsidP="001F2F80">
      <w:pPr>
        <w:spacing w:before="0"/>
        <w:ind w:firstLine="360"/>
        <w:rPr>
          <w:b/>
        </w:rPr>
      </w:pPr>
      <w:r w:rsidRPr="002F55EF">
        <w:rPr>
          <w:b/>
        </w:rPr>
        <w:t>(b) If yes, what is the Applicant(s) name that you are acting on behalf of?</w:t>
      </w:r>
    </w:p>
    <w:p w:rsidR="00F34AEC" w:rsidRPr="00CB12EC" w:rsidRDefault="00F34AEC" w:rsidP="001F2F80">
      <w:pPr>
        <w:spacing w:before="0"/>
        <w:ind w:left="284"/>
        <w:rPr>
          <w:noProof/>
        </w:rPr>
      </w:pPr>
      <w:r>
        <w:rPr>
          <w:noProof/>
        </w:rPr>
        <w:t>Insert relevant Applicant(s) name here.</w:t>
      </w:r>
    </w:p>
    <w:p w:rsidR="00534C5F" w:rsidRPr="00154B00" w:rsidRDefault="00070866" w:rsidP="001F2F80">
      <w:pPr>
        <w:pStyle w:val="Heading2"/>
        <w:spacing w:before="0"/>
      </w:pPr>
      <w:r>
        <w:t xml:space="preserve"> </w:t>
      </w:r>
      <w:r w:rsidR="00494011">
        <w:t xml:space="preserve">(a) </w:t>
      </w:r>
      <w:r w:rsidR="00534C5F">
        <w:t>Are you a lobbyist acting on behalf of an Applicant?</w:t>
      </w:r>
    </w:p>
    <w:p w:rsidR="00A6491A" w:rsidRDefault="00A6491A" w:rsidP="001F2F80">
      <w:pPr>
        <w:spacing w:before="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625EC9">
        <w:rPr>
          <w:szCs w:val="20"/>
        </w:rPr>
      </w:r>
      <w:r w:rsidR="00625EC9">
        <w:rPr>
          <w:szCs w:val="20"/>
        </w:rPr>
        <w:fldChar w:fldCharType="separate"/>
      </w:r>
      <w:r w:rsidRPr="00753C44">
        <w:rPr>
          <w:szCs w:val="20"/>
        </w:rPr>
        <w:fldChar w:fldCharType="end"/>
      </w:r>
      <w:r>
        <w:rPr>
          <w:szCs w:val="20"/>
        </w:rPr>
        <w:t xml:space="preserve"> Yes</w:t>
      </w:r>
    </w:p>
    <w:p w:rsidR="00A6491A" w:rsidRPr="00753C44" w:rsidRDefault="00A6491A" w:rsidP="001F2F80">
      <w:pPr>
        <w:spacing w:before="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625EC9">
        <w:rPr>
          <w:szCs w:val="20"/>
        </w:rPr>
      </w:r>
      <w:r w:rsidR="00625EC9">
        <w:rPr>
          <w:szCs w:val="20"/>
        </w:rPr>
        <w:fldChar w:fldCharType="separate"/>
      </w:r>
      <w:r w:rsidRPr="00753C44">
        <w:rPr>
          <w:szCs w:val="20"/>
        </w:rPr>
        <w:fldChar w:fldCharType="end"/>
      </w:r>
      <w:r>
        <w:rPr>
          <w:szCs w:val="20"/>
        </w:rPr>
        <w:t xml:space="preserve"> No</w:t>
      </w:r>
      <w:r w:rsidRPr="00753C44">
        <w:rPr>
          <w:szCs w:val="20"/>
        </w:rPr>
        <w:t xml:space="preserve">  </w:t>
      </w:r>
    </w:p>
    <w:p w:rsidR="00534C5F" w:rsidRPr="00154B00" w:rsidRDefault="00534C5F" w:rsidP="001F2F80">
      <w:pPr>
        <w:pStyle w:val="Heading2"/>
        <w:numPr>
          <w:ilvl w:val="0"/>
          <w:numId w:val="23"/>
        </w:numPr>
        <w:spacing w:before="0"/>
      </w:pPr>
      <w:r w:rsidRPr="00154B00">
        <w:t xml:space="preserve">If yes, </w:t>
      </w:r>
      <w:r>
        <w:t xml:space="preserve">are </w:t>
      </w:r>
      <w:r w:rsidRPr="00FE33A6">
        <w:t>you</w:t>
      </w:r>
      <w:r>
        <w:t xml:space="preserve"> listed on the Register of Lobbyists?</w:t>
      </w:r>
    </w:p>
    <w:p w:rsidR="00A6491A" w:rsidRDefault="00A6491A" w:rsidP="001F2F80">
      <w:pPr>
        <w:spacing w:before="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625EC9">
        <w:rPr>
          <w:szCs w:val="20"/>
        </w:rPr>
      </w:r>
      <w:r w:rsidR="00625EC9">
        <w:rPr>
          <w:szCs w:val="20"/>
        </w:rPr>
        <w:fldChar w:fldCharType="separate"/>
      </w:r>
      <w:r w:rsidRPr="00753C44">
        <w:rPr>
          <w:szCs w:val="20"/>
        </w:rPr>
        <w:fldChar w:fldCharType="end"/>
      </w:r>
      <w:r>
        <w:rPr>
          <w:szCs w:val="20"/>
        </w:rPr>
        <w:t xml:space="preserve"> Yes</w:t>
      </w:r>
    </w:p>
    <w:p w:rsidR="00A6491A" w:rsidRPr="00753C44" w:rsidRDefault="00A6491A" w:rsidP="001F2F80">
      <w:pPr>
        <w:spacing w:before="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625EC9">
        <w:rPr>
          <w:szCs w:val="20"/>
        </w:rPr>
      </w:r>
      <w:r w:rsidR="00625EC9">
        <w:rPr>
          <w:szCs w:val="20"/>
        </w:rPr>
        <w:fldChar w:fldCharType="separate"/>
      </w:r>
      <w:r w:rsidRPr="00753C44">
        <w:rPr>
          <w:szCs w:val="20"/>
        </w:rPr>
        <w:fldChar w:fldCharType="end"/>
      </w:r>
      <w:r>
        <w:rPr>
          <w:szCs w:val="20"/>
        </w:rPr>
        <w:t xml:space="preserve"> No</w:t>
      </w:r>
      <w:r w:rsidRPr="00753C44">
        <w:rPr>
          <w:szCs w:val="20"/>
        </w:rPr>
        <w:t xml:space="preserve">  </w:t>
      </w:r>
    </w:p>
    <w:p w:rsidR="00E04FB3" w:rsidRDefault="00E04FB3" w:rsidP="001F2F80">
      <w:pPr>
        <w:spacing w:before="0"/>
        <w:ind w:left="426"/>
        <w:rPr>
          <w:b/>
          <w:szCs w:val="20"/>
        </w:rPr>
      </w:pPr>
      <w:r w:rsidRPr="00154B00">
        <w:rPr>
          <w:b/>
          <w:szCs w:val="20"/>
        </w:rPr>
        <w:br w:type="page"/>
      </w:r>
    </w:p>
    <w:p w:rsidR="00D57F88" w:rsidRPr="00C776B1" w:rsidRDefault="00730C04" w:rsidP="001F2F80">
      <w:pPr>
        <w:pStyle w:val="Heading1"/>
        <w:spacing w:after="120" w:line="240" w:lineRule="auto"/>
      </w:pPr>
      <w:r>
        <w:lastRenderedPageBreak/>
        <w:t>PART 2</w:t>
      </w:r>
      <w:r w:rsidR="00F93784">
        <w:t xml:space="preserve"> – </w:t>
      </w:r>
      <w:r w:rsidR="00E04FB3" w:rsidRPr="00C776B1">
        <w:t>INFORMATION ABOUT THE PROPOSED MEDICAL SERVICE</w:t>
      </w:r>
    </w:p>
    <w:p w:rsidR="000B3CD0" w:rsidRDefault="000B3CD0" w:rsidP="001F2F80">
      <w:pPr>
        <w:pStyle w:val="Heading2"/>
        <w:spacing w:before="0"/>
      </w:pPr>
      <w:r w:rsidRPr="00154B00">
        <w:t>Application title</w:t>
      </w:r>
      <w:r w:rsidR="00A8732C">
        <w:t xml:space="preserve"> </w:t>
      </w:r>
    </w:p>
    <w:p w:rsidR="009056C5" w:rsidRPr="009056C5" w:rsidRDefault="00070866" w:rsidP="001F2F80">
      <w:pPr>
        <w:spacing w:before="0"/>
        <w:ind w:left="284"/>
      </w:pPr>
      <w:r w:rsidRPr="00875C6D">
        <w:rPr>
          <w:szCs w:val="20"/>
        </w:rPr>
        <w:t xml:space="preserve">PD-L1 testing for access to pembrolizumab in </w:t>
      </w:r>
      <w:r>
        <w:rPr>
          <w:szCs w:val="20"/>
        </w:rPr>
        <w:t>patients with unresectable mesothelioma</w:t>
      </w:r>
    </w:p>
    <w:p w:rsidR="009B4E1E" w:rsidRDefault="009B4E1E" w:rsidP="001F2F80">
      <w:pPr>
        <w:pStyle w:val="Heading2"/>
        <w:spacing w:before="0"/>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rsidR="002C3345" w:rsidRPr="009056C5" w:rsidRDefault="00C34956" w:rsidP="001F2F80">
      <w:pPr>
        <w:spacing w:before="0"/>
        <w:ind w:left="284"/>
      </w:pPr>
      <w:r>
        <w:rPr>
          <w:szCs w:val="20"/>
        </w:rPr>
        <w:t>Unresectable mesothelioma</w:t>
      </w:r>
    </w:p>
    <w:p w:rsidR="000955E7" w:rsidRDefault="000955E7" w:rsidP="001F2F80">
      <w:pPr>
        <w:pStyle w:val="Heading2"/>
        <w:spacing w:before="0"/>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rsidR="00CB12EC" w:rsidRPr="00CB12EC" w:rsidRDefault="00C34956" w:rsidP="001F2F80">
      <w:pPr>
        <w:spacing w:before="0"/>
        <w:ind w:left="284"/>
      </w:pPr>
      <w:r w:rsidRPr="00875C6D">
        <w:rPr>
          <w:szCs w:val="20"/>
        </w:rPr>
        <w:t>ImmunoHistoChemistry (IHC) test for evaluation of Programmed Cell Death Ligand 1 (PD-L1) expression to determine eligibility for treatment with pembrolizumab</w:t>
      </w:r>
    </w:p>
    <w:p w:rsidR="00D11EB1" w:rsidRPr="0011036E" w:rsidRDefault="00730C04" w:rsidP="001F2F80">
      <w:pPr>
        <w:pStyle w:val="Heading2"/>
        <w:spacing w:before="0"/>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rsidR="00753C44" w:rsidRDefault="00C34956" w:rsidP="001F2F80">
      <w:pPr>
        <w:spacing w:before="0"/>
        <w:ind w:left="284"/>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625EC9">
        <w:rPr>
          <w:szCs w:val="20"/>
        </w:rPr>
      </w:r>
      <w:r w:rsidR="00625EC9">
        <w:rPr>
          <w:szCs w:val="20"/>
        </w:rPr>
        <w:fldChar w:fldCharType="separate"/>
      </w:r>
      <w:r>
        <w:rPr>
          <w:szCs w:val="20"/>
        </w:rPr>
        <w:fldChar w:fldCharType="end"/>
      </w:r>
      <w:bookmarkEnd w:id="2"/>
      <w:r w:rsidR="006B6390">
        <w:rPr>
          <w:szCs w:val="20"/>
        </w:rPr>
        <w:t xml:space="preserve"> Yes</w:t>
      </w:r>
    </w:p>
    <w:p w:rsidR="00753C44" w:rsidRPr="00753C44" w:rsidRDefault="006B6390" w:rsidP="001F2F80">
      <w:pPr>
        <w:spacing w:before="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625EC9">
        <w:rPr>
          <w:szCs w:val="20"/>
        </w:rPr>
      </w:r>
      <w:r w:rsidR="00625EC9">
        <w:rPr>
          <w:szCs w:val="20"/>
        </w:rPr>
        <w:fldChar w:fldCharType="separate"/>
      </w:r>
      <w:r w:rsidRPr="00753C44">
        <w:rPr>
          <w:szCs w:val="20"/>
        </w:rPr>
        <w:fldChar w:fldCharType="end"/>
      </w:r>
      <w:r>
        <w:rPr>
          <w:szCs w:val="20"/>
        </w:rPr>
        <w:t xml:space="preserve"> No</w:t>
      </w:r>
      <w:r w:rsidR="00753C44" w:rsidRPr="00753C44">
        <w:rPr>
          <w:szCs w:val="20"/>
        </w:rPr>
        <w:t xml:space="preserve">  </w:t>
      </w:r>
    </w:p>
    <w:p w:rsidR="000B3CD0" w:rsidRPr="0011036E" w:rsidRDefault="000B3CD0" w:rsidP="001F2F80">
      <w:pPr>
        <w:pStyle w:val="Heading2"/>
        <w:numPr>
          <w:ilvl w:val="0"/>
          <w:numId w:val="24"/>
        </w:numPr>
        <w:spacing w:before="0"/>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rsidR="00753C44" w:rsidRDefault="006B6390" w:rsidP="001F2F80">
      <w:pPr>
        <w:spacing w:before="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625EC9">
        <w:rPr>
          <w:szCs w:val="20"/>
        </w:rPr>
      </w:r>
      <w:r w:rsidR="00625EC9">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rsidR="00753C44" w:rsidRPr="00753C44" w:rsidRDefault="00C34956" w:rsidP="001F2F80">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25EC9">
        <w:rPr>
          <w:szCs w:val="20"/>
        </w:rPr>
      </w:r>
      <w:r w:rsidR="00625EC9">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rsidR="000B3CD0" w:rsidRPr="0011036E" w:rsidRDefault="000B3CD0" w:rsidP="001F2F80">
      <w:pPr>
        <w:pStyle w:val="Heading2"/>
        <w:numPr>
          <w:ilvl w:val="0"/>
          <w:numId w:val="24"/>
        </w:numPr>
        <w:spacing w:before="0"/>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rsidR="003D795C" w:rsidRPr="00CB12EC" w:rsidRDefault="003D795C" w:rsidP="001F2F80">
      <w:pPr>
        <w:spacing w:before="0"/>
        <w:ind w:left="284"/>
      </w:pPr>
      <w:r>
        <w:fldChar w:fldCharType="begin">
          <w:ffData>
            <w:name w:val=""/>
            <w:enabled/>
            <w:calcOnExit w:val="0"/>
            <w:textInput>
              <w:default w:val="Insert relevant MBS item numbers here"/>
            </w:textInput>
          </w:ffData>
        </w:fldChar>
      </w:r>
      <w:r>
        <w:instrText xml:space="preserve"> FORMTEXT </w:instrText>
      </w:r>
      <w:r>
        <w:fldChar w:fldCharType="separate"/>
      </w:r>
      <w:r>
        <w:rPr>
          <w:noProof/>
        </w:rPr>
        <w:t>Insert relevant MBS item numbers here</w:t>
      </w:r>
      <w:r>
        <w:fldChar w:fldCharType="end"/>
      </w:r>
    </w:p>
    <w:p w:rsidR="006C0843" w:rsidRPr="0011036E" w:rsidRDefault="006C0843" w:rsidP="001F2F80">
      <w:pPr>
        <w:pStyle w:val="Heading2"/>
        <w:numPr>
          <w:ilvl w:val="0"/>
          <w:numId w:val="24"/>
        </w:numPr>
        <w:spacing w:before="0"/>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rsidR="002A270B" w:rsidRPr="004A263B" w:rsidRDefault="002A270B" w:rsidP="001F2F80">
      <w:pPr>
        <w:pStyle w:val="ListParagraph"/>
        <w:numPr>
          <w:ilvl w:val="0"/>
          <w:numId w:val="34"/>
        </w:numPr>
        <w:spacing w:before="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25EC9">
        <w:rPr>
          <w:b/>
          <w:szCs w:val="20"/>
        </w:rPr>
      </w:r>
      <w:r w:rsidR="00625EC9">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rsidR="002A270B" w:rsidRPr="004A263B" w:rsidRDefault="002A270B" w:rsidP="001F2F80">
      <w:pPr>
        <w:pStyle w:val="ListParagraph"/>
        <w:numPr>
          <w:ilvl w:val="0"/>
          <w:numId w:val="34"/>
        </w:numPr>
        <w:spacing w:before="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25EC9">
        <w:rPr>
          <w:b/>
          <w:szCs w:val="20"/>
        </w:rPr>
      </w:r>
      <w:r w:rsidR="00625EC9">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rsidR="002A270B" w:rsidRPr="004A263B" w:rsidRDefault="002A270B" w:rsidP="001F2F80">
      <w:pPr>
        <w:pStyle w:val="ListParagraph"/>
        <w:numPr>
          <w:ilvl w:val="0"/>
          <w:numId w:val="34"/>
        </w:numPr>
        <w:spacing w:before="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25EC9">
        <w:rPr>
          <w:b/>
          <w:szCs w:val="20"/>
        </w:rPr>
      </w:r>
      <w:r w:rsidR="00625EC9">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rsidR="002A270B" w:rsidRPr="004A263B" w:rsidRDefault="002A270B" w:rsidP="001F2F80">
      <w:pPr>
        <w:pStyle w:val="ListParagraph"/>
        <w:numPr>
          <w:ilvl w:val="0"/>
          <w:numId w:val="34"/>
        </w:numPr>
        <w:spacing w:before="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25EC9">
        <w:rPr>
          <w:b/>
          <w:szCs w:val="20"/>
        </w:rPr>
      </w:r>
      <w:r w:rsidR="00625EC9">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rsidR="002A270B" w:rsidRPr="004A263B" w:rsidRDefault="002A270B" w:rsidP="001F2F80">
      <w:pPr>
        <w:pStyle w:val="ListParagraph"/>
        <w:numPr>
          <w:ilvl w:val="0"/>
          <w:numId w:val="34"/>
        </w:numPr>
        <w:spacing w:before="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25EC9">
        <w:rPr>
          <w:b/>
          <w:szCs w:val="20"/>
        </w:rPr>
      </w:r>
      <w:r w:rsidR="00625EC9">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rsidR="002A270B" w:rsidRPr="004A263B" w:rsidRDefault="002A270B" w:rsidP="001F2F80">
      <w:pPr>
        <w:pStyle w:val="ListParagraph"/>
        <w:numPr>
          <w:ilvl w:val="0"/>
          <w:numId w:val="34"/>
        </w:numPr>
        <w:spacing w:before="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25EC9">
        <w:rPr>
          <w:b/>
          <w:szCs w:val="20"/>
        </w:rPr>
      </w:r>
      <w:r w:rsidR="00625EC9">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rsidR="002A270B" w:rsidRPr="004A263B" w:rsidRDefault="002A270B" w:rsidP="001F2F80">
      <w:pPr>
        <w:pStyle w:val="ListParagraph"/>
        <w:numPr>
          <w:ilvl w:val="0"/>
          <w:numId w:val="34"/>
        </w:numPr>
        <w:spacing w:before="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25EC9">
        <w:rPr>
          <w:b/>
          <w:szCs w:val="20"/>
        </w:rPr>
      </w:r>
      <w:r w:rsidR="00625EC9">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rsidR="002A270B" w:rsidRPr="004A263B" w:rsidRDefault="002A270B" w:rsidP="001F2F80">
      <w:pPr>
        <w:pStyle w:val="ListParagraph"/>
        <w:numPr>
          <w:ilvl w:val="0"/>
          <w:numId w:val="34"/>
        </w:numPr>
        <w:spacing w:before="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25EC9">
        <w:rPr>
          <w:b/>
          <w:szCs w:val="20"/>
        </w:rPr>
      </w:r>
      <w:r w:rsidR="00625EC9">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rsidR="002A270B" w:rsidRDefault="004A263B" w:rsidP="001F2F80">
      <w:pPr>
        <w:pStyle w:val="ListParagraph"/>
        <w:numPr>
          <w:ilvl w:val="0"/>
          <w:numId w:val="34"/>
        </w:numPr>
        <w:spacing w:before="0"/>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25EC9">
        <w:rPr>
          <w:b/>
          <w:szCs w:val="20"/>
        </w:rPr>
      </w:r>
      <w:r w:rsidR="00625EC9">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rsidR="002A270B" w:rsidRPr="00CB12EC" w:rsidRDefault="00A6594E" w:rsidP="001F2F80">
      <w:pPr>
        <w:spacing w:before="0"/>
        <w:ind w:left="284"/>
      </w:pPr>
      <w:r>
        <w:fldChar w:fldCharType="begin">
          <w:ffData>
            <w:name w:val=""/>
            <w:enabled/>
            <w:calcOnExit w:val="0"/>
            <w:textInput>
              <w:default w:val="Insert description of 'other' amendment here"/>
            </w:textInput>
          </w:ffData>
        </w:fldChar>
      </w:r>
      <w:r>
        <w:instrText xml:space="preserve"> FORMTEXT </w:instrText>
      </w:r>
      <w:r>
        <w:fldChar w:fldCharType="separate"/>
      </w:r>
      <w:r>
        <w:rPr>
          <w:noProof/>
        </w:rPr>
        <w:t>Insert description of 'other' amendment here</w:t>
      </w:r>
      <w:r>
        <w:fldChar w:fldCharType="end"/>
      </w:r>
    </w:p>
    <w:p w:rsidR="00534C5F" w:rsidRPr="007E39E4" w:rsidRDefault="000770BA" w:rsidP="001F2F80">
      <w:pPr>
        <w:pStyle w:val="Heading2"/>
        <w:numPr>
          <w:ilvl w:val="0"/>
          <w:numId w:val="24"/>
        </w:numPr>
        <w:spacing w:before="0"/>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rsidR="006B6390" w:rsidRPr="00AA2CFE" w:rsidRDefault="006B6390" w:rsidP="001F2F80">
      <w:pPr>
        <w:pStyle w:val="ListParagraph"/>
        <w:numPr>
          <w:ilvl w:val="0"/>
          <w:numId w:val="35"/>
        </w:numPr>
        <w:spacing w:before="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625EC9">
        <w:rPr>
          <w:b/>
          <w:szCs w:val="20"/>
        </w:rPr>
      </w:r>
      <w:r w:rsidR="00625EC9">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rsidR="006B6390" w:rsidRPr="00AA2CFE" w:rsidRDefault="00C34956" w:rsidP="001F2F80">
      <w:pPr>
        <w:pStyle w:val="ListParagraph"/>
        <w:numPr>
          <w:ilvl w:val="0"/>
          <w:numId w:val="35"/>
        </w:numPr>
        <w:spacing w:before="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625EC9">
        <w:rPr>
          <w:b/>
          <w:szCs w:val="20"/>
        </w:rPr>
      </w:r>
      <w:r w:rsidR="00625EC9">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rsidR="006B6390" w:rsidRPr="00AA2CFE" w:rsidRDefault="006B6390" w:rsidP="001F2F80">
      <w:pPr>
        <w:pStyle w:val="ListParagraph"/>
        <w:numPr>
          <w:ilvl w:val="0"/>
          <w:numId w:val="35"/>
        </w:numPr>
        <w:spacing w:before="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625EC9">
        <w:rPr>
          <w:b/>
          <w:szCs w:val="20"/>
        </w:rPr>
      </w:r>
      <w:r w:rsidR="00625EC9">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rsidR="006B6390" w:rsidRPr="00AA2CFE" w:rsidRDefault="006B6390" w:rsidP="001F2F80">
      <w:pPr>
        <w:pStyle w:val="ListParagraph"/>
        <w:numPr>
          <w:ilvl w:val="0"/>
          <w:numId w:val="35"/>
        </w:numPr>
        <w:spacing w:before="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625EC9">
        <w:rPr>
          <w:b/>
          <w:szCs w:val="20"/>
        </w:rPr>
      </w:r>
      <w:r w:rsidR="00625EC9">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rsidR="003027BB" w:rsidRPr="007E39E4" w:rsidRDefault="00F30C22" w:rsidP="001F2F80">
      <w:pPr>
        <w:pStyle w:val="Heading2"/>
        <w:numPr>
          <w:ilvl w:val="0"/>
          <w:numId w:val="24"/>
        </w:numPr>
        <w:spacing w:before="0"/>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rsidR="000A5B32" w:rsidRDefault="000A5B32" w:rsidP="001F2F80">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5EC9">
        <w:rPr>
          <w:szCs w:val="20"/>
        </w:rPr>
      </w:r>
      <w:r w:rsidR="00625EC9">
        <w:rPr>
          <w:szCs w:val="20"/>
        </w:rPr>
        <w:fldChar w:fldCharType="separate"/>
      </w:r>
      <w:r w:rsidRPr="000A5B32">
        <w:rPr>
          <w:szCs w:val="20"/>
        </w:rPr>
        <w:fldChar w:fldCharType="end"/>
      </w:r>
      <w:r w:rsidRPr="000A5B32">
        <w:rPr>
          <w:szCs w:val="20"/>
        </w:rPr>
        <w:t xml:space="preserve"> Yes</w:t>
      </w:r>
    </w:p>
    <w:p w:rsidR="00626365" w:rsidRDefault="00C34956" w:rsidP="001F2F80">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25EC9">
        <w:rPr>
          <w:szCs w:val="20"/>
        </w:rPr>
      </w:r>
      <w:r w:rsidR="00625EC9">
        <w:rPr>
          <w:szCs w:val="20"/>
        </w:rPr>
        <w:fldChar w:fldCharType="separate"/>
      </w:r>
      <w:r>
        <w:rPr>
          <w:szCs w:val="20"/>
        </w:rPr>
        <w:fldChar w:fldCharType="end"/>
      </w:r>
      <w:r w:rsidR="000A5B32" w:rsidRPr="000A5B32">
        <w:rPr>
          <w:szCs w:val="20"/>
        </w:rPr>
        <w:t xml:space="preserve"> No</w:t>
      </w:r>
    </w:p>
    <w:p w:rsidR="00626365" w:rsidRDefault="00626365" w:rsidP="001F2F80">
      <w:pPr>
        <w:spacing w:before="0"/>
        <w:ind w:left="284"/>
        <w:rPr>
          <w:szCs w:val="20"/>
        </w:rPr>
      </w:pPr>
      <w:r>
        <w:rPr>
          <w:szCs w:val="20"/>
        </w:rPr>
        <w:br w:type="page"/>
      </w:r>
    </w:p>
    <w:p w:rsidR="00626365" w:rsidRPr="00626365" w:rsidRDefault="00626365" w:rsidP="001F2F80">
      <w:pPr>
        <w:spacing w:before="0"/>
        <w:ind w:left="284"/>
        <w:rPr>
          <w:rStyle w:val="Strong"/>
          <w:rFonts w:asciiTheme="minorHAnsi" w:eastAsiaTheme="minorHAnsi" w:hAnsiTheme="minorHAnsi" w:cstheme="minorBidi"/>
          <w:b w:val="0"/>
          <w:szCs w:val="20"/>
        </w:rPr>
      </w:pPr>
    </w:p>
    <w:p w:rsidR="003027BB" w:rsidRPr="007E39E4" w:rsidRDefault="003027BB" w:rsidP="001F2F80">
      <w:pPr>
        <w:pStyle w:val="Heading2"/>
        <w:numPr>
          <w:ilvl w:val="0"/>
          <w:numId w:val="24"/>
        </w:numPr>
        <w:spacing w:before="0"/>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rsidR="000A5B32" w:rsidRPr="00855944" w:rsidRDefault="00A6594E" w:rsidP="001F2F80">
      <w:pPr>
        <w:spacing w:before="0"/>
        <w:ind w:left="284"/>
        <w:rPr>
          <w:rStyle w:val="Strong"/>
        </w:rPr>
      </w:pPr>
      <w:r>
        <w:fldChar w:fldCharType="begin">
          <w:ffData>
            <w:name w:val=""/>
            <w:enabled/>
            <w:calcOnExit w:val="0"/>
            <w:textInput>
              <w:default w:val="Insert description of other public funding mechanism here"/>
            </w:textInput>
          </w:ffData>
        </w:fldChar>
      </w:r>
      <w:r>
        <w:instrText xml:space="preserve"> FORMTEXT </w:instrText>
      </w:r>
      <w:r>
        <w:fldChar w:fldCharType="separate"/>
      </w:r>
      <w:r>
        <w:rPr>
          <w:noProof/>
        </w:rPr>
        <w:t>Insert description of other public funding mechanism here</w:t>
      </w:r>
      <w:r>
        <w:fldChar w:fldCharType="end"/>
      </w:r>
    </w:p>
    <w:p w:rsidR="000B3CD0" w:rsidRDefault="000B3CD0" w:rsidP="001F2F80">
      <w:pPr>
        <w:pStyle w:val="Heading2"/>
        <w:spacing w:before="0"/>
      </w:pPr>
      <w:r w:rsidRPr="00154B00">
        <w:t>What is the type of service:</w:t>
      </w:r>
    </w:p>
    <w:p w:rsidR="00A6594E" w:rsidRDefault="00A6594E" w:rsidP="001F2F80">
      <w:pPr>
        <w:spacing w:before="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25EC9">
        <w:rPr>
          <w:b/>
          <w:szCs w:val="20"/>
        </w:rPr>
      </w:r>
      <w:r w:rsidR="00625EC9">
        <w:rPr>
          <w:b/>
          <w:szCs w:val="20"/>
        </w:rPr>
        <w:fldChar w:fldCharType="separate"/>
      </w:r>
      <w:r w:rsidRPr="0027105F">
        <w:rPr>
          <w:b/>
          <w:szCs w:val="20"/>
        </w:rPr>
        <w:fldChar w:fldCharType="end"/>
      </w:r>
      <w:r w:rsidRPr="0027105F">
        <w:rPr>
          <w:b/>
          <w:szCs w:val="20"/>
        </w:rPr>
        <w:t xml:space="preserve"> </w:t>
      </w:r>
      <w:r>
        <w:t>Therapeutic medical service</w:t>
      </w:r>
    </w:p>
    <w:p w:rsidR="00A6594E" w:rsidRDefault="00A6594E" w:rsidP="001F2F80">
      <w:pPr>
        <w:spacing w:before="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25EC9">
        <w:rPr>
          <w:b/>
          <w:szCs w:val="20"/>
        </w:rPr>
      </w:r>
      <w:r w:rsidR="00625EC9">
        <w:rPr>
          <w:b/>
          <w:szCs w:val="20"/>
        </w:rPr>
        <w:fldChar w:fldCharType="separate"/>
      </w:r>
      <w:r w:rsidRPr="0027105F">
        <w:rPr>
          <w:b/>
          <w:szCs w:val="20"/>
        </w:rPr>
        <w:fldChar w:fldCharType="end"/>
      </w:r>
      <w:r w:rsidRPr="0027105F">
        <w:rPr>
          <w:b/>
          <w:szCs w:val="20"/>
        </w:rPr>
        <w:t xml:space="preserve"> </w:t>
      </w:r>
      <w:r>
        <w:t>Investigative medical service</w:t>
      </w:r>
    </w:p>
    <w:p w:rsidR="00A6594E" w:rsidRDefault="00A6594E" w:rsidP="001F2F80">
      <w:pPr>
        <w:spacing w:before="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25EC9">
        <w:rPr>
          <w:b/>
          <w:szCs w:val="20"/>
        </w:rPr>
      </w:r>
      <w:r w:rsidR="00625EC9">
        <w:rPr>
          <w:b/>
          <w:szCs w:val="20"/>
        </w:rPr>
        <w:fldChar w:fldCharType="separate"/>
      </w:r>
      <w:r w:rsidRPr="0027105F">
        <w:rPr>
          <w:b/>
          <w:szCs w:val="20"/>
        </w:rPr>
        <w:fldChar w:fldCharType="end"/>
      </w:r>
      <w:r w:rsidRPr="0027105F">
        <w:rPr>
          <w:b/>
          <w:szCs w:val="20"/>
        </w:rPr>
        <w:t xml:space="preserve"> </w:t>
      </w:r>
      <w:r>
        <w:t>Single consultation medical service</w:t>
      </w:r>
    </w:p>
    <w:p w:rsidR="00A6594E" w:rsidRDefault="00A6594E" w:rsidP="001F2F80">
      <w:pPr>
        <w:spacing w:before="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25EC9">
        <w:rPr>
          <w:b/>
          <w:szCs w:val="20"/>
        </w:rPr>
      </w:r>
      <w:r w:rsidR="00625EC9">
        <w:rPr>
          <w:b/>
          <w:szCs w:val="20"/>
        </w:rPr>
        <w:fldChar w:fldCharType="separate"/>
      </w:r>
      <w:r w:rsidRPr="0027105F">
        <w:rPr>
          <w:b/>
          <w:szCs w:val="20"/>
        </w:rPr>
        <w:fldChar w:fldCharType="end"/>
      </w:r>
      <w:r w:rsidRPr="0027105F">
        <w:rPr>
          <w:b/>
          <w:szCs w:val="20"/>
        </w:rPr>
        <w:t xml:space="preserve"> </w:t>
      </w:r>
      <w:r>
        <w:t>Global consultation medical service</w:t>
      </w:r>
    </w:p>
    <w:p w:rsidR="00A6594E" w:rsidRDefault="00A6594E" w:rsidP="001F2F80">
      <w:pPr>
        <w:spacing w:before="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25EC9">
        <w:rPr>
          <w:b/>
          <w:szCs w:val="20"/>
        </w:rPr>
      </w:r>
      <w:r w:rsidR="00625EC9">
        <w:rPr>
          <w:b/>
          <w:szCs w:val="20"/>
        </w:rPr>
        <w:fldChar w:fldCharType="separate"/>
      </w:r>
      <w:r w:rsidRPr="0027105F">
        <w:rPr>
          <w:b/>
          <w:szCs w:val="20"/>
        </w:rPr>
        <w:fldChar w:fldCharType="end"/>
      </w:r>
      <w:r w:rsidRPr="0027105F">
        <w:rPr>
          <w:b/>
          <w:szCs w:val="20"/>
        </w:rPr>
        <w:t xml:space="preserve"> </w:t>
      </w:r>
      <w:r>
        <w:t>Allied health service</w:t>
      </w:r>
    </w:p>
    <w:p w:rsidR="00A6594E" w:rsidRDefault="00C34956" w:rsidP="001F2F80">
      <w:pPr>
        <w:spacing w:before="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625EC9">
        <w:rPr>
          <w:b/>
          <w:szCs w:val="20"/>
        </w:rPr>
      </w:r>
      <w:r w:rsidR="00625EC9">
        <w:rPr>
          <w:b/>
          <w:szCs w:val="20"/>
        </w:rPr>
        <w:fldChar w:fldCharType="separate"/>
      </w:r>
      <w:r>
        <w:rPr>
          <w:b/>
          <w:szCs w:val="20"/>
        </w:rPr>
        <w:fldChar w:fldCharType="end"/>
      </w:r>
      <w:r w:rsidR="00A6594E" w:rsidRPr="0027105F">
        <w:rPr>
          <w:b/>
          <w:szCs w:val="20"/>
        </w:rPr>
        <w:t xml:space="preserve"> </w:t>
      </w:r>
      <w:r w:rsidR="00A6594E">
        <w:t>Co-dependent technology</w:t>
      </w:r>
    </w:p>
    <w:p w:rsidR="00124B00" w:rsidRPr="00A6594E" w:rsidRDefault="00A6594E" w:rsidP="00365551">
      <w:pPr>
        <w:spacing w:before="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25EC9">
        <w:rPr>
          <w:b/>
          <w:szCs w:val="20"/>
        </w:rPr>
      </w:r>
      <w:r w:rsidR="00625EC9">
        <w:rPr>
          <w:b/>
          <w:szCs w:val="20"/>
        </w:rPr>
        <w:fldChar w:fldCharType="separate"/>
      </w:r>
      <w:r w:rsidRPr="0027105F">
        <w:rPr>
          <w:b/>
          <w:szCs w:val="20"/>
        </w:rPr>
        <w:fldChar w:fldCharType="end"/>
      </w:r>
      <w:r w:rsidRPr="0027105F">
        <w:rPr>
          <w:b/>
          <w:szCs w:val="20"/>
        </w:rPr>
        <w:t xml:space="preserve"> </w:t>
      </w:r>
      <w:r>
        <w:t>Hybrid health technolog</w:t>
      </w:r>
      <w:r w:rsidR="00365551">
        <w:t>y</w:t>
      </w:r>
    </w:p>
    <w:p w:rsidR="0054594B" w:rsidRDefault="0054594B" w:rsidP="001F2F80">
      <w:pPr>
        <w:pStyle w:val="Heading2"/>
        <w:spacing w:before="0"/>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rsidR="00A6594E" w:rsidRDefault="00A6594E" w:rsidP="001F2F80">
      <w:pPr>
        <w:pStyle w:val="ListParagraph"/>
        <w:numPr>
          <w:ilvl w:val="0"/>
          <w:numId w:val="36"/>
        </w:numPr>
        <w:spacing w:before="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625EC9">
        <w:rPr>
          <w:b/>
          <w:szCs w:val="20"/>
        </w:rPr>
      </w:r>
      <w:r w:rsidR="00625EC9">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rsidR="00A6594E" w:rsidRDefault="00A6594E" w:rsidP="001F2F80">
      <w:pPr>
        <w:pStyle w:val="ListParagraph"/>
        <w:numPr>
          <w:ilvl w:val="0"/>
          <w:numId w:val="36"/>
        </w:numPr>
        <w:spacing w:before="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625EC9">
        <w:rPr>
          <w:b/>
          <w:szCs w:val="20"/>
        </w:rPr>
      </w:r>
      <w:r w:rsidR="00625EC9">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rsidR="00A6594E" w:rsidRDefault="00A6594E" w:rsidP="001F2F80">
      <w:pPr>
        <w:pStyle w:val="ListParagraph"/>
        <w:numPr>
          <w:ilvl w:val="0"/>
          <w:numId w:val="36"/>
        </w:numPr>
        <w:spacing w:before="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625EC9">
        <w:rPr>
          <w:b/>
          <w:szCs w:val="20"/>
        </w:rPr>
      </w:r>
      <w:r w:rsidR="00625EC9">
        <w:rPr>
          <w:b/>
          <w:szCs w:val="20"/>
        </w:rPr>
        <w:fldChar w:fldCharType="separate"/>
      </w:r>
      <w:r w:rsidRPr="00AF4466">
        <w:rPr>
          <w:b/>
          <w:szCs w:val="20"/>
        </w:rPr>
        <w:fldChar w:fldCharType="end"/>
      </w:r>
      <w:r w:rsidRPr="00AF4466">
        <w:rPr>
          <w:b/>
          <w:szCs w:val="20"/>
        </w:rPr>
        <w:t xml:space="preserve"> </w:t>
      </w:r>
      <w:r>
        <w:t>Provides information about prognosis</w:t>
      </w:r>
    </w:p>
    <w:p w:rsidR="00A6594E" w:rsidRDefault="00C34956" w:rsidP="001F2F80">
      <w:pPr>
        <w:pStyle w:val="ListParagraph"/>
        <w:numPr>
          <w:ilvl w:val="0"/>
          <w:numId w:val="36"/>
        </w:numPr>
        <w:spacing w:before="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625EC9">
        <w:rPr>
          <w:b/>
          <w:szCs w:val="20"/>
        </w:rPr>
      </w:r>
      <w:r w:rsidR="00625EC9">
        <w:rPr>
          <w:b/>
          <w:szCs w:val="20"/>
        </w:rPr>
        <w:fldChar w:fldCharType="separate"/>
      </w:r>
      <w:r>
        <w:rPr>
          <w:b/>
          <w:szCs w:val="20"/>
        </w:rPr>
        <w:fldChar w:fldCharType="end"/>
      </w:r>
      <w:r w:rsidR="00A6594E" w:rsidRPr="00AF4466">
        <w:rPr>
          <w:b/>
          <w:szCs w:val="20"/>
        </w:rPr>
        <w:t xml:space="preserve"> </w:t>
      </w:r>
      <w:r w:rsidR="00A6594E">
        <w:t>Identifies a patient as suitable for therapy by predicting a variation in the effect of the therapy</w:t>
      </w:r>
    </w:p>
    <w:p w:rsidR="00F63A62" w:rsidRDefault="00A6594E" w:rsidP="001F2F80">
      <w:pPr>
        <w:pStyle w:val="ListParagraph"/>
        <w:numPr>
          <w:ilvl w:val="0"/>
          <w:numId w:val="36"/>
        </w:numPr>
        <w:spacing w:before="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625EC9">
        <w:rPr>
          <w:b/>
          <w:szCs w:val="20"/>
        </w:rPr>
      </w:r>
      <w:r w:rsidR="00625EC9">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rsidR="002A40AE" w:rsidRDefault="00F63A62" w:rsidP="001F2F80">
      <w:pPr>
        <w:pStyle w:val="ListParagraph"/>
        <w:numPr>
          <w:ilvl w:val="0"/>
          <w:numId w:val="36"/>
        </w:numPr>
        <w:spacing w:before="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625EC9">
        <w:rPr>
          <w:b/>
          <w:szCs w:val="20"/>
        </w:rPr>
      </w:r>
      <w:r w:rsidR="00625EC9">
        <w:rPr>
          <w:b/>
          <w:szCs w:val="20"/>
        </w:rPr>
        <w:fldChar w:fldCharType="separate"/>
      </w:r>
      <w:r w:rsidRPr="00AF4466">
        <w:rPr>
          <w:b/>
          <w:szCs w:val="20"/>
        </w:rPr>
        <w:fldChar w:fldCharType="end"/>
      </w:r>
      <w:r w:rsidRPr="00AF4466">
        <w:rPr>
          <w:b/>
          <w:szCs w:val="20"/>
        </w:rPr>
        <w:t xml:space="preserve"> </w:t>
      </w:r>
      <w:r>
        <w:t xml:space="preserve">Is for genetic testing </w:t>
      </w:r>
      <w:r w:rsidR="0050517E">
        <w:t>for</w:t>
      </w:r>
      <w:r>
        <w:t xml:space="preserve"> heritable mutations </w:t>
      </w:r>
      <w:r w:rsidR="0050517E">
        <w:t>in</w:t>
      </w:r>
      <w:r>
        <w:t xml:space="preserve"> clinically affected individuals and</w:t>
      </w:r>
      <w:r w:rsidR="0050517E">
        <w:t>,</w:t>
      </w:r>
      <w:r>
        <w:t xml:space="preserve"> </w:t>
      </w:r>
      <w:r w:rsidR="0050517E">
        <w:t>when also appropriate,</w:t>
      </w:r>
      <w:r>
        <w:t xml:space="preserve"> </w:t>
      </w:r>
      <w:r w:rsidR="0050517E">
        <w:t xml:space="preserve">in </w:t>
      </w:r>
      <w:r>
        <w:t xml:space="preserve">family members of those individuals who test positive for one or more </w:t>
      </w:r>
      <w:r w:rsidR="0050517E">
        <w:t xml:space="preserve">relevant </w:t>
      </w:r>
      <w:r>
        <w:t>mutations (and thus for which the Clinical Utility Card proforma might apply)</w:t>
      </w:r>
    </w:p>
    <w:p w:rsidR="000B3CD0" w:rsidRDefault="000B3CD0" w:rsidP="001F2F80">
      <w:pPr>
        <w:pStyle w:val="Heading2"/>
        <w:spacing w:before="0"/>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rsidR="00FE16C1" w:rsidRDefault="00C34956" w:rsidP="001F2F80">
      <w:pPr>
        <w:spacing w:before="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625EC9">
        <w:rPr>
          <w:b/>
          <w:szCs w:val="20"/>
        </w:rPr>
      </w:r>
      <w:r w:rsidR="00625EC9">
        <w:rPr>
          <w:b/>
          <w:szCs w:val="20"/>
        </w:rPr>
        <w:fldChar w:fldCharType="separate"/>
      </w:r>
      <w:r>
        <w:rPr>
          <w:b/>
          <w:szCs w:val="20"/>
        </w:rPr>
        <w:fldChar w:fldCharType="end"/>
      </w:r>
      <w:r w:rsidR="00FE16C1" w:rsidRPr="0027105F">
        <w:rPr>
          <w:b/>
          <w:szCs w:val="20"/>
        </w:rPr>
        <w:t xml:space="preserve"> </w:t>
      </w:r>
      <w:r w:rsidR="00FE16C1">
        <w:t>Pharmaceutical / Biological</w:t>
      </w:r>
    </w:p>
    <w:p w:rsidR="00FE16C1" w:rsidRDefault="00FE16C1" w:rsidP="001F2F80">
      <w:pPr>
        <w:spacing w:before="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25EC9">
        <w:rPr>
          <w:b/>
          <w:szCs w:val="20"/>
        </w:rPr>
      </w:r>
      <w:r w:rsidR="00625EC9">
        <w:rPr>
          <w:b/>
          <w:szCs w:val="20"/>
        </w:rPr>
        <w:fldChar w:fldCharType="separate"/>
      </w:r>
      <w:r w:rsidRPr="0027105F">
        <w:rPr>
          <w:b/>
          <w:szCs w:val="20"/>
        </w:rPr>
        <w:fldChar w:fldCharType="end"/>
      </w:r>
      <w:r w:rsidRPr="0027105F">
        <w:rPr>
          <w:b/>
          <w:szCs w:val="20"/>
        </w:rPr>
        <w:t xml:space="preserve"> </w:t>
      </w:r>
      <w:r>
        <w:t>Prosthesis or device</w:t>
      </w:r>
    </w:p>
    <w:p w:rsidR="00FE16C1" w:rsidRPr="00FE16C1" w:rsidRDefault="00FE16C1" w:rsidP="001F2F80">
      <w:pPr>
        <w:spacing w:before="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25EC9">
        <w:rPr>
          <w:b/>
          <w:szCs w:val="20"/>
        </w:rPr>
      </w:r>
      <w:r w:rsidR="00625EC9">
        <w:rPr>
          <w:b/>
          <w:szCs w:val="20"/>
        </w:rPr>
        <w:fldChar w:fldCharType="separate"/>
      </w:r>
      <w:r w:rsidRPr="0027105F">
        <w:rPr>
          <w:b/>
          <w:szCs w:val="20"/>
        </w:rPr>
        <w:fldChar w:fldCharType="end"/>
      </w:r>
      <w:r w:rsidRPr="0027105F">
        <w:rPr>
          <w:b/>
          <w:szCs w:val="20"/>
        </w:rPr>
        <w:t xml:space="preserve"> </w:t>
      </w:r>
      <w:r>
        <w:t>No</w:t>
      </w:r>
    </w:p>
    <w:p w:rsidR="000E5439" w:rsidRPr="001E6958" w:rsidRDefault="00530204" w:rsidP="001F2F80">
      <w:pPr>
        <w:pStyle w:val="Heading2"/>
        <w:spacing w:before="0"/>
      </w:pPr>
      <w:r>
        <w:t xml:space="preserve">(a)  </w:t>
      </w:r>
      <w:r w:rsidR="000E5439" w:rsidRPr="001E6958">
        <w:t>If the proposed service has a pharmaceutical component to it, is it already covered under an existing Pharmaceutical Benefits Scheme (PBS) listing?</w:t>
      </w:r>
    </w:p>
    <w:p w:rsidR="00FE16C1" w:rsidRDefault="00FE16C1" w:rsidP="001F2F80">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5EC9">
        <w:rPr>
          <w:szCs w:val="20"/>
        </w:rPr>
      </w:r>
      <w:r w:rsidR="00625EC9">
        <w:rPr>
          <w:szCs w:val="20"/>
        </w:rPr>
        <w:fldChar w:fldCharType="separate"/>
      </w:r>
      <w:r w:rsidRPr="000A5B32">
        <w:rPr>
          <w:szCs w:val="20"/>
        </w:rPr>
        <w:fldChar w:fldCharType="end"/>
      </w:r>
      <w:r w:rsidRPr="000A5B32">
        <w:rPr>
          <w:szCs w:val="20"/>
        </w:rPr>
        <w:t xml:space="preserve"> Yes</w:t>
      </w:r>
    </w:p>
    <w:p w:rsidR="00FE16C1" w:rsidRPr="00FE16C1" w:rsidRDefault="00C34956" w:rsidP="001F2F80">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25EC9">
        <w:rPr>
          <w:szCs w:val="20"/>
        </w:rPr>
      </w:r>
      <w:r w:rsidR="00625EC9">
        <w:rPr>
          <w:szCs w:val="20"/>
        </w:rPr>
        <w:fldChar w:fldCharType="separate"/>
      </w:r>
      <w:r>
        <w:rPr>
          <w:szCs w:val="20"/>
        </w:rPr>
        <w:fldChar w:fldCharType="end"/>
      </w:r>
      <w:r w:rsidR="00FE16C1">
        <w:rPr>
          <w:szCs w:val="20"/>
        </w:rPr>
        <w:t xml:space="preserve"> No  </w:t>
      </w:r>
    </w:p>
    <w:p w:rsidR="00EC127A" w:rsidRPr="001E6958" w:rsidRDefault="000E5439" w:rsidP="001F2F80">
      <w:pPr>
        <w:pStyle w:val="Heading2"/>
        <w:numPr>
          <w:ilvl w:val="0"/>
          <w:numId w:val="25"/>
        </w:numPr>
        <w:spacing w:before="0"/>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rsidR="007E39E4" w:rsidRPr="007E39E4" w:rsidRDefault="007E39E4" w:rsidP="001F2F80">
      <w:pPr>
        <w:spacing w:before="0"/>
        <w:ind w:left="284"/>
        <w:rPr>
          <w:b/>
          <w:szCs w:val="20"/>
        </w:rPr>
      </w:pPr>
      <w:r>
        <w:fldChar w:fldCharType="begin">
          <w:ffData>
            <w:name w:val=""/>
            <w:enabled/>
            <w:calcOnExit w:val="0"/>
            <w:textInput>
              <w:default w:val="Insert PBS item code(s) here"/>
            </w:textInput>
          </w:ffData>
        </w:fldChar>
      </w:r>
      <w:r>
        <w:instrText xml:space="preserve"> FORMTEXT </w:instrText>
      </w:r>
      <w:r>
        <w:fldChar w:fldCharType="separate"/>
      </w:r>
      <w:r>
        <w:rPr>
          <w:noProof/>
        </w:rPr>
        <w:t>Insert PBS item code(s) here</w:t>
      </w:r>
      <w:r>
        <w:fldChar w:fldCharType="end"/>
      </w:r>
    </w:p>
    <w:p w:rsidR="00411735" w:rsidRPr="001E6958" w:rsidRDefault="00411735" w:rsidP="001F2F80">
      <w:pPr>
        <w:pStyle w:val="Heading2"/>
        <w:numPr>
          <w:ilvl w:val="0"/>
          <w:numId w:val="25"/>
        </w:numPr>
        <w:spacing w:before="0"/>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rsidR="007E39E4" w:rsidRDefault="007E39E4" w:rsidP="001F2F80">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5EC9">
        <w:rPr>
          <w:szCs w:val="20"/>
        </w:rPr>
      </w:r>
      <w:r w:rsidR="00625EC9">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rsidR="001E6919" w:rsidRDefault="007E39E4" w:rsidP="001F2F80">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625EC9">
        <w:rPr>
          <w:szCs w:val="20"/>
        </w:rPr>
      </w:r>
      <w:r w:rsidR="00625EC9">
        <w:rPr>
          <w:szCs w:val="20"/>
        </w:rPr>
        <w:fldChar w:fldCharType="separate"/>
      </w:r>
      <w:r w:rsidRPr="000A5B32">
        <w:rPr>
          <w:szCs w:val="20"/>
        </w:rPr>
        <w:fldChar w:fldCharType="end"/>
      </w:r>
      <w:r w:rsidR="001E6919">
        <w:rPr>
          <w:szCs w:val="20"/>
        </w:rPr>
        <w:t xml:space="preserve"> No</w:t>
      </w:r>
    </w:p>
    <w:p w:rsidR="00C34956" w:rsidRDefault="00C34956" w:rsidP="001F2F80">
      <w:pPr>
        <w:spacing w:before="0"/>
        <w:ind w:left="284"/>
        <w:rPr>
          <w:szCs w:val="20"/>
        </w:rPr>
      </w:pPr>
      <w:r>
        <w:rPr>
          <w:szCs w:val="20"/>
        </w:rPr>
        <w:t>A submission for use of Keytruda in  unresectable mesothelioma is planned in February 2017.</w:t>
      </w:r>
    </w:p>
    <w:p w:rsidR="001E6919" w:rsidRPr="007E39E4" w:rsidRDefault="00C34956" w:rsidP="001F2F80">
      <w:pPr>
        <w:spacing w:before="0"/>
        <w:ind w:left="284"/>
        <w:rPr>
          <w:szCs w:val="20"/>
        </w:rPr>
      </w:pPr>
      <w:r>
        <w:rPr>
          <w:szCs w:val="20"/>
        </w:rPr>
        <w:t>Keytruda is also PBS listed for use in metastatic melanoma (10424P, 10436G, 10475H, 10493G)</w:t>
      </w:r>
    </w:p>
    <w:p w:rsidR="00C34956" w:rsidRDefault="00C34956" w:rsidP="001F2F80">
      <w:pPr>
        <w:spacing w:before="0" w:line="276" w:lineRule="auto"/>
        <w:rPr>
          <w:b/>
          <w:szCs w:val="20"/>
        </w:rPr>
      </w:pPr>
      <w:r>
        <w:br w:type="page"/>
      </w:r>
    </w:p>
    <w:p w:rsidR="000E5439" w:rsidRDefault="000E5439" w:rsidP="001F2F80">
      <w:pPr>
        <w:pStyle w:val="Heading2"/>
        <w:numPr>
          <w:ilvl w:val="0"/>
          <w:numId w:val="25"/>
        </w:numPr>
        <w:spacing w:before="0"/>
      </w:pPr>
      <w:r w:rsidRPr="007E39E4">
        <w:lastRenderedPageBreak/>
        <w:t>If you are seeking both MBS and PBS listing</w:t>
      </w:r>
      <w:r w:rsidR="00B75965" w:rsidRPr="007E39E4">
        <w:t>, what is the trade name and generic name of the pharmaceutical?</w:t>
      </w:r>
    </w:p>
    <w:p w:rsidR="001E6958" w:rsidRDefault="001E6958" w:rsidP="001F2F80">
      <w:pPr>
        <w:spacing w:before="0"/>
        <w:ind w:left="284"/>
      </w:pPr>
      <w:r>
        <w:t xml:space="preserve">Trade name: </w:t>
      </w:r>
      <w:r w:rsidR="00625EC9">
        <w:t>Keytruda</w:t>
      </w:r>
    </w:p>
    <w:p w:rsidR="001E6958" w:rsidRPr="001E6958" w:rsidRDefault="001E6958" w:rsidP="001F2F80">
      <w:pPr>
        <w:spacing w:before="0"/>
        <w:ind w:left="284"/>
      </w:pPr>
      <w:r>
        <w:t xml:space="preserve">Generic name: </w:t>
      </w:r>
      <w:r w:rsidR="00625EC9">
        <w:t>Pembrolizumab</w:t>
      </w:r>
    </w:p>
    <w:p w:rsidR="00B75965" w:rsidRDefault="00530204" w:rsidP="001F2F80">
      <w:pPr>
        <w:pStyle w:val="Heading2"/>
        <w:spacing w:before="0"/>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rsidR="001E6958" w:rsidRDefault="001E6958" w:rsidP="001F2F80">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5EC9">
        <w:rPr>
          <w:szCs w:val="20"/>
        </w:rPr>
      </w:r>
      <w:r w:rsidR="00625EC9">
        <w:rPr>
          <w:szCs w:val="20"/>
        </w:rPr>
        <w:fldChar w:fldCharType="separate"/>
      </w:r>
      <w:r w:rsidRPr="000A5B32">
        <w:rPr>
          <w:szCs w:val="20"/>
        </w:rPr>
        <w:fldChar w:fldCharType="end"/>
      </w:r>
      <w:r w:rsidRPr="000A5B32">
        <w:rPr>
          <w:szCs w:val="20"/>
        </w:rPr>
        <w:t xml:space="preserve"> Yes</w:t>
      </w:r>
    </w:p>
    <w:p w:rsidR="001E6919" w:rsidRPr="001E6958" w:rsidRDefault="001E6958" w:rsidP="001F2F80">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625EC9">
        <w:rPr>
          <w:szCs w:val="20"/>
        </w:rPr>
      </w:r>
      <w:r w:rsidR="00625EC9">
        <w:rPr>
          <w:szCs w:val="20"/>
        </w:rPr>
        <w:fldChar w:fldCharType="separate"/>
      </w:r>
      <w:r w:rsidRPr="000A5B32">
        <w:rPr>
          <w:szCs w:val="20"/>
        </w:rPr>
        <w:fldChar w:fldCharType="end"/>
      </w:r>
      <w:r>
        <w:rPr>
          <w:szCs w:val="20"/>
        </w:rPr>
        <w:t xml:space="preserve"> No  </w:t>
      </w:r>
    </w:p>
    <w:p w:rsidR="00B75965" w:rsidRDefault="00B75965" w:rsidP="001F2F80">
      <w:pPr>
        <w:pStyle w:val="Heading2"/>
        <w:numPr>
          <w:ilvl w:val="0"/>
          <w:numId w:val="26"/>
        </w:numPr>
        <w:spacing w:before="0"/>
      </w:pPr>
      <w:r w:rsidRPr="001E6958">
        <w:t xml:space="preserve">If yes, </w:t>
      </w:r>
      <w:r w:rsidR="00C73B62" w:rsidRPr="001E6958">
        <w:t xml:space="preserve">please provide the following information (where relevant): </w:t>
      </w:r>
    </w:p>
    <w:p w:rsidR="001E6958" w:rsidRDefault="001E6958" w:rsidP="001F2F80">
      <w:pPr>
        <w:spacing w:before="0"/>
        <w:ind w:left="284"/>
      </w:pPr>
      <w:r>
        <w:t xml:space="preserve">Billing code(s): </w:t>
      </w:r>
      <w:r w:rsidR="009939DC">
        <w:fldChar w:fldCharType="begin">
          <w:ffData>
            <w:name w:val=""/>
            <w:enabled/>
            <w:calcOnExit w:val="0"/>
            <w:textInput>
              <w:default w:val="Insert billing code(s) here"/>
            </w:textInput>
          </w:ffData>
        </w:fldChar>
      </w:r>
      <w:r w:rsidR="009939DC">
        <w:instrText xml:space="preserve"> FORMTEXT </w:instrText>
      </w:r>
      <w:r w:rsidR="009939DC">
        <w:fldChar w:fldCharType="separate"/>
      </w:r>
      <w:r w:rsidR="009939DC">
        <w:rPr>
          <w:noProof/>
        </w:rPr>
        <w:t>Insert billing code(s) here</w:t>
      </w:r>
      <w:r w:rsidR="009939DC">
        <w:fldChar w:fldCharType="end"/>
      </w:r>
    </w:p>
    <w:p w:rsidR="001E6958" w:rsidRDefault="001E6958" w:rsidP="001F2F80">
      <w:pPr>
        <w:spacing w:before="0"/>
        <w:ind w:left="284"/>
      </w:pPr>
      <w:r>
        <w:t xml:space="preserve">Trade name of prostheses: </w:t>
      </w:r>
      <w:r w:rsidR="009939DC">
        <w:fldChar w:fldCharType="begin">
          <w:ffData>
            <w:name w:val=""/>
            <w:enabled/>
            <w:calcOnExit w:val="0"/>
            <w:textInput>
              <w:default w:val="Insert trade name here"/>
            </w:textInput>
          </w:ffData>
        </w:fldChar>
      </w:r>
      <w:r w:rsidR="009939DC">
        <w:instrText xml:space="preserve"> FORMTEXT </w:instrText>
      </w:r>
      <w:r w:rsidR="009939DC">
        <w:fldChar w:fldCharType="separate"/>
      </w:r>
      <w:r w:rsidR="009939DC">
        <w:rPr>
          <w:noProof/>
        </w:rPr>
        <w:t>Insert trade name here</w:t>
      </w:r>
      <w:r w:rsidR="009939DC">
        <w:fldChar w:fldCharType="end"/>
      </w:r>
    </w:p>
    <w:p w:rsidR="001E6958" w:rsidRDefault="001E6958" w:rsidP="001F2F80">
      <w:pPr>
        <w:spacing w:before="0"/>
        <w:ind w:left="284"/>
      </w:pPr>
      <w:r>
        <w:t xml:space="preserve">Clinical name of prostheses: </w:t>
      </w:r>
      <w:r w:rsidR="009939DC">
        <w:fldChar w:fldCharType="begin">
          <w:ffData>
            <w:name w:val=""/>
            <w:enabled/>
            <w:calcOnExit w:val="0"/>
            <w:textInput>
              <w:default w:val="Insert clinical name here"/>
            </w:textInput>
          </w:ffData>
        </w:fldChar>
      </w:r>
      <w:r w:rsidR="009939DC">
        <w:instrText xml:space="preserve"> FORMTEXT </w:instrText>
      </w:r>
      <w:r w:rsidR="009939DC">
        <w:fldChar w:fldCharType="separate"/>
      </w:r>
      <w:r w:rsidR="009939DC">
        <w:rPr>
          <w:noProof/>
        </w:rPr>
        <w:t>Insert clinical name here</w:t>
      </w:r>
      <w:r w:rsidR="009939DC">
        <w:fldChar w:fldCharType="end"/>
      </w:r>
    </w:p>
    <w:p w:rsidR="001E6958" w:rsidRPr="001E6958" w:rsidRDefault="001E6958" w:rsidP="001F2F80">
      <w:pPr>
        <w:spacing w:before="0"/>
        <w:ind w:left="284"/>
      </w:pPr>
      <w:r>
        <w:t xml:space="preserve">Other device components delivered as part of the service: </w:t>
      </w:r>
      <w:r w:rsidR="009939DC">
        <w:fldChar w:fldCharType="begin">
          <w:ffData>
            <w:name w:val=""/>
            <w:enabled/>
            <w:calcOnExit w:val="0"/>
            <w:textInput>
              <w:default w:val="Insert description of device components here"/>
            </w:textInput>
          </w:ffData>
        </w:fldChar>
      </w:r>
      <w:r w:rsidR="009939DC">
        <w:instrText xml:space="preserve"> FORMTEXT </w:instrText>
      </w:r>
      <w:r w:rsidR="009939DC">
        <w:fldChar w:fldCharType="separate"/>
      </w:r>
      <w:r w:rsidR="009939DC">
        <w:rPr>
          <w:noProof/>
        </w:rPr>
        <w:t>Insert description of device components here</w:t>
      </w:r>
      <w:r w:rsidR="009939DC">
        <w:fldChar w:fldCharType="end"/>
      </w:r>
    </w:p>
    <w:p w:rsidR="00411735" w:rsidRDefault="00411735" w:rsidP="001F2F80">
      <w:pPr>
        <w:pStyle w:val="Heading2"/>
        <w:numPr>
          <w:ilvl w:val="0"/>
          <w:numId w:val="26"/>
        </w:numPr>
        <w:spacing w:before="0"/>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rsidR="009939DC" w:rsidRDefault="009939DC" w:rsidP="001F2F80">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5EC9">
        <w:rPr>
          <w:szCs w:val="20"/>
        </w:rPr>
      </w:r>
      <w:r w:rsidR="00625EC9">
        <w:rPr>
          <w:szCs w:val="20"/>
        </w:rPr>
        <w:fldChar w:fldCharType="separate"/>
      </w:r>
      <w:r w:rsidRPr="000A5B32">
        <w:rPr>
          <w:szCs w:val="20"/>
        </w:rPr>
        <w:fldChar w:fldCharType="end"/>
      </w:r>
      <w:r w:rsidRPr="000A5B32">
        <w:rPr>
          <w:szCs w:val="20"/>
        </w:rPr>
        <w:t xml:space="preserve"> Yes</w:t>
      </w:r>
    </w:p>
    <w:p w:rsidR="001E6958" w:rsidRPr="009939DC" w:rsidRDefault="00625EC9" w:rsidP="001F2F80">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Pr>
          <w:szCs w:val="20"/>
        </w:rPr>
      </w:r>
      <w:r>
        <w:rPr>
          <w:szCs w:val="20"/>
        </w:rPr>
        <w:fldChar w:fldCharType="end"/>
      </w:r>
      <w:r w:rsidR="009939DC">
        <w:rPr>
          <w:szCs w:val="20"/>
        </w:rPr>
        <w:t xml:space="preserve"> No  </w:t>
      </w:r>
    </w:p>
    <w:p w:rsidR="00016B6E" w:rsidRPr="009939DC" w:rsidRDefault="00016B6E" w:rsidP="001F2F80">
      <w:pPr>
        <w:pStyle w:val="Heading2"/>
        <w:numPr>
          <w:ilvl w:val="0"/>
          <w:numId w:val="26"/>
        </w:numPr>
        <w:spacing w:before="0"/>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rsidR="009939DC" w:rsidRDefault="009939DC" w:rsidP="001F2F80">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5EC9">
        <w:rPr>
          <w:szCs w:val="20"/>
        </w:rPr>
      </w:r>
      <w:r w:rsidR="00625EC9">
        <w:rPr>
          <w:szCs w:val="20"/>
        </w:rPr>
        <w:fldChar w:fldCharType="separate"/>
      </w:r>
      <w:r w:rsidRPr="000A5B32">
        <w:rPr>
          <w:szCs w:val="20"/>
        </w:rPr>
        <w:fldChar w:fldCharType="end"/>
      </w:r>
      <w:r w:rsidRPr="000A5B32">
        <w:rPr>
          <w:szCs w:val="20"/>
        </w:rPr>
        <w:t xml:space="preserve"> Yes</w:t>
      </w:r>
    </w:p>
    <w:p w:rsidR="009939DC" w:rsidRPr="001E6958" w:rsidRDefault="002F1BE5" w:rsidP="001F2F80">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Pr>
          <w:szCs w:val="20"/>
        </w:rPr>
      </w:r>
      <w:r>
        <w:rPr>
          <w:szCs w:val="20"/>
        </w:rPr>
        <w:fldChar w:fldCharType="end"/>
      </w:r>
      <w:r w:rsidR="009939DC">
        <w:rPr>
          <w:szCs w:val="20"/>
        </w:rPr>
        <w:t xml:space="preserve"> No  </w:t>
      </w:r>
    </w:p>
    <w:p w:rsidR="009939DC" w:rsidRDefault="00016B6E" w:rsidP="001F2F80">
      <w:pPr>
        <w:pStyle w:val="Heading2"/>
        <w:numPr>
          <w:ilvl w:val="0"/>
          <w:numId w:val="26"/>
        </w:numPr>
        <w:spacing w:before="0"/>
      </w:pPr>
      <w:r w:rsidRPr="009939DC">
        <w:t>If yes, please provide the name(s) of the spon</w:t>
      </w:r>
      <w:r w:rsidR="009939DC">
        <w:t>sor(s) an</w:t>
      </w:r>
      <w:bookmarkStart w:id="3" w:name="_GoBack"/>
      <w:bookmarkEnd w:id="3"/>
      <w:r w:rsidR="009939DC">
        <w:t>d / or manufacturer(s):</w:t>
      </w:r>
    </w:p>
    <w:p w:rsidR="00016B6E" w:rsidRPr="009939DC" w:rsidRDefault="009939DC" w:rsidP="001F2F80">
      <w:pPr>
        <w:spacing w:before="0"/>
        <w:ind w:left="284"/>
      </w:pPr>
      <w:r w:rsidRPr="009939DC">
        <w:fldChar w:fldCharType="begin">
          <w:ffData>
            <w:name w:val=""/>
            <w:enabled/>
            <w:calcOnExit w:val="0"/>
            <w:textInput>
              <w:default w:val="Insert sponsor and/or manufacturer name(s) here"/>
            </w:textInput>
          </w:ffData>
        </w:fldChar>
      </w:r>
      <w:r w:rsidRPr="009939DC">
        <w:instrText xml:space="preserve"> FORMTEXT </w:instrText>
      </w:r>
      <w:r w:rsidRPr="009939DC">
        <w:fldChar w:fldCharType="separate"/>
      </w:r>
      <w:r w:rsidRPr="009939DC">
        <w:rPr>
          <w:noProof/>
        </w:rPr>
        <w:t>Insert sponsor and/or manufacturer name(s) here</w:t>
      </w:r>
      <w:r w:rsidRPr="009939DC">
        <w:fldChar w:fldCharType="end"/>
      </w:r>
    </w:p>
    <w:p w:rsidR="0084657B" w:rsidRPr="009939DC" w:rsidRDefault="00A9062D" w:rsidP="001F2F80">
      <w:pPr>
        <w:pStyle w:val="Heading2"/>
        <w:spacing w:before="0"/>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rsidR="00C34956" w:rsidRDefault="009939DC" w:rsidP="001F2F80">
      <w:pPr>
        <w:spacing w:before="0"/>
        <w:ind w:left="284"/>
      </w:pPr>
      <w:r>
        <w:t xml:space="preserve">Single use consumables: </w:t>
      </w:r>
    </w:p>
    <w:p w:rsidR="009939DC" w:rsidRDefault="00C34956" w:rsidP="001F2F80">
      <w:pPr>
        <w:spacing w:before="0"/>
        <w:ind w:left="284"/>
      </w:pPr>
      <w:r>
        <w:rPr>
          <w:szCs w:val="20"/>
        </w:rPr>
        <w:t>The PD-L1 test comes as part of a kit (PD-L1 22C3 PharmDx</w:t>
      </w:r>
      <w:r w:rsidRPr="00E27DA6">
        <w:rPr>
          <w:szCs w:val="20"/>
          <w:vertAlign w:val="superscript"/>
        </w:rPr>
        <w:t>TM</w:t>
      </w:r>
      <w:r>
        <w:rPr>
          <w:szCs w:val="20"/>
        </w:rPr>
        <w:t xml:space="preserve"> kit)  </w:t>
      </w:r>
      <w:r w:rsidRPr="0062383B">
        <w:rPr>
          <w:szCs w:val="20"/>
        </w:rPr>
        <w:t xml:space="preserve">The kit is designed for 50 single use tests.  </w:t>
      </w:r>
    </w:p>
    <w:p w:rsidR="00C34956" w:rsidRDefault="009939DC" w:rsidP="001F2F80">
      <w:pPr>
        <w:spacing w:before="0"/>
        <w:ind w:left="284"/>
      </w:pPr>
      <w:r>
        <w:t>Multi-use consumables:</w:t>
      </w:r>
      <w:r w:rsidRPr="009939DC">
        <w:t xml:space="preserve"> </w:t>
      </w:r>
    </w:p>
    <w:p w:rsidR="00F301F1" w:rsidRPr="00855944" w:rsidRDefault="009939DC" w:rsidP="001F2F80">
      <w:pPr>
        <w:spacing w:before="0"/>
        <w:ind w:left="284"/>
      </w:pPr>
      <w:r>
        <w:fldChar w:fldCharType="begin">
          <w:ffData>
            <w:name w:val=""/>
            <w:enabled/>
            <w:calcOnExit w:val="0"/>
            <w:textInput>
              <w:default w:val="Insert description of multi use consumables here"/>
            </w:textInput>
          </w:ffData>
        </w:fldChar>
      </w:r>
      <w:r>
        <w:instrText xml:space="preserve"> FORMTEXT </w:instrText>
      </w:r>
      <w:r>
        <w:fldChar w:fldCharType="separate"/>
      </w:r>
      <w:r>
        <w:rPr>
          <w:noProof/>
        </w:rPr>
        <w:t>Insert description of multi use consumables here</w:t>
      </w:r>
      <w:r>
        <w:fldChar w:fldCharType="end"/>
      </w:r>
      <w:r w:rsidR="00F301F1" w:rsidRPr="00855944">
        <w:br w:type="page"/>
      </w:r>
    </w:p>
    <w:p w:rsidR="00226777" w:rsidRPr="00C776B1" w:rsidRDefault="00530204" w:rsidP="001F2F80">
      <w:pPr>
        <w:pStyle w:val="Heading1"/>
        <w:spacing w:after="120" w:line="240" w:lineRule="auto"/>
      </w:pPr>
      <w:r>
        <w:lastRenderedPageBreak/>
        <w:t>PART 3</w:t>
      </w:r>
      <w:r w:rsidR="00F93784">
        <w:t xml:space="preserve"> – </w:t>
      </w:r>
      <w:r w:rsidR="00226777" w:rsidRPr="00C776B1">
        <w:t>INFORMATION ABOUT REGULATORY REQUIREMENTS</w:t>
      </w:r>
    </w:p>
    <w:p w:rsidR="001A1ADF" w:rsidRPr="00A6491A" w:rsidRDefault="0011369B" w:rsidP="001F2F80">
      <w:pPr>
        <w:pStyle w:val="Heading2"/>
        <w:spacing w:before="0"/>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rsidR="00C34956" w:rsidRDefault="00A26343" w:rsidP="001F2F80">
      <w:pPr>
        <w:spacing w:before="0"/>
        <w:ind w:left="284"/>
      </w:pPr>
      <w:r w:rsidRPr="00A26343">
        <w:rPr>
          <w:szCs w:val="20"/>
        </w:rPr>
        <w:t>Type of therapeutic good</w:t>
      </w:r>
      <w:r>
        <w:rPr>
          <w:szCs w:val="20"/>
        </w:rPr>
        <w:t xml:space="preserve">: </w:t>
      </w:r>
    </w:p>
    <w:p w:rsidR="00A26343" w:rsidRPr="00A26343" w:rsidRDefault="00C34956" w:rsidP="001F2F80">
      <w:pPr>
        <w:spacing w:before="0"/>
        <w:ind w:left="284"/>
        <w:rPr>
          <w:szCs w:val="20"/>
        </w:rPr>
      </w:pPr>
      <w:r w:rsidRPr="005A48DB">
        <w:rPr>
          <w:szCs w:val="20"/>
        </w:rPr>
        <w:t>The PD-L1 test is a</w:t>
      </w:r>
      <w:r>
        <w:rPr>
          <w:szCs w:val="20"/>
        </w:rPr>
        <w:t xml:space="preserve"> class III</w:t>
      </w:r>
      <w:r w:rsidRPr="005A48DB">
        <w:rPr>
          <w:szCs w:val="20"/>
        </w:rPr>
        <w:t xml:space="preserve"> in vitro diagnostic test which uses IHC</w:t>
      </w:r>
      <w:r>
        <w:rPr>
          <w:szCs w:val="20"/>
        </w:rPr>
        <w:t xml:space="preserve"> (</w:t>
      </w:r>
      <w:r>
        <w:rPr>
          <w:rFonts w:ascii="Arial" w:hAnsi="Arial" w:cs="Arial"/>
          <w:sz w:val="14"/>
          <w:szCs w:val="14"/>
          <w:lang w:val="en-US"/>
        </w:rPr>
        <w:t xml:space="preserve">CT1056 </w:t>
      </w:r>
      <w:r w:rsidRPr="009B1758">
        <w:rPr>
          <w:rFonts w:cstheme="minorHAnsi"/>
          <w:sz w:val="18"/>
          <w:szCs w:val="18"/>
          <w:lang w:val="en-US"/>
        </w:rPr>
        <w:t>Immunohistology cell marker IVD</w:t>
      </w:r>
      <w:r>
        <w:rPr>
          <w:rFonts w:ascii="Arial" w:hAnsi="Arial" w:cs="Arial"/>
          <w:sz w:val="14"/>
          <w:szCs w:val="14"/>
          <w:lang w:val="en-US"/>
        </w:rPr>
        <w:t>s)</w:t>
      </w:r>
    </w:p>
    <w:p w:rsidR="00A26343" w:rsidRPr="00A26343" w:rsidRDefault="00A26343" w:rsidP="001F2F80">
      <w:pPr>
        <w:spacing w:before="0"/>
        <w:ind w:left="284"/>
        <w:rPr>
          <w:szCs w:val="20"/>
        </w:rPr>
      </w:pPr>
      <w:r w:rsidRPr="00A26343">
        <w:rPr>
          <w:szCs w:val="20"/>
        </w:rPr>
        <w:t>Manufacturer’s name</w:t>
      </w:r>
      <w:r>
        <w:rPr>
          <w:szCs w:val="20"/>
        </w:rPr>
        <w:t xml:space="preserve">: </w:t>
      </w:r>
      <w:r w:rsidR="00C34956">
        <w:t>Dako Pty Limited</w:t>
      </w:r>
    </w:p>
    <w:p w:rsidR="00A26343" w:rsidRPr="00A26343" w:rsidRDefault="00A26343" w:rsidP="001F2F80">
      <w:pPr>
        <w:spacing w:before="0"/>
        <w:ind w:left="284"/>
        <w:rPr>
          <w:szCs w:val="20"/>
        </w:rPr>
      </w:pPr>
      <w:r w:rsidRPr="00A26343">
        <w:rPr>
          <w:szCs w:val="20"/>
        </w:rPr>
        <w:t>Sponsor’s name</w:t>
      </w:r>
      <w:r>
        <w:rPr>
          <w:szCs w:val="20"/>
        </w:rPr>
        <w:t xml:space="preserve">: </w:t>
      </w:r>
      <w:r w:rsidR="00C34956" w:rsidRPr="005A48DB">
        <w:rPr>
          <w:szCs w:val="20"/>
        </w:rPr>
        <w:t>Merck Sharp &amp; Dohme (Australia) Pty Limited</w:t>
      </w:r>
    </w:p>
    <w:p w:rsidR="005E2CE3" w:rsidRPr="00154B00" w:rsidRDefault="005E2CE3" w:rsidP="001F2F80">
      <w:pPr>
        <w:pStyle w:val="Heading2"/>
        <w:numPr>
          <w:ilvl w:val="0"/>
          <w:numId w:val="27"/>
        </w:numPr>
        <w:spacing w:before="0"/>
      </w:pPr>
      <w:r>
        <w:t xml:space="preserve">Is the </w:t>
      </w:r>
      <w:r w:rsidRPr="0043654D">
        <w:t>medical</w:t>
      </w:r>
      <w:r>
        <w:t xml:space="preserve"> device classified by the TGA as either a Class III or Active Implantable Medical Device (AIMD) against the TGA regulatory scheme for devices?</w:t>
      </w:r>
    </w:p>
    <w:p w:rsidR="00615F42" w:rsidRPr="00615F42" w:rsidRDefault="00C34956" w:rsidP="001F2F80">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25EC9">
        <w:rPr>
          <w:szCs w:val="20"/>
        </w:rPr>
      </w:r>
      <w:r w:rsidR="00625EC9">
        <w:rPr>
          <w:szCs w:val="20"/>
        </w:rPr>
        <w:fldChar w:fldCharType="separate"/>
      </w:r>
      <w:r>
        <w:rPr>
          <w:szCs w:val="20"/>
        </w:rPr>
        <w:fldChar w:fldCharType="end"/>
      </w:r>
      <w:r w:rsidR="00615F42" w:rsidRPr="000A5B32">
        <w:rPr>
          <w:szCs w:val="20"/>
        </w:rPr>
        <w:t xml:space="preserve"> </w:t>
      </w:r>
      <w:r w:rsidR="00615F42" w:rsidRPr="00615F42">
        <w:rPr>
          <w:szCs w:val="20"/>
        </w:rPr>
        <w:t>Class III</w:t>
      </w:r>
    </w:p>
    <w:p w:rsidR="00615F42" w:rsidRPr="00615F42" w:rsidRDefault="00615F42" w:rsidP="001F2F80">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5EC9">
        <w:rPr>
          <w:szCs w:val="20"/>
        </w:rPr>
      </w:r>
      <w:r w:rsidR="00625EC9">
        <w:rPr>
          <w:szCs w:val="20"/>
        </w:rPr>
        <w:fldChar w:fldCharType="separate"/>
      </w:r>
      <w:r w:rsidRPr="000A5B32">
        <w:rPr>
          <w:szCs w:val="20"/>
        </w:rPr>
        <w:fldChar w:fldCharType="end"/>
      </w:r>
      <w:r w:rsidRPr="000A5B32">
        <w:rPr>
          <w:szCs w:val="20"/>
        </w:rPr>
        <w:t xml:space="preserve"> </w:t>
      </w:r>
      <w:r w:rsidRPr="00615F42">
        <w:rPr>
          <w:szCs w:val="20"/>
        </w:rPr>
        <w:t>AIMD</w:t>
      </w:r>
    </w:p>
    <w:p w:rsidR="005E2CE3" w:rsidRPr="00154B00" w:rsidRDefault="00615F42" w:rsidP="001F2F80">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5EC9">
        <w:rPr>
          <w:szCs w:val="20"/>
        </w:rPr>
      </w:r>
      <w:r w:rsidR="00625EC9">
        <w:rPr>
          <w:szCs w:val="20"/>
        </w:rPr>
        <w:fldChar w:fldCharType="separate"/>
      </w:r>
      <w:r w:rsidRPr="000A5B32">
        <w:rPr>
          <w:szCs w:val="20"/>
        </w:rPr>
        <w:fldChar w:fldCharType="end"/>
      </w:r>
      <w:r w:rsidRPr="000A5B32">
        <w:rPr>
          <w:szCs w:val="20"/>
        </w:rPr>
        <w:t xml:space="preserve"> </w:t>
      </w:r>
      <w:r w:rsidRPr="00615F42">
        <w:rPr>
          <w:szCs w:val="20"/>
        </w:rPr>
        <w:t>N/A</w:t>
      </w:r>
    </w:p>
    <w:p w:rsidR="003421AE" w:rsidRPr="00A6491A" w:rsidRDefault="0011369B" w:rsidP="001F2F80">
      <w:pPr>
        <w:pStyle w:val="Heading2"/>
        <w:spacing w:before="0"/>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rsidR="00615F42" w:rsidRDefault="00615F42" w:rsidP="001F2F80">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5EC9">
        <w:rPr>
          <w:szCs w:val="20"/>
        </w:rPr>
      </w:r>
      <w:r w:rsidR="00625EC9">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rsidR="003421AE" w:rsidRPr="00615F42" w:rsidRDefault="00C34956" w:rsidP="001F2F80">
      <w:pPr>
        <w:spacing w:before="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25EC9">
        <w:rPr>
          <w:szCs w:val="20"/>
        </w:rPr>
      </w:r>
      <w:r w:rsidR="00625EC9">
        <w:rPr>
          <w:szCs w:val="20"/>
        </w:rPr>
        <w:fldChar w:fldCharType="separate"/>
      </w:r>
      <w:r>
        <w:rPr>
          <w:szCs w:val="20"/>
        </w:rPr>
        <w:fldChar w:fldCharType="end"/>
      </w:r>
      <w:r w:rsidR="00615F42">
        <w:rPr>
          <w:szCs w:val="20"/>
        </w:rPr>
        <w:t xml:space="preserve"> No</w:t>
      </w:r>
    </w:p>
    <w:p w:rsidR="00D85676" w:rsidRDefault="00D85676" w:rsidP="001F2F80">
      <w:pPr>
        <w:pStyle w:val="Heading2"/>
        <w:numPr>
          <w:ilvl w:val="0"/>
          <w:numId w:val="28"/>
        </w:numPr>
        <w:spacing w:before="0"/>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rsidR="0043654D" w:rsidRDefault="0043654D" w:rsidP="001F2F80">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5EC9">
        <w:rPr>
          <w:szCs w:val="20"/>
        </w:rPr>
      </w:r>
      <w:r w:rsidR="00625EC9">
        <w:rPr>
          <w:szCs w:val="20"/>
        </w:rPr>
        <w:fldChar w:fldCharType="separate"/>
      </w:r>
      <w:r w:rsidRPr="000A5B32">
        <w:rPr>
          <w:szCs w:val="20"/>
        </w:rPr>
        <w:fldChar w:fldCharType="end"/>
      </w:r>
      <w:r>
        <w:rPr>
          <w:szCs w:val="20"/>
        </w:rPr>
        <w:t xml:space="preserve"> Yes (if yes, please provide details below)</w:t>
      </w:r>
    </w:p>
    <w:p w:rsidR="0043654D" w:rsidRPr="00C34956" w:rsidRDefault="00C34956" w:rsidP="001F2F80">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25EC9">
        <w:rPr>
          <w:szCs w:val="20"/>
        </w:rPr>
      </w:r>
      <w:r w:rsidR="00625EC9">
        <w:rPr>
          <w:szCs w:val="20"/>
        </w:rPr>
        <w:fldChar w:fldCharType="separate"/>
      </w:r>
      <w:r>
        <w:rPr>
          <w:szCs w:val="20"/>
        </w:rPr>
        <w:fldChar w:fldCharType="end"/>
      </w:r>
      <w:r w:rsidR="0043654D">
        <w:rPr>
          <w:szCs w:val="20"/>
        </w:rPr>
        <w:t xml:space="preserve"> No</w:t>
      </w:r>
    </w:p>
    <w:p w:rsidR="0043654D" w:rsidRPr="0043654D" w:rsidRDefault="0043654D" w:rsidP="001F2F80">
      <w:pPr>
        <w:spacing w:before="0"/>
        <w:ind w:left="284"/>
        <w:rPr>
          <w:szCs w:val="20"/>
        </w:rPr>
      </w:pPr>
      <w:r w:rsidRPr="0043654D">
        <w:rPr>
          <w:szCs w:val="20"/>
        </w:rPr>
        <w:t>ARTG listing, registration or inclusion number:</w:t>
      </w:r>
      <w:r>
        <w:rPr>
          <w:szCs w:val="20"/>
        </w:rPr>
        <w:t xml:space="preserve">  </w:t>
      </w:r>
      <w:r>
        <w:fldChar w:fldCharType="begin">
          <w:ffData>
            <w:name w:val=""/>
            <w:enabled/>
            <w:calcOnExit w:val="0"/>
            <w:textInput>
              <w:default w:val="Insert ARTG number here"/>
            </w:textInput>
          </w:ffData>
        </w:fldChar>
      </w:r>
      <w:r>
        <w:instrText xml:space="preserve"> FORMTEXT </w:instrText>
      </w:r>
      <w:r>
        <w:fldChar w:fldCharType="separate"/>
      </w:r>
      <w:r>
        <w:rPr>
          <w:noProof/>
        </w:rPr>
        <w:t>Insert ARTG number here</w:t>
      </w:r>
      <w:r>
        <w:fldChar w:fldCharType="end"/>
      </w:r>
    </w:p>
    <w:p w:rsidR="0043654D" w:rsidRPr="0043654D" w:rsidRDefault="0043654D" w:rsidP="001F2F80">
      <w:pPr>
        <w:spacing w:before="0"/>
        <w:ind w:left="284"/>
        <w:rPr>
          <w:szCs w:val="20"/>
        </w:rPr>
      </w:pPr>
      <w:r w:rsidRPr="0043654D">
        <w:rPr>
          <w:szCs w:val="20"/>
        </w:rPr>
        <w:t>TGA approved indication(s), if applicable:</w:t>
      </w:r>
      <w:r>
        <w:rPr>
          <w:szCs w:val="20"/>
        </w:rPr>
        <w:t xml:space="preserve">  </w:t>
      </w:r>
      <w:r>
        <w:fldChar w:fldCharType="begin">
          <w:ffData>
            <w:name w:val=""/>
            <w:enabled/>
            <w:calcOnExit w:val="0"/>
            <w:textInput>
              <w:default w:val="Insert approved indication(s) here"/>
            </w:textInput>
          </w:ffData>
        </w:fldChar>
      </w:r>
      <w:r>
        <w:instrText xml:space="preserve"> FORMTEXT </w:instrText>
      </w:r>
      <w:r>
        <w:fldChar w:fldCharType="separate"/>
      </w:r>
      <w:r>
        <w:rPr>
          <w:noProof/>
        </w:rPr>
        <w:t>Insert approved indication(s) here</w:t>
      </w:r>
      <w:r>
        <w:fldChar w:fldCharType="end"/>
      </w:r>
    </w:p>
    <w:p w:rsidR="00F301F1" w:rsidRPr="0043654D" w:rsidRDefault="0043654D" w:rsidP="001F2F80">
      <w:pPr>
        <w:spacing w:before="0"/>
        <w:ind w:left="284"/>
        <w:rPr>
          <w:szCs w:val="20"/>
        </w:rPr>
      </w:pPr>
      <w:r w:rsidRPr="0043654D">
        <w:rPr>
          <w:szCs w:val="20"/>
        </w:rPr>
        <w:t>TGA approved purpose(s), if applicable:</w:t>
      </w:r>
      <w:r>
        <w:rPr>
          <w:szCs w:val="20"/>
        </w:rPr>
        <w:t xml:space="preserve">  </w:t>
      </w:r>
      <w:r>
        <w:fldChar w:fldCharType="begin">
          <w:ffData>
            <w:name w:val=""/>
            <w:enabled/>
            <w:calcOnExit w:val="0"/>
            <w:textInput>
              <w:default w:val="Insert approved purpose(s) here"/>
            </w:textInput>
          </w:ffData>
        </w:fldChar>
      </w:r>
      <w:r>
        <w:instrText xml:space="preserve"> FORMTEXT </w:instrText>
      </w:r>
      <w:r>
        <w:fldChar w:fldCharType="separate"/>
      </w:r>
      <w:r>
        <w:rPr>
          <w:noProof/>
        </w:rPr>
        <w:t>Insert approved purpose(s) here</w:t>
      </w:r>
      <w:r>
        <w:fldChar w:fldCharType="end"/>
      </w:r>
    </w:p>
    <w:p w:rsidR="00C0796F" w:rsidRPr="0043654D" w:rsidRDefault="00C0796F" w:rsidP="001F2F80">
      <w:pPr>
        <w:pStyle w:val="Heading2"/>
        <w:spacing w:before="0"/>
      </w:pPr>
      <w:r w:rsidRPr="0043654D">
        <w:t>If the therapeutic good has not been listed, registered or included in the ARTG, is the therapeutic good in the process of being considered for inclusion by the TGA?</w:t>
      </w:r>
    </w:p>
    <w:p w:rsidR="0047581D" w:rsidRDefault="00C34956" w:rsidP="001F2F80">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25EC9">
        <w:rPr>
          <w:szCs w:val="20"/>
        </w:rPr>
      </w:r>
      <w:r w:rsidR="00625EC9">
        <w:rPr>
          <w:szCs w:val="20"/>
        </w:rPr>
        <w:fldChar w:fldCharType="separate"/>
      </w:r>
      <w:r>
        <w:rPr>
          <w:szCs w:val="20"/>
        </w:rPr>
        <w:fldChar w:fldCharType="end"/>
      </w:r>
      <w:r w:rsidR="0047581D">
        <w:rPr>
          <w:szCs w:val="20"/>
        </w:rPr>
        <w:t xml:space="preserve"> Yes (please provide details below)</w:t>
      </w:r>
    </w:p>
    <w:p w:rsidR="0047581D" w:rsidRPr="00365551" w:rsidRDefault="0047581D" w:rsidP="00365551">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5EC9">
        <w:rPr>
          <w:szCs w:val="20"/>
        </w:rPr>
      </w:r>
      <w:r w:rsidR="00625EC9">
        <w:rPr>
          <w:szCs w:val="20"/>
        </w:rPr>
        <w:fldChar w:fldCharType="separate"/>
      </w:r>
      <w:r w:rsidRPr="000A5B32">
        <w:rPr>
          <w:szCs w:val="20"/>
        </w:rPr>
        <w:fldChar w:fldCharType="end"/>
      </w:r>
      <w:r w:rsidR="00365551">
        <w:rPr>
          <w:szCs w:val="20"/>
        </w:rPr>
        <w:t xml:space="preserve"> No</w:t>
      </w:r>
    </w:p>
    <w:p w:rsidR="0047581D" w:rsidRPr="0047581D" w:rsidRDefault="0047581D" w:rsidP="001F2F80">
      <w:pPr>
        <w:spacing w:before="0"/>
        <w:rPr>
          <w:szCs w:val="20"/>
        </w:rPr>
      </w:pPr>
      <w:r w:rsidRPr="0047581D">
        <w:rPr>
          <w:szCs w:val="20"/>
        </w:rPr>
        <w:t xml:space="preserve">Date of submission to TGA:  </w:t>
      </w:r>
      <w:r w:rsidR="00C34956">
        <w:t>March 2016</w:t>
      </w:r>
    </w:p>
    <w:p w:rsidR="0047581D" w:rsidRPr="0047581D" w:rsidRDefault="0047581D" w:rsidP="001F2F80">
      <w:pPr>
        <w:spacing w:before="0"/>
        <w:rPr>
          <w:szCs w:val="20"/>
        </w:rPr>
      </w:pPr>
      <w:r w:rsidRPr="0047581D">
        <w:rPr>
          <w:szCs w:val="20"/>
        </w:rPr>
        <w:t>Estimated date by which TGA approval can be expected</w:t>
      </w:r>
      <w:r>
        <w:rPr>
          <w:szCs w:val="20"/>
        </w:rPr>
        <w:t xml:space="preserve">:  </w:t>
      </w:r>
      <w:r w:rsidR="00C34956">
        <w:t>October 2016</w:t>
      </w:r>
    </w:p>
    <w:p w:rsidR="0047581D" w:rsidRPr="0047581D" w:rsidRDefault="0047581D" w:rsidP="001F2F80">
      <w:pPr>
        <w:spacing w:before="0"/>
        <w:rPr>
          <w:szCs w:val="20"/>
        </w:rPr>
      </w:pPr>
      <w:r w:rsidRPr="0047581D">
        <w:rPr>
          <w:szCs w:val="20"/>
        </w:rPr>
        <w:t>TGA Application ID</w:t>
      </w:r>
      <w:r>
        <w:rPr>
          <w:szCs w:val="20"/>
        </w:rPr>
        <w:t xml:space="preserve">:  </w:t>
      </w:r>
      <w:r w:rsidR="00C34956">
        <w:rPr>
          <w:szCs w:val="20"/>
        </w:rPr>
        <w:t>DV-2016-IVA-02469-1/DA-2016-01000-1</w:t>
      </w:r>
    </w:p>
    <w:p w:rsidR="0047581D" w:rsidRPr="0047581D" w:rsidRDefault="0047581D" w:rsidP="001F2F80">
      <w:pPr>
        <w:spacing w:before="0"/>
        <w:rPr>
          <w:szCs w:val="20"/>
        </w:rPr>
      </w:pPr>
      <w:r w:rsidRPr="0047581D">
        <w:rPr>
          <w:szCs w:val="20"/>
        </w:rPr>
        <w:t>TGA approved indication(s), if applicable</w:t>
      </w:r>
      <w:r>
        <w:rPr>
          <w:szCs w:val="20"/>
        </w:rPr>
        <w:t xml:space="preserve">:  </w:t>
      </w:r>
      <w:r w:rsidR="00971EDB">
        <w:fldChar w:fldCharType="begin">
          <w:ffData>
            <w:name w:val=""/>
            <w:enabled/>
            <w:calcOnExit w:val="0"/>
            <w:textInput>
              <w:default w:val="If applicable, insert description of TGA approved indication(s) here"/>
            </w:textInput>
          </w:ffData>
        </w:fldChar>
      </w:r>
      <w:r w:rsidR="00971EDB">
        <w:instrText xml:space="preserve"> FORMTEXT </w:instrText>
      </w:r>
      <w:r w:rsidR="00971EDB">
        <w:fldChar w:fldCharType="separate"/>
      </w:r>
      <w:r w:rsidR="00971EDB">
        <w:rPr>
          <w:noProof/>
        </w:rPr>
        <w:t>If applicable, insert description of TGA approved indication(s) here</w:t>
      </w:r>
      <w:r w:rsidR="00971EDB">
        <w:fldChar w:fldCharType="end"/>
      </w:r>
    </w:p>
    <w:p w:rsidR="003433D1" w:rsidRPr="0047581D" w:rsidRDefault="0047581D" w:rsidP="001F2F80">
      <w:pPr>
        <w:spacing w:before="0"/>
        <w:rPr>
          <w:szCs w:val="20"/>
        </w:rPr>
      </w:pPr>
      <w:r w:rsidRPr="0047581D">
        <w:rPr>
          <w:szCs w:val="20"/>
        </w:rPr>
        <w:t>TGA approved purpose(s), if applicable</w:t>
      </w:r>
      <w:r>
        <w:rPr>
          <w:szCs w:val="20"/>
        </w:rPr>
        <w:t xml:space="preserve">:  </w:t>
      </w:r>
      <w:r w:rsidR="00971EDB">
        <w:fldChar w:fldCharType="begin">
          <w:ffData>
            <w:name w:val=""/>
            <w:enabled/>
            <w:calcOnExit w:val="0"/>
            <w:textInput>
              <w:default w:val="If applicable, insert description of TGA approved purpose(s) here"/>
            </w:textInput>
          </w:ffData>
        </w:fldChar>
      </w:r>
      <w:r w:rsidR="00971EDB">
        <w:instrText xml:space="preserve"> FORMTEXT </w:instrText>
      </w:r>
      <w:r w:rsidR="00971EDB">
        <w:fldChar w:fldCharType="separate"/>
      </w:r>
      <w:r w:rsidR="00971EDB">
        <w:rPr>
          <w:noProof/>
        </w:rPr>
        <w:t>If applicable, insert description of TGA approved purpose(s) here</w:t>
      </w:r>
      <w:r w:rsidR="00971EDB">
        <w:fldChar w:fldCharType="end"/>
      </w:r>
    </w:p>
    <w:p w:rsidR="00C0796F" w:rsidRPr="000A110D" w:rsidRDefault="000A110D" w:rsidP="001F2F80">
      <w:pPr>
        <w:pStyle w:val="Heading2"/>
        <w:spacing w:before="0"/>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rsidR="000A110D" w:rsidRDefault="000A110D" w:rsidP="001F2F80">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5EC9">
        <w:rPr>
          <w:szCs w:val="20"/>
        </w:rPr>
      </w:r>
      <w:r w:rsidR="00625EC9">
        <w:rPr>
          <w:szCs w:val="20"/>
        </w:rPr>
        <w:fldChar w:fldCharType="separate"/>
      </w:r>
      <w:r w:rsidRPr="000A5B32">
        <w:rPr>
          <w:szCs w:val="20"/>
        </w:rPr>
        <w:fldChar w:fldCharType="end"/>
      </w:r>
      <w:r>
        <w:rPr>
          <w:szCs w:val="20"/>
        </w:rPr>
        <w:t xml:space="preserve"> Yes (please provide details below)</w:t>
      </w:r>
    </w:p>
    <w:p w:rsidR="000A110D" w:rsidRDefault="000A110D" w:rsidP="001F2F80">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5EC9">
        <w:rPr>
          <w:szCs w:val="20"/>
        </w:rPr>
      </w:r>
      <w:r w:rsidR="00625EC9">
        <w:rPr>
          <w:szCs w:val="20"/>
        </w:rPr>
        <w:fldChar w:fldCharType="separate"/>
      </w:r>
      <w:r w:rsidRPr="000A5B32">
        <w:rPr>
          <w:szCs w:val="20"/>
        </w:rPr>
        <w:fldChar w:fldCharType="end"/>
      </w:r>
      <w:r>
        <w:rPr>
          <w:szCs w:val="20"/>
        </w:rPr>
        <w:t xml:space="preserve"> No</w:t>
      </w:r>
    </w:p>
    <w:p w:rsidR="000A110D" w:rsidRDefault="000A110D" w:rsidP="001F2F80">
      <w:pPr>
        <w:spacing w:before="0"/>
        <w:rPr>
          <w:szCs w:val="20"/>
        </w:rPr>
      </w:pPr>
    </w:p>
    <w:p w:rsidR="00971EDB" w:rsidRPr="00971EDB" w:rsidRDefault="00971EDB" w:rsidP="001F2F80">
      <w:pPr>
        <w:spacing w:before="0"/>
        <w:rPr>
          <w:szCs w:val="20"/>
        </w:rPr>
      </w:pPr>
      <w:r w:rsidRPr="00971EDB">
        <w:rPr>
          <w:szCs w:val="20"/>
        </w:rPr>
        <w:lastRenderedPageBreak/>
        <w:t>Estimated date of submission to TGA</w:t>
      </w:r>
      <w:r>
        <w:rPr>
          <w:szCs w:val="20"/>
        </w:rPr>
        <w:t xml:space="preserve">: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rsidR="00971EDB" w:rsidRPr="00971EDB" w:rsidRDefault="00971EDB" w:rsidP="001F2F80">
      <w:pPr>
        <w:spacing w:before="0"/>
        <w:rPr>
          <w:szCs w:val="20"/>
        </w:rPr>
      </w:pPr>
      <w:r w:rsidRPr="00971EDB">
        <w:rPr>
          <w:szCs w:val="20"/>
        </w:rPr>
        <w:t>Proposed indication(s), if applicable</w:t>
      </w:r>
      <w:r>
        <w:rPr>
          <w:szCs w:val="20"/>
        </w:rPr>
        <w:t xml:space="preserve">:  </w:t>
      </w:r>
      <w:r>
        <w:fldChar w:fldCharType="begin">
          <w:ffData>
            <w:name w:val=""/>
            <w:enabled/>
            <w:calcOnExit w:val="0"/>
            <w:textInput>
              <w:default w:val="If applicable, insert description of proposed indication(s)"/>
            </w:textInput>
          </w:ffData>
        </w:fldChar>
      </w:r>
      <w:r>
        <w:instrText xml:space="preserve"> FORMTEXT </w:instrText>
      </w:r>
      <w:r>
        <w:fldChar w:fldCharType="separate"/>
      </w:r>
      <w:r>
        <w:rPr>
          <w:noProof/>
        </w:rPr>
        <w:t>If applicable, insert description of proposed indication(s)</w:t>
      </w:r>
      <w:r>
        <w:fldChar w:fldCharType="end"/>
      </w:r>
    </w:p>
    <w:p w:rsidR="00971EDB" w:rsidRPr="00971EDB" w:rsidRDefault="00971EDB" w:rsidP="001F2F80">
      <w:pPr>
        <w:spacing w:before="0"/>
        <w:rPr>
          <w:szCs w:val="20"/>
        </w:rPr>
      </w:pPr>
      <w:r w:rsidRPr="00971EDB">
        <w:rPr>
          <w:szCs w:val="20"/>
        </w:rPr>
        <w:t>Proposed purpose(s), if applicable</w:t>
      </w:r>
      <w:r>
        <w:rPr>
          <w:szCs w:val="20"/>
        </w:rPr>
        <w:t xml:space="preserve">:  </w:t>
      </w:r>
      <w:r>
        <w:fldChar w:fldCharType="begin">
          <w:ffData>
            <w:name w:val=""/>
            <w:enabled/>
            <w:calcOnExit w:val="0"/>
            <w:textInput>
              <w:default w:val="If applicable, insert description of proposed purpose(s) here"/>
            </w:textInput>
          </w:ffData>
        </w:fldChar>
      </w:r>
      <w:r>
        <w:instrText xml:space="preserve"> FORMTEXT </w:instrText>
      </w:r>
      <w:r>
        <w:fldChar w:fldCharType="separate"/>
      </w:r>
      <w:r>
        <w:rPr>
          <w:noProof/>
        </w:rPr>
        <w:t>If applicable, insert description of proposed purpose(s) here</w:t>
      </w:r>
      <w:r>
        <w:fldChar w:fldCharType="end"/>
      </w:r>
    </w:p>
    <w:p w:rsidR="00F83A9D" w:rsidRPr="00154B00" w:rsidRDefault="00F83A9D" w:rsidP="001F2F80">
      <w:pPr>
        <w:spacing w:before="0"/>
        <w:rPr>
          <w:szCs w:val="20"/>
        </w:rPr>
      </w:pPr>
    </w:p>
    <w:p w:rsidR="00DD308E" w:rsidRDefault="00DD308E" w:rsidP="001F2F80">
      <w:pPr>
        <w:spacing w:before="0"/>
        <w:rPr>
          <w:b/>
          <w:sz w:val="32"/>
          <w:szCs w:val="32"/>
        </w:rPr>
        <w:sectPr w:rsidR="00DD308E" w:rsidSect="00991EE4">
          <w:footerReference w:type="default" r:id="rId12"/>
          <w:pgSz w:w="11906" w:h="16838"/>
          <w:pgMar w:top="1440" w:right="1440" w:bottom="1440" w:left="1440" w:header="708" w:footer="708" w:gutter="0"/>
          <w:pgNumType w:start="0"/>
          <w:cols w:space="708"/>
          <w:titlePg/>
          <w:docGrid w:linePitch="360"/>
        </w:sectPr>
      </w:pPr>
    </w:p>
    <w:p w:rsidR="00DD308E" w:rsidRPr="00C776B1" w:rsidRDefault="00B17CBE" w:rsidP="001F2F80">
      <w:pPr>
        <w:pStyle w:val="Heading1"/>
        <w:spacing w:after="120" w:line="240" w:lineRule="auto"/>
      </w:pPr>
      <w:r>
        <w:lastRenderedPageBreak/>
        <w:t>PART 4</w:t>
      </w:r>
      <w:r w:rsidR="00DD308E">
        <w:t xml:space="preserve"> – SUMMARY</w:t>
      </w:r>
      <w:r w:rsidR="00DD308E" w:rsidRPr="00C776B1">
        <w:t xml:space="preserve"> OF EVIDENCE</w:t>
      </w:r>
    </w:p>
    <w:p w:rsidR="00DD308E" w:rsidRPr="00832B31" w:rsidRDefault="00DD308E" w:rsidP="001F2F80">
      <w:pPr>
        <w:pStyle w:val="Heading2"/>
        <w:spacing w:before="0"/>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00" w:type="pct"/>
        <w:tblLayout w:type="fixed"/>
        <w:tblLook w:val="04A0" w:firstRow="1" w:lastRow="0" w:firstColumn="1" w:lastColumn="0" w:noHBand="0" w:noVBand="1"/>
        <w:tblCaption w:val="Summary of Evidence - Published"/>
      </w:tblPr>
      <w:tblGrid>
        <w:gridCol w:w="474"/>
        <w:gridCol w:w="1338"/>
        <w:gridCol w:w="2934"/>
        <w:gridCol w:w="5287"/>
        <w:gridCol w:w="2432"/>
        <w:gridCol w:w="1709"/>
      </w:tblGrid>
      <w:tr w:rsidR="00DD308E" w:rsidTr="00186558">
        <w:trPr>
          <w:cantSplit/>
          <w:tblHeader/>
        </w:trPr>
        <w:tc>
          <w:tcPr>
            <w:tcW w:w="167" w:type="pct"/>
          </w:tcPr>
          <w:p w:rsidR="00DD308E" w:rsidRDefault="00DD308E" w:rsidP="001F2F80">
            <w:pPr>
              <w:pStyle w:val="TableHEADER"/>
              <w:spacing w:before="0"/>
            </w:pPr>
          </w:p>
        </w:tc>
        <w:tc>
          <w:tcPr>
            <w:tcW w:w="472" w:type="pct"/>
          </w:tcPr>
          <w:p w:rsidR="00DD308E" w:rsidRDefault="00DD308E" w:rsidP="001F2F80">
            <w:pPr>
              <w:pStyle w:val="TableHEADER"/>
              <w:spacing w:before="0"/>
            </w:pPr>
            <w:r>
              <w:t>Type of study design*</w:t>
            </w:r>
          </w:p>
        </w:tc>
        <w:tc>
          <w:tcPr>
            <w:tcW w:w="1035" w:type="pct"/>
          </w:tcPr>
          <w:p w:rsidR="00DD308E" w:rsidRDefault="00DD308E" w:rsidP="001F2F80">
            <w:pPr>
              <w:pStyle w:val="TableHEADER"/>
              <w:spacing w:before="0"/>
            </w:pPr>
            <w:r>
              <w:t>Title of journal article  or research project (including any trial identifier or study lead if relevant)</w:t>
            </w:r>
          </w:p>
        </w:tc>
        <w:tc>
          <w:tcPr>
            <w:tcW w:w="1865" w:type="pct"/>
          </w:tcPr>
          <w:p w:rsidR="00DD308E" w:rsidRDefault="00DD308E" w:rsidP="001F2F80">
            <w:pPr>
              <w:pStyle w:val="TableHEADER"/>
              <w:spacing w:before="0"/>
            </w:pPr>
            <w:r>
              <w:t>Short description of research  (max 50 words)**</w:t>
            </w:r>
          </w:p>
        </w:tc>
        <w:tc>
          <w:tcPr>
            <w:tcW w:w="858" w:type="pct"/>
          </w:tcPr>
          <w:p w:rsidR="00DD308E" w:rsidRDefault="00DD308E" w:rsidP="001F2F80">
            <w:pPr>
              <w:pStyle w:val="TableHEADER"/>
              <w:spacing w:before="0"/>
            </w:pPr>
            <w:r w:rsidRPr="00E82F54">
              <w:t xml:space="preserve">Website link to </w:t>
            </w:r>
            <w:r>
              <w:t>journal article or research (if available)</w:t>
            </w:r>
          </w:p>
        </w:tc>
        <w:tc>
          <w:tcPr>
            <w:tcW w:w="604" w:type="pct"/>
          </w:tcPr>
          <w:p w:rsidR="00DD308E" w:rsidRDefault="00DD308E" w:rsidP="001F2F80">
            <w:pPr>
              <w:pStyle w:val="TableHEADER"/>
              <w:spacing w:before="0"/>
            </w:pPr>
            <w:r w:rsidRPr="00E82F54">
              <w:t>Date</w:t>
            </w:r>
            <w:r>
              <w:t xml:space="preserve"> of publication</w:t>
            </w:r>
            <w:r w:rsidRPr="00E82F54">
              <w:t>*</w:t>
            </w:r>
            <w:r>
              <w:t>**</w:t>
            </w:r>
          </w:p>
        </w:tc>
      </w:tr>
      <w:tr w:rsidR="00186558" w:rsidTr="00186558">
        <w:trPr>
          <w:cantSplit/>
        </w:trPr>
        <w:tc>
          <w:tcPr>
            <w:tcW w:w="167" w:type="pct"/>
          </w:tcPr>
          <w:p w:rsidR="00186558" w:rsidRPr="00C55A68" w:rsidRDefault="00186558" w:rsidP="001F2F80">
            <w:pPr>
              <w:spacing w:before="0"/>
              <w:rPr>
                <w:szCs w:val="20"/>
              </w:rPr>
            </w:pPr>
            <w:r w:rsidRPr="00C55A68">
              <w:rPr>
                <w:szCs w:val="20"/>
              </w:rPr>
              <w:t>1.</w:t>
            </w:r>
          </w:p>
        </w:tc>
        <w:tc>
          <w:tcPr>
            <w:tcW w:w="472" w:type="pct"/>
          </w:tcPr>
          <w:p w:rsidR="00186558" w:rsidRPr="00C55A68" w:rsidRDefault="00186558" w:rsidP="001F2F80">
            <w:pPr>
              <w:spacing w:before="0"/>
              <w:rPr>
                <w:szCs w:val="20"/>
              </w:rPr>
            </w:pPr>
            <w:r>
              <w:rPr>
                <w:szCs w:val="20"/>
              </w:rPr>
              <w:t>Non-randomised trial</w:t>
            </w:r>
          </w:p>
        </w:tc>
        <w:tc>
          <w:tcPr>
            <w:tcW w:w="1035" w:type="pct"/>
          </w:tcPr>
          <w:p w:rsidR="00186558" w:rsidRPr="00C55A68" w:rsidRDefault="00186558" w:rsidP="001F2F80">
            <w:pPr>
              <w:spacing w:before="0"/>
              <w:rPr>
                <w:szCs w:val="20"/>
              </w:rPr>
            </w:pPr>
            <w:r>
              <w:rPr>
                <w:szCs w:val="20"/>
              </w:rPr>
              <w:t xml:space="preserve">Alley et al, </w:t>
            </w:r>
            <w:r w:rsidRPr="00C55A68">
              <w:rPr>
                <w:szCs w:val="20"/>
              </w:rPr>
              <w:t>Cancer Research 2015 75:15 SUPPL. 1 Clinical safety and efficacy of pembrolizumab (MK-3475) in patients with malignant pleural mesothelioma: Preliminary results from KEYNOTE-028</w:t>
            </w:r>
          </w:p>
        </w:tc>
        <w:tc>
          <w:tcPr>
            <w:tcW w:w="1865" w:type="pct"/>
          </w:tcPr>
          <w:p w:rsidR="00186558" w:rsidRDefault="00186558" w:rsidP="001F2F80">
            <w:pPr>
              <w:spacing w:before="0"/>
              <w:rPr>
                <w:szCs w:val="20"/>
              </w:rPr>
            </w:pPr>
            <w:r>
              <w:rPr>
                <w:szCs w:val="20"/>
              </w:rPr>
              <w:t xml:space="preserve">Keynote 028 was a </w:t>
            </w:r>
            <w:r w:rsidRPr="00C55A68">
              <w:rPr>
                <w:szCs w:val="20"/>
              </w:rPr>
              <w:t>nonrandomized, multicohort, phase Ib trial of pembrolizumab for PD-L1-positive advanced solid tumors</w:t>
            </w:r>
            <w:r>
              <w:rPr>
                <w:szCs w:val="20"/>
              </w:rPr>
              <w:t xml:space="preserve"> (</w:t>
            </w:r>
            <w:r w:rsidRPr="000B4B1F">
              <w:rPr>
                <w:szCs w:val="20"/>
              </w:rPr>
              <w:t>ClinicalTrials.gov, NCT02054806</w:t>
            </w:r>
            <w:r>
              <w:rPr>
                <w:szCs w:val="20"/>
              </w:rPr>
              <w:t>).  Mesothelioma represented one cohort of this study.</w:t>
            </w:r>
          </w:p>
          <w:p w:rsidR="00186558" w:rsidRPr="00C55A68" w:rsidRDefault="00186558" w:rsidP="001F2F80">
            <w:pPr>
              <w:spacing w:before="0"/>
              <w:rPr>
                <w:szCs w:val="20"/>
              </w:rPr>
            </w:pPr>
            <w:r>
              <w:rPr>
                <w:szCs w:val="20"/>
              </w:rPr>
              <w:t xml:space="preserve">Of 25 patients with </w:t>
            </w:r>
            <w:r w:rsidRPr="00C55A68">
              <w:rPr>
                <w:szCs w:val="20"/>
              </w:rPr>
              <w:t xml:space="preserve">malignant pleural </w:t>
            </w:r>
            <w:r>
              <w:rPr>
                <w:szCs w:val="20"/>
              </w:rPr>
              <w:t xml:space="preserve">mesothelioma whose tumours expressed PD-L1 (&gt;=1%), the preliminary response rate  when treated with pembrolizumab (10mg/kg Q2W) was 24% (n=6).  </w:t>
            </w:r>
          </w:p>
        </w:tc>
        <w:tc>
          <w:tcPr>
            <w:tcW w:w="858" w:type="pct"/>
          </w:tcPr>
          <w:p w:rsidR="00186558" w:rsidRDefault="00625EC9" w:rsidP="001F2F80">
            <w:pPr>
              <w:spacing w:before="0"/>
              <w:rPr>
                <w:szCs w:val="20"/>
              </w:rPr>
            </w:pPr>
            <w:hyperlink r:id="rId13" w:history="1">
              <w:r w:rsidR="00186558">
                <w:rPr>
                  <w:rStyle w:val="Hyperlink"/>
                  <w:szCs w:val="20"/>
                </w:rPr>
                <w:t>link</w:t>
              </w:r>
            </w:hyperlink>
            <w:r w:rsidR="00186558">
              <w:rPr>
                <w:rStyle w:val="Hyperlink"/>
                <w:szCs w:val="20"/>
              </w:rPr>
              <w:t xml:space="preserve"> to article</w:t>
            </w:r>
          </w:p>
          <w:p w:rsidR="00186558" w:rsidRPr="00C55A68" w:rsidRDefault="00186558" w:rsidP="001F2F80">
            <w:pPr>
              <w:spacing w:before="0"/>
              <w:rPr>
                <w:szCs w:val="20"/>
              </w:rPr>
            </w:pPr>
          </w:p>
        </w:tc>
        <w:tc>
          <w:tcPr>
            <w:tcW w:w="604" w:type="pct"/>
          </w:tcPr>
          <w:p w:rsidR="00186558" w:rsidRPr="00E82F54" w:rsidRDefault="00186558" w:rsidP="001F2F80">
            <w:pPr>
              <w:spacing w:before="0"/>
              <w:rPr>
                <w:b/>
                <w:szCs w:val="20"/>
              </w:rPr>
            </w:pPr>
            <w:r>
              <w:rPr>
                <w:szCs w:val="20"/>
              </w:rPr>
              <w:t>1 August 2015</w:t>
            </w:r>
          </w:p>
        </w:tc>
      </w:tr>
    </w:tbl>
    <w:p w:rsidR="00DD308E" w:rsidRDefault="00DD308E" w:rsidP="001F2F80">
      <w:pPr>
        <w:spacing w:before="0"/>
        <w:ind w:left="426"/>
        <w:rPr>
          <w:i/>
          <w:szCs w:val="20"/>
        </w:rPr>
      </w:pPr>
      <w:r>
        <w:rPr>
          <w:i/>
          <w:szCs w:val="20"/>
        </w:rPr>
        <w:t xml:space="preserve">* Categorise study design, for example meta-analysis, randomised trials, non-randomised trial or observational study, study of diagnostic accuracy, etc. </w:t>
      </w:r>
    </w:p>
    <w:p w:rsidR="00DD308E" w:rsidRDefault="00DD308E" w:rsidP="001F2F80">
      <w:pPr>
        <w:spacing w:before="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rsidR="00DD308E" w:rsidRDefault="00DD308E" w:rsidP="001F2F80">
      <w:pPr>
        <w:spacing w:before="0"/>
        <w:ind w:left="426"/>
        <w:rPr>
          <w:b/>
          <w:sz w:val="32"/>
          <w:szCs w:val="32"/>
        </w:rPr>
        <w:sectPr w:rsidR="00DD308E" w:rsidSect="00DD308E">
          <w:pgSz w:w="16838" w:h="11906" w:orient="landscape"/>
          <w:pgMar w:top="1440" w:right="1440" w:bottom="1440" w:left="1440" w:header="708" w:footer="708" w:gutter="0"/>
          <w:cols w:space="708"/>
          <w:docGrid w:linePitch="360"/>
        </w:sectPr>
      </w:pPr>
      <w:r w:rsidRPr="00E82F54">
        <w:rPr>
          <w:i/>
          <w:szCs w:val="20"/>
        </w:rPr>
        <w:t>*</w:t>
      </w:r>
      <w:r>
        <w:rPr>
          <w:szCs w:val="20"/>
        </w:rPr>
        <w:t>**</w:t>
      </w:r>
      <w:r>
        <w:rPr>
          <w:i/>
          <w:szCs w:val="20"/>
        </w:rPr>
        <w:t xml:space="preserve"> If the publication is a follow-up to an initial publication, please advise.</w:t>
      </w:r>
    </w:p>
    <w:p w:rsidR="004C49EF" w:rsidRDefault="004C49EF" w:rsidP="001F2F80">
      <w:pPr>
        <w:pStyle w:val="Heading2"/>
        <w:spacing w:before="0"/>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5000" w:type="pct"/>
        <w:tblLayout w:type="fixed"/>
        <w:tblLook w:val="04A0" w:firstRow="1" w:lastRow="0" w:firstColumn="1" w:lastColumn="0" w:noHBand="0" w:noVBand="1"/>
        <w:tblCaption w:val="Summary of Evidence - Yet to be Published"/>
      </w:tblPr>
      <w:tblGrid>
        <w:gridCol w:w="471"/>
        <w:gridCol w:w="1199"/>
        <w:gridCol w:w="2982"/>
        <w:gridCol w:w="6231"/>
        <w:gridCol w:w="1984"/>
        <w:gridCol w:w="1307"/>
      </w:tblGrid>
      <w:tr w:rsidR="004C49EF" w:rsidTr="00186558">
        <w:trPr>
          <w:cantSplit/>
          <w:tblHeader/>
        </w:trPr>
        <w:tc>
          <w:tcPr>
            <w:tcW w:w="166" w:type="pct"/>
          </w:tcPr>
          <w:p w:rsidR="004C49EF" w:rsidRDefault="004C49EF" w:rsidP="001F2F80">
            <w:pPr>
              <w:pStyle w:val="TableHEADER"/>
              <w:spacing w:before="0"/>
            </w:pPr>
          </w:p>
        </w:tc>
        <w:tc>
          <w:tcPr>
            <w:tcW w:w="423" w:type="pct"/>
          </w:tcPr>
          <w:p w:rsidR="004C49EF" w:rsidRDefault="004C49EF" w:rsidP="001F2F80">
            <w:pPr>
              <w:pStyle w:val="TableHEADER"/>
              <w:spacing w:before="0"/>
            </w:pPr>
            <w:r>
              <w:t>Type of study design*</w:t>
            </w:r>
          </w:p>
        </w:tc>
        <w:tc>
          <w:tcPr>
            <w:tcW w:w="1052" w:type="pct"/>
          </w:tcPr>
          <w:p w:rsidR="004C49EF" w:rsidRDefault="004C49EF" w:rsidP="001F2F80">
            <w:pPr>
              <w:pStyle w:val="TableHEADER"/>
              <w:spacing w:before="0"/>
            </w:pPr>
            <w:r>
              <w:t>Title of research (including any trial identifier if relevant)</w:t>
            </w:r>
          </w:p>
        </w:tc>
        <w:tc>
          <w:tcPr>
            <w:tcW w:w="2198" w:type="pct"/>
          </w:tcPr>
          <w:p w:rsidR="004C49EF" w:rsidRDefault="00367C1B" w:rsidP="001F2F80">
            <w:pPr>
              <w:pStyle w:val="TableHEADER"/>
              <w:spacing w:before="0"/>
            </w:pPr>
            <w:r>
              <w:t xml:space="preserve">Short description of research </w:t>
            </w:r>
            <w:r w:rsidR="004C49EF">
              <w:t>(max 50 words)**</w:t>
            </w:r>
          </w:p>
        </w:tc>
        <w:tc>
          <w:tcPr>
            <w:tcW w:w="700" w:type="pct"/>
          </w:tcPr>
          <w:p w:rsidR="004C49EF" w:rsidRDefault="004C49EF" w:rsidP="001F2F80">
            <w:pPr>
              <w:pStyle w:val="TableHEADER"/>
              <w:spacing w:before="0"/>
            </w:pPr>
            <w:r w:rsidRPr="00E82F54">
              <w:t xml:space="preserve">Website link to </w:t>
            </w:r>
            <w:r>
              <w:t>research (if available)</w:t>
            </w:r>
          </w:p>
        </w:tc>
        <w:tc>
          <w:tcPr>
            <w:tcW w:w="461" w:type="pct"/>
          </w:tcPr>
          <w:p w:rsidR="004C49EF" w:rsidRDefault="004C49EF" w:rsidP="001F2F80">
            <w:pPr>
              <w:pStyle w:val="TableHEADER"/>
              <w:spacing w:before="0"/>
            </w:pPr>
            <w:r w:rsidRPr="00E82F54">
              <w:t>Date*</w:t>
            </w:r>
            <w:r>
              <w:t>**</w:t>
            </w:r>
          </w:p>
        </w:tc>
      </w:tr>
      <w:tr w:rsidR="00186558" w:rsidTr="00186558">
        <w:trPr>
          <w:cantSplit/>
        </w:trPr>
        <w:tc>
          <w:tcPr>
            <w:tcW w:w="166" w:type="pct"/>
          </w:tcPr>
          <w:p w:rsidR="00186558" w:rsidRPr="00965B6B" w:rsidRDefault="00186558" w:rsidP="001F2F80">
            <w:pPr>
              <w:spacing w:before="0"/>
              <w:rPr>
                <w:szCs w:val="20"/>
              </w:rPr>
            </w:pPr>
            <w:r w:rsidRPr="00965B6B">
              <w:rPr>
                <w:szCs w:val="20"/>
              </w:rPr>
              <w:t>1</w:t>
            </w:r>
            <w:r>
              <w:rPr>
                <w:szCs w:val="20"/>
              </w:rPr>
              <w:t>.</w:t>
            </w:r>
          </w:p>
        </w:tc>
        <w:tc>
          <w:tcPr>
            <w:tcW w:w="423" w:type="pct"/>
          </w:tcPr>
          <w:p w:rsidR="00186558" w:rsidRPr="000B4B1F" w:rsidRDefault="00186558" w:rsidP="001F2F80">
            <w:pPr>
              <w:spacing w:before="0"/>
              <w:rPr>
                <w:szCs w:val="20"/>
              </w:rPr>
            </w:pPr>
            <w:r w:rsidRPr="000B4B1F">
              <w:rPr>
                <w:szCs w:val="20"/>
              </w:rPr>
              <w:t>Non randomised</w:t>
            </w:r>
          </w:p>
        </w:tc>
        <w:tc>
          <w:tcPr>
            <w:tcW w:w="1052" w:type="pct"/>
          </w:tcPr>
          <w:p w:rsidR="00186558" w:rsidRPr="000B4B1F" w:rsidRDefault="00186558" w:rsidP="001F2F80">
            <w:pPr>
              <w:spacing w:before="0"/>
              <w:rPr>
                <w:szCs w:val="20"/>
              </w:rPr>
            </w:pPr>
            <w:r w:rsidRPr="000B4B1F">
              <w:rPr>
                <w:szCs w:val="20"/>
              </w:rPr>
              <w:t>Study of Pembrolizumab (MK-3475) in Participants With Advanced Solid Tumors (MK-3475-158/KEYNOTE-158)</w:t>
            </w:r>
          </w:p>
        </w:tc>
        <w:tc>
          <w:tcPr>
            <w:tcW w:w="2198" w:type="pct"/>
          </w:tcPr>
          <w:p w:rsidR="00186558" w:rsidRDefault="00186558" w:rsidP="001F2F80">
            <w:pPr>
              <w:spacing w:before="0"/>
              <w:rPr>
                <w:szCs w:val="20"/>
              </w:rPr>
            </w:pPr>
            <w:r w:rsidRPr="000B4B1F">
              <w:rPr>
                <w:szCs w:val="20"/>
              </w:rPr>
              <w:t xml:space="preserve">Keynote </w:t>
            </w:r>
            <w:r>
              <w:rPr>
                <w:szCs w:val="20"/>
              </w:rPr>
              <w:t>158 is</w:t>
            </w:r>
            <w:r w:rsidRPr="000B4B1F">
              <w:rPr>
                <w:szCs w:val="20"/>
              </w:rPr>
              <w:t xml:space="preserve"> a nonrandomized, </w:t>
            </w:r>
            <w:r>
              <w:rPr>
                <w:szCs w:val="20"/>
              </w:rPr>
              <w:t xml:space="preserve">single arm </w:t>
            </w:r>
            <w:r w:rsidRPr="000B4B1F">
              <w:rPr>
                <w:szCs w:val="20"/>
              </w:rPr>
              <w:t>multicohort, phase Ib trial of pembrolizumab</w:t>
            </w:r>
            <w:r>
              <w:rPr>
                <w:szCs w:val="20"/>
              </w:rPr>
              <w:t xml:space="preserve"> (200 mg Q3W)</w:t>
            </w:r>
            <w:r w:rsidRPr="000B4B1F">
              <w:rPr>
                <w:szCs w:val="20"/>
              </w:rPr>
              <w:t xml:space="preserve"> for </w:t>
            </w:r>
            <w:r>
              <w:rPr>
                <w:szCs w:val="20"/>
              </w:rPr>
              <w:t xml:space="preserve">patients with </w:t>
            </w:r>
            <w:r w:rsidRPr="000B4B1F">
              <w:rPr>
                <w:szCs w:val="20"/>
              </w:rPr>
              <w:t>advanced solid tumors (ClinicalTrials.gov, NCT02628067).</w:t>
            </w:r>
          </w:p>
          <w:p w:rsidR="00186558" w:rsidRDefault="00186558" w:rsidP="001F2F80">
            <w:pPr>
              <w:spacing w:before="0"/>
              <w:rPr>
                <w:szCs w:val="20"/>
              </w:rPr>
            </w:pPr>
            <w:r>
              <w:rPr>
                <w:szCs w:val="20"/>
              </w:rPr>
              <w:t>One cohort is mesothelioma patients who have received 2L treatment or later.</w:t>
            </w:r>
          </w:p>
          <w:p w:rsidR="00186558" w:rsidRPr="00186558" w:rsidRDefault="00186558" w:rsidP="001F2F80">
            <w:pPr>
              <w:spacing w:before="0"/>
              <w:rPr>
                <w:b/>
                <w:szCs w:val="20"/>
                <w:u w:val="single"/>
              </w:rPr>
            </w:pPr>
            <w:r>
              <w:rPr>
                <w:b/>
                <w:szCs w:val="20"/>
                <w:u w:val="single"/>
              </w:rPr>
              <w:t>REDACTED</w:t>
            </w:r>
          </w:p>
        </w:tc>
        <w:tc>
          <w:tcPr>
            <w:tcW w:w="700" w:type="pct"/>
          </w:tcPr>
          <w:p w:rsidR="00186558" w:rsidRDefault="00625EC9" w:rsidP="001F2F80">
            <w:pPr>
              <w:spacing w:before="0"/>
              <w:rPr>
                <w:szCs w:val="20"/>
              </w:rPr>
            </w:pPr>
            <w:hyperlink r:id="rId14" w:history="1">
              <w:r w:rsidR="00365551">
                <w:rPr>
                  <w:rStyle w:val="Hyperlink"/>
                  <w:szCs w:val="20"/>
                </w:rPr>
                <w:t>link</w:t>
              </w:r>
            </w:hyperlink>
            <w:r w:rsidR="00365551">
              <w:rPr>
                <w:rStyle w:val="Hyperlink"/>
                <w:szCs w:val="20"/>
              </w:rPr>
              <w:t xml:space="preserve"> to research</w:t>
            </w:r>
          </w:p>
          <w:p w:rsidR="00186558" w:rsidRPr="000B4B1F" w:rsidRDefault="00186558" w:rsidP="001F2F80">
            <w:pPr>
              <w:spacing w:before="0"/>
              <w:rPr>
                <w:szCs w:val="20"/>
              </w:rPr>
            </w:pPr>
          </w:p>
        </w:tc>
        <w:tc>
          <w:tcPr>
            <w:tcW w:w="461" w:type="pct"/>
          </w:tcPr>
          <w:p w:rsidR="00186558" w:rsidRPr="0062317E" w:rsidRDefault="00186558" w:rsidP="001F2F80">
            <w:pPr>
              <w:spacing w:before="0"/>
              <w:rPr>
                <w:szCs w:val="20"/>
              </w:rPr>
            </w:pPr>
            <w:r w:rsidRPr="00DB1387">
              <w:rPr>
                <w:szCs w:val="20"/>
              </w:rPr>
              <w:t xml:space="preserve">Preliminary data available </w:t>
            </w:r>
            <w:r>
              <w:rPr>
                <w:szCs w:val="20"/>
              </w:rPr>
              <w:t>by Q1 2017</w:t>
            </w:r>
          </w:p>
        </w:tc>
      </w:tr>
    </w:tbl>
    <w:p w:rsidR="004C49EF" w:rsidRDefault="004C49EF" w:rsidP="001F2F80">
      <w:pPr>
        <w:spacing w:before="0"/>
        <w:ind w:left="426"/>
        <w:rPr>
          <w:i/>
          <w:szCs w:val="20"/>
        </w:rPr>
      </w:pPr>
      <w:r>
        <w:rPr>
          <w:i/>
          <w:szCs w:val="20"/>
        </w:rPr>
        <w:t xml:space="preserve">* Categorise study design, for example meta-analysis, randomised trials, non-randomised trial or observational study, study of diagnostic accuracy, etc. </w:t>
      </w:r>
    </w:p>
    <w:p w:rsidR="004C49EF" w:rsidRDefault="004C49EF" w:rsidP="001F2F80">
      <w:pPr>
        <w:spacing w:before="0"/>
        <w:ind w:left="426"/>
        <w:rPr>
          <w:i/>
          <w:szCs w:val="20"/>
        </w:rPr>
      </w:pPr>
      <w:r>
        <w:rPr>
          <w:i/>
          <w:szCs w:val="20"/>
        </w:rPr>
        <w:t>**Provide high level information including population numbers and whether patients are being recruited or in post-recruitment.</w:t>
      </w:r>
    </w:p>
    <w:p w:rsidR="004C49EF" w:rsidRPr="00E82F54" w:rsidRDefault="004C49EF" w:rsidP="001F2F80">
      <w:pPr>
        <w:spacing w:before="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rsidR="00DD308E" w:rsidRDefault="00F301F1" w:rsidP="001F2F80">
      <w:pPr>
        <w:spacing w:before="0"/>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rsidR="00E82F54" w:rsidRPr="00C776B1" w:rsidRDefault="005C3AE7" w:rsidP="001F2F80">
      <w:pPr>
        <w:pStyle w:val="Heading1"/>
        <w:spacing w:after="120" w:line="240" w:lineRule="auto"/>
      </w:pPr>
      <w:r>
        <w:lastRenderedPageBreak/>
        <w:t>PART 5</w:t>
      </w:r>
      <w:r w:rsidR="00F93784">
        <w:t xml:space="preserve"> – </w:t>
      </w:r>
      <w:r w:rsidR="00E82F54" w:rsidRPr="00C776B1">
        <w:t>CLINICAL ENDORSEMENT AND CONSUMER INFORMATION</w:t>
      </w:r>
    </w:p>
    <w:p w:rsidR="00E82F54" w:rsidRDefault="00E82F54" w:rsidP="001F2F80">
      <w:pPr>
        <w:pStyle w:val="Heading2"/>
        <w:spacing w:before="0"/>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rsidR="0084538D" w:rsidRDefault="0084538D" w:rsidP="001F2F80">
      <w:pPr>
        <w:spacing w:before="0"/>
        <w:ind w:left="284"/>
        <w:rPr>
          <w:szCs w:val="20"/>
        </w:rPr>
      </w:pPr>
      <w:r w:rsidRPr="0062317E">
        <w:rPr>
          <w:szCs w:val="20"/>
        </w:rPr>
        <w:t>Medical Oncology Group of Australia</w:t>
      </w:r>
    </w:p>
    <w:p w:rsidR="00A727B6" w:rsidRPr="00A727B6" w:rsidRDefault="0084538D" w:rsidP="001F2F80">
      <w:pPr>
        <w:spacing w:before="0"/>
        <w:ind w:left="284"/>
      </w:pPr>
      <w:r w:rsidRPr="0062317E">
        <w:rPr>
          <w:szCs w:val="20"/>
        </w:rPr>
        <w:t>Royal College of Pathologists of Australasia</w:t>
      </w:r>
    </w:p>
    <w:p w:rsidR="00EA173C" w:rsidRPr="00154B00" w:rsidRDefault="00EA173C" w:rsidP="001F2F80">
      <w:pPr>
        <w:pStyle w:val="Heading2"/>
        <w:spacing w:before="0"/>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rsidR="00EA173C" w:rsidRDefault="0084538D" w:rsidP="001F2F80">
      <w:pPr>
        <w:spacing w:before="0"/>
        <w:ind w:left="426"/>
      </w:pPr>
      <w:r>
        <w:t>Not applicable</w:t>
      </w:r>
    </w:p>
    <w:p w:rsidR="00E82F54" w:rsidRPr="00154B00" w:rsidRDefault="00E82F54" w:rsidP="001F2F80">
      <w:pPr>
        <w:pStyle w:val="Heading2"/>
        <w:spacing w:before="0"/>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rsidR="0084538D" w:rsidRDefault="0084538D" w:rsidP="001F2F80">
      <w:pPr>
        <w:spacing w:before="0"/>
        <w:ind w:left="284"/>
        <w:rPr>
          <w:szCs w:val="20"/>
        </w:rPr>
      </w:pPr>
      <w:r>
        <w:rPr>
          <w:szCs w:val="20"/>
        </w:rPr>
        <w:t>Asbestos Diseases Foundation of Australia Inc. (ADFA)</w:t>
      </w:r>
    </w:p>
    <w:p w:rsidR="0084538D" w:rsidRDefault="0084538D" w:rsidP="001F2F80">
      <w:pPr>
        <w:spacing w:before="0"/>
        <w:ind w:left="284"/>
        <w:rPr>
          <w:szCs w:val="20"/>
        </w:rPr>
      </w:pPr>
      <w:r>
        <w:rPr>
          <w:szCs w:val="20"/>
        </w:rPr>
        <w:t>Bernie Banton Foundation</w:t>
      </w:r>
    </w:p>
    <w:p w:rsidR="00E82F54" w:rsidRDefault="0084538D" w:rsidP="001F2F80">
      <w:pPr>
        <w:spacing w:before="0"/>
        <w:ind w:left="284"/>
        <w:rPr>
          <w:szCs w:val="20"/>
        </w:rPr>
      </w:pPr>
      <w:r>
        <w:rPr>
          <w:szCs w:val="20"/>
        </w:rPr>
        <w:t>The Asbestosis and Mesothelioma Association of Australia (AMAA)</w:t>
      </w:r>
    </w:p>
    <w:p w:rsidR="003433D1" w:rsidRDefault="003433D1" w:rsidP="001F2F80">
      <w:pPr>
        <w:pStyle w:val="Heading2"/>
        <w:spacing w:before="0"/>
      </w:pPr>
      <w:r>
        <w:t xml:space="preserve">List the relevant </w:t>
      </w:r>
      <w:r w:rsidRPr="00EE6450">
        <w:t>sponsor</w:t>
      </w:r>
      <w:r>
        <w:t xml:space="preserve">(s) and / or manufacturer(s) who produce similar products relevant </w:t>
      </w:r>
      <w:r w:rsidR="00197D29">
        <w:t>to the proposed medical service:</w:t>
      </w:r>
    </w:p>
    <w:p w:rsidR="00EE6450" w:rsidRDefault="001F2F80" w:rsidP="001F2F80">
      <w:pPr>
        <w:spacing w:before="0"/>
        <w:ind w:left="426"/>
        <w:rPr>
          <w:szCs w:val="20"/>
        </w:rPr>
      </w:pPr>
      <w:r>
        <w:t>Not applicable</w:t>
      </w:r>
    </w:p>
    <w:p w:rsidR="00A96329" w:rsidRPr="00A96329" w:rsidRDefault="00E82F54" w:rsidP="001F2F80">
      <w:pPr>
        <w:pStyle w:val="Heading2"/>
        <w:spacing w:before="0"/>
      </w:pPr>
      <w:r w:rsidRPr="00154B00">
        <w:t>Nominate two experts who could be approached about the proposed medical service and the current clinical management of the service(s):</w:t>
      </w:r>
    </w:p>
    <w:p w:rsidR="00987ABE" w:rsidRPr="00987ABE" w:rsidRDefault="00987ABE" w:rsidP="001F2F80">
      <w:pPr>
        <w:spacing w:before="0"/>
        <w:ind w:left="426"/>
        <w:rPr>
          <w:szCs w:val="20"/>
        </w:rPr>
      </w:pPr>
      <w:r>
        <w:rPr>
          <w:szCs w:val="20"/>
        </w:rPr>
        <w:t xml:space="preserve">Name of expert 1: </w:t>
      </w:r>
      <w:r w:rsidR="001F2F80" w:rsidRPr="001F2F80">
        <w:rPr>
          <w:b/>
        </w:rPr>
        <w:t>redacted</w:t>
      </w:r>
    </w:p>
    <w:p w:rsidR="00987ABE" w:rsidRPr="00987ABE" w:rsidRDefault="00987ABE" w:rsidP="001F2F80">
      <w:pPr>
        <w:spacing w:before="0"/>
        <w:ind w:left="426"/>
        <w:rPr>
          <w:szCs w:val="20"/>
        </w:rPr>
      </w:pPr>
      <w:r>
        <w:rPr>
          <w:szCs w:val="20"/>
        </w:rPr>
        <w:t xml:space="preserve">Telephone number(s): </w:t>
      </w:r>
      <w:r w:rsidR="001F2F80" w:rsidRPr="001F2F80">
        <w:rPr>
          <w:b/>
        </w:rPr>
        <w:t>redacted</w:t>
      </w:r>
    </w:p>
    <w:p w:rsidR="00987ABE" w:rsidRPr="00987ABE" w:rsidRDefault="00987ABE" w:rsidP="001F2F80">
      <w:pPr>
        <w:spacing w:before="0"/>
        <w:ind w:left="426"/>
        <w:rPr>
          <w:szCs w:val="20"/>
        </w:rPr>
      </w:pPr>
      <w:r>
        <w:rPr>
          <w:szCs w:val="20"/>
        </w:rPr>
        <w:t xml:space="preserve">Email address: </w:t>
      </w:r>
      <w:r w:rsidR="001F2F80" w:rsidRPr="001F2F80">
        <w:rPr>
          <w:b/>
        </w:rPr>
        <w:t>redacted</w:t>
      </w:r>
    </w:p>
    <w:p w:rsidR="00987ABE" w:rsidRPr="00987ABE" w:rsidRDefault="00987ABE" w:rsidP="001F2F80">
      <w:pPr>
        <w:spacing w:before="0"/>
        <w:ind w:left="426"/>
        <w:rPr>
          <w:szCs w:val="20"/>
        </w:rPr>
      </w:pPr>
      <w:r>
        <w:rPr>
          <w:szCs w:val="20"/>
        </w:rPr>
        <w:t xml:space="preserve">Justification of expertise: </w:t>
      </w:r>
      <w:r w:rsidR="001F2F80" w:rsidRPr="001F2F80">
        <w:rPr>
          <w:b/>
        </w:rPr>
        <w:t>redacted</w:t>
      </w:r>
    </w:p>
    <w:p w:rsidR="00987ABE" w:rsidRPr="00987ABE" w:rsidRDefault="00987ABE" w:rsidP="001F2F80">
      <w:pPr>
        <w:spacing w:before="0"/>
        <w:ind w:left="426"/>
        <w:rPr>
          <w:szCs w:val="20"/>
        </w:rPr>
      </w:pPr>
      <w:r>
        <w:rPr>
          <w:szCs w:val="20"/>
        </w:rPr>
        <w:t xml:space="preserve">Name of expert 2: </w:t>
      </w:r>
      <w:r w:rsidR="001F2F80" w:rsidRPr="001F2F80">
        <w:rPr>
          <w:b/>
        </w:rPr>
        <w:t>redacted</w:t>
      </w:r>
    </w:p>
    <w:p w:rsidR="00987ABE" w:rsidRPr="00987ABE" w:rsidRDefault="00987ABE" w:rsidP="001F2F80">
      <w:pPr>
        <w:spacing w:before="0"/>
        <w:ind w:left="426"/>
        <w:rPr>
          <w:szCs w:val="20"/>
        </w:rPr>
      </w:pPr>
      <w:r>
        <w:rPr>
          <w:szCs w:val="20"/>
        </w:rPr>
        <w:t xml:space="preserve">Telephone number(s): </w:t>
      </w:r>
      <w:r w:rsidR="001F2F80" w:rsidRPr="001F2F80">
        <w:rPr>
          <w:b/>
        </w:rPr>
        <w:t>redacted</w:t>
      </w:r>
    </w:p>
    <w:p w:rsidR="00987ABE" w:rsidRPr="00987ABE" w:rsidRDefault="00987ABE" w:rsidP="001F2F80">
      <w:pPr>
        <w:spacing w:before="0"/>
        <w:ind w:left="426"/>
        <w:rPr>
          <w:szCs w:val="20"/>
        </w:rPr>
      </w:pPr>
      <w:r>
        <w:rPr>
          <w:szCs w:val="20"/>
        </w:rPr>
        <w:t xml:space="preserve">Email address: </w:t>
      </w:r>
      <w:r w:rsidR="001F2F80" w:rsidRPr="001F2F80">
        <w:rPr>
          <w:b/>
        </w:rPr>
        <w:t>redacted</w:t>
      </w:r>
    </w:p>
    <w:p w:rsidR="00987ABE" w:rsidRPr="001F2F80" w:rsidRDefault="00987ABE" w:rsidP="001F2F80">
      <w:pPr>
        <w:spacing w:before="0"/>
        <w:ind w:left="426"/>
        <w:rPr>
          <w:szCs w:val="20"/>
        </w:rPr>
      </w:pPr>
      <w:r>
        <w:rPr>
          <w:szCs w:val="20"/>
        </w:rPr>
        <w:t xml:space="preserve">Justification of expertise: </w:t>
      </w:r>
      <w:r w:rsidR="001F2F80" w:rsidRPr="001F2F80">
        <w:rPr>
          <w:b/>
        </w:rPr>
        <w:t>redacted</w:t>
      </w:r>
    </w:p>
    <w:p w:rsidR="00E82F54" w:rsidRPr="00154B00" w:rsidRDefault="00E82F54" w:rsidP="001F2F80">
      <w:pPr>
        <w:spacing w:before="0"/>
        <w:ind w:left="426"/>
        <w:rPr>
          <w:i/>
          <w:szCs w:val="20"/>
        </w:rPr>
      </w:pPr>
      <w:r w:rsidRPr="00154B00">
        <w:rPr>
          <w:i/>
          <w:szCs w:val="20"/>
        </w:rPr>
        <w:t>Please note that the Department may also consult with other referrers, proceduralists and disease specialists to obtain their insight.</w:t>
      </w:r>
    </w:p>
    <w:p w:rsidR="003433D1" w:rsidRDefault="003433D1" w:rsidP="001F2F80">
      <w:pPr>
        <w:spacing w:before="0"/>
        <w:rPr>
          <w:b/>
          <w:sz w:val="32"/>
          <w:szCs w:val="32"/>
        </w:rPr>
      </w:pPr>
      <w:r>
        <w:rPr>
          <w:b/>
          <w:sz w:val="32"/>
          <w:szCs w:val="32"/>
        </w:rPr>
        <w:br w:type="page"/>
      </w:r>
    </w:p>
    <w:p w:rsidR="00E82F54" w:rsidRPr="00EA173C" w:rsidRDefault="00F93784" w:rsidP="001F2F80">
      <w:pPr>
        <w:pStyle w:val="Heading1"/>
        <w:spacing w:after="120" w:line="240" w:lineRule="auto"/>
      </w:pPr>
      <w:r>
        <w:lastRenderedPageBreak/>
        <w:t>PAR</w:t>
      </w:r>
      <w:r w:rsidR="005C3AE7">
        <w:t>T 6</w:t>
      </w:r>
      <w:r>
        <w:t xml:space="preserve"> – POPULATION</w:t>
      </w:r>
      <w:r w:rsidR="000525BC">
        <w:t xml:space="preserve"> (AND PRIOR TESTS)</w:t>
      </w:r>
      <w:r>
        <w:t>, INDICATION, COMPARATOR, OUTCOME (PICO)</w:t>
      </w:r>
    </w:p>
    <w:p w:rsidR="0021185D" w:rsidRPr="005C3AE7" w:rsidRDefault="005C3AE7" w:rsidP="001F2F80">
      <w:pPr>
        <w:pStyle w:val="Subtitle"/>
        <w:spacing w:before="0"/>
      </w:pPr>
      <w:r w:rsidRPr="005C3AE7">
        <w:t xml:space="preserve">PART 6a – </w:t>
      </w:r>
      <w:r w:rsidR="0021185D" w:rsidRPr="005C3AE7">
        <w:t>INFORMATION ABOUT THE PROPOSED POPULATION</w:t>
      </w:r>
    </w:p>
    <w:p w:rsidR="0021185D" w:rsidRPr="00A96329" w:rsidRDefault="0021185D" w:rsidP="001F2F80">
      <w:pPr>
        <w:pStyle w:val="Heading2"/>
        <w:spacing w:before="0"/>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rsidR="001F2F80" w:rsidRDefault="001F2F80" w:rsidP="001F2F80">
      <w:pPr>
        <w:spacing w:before="0"/>
        <w:ind w:left="425"/>
        <w:rPr>
          <w:szCs w:val="20"/>
        </w:rPr>
      </w:pPr>
      <w:r w:rsidRPr="00F90F62">
        <w:rPr>
          <w:szCs w:val="20"/>
        </w:rPr>
        <w:t>Mesothelioma is a cancer of the protective lining of the body cavities and internal organs, such</w:t>
      </w:r>
      <w:r>
        <w:rPr>
          <w:szCs w:val="20"/>
        </w:rPr>
        <w:t xml:space="preserve"> </w:t>
      </w:r>
      <w:r w:rsidRPr="00F90F62">
        <w:rPr>
          <w:szCs w:val="20"/>
        </w:rPr>
        <w:t>as the lungs, heart and bowel</w:t>
      </w:r>
      <w:r>
        <w:rPr>
          <w:szCs w:val="20"/>
        </w:rPr>
        <w:t xml:space="preserve">.  There are two main types:  pleural (approximately 90%) and peritoneal (approximately 10%).  Formerly a rare tumour, </w:t>
      </w:r>
      <w:r w:rsidRPr="0002434A">
        <w:rPr>
          <w:szCs w:val="20"/>
        </w:rPr>
        <w:t xml:space="preserve">Australia </w:t>
      </w:r>
      <w:r>
        <w:rPr>
          <w:szCs w:val="20"/>
        </w:rPr>
        <w:t xml:space="preserve">currently </w:t>
      </w:r>
      <w:r w:rsidRPr="0002434A">
        <w:rPr>
          <w:szCs w:val="20"/>
        </w:rPr>
        <w:t xml:space="preserve">has the </w:t>
      </w:r>
      <w:r>
        <w:rPr>
          <w:szCs w:val="20"/>
        </w:rPr>
        <w:t>2</w:t>
      </w:r>
      <w:r w:rsidRPr="005E3A4E">
        <w:rPr>
          <w:szCs w:val="20"/>
          <w:vertAlign w:val="superscript"/>
        </w:rPr>
        <w:t>nd</w:t>
      </w:r>
      <w:r>
        <w:rPr>
          <w:szCs w:val="20"/>
        </w:rPr>
        <w:t xml:space="preserve"> highest rate of mesothelioma in the world </w:t>
      </w:r>
      <w:r w:rsidRPr="0002434A">
        <w:rPr>
          <w:szCs w:val="20"/>
        </w:rPr>
        <w:t>due to the heavy nationwide use of</w:t>
      </w:r>
      <w:r>
        <w:rPr>
          <w:szCs w:val="20"/>
        </w:rPr>
        <w:t xml:space="preserve"> </w:t>
      </w:r>
      <w:r w:rsidRPr="0002434A">
        <w:rPr>
          <w:szCs w:val="20"/>
        </w:rPr>
        <w:t>asbestos from 1940 until the 1980s</w:t>
      </w:r>
      <w:r>
        <w:rPr>
          <w:szCs w:val="20"/>
        </w:rPr>
        <w:t xml:space="preserve">. </w:t>
      </w:r>
      <w:r w:rsidRPr="0002434A">
        <w:rPr>
          <w:szCs w:val="20"/>
        </w:rPr>
        <w:t xml:space="preserve"> </w:t>
      </w:r>
      <w:r>
        <w:rPr>
          <w:szCs w:val="20"/>
        </w:rPr>
        <w:t xml:space="preserve">There were 641 new diagnoses in 2014, with an incidence of 2.5 cases per 100 person-years.  </w:t>
      </w:r>
      <w:r w:rsidRPr="0002434A">
        <w:rPr>
          <w:szCs w:val="20"/>
        </w:rPr>
        <w:t>The incidence is expected to peak in</w:t>
      </w:r>
      <w:r>
        <w:rPr>
          <w:szCs w:val="20"/>
        </w:rPr>
        <w:t xml:space="preserve"> </w:t>
      </w:r>
      <w:r w:rsidRPr="0002434A">
        <w:rPr>
          <w:szCs w:val="20"/>
        </w:rPr>
        <w:t>Australia in the next decade, mirroring the long latency period between</w:t>
      </w:r>
      <w:r>
        <w:rPr>
          <w:szCs w:val="20"/>
        </w:rPr>
        <w:t xml:space="preserve"> </w:t>
      </w:r>
      <w:r w:rsidRPr="0002434A">
        <w:rPr>
          <w:szCs w:val="20"/>
        </w:rPr>
        <w:t>asbestos exposure and development of MM.</w:t>
      </w:r>
      <w:r>
        <w:rPr>
          <w:szCs w:val="20"/>
        </w:rPr>
        <w:t xml:space="preserve">  </w:t>
      </w:r>
    </w:p>
    <w:p w:rsidR="001F2F80" w:rsidRDefault="001F2F80" w:rsidP="001F2F80">
      <w:pPr>
        <w:spacing w:before="0"/>
        <w:ind w:left="425"/>
        <w:rPr>
          <w:szCs w:val="20"/>
        </w:rPr>
      </w:pPr>
      <w:r w:rsidRPr="00E73B19">
        <w:rPr>
          <w:szCs w:val="20"/>
        </w:rPr>
        <w:t xml:space="preserve">Unfortunately, symptoms of mesothelioma do not usually show up until it is in its late stages. </w:t>
      </w:r>
      <w:r>
        <w:rPr>
          <w:szCs w:val="20"/>
        </w:rPr>
        <w:t>Symptoms of pleural mesothelioma include shortness of breath, persistent dry cough and a dull aching pain in the upper body, whilst painful and swollen abdomen, nausea and vomiting and high temperature are signs of peritoneal mesothelioma.</w:t>
      </w:r>
    </w:p>
    <w:p w:rsidR="002A6753" w:rsidRPr="00154B00" w:rsidRDefault="001F2F80" w:rsidP="001F2F80">
      <w:pPr>
        <w:spacing w:before="0"/>
        <w:ind w:left="425"/>
        <w:rPr>
          <w:szCs w:val="20"/>
        </w:rPr>
      </w:pPr>
      <w:r>
        <w:rPr>
          <w:szCs w:val="20"/>
        </w:rPr>
        <w:t xml:space="preserve">As mesothelioma is most often </w:t>
      </w:r>
      <w:r w:rsidRPr="00E73B19">
        <w:rPr>
          <w:szCs w:val="20"/>
        </w:rPr>
        <w:t>diagnosed when it has already advanced beyond the option of surgical removal</w:t>
      </w:r>
      <w:r>
        <w:rPr>
          <w:szCs w:val="20"/>
        </w:rPr>
        <w:t xml:space="preserve">, the aim of </w:t>
      </w:r>
      <w:r w:rsidRPr="00E73B19">
        <w:rPr>
          <w:szCs w:val="20"/>
        </w:rPr>
        <w:t xml:space="preserve">treatment </w:t>
      </w:r>
      <w:r>
        <w:rPr>
          <w:szCs w:val="20"/>
        </w:rPr>
        <w:t xml:space="preserve">is to </w:t>
      </w:r>
      <w:r w:rsidRPr="00E73B19">
        <w:rPr>
          <w:szCs w:val="20"/>
        </w:rPr>
        <w:t>prolong life and keep the person as comfortable as possible.</w:t>
      </w:r>
      <w:r>
        <w:rPr>
          <w:szCs w:val="20"/>
        </w:rPr>
        <w:t xml:space="preserve"> It has one of the lowest survival rates of all cancers, with approximately 6% of patients alive five years after their diagnosis.  The mortality rate is comparable to the incidence rate and there were 607 deaths related to mesothelioma in 2014.</w:t>
      </w:r>
    </w:p>
    <w:p w:rsidR="00AA5FDA" w:rsidRPr="00154B00" w:rsidRDefault="00AA5FDA" w:rsidP="001F2F80">
      <w:pPr>
        <w:pStyle w:val="Heading2"/>
        <w:spacing w:before="0"/>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rsidR="001F2F80" w:rsidRDefault="001F2F80" w:rsidP="001F2F80">
      <w:pPr>
        <w:spacing w:before="0"/>
        <w:ind w:left="426"/>
        <w:rPr>
          <w:szCs w:val="20"/>
        </w:rPr>
      </w:pPr>
      <w:r>
        <w:rPr>
          <w:szCs w:val="20"/>
        </w:rPr>
        <w:t xml:space="preserve">It is proposed that PD-L1 testing be undertaken in patients diagnosed with unresectable mesothelioma.  The majority (approximately 85%) of those diagnosed are men and the age range of those affected is </w:t>
      </w:r>
      <w:r>
        <w:rPr>
          <w:szCs w:val="20"/>
        </w:rPr>
        <w:br/>
        <w:t xml:space="preserve">70-79. </w:t>
      </w:r>
    </w:p>
    <w:p w:rsidR="00AA5FDA" w:rsidRPr="00154B00" w:rsidRDefault="001F2F80" w:rsidP="001F2F80">
      <w:pPr>
        <w:spacing w:before="0"/>
        <w:ind w:left="426"/>
        <w:rPr>
          <w:szCs w:val="20"/>
        </w:rPr>
      </w:pPr>
      <w:r>
        <w:rPr>
          <w:szCs w:val="20"/>
        </w:rPr>
        <w:t>As per their standard diagnostic workup, the patient would undergo a biopsy.  The tissue removed as part of the biopsy and used for the mesothelioma diagnosis confirmation would be used for immunohistochemical testing with PD-L1.  The testing would be done by a pathologist alongside other immunohistochemical tests which are done routinely, and it would be proposed that the test is a pathologist determinable test</w:t>
      </w:r>
    </w:p>
    <w:p w:rsidR="0018630F" w:rsidRDefault="0018630F" w:rsidP="001F2F80">
      <w:pPr>
        <w:pStyle w:val="Heading2"/>
        <w:spacing w:before="0"/>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rsidR="001F2F80" w:rsidRDefault="001F2F80" w:rsidP="001F2F80">
      <w:pPr>
        <w:spacing w:before="0"/>
        <w:ind w:left="425"/>
        <w:rPr>
          <w:szCs w:val="20"/>
        </w:rPr>
      </w:pPr>
      <w:r>
        <w:rPr>
          <w:szCs w:val="20"/>
        </w:rPr>
        <w:t>Patients diagnosed with mesothelioma are treated with cisplatin (or carboplatin) + pemetrexed in the first line setting.</w:t>
      </w:r>
    </w:p>
    <w:p w:rsidR="00BC424B" w:rsidRPr="00BC424B" w:rsidRDefault="001F2F80" w:rsidP="001F2F80">
      <w:pPr>
        <w:spacing w:before="0"/>
        <w:ind w:left="425"/>
      </w:pPr>
      <w:r>
        <w:rPr>
          <w:szCs w:val="20"/>
        </w:rPr>
        <w:t>After progression of on first line therapy, there is no “standard of care”.  Various treatment option include vinorelbine, pemetrerxed monotherapy or reinitiation with platinum-based therapy + pemetrexed (provided there has been sufficient a relapse-free interval)</w:t>
      </w:r>
    </w:p>
    <w:p w:rsidR="001F2F80" w:rsidRDefault="001F2F80" w:rsidP="001F2F80">
      <w:pPr>
        <w:spacing w:before="0" w:line="276" w:lineRule="auto"/>
        <w:rPr>
          <w:b/>
          <w:i/>
          <w:szCs w:val="20"/>
          <w:u w:val="single"/>
        </w:rPr>
      </w:pPr>
      <w:r>
        <w:br w:type="page"/>
      </w:r>
    </w:p>
    <w:p w:rsidR="002A50FD" w:rsidRPr="00881F93" w:rsidRDefault="005C3AE7" w:rsidP="001F2F80">
      <w:pPr>
        <w:pStyle w:val="Subtitle"/>
        <w:spacing w:before="0"/>
      </w:pPr>
      <w:r>
        <w:lastRenderedPageBreak/>
        <w:t xml:space="preserve">PART 6b – </w:t>
      </w:r>
      <w:r w:rsidR="002A50FD" w:rsidRPr="00881F93">
        <w:t>INFORMATION ABOUT THE INTERVENTION</w:t>
      </w:r>
    </w:p>
    <w:p w:rsidR="002A50FD" w:rsidRPr="00154B00" w:rsidRDefault="002A6753" w:rsidP="001F2F80">
      <w:pPr>
        <w:pStyle w:val="Heading2"/>
        <w:spacing w:before="0"/>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rsidR="001F2F80" w:rsidRDefault="001F2F80" w:rsidP="001F2F80">
      <w:pPr>
        <w:spacing w:before="0"/>
        <w:ind w:left="425"/>
        <w:rPr>
          <w:szCs w:val="20"/>
        </w:rPr>
      </w:pPr>
      <w:r>
        <w:rPr>
          <w:szCs w:val="20"/>
        </w:rPr>
        <w:t>PD-L1 expression in</w:t>
      </w:r>
      <w:r w:rsidRPr="00D2663C">
        <w:rPr>
          <w:szCs w:val="20"/>
        </w:rPr>
        <w:t xml:space="preserve"> cancer tumour biopsies can be assessed using immunohistochemical (IHC) testing with antibodies that bind specifically to the PD-L1 protein. </w:t>
      </w:r>
      <w:r w:rsidRPr="00BE4F7C">
        <w:rPr>
          <w:szCs w:val="20"/>
        </w:rPr>
        <w:t xml:space="preserve">It is proposed that the PD-L1 test is undertaken as part of the initial diagnostic workup of the </w:t>
      </w:r>
      <w:r>
        <w:rPr>
          <w:szCs w:val="20"/>
        </w:rPr>
        <w:t>patient, following the biopsy, alongside other IHC tests.</w:t>
      </w:r>
    </w:p>
    <w:p w:rsidR="001F2F80" w:rsidRDefault="001F2F80" w:rsidP="001F2F80">
      <w:pPr>
        <w:spacing w:before="0"/>
        <w:ind w:left="425"/>
        <w:rPr>
          <w:szCs w:val="20"/>
        </w:rPr>
      </w:pPr>
      <w:r w:rsidRPr="00BE4F7C">
        <w:rPr>
          <w:szCs w:val="20"/>
        </w:rPr>
        <w:t xml:space="preserve">PD-L1 IHC </w:t>
      </w:r>
      <w:r>
        <w:rPr>
          <w:szCs w:val="20"/>
        </w:rPr>
        <w:t xml:space="preserve">should be </w:t>
      </w:r>
      <w:r w:rsidRPr="00BE4F7C">
        <w:rPr>
          <w:szCs w:val="20"/>
        </w:rPr>
        <w:t>undertaken in any NATA accredited laboratory and reported by a certified pathologist.  It is proposed that PD-L1 testing should be a “pathologist determinable test”, in line with all other IHC tests.</w:t>
      </w:r>
    </w:p>
    <w:p w:rsidR="002A50FD" w:rsidRPr="00154B00" w:rsidRDefault="001F2F80" w:rsidP="001F2F80">
      <w:pPr>
        <w:spacing w:before="0"/>
        <w:ind w:left="425"/>
        <w:rPr>
          <w:szCs w:val="20"/>
        </w:rPr>
      </w:pPr>
      <w:r w:rsidRPr="00D2663C">
        <w:rPr>
          <w:szCs w:val="20"/>
        </w:rPr>
        <w:t xml:space="preserve">The PD-L1 assay used during the pembrolizumab </w:t>
      </w:r>
      <w:r>
        <w:rPr>
          <w:szCs w:val="20"/>
        </w:rPr>
        <w:t>mesothelioma</w:t>
      </w:r>
      <w:r w:rsidRPr="00D2663C">
        <w:rPr>
          <w:szCs w:val="20"/>
        </w:rPr>
        <w:t xml:space="preserve"> clinical development program is known as the PD-L1 IHC 22C3 pharmDx Assay (developed by Dako). This assay </w:t>
      </w:r>
      <w:r>
        <w:rPr>
          <w:szCs w:val="20"/>
        </w:rPr>
        <w:t>was</w:t>
      </w:r>
      <w:r w:rsidRPr="00D2663C">
        <w:rPr>
          <w:szCs w:val="20"/>
        </w:rPr>
        <w:t xml:space="preserve"> used to assess PD-L1 expression in </w:t>
      </w:r>
      <w:r>
        <w:rPr>
          <w:szCs w:val="20"/>
        </w:rPr>
        <w:t xml:space="preserve">the </w:t>
      </w:r>
      <w:r w:rsidRPr="00D2663C">
        <w:rPr>
          <w:szCs w:val="20"/>
        </w:rPr>
        <w:t>cancer tumour biopsies in the KEYNOTE 0</w:t>
      </w:r>
      <w:r>
        <w:rPr>
          <w:szCs w:val="20"/>
        </w:rPr>
        <w:t>28</w:t>
      </w:r>
      <w:r w:rsidRPr="00D2663C">
        <w:rPr>
          <w:szCs w:val="20"/>
        </w:rPr>
        <w:t xml:space="preserve"> (KN0</w:t>
      </w:r>
      <w:r>
        <w:rPr>
          <w:szCs w:val="20"/>
        </w:rPr>
        <w:t>28</w:t>
      </w:r>
      <w:r w:rsidRPr="00D2663C">
        <w:rPr>
          <w:szCs w:val="20"/>
        </w:rPr>
        <w:t xml:space="preserve">) </w:t>
      </w:r>
      <w:r>
        <w:rPr>
          <w:szCs w:val="20"/>
        </w:rPr>
        <w:t>and Keynote 158 (KN158) clinical studies</w:t>
      </w:r>
      <w:r w:rsidRPr="00D2663C">
        <w:rPr>
          <w:szCs w:val="20"/>
        </w:rPr>
        <w:t>. Detailed information of the PD-L1 22C3 pharmDx assay kit components as well as its performance studies will be presented for MSAC consideration in the co-dependent technology submission.</w:t>
      </w:r>
    </w:p>
    <w:p w:rsidR="002A6753" w:rsidRPr="00154B00" w:rsidRDefault="002A6753" w:rsidP="001F2F80">
      <w:pPr>
        <w:pStyle w:val="Heading2"/>
        <w:spacing w:before="0"/>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rsidR="001F2F80" w:rsidRPr="00BE4F7C" w:rsidRDefault="001F2F80" w:rsidP="001F2F80">
      <w:pPr>
        <w:spacing w:before="0"/>
        <w:ind w:left="426"/>
        <w:rPr>
          <w:szCs w:val="20"/>
        </w:rPr>
      </w:pPr>
      <w:r w:rsidRPr="00BE4F7C">
        <w:rPr>
          <w:szCs w:val="20"/>
        </w:rPr>
        <w:t>Currently there are no PD-L1 tests reimbursed by MSAC.</w:t>
      </w:r>
    </w:p>
    <w:p w:rsidR="002A6753" w:rsidRPr="00154B00" w:rsidRDefault="001F2F80" w:rsidP="001F2F80">
      <w:pPr>
        <w:spacing w:before="0"/>
        <w:ind w:left="426"/>
        <w:rPr>
          <w:szCs w:val="20"/>
        </w:rPr>
      </w:pPr>
      <w:r w:rsidRPr="00BE4F7C">
        <w:rPr>
          <w:szCs w:val="20"/>
        </w:rPr>
        <w:t>In terms of the PD-L1 test for this application, MSD has a commercial alliance with DAKO.  DAKO will be developing the commercial test for PD-L1. The finalization of the commercial test, including any applicable registered trademark, is still pending.</w:t>
      </w:r>
    </w:p>
    <w:p w:rsidR="00C22AD8" w:rsidRPr="00154B00" w:rsidRDefault="00C22AD8" w:rsidP="001F2F80">
      <w:pPr>
        <w:pStyle w:val="Heading2"/>
        <w:spacing w:before="0"/>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rsidR="00DF0C51" w:rsidRDefault="001F2F80" w:rsidP="001F2F80">
      <w:pPr>
        <w:spacing w:before="0"/>
        <w:ind w:left="426"/>
        <w:rPr>
          <w:b/>
          <w:szCs w:val="20"/>
        </w:rPr>
      </w:pPr>
      <w:r>
        <w:t>Not applicable</w:t>
      </w:r>
    </w:p>
    <w:p w:rsidR="006B1B49" w:rsidRPr="00E357B9" w:rsidRDefault="006B1B49" w:rsidP="001F2F80">
      <w:pPr>
        <w:pStyle w:val="Heading2"/>
        <w:spacing w:before="0"/>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rsidR="001F2F80" w:rsidRPr="00DB5042" w:rsidRDefault="001F2F80" w:rsidP="001F2F80">
      <w:pPr>
        <w:spacing w:before="0"/>
        <w:ind w:left="426"/>
        <w:rPr>
          <w:b/>
          <w:szCs w:val="20"/>
        </w:rPr>
      </w:pPr>
      <w:r w:rsidRPr="00DB5042">
        <w:rPr>
          <w:b/>
          <w:szCs w:val="20"/>
        </w:rPr>
        <w:t xml:space="preserve">Access </w:t>
      </w:r>
    </w:p>
    <w:p w:rsidR="001F2F80" w:rsidRPr="00B152C5" w:rsidRDefault="001F2F80" w:rsidP="001F2F80">
      <w:pPr>
        <w:spacing w:before="0"/>
        <w:ind w:left="426"/>
        <w:rPr>
          <w:szCs w:val="20"/>
        </w:rPr>
      </w:pPr>
      <w:r w:rsidRPr="00B152C5">
        <w:rPr>
          <w:szCs w:val="20"/>
        </w:rPr>
        <w:t>Whilst there are PD-L1 antibodies which are commercially available, PD-L1 testing is not done routinely in patients with mesothelioma, as there is no treatments which are reimbursed for mesotheliomapatients whose tumours express PD-L1.</w:t>
      </w:r>
    </w:p>
    <w:p w:rsidR="001F2F80" w:rsidRPr="00DB5042" w:rsidRDefault="001F2F80" w:rsidP="001F2F80">
      <w:pPr>
        <w:spacing w:before="0"/>
        <w:ind w:left="426"/>
        <w:rPr>
          <w:b/>
          <w:szCs w:val="20"/>
        </w:rPr>
      </w:pPr>
      <w:r w:rsidRPr="00DB5042">
        <w:rPr>
          <w:b/>
          <w:szCs w:val="20"/>
        </w:rPr>
        <w:t xml:space="preserve">Frequency </w:t>
      </w:r>
    </w:p>
    <w:p w:rsidR="001F2F80" w:rsidRPr="00B152C5" w:rsidRDefault="001F2F80" w:rsidP="001F2F80">
      <w:pPr>
        <w:spacing w:before="0"/>
        <w:ind w:left="426"/>
        <w:rPr>
          <w:szCs w:val="20"/>
        </w:rPr>
      </w:pPr>
      <w:r w:rsidRPr="00B152C5">
        <w:rPr>
          <w:szCs w:val="20"/>
        </w:rPr>
        <w:t>As per the protocols for the KN028 and KN0158 studies, only one PD-L1 test was required through the course of their disease.  The test would be undertaken prior to commencement of pembrolizumab to enable identification of those patients most likely to benefit from treatment.</w:t>
      </w:r>
    </w:p>
    <w:p w:rsidR="001F2F80" w:rsidRPr="00DB5042" w:rsidRDefault="001F2F80" w:rsidP="001F2F80">
      <w:pPr>
        <w:spacing w:before="0"/>
        <w:ind w:left="426"/>
        <w:rPr>
          <w:b/>
          <w:szCs w:val="20"/>
        </w:rPr>
      </w:pPr>
      <w:r w:rsidRPr="00DB5042">
        <w:rPr>
          <w:b/>
          <w:szCs w:val="20"/>
        </w:rPr>
        <w:t>Sample consideration</w:t>
      </w:r>
    </w:p>
    <w:p w:rsidR="001F2F80" w:rsidRPr="00DB5042" w:rsidRDefault="001F2F80" w:rsidP="001F2F80">
      <w:pPr>
        <w:spacing w:before="0"/>
        <w:ind w:left="426"/>
        <w:rPr>
          <w:szCs w:val="20"/>
        </w:rPr>
      </w:pPr>
      <w:r w:rsidRPr="00DB5042">
        <w:rPr>
          <w:szCs w:val="20"/>
        </w:rPr>
        <w:t xml:space="preserve">There is currently no known role for PD-L1 testing in monitoring a patient’s response to pembrolizumab treatment. </w:t>
      </w:r>
    </w:p>
    <w:p w:rsidR="00CC09D7" w:rsidRPr="00154B00" w:rsidRDefault="001F2F80" w:rsidP="001F2F80">
      <w:pPr>
        <w:spacing w:before="0"/>
        <w:ind w:left="426"/>
        <w:rPr>
          <w:szCs w:val="20"/>
        </w:rPr>
      </w:pPr>
      <w:r w:rsidRPr="00DB5042">
        <w:rPr>
          <w:szCs w:val="20"/>
        </w:rPr>
        <w:t>KN028/KN158 will include patients enrolled on the basis of archival or newly obtained biopsy tissue.</w:t>
      </w:r>
    </w:p>
    <w:p w:rsidR="00791C8D" w:rsidRPr="00154B00" w:rsidRDefault="00791C8D" w:rsidP="001F2F80">
      <w:pPr>
        <w:pStyle w:val="Heading2"/>
        <w:spacing w:before="0"/>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rsidR="00791C8D" w:rsidRPr="00154B00" w:rsidRDefault="001F2F80" w:rsidP="001F2F80">
      <w:pPr>
        <w:spacing w:before="0"/>
        <w:ind w:left="426"/>
        <w:rPr>
          <w:szCs w:val="20"/>
        </w:rPr>
      </w:pPr>
      <w:r w:rsidRPr="00BE4F7C">
        <w:rPr>
          <w:szCs w:val="20"/>
        </w:rPr>
        <w:t xml:space="preserve">As immunohistochemistry is a well established technique in all major pathology labs, laboratories already have the platform infrastructure to perform testing on PDL-1 and the antibody is the only additional resource required.  </w:t>
      </w:r>
    </w:p>
    <w:p w:rsidR="001F2F80" w:rsidRDefault="001F2F80">
      <w:pPr>
        <w:spacing w:before="0" w:after="200" w:line="276" w:lineRule="auto"/>
        <w:rPr>
          <w:b/>
          <w:szCs w:val="20"/>
        </w:rPr>
      </w:pPr>
      <w:r>
        <w:br w:type="page"/>
      </w:r>
    </w:p>
    <w:p w:rsidR="00B17E26" w:rsidRPr="00154B00" w:rsidRDefault="00B17E26" w:rsidP="001F2F80">
      <w:pPr>
        <w:pStyle w:val="Heading2"/>
        <w:spacing w:before="0"/>
      </w:pPr>
      <w:r w:rsidRPr="00154B00">
        <w:lastRenderedPageBreak/>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rsidR="001F2F80" w:rsidRPr="00DB5042" w:rsidRDefault="001F2F80" w:rsidP="001F2F80">
      <w:pPr>
        <w:spacing w:before="0"/>
        <w:ind w:left="426"/>
        <w:rPr>
          <w:szCs w:val="20"/>
        </w:rPr>
      </w:pPr>
      <w:r w:rsidRPr="00DB5042">
        <w:rPr>
          <w:szCs w:val="20"/>
        </w:rPr>
        <w:t>As IHC testing is a common procedure  and as PD-L1 expression is anticipated to be frequently identified (45% of cases for ≥1% PD-L1 expression: Alley et al. 2015), it is proposed that PD-L1 IHC testing be eligible to be carried out in any pathology laboratory holding the appropriate accreditation to claim pathology services through the MBS. In practice, it is anticipated that the majority of PD-L1 testing would occur in pathology laboratories associated with a public hospital.</w:t>
      </w:r>
    </w:p>
    <w:p w:rsidR="00B17E26" w:rsidRPr="00154B00" w:rsidRDefault="001F2F80" w:rsidP="001F2F80">
      <w:pPr>
        <w:spacing w:before="0"/>
        <w:ind w:left="426"/>
        <w:rPr>
          <w:szCs w:val="20"/>
        </w:rPr>
      </w:pPr>
      <w:r w:rsidRPr="00DB5042">
        <w:rPr>
          <w:szCs w:val="20"/>
        </w:rPr>
        <w:t>A certified pathologist would be responsible for conducting the test and reporting the results.</w:t>
      </w:r>
    </w:p>
    <w:p w:rsidR="00B17E26" w:rsidRPr="00154B00" w:rsidRDefault="00B17E26" w:rsidP="001F2F80">
      <w:pPr>
        <w:pStyle w:val="Heading2"/>
        <w:spacing w:before="0"/>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rsidR="00B17E26" w:rsidRPr="00154B00" w:rsidRDefault="001F2F80" w:rsidP="001F2F80">
      <w:pPr>
        <w:spacing w:before="0"/>
        <w:ind w:left="426"/>
        <w:rPr>
          <w:szCs w:val="20"/>
        </w:rPr>
      </w:pPr>
      <w:r>
        <w:t>Not applicable</w:t>
      </w:r>
    </w:p>
    <w:p w:rsidR="00EA0E25" w:rsidRPr="00154B00" w:rsidRDefault="00EA0E25" w:rsidP="001F2F80">
      <w:pPr>
        <w:pStyle w:val="Heading2"/>
        <w:spacing w:before="0"/>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rsidR="00EA0E25" w:rsidRPr="00154B00" w:rsidRDefault="001F2F80" w:rsidP="001F2F80">
      <w:pPr>
        <w:spacing w:before="0"/>
        <w:ind w:left="426"/>
        <w:rPr>
          <w:szCs w:val="20"/>
        </w:rPr>
      </w:pPr>
      <w:r w:rsidRPr="00DB5042">
        <w:rPr>
          <w:szCs w:val="20"/>
        </w:rPr>
        <w:t>A certified pathologist would be responsible for conducting the test and reporting the results. Specialists including respiratory physicians or oncologists may provide a referral for PD-L1 testing.</w:t>
      </w:r>
    </w:p>
    <w:p w:rsidR="00EA0E25" w:rsidRPr="00154B00" w:rsidRDefault="00EA0E25" w:rsidP="001F2F80">
      <w:pPr>
        <w:pStyle w:val="Heading2"/>
        <w:spacing w:before="0"/>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rsidR="00EA0E25" w:rsidRPr="00154B00" w:rsidRDefault="001F2F80" w:rsidP="001F2F80">
      <w:pPr>
        <w:spacing w:before="0"/>
        <w:ind w:left="426"/>
        <w:rPr>
          <w:szCs w:val="20"/>
        </w:rPr>
      </w:pPr>
      <w:r w:rsidRPr="00DB5042">
        <w:rPr>
          <w:szCs w:val="20"/>
        </w:rPr>
        <w:t>Consistent with introduction of diagnostic tests associated with access to other targeted therapies, pathologist training and quality assurance programs would be expected to be developed with respect to delivery of diagnostic tests for access to treatments targeting the PD-1 pathway on the PBS.</w:t>
      </w:r>
    </w:p>
    <w:p w:rsidR="005F3F07" w:rsidRDefault="005C3AE7" w:rsidP="001F2F80">
      <w:pPr>
        <w:pStyle w:val="Heading2"/>
        <w:spacing w:before="0"/>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rsidR="000A478F" w:rsidRDefault="000A478F" w:rsidP="001F2F80">
      <w:pPr>
        <w:spacing w:before="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5EC9">
        <w:rPr>
          <w:szCs w:val="20"/>
        </w:rPr>
      </w:r>
      <w:r w:rsidR="00625EC9">
        <w:rPr>
          <w:szCs w:val="20"/>
        </w:rPr>
        <w:fldChar w:fldCharType="separate"/>
      </w:r>
      <w:r w:rsidRPr="000A5B32">
        <w:rPr>
          <w:szCs w:val="20"/>
        </w:rPr>
        <w:fldChar w:fldCharType="end"/>
      </w:r>
      <w:r>
        <w:rPr>
          <w:szCs w:val="20"/>
        </w:rPr>
        <w:t xml:space="preserve"> </w:t>
      </w:r>
      <w:r>
        <w:t>Inpatient private hospital</w:t>
      </w:r>
    </w:p>
    <w:p w:rsidR="000A478F" w:rsidRDefault="000A478F" w:rsidP="001F2F80">
      <w:pPr>
        <w:spacing w:before="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5EC9">
        <w:rPr>
          <w:szCs w:val="20"/>
        </w:rPr>
      </w:r>
      <w:r w:rsidR="00625EC9">
        <w:rPr>
          <w:szCs w:val="20"/>
        </w:rPr>
        <w:fldChar w:fldCharType="separate"/>
      </w:r>
      <w:r w:rsidRPr="000A5B32">
        <w:rPr>
          <w:szCs w:val="20"/>
        </w:rPr>
        <w:fldChar w:fldCharType="end"/>
      </w:r>
      <w:r>
        <w:rPr>
          <w:szCs w:val="20"/>
        </w:rPr>
        <w:t xml:space="preserve"> </w:t>
      </w:r>
      <w:r>
        <w:t>Inpatient public hospital</w:t>
      </w:r>
    </w:p>
    <w:p w:rsidR="000A478F" w:rsidRDefault="000A478F" w:rsidP="001F2F80">
      <w:pPr>
        <w:spacing w:before="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5EC9">
        <w:rPr>
          <w:szCs w:val="20"/>
        </w:rPr>
      </w:r>
      <w:r w:rsidR="00625EC9">
        <w:rPr>
          <w:szCs w:val="20"/>
        </w:rPr>
        <w:fldChar w:fldCharType="separate"/>
      </w:r>
      <w:r w:rsidRPr="000A5B32">
        <w:rPr>
          <w:szCs w:val="20"/>
        </w:rPr>
        <w:fldChar w:fldCharType="end"/>
      </w:r>
      <w:r>
        <w:rPr>
          <w:szCs w:val="20"/>
        </w:rPr>
        <w:t xml:space="preserve"> </w:t>
      </w:r>
      <w:r>
        <w:t>Outpatient clinic</w:t>
      </w:r>
    </w:p>
    <w:p w:rsidR="000A478F" w:rsidRDefault="000A478F" w:rsidP="001F2F80">
      <w:pPr>
        <w:spacing w:before="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5EC9">
        <w:rPr>
          <w:szCs w:val="20"/>
        </w:rPr>
      </w:r>
      <w:r w:rsidR="00625EC9">
        <w:rPr>
          <w:szCs w:val="20"/>
        </w:rPr>
        <w:fldChar w:fldCharType="separate"/>
      </w:r>
      <w:r w:rsidRPr="000A5B32">
        <w:rPr>
          <w:szCs w:val="20"/>
        </w:rPr>
        <w:fldChar w:fldCharType="end"/>
      </w:r>
      <w:r>
        <w:rPr>
          <w:szCs w:val="20"/>
        </w:rPr>
        <w:t xml:space="preserve"> </w:t>
      </w:r>
      <w:r>
        <w:t>Emergency Department</w:t>
      </w:r>
    </w:p>
    <w:p w:rsidR="000A478F" w:rsidRDefault="000A478F" w:rsidP="001F2F80">
      <w:pPr>
        <w:spacing w:before="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5EC9">
        <w:rPr>
          <w:szCs w:val="20"/>
        </w:rPr>
      </w:r>
      <w:r w:rsidR="00625EC9">
        <w:rPr>
          <w:szCs w:val="20"/>
        </w:rPr>
        <w:fldChar w:fldCharType="separate"/>
      </w:r>
      <w:r w:rsidRPr="000A5B32">
        <w:rPr>
          <w:szCs w:val="20"/>
        </w:rPr>
        <w:fldChar w:fldCharType="end"/>
      </w:r>
      <w:r>
        <w:rPr>
          <w:szCs w:val="20"/>
        </w:rPr>
        <w:t xml:space="preserve"> </w:t>
      </w:r>
      <w:r>
        <w:t>Consulting rooms</w:t>
      </w:r>
    </w:p>
    <w:p w:rsidR="000A478F" w:rsidRDefault="000A478F" w:rsidP="001F2F80">
      <w:pPr>
        <w:spacing w:before="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5EC9">
        <w:rPr>
          <w:szCs w:val="20"/>
        </w:rPr>
      </w:r>
      <w:r w:rsidR="00625EC9">
        <w:rPr>
          <w:szCs w:val="20"/>
        </w:rPr>
        <w:fldChar w:fldCharType="separate"/>
      </w:r>
      <w:r w:rsidRPr="000A5B32">
        <w:rPr>
          <w:szCs w:val="20"/>
        </w:rPr>
        <w:fldChar w:fldCharType="end"/>
      </w:r>
      <w:r>
        <w:rPr>
          <w:szCs w:val="20"/>
        </w:rPr>
        <w:t xml:space="preserve"> </w:t>
      </w:r>
      <w:r>
        <w:t>Day surgery centre</w:t>
      </w:r>
    </w:p>
    <w:p w:rsidR="000A478F" w:rsidRDefault="000A478F" w:rsidP="001F2F80">
      <w:pPr>
        <w:spacing w:before="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5EC9">
        <w:rPr>
          <w:szCs w:val="20"/>
        </w:rPr>
      </w:r>
      <w:r w:rsidR="00625EC9">
        <w:rPr>
          <w:szCs w:val="20"/>
        </w:rPr>
        <w:fldChar w:fldCharType="separate"/>
      </w:r>
      <w:r w:rsidRPr="000A5B32">
        <w:rPr>
          <w:szCs w:val="20"/>
        </w:rPr>
        <w:fldChar w:fldCharType="end"/>
      </w:r>
      <w:r>
        <w:rPr>
          <w:szCs w:val="20"/>
        </w:rPr>
        <w:t xml:space="preserve"> </w:t>
      </w:r>
      <w:r>
        <w:t>Residential aged care facility</w:t>
      </w:r>
    </w:p>
    <w:p w:rsidR="000A478F" w:rsidRDefault="000A478F" w:rsidP="001F2F80">
      <w:pPr>
        <w:spacing w:before="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5EC9">
        <w:rPr>
          <w:szCs w:val="20"/>
        </w:rPr>
      </w:r>
      <w:r w:rsidR="00625EC9">
        <w:rPr>
          <w:szCs w:val="20"/>
        </w:rPr>
        <w:fldChar w:fldCharType="separate"/>
      </w:r>
      <w:r w:rsidRPr="000A5B32">
        <w:rPr>
          <w:szCs w:val="20"/>
        </w:rPr>
        <w:fldChar w:fldCharType="end"/>
      </w:r>
      <w:r>
        <w:rPr>
          <w:szCs w:val="20"/>
        </w:rPr>
        <w:t xml:space="preserve"> </w:t>
      </w:r>
      <w:r>
        <w:t>Patient’s home</w:t>
      </w:r>
    </w:p>
    <w:p w:rsidR="000A478F" w:rsidRDefault="001F2F80" w:rsidP="001F2F80">
      <w:pPr>
        <w:spacing w:before="0"/>
        <w:ind w:left="426"/>
      </w:pPr>
      <w:r>
        <w:rPr>
          <w:szCs w:val="20"/>
        </w:rPr>
        <w:fldChar w:fldCharType="begin">
          <w:ffData>
            <w:name w:val=""/>
            <w:enabled/>
            <w:calcOnExit w:val="0"/>
            <w:checkBox>
              <w:sizeAuto/>
              <w:default w:val="1"/>
            </w:checkBox>
          </w:ffData>
        </w:fldChar>
      </w:r>
      <w:r>
        <w:rPr>
          <w:szCs w:val="20"/>
        </w:rPr>
        <w:instrText xml:space="preserve"> FORMCHECKBOX </w:instrText>
      </w:r>
      <w:r w:rsidR="00625EC9">
        <w:rPr>
          <w:szCs w:val="20"/>
        </w:rPr>
      </w:r>
      <w:r w:rsidR="00625EC9">
        <w:rPr>
          <w:szCs w:val="20"/>
        </w:rPr>
        <w:fldChar w:fldCharType="separate"/>
      </w:r>
      <w:r>
        <w:rPr>
          <w:szCs w:val="20"/>
        </w:rPr>
        <w:fldChar w:fldCharType="end"/>
      </w:r>
      <w:r w:rsidR="000A478F">
        <w:rPr>
          <w:szCs w:val="20"/>
        </w:rPr>
        <w:t xml:space="preserve"> </w:t>
      </w:r>
      <w:r w:rsidR="000A478F">
        <w:t>Laboratory</w:t>
      </w:r>
    </w:p>
    <w:p w:rsidR="000A478F" w:rsidRPr="000A478F" w:rsidRDefault="000A478F" w:rsidP="001F2F80">
      <w:pPr>
        <w:spacing w:before="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5EC9">
        <w:rPr>
          <w:szCs w:val="20"/>
        </w:rPr>
      </w:r>
      <w:r w:rsidR="00625EC9">
        <w:rPr>
          <w:szCs w:val="20"/>
        </w:rPr>
        <w:fldChar w:fldCharType="separate"/>
      </w:r>
      <w:r w:rsidRPr="000A5B32">
        <w:rPr>
          <w:szCs w:val="20"/>
        </w:rPr>
        <w:fldChar w:fldCharType="end"/>
      </w:r>
      <w:r>
        <w:rPr>
          <w:szCs w:val="20"/>
        </w:rPr>
        <w:t xml:space="preserve"> </w:t>
      </w:r>
      <w:r>
        <w:t>Other – please specify below</w:t>
      </w:r>
    </w:p>
    <w:p w:rsidR="005F3F07" w:rsidRDefault="001F2F80" w:rsidP="001F2F80">
      <w:pPr>
        <w:spacing w:before="0"/>
        <w:ind w:left="426"/>
        <w:rPr>
          <w:b/>
          <w:szCs w:val="20"/>
        </w:rPr>
      </w:pPr>
      <w:r>
        <w:rPr>
          <w:szCs w:val="20"/>
        </w:rPr>
        <w:t>I</w:t>
      </w:r>
      <w:r w:rsidRPr="001B5E70">
        <w:rPr>
          <w:szCs w:val="20"/>
        </w:rPr>
        <w:t>t is anticipated that the majority of PD-L1 testing would occur in pathology laboratories associated with a public hospital.</w:t>
      </w:r>
    </w:p>
    <w:p w:rsidR="003433D1" w:rsidRPr="005C3AE7" w:rsidRDefault="00E048ED" w:rsidP="001F2F80">
      <w:pPr>
        <w:pStyle w:val="ListParagraph"/>
        <w:numPr>
          <w:ilvl w:val="0"/>
          <w:numId w:val="29"/>
        </w:numPr>
        <w:spacing w:before="0"/>
        <w:rPr>
          <w:b/>
          <w:szCs w:val="20"/>
        </w:rPr>
      </w:pPr>
      <w:r w:rsidRPr="005C3AE7">
        <w:rPr>
          <w:b/>
          <w:szCs w:val="20"/>
        </w:rPr>
        <w:t>Where the proposed medical service is provided in more than one setting, please describ</w:t>
      </w:r>
      <w:r w:rsidR="00AE1188" w:rsidRPr="005C3AE7">
        <w:rPr>
          <w:b/>
          <w:szCs w:val="20"/>
        </w:rPr>
        <w:t>e the rationale related to each:</w:t>
      </w:r>
    </w:p>
    <w:p w:rsidR="0073597B" w:rsidRDefault="00365551" w:rsidP="001F2F80">
      <w:pPr>
        <w:spacing w:before="0"/>
        <w:ind w:left="426"/>
        <w:rPr>
          <w:b/>
          <w:szCs w:val="20"/>
        </w:rPr>
      </w:pPr>
      <w:r>
        <w:t>Not applicable</w:t>
      </w:r>
    </w:p>
    <w:p w:rsidR="003E30FB" w:rsidRDefault="003E30FB" w:rsidP="001F2F80">
      <w:pPr>
        <w:pStyle w:val="Heading2"/>
        <w:spacing w:before="0"/>
      </w:pPr>
      <w:r>
        <w:t xml:space="preserve">Is the </w:t>
      </w:r>
      <w:r w:rsidRPr="001B29A1">
        <w:t>proposed</w:t>
      </w:r>
      <w:r>
        <w:t xml:space="preserve"> medical service intended to be entirely rendered in Australia?</w:t>
      </w:r>
    </w:p>
    <w:p w:rsidR="000A478F" w:rsidRDefault="00365551" w:rsidP="001F2F80">
      <w:pPr>
        <w:spacing w:before="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25EC9">
        <w:rPr>
          <w:szCs w:val="20"/>
        </w:rPr>
      </w:r>
      <w:r w:rsidR="00625EC9">
        <w:rPr>
          <w:szCs w:val="20"/>
        </w:rPr>
        <w:fldChar w:fldCharType="separate"/>
      </w:r>
      <w:r>
        <w:rPr>
          <w:szCs w:val="20"/>
        </w:rPr>
        <w:fldChar w:fldCharType="end"/>
      </w:r>
      <w:r w:rsidR="000A478F">
        <w:rPr>
          <w:szCs w:val="20"/>
        </w:rPr>
        <w:t xml:space="preserve"> Yes</w:t>
      </w:r>
    </w:p>
    <w:p w:rsidR="000A478F" w:rsidRPr="00753C44" w:rsidRDefault="000A478F" w:rsidP="001F2F80">
      <w:pPr>
        <w:spacing w:before="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625EC9">
        <w:rPr>
          <w:szCs w:val="20"/>
        </w:rPr>
      </w:r>
      <w:r w:rsidR="00625EC9">
        <w:rPr>
          <w:szCs w:val="20"/>
        </w:rPr>
        <w:fldChar w:fldCharType="separate"/>
      </w:r>
      <w:r w:rsidRPr="00753C44">
        <w:rPr>
          <w:szCs w:val="20"/>
        </w:rPr>
        <w:fldChar w:fldCharType="end"/>
      </w:r>
      <w:r>
        <w:rPr>
          <w:szCs w:val="20"/>
        </w:rPr>
        <w:t xml:space="preserve"> No</w:t>
      </w:r>
      <w:r w:rsidR="00C4696B">
        <w:rPr>
          <w:szCs w:val="20"/>
        </w:rPr>
        <w:t xml:space="preserve"> – please specify below</w:t>
      </w:r>
    </w:p>
    <w:p w:rsidR="003E30FB" w:rsidRPr="000A478F" w:rsidRDefault="001B29A1" w:rsidP="001F2F80">
      <w:pPr>
        <w:spacing w:before="0"/>
        <w:ind w:left="426"/>
      </w:pPr>
      <w:r>
        <w:fldChar w:fldCharType="begin">
          <w:ffData>
            <w:name w:val="Text1"/>
            <w:enabled/>
            <w:calcOnExit w:val="0"/>
            <w:textInput>
              <w:default w:val="Specify further details here"/>
            </w:textInput>
          </w:ffData>
        </w:fldChar>
      </w:r>
      <w:bookmarkStart w:id="4" w:name="Text1"/>
      <w:r>
        <w:instrText xml:space="preserve"> FORMTEXT </w:instrText>
      </w:r>
      <w:r>
        <w:fldChar w:fldCharType="separate"/>
      </w:r>
      <w:r>
        <w:rPr>
          <w:noProof/>
        </w:rPr>
        <w:t>Specify further details here</w:t>
      </w:r>
      <w:r>
        <w:fldChar w:fldCharType="end"/>
      </w:r>
      <w:bookmarkEnd w:id="4"/>
    </w:p>
    <w:p w:rsidR="000A478F" w:rsidRDefault="000A478F" w:rsidP="001F2F80">
      <w:pPr>
        <w:spacing w:before="0"/>
        <w:rPr>
          <w:b/>
          <w:i/>
          <w:szCs w:val="20"/>
          <w:u w:val="single"/>
        </w:rPr>
      </w:pPr>
      <w:r>
        <w:rPr>
          <w:b/>
          <w:i/>
          <w:szCs w:val="20"/>
          <w:u w:val="single"/>
        </w:rPr>
        <w:br w:type="page"/>
      </w:r>
    </w:p>
    <w:p w:rsidR="00E60529" w:rsidRPr="00881F93" w:rsidRDefault="005C3AE7" w:rsidP="001F2F80">
      <w:pPr>
        <w:pStyle w:val="Subtitle"/>
        <w:spacing w:before="0"/>
      </w:pPr>
      <w:r>
        <w:lastRenderedPageBreak/>
        <w:t xml:space="preserve">PART 6c – </w:t>
      </w:r>
      <w:r w:rsidR="00E60529" w:rsidRPr="00881F93">
        <w:t>INFORMATION ABOUT THE COMPARATOR</w:t>
      </w:r>
      <w:r w:rsidR="00A83EC6" w:rsidRPr="00881F93">
        <w:t>(S)</w:t>
      </w:r>
    </w:p>
    <w:p w:rsidR="00E60529" w:rsidRPr="00154B00" w:rsidRDefault="00A83EC6" w:rsidP="001F2F80">
      <w:pPr>
        <w:pStyle w:val="Heading2"/>
        <w:spacing w:before="0"/>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rsidR="00E60529" w:rsidRPr="00154B00" w:rsidRDefault="00365551" w:rsidP="001F2F80">
      <w:pPr>
        <w:spacing w:before="0"/>
        <w:ind w:left="426"/>
        <w:rPr>
          <w:szCs w:val="20"/>
        </w:rPr>
      </w:pPr>
      <w:r>
        <w:rPr>
          <w:szCs w:val="20"/>
        </w:rPr>
        <w:t>The comparator is no PD-L1 testing and treatment with standard of care (1</w:t>
      </w:r>
      <w:r w:rsidRPr="00785FE3">
        <w:rPr>
          <w:szCs w:val="20"/>
          <w:vertAlign w:val="superscript"/>
        </w:rPr>
        <w:t>st</w:t>
      </w:r>
      <w:r>
        <w:rPr>
          <w:szCs w:val="20"/>
        </w:rPr>
        <w:t xml:space="preserve"> line cisplatin + pemetrexed)</w:t>
      </w:r>
    </w:p>
    <w:p w:rsidR="00757232" w:rsidRDefault="00AF5D1E" w:rsidP="001F2F80">
      <w:pPr>
        <w:pStyle w:val="Heading2"/>
        <w:spacing w:before="0"/>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rsidR="006A1038" w:rsidRDefault="006A1038" w:rsidP="001F2F80">
      <w:pPr>
        <w:spacing w:before="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625EC9">
        <w:rPr>
          <w:szCs w:val="20"/>
        </w:rPr>
      </w:r>
      <w:r w:rsidR="00625EC9">
        <w:rPr>
          <w:szCs w:val="20"/>
        </w:rPr>
        <w:fldChar w:fldCharType="separate"/>
      </w:r>
      <w:r w:rsidRPr="00753C44">
        <w:rPr>
          <w:szCs w:val="20"/>
        </w:rPr>
        <w:fldChar w:fldCharType="end"/>
      </w:r>
      <w:r>
        <w:rPr>
          <w:szCs w:val="20"/>
        </w:rPr>
        <w:t xml:space="preserve"> Yes (please provide all relevant MBS item numbers below)</w:t>
      </w:r>
    </w:p>
    <w:p w:rsidR="000159B9" w:rsidRDefault="00365551" w:rsidP="001F2F80">
      <w:pPr>
        <w:spacing w:before="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25EC9">
        <w:rPr>
          <w:szCs w:val="20"/>
        </w:rPr>
      </w:r>
      <w:r w:rsidR="00625EC9">
        <w:rPr>
          <w:szCs w:val="20"/>
        </w:rPr>
        <w:fldChar w:fldCharType="separate"/>
      </w:r>
      <w:r>
        <w:rPr>
          <w:szCs w:val="20"/>
        </w:rPr>
        <w:fldChar w:fldCharType="end"/>
      </w:r>
      <w:r w:rsidR="006A1038">
        <w:rPr>
          <w:szCs w:val="20"/>
        </w:rPr>
        <w:t xml:space="preserve"> No  </w:t>
      </w:r>
    </w:p>
    <w:p w:rsidR="000159B9" w:rsidRPr="00154B00" w:rsidRDefault="001B29A1" w:rsidP="001F2F80">
      <w:pPr>
        <w:spacing w:before="0"/>
        <w:ind w:left="426"/>
        <w:rPr>
          <w:szCs w:val="20"/>
        </w:rPr>
      </w:pPr>
      <w:r>
        <w:fldChar w:fldCharType="begin">
          <w:ffData>
            <w:name w:val=""/>
            <w:enabled/>
            <w:calcOnExit w:val="0"/>
            <w:textInput>
              <w:default w:val="Specify item number/s here"/>
            </w:textInput>
          </w:ffData>
        </w:fldChar>
      </w:r>
      <w:r>
        <w:instrText xml:space="preserve"> FORMTEXT </w:instrText>
      </w:r>
      <w:r>
        <w:fldChar w:fldCharType="separate"/>
      </w:r>
      <w:r>
        <w:rPr>
          <w:noProof/>
        </w:rPr>
        <w:t>Specify item number/s here</w:t>
      </w:r>
      <w:r>
        <w:fldChar w:fldCharType="end"/>
      </w:r>
    </w:p>
    <w:p w:rsidR="00AF5D1E" w:rsidRPr="00154B00" w:rsidRDefault="00AF5D1E" w:rsidP="001F2F80">
      <w:pPr>
        <w:pStyle w:val="Heading2"/>
        <w:spacing w:before="0"/>
      </w:pPr>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rsidR="003433D1" w:rsidRDefault="00365551" w:rsidP="001F2F80">
      <w:pPr>
        <w:spacing w:before="0"/>
        <w:ind w:left="426"/>
        <w:rPr>
          <w:b/>
          <w:szCs w:val="20"/>
        </w:rPr>
      </w:pPr>
      <w:r>
        <w:t>Refer to attachment</w:t>
      </w:r>
    </w:p>
    <w:p w:rsidR="00A83EC6" w:rsidRPr="00154B00" w:rsidRDefault="005C3AE7" w:rsidP="001F2F80">
      <w:pPr>
        <w:pStyle w:val="Heading2"/>
        <w:spacing w:before="0"/>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rsidR="001B29A1" w:rsidRDefault="001B29A1" w:rsidP="001F2F80">
      <w:pPr>
        <w:spacing w:before="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625EC9">
        <w:rPr>
          <w:szCs w:val="20"/>
        </w:rPr>
      </w:r>
      <w:r w:rsidR="00625EC9">
        <w:rPr>
          <w:szCs w:val="20"/>
        </w:rPr>
        <w:fldChar w:fldCharType="separate"/>
      </w:r>
      <w:r w:rsidRPr="00753C44">
        <w:rPr>
          <w:szCs w:val="20"/>
        </w:rPr>
        <w:fldChar w:fldCharType="end"/>
      </w:r>
      <w:r>
        <w:rPr>
          <w:szCs w:val="20"/>
        </w:rPr>
        <w:t xml:space="preserve"> Yes </w:t>
      </w:r>
    </w:p>
    <w:p w:rsidR="001B29A1" w:rsidRDefault="00365551" w:rsidP="001F2F80">
      <w:pPr>
        <w:spacing w:before="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25EC9">
        <w:rPr>
          <w:szCs w:val="20"/>
        </w:rPr>
      </w:r>
      <w:r w:rsidR="00625EC9">
        <w:rPr>
          <w:szCs w:val="20"/>
        </w:rPr>
        <w:fldChar w:fldCharType="separate"/>
      </w:r>
      <w:r>
        <w:rPr>
          <w:szCs w:val="20"/>
        </w:rPr>
        <w:fldChar w:fldCharType="end"/>
      </w:r>
      <w:r w:rsidR="001B29A1">
        <w:rPr>
          <w:szCs w:val="20"/>
        </w:rPr>
        <w:t xml:space="preserve"> No  </w:t>
      </w:r>
    </w:p>
    <w:p w:rsidR="00E70D86" w:rsidRPr="00154B00" w:rsidRDefault="00E70D86" w:rsidP="001F2F80">
      <w:pPr>
        <w:pStyle w:val="Heading2"/>
        <w:numPr>
          <w:ilvl w:val="0"/>
          <w:numId w:val="30"/>
        </w:numPr>
        <w:spacing w:before="0"/>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rsidR="003433D1" w:rsidRPr="001B29A1" w:rsidRDefault="001B29A1" w:rsidP="001F2F80">
      <w:pPr>
        <w:spacing w:before="0"/>
        <w:ind w:left="426"/>
        <w:rPr>
          <w:szCs w:val="20"/>
        </w:rPr>
      </w:pPr>
      <w:r>
        <w:fldChar w:fldCharType="begin">
          <w:ffData>
            <w:name w:val=""/>
            <w:enabled/>
            <w:calcOnExit w:val="0"/>
            <w:textInput>
              <w:default w:val="Outline service/comparator substitution here"/>
            </w:textInput>
          </w:ffData>
        </w:fldChar>
      </w:r>
      <w:r>
        <w:instrText xml:space="preserve"> FORMTEXT </w:instrText>
      </w:r>
      <w:r>
        <w:fldChar w:fldCharType="separate"/>
      </w:r>
      <w:r>
        <w:rPr>
          <w:noProof/>
        </w:rPr>
        <w:t>Outline service/comparator substitution here</w:t>
      </w:r>
      <w:r>
        <w:fldChar w:fldCharType="end"/>
      </w:r>
    </w:p>
    <w:p w:rsidR="0054594B" w:rsidRPr="00154B00" w:rsidRDefault="009C03FB" w:rsidP="001F2F80">
      <w:pPr>
        <w:pStyle w:val="Heading2"/>
        <w:spacing w:before="0"/>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rsidR="0054594B" w:rsidRDefault="00365551" w:rsidP="001F2F80">
      <w:pPr>
        <w:pStyle w:val="ListParagraph"/>
        <w:spacing w:before="0"/>
        <w:ind w:left="360"/>
        <w:rPr>
          <w:b/>
          <w:szCs w:val="20"/>
        </w:rPr>
      </w:pPr>
      <w:r>
        <w:t>Refer to attachment</w:t>
      </w:r>
    </w:p>
    <w:p w:rsidR="002053F2" w:rsidRPr="00154B00" w:rsidRDefault="002053F2" w:rsidP="001F2F80">
      <w:pPr>
        <w:pStyle w:val="ListParagraph"/>
        <w:spacing w:before="0"/>
        <w:ind w:left="360"/>
        <w:rPr>
          <w:b/>
          <w:szCs w:val="20"/>
        </w:rPr>
      </w:pPr>
    </w:p>
    <w:p w:rsidR="001B29A1" w:rsidRDefault="001B29A1" w:rsidP="001F2F80">
      <w:pPr>
        <w:spacing w:before="0"/>
        <w:rPr>
          <w:b/>
          <w:i/>
          <w:szCs w:val="20"/>
          <w:u w:val="single"/>
        </w:rPr>
      </w:pPr>
      <w:r>
        <w:rPr>
          <w:b/>
          <w:i/>
          <w:szCs w:val="20"/>
          <w:u w:val="single"/>
        </w:rPr>
        <w:br w:type="page"/>
      </w:r>
    </w:p>
    <w:p w:rsidR="00DF0D47" w:rsidRPr="00881F93" w:rsidRDefault="005C3AE7" w:rsidP="001F2F80">
      <w:pPr>
        <w:pStyle w:val="Subtitle"/>
        <w:spacing w:before="0"/>
      </w:pPr>
      <w:r>
        <w:lastRenderedPageBreak/>
        <w:t xml:space="preserve">PART 6d – </w:t>
      </w:r>
      <w:r w:rsidR="00DF0D47" w:rsidRPr="00881F93">
        <w:t xml:space="preserve">INFORMATION ABOUT THE </w:t>
      </w:r>
      <w:r w:rsidR="00CF5AD8" w:rsidRPr="00881F93">
        <w:t xml:space="preserve">CLINICAL </w:t>
      </w:r>
      <w:r w:rsidR="00DF0D47" w:rsidRPr="00881F93">
        <w:t>OUTCOME</w:t>
      </w:r>
    </w:p>
    <w:p w:rsidR="004E3CC7" w:rsidRPr="001B29A1" w:rsidRDefault="004E3CC7" w:rsidP="001F2F80">
      <w:pPr>
        <w:pStyle w:val="Heading2"/>
        <w:spacing w:before="0"/>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rsidR="00365551" w:rsidRPr="004A2792" w:rsidRDefault="00365551" w:rsidP="00365551">
      <w:pPr>
        <w:spacing w:before="0"/>
        <w:ind w:left="426"/>
        <w:rPr>
          <w:szCs w:val="20"/>
        </w:rPr>
      </w:pPr>
      <w:r>
        <w:rPr>
          <w:szCs w:val="20"/>
        </w:rPr>
        <w:t xml:space="preserve">The clinical claim </w:t>
      </w:r>
      <w:r w:rsidRPr="004A2792">
        <w:rPr>
          <w:szCs w:val="20"/>
        </w:rPr>
        <w:t xml:space="preserve">is that PD-L1 testing followed by treatment with pembrolizumab in PD-L1 positive patients </w:t>
      </w:r>
      <w:r>
        <w:rPr>
          <w:szCs w:val="20"/>
        </w:rPr>
        <w:t>with unresectable mesothelioma</w:t>
      </w:r>
      <w:r w:rsidRPr="004A2792">
        <w:rPr>
          <w:szCs w:val="20"/>
        </w:rPr>
        <w:t xml:space="preserve"> is associated with improved health outcomes. It will be driven by two factors:</w:t>
      </w:r>
    </w:p>
    <w:p w:rsidR="00365551" w:rsidRPr="004A2792" w:rsidRDefault="00365551" w:rsidP="00365551">
      <w:pPr>
        <w:spacing w:before="0"/>
        <w:ind w:left="426"/>
        <w:rPr>
          <w:szCs w:val="20"/>
        </w:rPr>
      </w:pPr>
      <w:r w:rsidRPr="004A2792">
        <w:rPr>
          <w:szCs w:val="20"/>
        </w:rPr>
        <w:t>1.</w:t>
      </w:r>
      <w:r w:rsidRPr="004A2792">
        <w:rPr>
          <w:szCs w:val="20"/>
        </w:rPr>
        <w:tab/>
        <w:t>Acceptable safety and analytical performance of PD-L1 test. (To be assessed by MSAC.)</w:t>
      </w:r>
    </w:p>
    <w:p w:rsidR="004E3CC7" w:rsidRPr="00154B00" w:rsidRDefault="00365551" w:rsidP="00365551">
      <w:pPr>
        <w:spacing w:before="0"/>
        <w:ind w:left="426"/>
        <w:rPr>
          <w:szCs w:val="20"/>
        </w:rPr>
      </w:pPr>
      <w:r w:rsidRPr="004A2792">
        <w:rPr>
          <w:szCs w:val="20"/>
        </w:rPr>
        <w:t>2.</w:t>
      </w:r>
      <w:r w:rsidRPr="004A2792">
        <w:rPr>
          <w:szCs w:val="20"/>
        </w:rPr>
        <w:tab/>
        <w:t>Superior effectiveness with acceptable safety of treating PD-L1 positive patients with pembrolizumab relative to standard of care</w:t>
      </w:r>
      <w:r>
        <w:rPr>
          <w:szCs w:val="20"/>
        </w:rPr>
        <w:t xml:space="preserve"> without testing</w:t>
      </w:r>
      <w:r w:rsidRPr="004A2792">
        <w:rPr>
          <w:szCs w:val="20"/>
        </w:rPr>
        <w:t>. (To be assessed by PBAC).</w:t>
      </w:r>
    </w:p>
    <w:p w:rsidR="004E3CC7" w:rsidRPr="00154B00" w:rsidRDefault="004E3CC7" w:rsidP="001F2F80">
      <w:pPr>
        <w:pStyle w:val="Heading2"/>
        <w:spacing w:before="0"/>
      </w:pPr>
      <w:r w:rsidRPr="00154B00">
        <w:t xml:space="preserve">Please advise if the </w:t>
      </w:r>
      <w:r w:rsidR="00CF5AD8" w:rsidRPr="00092580">
        <w:t>overall</w:t>
      </w:r>
      <w:r w:rsidR="00CF5AD8">
        <w:t xml:space="preserve"> </w:t>
      </w:r>
      <w:r w:rsidRPr="00154B00">
        <w:t>clinical claim is for:</w:t>
      </w:r>
    </w:p>
    <w:p w:rsidR="001B29A1" w:rsidRPr="001B29A1" w:rsidRDefault="00365551" w:rsidP="001F2F80">
      <w:pPr>
        <w:spacing w:before="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25EC9">
        <w:rPr>
          <w:szCs w:val="20"/>
        </w:rPr>
      </w:r>
      <w:r w:rsidR="00625EC9">
        <w:rPr>
          <w:szCs w:val="20"/>
        </w:rPr>
        <w:fldChar w:fldCharType="separate"/>
      </w:r>
      <w:r>
        <w:rPr>
          <w:szCs w:val="20"/>
        </w:rPr>
        <w:fldChar w:fldCharType="end"/>
      </w:r>
      <w:r w:rsidR="001B29A1" w:rsidRPr="001B29A1">
        <w:rPr>
          <w:szCs w:val="20"/>
        </w:rPr>
        <w:t xml:space="preserve"> Superiority</w:t>
      </w:r>
      <w:r w:rsidR="001B29A1" w:rsidRPr="001B29A1">
        <w:rPr>
          <w:szCs w:val="20"/>
        </w:rPr>
        <w:tab/>
      </w:r>
    </w:p>
    <w:p w:rsidR="004E3CC7" w:rsidRPr="001B29A1" w:rsidRDefault="001B29A1" w:rsidP="001F2F80">
      <w:pPr>
        <w:spacing w:before="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625EC9">
        <w:rPr>
          <w:szCs w:val="20"/>
        </w:rPr>
      </w:r>
      <w:r w:rsidR="00625EC9">
        <w:rPr>
          <w:szCs w:val="20"/>
        </w:rPr>
        <w:fldChar w:fldCharType="separate"/>
      </w:r>
      <w:r w:rsidRPr="001B29A1">
        <w:rPr>
          <w:szCs w:val="20"/>
        </w:rPr>
        <w:fldChar w:fldCharType="end"/>
      </w:r>
      <w:r w:rsidRPr="001B29A1">
        <w:rPr>
          <w:szCs w:val="20"/>
        </w:rPr>
        <w:t xml:space="preserve"> Non-inferiority</w:t>
      </w:r>
      <w:r w:rsidRPr="001B29A1">
        <w:rPr>
          <w:szCs w:val="20"/>
        </w:rPr>
        <w:tab/>
      </w:r>
    </w:p>
    <w:p w:rsidR="00B25D20" w:rsidRPr="00154B00" w:rsidRDefault="001B29A1" w:rsidP="001F2F80">
      <w:pPr>
        <w:pStyle w:val="Heading2"/>
        <w:spacing w:before="0"/>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rsidR="001B29A1" w:rsidRDefault="001B29A1" w:rsidP="001F2F80">
      <w:pPr>
        <w:pBdr>
          <w:top w:val="single" w:sz="4" w:space="1" w:color="auto"/>
          <w:left w:val="single" w:sz="4" w:space="4" w:color="auto"/>
          <w:bottom w:val="single" w:sz="4" w:space="1" w:color="auto"/>
          <w:right w:val="single" w:sz="4" w:space="4" w:color="auto"/>
        </w:pBdr>
        <w:spacing w:before="0"/>
        <w:rPr>
          <w:b/>
          <w:szCs w:val="20"/>
        </w:rPr>
      </w:pPr>
      <w:r w:rsidRPr="001B29A1">
        <w:rPr>
          <w:b/>
          <w:szCs w:val="20"/>
        </w:rPr>
        <w:t>Safety Outcomes</w:t>
      </w:r>
      <w:r>
        <w:rPr>
          <w:b/>
          <w:szCs w:val="20"/>
        </w:rPr>
        <w:t xml:space="preserve">: </w:t>
      </w:r>
    </w:p>
    <w:p w:rsidR="00365551" w:rsidRPr="00365551" w:rsidRDefault="00365551" w:rsidP="00365551">
      <w:pPr>
        <w:pBdr>
          <w:top w:val="single" w:sz="4" w:space="1" w:color="auto"/>
          <w:left w:val="single" w:sz="4" w:space="4" w:color="auto"/>
          <w:bottom w:val="single" w:sz="4" w:space="1" w:color="auto"/>
          <w:right w:val="single" w:sz="4" w:space="4" w:color="auto"/>
        </w:pBdr>
        <w:spacing w:before="0"/>
        <w:rPr>
          <w:szCs w:val="20"/>
        </w:rPr>
      </w:pPr>
      <w:r w:rsidRPr="00365551">
        <w:rPr>
          <w:szCs w:val="20"/>
        </w:rPr>
        <w:t>Physical harms from testing</w:t>
      </w:r>
    </w:p>
    <w:p w:rsidR="001B29A1" w:rsidRPr="00365551" w:rsidRDefault="00365551" w:rsidP="00365551">
      <w:pPr>
        <w:pBdr>
          <w:top w:val="single" w:sz="4" w:space="1" w:color="auto"/>
          <w:left w:val="single" w:sz="4" w:space="4" w:color="auto"/>
          <w:bottom w:val="single" w:sz="4" w:space="1" w:color="auto"/>
          <w:right w:val="single" w:sz="4" w:space="4" w:color="auto"/>
        </w:pBdr>
        <w:spacing w:before="0"/>
        <w:rPr>
          <w:szCs w:val="20"/>
        </w:rPr>
      </w:pPr>
      <w:r w:rsidRPr="00365551">
        <w:rPr>
          <w:szCs w:val="20"/>
        </w:rPr>
        <w:t>Adverse events related to a change in treatment</w:t>
      </w:r>
    </w:p>
    <w:p w:rsidR="00B25D20" w:rsidRPr="001B29A1" w:rsidRDefault="001B29A1" w:rsidP="001F2F80">
      <w:pPr>
        <w:pBdr>
          <w:top w:val="single" w:sz="4" w:space="1" w:color="auto"/>
          <w:left w:val="single" w:sz="4" w:space="4" w:color="auto"/>
          <w:bottom w:val="single" w:sz="4" w:space="1" w:color="auto"/>
          <w:right w:val="single" w:sz="4" w:space="4" w:color="auto"/>
        </w:pBdr>
        <w:spacing w:before="0"/>
        <w:rPr>
          <w:szCs w:val="20"/>
        </w:rPr>
      </w:pPr>
      <w:r w:rsidRPr="001B29A1">
        <w:rPr>
          <w:b/>
          <w:szCs w:val="20"/>
        </w:rPr>
        <w:t>Clinical Effectiveness Outcomes</w:t>
      </w:r>
      <w:r>
        <w:rPr>
          <w:b/>
          <w:szCs w:val="20"/>
        </w:rPr>
        <w:t xml:space="preserve">: </w:t>
      </w:r>
    </w:p>
    <w:p w:rsidR="00365551" w:rsidRPr="00365551" w:rsidRDefault="00365551" w:rsidP="00365551">
      <w:pPr>
        <w:pBdr>
          <w:top w:val="single" w:sz="4" w:space="1" w:color="auto"/>
          <w:left w:val="single" w:sz="4" w:space="4" w:color="auto"/>
          <w:bottom w:val="single" w:sz="4" w:space="1" w:color="auto"/>
          <w:right w:val="single" w:sz="4" w:space="4" w:color="auto"/>
        </w:pBdr>
        <w:spacing w:before="0"/>
        <w:rPr>
          <w:szCs w:val="20"/>
        </w:rPr>
      </w:pPr>
      <w:r w:rsidRPr="00365551">
        <w:rPr>
          <w:szCs w:val="20"/>
        </w:rPr>
        <w:t>Primary endpoint:  Overall Response rate, Duration of Response</w:t>
      </w:r>
    </w:p>
    <w:p w:rsidR="001B29A1" w:rsidRPr="00365551" w:rsidRDefault="00365551" w:rsidP="00365551">
      <w:pPr>
        <w:pBdr>
          <w:top w:val="single" w:sz="4" w:space="1" w:color="auto"/>
          <w:left w:val="single" w:sz="4" w:space="4" w:color="auto"/>
          <w:bottom w:val="single" w:sz="4" w:space="1" w:color="auto"/>
          <w:right w:val="single" w:sz="4" w:space="4" w:color="auto"/>
        </w:pBdr>
        <w:spacing w:before="0"/>
        <w:rPr>
          <w:szCs w:val="20"/>
        </w:rPr>
      </w:pPr>
      <w:r w:rsidRPr="00365551">
        <w:rPr>
          <w:szCs w:val="20"/>
        </w:rPr>
        <w:t>Secondary endpoints:  Progression free survival, Overall survival, Quality of life</w:t>
      </w:r>
    </w:p>
    <w:p w:rsidR="00C776B1" w:rsidRPr="00C776B1" w:rsidRDefault="003433D1" w:rsidP="001F2F80">
      <w:pPr>
        <w:pStyle w:val="Heading1"/>
        <w:spacing w:after="120" w:line="240" w:lineRule="auto"/>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rsidR="006C74B1" w:rsidRPr="00092580" w:rsidRDefault="00BE0FDE" w:rsidP="001F2F80">
      <w:pPr>
        <w:pStyle w:val="Heading2"/>
        <w:spacing w:before="0"/>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rsidR="006C74B1" w:rsidRPr="00154B00" w:rsidRDefault="00365551" w:rsidP="001F2F80">
      <w:pPr>
        <w:spacing w:before="0"/>
        <w:ind w:left="426"/>
        <w:rPr>
          <w:szCs w:val="20"/>
        </w:rPr>
      </w:pPr>
      <w:r>
        <w:rPr>
          <w:szCs w:val="20"/>
        </w:rPr>
        <w:t>641 new diagnoses</w:t>
      </w:r>
      <w:r>
        <w:rPr>
          <w:rStyle w:val="FootnoteReference"/>
        </w:rPr>
        <w:footnoteReference w:id="1"/>
      </w:r>
    </w:p>
    <w:p w:rsidR="00382407" w:rsidRPr="00154B00" w:rsidRDefault="00382407" w:rsidP="001F2F80">
      <w:pPr>
        <w:pStyle w:val="Heading2"/>
        <w:spacing w:before="0"/>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rsidR="00382407" w:rsidRPr="00154B00" w:rsidRDefault="00365551" w:rsidP="001F2F80">
      <w:pPr>
        <w:spacing w:before="0"/>
        <w:ind w:left="426"/>
        <w:rPr>
          <w:szCs w:val="20"/>
        </w:rPr>
      </w:pPr>
      <w:r>
        <w:rPr>
          <w:szCs w:val="20"/>
        </w:rPr>
        <w:t>Once in a lifetime (as per the KN028/KN158 protocols)</w:t>
      </w:r>
    </w:p>
    <w:p w:rsidR="00382407" w:rsidRPr="00154B00" w:rsidRDefault="00382407" w:rsidP="001F2F80">
      <w:pPr>
        <w:pStyle w:val="Heading2"/>
        <w:spacing w:before="0"/>
      </w:pPr>
      <w:r w:rsidRPr="00154B00">
        <w:t>How many years would the proposed medical service</w:t>
      </w:r>
      <w:r w:rsidR="005A58BA">
        <w:t>(s)</w:t>
      </w:r>
      <w:r w:rsidRPr="00154B00">
        <w:t xml:space="preserve"> be required for the patient?</w:t>
      </w:r>
    </w:p>
    <w:p w:rsidR="00382407" w:rsidRPr="00154B00" w:rsidRDefault="00365551" w:rsidP="001F2F80">
      <w:pPr>
        <w:spacing w:before="0"/>
        <w:ind w:left="426"/>
        <w:rPr>
          <w:b/>
          <w:szCs w:val="20"/>
        </w:rPr>
      </w:pPr>
      <w:r>
        <w:rPr>
          <w:szCs w:val="20"/>
        </w:rPr>
        <w:t>It is presumed only one PD-L1 test would be required for a patients through the course of the disease</w:t>
      </w:r>
    </w:p>
    <w:p w:rsidR="002A6753" w:rsidRPr="00154B00" w:rsidRDefault="000E47E7" w:rsidP="001F2F80">
      <w:pPr>
        <w:pStyle w:val="Heading2"/>
        <w:spacing w:before="0"/>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rsidR="00AE1188" w:rsidRPr="00154B00" w:rsidRDefault="00365551" w:rsidP="001F2F80">
      <w:pPr>
        <w:spacing w:before="0"/>
        <w:ind w:left="426"/>
        <w:rPr>
          <w:szCs w:val="20"/>
        </w:rPr>
      </w:pPr>
      <w:r>
        <w:rPr>
          <w:szCs w:val="20"/>
        </w:rPr>
        <w:t>Approximately 641 new diagnoses will utilise the PD-L1 test in year 1</w:t>
      </w:r>
    </w:p>
    <w:p w:rsidR="00974D50" w:rsidRPr="00154B00" w:rsidRDefault="005A58BA" w:rsidP="001F2F80">
      <w:pPr>
        <w:pStyle w:val="Heading2"/>
        <w:spacing w:before="0"/>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rsidR="00365551" w:rsidRDefault="00365551" w:rsidP="00365551">
      <w:pPr>
        <w:spacing w:before="0"/>
        <w:ind w:left="426"/>
        <w:rPr>
          <w:szCs w:val="20"/>
        </w:rPr>
      </w:pPr>
      <w:r>
        <w:rPr>
          <w:szCs w:val="20"/>
        </w:rPr>
        <w:t>Currently patients with mesothelioma have very limited treatment options.  If the results of KN028/158 indicate that pembrolizumab is of benefit to in patients with PD-L1 positive tumours, , it is expected that uptake of the PD-L1 test would be rapid and all patients diagnosed with unresectable mesothelioma would have a PD-L1 test, so that those who are PD-L1 positive may be treated with pembrolizumab.</w:t>
      </w:r>
    </w:p>
    <w:p w:rsidR="00365551" w:rsidRDefault="00365551" w:rsidP="00365551">
      <w:pPr>
        <w:spacing w:before="0"/>
        <w:ind w:left="426"/>
        <w:rPr>
          <w:szCs w:val="20"/>
        </w:rPr>
      </w:pPr>
      <w:r>
        <w:rPr>
          <w:szCs w:val="20"/>
        </w:rPr>
        <w:t>The risk of leakage would be minimal as testing would be restricted to patients potentially eligible for pembrolizumab.</w:t>
      </w:r>
    </w:p>
    <w:p w:rsidR="001B171D" w:rsidRPr="00154B00" w:rsidRDefault="001B171D" w:rsidP="001F2F80">
      <w:pPr>
        <w:spacing w:before="0"/>
        <w:ind w:left="426"/>
        <w:rPr>
          <w:szCs w:val="20"/>
        </w:rPr>
      </w:pPr>
    </w:p>
    <w:p w:rsidR="003433D1" w:rsidRDefault="003433D1" w:rsidP="001F2F80">
      <w:pPr>
        <w:spacing w:before="0"/>
        <w:rPr>
          <w:b/>
          <w:sz w:val="32"/>
          <w:szCs w:val="32"/>
        </w:rPr>
      </w:pPr>
      <w:r>
        <w:rPr>
          <w:b/>
          <w:sz w:val="32"/>
          <w:szCs w:val="32"/>
        </w:rPr>
        <w:br w:type="page"/>
      </w:r>
    </w:p>
    <w:p w:rsidR="00951933" w:rsidRPr="00C776B1" w:rsidRDefault="001B5169" w:rsidP="001F2F80">
      <w:pPr>
        <w:pStyle w:val="Heading1"/>
        <w:spacing w:after="120" w:line="240" w:lineRule="auto"/>
      </w:pPr>
      <w:r>
        <w:lastRenderedPageBreak/>
        <w:t>PART 8</w:t>
      </w:r>
      <w:r w:rsidR="00F93784">
        <w:t xml:space="preserve"> – </w:t>
      </w:r>
      <w:r w:rsidR="005A58BA">
        <w:t>COST</w:t>
      </w:r>
      <w:r w:rsidR="00951933" w:rsidRPr="00C776B1">
        <w:t xml:space="preserve"> INFORMATION</w:t>
      </w:r>
    </w:p>
    <w:p w:rsidR="006A649A" w:rsidRPr="00AE1188" w:rsidRDefault="006A649A" w:rsidP="001F2F80">
      <w:pPr>
        <w:pStyle w:val="Heading2"/>
        <w:spacing w:before="0"/>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rsidR="00951933" w:rsidRPr="00154B00" w:rsidRDefault="00365551" w:rsidP="001F2F80">
      <w:pPr>
        <w:spacing w:before="0"/>
        <w:ind w:left="426"/>
        <w:rPr>
          <w:szCs w:val="20"/>
        </w:rPr>
      </w:pPr>
      <w:r>
        <w:rPr>
          <w:szCs w:val="20"/>
        </w:rPr>
        <w:t>The expected fee is likely to be consistent with other immunohistochemical tests.</w:t>
      </w:r>
    </w:p>
    <w:p w:rsidR="00951933" w:rsidRPr="00154B00" w:rsidRDefault="00951933" w:rsidP="001F2F80">
      <w:pPr>
        <w:pStyle w:val="Heading2"/>
        <w:spacing w:before="0"/>
      </w:pPr>
      <w:r w:rsidRPr="00154B00">
        <w:t xml:space="preserve">Specify how </w:t>
      </w:r>
      <w:r w:rsidRPr="00AE1188">
        <w:t>long</w:t>
      </w:r>
      <w:r w:rsidRPr="00154B00">
        <w:t xml:space="preserve"> the proposed medical ser</w:t>
      </w:r>
      <w:r w:rsidR="00AE1188">
        <w:t>vice typically takes to perform:</w:t>
      </w:r>
    </w:p>
    <w:p w:rsidR="00951933" w:rsidRDefault="00365551" w:rsidP="001F2F80">
      <w:pPr>
        <w:spacing w:before="0"/>
        <w:ind w:left="426"/>
        <w:rPr>
          <w:b/>
          <w:szCs w:val="20"/>
        </w:rPr>
      </w:pPr>
      <w:r>
        <w:rPr>
          <w:szCs w:val="20"/>
        </w:rPr>
        <w:t>Typically IHC takes between 2.5-4 hours depending on instrumentation and protocol used.</w:t>
      </w:r>
    </w:p>
    <w:p w:rsidR="00707D4D" w:rsidRDefault="0054192F" w:rsidP="001F2F80">
      <w:pPr>
        <w:pStyle w:val="Heading2"/>
        <w:spacing w:before="0"/>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rsidR="00AE1188" w:rsidRPr="00AE1188" w:rsidRDefault="00AE1188" w:rsidP="001F2F80">
      <w:pPr>
        <w:pBdr>
          <w:top w:val="single" w:sz="4" w:space="1" w:color="auto"/>
          <w:left w:val="single" w:sz="4" w:space="4" w:color="auto"/>
          <w:bottom w:val="single" w:sz="4" w:space="1" w:color="auto"/>
          <w:right w:val="single" w:sz="4" w:space="4" w:color="auto"/>
          <w:between w:val="single" w:sz="4" w:space="1" w:color="auto"/>
          <w:bar w:val="single" w:sz="4" w:color="auto"/>
        </w:pBdr>
        <w:spacing w:before="0"/>
        <w:rPr>
          <w:szCs w:val="20"/>
        </w:rPr>
      </w:pPr>
      <w:r>
        <w:rPr>
          <w:szCs w:val="20"/>
        </w:rPr>
        <w:t xml:space="preserve">Category </w:t>
      </w:r>
      <w:r>
        <w:fldChar w:fldCharType="begin">
          <w:ffData>
            <w:name w:val=""/>
            <w:enabled/>
            <w:calcOnExit w:val="0"/>
            <w:textInput>
              <w:default w:val="(insert proposed category number here)"/>
            </w:textInput>
          </w:ffData>
        </w:fldChar>
      </w:r>
      <w:r>
        <w:instrText xml:space="preserve"> FORMTEXT </w:instrText>
      </w:r>
      <w:r>
        <w:fldChar w:fldCharType="separate"/>
      </w:r>
      <w:r>
        <w:rPr>
          <w:noProof/>
        </w:rPr>
        <w:t>(insert proposed category number here)</w:t>
      </w:r>
      <w:r>
        <w:fldChar w:fldCharType="end"/>
      </w:r>
      <w:r w:rsidRPr="00AE1188">
        <w:rPr>
          <w:szCs w:val="20"/>
        </w:rPr>
        <w:t xml:space="preserve"> – </w:t>
      </w:r>
      <w:r>
        <w:fldChar w:fldCharType="begin">
          <w:ffData>
            <w:name w:val=""/>
            <w:enabled/>
            <w:calcOnExit w:val="0"/>
            <w:textInput>
              <w:default w:val="(insert proposed category description here)"/>
            </w:textInput>
          </w:ffData>
        </w:fldChar>
      </w:r>
      <w:r>
        <w:instrText xml:space="preserve"> FORMTEXT </w:instrText>
      </w:r>
      <w:r>
        <w:fldChar w:fldCharType="separate"/>
      </w:r>
      <w:r>
        <w:rPr>
          <w:noProof/>
        </w:rPr>
        <w:t>(insert proposed category description here)</w:t>
      </w:r>
      <w:r>
        <w:fldChar w:fldCharType="end"/>
      </w:r>
      <w:r w:rsidRPr="00AE1188">
        <w:rPr>
          <w:szCs w:val="20"/>
        </w:rPr>
        <w:t xml:space="preserve"> </w:t>
      </w:r>
    </w:p>
    <w:p w:rsidR="00AE1188" w:rsidRPr="00AE1188" w:rsidRDefault="00AE1188" w:rsidP="001F2F80">
      <w:pPr>
        <w:pBdr>
          <w:top w:val="single" w:sz="4" w:space="1" w:color="auto"/>
          <w:left w:val="single" w:sz="4" w:space="4" w:color="auto"/>
          <w:bottom w:val="single" w:sz="4" w:space="1" w:color="auto"/>
          <w:right w:val="single" w:sz="4" w:space="4" w:color="auto"/>
        </w:pBdr>
        <w:spacing w:before="0"/>
        <w:rPr>
          <w:szCs w:val="20"/>
        </w:rPr>
      </w:pPr>
    </w:p>
    <w:p w:rsidR="00365551" w:rsidRDefault="00AE1188" w:rsidP="001F2F80">
      <w:pPr>
        <w:pBdr>
          <w:top w:val="single" w:sz="4" w:space="1" w:color="auto"/>
          <w:left w:val="single" w:sz="4" w:space="4" w:color="auto"/>
          <w:bottom w:val="single" w:sz="4" w:space="1" w:color="auto"/>
          <w:right w:val="single" w:sz="4" w:space="4" w:color="auto"/>
        </w:pBdr>
        <w:spacing w:before="0"/>
      </w:pPr>
      <w:r w:rsidRPr="00AE1188">
        <w:rPr>
          <w:szCs w:val="20"/>
        </w:rPr>
        <w:t>Proposed item descriptor</w:t>
      </w:r>
      <w:r>
        <w:rPr>
          <w:szCs w:val="20"/>
        </w:rPr>
        <w:t xml:space="preserve">: </w:t>
      </w:r>
    </w:p>
    <w:p w:rsidR="00AE1188" w:rsidRPr="00AE1188" w:rsidRDefault="00365551" w:rsidP="001F2F80">
      <w:pPr>
        <w:pBdr>
          <w:top w:val="single" w:sz="4" w:space="1" w:color="auto"/>
          <w:left w:val="single" w:sz="4" w:space="4" w:color="auto"/>
          <w:bottom w:val="single" w:sz="4" w:space="1" w:color="auto"/>
          <w:right w:val="single" w:sz="4" w:space="4" w:color="auto"/>
        </w:pBdr>
        <w:spacing w:before="0"/>
        <w:rPr>
          <w:szCs w:val="20"/>
        </w:rPr>
      </w:pPr>
      <w:r w:rsidRPr="00365551">
        <w:t>Immunohistochemical examination of biopsy material from a patient diagnosed with unresectable mesothelioma by immunoperoxidase or other labelled antibody techniques using the PD-L1 antibody to determine if the requirements relating to programmed cell death ligand 1 (PD-L1) status for access pembrolizumab under the Pharmaceutical Benefits Scheme (PBS) are fulfilled</w:t>
      </w:r>
    </w:p>
    <w:p w:rsidR="00AE1188" w:rsidRPr="00AE1188" w:rsidRDefault="00365551" w:rsidP="00365551">
      <w:pPr>
        <w:pBdr>
          <w:top w:val="single" w:sz="4" w:space="1" w:color="auto"/>
          <w:left w:val="single" w:sz="4" w:space="4" w:color="auto"/>
          <w:bottom w:val="single" w:sz="4" w:space="1" w:color="auto"/>
          <w:right w:val="single" w:sz="4" w:space="4" w:color="auto"/>
        </w:pBdr>
        <w:spacing w:before="240"/>
        <w:rPr>
          <w:szCs w:val="20"/>
        </w:rPr>
      </w:pPr>
      <w:r>
        <w:rPr>
          <w:szCs w:val="20"/>
        </w:rPr>
        <w:t>Fee:  To be determined</w:t>
      </w:r>
    </w:p>
    <w:p w:rsidR="00AE1188" w:rsidRDefault="00AE1188" w:rsidP="001F2F80">
      <w:pPr>
        <w:pStyle w:val="Heading2"/>
        <w:numPr>
          <w:ilvl w:val="0"/>
          <w:numId w:val="0"/>
        </w:numPr>
        <w:spacing w:before="0"/>
        <w:ind w:left="360"/>
      </w:pPr>
      <w:r>
        <w:br w:type="page"/>
      </w:r>
    </w:p>
    <w:p w:rsidR="00E058F2" w:rsidRPr="00C776B1" w:rsidRDefault="001B5169" w:rsidP="001F2F80">
      <w:pPr>
        <w:pStyle w:val="Heading1"/>
        <w:spacing w:after="120" w:line="240" w:lineRule="auto"/>
      </w:pPr>
      <w:r>
        <w:lastRenderedPageBreak/>
        <w:t>PART 9</w:t>
      </w:r>
      <w:r w:rsidR="00F93784">
        <w:t xml:space="preserve"> – </w:t>
      </w:r>
      <w:r w:rsidR="00E058F2" w:rsidRPr="00C776B1">
        <w:t>FEEDBACK</w:t>
      </w:r>
    </w:p>
    <w:p w:rsidR="00E058F2" w:rsidRPr="00154B00" w:rsidRDefault="00E058F2" w:rsidP="001F2F80">
      <w:pPr>
        <w:spacing w:before="0"/>
        <w:rPr>
          <w:szCs w:val="20"/>
        </w:rPr>
      </w:pPr>
      <w:r w:rsidRPr="00154B00">
        <w:rPr>
          <w:szCs w:val="20"/>
        </w:rPr>
        <w:t>The Department</w:t>
      </w:r>
      <w:r w:rsidR="005A58BA">
        <w:rPr>
          <w:szCs w:val="20"/>
        </w:rPr>
        <w:t xml:space="preserve"> is interested in your feedback.</w:t>
      </w:r>
    </w:p>
    <w:p w:rsidR="00E058F2" w:rsidRPr="00AE1188" w:rsidRDefault="00E058F2" w:rsidP="001F2F80">
      <w:pPr>
        <w:pStyle w:val="Heading2"/>
        <w:spacing w:before="0"/>
      </w:pPr>
      <w:r w:rsidRPr="00AE1188">
        <w:t>How long did it take to complete the Application Form?</w:t>
      </w:r>
    </w:p>
    <w:p w:rsidR="00E058F2" w:rsidRPr="00154B00" w:rsidRDefault="00603D04" w:rsidP="001F2F80">
      <w:pPr>
        <w:spacing w:before="0"/>
        <w:ind w:left="426"/>
        <w:rPr>
          <w:szCs w:val="20"/>
        </w:rPr>
      </w:pPr>
      <w:r>
        <w:fldChar w:fldCharType="begin">
          <w:ffData>
            <w:name w:val=""/>
            <w:enabled/>
            <w:calcOnExit w:val="0"/>
            <w:textInput>
              <w:default w:val="Insert approximate duration here"/>
            </w:textInput>
          </w:ffData>
        </w:fldChar>
      </w:r>
      <w:r>
        <w:instrText xml:space="preserve"> FORMTEXT </w:instrText>
      </w:r>
      <w:r>
        <w:fldChar w:fldCharType="separate"/>
      </w:r>
      <w:r>
        <w:rPr>
          <w:noProof/>
        </w:rPr>
        <w:t>Insert approximate duration here</w:t>
      </w:r>
      <w:r>
        <w:fldChar w:fldCharType="end"/>
      </w:r>
    </w:p>
    <w:p w:rsidR="001845D9" w:rsidRPr="00154B00" w:rsidRDefault="001B5169" w:rsidP="001F2F80">
      <w:pPr>
        <w:pStyle w:val="Heading2"/>
        <w:spacing w:before="0"/>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rsidR="00603D04" w:rsidRPr="001B29A1" w:rsidRDefault="00603D04" w:rsidP="001F2F80">
      <w:pPr>
        <w:spacing w:before="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625EC9">
        <w:rPr>
          <w:szCs w:val="20"/>
        </w:rPr>
      </w:r>
      <w:r w:rsidR="00625EC9">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rsidR="00603D04" w:rsidRPr="001B29A1" w:rsidRDefault="00603D04" w:rsidP="001F2F80">
      <w:pPr>
        <w:spacing w:before="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625EC9">
        <w:rPr>
          <w:szCs w:val="20"/>
        </w:rPr>
      </w:r>
      <w:r w:rsidR="00625EC9">
        <w:rPr>
          <w:szCs w:val="20"/>
        </w:rPr>
        <w:fldChar w:fldCharType="separate"/>
      </w:r>
      <w:r w:rsidRPr="001B29A1">
        <w:rPr>
          <w:szCs w:val="20"/>
        </w:rPr>
        <w:fldChar w:fldCharType="end"/>
      </w:r>
      <w:r w:rsidRPr="001B29A1">
        <w:rPr>
          <w:szCs w:val="20"/>
        </w:rPr>
        <w:t xml:space="preserve"> </w:t>
      </w:r>
      <w:r>
        <w:rPr>
          <w:szCs w:val="20"/>
        </w:rPr>
        <w:t>No</w:t>
      </w:r>
    </w:p>
    <w:p w:rsidR="003D6DE1" w:rsidRPr="00154B00" w:rsidRDefault="00603D04" w:rsidP="001F2F80">
      <w:pPr>
        <w:pStyle w:val="Heading2"/>
        <w:numPr>
          <w:ilvl w:val="0"/>
          <w:numId w:val="31"/>
        </w:numPr>
        <w:spacing w:before="0"/>
      </w:pPr>
      <w:r>
        <w:t>If no, provide areas of concern:</w:t>
      </w:r>
    </w:p>
    <w:p w:rsidR="003D6DE1" w:rsidRPr="00154B00" w:rsidRDefault="00603D04" w:rsidP="001F2F80">
      <w:pPr>
        <w:spacing w:before="0"/>
        <w:ind w:left="426"/>
        <w:rPr>
          <w:szCs w:val="20"/>
        </w:rPr>
      </w:pPr>
      <w:r>
        <w:fldChar w:fldCharType="begin">
          <w:ffData>
            <w:name w:val=""/>
            <w:enabled/>
            <w:calcOnExit w:val="0"/>
            <w:textInput>
              <w:default w:val="Describe areas of concern here"/>
            </w:textInput>
          </w:ffData>
        </w:fldChar>
      </w:r>
      <w:r>
        <w:instrText xml:space="preserve"> FORMTEXT </w:instrText>
      </w:r>
      <w:r>
        <w:fldChar w:fldCharType="separate"/>
      </w:r>
      <w:r>
        <w:rPr>
          <w:noProof/>
        </w:rPr>
        <w:t>Describe areas of concern here</w:t>
      </w:r>
      <w:r>
        <w:fldChar w:fldCharType="end"/>
      </w:r>
    </w:p>
    <w:p w:rsidR="00E058F2" w:rsidRPr="00154B00" w:rsidRDefault="001B5169" w:rsidP="001F2F80">
      <w:pPr>
        <w:pStyle w:val="Heading2"/>
        <w:spacing w:before="0"/>
      </w:pPr>
      <w:r>
        <w:t xml:space="preserve">(a) </w:t>
      </w:r>
      <w:r w:rsidR="00E058F2" w:rsidRPr="00603D04">
        <w:t>Are</w:t>
      </w:r>
      <w:r w:rsidR="00E058F2" w:rsidRPr="00154B00">
        <w:t xml:space="preserve"> the associated Guidelines to the Application Form useful?</w:t>
      </w:r>
    </w:p>
    <w:p w:rsidR="00603D04" w:rsidRPr="001B29A1" w:rsidRDefault="00603D04" w:rsidP="001F2F80">
      <w:pPr>
        <w:spacing w:before="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625EC9">
        <w:rPr>
          <w:szCs w:val="20"/>
        </w:rPr>
      </w:r>
      <w:r w:rsidR="00625EC9">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rsidR="00603D04" w:rsidRPr="001B29A1" w:rsidRDefault="00603D04" w:rsidP="001F2F80">
      <w:pPr>
        <w:spacing w:before="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625EC9">
        <w:rPr>
          <w:szCs w:val="20"/>
        </w:rPr>
      </w:r>
      <w:r w:rsidR="00625EC9">
        <w:rPr>
          <w:szCs w:val="20"/>
        </w:rPr>
        <w:fldChar w:fldCharType="separate"/>
      </w:r>
      <w:r w:rsidRPr="001B29A1">
        <w:rPr>
          <w:szCs w:val="20"/>
        </w:rPr>
        <w:fldChar w:fldCharType="end"/>
      </w:r>
      <w:r w:rsidRPr="001B29A1">
        <w:rPr>
          <w:szCs w:val="20"/>
        </w:rPr>
        <w:t xml:space="preserve"> </w:t>
      </w:r>
      <w:r>
        <w:rPr>
          <w:szCs w:val="20"/>
        </w:rPr>
        <w:t>No</w:t>
      </w:r>
    </w:p>
    <w:p w:rsidR="003D6DE1" w:rsidRPr="00154B00" w:rsidRDefault="003D6DE1" w:rsidP="001F2F80">
      <w:pPr>
        <w:pStyle w:val="Heading2"/>
        <w:numPr>
          <w:ilvl w:val="0"/>
          <w:numId w:val="32"/>
        </w:numPr>
        <w:spacing w:before="0"/>
      </w:pPr>
      <w:r>
        <w:t>If no, what areas did you find not to be useful?</w:t>
      </w:r>
    </w:p>
    <w:p w:rsidR="003D6DE1" w:rsidRPr="00154B00" w:rsidRDefault="00603D04" w:rsidP="001F2F80">
      <w:pPr>
        <w:spacing w:before="0"/>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p w:rsidR="00E058F2" w:rsidRPr="00154B00" w:rsidRDefault="001B5169" w:rsidP="001F2F80">
      <w:pPr>
        <w:pStyle w:val="Heading2"/>
        <w:spacing w:before="0"/>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rsidR="00603D04" w:rsidRPr="001B29A1" w:rsidRDefault="00603D04" w:rsidP="001F2F80">
      <w:pPr>
        <w:spacing w:before="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625EC9">
        <w:rPr>
          <w:szCs w:val="20"/>
        </w:rPr>
      </w:r>
      <w:r w:rsidR="00625EC9">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rsidR="00603D04" w:rsidRPr="001B29A1" w:rsidRDefault="00603D04" w:rsidP="001F2F80">
      <w:pPr>
        <w:spacing w:before="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625EC9">
        <w:rPr>
          <w:szCs w:val="20"/>
        </w:rPr>
      </w:r>
      <w:r w:rsidR="00625EC9">
        <w:rPr>
          <w:szCs w:val="20"/>
        </w:rPr>
        <w:fldChar w:fldCharType="separate"/>
      </w:r>
      <w:r w:rsidRPr="001B29A1">
        <w:rPr>
          <w:szCs w:val="20"/>
        </w:rPr>
        <w:fldChar w:fldCharType="end"/>
      </w:r>
      <w:r w:rsidRPr="001B29A1">
        <w:rPr>
          <w:szCs w:val="20"/>
        </w:rPr>
        <w:t xml:space="preserve"> </w:t>
      </w:r>
      <w:r>
        <w:rPr>
          <w:szCs w:val="20"/>
        </w:rPr>
        <w:t>No</w:t>
      </w:r>
    </w:p>
    <w:p w:rsidR="001845D9" w:rsidRPr="00154B00" w:rsidRDefault="001845D9" w:rsidP="001F2F80">
      <w:pPr>
        <w:pStyle w:val="Heading2"/>
        <w:numPr>
          <w:ilvl w:val="0"/>
          <w:numId w:val="33"/>
        </w:numPr>
        <w:spacing w:before="0"/>
      </w:pPr>
      <w:r w:rsidRPr="00154B00">
        <w:t>If yes, please advise:</w:t>
      </w:r>
    </w:p>
    <w:p w:rsidR="00451840" w:rsidRDefault="00603D04" w:rsidP="001F2F80">
      <w:pPr>
        <w:spacing w:before="0"/>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sectPr w:rsidR="00451840"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F3B" w:rsidRDefault="00F02F3B" w:rsidP="00CF2DFA">
      <w:pPr>
        <w:spacing w:after="0"/>
      </w:pPr>
      <w:r>
        <w:separator/>
      </w:r>
    </w:p>
  </w:endnote>
  <w:endnote w:type="continuationSeparator" w:id="0">
    <w:p w:rsidR="00F02F3B" w:rsidRDefault="00F02F3B"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rsidR="00625EC9" w:rsidRDefault="00625EC9">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A023D4" w:rsidRPr="00A023D4">
          <w:rPr>
            <w:b/>
            <w:bCs/>
            <w:noProof/>
            <w:sz w:val="18"/>
            <w:szCs w:val="18"/>
          </w:rPr>
          <w:t>15</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rsidR="00625EC9" w:rsidRPr="003F7CB9" w:rsidRDefault="00625EC9"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F3B" w:rsidRDefault="00F02F3B" w:rsidP="00CF2DFA">
      <w:pPr>
        <w:spacing w:after="0"/>
      </w:pPr>
      <w:r>
        <w:separator/>
      </w:r>
    </w:p>
  </w:footnote>
  <w:footnote w:type="continuationSeparator" w:id="0">
    <w:p w:rsidR="00F02F3B" w:rsidRDefault="00F02F3B" w:rsidP="00CF2DFA">
      <w:pPr>
        <w:spacing w:after="0"/>
      </w:pPr>
      <w:r>
        <w:continuationSeparator/>
      </w:r>
    </w:p>
  </w:footnote>
  <w:footnote w:id="1">
    <w:p w:rsidR="00625EC9" w:rsidRPr="00FC64D7" w:rsidRDefault="00625EC9" w:rsidP="00365551">
      <w:pPr>
        <w:pStyle w:val="FootnoteText"/>
        <w:rPr>
          <w:lang w:val="en-US"/>
        </w:rPr>
      </w:pPr>
      <w:r>
        <w:rPr>
          <w:rStyle w:val="FootnoteReference"/>
        </w:rPr>
        <w:footnoteRef/>
      </w:r>
      <w:r>
        <w:t xml:space="preserve"> </w:t>
      </w:r>
      <w:r w:rsidRPr="00FC64D7">
        <w:t>https://www.mesothelioma-australia.com/media/12174/amr_4thannualdatareport_final.pdf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8"/>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
  </w:num>
  <w:num w:numId="25">
    <w:abstractNumId w:val="16"/>
  </w:num>
  <w:num w:numId="26">
    <w:abstractNumId w:val="3"/>
  </w:num>
  <w:num w:numId="27">
    <w:abstractNumId w:val="13"/>
  </w:num>
  <w:num w:numId="28">
    <w:abstractNumId w:val="9"/>
  </w:num>
  <w:num w:numId="29">
    <w:abstractNumId w:val="17"/>
  </w:num>
  <w:num w:numId="30">
    <w:abstractNumId w:val="2"/>
  </w:num>
  <w:num w:numId="31">
    <w:abstractNumId w:val="15"/>
  </w:num>
  <w:num w:numId="32">
    <w:abstractNumId w:val="6"/>
  </w:num>
  <w:num w:numId="33">
    <w:abstractNumId w:val="14"/>
  </w:num>
  <w:num w:numId="34">
    <w:abstractNumId w:val="5"/>
  </w:num>
  <w:num w:numId="35">
    <w:abstractNumId w:val="1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C5"/>
    <w:rsid w:val="000110DC"/>
    <w:rsid w:val="000158AA"/>
    <w:rsid w:val="000159B9"/>
    <w:rsid w:val="00016B6E"/>
    <w:rsid w:val="00023E21"/>
    <w:rsid w:val="00025ABC"/>
    <w:rsid w:val="00026412"/>
    <w:rsid w:val="00031F6F"/>
    <w:rsid w:val="00034D6E"/>
    <w:rsid w:val="0005089D"/>
    <w:rsid w:val="000525BC"/>
    <w:rsid w:val="00070866"/>
    <w:rsid w:val="00073222"/>
    <w:rsid w:val="000770BA"/>
    <w:rsid w:val="00092580"/>
    <w:rsid w:val="000955E7"/>
    <w:rsid w:val="000A110D"/>
    <w:rsid w:val="000A478F"/>
    <w:rsid w:val="000A5B32"/>
    <w:rsid w:val="000B3CD0"/>
    <w:rsid w:val="000D066E"/>
    <w:rsid w:val="000D0831"/>
    <w:rsid w:val="000E47E7"/>
    <w:rsid w:val="000E5439"/>
    <w:rsid w:val="00102686"/>
    <w:rsid w:val="0011036E"/>
    <w:rsid w:val="001130B0"/>
    <w:rsid w:val="0011369B"/>
    <w:rsid w:val="0011742E"/>
    <w:rsid w:val="00123D10"/>
    <w:rsid w:val="00124B00"/>
    <w:rsid w:val="00126B33"/>
    <w:rsid w:val="001507D0"/>
    <w:rsid w:val="00154B00"/>
    <w:rsid w:val="001644E9"/>
    <w:rsid w:val="001845D9"/>
    <w:rsid w:val="0018630F"/>
    <w:rsid w:val="00186558"/>
    <w:rsid w:val="001906CD"/>
    <w:rsid w:val="00191B99"/>
    <w:rsid w:val="00197D29"/>
    <w:rsid w:val="001A02E3"/>
    <w:rsid w:val="001A1ADF"/>
    <w:rsid w:val="001A365C"/>
    <w:rsid w:val="001B171D"/>
    <w:rsid w:val="001B29A1"/>
    <w:rsid w:val="001B5169"/>
    <w:rsid w:val="001B6164"/>
    <w:rsid w:val="001D77ED"/>
    <w:rsid w:val="001E1180"/>
    <w:rsid w:val="001E23EA"/>
    <w:rsid w:val="001E6919"/>
    <w:rsid w:val="001E6958"/>
    <w:rsid w:val="001F2F80"/>
    <w:rsid w:val="00201924"/>
    <w:rsid w:val="00202473"/>
    <w:rsid w:val="002053F2"/>
    <w:rsid w:val="00206D63"/>
    <w:rsid w:val="0021185D"/>
    <w:rsid w:val="00226777"/>
    <w:rsid w:val="00235BD1"/>
    <w:rsid w:val="00242B0E"/>
    <w:rsid w:val="00247DF0"/>
    <w:rsid w:val="00254813"/>
    <w:rsid w:val="00257FF2"/>
    <w:rsid w:val="00265822"/>
    <w:rsid w:val="0027105F"/>
    <w:rsid w:val="002711FB"/>
    <w:rsid w:val="00275D11"/>
    <w:rsid w:val="00283318"/>
    <w:rsid w:val="00285525"/>
    <w:rsid w:val="00294CD8"/>
    <w:rsid w:val="002A270B"/>
    <w:rsid w:val="002A40AE"/>
    <w:rsid w:val="002A50FD"/>
    <w:rsid w:val="002A6753"/>
    <w:rsid w:val="002B28D7"/>
    <w:rsid w:val="002B7EB6"/>
    <w:rsid w:val="002C0B61"/>
    <w:rsid w:val="002C15E6"/>
    <w:rsid w:val="002C247D"/>
    <w:rsid w:val="002C3345"/>
    <w:rsid w:val="002D409A"/>
    <w:rsid w:val="002F1BE5"/>
    <w:rsid w:val="002F30E7"/>
    <w:rsid w:val="002F55EF"/>
    <w:rsid w:val="00300EEB"/>
    <w:rsid w:val="003013A9"/>
    <w:rsid w:val="003020B5"/>
    <w:rsid w:val="003027BB"/>
    <w:rsid w:val="00310A10"/>
    <w:rsid w:val="00327D25"/>
    <w:rsid w:val="003319A7"/>
    <w:rsid w:val="00334FE3"/>
    <w:rsid w:val="003421AE"/>
    <w:rsid w:val="003433D1"/>
    <w:rsid w:val="00344B24"/>
    <w:rsid w:val="003456B9"/>
    <w:rsid w:val="0035067D"/>
    <w:rsid w:val="00352047"/>
    <w:rsid w:val="00353A16"/>
    <w:rsid w:val="0035776D"/>
    <w:rsid w:val="00364FD9"/>
    <w:rsid w:val="00365551"/>
    <w:rsid w:val="00367C1B"/>
    <w:rsid w:val="00376B61"/>
    <w:rsid w:val="00382407"/>
    <w:rsid w:val="00386A64"/>
    <w:rsid w:val="00386FA1"/>
    <w:rsid w:val="00390142"/>
    <w:rsid w:val="00392F00"/>
    <w:rsid w:val="00397377"/>
    <w:rsid w:val="003A22DE"/>
    <w:rsid w:val="003A2860"/>
    <w:rsid w:val="003A3C35"/>
    <w:rsid w:val="003A7D30"/>
    <w:rsid w:val="003B3C5C"/>
    <w:rsid w:val="003C47CA"/>
    <w:rsid w:val="003D6DE1"/>
    <w:rsid w:val="003D795C"/>
    <w:rsid w:val="003E30FB"/>
    <w:rsid w:val="003F2711"/>
    <w:rsid w:val="003F6C70"/>
    <w:rsid w:val="003F7CB9"/>
    <w:rsid w:val="00403333"/>
    <w:rsid w:val="00411735"/>
    <w:rsid w:val="0043654D"/>
    <w:rsid w:val="00451840"/>
    <w:rsid w:val="00457DE6"/>
    <w:rsid w:val="00460C9A"/>
    <w:rsid w:val="00464924"/>
    <w:rsid w:val="0047581D"/>
    <w:rsid w:val="00480289"/>
    <w:rsid w:val="00481279"/>
    <w:rsid w:val="00483368"/>
    <w:rsid w:val="00494011"/>
    <w:rsid w:val="004A0BF4"/>
    <w:rsid w:val="004A263B"/>
    <w:rsid w:val="004A68EF"/>
    <w:rsid w:val="004B68AE"/>
    <w:rsid w:val="004C35B0"/>
    <w:rsid w:val="004C49EF"/>
    <w:rsid w:val="004C4A19"/>
    <w:rsid w:val="004C5570"/>
    <w:rsid w:val="004D00C9"/>
    <w:rsid w:val="004E16F5"/>
    <w:rsid w:val="004E3CC7"/>
    <w:rsid w:val="004E5B69"/>
    <w:rsid w:val="004F2A87"/>
    <w:rsid w:val="0050517E"/>
    <w:rsid w:val="00507C56"/>
    <w:rsid w:val="0052344E"/>
    <w:rsid w:val="00526478"/>
    <w:rsid w:val="00530204"/>
    <w:rsid w:val="00534C5F"/>
    <w:rsid w:val="00540257"/>
    <w:rsid w:val="0054192F"/>
    <w:rsid w:val="00544EB3"/>
    <w:rsid w:val="0054594B"/>
    <w:rsid w:val="0054749B"/>
    <w:rsid w:val="00551CC6"/>
    <w:rsid w:val="00560541"/>
    <w:rsid w:val="005672D0"/>
    <w:rsid w:val="00572CEB"/>
    <w:rsid w:val="005834C9"/>
    <w:rsid w:val="005A1500"/>
    <w:rsid w:val="005A58BA"/>
    <w:rsid w:val="005A5D30"/>
    <w:rsid w:val="005A6AB9"/>
    <w:rsid w:val="005C333E"/>
    <w:rsid w:val="005C3AE7"/>
    <w:rsid w:val="005D0677"/>
    <w:rsid w:val="005E294C"/>
    <w:rsid w:val="005E2CE3"/>
    <w:rsid w:val="005F3F07"/>
    <w:rsid w:val="00603D04"/>
    <w:rsid w:val="00606857"/>
    <w:rsid w:val="00615F42"/>
    <w:rsid w:val="006258C2"/>
    <w:rsid w:val="00625EC9"/>
    <w:rsid w:val="00626365"/>
    <w:rsid w:val="00630E22"/>
    <w:rsid w:val="0064168C"/>
    <w:rsid w:val="00657B46"/>
    <w:rsid w:val="006751A9"/>
    <w:rsid w:val="006764EC"/>
    <w:rsid w:val="006835FE"/>
    <w:rsid w:val="00693BFD"/>
    <w:rsid w:val="00695065"/>
    <w:rsid w:val="006A1038"/>
    <w:rsid w:val="006A1C25"/>
    <w:rsid w:val="006A649A"/>
    <w:rsid w:val="006B1B49"/>
    <w:rsid w:val="006B6390"/>
    <w:rsid w:val="006C0356"/>
    <w:rsid w:val="006C0843"/>
    <w:rsid w:val="006C74B1"/>
    <w:rsid w:val="006E57AA"/>
    <w:rsid w:val="006F20CF"/>
    <w:rsid w:val="006F38ED"/>
    <w:rsid w:val="00707D4D"/>
    <w:rsid w:val="00714FC4"/>
    <w:rsid w:val="00723503"/>
    <w:rsid w:val="00730C04"/>
    <w:rsid w:val="0073597B"/>
    <w:rsid w:val="007378F6"/>
    <w:rsid w:val="0074545D"/>
    <w:rsid w:val="007522E3"/>
    <w:rsid w:val="0075335B"/>
    <w:rsid w:val="00753C44"/>
    <w:rsid w:val="00754383"/>
    <w:rsid w:val="007564D1"/>
    <w:rsid w:val="00757232"/>
    <w:rsid w:val="00760679"/>
    <w:rsid w:val="00763628"/>
    <w:rsid w:val="00767E99"/>
    <w:rsid w:val="00772E62"/>
    <w:rsid w:val="0077789B"/>
    <w:rsid w:val="00780D29"/>
    <w:rsid w:val="00791C8D"/>
    <w:rsid w:val="00794181"/>
    <w:rsid w:val="007A7F6F"/>
    <w:rsid w:val="007B4C76"/>
    <w:rsid w:val="007C2260"/>
    <w:rsid w:val="007D1E52"/>
    <w:rsid w:val="007D2358"/>
    <w:rsid w:val="007E39E4"/>
    <w:rsid w:val="007E6FB3"/>
    <w:rsid w:val="007F21B4"/>
    <w:rsid w:val="00802553"/>
    <w:rsid w:val="00803EAB"/>
    <w:rsid w:val="00804098"/>
    <w:rsid w:val="008046B5"/>
    <w:rsid w:val="008127C0"/>
    <w:rsid w:val="00812EDD"/>
    <w:rsid w:val="008139C5"/>
    <w:rsid w:val="0081650F"/>
    <w:rsid w:val="00832B31"/>
    <w:rsid w:val="008403E0"/>
    <w:rsid w:val="0084538D"/>
    <w:rsid w:val="0084657B"/>
    <w:rsid w:val="00855944"/>
    <w:rsid w:val="00864A18"/>
    <w:rsid w:val="00870833"/>
    <w:rsid w:val="00874571"/>
    <w:rsid w:val="00881F93"/>
    <w:rsid w:val="00882CB5"/>
    <w:rsid w:val="00883641"/>
    <w:rsid w:val="00884E69"/>
    <w:rsid w:val="00890082"/>
    <w:rsid w:val="008A48D2"/>
    <w:rsid w:val="008B2610"/>
    <w:rsid w:val="008B471D"/>
    <w:rsid w:val="008B49E4"/>
    <w:rsid w:val="008B729C"/>
    <w:rsid w:val="008C4A93"/>
    <w:rsid w:val="008E0E49"/>
    <w:rsid w:val="008E35FD"/>
    <w:rsid w:val="008E6227"/>
    <w:rsid w:val="0090543D"/>
    <w:rsid w:val="009056C5"/>
    <w:rsid w:val="009262F2"/>
    <w:rsid w:val="00937791"/>
    <w:rsid w:val="00951933"/>
    <w:rsid w:val="00954343"/>
    <w:rsid w:val="00955271"/>
    <w:rsid w:val="00963C9C"/>
    <w:rsid w:val="00965B6B"/>
    <w:rsid w:val="00971EDB"/>
    <w:rsid w:val="00974D50"/>
    <w:rsid w:val="00987ABE"/>
    <w:rsid w:val="00991EE4"/>
    <w:rsid w:val="009939DC"/>
    <w:rsid w:val="00993B9C"/>
    <w:rsid w:val="009B4E1E"/>
    <w:rsid w:val="009C03FB"/>
    <w:rsid w:val="009C4B4F"/>
    <w:rsid w:val="009F0C02"/>
    <w:rsid w:val="009F5758"/>
    <w:rsid w:val="00A023D4"/>
    <w:rsid w:val="00A0283F"/>
    <w:rsid w:val="00A04F4A"/>
    <w:rsid w:val="00A26343"/>
    <w:rsid w:val="00A408B5"/>
    <w:rsid w:val="00A529E2"/>
    <w:rsid w:val="00A539F8"/>
    <w:rsid w:val="00A6491A"/>
    <w:rsid w:val="00A6594E"/>
    <w:rsid w:val="00A727B6"/>
    <w:rsid w:val="00A81CC6"/>
    <w:rsid w:val="00A83EC6"/>
    <w:rsid w:val="00A8732C"/>
    <w:rsid w:val="00A9062D"/>
    <w:rsid w:val="00A93F58"/>
    <w:rsid w:val="00A96329"/>
    <w:rsid w:val="00AA134B"/>
    <w:rsid w:val="00AA2CFE"/>
    <w:rsid w:val="00AA5FDA"/>
    <w:rsid w:val="00AA6291"/>
    <w:rsid w:val="00AC0C91"/>
    <w:rsid w:val="00AD37D4"/>
    <w:rsid w:val="00AD7986"/>
    <w:rsid w:val="00AE1188"/>
    <w:rsid w:val="00AE738C"/>
    <w:rsid w:val="00AF1046"/>
    <w:rsid w:val="00AF4466"/>
    <w:rsid w:val="00AF5D1E"/>
    <w:rsid w:val="00B040A9"/>
    <w:rsid w:val="00B1711E"/>
    <w:rsid w:val="00B17CBE"/>
    <w:rsid w:val="00B17E26"/>
    <w:rsid w:val="00B231A4"/>
    <w:rsid w:val="00B25D20"/>
    <w:rsid w:val="00B31C99"/>
    <w:rsid w:val="00B53BA6"/>
    <w:rsid w:val="00B5731D"/>
    <w:rsid w:val="00B6378B"/>
    <w:rsid w:val="00B63E3A"/>
    <w:rsid w:val="00B71C91"/>
    <w:rsid w:val="00B75965"/>
    <w:rsid w:val="00B771AD"/>
    <w:rsid w:val="00B814CB"/>
    <w:rsid w:val="00BA0CF8"/>
    <w:rsid w:val="00BA1ADF"/>
    <w:rsid w:val="00BA51FC"/>
    <w:rsid w:val="00BB003A"/>
    <w:rsid w:val="00BB3358"/>
    <w:rsid w:val="00BB3382"/>
    <w:rsid w:val="00BB3643"/>
    <w:rsid w:val="00BC3DA0"/>
    <w:rsid w:val="00BC424B"/>
    <w:rsid w:val="00BE0FDE"/>
    <w:rsid w:val="00BF6AC5"/>
    <w:rsid w:val="00C01121"/>
    <w:rsid w:val="00C030A5"/>
    <w:rsid w:val="00C05A45"/>
    <w:rsid w:val="00C0796F"/>
    <w:rsid w:val="00C11B34"/>
    <w:rsid w:val="00C12C5C"/>
    <w:rsid w:val="00C171FB"/>
    <w:rsid w:val="00C209C2"/>
    <w:rsid w:val="00C2267F"/>
    <w:rsid w:val="00C22AD8"/>
    <w:rsid w:val="00C34956"/>
    <w:rsid w:val="00C3557E"/>
    <w:rsid w:val="00C3594B"/>
    <w:rsid w:val="00C43102"/>
    <w:rsid w:val="00C4696B"/>
    <w:rsid w:val="00C50513"/>
    <w:rsid w:val="00C54503"/>
    <w:rsid w:val="00C63055"/>
    <w:rsid w:val="00C73B62"/>
    <w:rsid w:val="00C776B1"/>
    <w:rsid w:val="00C815FE"/>
    <w:rsid w:val="00C847AE"/>
    <w:rsid w:val="00CA04C6"/>
    <w:rsid w:val="00CA26DD"/>
    <w:rsid w:val="00CB12EC"/>
    <w:rsid w:val="00CC09D7"/>
    <w:rsid w:val="00CC12B8"/>
    <w:rsid w:val="00CD22E3"/>
    <w:rsid w:val="00CD4E44"/>
    <w:rsid w:val="00CD5AE4"/>
    <w:rsid w:val="00CD7A7D"/>
    <w:rsid w:val="00CF2D8E"/>
    <w:rsid w:val="00CF2DFA"/>
    <w:rsid w:val="00CF5AD8"/>
    <w:rsid w:val="00D00122"/>
    <w:rsid w:val="00D01D2A"/>
    <w:rsid w:val="00D10B47"/>
    <w:rsid w:val="00D11EB1"/>
    <w:rsid w:val="00D17F17"/>
    <w:rsid w:val="00D23597"/>
    <w:rsid w:val="00D30BDC"/>
    <w:rsid w:val="00D57F88"/>
    <w:rsid w:val="00D7105C"/>
    <w:rsid w:val="00D73646"/>
    <w:rsid w:val="00D777B4"/>
    <w:rsid w:val="00D77A90"/>
    <w:rsid w:val="00D8360B"/>
    <w:rsid w:val="00D85676"/>
    <w:rsid w:val="00D96ADA"/>
    <w:rsid w:val="00DA2886"/>
    <w:rsid w:val="00DA5E50"/>
    <w:rsid w:val="00DA7D0C"/>
    <w:rsid w:val="00DB311C"/>
    <w:rsid w:val="00DB432D"/>
    <w:rsid w:val="00DB519B"/>
    <w:rsid w:val="00DC7694"/>
    <w:rsid w:val="00DC7FBE"/>
    <w:rsid w:val="00DD130E"/>
    <w:rsid w:val="00DD308E"/>
    <w:rsid w:val="00DF0C51"/>
    <w:rsid w:val="00DF0D47"/>
    <w:rsid w:val="00DF1652"/>
    <w:rsid w:val="00DF6D37"/>
    <w:rsid w:val="00E048ED"/>
    <w:rsid w:val="00E04FB3"/>
    <w:rsid w:val="00E058F2"/>
    <w:rsid w:val="00E05D9C"/>
    <w:rsid w:val="00E06102"/>
    <w:rsid w:val="00E23E71"/>
    <w:rsid w:val="00E30F19"/>
    <w:rsid w:val="00E33C4A"/>
    <w:rsid w:val="00E357B9"/>
    <w:rsid w:val="00E4321E"/>
    <w:rsid w:val="00E44B80"/>
    <w:rsid w:val="00E47623"/>
    <w:rsid w:val="00E60529"/>
    <w:rsid w:val="00E70D86"/>
    <w:rsid w:val="00E7628E"/>
    <w:rsid w:val="00E82F54"/>
    <w:rsid w:val="00E8649B"/>
    <w:rsid w:val="00E871CD"/>
    <w:rsid w:val="00E90990"/>
    <w:rsid w:val="00E95D3D"/>
    <w:rsid w:val="00EA0E25"/>
    <w:rsid w:val="00EA173C"/>
    <w:rsid w:val="00EB0182"/>
    <w:rsid w:val="00EC127A"/>
    <w:rsid w:val="00EC1FF9"/>
    <w:rsid w:val="00EC2737"/>
    <w:rsid w:val="00EE2716"/>
    <w:rsid w:val="00EE6450"/>
    <w:rsid w:val="00F01C2C"/>
    <w:rsid w:val="00F02F3B"/>
    <w:rsid w:val="00F10ED8"/>
    <w:rsid w:val="00F222BE"/>
    <w:rsid w:val="00F24179"/>
    <w:rsid w:val="00F301F1"/>
    <w:rsid w:val="00F30C22"/>
    <w:rsid w:val="00F33F1A"/>
    <w:rsid w:val="00F34AEC"/>
    <w:rsid w:val="00F547F7"/>
    <w:rsid w:val="00F54CCF"/>
    <w:rsid w:val="00F61D7A"/>
    <w:rsid w:val="00F637B3"/>
    <w:rsid w:val="00F63A62"/>
    <w:rsid w:val="00F66CF7"/>
    <w:rsid w:val="00F67BCB"/>
    <w:rsid w:val="00F77C57"/>
    <w:rsid w:val="00F813C7"/>
    <w:rsid w:val="00F83566"/>
    <w:rsid w:val="00F83A9D"/>
    <w:rsid w:val="00F906B5"/>
    <w:rsid w:val="00F93784"/>
    <w:rsid w:val="00F971CC"/>
    <w:rsid w:val="00FA2CAA"/>
    <w:rsid w:val="00FA3DA1"/>
    <w:rsid w:val="00FA6554"/>
    <w:rsid w:val="00FE16C1"/>
    <w:rsid w:val="00FE19FF"/>
    <w:rsid w:val="00FE33A6"/>
    <w:rsid w:val="00FE5452"/>
    <w:rsid w:val="00FE5E88"/>
    <w:rsid w:val="00FF1A00"/>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paragraph" w:styleId="FootnoteText">
    <w:name w:val="footnote text"/>
    <w:basedOn w:val="Normal"/>
    <w:link w:val="FootnoteTextChar"/>
    <w:uiPriority w:val="99"/>
    <w:semiHidden/>
    <w:unhideWhenUsed/>
    <w:rsid w:val="00365551"/>
    <w:pPr>
      <w:spacing w:before="0" w:after="0"/>
    </w:pPr>
    <w:rPr>
      <w:szCs w:val="20"/>
    </w:rPr>
  </w:style>
  <w:style w:type="character" w:customStyle="1" w:styleId="FootnoteTextChar">
    <w:name w:val="Footnote Text Char"/>
    <w:basedOn w:val="DefaultParagraphFont"/>
    <w:link w:val="FootnoteText"/>
    <w:uiPriority w:val="99"/>
    <w:semiHidden/>
    <w:rsid w:val="00365551"/>
    <w:rPr>
      <w:sz w:val="20"/>
      <w:szCs w:val="20"/>
    </w:rPr>
  </w:style>
  <w:style w:type="character" w:styleId="FootnoteReference">
    <w:name w:val="footnote reference"/>
    <w:basedOn w:val="DefaultParagraphFont"/>
    <w:uiPriority w:val="99"/>
    <w:semiHidden/>
    <w:unhideWhenUsed/>
    <w:rsid w:val="003655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paragraph" w:styleId="FootnoteText">
    <w:name w:val="footnote text"/>
    <w:basedOn w:val="Normal"/>
    <w:link w:val="FootnoteTextChar"/>
    <w:uiPriority w:val="99"/>
    <w:semiHidden/>
    <w:unhideWhenUsed/>
    <w:rsid w:val="00365551"/>
    <w:pPr>
      <w:spacing w:before="0" w:after="0"/>
    </w:pPr>
    <w:rPr>
      <w:szCs w:val="20"/>
    </w:rPr>
  </w:style>
  <w:style w:type="character" w:customStyle="1" w:styleId="FootnoteTextChar">
    <w:name w:val="Footnote Text Char"/>
    <w:basedOn w:val="DefaultParagraphFont"/>
    <w:link w:val="FootnoteText"/>
    <w:uiPriority w:val="99"/>
    <w:semiHidden/>
    <w:rsid w:val="00365551"/>
    <w:rPr>
      <w:sz w:val="20"/>
      <w:szCs w:val="20"/>
    </w:rPr>
  </w:style>
  <w:style w:type="character" w:styleId="FootnoteReference">
    <w:name w:val="footnote reference"/>
    <w:basedOn w:val="DefaultParagraphFont"/>
    <w:uiPriority w:val="99"/>
    <w:semiHidden/>
    <w:unhideWhenUsed/>
    <w:rsid w:val="00365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ancerres.aacrjournals.org/content/75/15_Supplement/CT10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ta@health.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clinicaltrials.gov/ct2/show/NCT02628067?term=Keynote+158&amp;ra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9F978-67FC-43B9-9655-5B6851832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4783</Words>
  <Characters>27269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MSAC Application Form</vt:lpstr>
    </vt:vector>
  </TitlesOfParts>
  <LinksUpToDate>false</LinksUpToDate>
  <CharactersWithSpaces>31989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MSAC Application Form</dc:title>
  <dc:creator/>
  <cp:lastModifiedBy/>
  <cp:revision>1</cp:revision>
  <dcterms:created xsi:type="dcterms:W3CDTF">2016-11-18T02:04:00Z</dcterms:created>
  <dcterms:modified xsi:type="dcterms:W3CDTF">2016-11-18T02:04:00Z</dcterms:modified>
</cp:coreProperties>
</file>