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7A" w:rsidRPr="00A20A17" w:rsidRDefault="002C4739" w:rsidP="00EA7961">
      <w:pPr>
        <w:jc w:val="center"/>
        <w:rPr>
          <w:rFonts w:ascii="Arial" w:hAnsi="Arial" w:cs="Arial"/>
          <w:b/>
          <w:szCs w:val="24"/>
          <w:u w:val="single"/>
        </w:rPr>
      </w:pPr>
      <w:r>
        <w:rPr>
          <w:rFonts w:ascii="Arial" w:hAnsi="Arial" w:cs="Arial"/>
          <w:b/>
          <w:noProof/>
          <w:szCs w:val="24"/>
          <w:u w:val="single"/>
        </w:rPr>
        <w:drawing>
          <wp:inline distT="0" distB="0" distL="0" distR="0">
            <wp:extent cx="2626360" cy="107378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6360" cy="1073785"/>
                    </a:xfrm>
                    <a:prstGeom prst="rect">
                      <a:avLst/>
                    </a:prstGeom>
                    <a:noFill/>
                    <a:ln>
                      <a:noFill/>
                    </a:ln>
                  </pic:spPr>
                </pic:pic>
              </a:graphicData>
            </a:graphic>
          </wp:inline>
        </w:drawing>
      </w:r>
    </w:p>
    <w:p w:rsidR="00DF4B27" w:rsidRDefault="00DF4B27" w:rsidP="00EA7961">
      <w:pPr>
        <w:rPr>
          <w:rFonts w:ascii="Arial" w:hAnsi="Arial" w:cs="Arial"/>
          <w:b/>
          <w:szCs w:val="24"/>
          <w:u w:val="single"/>
        </w:rPr>
      </w:pPr>
    </w:p>
    <w:p w:rsidR="004C0814" w:rsidRPr="00B060FC" w:rsidRDefault="00C97E20" w:rsidP="00EA7961">
      <w:pPr>
        <w:jc w:val="center"/>
        <w:rPr>
          <w:b/>
          <w:sz w:val="28"/>
          <w:szCs w:val="28"/>
        </w:rPr>
      </w:pPr>
      <w:r w:rsidRPr="00B060FC">
        <w:rPr>
          <w:b/>
          <w:sz w:val="28"/>
          <w:szCs w:val="28"/>
        </w:rPr>
        <w:t>Public Summary Document</w:t>
      </w:r>
      <w:r w:rsidR="00CD203C" w:rsidRPr="00B060FC">
        <w:rPr>
          <w:b/>
          <w:sz w:val="28"/>
          <w:szCs w:val="28"/>
        </w:rPr>
        <w:t xml:space="preserve"> </w:t>
      </w:r>
    </w:p>
    <w:p w:rsidR="009B7D6A" w:rsidRPr="00B060FC" w:rsidRDefault="009B7D6A" w:rsidP="00EA7961">
      <w:pPr>
        <w:jc w:val="center"/>
        <w:rPr>
          <w:b/>
          <w:sz w:val="28"/>
          <w:szCs w:val="28"/>
        </w:rPr>
      </w:pPr>
    </w:p>
    <w:p w:rsidR="009B7D6A" w:rsidRPr="00B060FC" w:rsidRDefault="004C0814" w:rsidP="00B060FC">
      <w:pPr>
        <w:tabs>
          <w:tab w:val="left" w:pos="4320"/>
        </w:tabs>
        <w:rPr>
          <w:b/>
          <w:sz w:val="28"/>
          <w:szCs w:val="28"/>
        </w:rPr>
      </w:pPr>
      <w:r w:rsidRPr="00B060FC">
        <w:rPr>
          <w:b/>
          <w:sz w:val="28"/>
          <w:szCs w:val="28"/>
        </w:rPr>
        <w:t xml:space="preserve">Application No. </w:t>
      </w:r>
      <w:r w:rsidR="007C35C0" w:rsidRPr="00B060FC">
        <w:rPr>
          <w:b/>
          <w:sz w:val="28"/>
          <w:szCs w:val="28"/>
        </w:rPr>
        <w:t>1</w:t>
      </w:r>
      <w:r w:rsidR="00235C89" w:rsidRPr="00B060FC">
        <w:rPr>
          <w:b/>
          <w:sz w:val="28"/>
          <w:szCs w:val="28"/>
        </w:rPr>
        <w:t>230</w:t>
      </w:r>
      <w:r w:rsidRPr="00B060FC">
        <w:rPr>
          <w:b/>
          <w:sz w:val="28"/>
          <w:szCs w:val="28"/>
        </w:rPr>
        <w:t xml:space="preserve"> – </w:t>
      </w:r>
      <w:r w:rsidR="009B7D6A" w:rsidRPr="00B060FC">
        <w:rPr>
          <w:rFonts w:eastAsia="Calibri"/>
          <w:b/>
          <w:sz w:val="28"/>
          <w:szCs w:val="28"/>
          <w:lang w:eastAsia="en-US"/>
        </w:rPr>
        <w:t xml:space="preserve">HER2 ISH testing for access to </w:t>
      </w:r>
      <w:proofErr w:type="spellStart"/>
      <w:r w:rsidR="009B7D6A" w:rsidRPr="00B060FC">
        <w:rPr>
          <w:rFonts w:eastAsia="Calibri"/>
          <w:b/>
          <w:sz w:val="28"/>
          <w:szCs w:val="28"/>
          <w:lang w:eastAsia="en-US"/>
        </w:rPr>
        <w:t>trastuzumab</w:t>
      </w:r>
      <w:proofErr w:type="spellEnd"/>
      <w:r w:rsidR="009B7D6A" w:rsidRPr="00B060FC">
        <w:rPr>
          <w:rFonts w:eastAsia="Calibri"/>
          <w:b/>
          <w:sz w:val="28"/>
          <w:szCs w:val="28"/>
          <w:lang w:eastAsia="en-US"/>
        </w:rPr>
        <w:t xml:space="preserve"> for </w:t>
      </w:r>
      <w:proofErr w:type="spellStart"/>
      <w:r w:rsidR="00AB0A96" w:rsidRPr="00B060FC">
        <w:rPr>
          <w:rFonts w:eastAsia="Calibri"/>
          <w:b/>
          <w:sz w:val="28"/>
          <w:szCs w:val="28"/>
          <w:lang w:eastAsia="en-US"/>
        </w:rPr>
        <w:t>neoadjuvant</w:t>
      </w:r>
      <w:proofErr w:type="spellEnd"/>
      <w:r w:rsidR="009B7D6A" w:rsidRPr="00B060FC">
        <w:rPr>
          <w:rFonts w:eastAsia="Calibri"/>
          <w:b/>
          <w:sz w:val="28"/>
          <w:szCs w:val="28"/>
          <w:lang w:eastAsia="en-US"/>
        </w:rPr>
        <w:t xml:space="preserve"> breast cancer</w:t>
      </w:r>
    </w:p>
    <w:p w:rsidR="009B7D6A" w:rsidRPr="00B060FC" w:rsidRDefault="009B7D6A" w:rsidP="00EA7961">
      <w:pPr>
        <w:autoSpaceDE w:val="0"/>
        <w:autoSpaceDN w:val="0"/>
        <w:adjustRightInd w:val="0"/>
        <w:rPr>
          <w:b/>
          <w:szCs w:val="24"/>
        </w:rPr>
      </w:pPr>
      <w:bookmarkStart w:id="0" w:name="_GoBack"/>
      <w:bookmarkEnd w:id="0"/>
    </w:p>
    <w:p w:rsidR="006156C1" w:rsidRPr="00B060FC" w:rsidRDefault="003D0F7D" w:rsidP="00EA7961">
      <w:pPr>
        <w:autoSpaceDE w:val="0"/>
        <w:autoSpaceDN w:val="0"/>
        <w:adjustRightInd w:val="0"/>
        <w:rPr>
          <w:bCs/>
          <w:color w:val="000000"/>
          <w:szCs w:val="24"/>
          <w:lang w:val="en-US" w:eastAsia="en-US"/>
        </w:rPr>
      </w:pPr>
      <w:r w:rsidRPr="00B060FC">
        <w:rPr>
          <w:szCs w:val="24"/>
        </w:rPr>
        <w:t>Applicant</w:t>
      </w:r>
      <w:r w:rsidR="004C0814" w:rsidRPr="00B060FC">
        <w:rPr>
          <w:szCs w:val="24"/>
        </w:rPr>
        <w:t>:</w:t>
      </w:r>
      <w:r w:rsidR="002C4739" w:rsidRPr="00B060FC">
        <w:rPr>
          <w:szCs w:val="24"/>
        </w:rPr>
        <w:tab/>
      </w:r>
      <w:r w:rsidR="000576FF" w:rsidRPr="00B060FC">
        <w:rPr>
          <w:color w:val="000000"/>
          <w:szCs w:val="24"/>
          <w:lang w:val="en-US" w:eastAsia="en-US"/>
        </w:rPr>
        <w:t>Roche</w:t>
      </w:r>
      <w:r w:rsidR="00AB0A96" w:rsidRPr="00B060FC">
        <w:rPr>
          <w:color w:val="000000"/>
          <w:szCs w:val="24"/>
          <w:lang w:val="en-US" w:eastAsia="en-US"/>
        </w:rPr>
        <w:t xml:space="preserve"> </w:t>
      </w:r>
      <w:r w:rsidR="00484E79" w:rsidRPr="00B060FC">
        <w:rPr>
          <w:color w:val="000000"/>
          <w:szCs w:val="24"/>
          <w:lang w:val="en-US" w:eastAsia="en-US"/>
        </w:rPr>
        <w:t>Products Pty Ltd Australia</w:t>
      </w:r>
    </w:p>
    <w:p w:rsidR="004C0814" w:rsidRPr="00B060FC" w:rsidRDefault="004C0814" w:rsidP="00EA7961">
      <w:pPr>
        <w:tabs>
          <w:tab w:val="left" w:pos="3420"/>
          <w:tab w:val="left" w:pos="3600"/>
          <w:tab w:val="left" w:pos="4320"/>
        </w:tabs>
        <w:ind w:left="3600" w:hanging="3600"/>
        <w:rPr>
          <w:szCs w:val="24"/>
        </w:rPr>
      </w:pPr>
      <w:r w:rsidRPr="00B060FC">
        <w:rPr>
          <w:szCs w:val="24"/>
        </w:rPr>
        <w:t xml:space="preserve">Date </w:t>
      </w:r>
      <w:r w:rsidR="0009141A" w:rsidRPr="00B060FC">
        <w:rPr>
          <w:szCs w:val="24"/>
        </w:rPr>
        <w:t>of MSAC</w:t>
      </w:r>
      <w:r w:rsidRPr="00B060FC">
        <w:rPr>
          <w:szCs w:val="24"/>
        </w:rPr>
        <w:t xml:space="preserve"> consideration:</w:t>
      </w:r>
      <w:r w:rsidR="002C4739" w:rsidRPr="00B060FC">
        <w:rPr>
          <w:szCs w:val="24"/>
        </w:rPr>
        <w:tab/>
      </w:r>
      <w:r w:rsidR="003A27E5" w:rsidRPr="00B060FC">
        <w:rPr>
          <w:szCs w:val="24"/>
        </w:rPr>
        <w:t>2 August</w:t>
      </w:r>
      <w:r w:rsidR="0009141A" w:rsidRPr="00B060FC">
        <w:rPr>
          <w:szCs w:val="24"/>
        </w:rPr>
        <w:t xml:space="preserve"> </w:t>
      </w:r>
      <w:r w:rsidR="00882E9C" w:rsidRPr="00B060FC">
        <w:rPr>
          <w:szCs w:val="24"/>
        </w:rPr>
        <w:t>2012</w:t>
      </w:r>
    </w:p>
    <w:p w:rsidR="00DF4B27" w:rsidRPr="00B060FC" w:rsidRDefault="00DF4B27" w:rsidP="00EA7961">
      <w:pPr>
        <w:rPr>
          <w:szCs w:val="24"/>
        </w:rPr>
      </w:pPr>
    </w:p>
    <w:p w:rsidR="0052637C" w:rsidRPr="00B060FC" w:rsidRDefault="0052637C" w:rsidP="00EA7961">
      <w:pPr>
        <w:numPr>
          <w:ilvl w:val="0"/>
          <w:numId w:val="2"/>
        </w:numPr>
        <w:tabs>
          <w:tab w:val="left" w:pos="720"/>
          <w:tab w:val="left" w:pos="1140"/>
        </w:tabs>
        <w:ind w:left="720"/>
        <w:rPr>
          <w:b/>
          <w:bCs/>
          <w:szCs w:val="24"/>
        </w:rPr>
      </w:pPr>
      <w:r w:rsidRPr="00B060FC">
        <w:rPr>
          <w:b/>
          <w:szCs w:val="24"/>
        </w:rPr>
        <w:t>Purpose of application</w:t>
      </w:r>
    </w:p>
    <w:p w:rsidR="0052637C" w:rsidRPr="00B060FC" w:rsidRDefault="00EA7961" w:rsidP="00EA7961">
      <w:r w:rsidRPr="00B060FC">
        <w:t>T</w:t>
      </w:r>
      <w:r w:rsidR="00365428" w:rsidRPr="00B060FC">
        <w:rPr>
          <w:szCs w:val="24"/>
        </w:rPr>
        <w:t xml:space="preserve">he Department of Health and Ageing received an application from Roche </w:t>
      </w:r>
      <w:r w:rsidR="00484E79" w:rsidRPr="00B060FC">
        <w:rPr>
          <w:szCs w:val="24"/>
        </w:rPr>
        <w:t>Products</w:t>
      </w:r>
      <w:r w:rsidR="00365428" w:rsidRPr="00B060FC">
        <w:rPr>
          <w:szCs w:val="24"/>
        </w:rPr>
        <w:t xml:space="preserve"> Australia </w:t>
      </w:r>
      <w:r w:rsidRPr="00B060FC">
        <w:rPr>
          <w:szCs w:val="24"/>
        </w:rPr>
        <w:t xml:space="preserve">in March 2012 </w:t>
      </w:r>
      <w:r w:rsidR="00365428" w:rsidRPr="00B060FC">
        <w:rPr>
          <w:szCs w:val="24"/>
        </w:rPr>
        <w:t>requesting a</w:t>
      </w:r>
      <w:r w:rsidR="00AB0A96" w:rsidRPr="00B060FC">
        <w:rPr>
          <w:szCs w:val="24"/>
        </w:rPr>
        <w:t>n extension to the existing</w:t>
      </w:r>
      <w:r w:rsidR="00365428" w:rsidRPr="00B060FC">
        <w:rPr>
          <w:szCs w:val="24"/>
        </w:rPr>
        <w:t xml:space="preserve"> Medicare Benefits Schedule (MBS) listing for </w:t>
      </w:r>
      <w:r w:rsidR="00AB0A96" w:rsidRPr="00B060FC">
        <w:rPr>
          <w:i/>
          <w:szCs w:val="24"/>
        </w:rPr>
        <w:t>in situ</w:t>
      </w:r>
      <w:r w:rsidR="00AB0A96" w:rsidRPr="00B060FC">
        <w:rPr>
          <w:szCs w:val="24"/>
        </w:rPr>
        <w:t xml:space="preserve"> hybridisation (ISH) </w:t>
      </w:r>
      <w:r w:rsidR="00365428" w:rsidRPr="00B060FC">
        <w:rPr>
          <w:szCs w:val="24"/>
        </w:rPr>
        <w:t xml:space="preserve">testing </w:t>
      </w:r>
      <w:r w:rsidR="00AB0A96" w:rsidRPr="00B060FC">
        <w:rPr>
          <w:szCs w:val="24"/>
        </w:rPr>
        <w:t xml:space="preserve">of human epidermal growth receptor 2 (HER2) </w:t>
      </w:r>
      <w:r w:rsidR="00365428" w:rsidRPr="00B060FC">
        <w:rPr>
          <w:szCs w:val="24"/>
        </w:rPr>
        <w:t xml:space="preserve">for patients diagnosed with breast cancer to enable consideration of </w:t>
      </w:r>
      <w:proofErr w:type="spellStart"/>
      <w:r w:rsidR="00AB0A96" w:rsidRPr="00B060FC">
        <w:rPr>
          <w:szCs w:val="24"/>
        </w:rPr>
        <w:t>neoadjuvant</w:t>
      </w:r>
      <w:proofErr w:type="spellEnd"/>
      <w:r w:rsidR="00AB0A96" w:rsidRPr="00B060FC">
        <w:rPr>
          <w:szCs w:val="24"/>
        </w:rPr>
        <w:t xml:space="preserve"> </w:t>
      </w:r>
      <w:r w:rsidR="00365428" w:rsidRPr="00B060FC">
        <w:rPr>
          <w:szCs w:val="24"/>
        </w:rPr>
        <w:t xml:space="preserve">treatment with </w:t>
      </w:r>
      <w:proofErr w:type="spellStart"/>
      <w:r w:rsidR="00AB0A96" w:rsidRPr="00B060FC">
        <w:rPr>
          <w:szCs w:val="24"/>
        </w:rPr>
        <w:t>t</w:t>
      </w:r>
      <w:r w:rsidR="00365428" w:rsidRPr="00B060FC">
        <w:rPr>
          <w:szCs w:val="24"/>
        </w:rPr>
        <w:t>rastuzumab</w:t>
      </w:r>
      <w:proofErr w:type="spellEnd"/>
      <w:r w:rsidR="007F12A3" w:rsidRPr="00B060FC">
        <w:rPr>
          <w:szCs w:val="24"/>
        </w:rPr>
        <w:t>.</w:t>
      </w:r>
    </w:p>
    <w:p w:rsidR="00200EE8" w:rsidRPr="00B060FC" w:rsidRDefault="00200EE8" w:rsidP="00EA7961"/>
    <w:p w:rsidR="0052637C" w:rsidRPr="00B060FC" w:rsidRDefault="0052637C" w:rsidP="00EA7961">
      <w:pPr>
        <w:numPr>
          <w:ilvl w:val="0"/>
          <w:numId w:val="1"/>
        </w:numPr>
        <w:tabs>
          <w:tab w:val="left" w:pos="720"/>
          <w:tab w:val="left" w:pos="1140"/>
        </w:tabs>
        <w:ind w:hanging="1080"/>
        <w:rPr>
          <w:b/>
          <w:szCs w:val="24"/>
        </w:rPr>
      </w:pPr>
      <w:r w:rsidRPr="00B060FC">
        <w:rPr>
          <w:b/>
          <w:szCs w:val="24"/>
        </w:rPr>
        <w:t>Background</w:t>
      </w:r>
    </w:p>
    <w:p w:rsidR="00200EE8" w:rsidRPr="00B060FC" w:rsidRDefault="00200EE8" w:rsidP="00EA7961">
      <w:pPr>
        <w:spacing w:after="200"/>
        <w:rPr>
          <w:rFonts w:eastAsia="Calibri"/>
          <w:szCs w:val="22"/>
          <w:lang w:eastAsia="en-US"/>
        </w:rPr>
      </w:pPr>
      <w:r w:rsidRPr="00B060FC">
        <w:rPr>
          <w:rFonts w:eastAsia="Calibri"/>
          <w:szCs w:val="22"/>
          <w:lang w:eastAsia="en-US"/>
        </w:rPr>
        <w:t xml:space="preserve">HER2 ISH testing of tumour tissue from a patient with breast cancer for HER2 was added to the Medicare Benefits Schedule (MBS) on 1 May 2012 to help determine eligibility for government-subsidised </w:t>
      </w:r>
      <w:proofErr w:type="spellStart"/>
      <w:r w:rsidRPr="00B060FC">
        <w:rPr>
          <w:rFonts w:eastAsia="Calibri"/>
          <w:szCs w:val="22"/>
          <w:lang w:eastAsia="en-US"/>
        </w:rPr>
        <w:t>trastuzumab</w:t>
      </w:r>
      <w:proofErr w:type="spellEnd"/>
      <w:r w:rsidRPr="00B060FC">
        <w:rPr>
          <w:rFonts w:eastAsia="Calibri"/>
          <w:szCs w:val="22"/>
          <w:lang w:eastAsia="en-US"/>
        </w:rPr>
        <w:t xml:space="preserve"> (Herceptin</w:t>
      </w:r>
      <w:r w:rsidRPr="00B060FC">
        <w:rPr>
          <w:rFonts w:eastAsia="Calibri"/>
          <w:szCs w:val="22"/>
          <w:vertAlign w:val="superscript"/>
          <w:lang w:eastAsia="en-US"/>
        </w:rPr>
        <w:t>®</w:t>
      </w:r>
      <w:r w:rsidR="00AB0A96" w:rsidRPr="00B060FC">
        <w:rPr>
          <w:rFonts w:eastAsia="Calibri"/>
          <w:szCs w:val="22"/>
          <w:lang w:eastAsia="en-US"/>
        </w:rPr>
        <w:t>).</w:t>
      </w:r>
    </w:p>
    <w:p w:rsidR="0052637C" w:rsidRPr="00B060FC" w:rsidRDefault="00AB0A96" w:rsidP="00EA7961">
      <w:pPr>
        <w:autoSpaceDE w:val="0"/>
        <w:autoSpaceDN w:val="0"/>
        <w:adjustRightInd w:val="0"/>
        <w:rPr>
          <w:iCs/>
          <w:szCs w:val="24"/>
        </w:rPr>
      </w:pPr>
      <w:r w:rsidRPr="00B060FC">
        <w:rPr>
          <w:iCs/>
          <w:szCs w:val="24"/>
        </w:rPr>
        <w:t>The MSAC Executive had accepted that a</w:t>
      </w:r>
      <w:r w:rsidR="00F96966" w:rsidRPr="00B060FC">
        <w:rPr>
          <w:iCs/>
          <w:szCs w:val="24"/>
        </w:rPr>
        <w:t xml:space="preserve"> </w:t>
      </w:r>
      <w:r w:rsidR="00200EE8" w:rsidRPr="00B060FC">
        <w:rPr>
          <w:iCs/>
          <w:szCs w:val="24"/>
        </w:rPr>
        <w:t>full</w:t>
      </w:r>
      <w:r w:rsidRPr="00B060FC">
        <w:rPr>
          <w:iCs/>
          <w:szCs w:val="24"/>
        </w:rPr>
        <w:t>y integrated submission across the</w:t>
      </w:r>
      <w:r w:rsidR="00200EE8" w:rsidRPr="00B060FC">
        <w:rPr>
          <w:iCs/>
          <w:szCs w:val="24"/>
        </w:rPr>
        <w:t xml:space="preserve"> co-dependent </w:t>
      </w:r>
      <w:r w:rsidRPr="00B060FC">
        <w:rPr>
          <w:iCs/>
          <w:szCs w:val="24"/>
        </w:rPr>
        <w:t xml:space="preserve">package of HER2 ISH testing and </w:t>
      </w:r>
      <w:proofErr w:type="spellStart"/>
      <w:r w:rsidRPr="00B060FC">
        <w:rPr>
          <w:iCs/>
          <w:szCs w:val="24"/>
        </w:rPr>
        <w:t>neoadjuvant</w:t>
      </w:r>
      <w:proofErr w:type="spellEnd"/>
      <w:r w:rsidRPr="00B060FC">
        <w:rPr>
          <w:iCs/>
          <w:szCs w:val="24"/>
        </w:rPr>
        <w:t xml:space="preserve"> </w:t>
      </w:r>
      <w:proofErr w:type="spellStart"/>
      <w:r w:rsidRPr="00B060FC">
        <w:rPr>
          <w:iCs/>
          <w:szCs w:val="24"/>
        </w:rPr>
        <w:t>trastuzumab</w:t>
      </w:r>
      <w:proofErr w:type="spellEnd"/>
      <w:r w:rsidRPr="00B060FC">
        <w:rPr>
          <w:iCs/>
          <w:szCs w:val="24"/>
        </w:rPr>
        <w:t xml:space="preserve"> </w:t>
      </w:r>
      <w:r w:rsidR="00200EE8" w:rsidRPr="00B060FC">
        <w:rPr>
          <w:iCs/>
          <w:szCs w:val="24"/>
        </w:rPr>
        <w:t xml:space="preserve">was not required for this </w:t>
      </w:r>
      <w:r w:rsidRPr="00B060FC">
        <w:rPr>
          <w:iCs/>
          <w:szCs w:val="24"/>
        </w:rPr>
        <w:t xml:space="preserve">requested extension </w:t>
      </w:r>
      <w:r w:rsidR="00200EE8" w:rsidRPr="00B060FC">
        <w:rPr>
          <w:iCs/>
          <w:szCs w:val="24"/>
        </w:rPr>
        <w:t xml:space="preserve">of HER2 </w:t>
      </w:r>
      <w:r w:rsidRPr="00B060FC">
        <w:rPr>
          <w:iCs/>
          <w:szCs w:val="24"/>
        </w:rPr>
        <w:t xml:space="preserve">ISH </w:t>
      </w:r>
      <w:r w:rsidR="00200EE8" w:rsidRPr="00B060FC">
        <w:rPr>
          <w:iCs/>
          <w:szCs w:val="24"/>
        </w:rPr>
        <w:t>testing</w:t>
      </w:r>
      <w:r w:rsidR="00F96966" w:rsidRPr="00B060FC">
        <w:rPr>
          <w:iCs/>
          <w:szCs w:val="24"/>
        </w:rPr>
        <w:t xml:space="preserve">. A </w:t>
      </w:r>
      <w:r w:rsidR="00200EE8" w:rsidRPr="00B060FC">
        <w:rPr>
          <w:iCs/>
          <w:szCs w:val="24"/>
        </w:rPr>
        <w:t xml:space="preserve">minor submission was </w:t>
      </w:r>
      <w:r w:rsidR="00F96966" w:rsidRPr="00B060FC">
        <w:rPr>
          <w:iCs/>
          <w:szCs w:val="24"/>
        </w:rPr>
        <w:t>therefore provided by the applicant</w:t>
      </w:r>
      <w:r w:rsidR="00200EE8" w:rsidRPr="00B060FC">
        <w:rPr>
          <w:iCs/>
          <w:szCs w:val="24"/>
        </w:rPr>
        <w:t>.</w:t>
      </w:r>
    </w:p>
    <w:p w:rsidR="006F63FA" w:rsidRPr="00B060FC" w:rsidRDefault="006F63FA" w:rsidP="00EA7961"/>
    <w:p w:rsidR="0052637C" w:rsidRPr="00B060FC" w:rsidRDefault="0052637C" w:rsidP="00EA7961">
      <w:pPr>
        <w:numPr>
          <w:ilvl w:val="0"/>
          <w:numId w:val="1"/>
        </w:numPr>
        <w:tabs>
          <w:tab w:val="clear" w:pos="1080"/>
          <w:tab w:val="num" w:pos="709"/>
        </w:tabs>
        <w:ind w:left="706" w:hanging="706"/>
        <w:rPr>
          <w:b/>
        </w:rPr>
      </w:pPr>
      <w:r w:rsidRPr="00B060FC">
        <w:rPr>
          <w:b/>
        </w:rPr>
        <w:t>Proposal for public funding</w:t>
      </w:r>
    </w:p>
    <w:p w:rsidR="002721AB" w:rsidRPr="00B060FC" w:rsidRDefault="002721AB" w:rsidP="00EA7961">
      <w:pPr>
        <w:autoSpaceDE w:val="0"/>
        <w:autoSpaceDN w:val="0"/>
        <w:adjustRightInd w:val="0"/>
        <w:ind w:right="6"/>
        <w:rPr>
          <w:szCs w:val="24"/>
        </w:rPr>
      </w:pPr>
      <w:r w:rsidRPr="00B060FC">
        <w:rPr>
          <w:szCs w:val="24"/>
        </w:rPr>
        <w:t xml:space="preserve">The applicant proposed testing for HER2 positivity in patients diagnosed with breast cancer to enable consideration of treatment with </w:t>
      </w:r>
      <w:proofErr w:type="spellStart"/>
      <w:r w:rsidRPr="00B060FC">
        <w:rPr>
          <w:szCs w:val="24"/>
        </w:rPr>
        <w:t>trastuzumab</w:t>
      </w:r>
      <w:proofErr w:type="spellEnd"/>
      <w:r w:rsidRPr="00B060FC">
        <w:rPr>
          <w:szCs w:val="24"/>
        </w:rPr>
        <w:t xml:space="preserve">.  The application sought listing of the HER2 </w:t>
      </w:r>
      <w:r w:rsidR="00AB0A96" w:rsidRPr="00B060FC">
        <w:rPr>
          <w:szCs w:val="24"/>
        </w:rPr>
        <w:t xml:space="preserve">ISH </w:t>
      </w:r>
      <w:r w:rsidRPr="00B060FC">
        <w:rPr>
          <w:szCs w:val="24"/>
        </w:rPr>
        <w:t xml:space="preserve">test </w:t>
      </w:r>
      <w:r w:rsidR="00D53F09" w:rsidRPr="00B060FC">
        <w:rPr>
          <w:szCs w:val="24"/>
        </w:rPr>
        <w:t xml:space="preserve">to determine whether a patient with </w:t>
      </w:r>
      <w:r w:rsidRPr="00B060FC">
        <w:rPr>
          <w:szCs w:val="24"/>
        </w:rPr>
        <w:t>early and locally advanced breast cancer</w:t>
      </w:r>
      <w:r w:rsidR="00D53F09" w:rsidRPr="00B060FC">
        <w:rPr>
          <w:szCs w:val="24"/>
        </w:rPr>
        <w:t xml:space="preserve"> is HER2-positive and so eligible to start treatment with </w:t>
      </w:r>
      <w:proofErr w:type="spellStart"/>
      <w:r w:rsidR="00D53F09" w:rsidRPr="00B060FC">
        <w:rPr>
          <w:szCs w:val="24"/>
        </w:rPr>
        <w:t>trastuzumab</w:t>
      </w:r>
      <w:proofErr w:type="spellEnd"/>
      <w:r w:rsidR="00D53F09" w:rsidRPr="00B060FC">
        <w:rPr>
          <w:szCs w:val="24"/>
        </w:rPr>
        <w:t xml:space="preserve"> in the </w:t>
      </w:r>
      <w:proofErr w:type="spellStart"/>
      <w:r w:rsidRPr="00B060FC">
        <w:rPr>
          <w:szCs w:val="24"/>
        </w:rPr>
        <w:t>neoadjuvant</w:t>
      </w:r>
      <w:proofErr w:type="spellEnd"/>
      <w:r w:rsidRPr="00B060FC">
        <w:rPr>
          <w:szCs w:val="24"/>
        </w:rPr>
        <w:t xml:space="preserve"> setting (</w:t>
      </w:r>
      <w:r w:rsidR="00D53F09" w:rsidRPr="00B060FC">
        <w:rPr>
          <w:szCs w:val="24"/>
        </w:rPr>
        <w:t xml:space="preserve">i.e., </w:t>
      </w:r>
      <w:r w:rsidR="007044C3" w:rsidRPr="00B060FC">
        <w:rPr>
          <w:szCs w:val="24"/>
        </w:rPr>
        <w:t>before</w:t>
      </w:r>
      <w:r w:rsidRPr="00B060FC">
        <w:rPr>
          <w:szCs w:val="24"/>
        </w:rPr>
        <w:t xml:space="preserve"> surgery)</w:t>
      </w:r>
      <w:r w:rsidR="00D53F09" w:rsidRPr="00B060FC">
        <w:rPr>
          <w:szCs w:val="24"/>
        </w:rPr>
        <w:t xml:space="preserve">. The start of the </w:t>
      </w:r>
      <w:proofErr w:type="spellStart"/>
      <w:r w:rsidR="00D53F09" w:rsidRPr="00B060FC">
        <w:rPr>
          <w:szCs w:val="24"/>
        </w:rPr>
        <w:t>neoadjuvant</w:t>
      </w:r>
      <w:proofErr w:type="spellEnd"/>
      <w:r w:rsidR="00D53F09" w:rsidRPr="00B060FC">
        <w:rPr>
          <w:szCs w:val="24"/>
        </w:rPr>
        <w:t xml:space="preserve"> course of </w:t>
      </w:r>
      <w:proofErr w:type="spellStart"/>
      <w:r w:rsidR="00D53F09" w:rsidRPr="00B060FC">
        <w:rPr>
          <w:szCs w:val="24"/>
        </w:rPr>
        <w:t>trastuzumab</w:t>
      </w:r>
      <w:proofErr w:type="spellEnd"/>
      <w:r w:rsidR="00D53F09" w:rsidRPr="00B060FC">
        <w:rPr>
          <w:szCs w:val="24"/>
        </w:rPr>
        <w:t xml:space="preserve"> is given</w:t>
      </w:r>
      <w:r w:rsidRPr="00B060FC">
        <w:rPr>
          <w:szCs w:val="24"/>
        </w:rPr>
        <w:t xml:space="preserve"> in combination with chemotherapy</w:t>
      </w:r>
      <w:r w:rsidR="00D53F09" w:rsidRPr="00B060FC">
        <w:rPr>
          <w:szCs w:val="24"/>
        </w:rPr>
        <w:t xml:space="preserve">. The </w:t>
      </w:r>
      <w:r w:rsidRPr="00B060FC">
        <w:rPr>
          <w:szCs w:val="24"/>
        </w:rPr>
        <w:t xml:space="preserve">course of </w:t>
      </w:r>
      <w:proofErr w:type="spellStart"/>
      <w:r w:rsidRPr="00B060FC">
        <w:rPr>
          <w:szCs w:val="24"/>
        </w:rPr>
        <w:t>trastuzumab</w:t>
      </w:r>
      <w:proofErr w:type="spellEnd"/>
      <w:r w:rsidR="00D53F09" w:rsidRPr="00B060FC">
        <w:rPr>
          <w:szCs w:val="24"/>
        </w:rPr>
        <w:t xml:space="preserve"> is completed as </w:t>
      </w:r>
      <w:proofErr w:type="spellStart"/>
      <w:r w:rsidRPr="00B060FC">
        <w:rPr>
          <w:szCs w:val="24"/>
        </w:rPr>
        <w:t>monotherapy</w:t>
      </w:r>
      <w:proofErr w:type="spellEnd"/>
      <w:r w:rsidRPr="00B060FC">
        <w:rPr>
          <w:szCs w:val="24"/>
        </w:rPr>
        <w:t xml:space="preserve"> in the adjuvant setting </w:t>
      </w:r>
      <w:r w:rsidR="00D53F09" w:rsidRPr="00B060FC">
        <w:rPr>
          <w:szCs w:val="24"/>
        </w:rPr>
        <w:t xml:space="preserve">(i.e., </w:t>
      </w:r>
      <w:r w:rsidRPr="00B060FC">
        <w:rPr>
          <w:szCs w:val="24"/>
        </w:rPr>
        <w:t>following surgery</w:t>
      </w:r>
      <w:r w:rsidR="00D53F09" w:rsidRPr="00B060FC">
        <w:rPr>
          <w:szCs w:val="24"/>
        </w:rPr>
        <w:t>)</w:t>
      </w:r>
      <w:r w:rsidRPr="00B060FC">
        <w:rPr>
          <w:szCs w:val="24"/>
        </w:rPr>
        <w:t>.</w:t>
      </w:r>
      <w:r w:rsidR="00D53F09" w:rsidRPr="00B060FC">
        <w:rPr>
          <w:szCs w:val="24"/>
        </w:rPr>
        <w:t xml:space="preserve"> Between the lodgement of the application and its consideration by MSAC, the Therapeutic Goods Administration and the Pharmaceutical Benefits Advisory Committee (PBAC) both proposed excluding patients with early breast cancer from the eligible population for </w:t>
      </w:r>
      <w:proofErr w:type="spellStart"/>
      <w:r w:rsidR="00D53F09" w:rsidRPr="00B060FC">
        <w:rPr>
          <w:szCs w:val="24"/>
        </w:rPr>
        <w:t>neoadjuvant</w:t>
      </w:r>
      <w:proofErr w:type="spellEnd"/>
      <w:r w:rsidR="00D53F09" w:rsidRPr="00B060FC">
        <w:rPr>
          <w:szCs w:val="24"/>
        </w:rPr>
        <w:t xml:space="preserve"> </w:t>
      </w:r>
      <w:proofErr w:type="spellStart"/>
      <w:r w:rsidR="00D53F09" w:rsidRPr="00B060FC">
        <w:rPr>
          <w:szCs w:val="24"/>
        </w:rPr>
        <w:t>trastuzumab</w:t>
      </w:r>
      <w:proofErr w:type="spellEnd"/>
      <w:r w:rsidR="00D53F09" w:rsidRPr="00B060FC">
        <w:rPr>
          <w:szCs w:val="24"/>
        </w:rPr>
        <w:t>, so MSAC likewise excluded this population from its consideration of HER2 ISH testing.</w:t>
      </w:r>
    </w:p>
    <w:p w:rsidR="002721AB" w:rsidRPr="00B060FC" w:rsidRDefault="002721AB" w:rsidP="00EA7961">
      <w:pPr>
        <w:tabs>
          <w:tab w:val="left" w:pos="720"/>
          <w:tab w:val="left" w:pos="1140"/>
        </w:tabs>
        <w:rPr>
          <w:szCs w:val="24"/>
        </w:rPr>
      </w:pPr>
    </w:p>
    <w:p w:rsidR="0052637C" w:rsidRPr="00B060FC" w:rsidRDefault="00365428" w:rsidP="00EA7961">
      <w:pPr>
        <w:tabs>
          <w:tab w:val="left" w:pos="720"/>
          <w:tab w:val="left" w:pos="1140"/>
        </w:tabs>
        <w:rPr>
          <w:color w:val="3366FF"/>
          <w:szCs w:val="24"/>
        </w:rPr>
      </w:pPr>
      <w:r w:rsidRPr="00B060FC">
        <w:rPr>
          <w:b/>
          <w:szCs w:val="24"/>
        </w:rPr>
        <w:t>4</w:t>
      </w:r>
      <w:r w:rsidR="0052637C" w:rsidRPr="00B060FC">
        <w:rPr>
          <w:b/>
          <w:szCs w:val="24"/>
        </w:rPr>
        <w:t xml:space="preserve">. </w:t>
      </w:r>
      <w:r w:rsidR="0052637C" w:rsidRPr="00B060FC">
        <w:rPr>
          <w:b/>
          <w:szCs w:val="24"/>
        </w:rPr>
        <w:tab/>
        <w:t>Proposed intervention’s place in clinical management</w:t>
      </w:r>
    </w:p>
    <w:p w:rsidR="0052637C" w:rsidRPr="00B060FC" w:rsidRDefault="002721AB" w:rsidP="00EA7961">
      <w:r w:rsidRPr="00B060FC">
        <w:t xml:space="preserve">The applicant proposed that </w:t>
      </w:r>
      <w:r w:rsidR="006F63FA" w:rsidRPr="00B060FC">
        <w:t>patients would</w:t>
      </w:r>
      <w:r w:rsidRPr="00B060FC">
        <w:t xml:space="preserve"> be </w:t>
      </w:r>
      <w:r w:rsidR="00D53F09" w:rsidRPr="00B060FC">
        <w:t xml:space="preserve">ISH </w:t>
      </w:r>
      <w:r w:rsidRPr="00B060FC">
        <w:t xml:space="preserve">tested for HER2 positivity </w:t>
      </w:r>
      <w:r w:rsidR="007044C3" w:rsidRPr="00B060FC">
        <w:t>before</w:t>
      </w:r>
      <w:r w:rsidRPr="00B060FC">
        <w:t xml:space="preserve"> surgery to determine suitability for </w:t>
      </w:r>
      <w:proofErr w:type="spellStart"/>
      <w:r w:rsidRPr="00B060FC">
        <w:t>neoadjuvant</w:t>
      </w:r>
      <w:proofErr w:type="spellEnd"/>
      <w:r w:rsidRPr="00B060FC">
        <w:t xml:space="preserve"> treatment with </w:t>
      </w:r>
      <w:proofErr w:type="spellStart"/>
      <w:r w:rsidRPr="00B060FC">
        <w:t>trastuzumab</w:t>
      </w:r>
      <w:proofErr w:type="spellEnd"/>
      <w:r w:rsidRPr="00B060FC">
        <w:t>.</w:t>
      </w:r>
    </w:p>
    <w:p w:rsidR="00D53F09" w:rsidRPr="00B060FC" w:rsidRDefault="00D53F09" w:rsidP="00EA7961"/>
    <w:p w:rsidR="0052637C" w:rsidRPr="00B060FC" w:rsidRDefault="00EA7961" w:rsidP="00EA7961">
      <w:pPr>
        <w:tabs>
          <w:tab w:val="left" w:pos="720"/>
          <w:tab w:val="left" w:pos="1140"/>
        </w:tabs>
        <w:rPr>
          <w:bCs/>
        </w:rPr>
      </w:pPr>
      <w:r w:rsidRPr="00B060FC">
        <w:rPr>
          <w:b/>
          <w:szCs w:val="24"/>
        </w:rPr>
        <w:br w:type="page"/>
      </w:r>
      <w:r w:rsidR="007F12A3" w:rsidRPr="00B060FC">
        <w:rPr>
          <w:b/>
          <w:szCs w:val="24"/>
        </w:rPr>
        <w:lastRenderedPageBreak/>
        <w:t>5</w:t>
      </w:r>
      <w:r w:rsidR="0052637C" w:rsidRPr="00B060FC">
        <w:rPr>
          <w:b/>
          <w:szCs w:val="24"/>
        </w:rPr>
        <w:t>.</w:t>
      </w:r>
      <w:r w:rsidR="0052637C" w:rsidRPr="00B060FC">
        <w:rPr>
          <w:b/>
          <w:szCs w:val="24"/>
        </w:rPr>
        <w:tab/>
        <w:t>Comparator to the proposed intervention</w:t>
      </w:r>
    </w:p>
    <w:p w:rsidR="002721AB" w:rsidRPr="00B060FC" w:rsidRDefault="002721AB" w:rsidP="00EA7961">
      <w:pPr>
        <w:tabs>
          <w:tab w:val="left" w:pos="599"/>
          <w:tab w:val="left" w:pos="2300"/>
        </w:tabs>
        <w:ind w:right="6"/>
      </w:pPr>
      <w:r w:rsidRPr="00B060FC">
        <w:t xml:space="preserve">The main comparator to </w:t>
      </w:r>
      <w:r w:rsidR="007044C3" w:rsidRPr="00B060FC">
        <w:t>HER2 ISH testing on a biopsy specimen taken before surgery is to wait until after surgery to obtain resected tissue and then conduct the HER2 ISH testing. However, not all HER2 ISH tests conducted on a biopsy specimen would result in a repeated test on resected tissue.</w:t>
      </w:r>
    </w:p>
    <w:p w:rsidR="002721AB" w:rsidRPr="00B060FC" w:rsidRDefault="002721AB" w:rsidP="00EA7961">
      <w:pPr>
        <w:tabs>
          <w:tab w:val="left" w:pos="599"/>
          <w:tab w:val="left" w:pos="2300"/>
        </w:tabs>
        <w:ind w:right="6"/>
      </w:pPr>
    </w:p>
    <w:p w:rsidR="0052637C" w:rsidRPr="00B060FC" w:rsidRDefault="0052637C" w:rsidP="00EA7961">
      <w:pPr>
        <w:numPr>
          <w:ilvl w:val="0"/>
          <w:numId w:val="7"/>
        </w:numPr>
        <w:tabs>
          <w:tab w:val="left" w:pos="709"/>
        </w:tabs>
        <w:ind w:hanging="720"/>
      </w:pPr>
      <w:r w:rsidRPr="00B060FC">
        <w:rPr>
          <w:b/>
          <w:szCs w:val="24"/>
        </w:rPr>
        <w:t>Comparative safety</w:t>
      </w:r>
    </w:p>
    <w:p w:rsidR="0052637C" w:rsidRPr="00B060FC" w:rsidRDefault="00200EE8" w:rsidP="00EA7961">
      <w:pPr>
        <w:rPr>
          <w:color w:val="000000"/>
          <w:szCs w:val="24"/>
        </w:rPr>
      </w:pPr>
      <w:r w:rsidRPr="00B060FC">
        <w:rPr>
          <w:color w:val="000000"/>
          <w:szCs w:val="24"/>
        </w:rPr>
        <w:t xml:space="preserve">MSAC </w:t>
      </w:r>
      <w:r w:rsidR="00EA7961" w:rsidRPr="00B060FC">
        <w:rPr>
          <w:color w:val="000000"/>
          <w:szCs w:val="24"/>
        </w:rPr>
        <w:t xml:space="preserve">recalled that it </w:t>
      </w:r>
      <w:r w:rsidR="007F12A3" w:rsidRPr="00B060FC">
        <w:rPr>
          <w:color w:val="000000"/>
          <w:szCs w:val="24"/>
        </w:rPr>
        <w:t xml:space="preserve">had </w:t>
      </w:r>
      <w:r w:rsidRPr="00B060FC">
        <w:rPr>
          <w:color w:val="000000"/>
          <w:szCs w:val="24"/>
        </w:rPr>
        <w:t xml:space="preserve">agreed in 2009 that ISH testing </w:t>
      </w:r>
      <w:r w:rsidR="006F63FA" w:rsidRPr="00B060FC">
        <w:rPr>
          <w:color w:val="000000"/>
          <w:szCs w:val="24"/>
        </w:rPr>
        <w:t>is safe</w:t>
      </w:r>
      <w:r w:rsidRPr="00B060FC">
        <w:rPr>
          <w:color w:val="000000"/>
          <w:szCs w:val="24"/>
        </w:rPr>
        <w:t>.</w:t>
      </w:r>
    </w:p>
    <w:p w:rsidR="00200EE8" w:rsidRPr="00B060FC" w:rsidRDefault="00200EE8" w:rsidP="00EA7961">
      <w:pPr>
        <w:rPr>
          <w:szCs w:val="24"/>
        </w:rPr>
      </w:pPr>
    </w:p>
    <w:p w:rsidR="0052637C" w:rsidRPr="00B060FC" w:rsidRDefault="0052637C" w:rsidP="00EA7961">
      <w:pPr>
        <w:numPr>
          <w:ilvl w:val="0"/>
          <w:numId w:val="7"/>
        </w:numPr>
        <w:tabs>
          <w:tab w:val="left" w:pos="709"/>
        </w:tabs>
        <w:ind w:hanging="720"/>
        <w:rPr>
          <w:b/>
        </w:rPr>
      </w:pPr>
      <w:r w:rsidRPr="00B060FC">
        <w:rPr>
          <w:b/>
        </w:rPr>
        <w:t>Comparative effectiveness</w:t>
      </w:r>
    </w:p>
    <w:p w:rsidR="006F63FA" w:rsidRPr="00B060FC" w:rsidRDefault="006F63FA" w:rsidP="00EA7961">
      <w:pPr>
        <w:rPr>
          <w:color w:val="000000"/>
          <w:szCs w:val="24"/>
        </w:rPr>
      </w:pPr>
      <w:r w:rsidRPr="00B060FC">
        <w:rPr>
          <w:color w:val="000000"/>
          <w:szCs w:val="24"/>
        </w:rPr>
        <w:t xml:space="preserve">MSAC </w:t>
      </w:r>
      <w:r w:rsidR="002F416E" w:rsidRPr="00B060FC">
        <w:rPr>
          <w:color w:val="000000"/>
          <w:szCs w:val="24"/>
        </w:rPr>
        <w:t xml:space="preserve">recalled that it had </w:t>
      </w:r>
      <w:r w:rsidRPr="00B060FC">
        <w:rPr>
          <w:color w:val="000000"/>
          <w:szCs w:val="24"/>
        </w:rPr>
        <w:t xml:space="preserve">agreed in 2009 that </w:t>
      </w:r>
      <w:r w:rsidR="007044C3" w:rsidRPr="00B060FC">
        <w:rPr>
          <w:color w:val="000000"/>
          <w:szCs w:val="24"/>
        </w:rPr>
        <w:t xml:space="preserve">HER2 </w:t>
      </w:r>
      <w:r w:rsidRPr="00B060FC">
        <w:rPr>
          <w:color w:val="000000"/>
          <w:szCs w:val="24"/>
        </w:rPr>
        <w:t xml:space="preserve">ISH testing for all women with breast cancer is an effective strategy for identifying women who are likely to respond to </w:t>
      </w:r>
      <w:proofErr w:type="spellStart"/>
      <w:r w:rsidRPr="00B060FC">
        <w:rPr>
          <w:color w:val="000000"/>
          <w:szCs w:val="24"/>
        </w:rPr>
        <w:t>trastuzumab</w:t>
      </w:r>
      <w:proofErr w:type="spellEnd"/>
      <w:r w:rsidRPr="00B060FC">
        <w:rPr>
          <w:color w:val="000000"/>
          <w:szCs w:val="24"/>
        </w:rPr>
        <w:t>.</w:t>
      </w:r>
    </w:p>
    <w:p w:rsidR="006F63FA" w:rsidRPr="00B060FC" w:rsidRDefault="006F63FA" w:rsidP="00EA7961">
      <w:pPr>
        <w:tabs>
          <w:tab w:val="left" w:pos="1140"/>
        </w:tabs>
      </w:pPr>
    </w:p>
    <w:p w:rsidR="0052637C" w:rsidRPr="00B060FC" w:rsidRDefault="00F96966" w:rsidP="00EA7961">
      <w:pPr>
        <w:tabs>
          <w:tab w:val="left" w:pos="709"/>
        </w:tabs>
        <w:rPr>
          <w:b/>
          <w:szCs w:val="24"/>
        </w:rPr>
      </w:pPr>
      <w:r w:rsidRPr="00B060FC">
        <w:rPr>
          <w:b/>
          <w:szCs w:val="24"/>
        </w:rPr>
        <w:t>8</w:t>
      </w:r>
      <w:r w:rsidR="0052637C" w:rsidRPr="00B060FC">
        <w:rPr>
          <w:b/>
          <w:szCs w:val="24"/>
        </w:rPr>
        <w:t>.</w:t>
      </w:r>
      <w:r w:rsidR="0052637C" w:rsidRPr="00B060FC">
        <w:rPr>
          <w:b/>
          <w:szCs w:val="24"/>
        </w:rPr>
        <w:tab/>
        <w:t>Economic evaluation</w:t>
      </w:r>
    </w:p>
    <w:p w:rsidR="009B7D6A" w:rsidRPr="00B060FC" w:rsidRDefault="009B7D6A" w:rsidP="00EA7961">
      <w:pPr>
        <w:rPr>
          <w:rFonts w:eastAsia="Calibri"/>
          <w:szCs w:val="22"/>
          <w:lang w:eastAsia="en-US"/>
        </w:rPr>
      </w:pPr>
      <w:r w:rsidRPr="00B060FC">
        <w:rPr>
          <w:rFonts w:eastAsia="Calibri"/>
          <w:szCs w:val="22"/>
          <w:lang w:eastAsia="en-US"/>
        </w:rPr>
        <w:t>MSAC noted that the present fee (as at 1 May 2012 amended Medicare Benefits Schedule) for ISH testing of HER2 is $317.50, and considered that this would also be suitable for the extended use.</w:t>
      </w:r>
    </w:p>
    <w:p w:rsidR="002721AB" w:rsidRPr="00B060FC" w:rsidRDefault="002721AB" w:rsidP="00EA7961">
      <w:pPr>
        <w:rPr>
          <w:rFonts w:eastAsia="Calibri"/>
          <w:szCs w:val="22"/>
          <w:lang w:eastAsia="en-US"/>
        </w:rPr>
      </w:pPr>
    </w:p>
    <w:p w:rsidR="009B7D6A" w:rsidRPr="00B060FC" w:rsidRDefault="009B7D6A" w:rsidP="00EA7961">
      <w:pPr>
        <w:rPr>
          <w:rFonts w:eastAsia="Calibri"/>
          <w:szCs w:val="22"/>
          <w:lang w:eastAsia="en-US"/>
        </w:rPr>
      </w:pPr>
      <w:r w:rsidRPr="00B060FC">
        <w:rPr>
          <w:rFonts w:eastAsia="Calibri"/>
          <w:szCs w:val="22"/>
          <w:lang w:eastAsia="en-US"/>
        </w:rPr>
        <w:t xml:space="preserve">MSAC considered that the additional use of ISH testing for HER2 as a result of the extended listing would be small.  The sponsor’s original estimate of 725 in the first year of listing </w:t>
      </w:r>
      <w:r w:rsidR="00EA7961" w:rsidRPr="00B060FC">
        <w:rPr>
          <w:rFonts w:eastAsia="Calibri"/>
          <w:szCs w:val="22"/>
          <w:lang w:eastAsia="en-US"/>
        </w:rPr>
        <w:t>wa</w:t>
      </w:r>
      <w:r w:rsidRPr="00B060FC">
        <w:rPr>
          <w:rFonts w:eastAsia="Calibri"/>
          <w:szCs w:val="22"/>
          <w:lang w:eastAsia="en-US"/>
        </w:rPr>
        <w:t xml:space="preserve">s no longer relevant because it included patients with </w:t>
      </w:r>
      <w:r w:rsidR="00EA7961" w:rsidRPr="00B060FC">
        <w:rPr>
          <w:rFonts w:eastAsia="Calibri"/>
          <w:szCs w:val="22"/>
          <w:lang w:eastAsia="en-US"/>
        </w:rPr>
        <w:t>early (</w:t>
      </w:r>
      <w:r w:rsidRPr="00B060FC">
        <w:rPr>
          <w:rFonts w:eastAsia="Calibri"/>
          <w:szCs w:val="22"/>
          <w:lang w:eastAsia="en-US"/>
        </w:rPr>
        <w:t>stage II</w:t>
      </w:r>
      <w:r w:rsidR="00EA7961" w:rsidRPr="00B060FC">
        <w:rPr>
          <w:rFonts w:eastAsia="Calibri"/>
          <w:szCs w:val="22"/>
          <w:lang w:eastAsia="en-US"/>
        </w:rPr>
        <w:t>)</w:t>
      </w:r>
      <w:r w:rsidRPr="00B060FC">
        <w:rPr>
          <w:rFonts w:eastAsia="Calibri"/>
          <w:szCs w:val="22"/>
          <w:lang w:eastAsia="en-US"/>
        </w:rPr>
        <w:t xml:space="preserve"> disease.  The submission’s estimate of zero additional tests for patients with </w:t>
      </w:r>
      <w:r w:rsidR="00EA7961" w:rsidRPr="00B060FC">
        <w:rPr>
          <w:rFonts w:eastAsia="Calibri"/>
          <w:szCs w:val="22"/>
          <w:lang w:eastAsia="en-US"/>
        </w:rPr>
        <w:t>locally advanced (</w:t>
      </w:r>
      <w:r w:rsidRPr="00B060FC">
        <w:rPr>
          <w:rFonts w:eastAsia="Calibri"/>
          <w:szCs w:val="22"/>
          <w:lang w:eastAsia="en-US"/>
        </w:rPr>
        <w:t>stage III</w:t>
      </w:r>
      <w:r w:rsidR="00EA7961" w:rsidRPr="00B060FC">
        <w:rPr>
          <w:rFonts w:eastAsia="Calibri"/>
          <w:szCs w:val="22"/>
          <w:lang w:eastAsia="en-US"/>
        </w:rPr>
        <w:t>)</w:t>
      </w:r>
      <w:r w:rsidRPr="00B060FC">
        <w:rPr>
          <w:rFonts w:eastAsia="Calibri"/>
          <w:szCs w:val="22"/>
          <w:lang w:eastAsia="en-US"/>
        </w:rPr>
        <w:t xml:space="preserve"> disease is based on the argument that all such patients are already receiving testing on core biopsy samples and re-testing if negative because all have subsidised access to </w:t>
      </w:r>
      <w:proofErr w:type="spellStart"/>
      <w:r w:rsidRPr="00B060FC">
        <w:rPr>
          <w:rFonts w:eastAsia="Calibri"/>
          <w:szCs w:val="22"/>
          <w:lang w:eastAsia="en-US"/>
        </w:rPr>
        <w:t>trastuzumab</w:t>
      </w:r>
      <w:proofErr w:type="spellEnd"/>
      <w:r w:rsidRPr="00B060FC">
        <w:rPr>
          <w:rFonts w:eastAsia="Calibri"/>
          <w:szCs w:val="22"/>
          <w:lang w:eastAsia="en-US"/>
        </w:rPr>
        <w:t xml:space="preserve"> via the Herceptin Program and subsidised </w:t>
      </w:r>
      <w:r w:rsidR="00EA7961" w:rsidRPr="00B060FC">
        <w:rPr>
          <w:rFonts w:eastAsia="Calibri"/>
          <w:szCs w:val="22"/>
          <w:lang w:eastAsia="en-US"/>
        </w:rPr>
        <w:t>access to testing via the MBS.</w:t>
      </w:r>
    </w:p>
    <w:p w:rsidR="002721AB" w:rsidRPr="00B060FC" w:rsidRDefault="002721AB" w:rsidP="00EA7961">
      <w:pPr>
        <w:rPr>
          <w:rFonts w:eastAsia="Calibri"/>
          <w:szCs w:val="22"/>
          <w:lang w:eastAsia="en-US"/>
        </w:rPr>
      </w:pPr>
    </w:p>
    <w:p w:rsidR="009B7D6A" w:rsidRPr="00B060FC" w:rsidRDefault="009B7D6A" w:rsidP="00EA7961">
      <w:pPr>
        <w:rPr>
          <w:rFonts w:eastAsia="Calibri"/>
          <w:szCs w:val="22"/>
          <w:lang w:eastAsia="en-US"/>
        </w:rPr>
      </w:pPr>
      <w:r w:rsidRPr="00B060FC">
        <w:rPr>
          <w:rFonts w:eastAsia="Calibri"/>
          <w:szCs w:val="22"/>
          <w:lang w:eastAsia="en-US"/>
        </w:rPr>
        <w:t>However, this is inconsistent with the view of the Medical Oncology Group of Australia that some patients are currently missing out.  Stage III disease represents 12.6% of the 2006 and 2007 incidence of breast cancer from the Victorian Cancer Registry, and 85% of these are expected to test negative for HER2.  When these percentages are applied to the submission’s projected overall incidence of 14,288 breast cancer patients, together with the estimate from the submission that 80% of these patients will have their disease resected (i.e., excluding borderline inoperable patients), the maximum number of additional tests in the first year of listing is 1189.  The true estimate will fall within this range of zero to 1189.</w:t>
      </w:r>
    </w:p>
    <w:p w:rsidR="0052637C" w:rsidRPr="00B060FC" w:rsidRDefault="0052637C" w:rsidP="00EA7961"/>
    <w:p w:rsidR="0052637C" w:rsidRPr="00B060FC" w:rsidRDefault="00F96966" w:rsidP="00EA7961">
      <w:pPr>
        <w:tabs>
          <w:tab w:val="left" w:pos="720"/>
          <w:tab w:val="left" w:pos="1140"/>
        </w:tabs>
        <w:rPr>
          <w:b/>
          <w:szCs w:val="24"/>
        </w:rPr>
      </w:pPr>
      <w:r w:rsidRPr="00B060FC">
        <w:rPr>
          <w:b/>
          <w:szCs w:val="24"/>
        </w:rPr>
        <w:t>9</w:t>
      </w:r>
      <w:r w:rsidR="0052637C" w:rsidRPr="00B060FC">
        <w:rPr>
          <w:b/>
          <w:szCs w:val="24"/>
        </w:rPr>
        <w:t>.</w:t>
      </w:r>
      <w:r w:rsidR="0052637C" w:rsidRPr="00B060FC">
        <w:rPr>
          <w:b/>
          <w:szCs w:val="24"/>
        </w:rPr>
        <w:tab/>
        <w:t>Summary of consideration and rationale for MSAC’s advice</w:t>
      </w:r>
    </w:p>
    <w:p w:rsidR="00200EE8" w:rsidRPr="00B060FC" w:rsidRDefault="00200EE8" w:rsidP="00EA7961">
      <w:pPr>
        <w:rPr>
          <w:rFonts w:eastAsia="Calibri"/>
          <w:szCs w:val="22"/>
          <w:lang w:eastAsia="en-US"/>
        </w:rPr>
      </w:pPr>
      <w:r w:rsidRPr="00B060FC">
        <w:rPr>
          <w:rFonts w:eastAsia="Calibri"/>
          <w:szCs w:val="22"/>
          <w:lang w:eastAsia="en-US"/>
        </w:rPr>
        <w:t xml:space="preserve">MSAC noted that the Government has reimbursed </w:t>
      </w:r>
      <w:proofErr w:type="spellStart"/>
      <w:r w:rsidRPr="00B060FC">
        <w:rPr>
          <w:rFonts w:eastAsia="Calibri"/>
          <w:szCs w:val="22"/>
          <w:lang w:eastAsia="en-US"/>
        </w:rPr>
        <w:t>trastuzumab</w:t>
      </w:r>
      <w:proofErr w:type="spellEnd"/>
      <w:r w:rsidRPr="00B060FC">
        <w:rPr>
          <w:rFonts w:eastAsia="Calibri"/>
          <w:szCs w:val="22"/>
          <w:lang w:eastAsia="en-US"/>
        </w:rPr>
        <w:t xml:space="preserve"> (on the Herceptin program) since 2001 for HER2 positive metastatic breast cancer and on the Pharmaceutical Benefits Scheme (PBS) since 2006 for treatment of HER2 positive early breast cancer in the adjuvant setting.</w:t>
      </w:r>
    </w:p>
    <w:p w:rsidR="00200EE8" w:rsidRPr="00B060FC" w:rsidRDefault="00200EE8" w:rsidP="00EA7961">
      <w:pPr>
        <w:rPr>
          <w:rFonts w:eastAsia="Calibri"/>
          <w:szCs w:val="22"/>
          <w:lang w:eastAsia="en-US"/>
        </w:rPr>
      </w:pPr>
    </w:p>
    <w:p w:rsidR="009B7D6A" w:rsidRPr="00B060FC" w:rsidRDefault="009B7D6A" w:rsidP="00EA7961">
      <w:pPr>
        <w:rPr>
          <w:rFonts w:eastAsia="Calibri"/>
          <w:szCs w:val="22"/>
          <w:lang w:eastAsia="en-US"/>
        </w:rPr>
      </w:pPr>
      <w:r w:rsidRPr="00B060FC">
        <w:rPr>
          <w:rFonts w:eastAsia="Calibri"/>
          <w:szCs w:val="22"/>
          <w:lang w:eastAsia="en-US"/>
        </w:rPr>
        <w:t xml:space="preserve">MSAC noted that on 29 June 2012, the Therapeutic Goods Administration (TGA) approved a more restricted indication for the use of </w:t>
      </w:r>
      <w:proofErr w:type="spellStart"/>
      <w:r w:rsidRPr="00B060FC">
        <w:rPr>
          <w:rFonts w:eastAsia="Calibri"/>
          <w:szCs w:val="22"/>
          <w:lang w:eastAsia="en-US"/>
        </w:rPr>
        <w:t>trastuzumab</w:t>
      </w:r>
      <w:proofErr w:type="spellEnd"/>
      <w:r w:rsidRPr="00B060FC">
        <w:rPr>
          <w:rFonts w:eastAsia="Calibri"/>
          <w:szCs w:val="22"/>
          <w:lang w:eastAsia="en-US"/>
        </w:rPr>
        <w:t xml:space="preserve"> in HER2 positive breast cancer treatment than the applicant (Roche) had requested, i.e., only for patients diagnosed with locally advanced (stage III) HER2 positive breast canc</w:t>
      </w:r>
      <w:r w:rsidR="00DD6CE6" w:rsidRPr="00B060FC">
        <w:rPr>
          <w:rFonts w:eastAsia="Calibri"/>
          <w:szCs w:val="22"/>
          <w:lang w:eastAsia="en-US"/>
        </w:rPr>
        <w:t>er.  MSAC further noted that at</w:t>
      </w:r>
      <w:r w:rsidRPr="00B060FC">
        <w:rPr>
          <w:rFonts w:eastAsia="Calibri"/>
          <w:szCs w:val="22"/>
          <w:lang w:eastAsia="en-US"/>
        </w:rPr>
        <w:t xml:space="preserve"> its July 2012 meeting, the Pharmaceutical Benefits Advisory Committee (PBAC) recommended PBS </w:t>
      </w:r>
      <w:proofErr w:type="gramStart"/>
      <w:r w:rsidRPr="00B060FC">
        <w:rPr>
          <w:rFonts w:eastAsia="Calibri"/>
          <w:szCs w:val="22"/>
          <w:lang w:eastAsia="en-US"/>
        </w:rPr>
        <w:t>listing</w:t>
      </w:r>
      <w:proofErr w:type="gramEnd"/>
      <w:r w:rsidRPr="00B060FC">
        <w:rPr>
          <w:rFonts w:eastAsia="Calibri"/>
          <w:szCs w:val="22"/>
          <w:lang w:eastAsia="en-US"/>
        </w:rPr>
        <w:t xml:space="preserve"> for </w:t>
      </w:r>
      <w:proofErr w:type="spellStart"/>
      <w:r w:rsidRPr="00B060FC">
        <w:rPr>
          <w:rFonts w:eastAsia="Calibri"/>
          <w:szCs w:val="22"/>
          <w:lang w:eastAsia="en-US"/>
        </w:rPr>
        <w:t>neoadjuvant</w:t>
      </w:r>
      <w:proofErr w:type="spellEnd"/>
      <w:r w:rsidRPr="00B060FC">
        <w:rPr>
          <w:rFonts w:eastAsia="Calibri"/>
          <w:szCs w:val="22"/>
          <w:lang w:eastAsia="en-US"/>
        </w:rPr>
        <w:t xml:space="preserve"> </w:t>
      </w:r>
      <w:proofErr w:type="spellStart"/>
      <w:r w:rsidRPr="00B060FC">
        <w:rPr>
          <w:rFonts w:eastAsia="Calibri"/>
          <w:szCs w:val="22"/>
          <w:lang w:eastAsia="en-US"/>
        </w:rPr>
        <w:t>trastuzumab</w:t>
      </w:r>
      <w:proofErr w:type="spellEnd"/>
      <w:r w:rsidRPr="00B060FC">
        <w:rPr>
          <w:rFonts w:eastAsia="Calibri"/>
          <w:szCs w:val="22"/>
          <w:lang w:eastAsia="en-US"/>
        </w:rPr>
        <w:t xml:space="preserve"> in these patients.  In addition, MSAC noted that neither the TGA nor PBAC supported use of </w:t>
      </w:r>
      <w:proofErr w:type="spellStart"/>
      <w:r w:rsidRPr="00B060FC">
        <w:rPr>
          <w:rFonts w:eastAsia="Calibri"/>
          <w:szCs w:val="22"/>
          <w:lang w:eastAsia="en-US"/>
        </w:rPr>
        <w:t>neoadjuvant</w:t>
      </w:r>
      <w:proofErr w:type="spellEnd"/>
      <w:r w:rsidRPr="00B060FC">
        <w:rPr>
          <w:rFonts w:eastAsia="Calibri"/>
          <w:szCs w:val="22"/>
          <w:lang w:eastAsia="en-US"/>
        </w:rPr>
        <w:t xml:space="preserve"> </w:t>
      </w:r>
      <w:proofErr w:type="spellStart"/>
      <w:r w:rsidRPr="00B060FC">
        <w:rPr>
          <w:rFonts w:eastAsia="Calibri"/>
          <w:szCs w:val="22"/>
          <w:lang w:eastAsia="en-US"/>
        </w:rPr>
        <w:t>trastuzumab</w:t>
      </w:r>
      <w:proofErr w:type="spellEnd"/>
      <w:r w:rsidRPr="00B060FC">
        <w:rPr>
          <w:rFonts w:eastAsia="Calibri"/>
          <w:szCs w:val="22"/>
          <w:lang w:eastAsia="en-US"/>
        </w:rPr>
        <w:t xml:space="preserve"> in early (stage II) HER2 positive breast cancer.</w:t>
      </w:r>
    </w:p>
    <w:p w:rsidR="00200EE8" w:rsidRPr="00B060FC" w:rsidRDefault="00200EE8" w:rsidP="00EA7961">
      <w:pPr>
        <w:rPr>
          <w:rFonts w:eastAsia="Calibri"/>
          <w:szCs w:val="22"/>
          <w:lang w:eastAsia="en-US"/>
        </w:rPr>
      </w:pPr>
    </w:p>
    <w:p w:rsidR="009B7D6A" w:rsidRPr="00B060FC" w:rsidRDefault="009B7D6A" w:rsidP="00EA7961">
      <w:pPr>
        <w:rPr>
          <w:rFonts w:eastAsia="Calibri"/>
          <w:szCs w:val="22"/>
          <w:lang w:eastAsia="en-US"/>
        </w:rPr>
      </w:pPr>
      <w:r w:rsidRPr="00B060FC">
        <w:rPr>
          <w:rFonts w:eastAsia="Calibri"/>
          <w:szCs w:val="22"/>
          <w:lang w:eastAsia="en-US"/>
        </w:rPr>
        <w:lastRenderedPageBreak/>
        <w:t xml:space="preserve">MSAC noted that, in the </w:t>
      </w:r>
      <w:proofErr w:type="spellStart"/>
      <w:r w:rsidRPr="00B060FC">
        <w:rPr>
          <w:rFonts w:eastAsia="Calibri"/>
          <w:szCs w:val="22"/>
          <w:lang w:eastAsia="en-US"/>
        </w:rPr>
        <w:t>neoadjuvant</w:t>
      </w:r>
      <w:proofErr w:type="spellEnd"/>
      <w:r w:rsidRPr="00B060FC">
        <w:rPr>
          <w:rFonts w:eastAsia="Calibri"/>
          <w:szCs w:val="22"/>
          <w:lang w:eastAsia="en-US"/>
        </w:rPr>
        <w:t xml:space="preserve"> setting, testing is on a core biopsy sample taken from the patient, rather than on a surgical resected specimen.  False negatives are more likely when testing core biopsies than surgical resections, so MSAC expected some repeat testing of patients initially testing negative once the surgically resected specimen becomes available.</w:t>
      </w:r>
    </w:p>
    <w:p w:rsidR="0052637C" w:rsidRPr="00B060FC" w:rsidRDefault="0052637C" w:rsidP="00EA7961">
      <w:pPr>
        <w:tabs>
          <w:tab w:val="left" w:pos="720"/>
          <w:tab w:val="left" w:pos="1140"/>
        </w:tabs>
        <w:rPr>
          <w:b/>
          <w:szCs w:val="24"/>
        </w:rPr>
      </w:pPr>
    </w:p>
    <w:p w:rsidR="0052637C" w:rsidRPr="00B060FC" w:rsidRDefault="0052637C" w:rsidP="00EA7961">
      <w:pPr>
        <w:tabs>
          <w:tab w:val="left" w:pos="720"/>
          <w:tab w:val="left" w:pos="1140"/>
        </w:tabs>
        <w:rPr>
          <w:b/>
          <w:szCs w:val="24"/>
        </w:rPr>
      </w:pPr>
      <w:r w:rsidRPr="00B060FC">
        <w:rPr>
          <w:b/>
          <w:szCs w:val="24"/>
        </w:rPr>
        <w:t>1</w:t>
      </w:r>
      <w:r w:rsidR="00F96966" w:rsidRPr="00B060FC">
        <w:rPr>
          <w:b/>
          <w:szCs w:val="24"/>
        </w:rPr>
        <w:t>0</w:t>
      </w:r>
      <w:r w:rsidRPr="00B060FC">
        <w:rPr>
          <w:b/>
          <w:szCs w:val="24"/>
        </w:rPr>
        <w:t>.</w:t>
      </w:r>
      <w:r w:rsidRPr="00B060FC">
        <w:rPr>
          <w:b/>
          <w:szCs w:val="24"/>
        </w:rPr>
        <w:tab/>
        <w:t xml:space="preserve">MSAC’s Advice to </w:t>
      </w:r>
      <w:r w:rsidR="00DD6CE6" w:rsidRPr="00B060FC">
        <w:rPr>
          <w:b/>
          <w:szCs w:val="24"/>
        </w:rPr>
        <w:t xml:space="preserve">the </w:t>
      </w:r>
      <w:r w:rsidRPr="00B060FC">
        <w:rPr>
          <w:b/>
          <w:szCs w:val="24"/>
        </w:rPr>
        <w:t>Minister</w:t>
      </w:r>
    </w:p>
    <w:p w:rsidR="009B7D6A" w:rsidRPr="00B060FC" w:rsidRDefault="009B7D6A" w:rsidP="00EA7961">
      <w:pPr>
        <w:rPr>
          <w:rFonts w:eastAsia="Calibri"/>
          <w:szCs w:val="22"/>
          <w:lang w:eastAsia="en-US"/>
        </w:rPr>
      </w:pPr>
      <w:r w:rsidRPr="00B060FC">
        <w:rPr>
          <w:rFonts w:eastAsia="Calibri"/>
          <w:szCs w:val="24"/>
          <w:lang w:eastAsia="en-US"/>
        </w:rPr>
        <w:t>After considering the strength of the available evidence in relation to the safety, effectiveness and cost effectiveness, MSAC</w:t>
      </w:r>
      <w:r w:rsidRPr="00B060FC">
        <w:rPr>
          <w:rFonts w:eastAsia="Calibri"/>
          <w:sz w:val="28"/>
          <w:szCs w:val="28"/>
          <w:lang w:eastAsia="en-US"/>
        </w:rPr>
        <w:t xml:space="preserve"> </w:t>
      </w:r>
      <w:r w:rsidRPr="00B060FC">
        <w:rPr>
          <w:rFonts w:eastAsia="Calibri"/>
          <w:szCs w:val="22"/>
          <w:lang w:eastAsia="en-US"/>
        </w:rPr>
        <w:t xml:space="preserve">advised the Minister that it supported the extension of the MBS listing of in situ hybridisation (ISH) testing of tumour tissue from a patient with breast cancer to include its use to support the PBAC-recommended extension of the PBS listing of </w:t>
      </w:r>
      <w:proofErr w:type="spellStart"/>
      <w:r w:rsidRPr="00B060FC">
        <w:rPr>
          <w:rFonts w:eastAsia="Calibri"/>
          <w:szCs w:val="22"/>
          <w:lang w:eastAsia="en-US"/>
        </w:rPr>
        <w:t>trastuzumab</w:t>
      </w:r>
      <w:proofErr w:type="spellEnd"/>
      <w:r w:rsidRPr="00B060FC">
        <w:rPr>
          <w:rFonts w:eastAsia="Calibri"/>
          <w:szCs w:val="22"/>
          <w:lang w:eastAsia="en-US"/>
        </w:rPr>
        <w:t xml:space="preserve"> to include </w:t>
      </w:r>
      <w:proofErr w:type="spellStart"/>
      <w:r w:rsidRPr="00B060FC">
        <w:rPr>
          <w:rFonts w:eastAsia="Calibri"/>
          <w:szCs w:val="22"/>
          <w:lang w:eastAsia="en-US"/>
        </w:rPr>
        <w:t>trastuzumab</w:t>
      </w:r>
      <w:proofErr w:type="spellEnd"/>
      <w:r w:rsidRPr="00B060FC">
        <w:rPr>
          <w:rFonts w:eastAsia="Calibri"/>
          <w:szCs w:val="22"/>
          <w:lang w:eastAsia="en-US"/>
        </w:rPr>
        <w:t xml:space="preserve"> use in the </w:t>
      </w:r>
      <w:proofErr w:type="spellStart"/>
      <w:r w:rsidRPr="00B060FC">
        <w:rPr>
          <w:rFonts w:eastAsia="Calibri"/>
          <w:szCs w:val="22"/>
          <w:lang w:eastAsia="en-US"/>
        </w:rPr>
        <w:t>neoadjuvant</w:t>
      </w:r>
      <w:proofErr w:type="spellEnd"/>
      <w:r w:rsidRPr="00B060FC">
        <w:rPr>
          <w:rFonts w:eastAsia="Calibri"/>
          <w:szCs w:val="22"/>
          <w:lang w:eastAsia="en-US"/>
        </w:rPr>
        <w:t xml:space="preserve"> setting.</w:t>
      </w:r>
    </w:p>
    <w:p w:rsidR="00200EE8" w:rsidRPr="00B060FC" w:rsidRDefault="00200EE8" w:rsidP="00EA7961">
      <w:pPr>
        <w:rPr>
          <w:rFonts w:eastAsia="Calibri"/>
          <w:szCs w:val="22"/>
          <w:lang w:eastAsia="en-US"/>
        </w:rPr>
      </w:pPr>
    </w:p>
    <w:p w:rsidR="009B7D6A" w:rsidRPr="00B060FC" w:rsidRDefault="009B7D6A" w:rsidP="00EA7961">
      <w:pPr>
        <w:rPr>
          <w:rFonts w:eastAsia="Calibri"/>
          <w:szCs w:val="22"/>
          <w:lang w:eastAsia="en-US"/>
        </w:rPr>
      </w:pPr>
      <w:r w:rsidRPr="00B060FC">
        <w:rPr>
          <w:rFonts w:eastAsia="Calibri"/>
          <w:szCs w:val="22"/>
          <w:lang w:eastAsia="en-US"/>
        </w:rPr>
        <w:t>MSAC advised the Minister that it supports amending the current item descriptor for MBS item 73332, which currently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7D6A" w:rsidRPr="00B060FC" w:rsidTr="00A86FD2">
        <w:tc>
          <w:tcPr>
            <w:tcW w:w="9242" w:type="dxa"/>
            <w:shd w:val="clear" w:color="auto" w:fill="auto"/>
          </w:tcPr>
          <w:p w:rsidR="009B7D6A" w:rsidRPr="00B060FC" w:rsidRDefault="009B7D6A" w:rsidP="00EA7961">
            <w:pPr>
              <w:spacing w:after="200"/>
              <w:rPr>
                <w:rFonts w:eastAsia="Calibri"/>
                <w:szCs w:val="22"/>
                <w:lang w:eastAsia="en-US"/>
              </w:rPr>
            </w:pPr>
            <w:r w:rsidRPr="00B060FC">
              <w:rPr>
                <w:rFonts w:eastAsia="Calibri"/>
                <w:b/>
                <w:szCs w:val="22"/>
                <w:lang w:eastAsia="en-US"/>
              </w:rPr>
              <w:t>MBS Item 73332</w:t>
            </w:r>
            <w:r w:rsidR="002C4739" w:rsidRPr="00B060FC">
              <w:rPr>
                <w:rFonts w:eastAsia="Calibri"/>
                <w:szCs w:val="22"/>
                <w:lang w:eastAsia="en-US"/>
              </w:rPr>
              <w:t xml:space="preserve"> </w:t>
            </w:r>
            <w:r w:rsidRPr="00B060FC">
              <w:rPr>
                <w:rFonts w:eastAsia="Calibri"/>
                <w:b/>
                <w:szCs w:val="22"/>
                <w:lang w:eastAsia="en-US"/>
              </w:rPr>
              <w:t>Category 6 – PATHOLOGY SERVICES</w:t>
            </w:r>
          </w:p>
          <w:p w:rsidR="009B7D6A" w:rsidRPr="00B060FC" w:rsidRDefault="009B7D6A" w:rsidP="00EA7961">
            <w:pPr>
              <w:spacing w:after="200"/>
              <w:rPr>
                <w:rFonts w:eastAsia="Calibri"/>
                <w:szCs w:val="22"/>
                <w:lang w:eastAsia="en-US"/>
              </w:rPr>
            </w:pPr>
            <w:r w:rsidRPr="00B060FC">
              <w:rPr>
                <w:rFonts w:eastAsia="Calibri"/>
                <w:szCs w:val="22"/>
                <w:lang w:eastAsia="en-US"/>
              </w:rPr>
              <w:t>An in situ hybridization (ISH) test of tumour tissue from a patient with breast cancer (</w:t>
            </w:r>
            <w:r w:rsidRPr="00B060FC">
              <w:rPr>
                <w:rFonts w:eastAsia="Calibri"/>
                <w:szCs w:val="22"/>
                <w:u w:val="single"/>
                <w:lang w:eastAsia="en-US"/>
              </w:rPr>
              <w:t xml:space="preserve">other than in the </w:t>
            </w:r>
            <w:proofErr w:type="spellStart"/>
            <w:r w:rsidRPr="00B060FC">
              <w:rPr>
                <w:rFonts w:eastAsia="Calibri"/>
                <w:szCs w:val="22"/>
                <w:u w:val="single"/>
                <w:lang w:eastAsia="en-US"/>
              </w:rPr>
              <w:t>neoadjuvant</w:t>
            </w:r>
            <w:proofErr w:type="spellEnd"/>
            <w:r w:rsidRPr="00B060FC">
              <w:rPr>
                <w:rFonts w:eastAsia="Calibri"/>
                <w:szCs w:val="22"/>
                <w:u w:val="single"/>
                <w:lang w:eastAsia="en-US"/>
              </w:rPr>
              <w:t xml:space="preserve"> setting</w:t>
            </w:r>
            <w:r w:rsidRPr="00B060FC">
              <w:rPr>
                <w:rFonts w:eastAsia="Calibri"/>
                <w:szCs w:val="22"/>
                <w:lang w:eastAsia="en-US"/>
              </w:rPr>
              <w:t xml:space="preserve">) requested by, or on behalf of, a specialist or consultant physician to determine if the requirements relating to human epidermal growth factor receptor 2 (HER2) gene mutation status for access to </w:t>
            </w:r>
            <w:proofErr w:type="spellStart"/>
            <w:r w:rsidRPr="00B060FC">
              <w:rPr>
                <w:rFonts w:eastAsia="Calibri"/>
                <w:szCs w:val="22"/>
                <w:lang w:eastAsia="en-US"/>
              </w:rPr>
              <w:t>trastuzumab</w:t>
            </w:r>
            <w:proofErr w:type="spellEnd"/>
            <w:r w:rsidRPr="00B060FC">
              <w:rPr>
                <w:rFonts w:eastAsia="Calibri"/>
                <w:szCs w:val="22"/>
                <w:lang w:eastAsia="en-US"/>
              </w:rPr>
              <w:t xml:space="preserve"> under the Pharmaceutical Benefits Scheme (PBS) or the Herceptin Program are fulfilled.</w:t>
            </w:r>
          </w:p>
          <w:p w:rsidR="009B7D6A" w:rsidRPr="00B060FC" w:rsidRDefault="009B7D6A" w:rsidP="002C4739">
            <w:pPr>
              <w:spacing w:after="200"/>
              <w:rPr>
                <w:rFonts w:eastAsia="Calibri"/>
                <w:szCs w:val="22"/>
                <w:lang w:eastAsia="en-US"/>
              </w:rPr>
            </w:pPr>
            <w:r w:rsidRPr="00B060FC">
              <w:rPr>
                <w:rFonts w:eastAsia="Calibri"/>
                <w:b/>
                <w:szCs w:val="22"/>
                <w:lang w:eastAsia="en-US"/>
              </w:rPr>
              <w:t>Fee: $317.50</w:t>
            </w:r>
            <w:r w:rsidR="002C4739" w:rsidRPr="00B060FC">
              <w:rPr>
                <w:rFonts w:eastAsia="Calibri"/>
                <w:b/>
                <w:szCs w:val="22"/>
                <w:lang w:eastAsia="en-US"/>
              </w:rPr>
              <w:t xml:space="preserve"> </w:t>
            </w:r>
            <w:r w:rsidRPr="00B060FC">
              <w:rPr>
                <w:rFonts w:eastAsia="Calibri"/>
                <w:b/>
                <w:szCs w:val="22"/>
                <w:lang w:eastAsia="en-US"/>
              </w:rPr>
              <w:t>Benefit: 75% = $238.15</w:t>
            </w:r>
            <w:r w:rsidR="002C4739" w:rsidRPr="00B060FC">
              <w:rPr>
                <w:rFonts w:eastAsia="Calibri"/>
                <w:b/>
                <w:szCs w:val="22"/>
                <w:lang w:eastAsia="en-US"/>
              </w:rPr>
              <w:t xml:space="preserve"> </w:t>
            </w:r>
            <w:r w:rsidRPr="00B060FC">
              <w:rPr>
                <w:rFonts w:eastAsia="Calibri"/>
                <w:b/>
                <w:szCs w:val="22"/>
                <w:lang w:eastAsia="en-US"/>
              </w:rPr>
              <w:t>85% = $269.90</w:t>
            </w:r>
          </w:p>
        </w:tc>
      </w:tr>
    </w:tbl>
    <w:p w:rsidR="009B7D6A" w:rsidRPr="00B060FC" w:rsidRDefault="009B7D6A" w:rsidP="00EA7961">
      <w:pPr>
        <w:rPr>
          <w:rFonts w:eastAsia="Calibri"/>
          <w:szCs w:val="22"/>
          <w:lang w:eastAsia="en-US"/>
        </w:rPr>
      </w:pPr>
      <w:proofErr w:type="gramStart"/>
      <w:r w:rsidRPr="00B060FC">
        <w:rPr>
          <w:rFonts w:eastAsia="Calibri"/>
          <w:szCs w:val="22"/>
          <w:lang w:eastAsia="en-US"/>
        </w:rPr>
        <w:t>by</w:t>
      </w:r>
      <w:proofErr w:type="gramEnd"/>
      <w:r w:rsidRPr="00B060FC">
        <w:rPr>
          <w:rFonts w:eastAsia="Calibri"/>
          <w:szCs w:val="22"/>
          <w:lang w:eastAsia="en-US"/>
        </w:rPr>
        <w:t xml:space="preserve"> removing “(other than in the </w:t>
      </w:r>
      <w:proofErr w:type="spellStart"/>
      <w:r w:rsidRPr="00B060FC">
        <w:rPr>
          <w:rFonts w:eastAsia="Calibri"/>
          <w:szCs w:val="22"/>
          <w:lang w:eastAsia="en-US"/>
        </w:rPr>
        <w:t>neoadjuvant</w:t>
      </w:r>
      <w:proofErr w:type="spellEnd"/>
      <w:r w:rsidRPr="00B060FC">
        <w:rPr>
          <w:rFonts w:eastAsia="Calibri"/>
          <w:szCs w:val="22"/>
          <w:lang w:eastAsia="en-US"/>
        </w:rPr>
        <w:t xml:space="preserve"> setting)”, so that the item descriptor would read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B7D6A" w:rsidRPr="00B060FC" w:rsidTr="00A86FD2">
        <w:tc>
          <w:tcPr>
            <w:tcW w:w="9242" w:type="dxa"/>
            <w:shd w:val="clear" w:color="auto" w:fill="auto"/>
          </w:tcPr>
          <w:p w:rsidR="009B7D6A" w:rsidRPr="00B060FC" w:rsidRDefault="009B7D6A" w:rsidP="00EA7961">
            <w:pPr>
              <w:rPr>
                <w:rFonts w:eastAsia="Calibri"/>
                <w:szCs w:val="22"/>
                <w:lang w:eastAsia="en-US"/>
              </w:rPr>
            </w:pPr>
            <w:r w:rsidRPr="00B060FC">
              <w:rPr>
                <w:rFonts w:eastAsia="Calibri"/>
                <w:b/>
                <w:szCs w:val="22"/>
                <w:lang w:eastAsia="en-US"/>
              </w:rPr>
              <w:t>MBS Item 73332</w:t>
            </w:r>
            <w:r w:rsidR="002C4739" w:rsidRPr="00B060FC">
              <w:rPr>
                <w:rFonts w:eastAsia="Calibri"/>
                <w:szCs w:val="22"/>
                <w:lang w:eastAsia="en-US"/>
              </w:rPr>
              <w:t xml:space="preserve"> </w:t>
            </w:r>
            <w:r w:rsidRPr="00B060FC">
              <w:rPr>
                <w:rFonts w:eastAsia="Calibri"/>
                <w:b/>
                <w:szCs w:val="22"/>
                <w:lang w:eastAsia="en-US"/>
              </w:rPr>
              <w:t>Category 6 – PATHOLOGY SERVICES</w:t>
            </w:r>
          </w:p>
          <w:p w:rsidR="009B7D6A" w:rsidRPr="00B060FC" w:rsidRDefault="009B7D6A" w:rsidP="00EA7961">
            <w:pPr>
              <w:rPr>
                <w:rFonts w:eastAsia="Calibri"/>
                <w:szCs w:val="22"/>
                <w:lang w:eastAsia="en-US"/>
              </w:rPr>
            </w:pPr>
            <w:r w:rsidRPr="00B060FC">
              <w:rPr>
                <w:rFonts w:eastAsia="Calibri"/>
                <w:szCs w:val="22"/>
                <w:lang w:eastAsia="en-US"/>
              </w:rPr>
              <w:t xml:space="preserve">An in situ hybridization (ISH) test of tumour tissue from a patient with breast cancer requested by, or on behalf of, a specialist or consultant physician to determine if the requirements relating to human epidermal growth factor receptor 2 (HER2) gene mutation </w:t>
            </w:r>
            <w:proofErr w:type="gramStart"/>
            <w:r w:rsidRPr="00B060FC">
              <w:rPr>
                <w:rFonts w:eastAsia="Calibri"/>
                <w:szCs w:val="22"/>
                <w:lang w:eastAsia="en-US"/>
              </w:rPr>
              <w:t>status</w:t>
            </w:r>
            <w:proofErr w:type="gramEnd"/>
            <w:r w:rsidRPr="00B060FC">
              <w:rPr>
                <w:rFonts w:eastAsia="Calibri"/>
                <w:szCs w:val="22"/>
                <w:lang w:eastAsia="en-US"/>
              </w:rPr>
              <w:t xml:space="preserve"> for access to </w:t>
            </w:r>
            <w:proofErr w:type="spellStart"/>
            <w:r w:rsidRPr="00B060FC">
              <w:rPr>
                <w:rFonts w:eastAsia="Calibri"/>
                <w:szCs w:val="22"/>
                <w:lang w:eastAsia="en-US"/>
              </w:rPr>
              <w:t>trastuzumab</w:t>
            </w:r>
            <w:proofErr w:type="spellEnd"/>
            <w:r w:rsidRPr="00B060FC">
              <w:rPr>
                <w:rFonts w:eastAsia="Calibri"/>
                <w:szCs w:val="22"/>
                <w:lang w:eastAsia="en-US"/>
              </w:rPr>
              <w:t xml:space="preserve"> under the Pharmaceutical Benefits Scheme (PBS) or the Herceptin Program are fulfilled.</w:t>
            </w:r>
          </w:p>
          <w:p w:rsidR="009B7D6A" w:rsidRPr="00B060FC" w:rsidRDefault="009B7D6A" w:rsidP="002C4739">
            <w:pPr>
              <w:rPr>
                <w:rFonts w:eastAsia="Calibri"/>
                <w:b/>
                <w:szCs w:val="22"/>
                <w:lang w:eastAsia="en-US"/>
              </w:rPr>
            </w:pPr>
            <w:r w:rsidRPr="00B060FC">
              <w:rPr>
                <w:rFonts w:eastAsia="Calibri"/>
                <w:b/>
                <w:szCs w:val="22"/>
                <w:lang w:eastAsia="en-US"/>
              </w:rPr>
              <w:t>Fee: $317.50</w:t>
            </w:r>
            <w:r w:rsidR="002C4739" w:rsidRPr="00B060FC">
              <w:rPr>
                <w:rFonts w:eastAsia="Calibri"/>
                <w:b/>
                <w:szCs w:val="22"/>
                <w:lang w:eastAsia="en-US"/>
              </w:rPr>
              <w:t xml:space="preserve"> </w:t>
            </w:r>
            <w:r w:rsidRPr="00B060FC">
              <w:rPr>
                <w:rFonts w:eastAsia="Calibri"/>
                <w:b/>
                <w:szCs w:val="22"/>
                <w:lang w:eastAsia="en-US"/>
              </w:rPr>
              <w:t>Benefit: 7</w:t>
            </w:r>
            <w:r w:rsidR="002B6FD3" w:rsidRPr="00B060FC">
              <w:rPr>
                <w:rFonts w:eastAsia="Calibri"/>
                <w:b/>
                <w:szCs w:val="22"/>
                <w:lang w:eastAsia="en-US"/>
              </w:rPr>
              <w:t>5% = $238.15</w:t>
            </w:r>
            <w:r w:rsidR="002C4739" w:rsidRPr="00B060FC">
              <w:rPr>
                <w:rFonts w:eastAsia="Calibri"/>
                <w:b/>
                <w:szCs w:val="22"/>
                <w:lang w:eastAsia="en-US"/>
              </w:rPr>
              <w:t xml:space="preserve"> </w:t>
            </w:r>
            <w:r w:rsidR="002B6FD3" w:rsidRPr="00B060FC">
              <w:rPr>
                <w:rFonts w:eastAsia="Calibri"/>
                <w:b/>
                <w:szCs w:val="22"/>
                <w:lang w:eastAsia="en-US"/>
              </w:rPr>
              <w:t>85% = $269.90</w:t>
            </w:r>
          </w:p>
        </w:tc>
      </w:tr>
    </w:tbl>
    <w:p w:rsidR="009B7D6A" w:rsidRPr="00B060FC" w:rsidRDefault="009B7D6A" w:rsidP="00EA7961">
      <w:pPr>
        <w:rPr>
          <w:rFonts w:eastAsia="Calibri"/>
          <w:szCs w:val="22"/>
          <w:lang w:eastAsia="en-US"/>
        </w:rPr>
      </w:pPr>
      <w:r w:rsidRPr="00B060FC">
        <w:rPr>
          <w:rFonts w:eastAsia="Calibri"/>
          <w:szCs w:val="22"/>
          <w:lang w:eastAsia="en-US"/>
        </w:rPr>
        <w:t>In addition to this, MSAC supported a further modification to this item, to enable this test to become a pathologist-determinable service, noting that this would require further investigation by the Department of Health and Ageing.</w:t>
      </w:r>
    </w:p>
    <w:p w:rsidR="009B7D6A" w:rsidRPr="00B060FC" w:rsidRDefault="009B7D6A" w:rsidP="00EA7961">
      <w:pPr>
        <w:tabs>
          <w:tab w:val="left" w:pos="720"/>
          <w:tab w:val="left" w:pos="1140"/>
        </w:tabs>
        <w:rPr>
          <w:szCs w:val="24"/>
        </w:rPr>
      </w:pPr>
    </w:p>
    <w:p w:rsidR="00484E79" w:rsidRPr="00B060FC" w:rsidRDefault="0052637C" w:rsidP="00D77D09">
      <w:pPr>
        <w:tabs>
          <w:tab w:val="left" w:pos="720"/>
        </w:tabs>
        <w:rPr>
          <w:b/>
          <w:szCs w:val="24"/>
        </w:rPr>
      </w:pPr>
      <w:r w:rsidRPr="00B060FC">
        <w:rPr>
          <w:b/>
          <w:szCs w:val="24"/>
        </w:rPr>
        <w:t>1</w:t>
      </w:r>
      <w:r w:rsidR="00F96966" w:rsidRPr="00B060FC">
        <w:rPr>
          <w:b/>
          <w:szCs w:val="24"/>
        </w:rPr>
        <w:t>1</w:t>
      </w:r>
      <w:r w:rsidRPr="00B060FC">
        <w:rPr>
          <w:b/>
          <w:szCs w:val="24"/>
        </w:rPr>
        <w:t>.</w:t>
      </w:r>
      <w:r w:rsidR="00484E79" w:rsidRPr="00B060FC">
        <w:rPr>
          <w:b/>
          <w:szCs w:val="24"/>
        </w:rPr>
        <w:t xml:space="preserve"> Applicant’s Response to Public Summary Document</w:t>
      </w:r>
      <w:r w:rsidRPr="00B060FC">
        <w:rPr>
          <w:b/>
          <w:szCs w:val="24"/>
        </w:rPr>
        <w:tab/>
      </w:r>
    </w:p>
    <w:p w:rsidR="00484E79" w:rsidRPr="00B060FC" w:rsidRDefault="00484E79" w:rsidP="00484E79">
      <w:pPr>
        <w:autoSpaceDE w:val="0"/>
        <w:autoSpaceDN w:val="0"/>
        <w:adjustRightInd w:val="0"/>
        <w:rPr>
          <w:color w:val="000000"/>
          <w:szCs w:val="24"/>
        </w:rPr>
      </w:pPr>
      <w:r w:rsidRPr="00B060FC">
        <w:rPr>
          <w:color w:val="000000"/>
          <w:szCs w:val="24"/>
        </w:rPr>
        <w:t xml:space="preserve">Roche is pleased that MSAC recommended the extension of the MBS listing of in situ hybridisation (ISH) testing of tumour tissue from a patient with breast cancer to include testing in the </w:t>
      </w:r>
      <w:proofErr w:type="spellStart"/>
      <w:r w:rsidRPr="00B060FC">
        <w:rPr>
          <w:color w:val="000000"/>
          <w:szCs w:val="24"/>
        </w:rPr>
        <w:t>neoadjuvant</w:t>
      </w:r>
      <w:proofErr w:type="spellEnd"/>
      <w:r w:rsidRPr="00B060FC">
        <w:rPr>
          <w:color w:val="000000"/>
          <w:szCs w:val="24"/>
        </w:rPr>
        <w:t xml:space="preserve"> setting.</w:t>
      </w:r>
    </w:p>
    <w:p w:rsidR="00484E79" w:rsidRPr="00B060FC" w:rsidRDefault="00484E79" w:rsidP="00484E79">
      <w:pPr>
        <w:autoSpaceDE w:val="0"/>
        <w:autoSpaceDN w:val="0"/>
        <w:adjustRightInd w:val="0"/>
        <w:rPr>
          <w:color w:val="000000"/>
          <w:szCs w:val="24"/>
        </w:rPr>
      </w:pPr>
    </w:p>
    <w:p w:rsidR="00484E79" w:rsidRPr="00B060FC" w:rsidRDefault="00484E79" w:rsidP="00484E79">
      <w:pPr>
        <w:autoSpaceDE w:val="0"/>
        <w:autoSpaceDN w:val="0"/>
        <w:adjustRightInd w:val="0"/>
        <w:rPr>
          <w:szCs w:val="24"/>
        </w:rPr>
      </w:pPr>
      <w:r w:rsidRPr="00B060FC">
        <w:rPr>
          <w:color w:val="000000"/>
          <w:szCs w:val="24"/>
        </w:rPr>
        <w:t xml:space="preserve">Roche supports MSAC's recommendation that the item by modified to become a pathologist-determinable service. </w:t>
      </w:r>
    </w:p>
    <w:p w:rsidR="00484E79" w:rsidRPr="00B060FC" w:rsidRDefault="00484E79" w:rsidP="00D77D09">
      <w:pPr>
        <w:tabs>
          <w:tab w:val="left" w:pos="720"/>
        </w:tabs>
        <w:rPr>
          <w:b/>
          <w:szCs w:val="24"/>
        </w:rPr>
      </w:pPr>
    </w:p>
    <w:p w:rsidR="0052637C" w:rsidRPr="00B060FC" w:rsidRDefault="00484E79" w:rsidP="00D77D09">
      <w:pPr>
        <w:tabs>
          <w:tab w:val="left" w:pos="720"/>
        </w:tabs>
        <w:rPr>
          <w:b/>
          <w:szCs w:val="24"/>
        </w:rPr>
      </w:pPr>
      <w:r w:rsidRPr="00B060FC">
        <w:rPr>
          <w:b/>
          <w:szCs w:val="24"/>
        </w:rPr>
        <w:t xml:space="preserve">12. </w:t>
      </w:r>
      <w:r w:rsidR="0052637C" w:rsidRPr="00B060FC">
        <w:rPr>
          <w:b/>
          <w:szCs w:val="24"/>
        </w:rPr>
        <w:t>Context for decision</w:t>
      </w:r>
    </w:p>
    <w:p w:rsidR="007950C0" w:rsidRPr="00B060FC" w:rsidRDefault="007950C0" w:rsidP="00EA7961">
      <w:pPr>
        <w:tabs>
          <w:tab w:val="left" w:pos="720"/>
        </w:tabs>
        <w:rPr>
          <w:szCs w:val="24"/>
        </w:rPr>
      </w:pPr>
      <w:r w:rsidRPr="00B060FC">
        <w:rPr>
          <w:szCs w:val="24"/>
        </w:rPr>
        <w:t>This advice was made under the MSAC Terms of Reference.</w:t>
      </w:r>
    </w:p>
    <w:p w:rsidR="007950C0" w:rsidRPr="00B060FC" w:rsidRDefault="007950C0" w:rsidP="00EA7961">
      <w:pPr>
        <w:rPr>
          <w:szCs w:val="24"/>
          <w:lang w:val="en-US" w:eastAsia="en-US"/>
        </w:rPr>
      </w:pPr>
      <w:r w:rsidRPr="00B060FC">
        <w:rPr>
          <w:szCs w:val="24"/>
          <w:lang w:val="en-US" w:eastAsia="en-US"/>
        </w:rPr>
        <w:t xml:space="preserve">MSAC is to: </w:t>
      </w:r>
    </w:p>
    <w:p w:rsidR="007950C0" w:rsidRPr="00B060FC" w:rsidRDefault="007950C0" w:rsidP="00EA7961">
      <w:pPr>
        <w:numPr>
          <w:ilvl w:val="0"/>
          <w:numId w:val="3"/>
        </w:numPr>
        <w:tabs>
          <w:tab w:val="clear" w:pos="1080"/>
          <w:tab w:val="num" w:pos="492"/>
        </w:tabs>
        <w:ind w:left="492"/>
        <w:rPr>
          <w:szCs w:val="24"/>
          <w:lang w:val="en-US" w:eastAsia="en-US"/>
        </w:rPr>
      </w:pPr>
      <w:r w:rsidRPr="00B060FC">
        <w:rPr>
          <w:szCs w:val="24"/>
          <w:lang w:val="en-US" w:eastAsia="en-US"/>
        </w:rPr>
        <w:t>Advise the Minister for Health and Ageing on medical services that involve new or emerging technologies and procedures</w:t>
      </w:r>
      <w:r w:rsidRPr="00B060FC">
        <w:rPr>
          <w:szCs w:val="24"/>
        </w:rPr>
        <w:t xml:space="preserve"> and, where relevant, amendment to existing MBS items</w:t>
      </w:r>
      <w:r w:rsidRPr="00B060FC">
        <w:rPr>
          <w:szCs w:val="24"/>
          <w:lang w:val="en-US" w:eastAsia="en-US"/>
        </w:rPr>
        <w:t xml:space="preserve">, in relation to: </w:t>
      </w:r>
    </w:p>
    <w:p w:rsidR="007950C0" w:rsidRPr="00B060FC" w:rsidRDefault="007950C0" w:rsidP="00EA7961">
      <w:pPr>
        <w:numPr>
          <w:ilvl w:val="1"/>
          <w:numId w:val="3"/>
        </w:numPr>
        <w:tabs>
          <w:tab w:val="clear" w:pos="1800"/>
          <w:tab w:val="left" w:pos="540"/>
          <w:tab w:val="left" w:pos="900"/>
        </w:tabs>
        <w:ind w:left="907"/>
        <w:rPr>
          <w:szCs w:val="24"/>
          <w:lang w:val="en-US" w:eastAsia="en-US"/>
        </w:rPr>
      </w:pPr>
      <w:r w:rsidRPr="00B060FC">
        <w:rPr>
          <w:szCs w:val="24"/>
          <w:lang w:val="en-US" w:eastAsia="en-US"/>
        </w:rPr>
        <w:t>the strength of evidence in relation to the comparative safety, effectiveness, cost</w:t>
      </w:r>
      <w:r w:rsidRPr="00B060FC">
        <w:rPr>
          <w:szCs w:val="24"/>
          <w:lang w:val="en-US" w:eastAsia="en-US"/>
        </w:rPr>
        <w:noBreakHyphen/>
        <w:t xml:space="preserve">effectiveness and total cost of the medical service; </w:t>
      </w:r>
    </w:p>
    <w:p w:rsidR="007950C0" w:rsidRPr="00B060FC" w:rsidRDefault="007950C0" w:rsidP="00EA7961">
      <w:pPr>
        <w:numPr>
          <w:ilvl w:val="1"/>
          <w:numId w:val="3"/>
        </w:numPr>
        <w:tabs>
          <w:tab w:val="clear" w:pos="1800"/>
          <w:tab w:val="left" w:pos="540"/>
          <w:tab w:val="left" w:pos="900"/>
        </w:tabs>
        <w:ind w:left="907"/>
        <w:rPr>
          <w:szCs w:val="24"/>
          <w:lang w:val="en-US" w:eastAsia="en-US"/>
        </w:rPr>
      </w:pPr>
      <w:r w:rsidRPr="00B060FC">
        <w:rPr>
          <w:szCs w:val="24"/>
          <w:lang w:val="en-US" w:eastAsia="en-US"/>
        </w:rPr>
        <w:lastRenderedPageBreak/>
        <w:t xml:space="preserve">whether public funding should be supported for the medical service and, if so, the circumstances under which public funding should be supported; </w:t>
      </w:r>
    </w:p>
    <w:p w:rsidR="007950C0" w:rsidRPr="00B060FC" w:rsidRDefault="007950C0" w:rsidP="00EA7961">
      <w:pPr>
        <w:numPr>
          <w:ilvl w:val="1"/>
          <w:numId w:val="3"/>
        </w:numPr>
        <w:tabs>
          <w:tab w:val="clear" w:pos="1800"/>
          <w:tab w:val="left" w:pos="540"/>
          <w:tab w:val="left" w:pos="900"/>
        </w:tabs>
        <w:ind w:left="907"/>
        <w:rPr>
          <w:szCs w:val="24"/>
          <w:lang w:val="en-US" w:eastAsia="en-US"/>
        </w:rPr>
      </w:pPr>
      <w:r w:rsidRPr="00B060FC">
        <w:rPr>
          <w:szCs w:val="24"/>
          <w:lang w:val="en-US" w:eastAsia="en-US"/>
        </w:rPr>
        <w:t xml:space="preserve">the proposed Medicare Benefits Schedule (MBS) item descriptor and fee for the service where funding through the MBS is supported; </w:t>
      </w:r>
    </w:p>
    <w:p w:rsidR="007950C0" w:rsidRPr="00B060FC" w:rsidRDefault="007950C0" w:rsidP="00EA7961">
      <w:pPr>
        <w:numPr>
          <w:ilvl w:val="1"/>
          <w:numId w:val="3"/>
        </w:numPr>
        <w:tabs>
          <w:tab w:val="clear" w:pos="1800"/>
          <w:tab w:val="left" w:pos="540"/>
          <w:tab w:val="left" w:pos="900"/>
        </w:tabs>
        <w:ind w:left="907"/>
        <w:rPr>
          <w:szCs w:val="24"/>
          <w:lang w:val="en-US" w:eastAsia="en-US"/>
        </w:rPr>
      </w:pPr>
      <w:r w:rsidRPr="00B060FC">
        <w:rPr>
          <w:szCs w:val="24"/>
          <w:lang w:val="en-US" w:eastAsia="en-US"/>
        </w:rPr>
        <w:t>the circumstances, where there is uncertainty in relation to the clinical or cost</w:t>
      </w:r>
      <w:r w:rsidRPr="00B060FC">
        <w:rPr>
          <w:szCs w:val="24"/>
          <w:lang w:val="en-US" w:eastAsia="en-US"/>
        </w:rPr>
        <w:noBreakHyphen/>
        <w: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7950C0" w:rsidRPr="00B060FC" w:rsidRDefault="007950C0" w:rsidP="00EA7961">
      <w:pPr>
        <w:numPr>
          <w:ilvl w:val="1"/>
          <w:numId w:val="3"/>
        </w:numPr>
        <w:tabs>
          <w:tab w:val="clear" w:pos="1800"/>
          <w:tab w:val="left" w:pos="540"/>
          <w:tab w:val="left" w:pos="900"/>
        </w:tabs>
        <w:ind w:left="907"/>
        <w:rPr>
          <w:szCs w:val="24"/>
          <w:lang w:val="en-US" w:eastAsia="en-US"/>
        </w:rPr>
      </w:pPr>
      <w:proofErr w:type="gramStart"/>
      <w:r w:rsidRPr="00B060FC">
        <w:rPr>
          <w:szCs w:val="24"/>
          <w:lang w:val="en-US" w:eastAsia="en-US"/>
        </w:rPr>
        <w:t>other</w:t>
      </w:r>
      <w:proofErr w:type="gramEnd"/>
      <w:r w:rsidRPr="00B060FC">
        <w:rPr>
          <w:szCs w:val="24"/>
          <w:lang w:val="en-US" w:eastAsia="en-US"/>
        </w:rPr>
        <w:t xml:space="preserve"> matters related to the public funding of health services referred by the Minister.</w:t>
      </w:r>
    </w:p>
    <w:p w:rsidR="007950C0" w:rsidRPr="00B060FC" w:rsidRDefault="007950C0" w:rsidP="00EA7961">
      <w:pPr>
        <w:numPr>
          <w:ilvl w:val="0"/>
          <w:numId w:val="3"/>
        </w:numPr>
        <w:tabs>
          <w:tab w:val="clear" w:pos="1080"/>
          <w:tab w:val="num" w:pos="492"/>
        </w:tabs>
        <w:ind w:left="490"/>
        <w:rPr>
          <w:szCs w:val="24"/>
          <w:lang w:val="en-US" w:eastAsia="en-US"/>
        </w:rPr>
      </w:pPr>
      <w:proofErr w:type="gramStart"/>
      <w:r w:rsidRPr="00B060FC">
        <w:rPr>
          <w:szCs w:val="24"/>
          <w:lang w:val="en-US" w:eastAsia="en-US"/>
        </w:rPr>
        <w:t>Advise</w:t>
      </w:r>
      <w:proofErr w:type="gramEnd"/>
      <w:r w:rsidRPr="00B060FC">
        <w:rPr>
          <w:szCs w:val="24"/>
          <w:lang w:val="en-US" w:eastAsia="en-US"/>
        </w:rPr>
        <w:t xml:space="preserve"> the Australian Health Ministers’ Advisory Council (AHMAC) on health technology assessments referred under AHMAC arrangements. </w:t>
      </w:r>
    </w:p>
    <w:p w:rsidR="007950C0" w:rsidRPr="00B060FC" w:rsidRDefault="007950C0" w:rsidP="00EA7961">
      <w:pPr>
        <w:numPr>
          <w:ilvl w:val="0"/>
          <w:numId w:val="3"/>
        </w:numPr>
        <w:tabs>
          <w:tab w:val="clear" w:pos="1080"/>
          <w:tab w:val="num" w:pos="492"/>
        </w:tabs>
        <w:ind w:left="492"/>
        <w:rPr>
          <w:szCs w:val="24"/>
          <w:lang w:val="en-US" w:eastAsia="en-US"/>
        </w:rPr>
      </w:pPr>
      <w:r w:rsidRPr="00B060FC">
        <w:rPr>
          <w:szCs w:val="24"/>
          <w:lang w:val="en-US" w:eastAsia="en-US"/>
        </w:rPr>
        <w:t>MSAC may also establish sub-committees to assist MSAC to effectively undertake its role. MSAC may delegate some of its functions to its Executive sub-committee.</w:t>
      </w:r>
    </w:p>
    <w:p w:rsidR="00F55FCB" w:rsidRPr="00B060FC" w:rsidRDefault="00F55FCB" w:rsidP="00EA7961">
      <w:pPr>
        <w:rPr>
          <w:szCs w:val="24"/>
          <w:lang w:val="en-US" w:eastAsia="en-US"/>
        </w:rPr>
      </w:pPr>
    </w:p>
    <w:p w:rsidR="00AF0F0E" w:rsidRPr="00B060FC" w:rsidRDefault="00034C3A" w:rsidP="00EA7961">
      <w:pPr>
        <w:rPr>
          <w:b/>
          <w:szCs w:val="24"/>
        </w:rPr>
      </w:pPr>
      <w:r w:rsidRPr="00B060FC">
        <w:rPr>
          <w:b/>
          <w:szCs w:val="24"/>
        </w:rPr>
        <w:t>1</w:t>
      </w:r>
      <w:r w:rsidR="00EC71C9" w:rsidRPr="00B060FC">
        <w:rPr>
          <w:b/>
          <w:szCs w:val="24"/>
        </w:rPr>
        <w:t>3</w:t>
      </w:r>
      <w:r w:rsidRPr="00B060FC">
        <w:rPr>
          <w:b/>
          <w:szCs w:val="24"/>
        </w:rPr>
        <w:t>.</w:t>
      </w:r>
      <w:r w:rsidRPr="00B060FC">
        <w:rPr>
          <w:b/>
          <w:szCs w:val="24"/>
        </w:rPr>
        <w:tab/>
      </w:r>
      <w:r w:rsidR="004C0814" w:rsidRPr="00B060FC">
        <w:rPr>
          <w:b/>
          <w:szCs w:val="24"/>
        </w:rPr>
        <w:t xml:space="preserve">Linkages to </w:t>
      </w:r>
      <w:r w:rsidR="00B40A4B" w:rsidRPr="00B060FC">
        <w:rPr>
          <w:b/>
          <w:szCs w:val="24"/>
        </w:rPr>
        <w:t>o</w:t>
      </w:r>
      <w:r w:rsidR="004C0814" w:rsidRPr="00B060FC">
        <w:rPr>
          <w:b/>
          <w:szCs w:val="24"/>
        </w:rPr>
        <w:t xml:space="preserve">ther </w:t>
      </w:r>
      <w:r w:rsidR="00B40A4B" w:rsidRPr="00B060FC">
        <w:rPr>
          <w:b/>
          <w:szCs w:val="24"/>
        </w:rPr>
        <w:t>d</w:t>
      </w:r>
      <w:r w:rsidR="004C0814" w:rsidRPr="00B060FC">
        <w:rPr>
          <w:b/>
          <w:szCs w:val="24"/>
        </w:rPr>
        <w:t>ocuments</w:t>
      </w:r>
    </w:p>
    <w:p w:rsidR="00241537" w:rsidRPr="00B060FC" w:rsidRDefault="00241537" w:rsidP="00EA7961">
      <w:pPr>
        <w:pStyle w:val="Default"/>
        <w:rPr>
          <w:u w:val="single"/>
        </w:rPr>
      </w:pPr>
      <w:r w:rsidRPr="00B060FC">
        <w:t xml:space="preserve">MSAC’s processes are detailed on the MSAC Website at: </w:t>
      </w:r>
      <w:hyperlink r:id="rId10" w:tooltip="Medical Services Advisory Committee Website" w:history="1">
        <w:r w:rsidRPr="00B060FC">
          <w:rPr>
            <w:rStyle w:val="Hyperlink"/>
          </w:rPr>
          <w:t>www.msac.gov.au</w:t>
        </w:r>
      </w:hyperlink>
    </w:p>
    <w:p w:rsidR="007F12A3" w:rsidRPr="00B060FC" w:rsidRDefault="007F12A3" w:rsidP="00EA7961">
      <w:pPr>
        <w:rPr>
          <w:szCs w:val="24"/>
          <w:lang w:val="en-US" w:eastAsia="en-US"/>
        </w:rPr>
      </w:pPr>
    </w:p>
    <w:sectPr w:rsidR="007F12A3" w:rsidRPr="00B060FC" w:rsidSect="00A20A17">
      <w:footerReference w:type="even" r:id="rId11"/>
      <w:footerReference w:type="default" r:id="rId12"/>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8D" w:rsidRDefault="006A458D">
      <w:r>
        <w:separator/>
      </w:r>
    </w:p>
  </w:endnote>
  <w:endnote w:type="continuationSeparator" w:id="0">
    <w:p w:rsidR="006A458D" w:rsidRDefault="006A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31" w:rsidRDefault="00B81231" w:rsidP="00EE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231" w:rsidRDefault="00B81231"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31" w:rsidRDefault="00B81231" w:rsidP="00151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60FC">
      <w:rPr>
        <w:rStyle w:val="PageNumber"/>
        <w:noProof/>
      </w:rPr>
      <w:t>1</w:t>
    </w:r>
    <w:r>
      <w:rPr>
        <w:rStyle w:val="PageNumber"/>
      </w:rPr>
      <w:fldChar w:fldCharType="end"/>
    </w:r>
  </w:p>
  <w:p w:rsidR="00B81231" w:rsidRPr="003F0658" w:rsidRDefault="00B81231" w:rsidP="00EE2646">
    <w:pPr>
      <w:pStyle w:val="Footer"/>
      <w:ind w:right="360"/>
      <w:rPr>
        <w:sz w:val="20"/>
      </w:rPr>
    </w:pPr>
    <w:r w:rsidRPr="003F0658">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8D" w:rsidRDefault="006A458D">
      <w:r>
        <w:separator/>
      </w:r>
    </w:p>
  </w:footnote>
  <w:footnote w:type="continuationSeparator" w:id="0">
    <w:p w:rsidR="006A458D" w:rsidRDefault="006A4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D1411E"/>
    <w:multiLevelType w:val="hybridMultilevel"/>
    <w:tmpl w:val="DD6C1354"/>
    <w:lvl w:ilvl="0" w:tplc="727C67B4">
      <w:start w:val="6"/>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D666045"/>
    <w:multiLevelType w:val="hybridMultilevel"/>
    <w:tmpl w:val="2F1CAED2"/>
    <w:lvl w:ilvl="0" w:tplc="31FC16D4">
      <w:start w:val="9"/>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F62B50"/>
    <w:multiLevelType w:val="hybridMultilevel"/>
    <w:tmpl w:val="9978F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45853F9"/>
    <w:multiLevelType w:val="hybridMultilevel"/>
    <w:tmpl w:val="A26A2B30"/>
    <w:lvl w:ilvl="0" w:tplc="FB06DE06">
      <w:start w:val="2"/>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8C57F71"/>
    <w:multiLevelType w:val="hybridMultilevel"/>
    <w:tmpl w:val="DDA000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405F"/>
    <w:rsid w:val="00012EF3"/>
    <w:rsid w:val="00017F63"/>
    <w:rsid w:val="00024649"/>
    <w:rsid w:val="000259EB"/>
    <w:rsid w:val="000324B7"/>
    <w:rsid w:val="00034C3A"/>
    <w:rsid w:val="00035317"/>
    <w:rsid w:val="000377F0"/>
    <w:rsid w:val="000427BE"/>
    <w:rsid w:val="000457BF"/>
    <w:rsid w:val="00052A77"/>
    <w:rsid w:val="000576FF"/>
    <w:rsid w:val="000767D6"/>
    <w:rsid w:val="000861D2"/>
    <w:rsid w:val="0009054F"/>
    <w:rsid w:val="0009097C"/>
    <w:rsid w:val="0009141A"/>
    <w:rsid w:val="00094129"/>
    <w:rsid w:val="0009546B"/>
    <w:rsid w:val="000B3BF0"/>
    <w:rsid w:val="000C7402"/>
    <w:rsid w:val="000D0603"/>
    <w:rsid w:val="000D19FF"/>
    <w:rsid w:val="000E395E"/>
    <w:rsid w:val="000E3C3F"/>
    <w:rsid w:val="000E6C30"/>
    <w:rsid w:val="000F2579"/>
    <w:rsid w:val="000F6455"/>
    <w:rsid w:val="00102D52"/>
    <w:rsid w:val="00105349"/>
    <w:rsid w:val="001055A9"/>
    <w:rsid w:val="00115417"/>
    <w:rsid w:val="0011558F"/>
    <w:rsid w:val="001213EF"/>
    <w:rsid w:val="001221B5"/>
    <w:rsid w:val="001262DC"/>
    <w:rsid w:val="0012732A"/>
    <w:rsid w:val="00133D8B"/>
    <w:rsid w:val="00133E99"/>
    <w:rsid w:val="00143F8F"/>
    <w:rsid w:val="0015006C"/>
    <w:rsid w:val="00151D75"/>
    <w:rsid w:val="00155905"/>
    <w:rsid w:val="001609DA"/>
    <w:rsid w:val="001616F0"/>
    <w:rsid w:val="0016184B"/>
    <w:rsid w:val="001630F5"/>
    <w:rsid w:val="0016524E"/>
    <w:rsid w:val="001654ED"/>
    <w:rsid w:val="0017654F"/>
    <w:rsid w:val="00177F13"/>
    <w:rsid w:val="00181612"/>
    <w:rsid w:val="0018639D"/>
    <w:rsid w:val="0018656C"/>
    <w:rsid w:val="00190459"/>
    <w:rsid w:val="001918E6"/>
    <w:rsid w:val="001925B2"/>
    <w:rsid w:val="00192673"/>
    <w:rsid w:val="001A7CEF"/>
    <w:rsid w:val="001B0E51"/>
    <w:rsid w:val="001B4017"/>
    <w:rsid w:val="001B6F31"/>
    <w:rsid w:val="001C2532"/>
    <w:rsid w:val="001C4849"/>
    <w:rsid w:val="001C5E73"/>
    <w:rsid w:val="001C6F1A"/>
    <w:rsid w:val="001D4C9B"/>
    <w:rsid w:val="001D6206"/>
    <w:rsid w:val="001E2C40"/>
    <w:rsid w:val="001E67A4"/>
    <w:rsid w:val="001E6A78"/>
    <w:rsid w:val="001F01EA"/>
    <w:rsid w:val="001F4012"/>
    <w:rsid w:val="001F6220"/>
    <w:rsid w:val="001F7A75"/>
    <w:rsid w:val="0020047D"/>
    <w:rsid w:val="00200EE8"/>
    <w:rsid w:val="00201963"/>
    <w:rsid w:val="00205F98"/>
    <w:rsid w:val="00206CF7"/>
    <w:rsid w:val="002105DA"/>
    <w:rsid w:val="00213C76"/>
    <w:rsid w:val="00215DE0"/>
    <w:rsid w:val="00220070"/>
    <w:rsid w:val="0022184E"/>
    <w:rsid w:val="002303BF"/>
    <w:rsid w:val="002318CC"/>
    <w:rsid w:val="00234223"/>
    <w:rsid w:val="00235C89"/>
    <w:rsid w:val="00241537"/>
    <w:rsid w:val="00243C96"/>
    <w:rsid w:val="00244FF2"/>
    <w:rsid w:val="00257063"/>
    <w:rsid w:val="00260379"/>
    <w:rsid w:val="00262220"/>
    <w:rsid w:val="00266C75"/>
    <w:rsid w:val="00270369"/>
    <w:rsid w:val="002721AB"/>
    <w:rsid w:val="00275D4E"/>
    <w:rsid w:val="00276303"/>
    <w:rsid w:val="00282BE5"/>
    <w:rsid w:val="002832E3"/>
    <w:rsid w:val="00286DF8"/>
    <w:rsid w:val="0028729B"/>
    <w:rsid w:val="00287E27"/>
    <w:rsid w:val="002973AB"/>
    <w:rsid w:val="00297B62"/>
    <w:rsid w:val="002B4104"/>
    <w:rsid w:val="002B6FD3"/>
    <w:rsid w:val="002C4739"/>
    <w:rsid w:val="002C4953"/>
    <w:rsid w:val="002C5AC5"/>
    <w:rsid w:val="002D48B1"/>
    <w:rsid w:val="002D5FD2"/>
    <w:rsid w:val="002E0FA7"/>
    <w:rsid w:val="002F289C"/>
    <w:rsid w:val="002F3450"/>
    <w:rsid w:val="002F416E"/>
    <w:rsid w:val="0030582B"/>
    <w:rsid w:val="003062CB"/>
    <w:rsid w:val="00317BD1"/>
    <w:rsid w:val="00317D0E"/>
    <w:rsid w:val="0032021B"/>
    <w:rsid w:val="00321BEF"/>
    <w:rsid w:val="00322DDB"/>
    <w:rsid w:val="00323C78"/>
    <w:rsid w:val="003249EA"/>
    <w:rsid w:val="00325FB2"/>
    <w:rsid w:val="0033148F"/>
    <w:rsid w:val="0033175F"/>
    <w:rsid w:val="00334692"/>
    <w:rsid w:val="00336043"/>
    <w:rsid w:val="0033624E"/>
    <w:rsid w:val="00355B71"/>
    <w:rsid w:val="00360424"/>
    <w:rsid w:val="00361D4E"/>
    <w:rsid w:val="00365428"/>
    <w:rsid w:val="0037228F"/>
    <w:rsid w:val="00373EC3"/>
    <w:rsid w:val="00374F87"/>
    <w:rsid w:val="00375668"/>
    <w:rsid w:val="0039059C"/>
    <w:rsid w:val="0039128A"/>
    <w:rsid w:val="00391C38"/>
    <w:rsid w:val="00392AD4"/>
    <w:rsid w:val="003944CD"/>
    <w:rsid w:val="00396FC8"/>
    <w:rsid w:val="003A27E5"/>
    <w:rsid w:val="003A5CBC"/>
    <w:rsid w:val="003B1F82"/>
    <w:rsid w:val="003B208B"/>
    <w:rsid w:val="003B2969"/>
    <w:rsid w:val="003B2A56"/>
    <w:rsid w:val="003B4B04"/>
    <w:rsid w:val="003B4FF5"/>
    <w:rsid w:val="003C2BE1"/>
    <w:rsid w:val="003C3A6F"/>
    <w:rsid w:val="003C4EEC"/>
    <w:rsid w:val="003D0F7D"/>
    <w:rsid w:val="003D2D5B"/>
    <w:rsid w:val="003D3E8E"/>
    <w:rsid w:val="003D506A"/>
    <w:rsid w:val="003E0F56"/>
    <w:rsid w:val="003E2B1F"/>
    <w:rsid w:val="003E74BC"/>
    <w:rsid w:val="003F0658"/>
    <w:rsid w:val="003F0DB7"/>
    <w:rsid w:val="003F3BFE"/>
    <w:rsid w:val="00402A9A"/>
    <w:rsid w:val="00405950"/>
    <w:rsid w:val="00413CB6"/>
    <w:rsid w:val="00422B7E"/>
    <w:rsid w:val="004233CB"/>
    <w:rsid w:val="00424EF0"/>
    <w:rsid w:val="00426F5C"/>
    <w:rsid w:val="00430E83"/>
    <w:rsid w:val="00437507"/>
    <w:rsid w:val="00440B40"/>
    <w:rsid w:val="004410E3"/>
    <w:rsid w:val="004452D2"/>
    <w:rsid w:val="00455070"/>
    <w:rsid w:val="00465698"/>
    <w:rsid w:val="00476451"/>
    <w:rsid w:val="00484E79"/>
    <w:rsid w:val="00485642"/>
    <w:rsid w:val="00487B26"/>
    <w:rsid w:val="00493F91"/>
    <w:rsid w:val="00495009"/>
    <w:rsid w:val="004A1221"/>
    <w:rsid w:val="004A158D"/>
    <w:rsid w:val="004A772F"/>
    <w:rsid w:val="004B4C24"/>
    <w:rsid w:val="004B5885"/>
    <w:rsid w:val="004B7FC2"/>
    <w:rsid w:val="004C0814"/>
    <w:rsid w:val="004C0DCE"/>
    <w:rsid w:val="004C4926"/>
    <w:rsid w:val="004C6285"/>
    <w:rsid w:val="004C7477"/>
    <w:rsid w:val="004D178C"/>
    <w:rsid w:val="004E2CF8"/>
    <w:rsid w:val="004E31A3"/>
    <w:rsid w:val="004E6F63"/>
    <w:rsid w:val="004F286E"/>
    <w:rsid w:val="00502428"/>
    <w:rsid w:val="00504C9D"/>
    <w:rsid w:val="00504FB9"/>
    <w:rsid w:val="0051150B"/>
    <w:rsid w:val="00512794"/>
    <w:rsid w:val="005134DF"/>
    <w:rsid w:val="00513B60"/>
    <w:rsid w:val="0052637C"/>
    <w:rsid w:val="00531964"/>
    <w:rsid w:val="00540975"/>
    <w:rsid w:val="005420E1"/>
    <w:rsid w:val="00542887"/>
    <w:rsid w:val="005440ED"/>
    <w:rsid w:val="00547253"/>
    <w:rsid w:val="00547E44"/>
    <w:rsid w:val="0055118D"/>
    <w:rsid w:val="00556B74"/>
    <w:rsid w:val="00565BFB"/>
    <w:rsid w:val="00580346"/>
    <w:rsid w:val="00580B35"/>
    <w:rsid w:val="005856A1"/>
    <w:rsid w:val="005865A8"/>
    <w:rsid w:val="0058665D"/>
    <w:rsid w:val="00595C20"/>
    <w:rsid w:val="005A023E"/>
    <w:rsid w:val="005A1883"/>
    <w:rsid w:val="005B3A1B"/>
    <w:rsid w:val="005B60B9"/>
    <w:rsid w:val="005C1F17"/>
    <w:rsid w:val="005C2874"/>
    <w:rsid w:val="005C3C28"/>
    <w:rsid w:val="005D2E52"/>
    <w:rsid w:val="005D52A1"/>
    <w:rsid w:val="005E4817"/>
    <w:rsid w:val="005F1591"/>
    <w:rsid w:val="005F3F55"/>
    <w:rsid w:val="005F6EC7"/>
    <w:rsid w:val="00601648"/>
    <w:rsid w:val="00602287"/>
    <w:rsid w:val="00603229"/>
    <w:rsid w:val="0060341E"/>
    <w:rsid w:val="00606323"/>
    <w:rsid w:val="00610609"/>
    <w:rsid w:val="006132E9"/>
    <w:rsid w:val="00615641"/>
    <w:rsid w:val="006156C1"/>
    <w:rsid w:val="0062054F"/>
    <w:rsid w:val="00621005"/>
    <w:rsid w:val="0062170D"/>
    <w:rsid w:val="00622C7C"/>
    <w:rsid w:val="00643DF6"/>
    <w:rsid w:val="00645C85"/>
    <w:rsid w:val="00645F03"/>
    <w:rsid w:val="00647464"/>
    <w:rsid w:val="006502F3"/>
    <w:rsid w:val="0065444D"/>
    <w:rsid w:val="00654CC4"/>
    <w:rsid w:val="00661B8A"/>
    <w:rsid w:val="00670EC1"/>
    <w:rsid w:val="00671109"/>
    <w:rsid w:val="00683ADB"/>
    <w:rsid w:val="00685063"/>
    <w:rsid w:val="00687BF8"/>
    <w:rsid w:val="00692619"/>
    <w:rsid w:val="006956E3"/>
    <w:rsid w:val="00696301"/>
    <w:rsid w:val="006966E6"/>
    <w:rsid w:val="00696C68"/>
    <w:rsid w:val="00696DB1"/>
    <w:rsid w:val="006A1DE2"/>
    <w:rsid w:val="006A458D"/>
    <w:rsid w:val="006A5063"/>
    <w:rsid w:val="006A6F67"/>
    <w:rsid w:val="006B4A21"/>
    <w:rsid w:val="006C0612"/>
    <w:rsid w:val="006D0A45"/>
    <w:rsid w:val="006D596A"/>
    <w:rsid w:val="006D7176"/>
    <w:rsid w:val="006F0F76"/>
    <w:rsid w:val="006F63FA"/>
    <w:rsid w:val="00700761"/>
    <w:rsid w:val="007044C3"/>
    <w:rsid w:val="00706A33"/>
    <w:rsid w:val="00710028"/>
    <w:rsid w:val="00712AB3"/>
    <w:rsid w:val="00723976"/>
    <w:rsid w:val="00723FC4"/>
    <w:rsid w:val="00724BFA"/>
    <w:rsid w:val="00730735"/>
    <w:rsid w:val="00731380"/>
    <w:rsid w:val="00732E71"/>
    <w:rsid w:val="00733A84"/>
    <w:rsid w:val="00735264"/>
    <w:rsid w:val="0074554F"/>
    <w:rsid w:val="00747134"/>
    <w:rsid w:val="007503F6"/>
    <w:rsid w:val="00752153"/>
    <w:rsid w:val="007532F9"/>
    <w:rsid w:val="007567F5"/>
    <w:rsid w:val="00757962"/>
    <w:rsid w:val="00766A7F"/>
    <w:rsid w:val="007775EE"/>
    <w:rsid w:val="00777AC2"/>
    <w:rsid w:val="00784E7A"/>
    <w:rsid w:val="00786F37"/>
    <w:rsid w:val="0078742B"/>
    <w:rsid w:val="00791153"/>
    <w:rsid w:val="0079412A"/>
    <w:rsid w:val="007950C0"/>
    <w:rsid w:val="007A14CC"/>
    <w:rsid w:val="007A4CDC"/>
    <w:rsid w:val="007B3C7A"/>
    <w:rsid w:val="007B47D4"/>
    <w:rsid w:val="007C35C0"/>
    <w:rsid w:val="007C6444"/>
    <w:rsid w:val="007C7B43"/>
    <w:rsid w:val="007C7C5E"/>
    <w:rsid w:val="007D21A1"/>
    <w:rsid w:val="007D4080"/>
    <w:rsid w:val="007E041E"/>
    <w:rsid w:val="007E046E"/>
    <w:rsid w:val="007F12A3"/>
    <w:rsid w:val="007F1D42"/>
    <w:rsid w:val="007F47D7"/>
    <w:rsid w:val="007F6884"/>
    <w:rsid w:val="007F7C0F"/>
    <w:rsid w:val="008013CB"/>
    <w:rsid w:val="0080515E"/>
    <w:rsid w:val="00817CE6"/>
    <w:rsid w:val="00821164"/>
    <w:rsid w:val="00821805"/>
    <w:rsid w:val="00823261"/>
    <w:rsid w:val="00825F8A"/>
    <w:rsid w:val="00827AAD"/>
    <w:rsid w:val="00832BD3"/>
    <w:rsid w:val="00835A5A"/>
    <w:rsid w:val="00835B67"/>
    <w:rsid w:val="00837157"/>
    <w:rsid w:val="00851687"/>
    <w:rsid w:val="00852D13"/>
    <w:rsid w:val="00854C40"/>
    <w:rsid w:val="008550A0"/>
    <w:rsid w:val="008577C4"/>
    <w:rsid w:val="0086000B"/>
    <w:rsid w:val="0086128E"/>
    <w:rsid w:val="008625EB"/>
    <w:rsid w:val="00864B5B"/>
    <w:rsid w:val="00865C26"/>
    <w:rsid w:val="00872864"/>
    <w:rsid w:val="008773C9"/>
    <w:rsid w:val="00877FE3"/>
    <w:rsid w:val="00882E9C"/>
    <w:rsid w:val="0088330C"/>
    <w:rsid w:val="00883624"/>
    <w:rsid w:val="008925DA"/>
    <w:rsid w:val="008A22AD"/>
    <w:rsid w:val="008A2414"/>
    <w:rsid w:val="008A62BC"/>
    <w:rsid w:val="008C23F4"/>
    <w:rsid w:val="008C5A13"/>
    <w:rsid w:val="008C629D"/>
    <w:rsid w:val="008C66BE"/>
    <w:rsid w:val="008D3DAA"/>
    <w:rsid w:val="008D4282"/>
    <w:rsid w:val="008D5ED1"/>
    <w:rsid w:val="008E3483"/>
    <w:rsid w:val="009012BA"/>
    <w:rsid w:val="009060E4"/>
    <w:rsid w:val="009109B9"/>
    <w:rsid w:val="009140DF"/>
    <w:rsid w:val="009151D8"/>
    <w:rsid w:val="00923212"/>
    <w:rsid w:val="00923E49"/>
    <w:rsid w:val="0092719A"/>
    <w:rsid w:val="00930185"/>
    <w:rsid w:val="00934C56"/>
    <w:rsid w:val="0093639C"/>
    <w:rsid w:val="00937076"/>
    <w:rsid w:val="00942255"/>
    <w:rsid w:val="009505A2"/>
    <w:rsid w:val="0095175A"/>
    <w:rsid w:val="00955306"/>
    <w:rsid w:val="00960CDC"/>
    <w:rsid w:val="009637F2"/>
    <w:rsid w:val="0096547C"/>
    <w:rsid w:val="00981F60"/>
    <w:rsid w:val="00983D3F"/>
    <w:rsid w:val="00984189"/>
    <w:rsid w:val="00985BC7"/>
    <w:rsid w:val="00990224"/>
    <w:rsid w:val="0099105C"/>
    <w:rsid w:val="00994BBC"/>
    <w:rsid w:val="00995E8C"/>
    <w:rsid w:val="009960C3"/>
    <w:rsid w:val="009B000C"/>
    <w:rsid w:val="009B1648"/>
    <w:rsid w:val="009B683B"/>
    <w:rsid w:val="009B7814"/>
    <w:rsid w:val="009B7CAA"/>
    <w:rsid w:val="009B7D6A"/>
    <w:rsid w:val="009C0011"/>
    <w:rsid w:val="009C32BA"/>
    <w:rsid w:val="009C5F51"/>
    <w:rsid w:val="009D09F3"/>
    <w:rsid w:val="009D33C4"/>
    <w:rsid w:val="009D4F79"/>
    <w:rsid w:val="009D71B9"/>
    <w:rsid w:val="009E0DF2"/>
    <w:rsid w:val="009E57AC"/>
    <w:rsid w:val="009F4416"/>
    <w:rsid w:val="009F47B9"/>
    <w:rsid w:val="009F5952"/>
    <w:rsid w:val="009F6394"/>
    <w:rsid w:val="00A03E73"/>
    <w:rsid w:val="00A10960"/>
    <w:rsid w:val="00A112D1"/>
    <w:rsid w:val="00A11ACB"/>
    <w:rsid w:val="00A1383A"/>
    <w:rsid w:val="00A15C4A"/>
    <w:rsid w:val="00A17680"/>
    <w:rsid w:val="00A20A17"/>
    <w:rsid w:val="00A23360"/>
    <w:rsid w:val="00A24C9B"/>
    <w:rsid w:val="00A313D5"/>
    <w:rsid w:val="00A31E2F"/>
    <w:rsid w:val="00A33E93"/>
    <w:rsid w:val="00A34BD3"/>
    <w:rsid w:val="00A45528"/>
    <w:rsid w:val="00A46BF5"/>
    <w:rsid w:val="00A46F4B"/>
    <w:rsid w:val="00A549ED"/>
    <w:rsid w:val="00A569E2"/>
    <w:rsid w:val="00A72451"/>
    <w:rsid w:val="00A77860"/>
    <w:rsid w:val="00A819D4"/>
    <w:rsid w:val="00A82362"/>
    <w:rsid w:val="00A83D4C"/>
    <w:rsid w:val="00A86E44"/>
    <w:rsid w:val="00A86FD2"/>
    <w:rsid w:val="00A93A74"/>
    <w:rsid w:val="00A95D55"/>
    <w:rsid w:val="00AA2296"/>
    <w:rsid w:val="00AA30A8"/>
    <w:rsid w:val="00AA71D6"/>
    <w:rsid w:val="00AB03C4"/>
    <w:rsid w:val="00AB0A96"/>
    <w:rsid w:val="00AB7826"/>
    <w:rsid w:val="00AC01FF"/>
    <w:rsid w:val="00AC570A"/>
    <w:rsid w:val="00AD00A8"/>
    <w:rsid w:val="00AD3AD0"/>
    <w:rsid w:val="00AD4063"/>
    <w:rsid w:val="00AE1D79"/>
    <w:rsid w:val="00AE25DB"/>
    <w:rsid w:val="00AE455F"/>
    <w:rsid w:val="00AE503E"/>
    <w:rsid w:val="00AF0F0E"/>
    <w:rsid w:val="00AF3808"/>
    <w:rsid w:val="00AF5337"/>
    <w:rsid w:val="00B006E6"/>
    <w:rsid w:val="00B00C35"/>
    <w:rsid w:val="00B00FF5"/>
    <w:rsid w:val="00B060FC"/>
    <w:rsid w:val="00B1057B"/>
    <w:rsid w:val="00B12805"/>
    <w:rsid w:val="00B149C6"/>
    <w:rsid w:val="00B1606F"/>
    <w:rsid w:val="00B16BE7"/>
    <w:rsid w:val="00B20AC2"/>
    <w:rsid w:val="00B22DA5"/>
    <w:rsid w:val="00B30021"/>
    <w:rsid w:val="00B33308"/>
    <w:rsid w:val="00B33E9F"/>
    <w:rsid w:val="00B368D5"/>
    <w:rsid w:val="00B37204"/>
    <w:rsid w:val="00B40A4B"/>
    <w:rsid w:val="00B41071"/>
    <w:rsid w:val="00B4739F"/>
    <w:rsid w:val="00B51311"/>
    <w:rsid w:val="00B633C5"/>
    <w:rsid w:val="00B6434F"/>
    <w:rsid w:val="00B65DA0"/>
    <w:rsid w:val="00B70395"/>
    <w:rsid w:val="00B7306D"/>
    <w:rsid w:val="00B77408"/>
    <w:rsid w:val="00B81231"/>
    <w:rsid w:val="00B87A9B"/>
    <w:rsid w:val="00B94B8B"/>
    <w:rsid w:val="00B970D1"/>
    <w:rsid w:val="00BA0568"/>
    <w:rsid w:val="00BA7BCD"/>
    <w:rsid w:val="00BB4BAD"/>
    <w:rsid w:val="00BB5E41"/>
    <w:rsid w:val="00BB62F3"/>
    <w:rsid w:val="00BC1527"/>
    <w:rsid w:val="00BD5FC6"/>
    <w:rsid w:val="00BD63CC"/>
    <w:rsid w:val="00BE0593"/>
    <w:rsid w:val="00BE09FF"/>
    <w:rsid w:val="00BE4593"/>
    <w:rsid w:val="00BF6398"/>
    <w:rsid w:val="00BF6C56"/>
    <w:rsid w:val="00C06131"/>
    <w:rsid w:val="00C11B4C"/>
    <w:rsid w:val="00C11F69"/>
    <w:rsid w:val="00C25DF2"/>
    <w:rsid w:val="00C41346"/>
    <w:rsid w:val="00C41A0C"/>
    <w:rsid w:val="00C45920"/>
    <w:rsid w:val="00C51F91"/>
    <w:rsid w:val="00C53202"/>
    <w:rsid w:val="00C55329"/>
    <w:rsid w:val="00C627A8"/>
    <w:rsid w:val="00C64DAD"/>
    <w:rsid w:val="00C71266"/>
    <w:rsid w:val="00C7572B"/>
    <w:rsid w:val="00C80CC7"/>
    <w:rsid w:val="00C82BE2"/>
    <w:rsid w:val="00C8344D"/>
    <w:rsid w:val="00C83FA9"/>
    <w:rsid w:val="00C92DE2"/>
    <w:rsid w:val="00C93A35"/>
    <w:rsid w:val="00C94A4A"/>
    <w:rsid w:val="00C97E20"/>
    <w:rsid w:val="00CA2445"/>
    <w:rsid w:val="00CA66DC"/>
    <w:rsid w:val="00CA7588"/>
    <w:rsid w:val="00CB7D05"/>
    <w:rsid w:val="00CD192B"/>
    <w:rsid w:val="00CD203C"/>
    <w:rsid w:val="00CE1D7F"/>
    <w:rsid w:val="00CF1740"/>
    <w:rsid w:val="00D003A5"/>
    <w:rsid w:val="00D00C2F"/>
    <w:rsid w:val="00D030D2"/>
    <w:rsid w:val="00D03BC1"/>
    <w:rsid w:val="00D0483F"/>
    <w:rsid w:val="00D05CB9"/>
    <w:rsid w:val="00D16916"/>
    <w:rsid w:val="00D23AC0"/>
    <w:rsid w:val="00D23C17"/>
    <w:rsid w:val="00D27615"/>
    <w:rsid w:val="00D32311"/>
    <w:rsid w:val="00D36031"/>
    <w:rsid w:val="00D37E55"/>
    <w:rsid w:val="00D4546A"/>
    <w:rsid w:val="00D4627E"/>
    <w:rsid w:val="00D537D5"/>
    <w:rsid w:val="00D53F09"/>
    <w:rsid w:val="00D55D54"/>
    <w:rsid w:val="00D56FC5"/>
    <w:rsid w:val="00D574D1"/>
    <w:rsid w:val="00D6007D"/>
    <w:rsid w:val="00D61DF6"/>
    <w:rsid w:val="00D63F45"/>
    <w:rsid w:val="00D66F58"/>
    <w:rsid w:val="00D77C75"/>
    <w:rsid w:val="00D77D09"/>
    <w:rsid w:val="00D84C76"/>
    <w:rsid w:val="00D87E90"/>
    <w:rsid w:val="00D90F34"/>
    <w:rsid w:val="00D9229A"/>
    <w:rsid w:val="00D92AD4"/>
    <w:rsid w:val="00D93FBE"/>
    <w:rsid w:val="00D974A7"/>
    <w:rsid w:val="00DA50A4"/>
    <w:rsid w:val="00DB140F"/>
    <w:rsid w:val="00DB220B"/>
    <w:rsid w:val="00DB42E0"/>
    <w:rsid w:val="00DB6645"/>
    <w:rsid w:val="00DC3A80"/>
    <w:rsid w:val="00DD3ADA"/>
    <w:rsid w:val="00DD6CE6"/>
    <w:rsid w:val="00DD711B"/>
    <w:rsid w:val="00DE11C4"/>
    <w:rsid w:val="00DE5644"/>
    <w:rsid w:val="00DF4B27"/>
    <w:rsid w:val="00E00AF8"/>
    <w:rsid w:val="00E04929"/>
    <w:rsid w:val="00E079F6"/>
    <w:rsid w:val="00E07C49"/>
    <w:rsid w:val="00E14B0F"/>
    <w:rsid w:val="00E2038B"/>
    <w:rsid w:val="00E22626"/>
    <w:rsid w:val="00E5044D"/>
    <w:rsid w:val="00E53837"/>
    <w:rsid w:val="00E5555B"/>
    <w:rsid w:val="00E62708"/>
    <w:rsid w:val="00E67C5A"/>
    <w:rsid w:val="00E72654"/>
    <w:rsid w:val="00E7419C"/>
    <w:rsid w:val="00E80057"/>
    <w:rsid w:val="00E8075F"/>
    <w:rsid w:val="00E80DFF"/>
    <w:rsid w:val="00E8253A"/>
    <w:rsid w:val="00E857D4"/>
    <w:rsid w:val="00E86E50"/>
    <w:rsid w:val="00E86EA2"/>
    <w:rsid w:val="00E907A4"/>
    <w:rsid w:val="00EA7961"/>
    <w:rsid w:val="00EB08CC"/>
    <w:rsid w:val="00EC6858"/>
    <w:rsid w:val="00EC71C9"/>
    <w:rsid w:val="00ED3635"/>
    <w:rsid w:val="00ED43C4"/>
    <w:rsid w:val="00EE2646"/>
    <w:rsid w:val="00EE28E8"/>
    <w:rsid w:val="00EE35FD"/>
    <w:rsid w:val="00EE6575"/>
    <w:rsid w:val="00EF2D0B"/>
    <w:rsid w:val="00EF3C4C"/>
    <w:rsid w:val="00EF4E85"/>
    <w:rsid w:val="00F01ED4"/>
    <w:rsid w:val="00F03205"/>
    <w:rsid w:val="00F0752C"/>
    <w:rsid w:val="00F11DFF"/>
    <w:rsid w:val="00F13648"/>
    <w:rsid w:val="00F14268"/>
    <w:rsid w:val="00F1603A"/>
    <w:rsid w:val="00F21317"/>
    <w:rsid w:val="00F24DE1"/>
    <w:rsid w:val="00F33922"/>
    <w:rsid w:val="00F35C14"/>
    <w:rsid w:val="00F37729"/>
    <w:rsid w:val="00F50235"/>
    <w:rsid w:val="00F50962"/>
    <w:rsid w:val="00F5279A"/>
    <w:rsid w:val="00F52A08"/>
    <w:rsid w:val="00F55D50"/>
    <w:rsid w:val="00F55FCB"/>
    <w:rsid w:val="00F562B7"/>
    <w:rsid w:val="00F6145E"/>
    <w:rsid w:val="00F64553"/>
    <w:rsid w:val="00F649EC"/>
    <w:rsid w:val="00F77178"/>
    <w:rsid w:val="00F81F52"/>
    <w:rsid w:val="00F86D70"/>
    <w:rsid w:val="00F9546C"/>
    <w:rsid w:val="00F95A67"/>
    <w:rsid w:val="00F960A7"/>
    <w:rsid w:val="00F96966"/>
    <w:rsid w:val="00FA3CC0"/>
    <w:rsid w:val="00FB1D9B"/>
    <w:rsid w:val="00FB4422"/>
    <w:rsid w:val="00FB6954"/>
    <w:rsid w:val="00FB7E6D"/>
    <w:rsid w:val="00FC6C1C"/>
    <w:rsid w:val="00FD26B5"/>
    <w:rsid w:val="00FD36AD"/>
    <w:rsid w:val="00FD4EAA"/>
    <w:rsid w:val="00FE4F81"/>
    <w:rsid w:val="00FE7800"/>
    <w:rsid w:val="00FE782F"/>
    <w:rsid w:val="00FF05DA"/>
    <w:rsid w:val="00FF0C77"/>
    <w:rsid w:val="00FF4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paragraph" w:customStyle="1" w:styleId="CharCharChar1Char">
    <w:name w:val="Char Char Char1 Char"/>
    <w:basedOn w:val="Normal"/>
    <w:rsid w:val="005420E1"/>
    <w:rPr>
      <w:rFonts w:ascii="Arial" w:hAnsi="Arial" w:cs="Arial"/>
      <w:sz w:val="22"/>
      <w:szCs w:val="22"/>
      <w:lang w:eastAsia="en-US"/>
    </w:rPr>
  </w:style>
  <w:style w:type="paragraph" w:customStyle="1" w:styleId="Default">
    <w:name w:val="Default"/>
    <w:rsid w:val="0024153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basedOn w:val="Normal"/>
    <w:next w:val="Normal"/>
    <w:link w:val="CaptionChar"/>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link w:val="Caption"/>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paragraph" w:customStyle="1" w:styleId="CharCharChar1Char">
    <w:name w:val="Char Char Char1 Char"/>
    <w:basedOn w:val="Normal"/>
    <w:rsid w:val="005420E1"/>
    <w:rPr>
      <w:rFonts w:ascii="Arial" w:hAnsi="Arial" w:cs="Arial"/>
      <w:sz w:val="22"/>
      <w:szCs w:val="22"/>
      <w:lang w:eastAsia="en-US"/>
    </w:rPr>
  </w:style>
  <w:style w:type="paragraph" w:customStyle="1" w:styleId="Default">
    <w:name w:val="Default"/>
    <w:rsid w:val="0024153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29D7-2D29-46B5-8237-D9FA3587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9832</CharactersWithSpaces>
  <SharedDoc>false</SharedDoc>
  <HLinks>
    <vt:vector size="6" baseType="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Orr Audrey</cp:lastModifiedBy>
  <cp:revision>3</cp:revision>
  <cp:lastPrinted>2013-02-15T08:15:00Z</cp:lastPrinted>
  <dcterms:created xsi:type="dcterms:W3CDTF">2013-02-18T04:09:00Z</dcterms:created>
  <dcterms:modified xsi:type="dcterms:W3CDTF">2013-02-18T04:29:00Z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