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DD2" w:rsidRPr="009108FA" w:rsidRDefault="00C67DD2" w:rsidP="009108FA">
      <w:pPr>
        <w:jc w:val="center"/>
        <w:rPr>
          <w:b/>
          <w:i/>
          <w:szCs w:val="24"/>
          <w:highlight w:val="yellow"/>
        </w:rPr>
      </w:pPr>
      <w:r>
        <w:rPr>
          <w:rFonts w:ascii="Arial" w:hAnsi="Arial" w:cs="Arial"/>
          <w:b/>
          <w:noProof/>
          <w:color w:val="000080"/>
          <w:sz w:val="28"/>
          <w:szCs w:val="28"/>
        </w:rPr>
        <w:drawing>
          <wp:inline distT="0" distB="0" distL="0" distR="0" wp14:anchorId="5DEDC1B8" wp14:editId="052D9CA5">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9108FA" w:rsidRDefault="00BF479B" w:rsidP="0067636A">
      <w:pPr>
        <w:pStyle w:val="Title"/>
        <w:spacing w:before="240"/>
      </w:pPr>
      <w:r w:rsidRPr="009108FA">
        <w:t>Public Summary Document</w:t>
      </w:r>
    </w:p>
    <w:p w:rsidR="00BC1364" w:rsidRPr="009108FA" w:rsidRDefault="00BC1364" w:rsidP="0067636A">
      <w:pPr>
        <w:pStyle w:val="Subtitle"/>
        <w:spacing w:after="480"/>
      </w:pPr>
      <w:r w:rsidRPr="009108FA">
        <w:t xml:space="preserve">Application No. </w:t>
      </w:r>
      <w:r w:rsidR="00B30C6F" w:rsidRPr="009108FA">
        <w:t>1</w:t>
      </w:r>
      <w:r w:rsidR="00B07878" w:rsidRPr="009108FA">
        <w:t>411.1</w:t>
      </w:r>
      <w:r w:rsidRPr="009108FA">
        <w:t xml:space="preserve"> – </w:t>
      </w:r>
      <w:r w:rsidR="00B07878" w:rsidRPr="009108FA">
        <w:t>Genetic testing for hereditary mutations predisposing to breast and/or ovarian cancer</w:t>
      </w:r>
    </w:p>
    <w:p w:rsidR="00BC1364" w:rsidRPr="009108FA" w:rsidRDefault="00B35595" w:rsidP="009108FA">
      <w:pPr>
        <w:ind w:left="3600" w:hanging="3600"/>
        <w:rPr>
          <w:rFonts w:ascii="Arial" w:hAnsi="Arial" w:cs="Arial"/>
          <w:b/>
          <w:szCs w:val="24"/>
        </w:rPr>
      </w:pPr>
      <w:r>
        <w:rPr>
          <w:rFonts w:ascii="Arial" w:hAnsi="Arial" w:cs="Arial"/>
          <w:b/>
          <w:szCs w:val="24"/>
        </w:rPr>
        <w:t>Applicant</w:t>
      </w:r>
      <w:r w:rsidR="00BC1364" w:rsidRPr="00D90A38">
        <w:rPr>
          <w:rFonts w:ascii="Arial" w:hAnsi="Arial" w:cs="Arial"/>
          <w:b/>
          <w:szCs w:val="24"/>
        </w:rPr>
        <w:t>:</w:t>
      </w:r>
      <w:r w:rsidR="00BC1364" w:rsidRPr="00D90A38">
        <w:rPr>
          <w:rFonts w:ascii="Arial" w:hAnsi="Arial" w:cs="Arial"/>
          <w:b/>
          <w:szCs w:val="24"/>
        </w:rPr>
        <w:tab/>
      </w:r>
      <w:r w:rsidR="00B07878" w:rsidRPr="00B07878">
        <w:rPr>
          <w:rFonts w:ascii="Arial" w:hAnsi="Arial" w:cs="Arial"/>
          <w:b/>
          <w:szCs w:val="24"/>
        </w:rPr>
        <w:t>Royal College of Pathologist of Australasia</w:t>
      </w:r>
      <w:r w:rsidR="00FC68CA">
        <w:rPr>
          <w:rFonts w:ascii="Arial" w:hAnsi="Arial" w:cs="Arial"/>
          <w:b/>
          <w:szCs w:val="24"/>
        </w:rPr>
        <w:t xml:space="preserve"> (RCPA)</w:t>
      </w:r>
    </w:p>
    <w:p w:rsidR="00BC1364" w:rsidRPr="009108FA" w:rsidRDefault="00BC1364" w:rsidP="00065623">
      <w:pPr>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C67DD2" w:rsidRPr="00D90A38">
        <w:rPr>
          <w:rFonts w:ascii="Arial" w:hAnsi="Arial" w:cs="Arial"/>
          <w:b/>
          <w:szCs w:val="24"/>
        </w:rPr>
        <w:t xml:space="preserve">MSAC </w:t>
      </w:r>
      <w:r w:rsidR="00B35595">
        <w:rPr>
          <w:rFonts w:ascii="Arial" w:hAnsi="Arial" w:cs="Arial"/>
          <w:b/>
          <w:szCs w:val="24"/>
        </w:rPr>
        <w:t>6</w:t>
      </w:r>
      <w:r w:rsidR="000661A0">
        <w:rPr>
          <w:rFonts w:ascii="Arial" w:hAnsi="Arial" w:cs="Arial"/>
          <w:b/>
          <w:szCs w:val="24"/>
        </w:rPr>
        <w:t>6</w:t>
      </w:r>
      <w:r w:rsidR="000661A0" w:rsidRPr="000661A0">
        <w:rPr>
          <w:rFonts w:ascii="Arial" w:hAnsi="Arial" w:cs="Arial"/>
          <w:b/>
          <w:szCs w:val="24"/>
          <w:vertAlign w:val="superscript"/>
        </w:rPr>
        <w:t>th</w:t>
      </w:r>
      <w:r w:rsidR="000661A0">
        <w:rPr>
          <w:rFonts w:ascii="Arial" w:hAnsi="Arial" w:cs="Arial"/>
          <w:b/>
          <w:szCs w:val="24"/>
        </w:rPr>
        <w:t xml:space="preserve"> </w:t>
      </w:r>
      <w:r w:rsidRPr="00D90A38">
        <w:rPr>
          <w:rFonts w:ascii="Arial" w:hAnsi="Arial" w:cs="Arial"/>
          <w:b/>
          <w:szCs w:val="24"/>
        </w:rPr>
        <w:t xml:space="preserve">Meeting, </w:t>
      </w:r>
      <w:r w:rsidR="005F1B0E">
        <w:rPr>
          <w:rFonts w:ascii="Arial" w:hAnsi="Arial" w:cs="Arial"/>
          <w:b/>
          <w:szCs w:val="24"/>
        </w:rPr>
        <w:t>30-</w:t>
      </w:r>
      <w:r w:rsidR="000661A0">
        <w:rPr>
          <w:rFonts w:ascii="Arial" w:hAnsi="Arial" w:cs="Arial"/>
          <w:b/>
          <w:szCs w:val="24"/>
        </w:rPr>
        <w:t>31 March and 2016</w:t>
      </w:r>
    </w:p>
    <w:p w:rsidR="00F41812" w:rsidRDefault="006A0D97" w:rsidP="0067636A">
      <w:pPr>
        <w:rPr>
          <w:szCs w:val="24"/>
        </w:rPr>
      </w:pPr>
      <w:r>
        <w:rPr>
          <w:szCs w:val="24"/>
        </w:rPr>
        <w:t xml:space="preserve">Context for decision: MSAC makes its advice in accordance with its Terms of Reference, see </w:t>
      </w:r>
      <w:r w:rsidR="00801E29">
        <w:rPr>
          <w:szCs w:val="24"/>
        </w:rPr>
        <w:t xml:space="preserve">the </w:t>
      </w:r>
      <w:hyperlink r:id="rId10" w:tooltip="Medical Services Advisory Committee website link" w:history="1">
        <w:r w:rsidR="00801E29">
          <w:rPr>
            <w:rStyle w:val="Hyperlink"/>
            <w:szCs w:val="24"/>
          </w:rPr>
          <w:t>MSAC Website</w:t>
        </w:r>
      </w:hyperlink>
    </w:p>
    <w:p w:rsidR="003D7F29" w:rsidRPr="009108FA" w:rsidRDefault="003D7F29" w:rsidP="009108FA">
      <w:pPr>
        <w:pStyle w:val="Heading1"/>
        <w:numPr>
          <w:ilvl w:val="0"/>
          <w:numId w:val="23"/>
        </w:numPr>
        <w:ind w:hanging="720"/>
      </w:pPr>
      <w:r w:rsidRPr="00D90A38">
        <w:t>Purpose of application</w:t>
      </w:r>
      <w:r w:rsidR="00822C7E">
        <w:t xml:space="preserve"> and links to other applications</w:t>
      </w:r>
    </w:p>
    <w:p w:rsidR="00FC68CA" w:rsidRPr="009108FA" w:rsidRDefault="00FC68CA" w:rsidP="003D7F29">
      <w:pPr>
        <w:rPr>
          <w:lang w:val="en-US"/>
        </w:rPr>
      </w:pPr>
      <w:r>
        <w:rPr>
          <w:lang w:val="en-US"/>
        </w:rPr>
        <w:t xml:space="preserve">The application was a </w:t>
      </w:r>
      <w:r w:rsidRPr="00280559">
        <w:rPr>
          <w:bCs/>
          <w:lang w:val="en-US"/>
        </w:rPr>
        <w:t>pilot</w:t>
      </w:r>
      <w:r w:rsidRPr="00280559">
        <w:rPr>
          <w:lang w:val="en-US"/>
        </w:rPr>
        <w:t xml:space="preserve"> fit-for-purpose assessment</w:t>
      </w:r>
      <w:r>
        <w:rPr>
          <w:lang w:val="en-US"/>
        </w:rPr>
        <w:t xml:space="preserve"> </w:t>
      </w:r>
      <w:r w:rsidRPr="00280559">
        <w:rPr>
          <w:lang w:val="en-US"/>
        </w:rPr>
        <w:t xml:space="preserve">of </w:t>
      </w:r>
      <w:r w:rsidRPr="008A643B">
        <w:rPr>
          <w:b/>
          <w:lang w:val="en-US"/>
        </w:rPr>
        <w:t>diagnostic genetic testing</w:t>
      </w:r>
      <w:r w:rsidRPr="00280559">
        <w:rPr>
          <w:lang w:val="en-US"/>
        </w:rPr>
        <w:t xml:space="preserve"> </w:t>
      </w:r>
      <w:r>
        <w:rPr>
          <w:lang w:val="en-US"/>
        </w:rPr>
        <w:t xml:space="preserve">for </w:t>
      </w:r>
      <w:r w:rsidRPr="00280559">
        <w:rPr>
          <w:lang w:val="en-US"/>
        </w:rPr>
        <w:t>heritable mutations</w:t>
      </w:r>
      <w:r>
        <w:rPr>
          <w:lang w:val="en-US"/>
        </w:rPr>
        <w:t xml:space="preserve"> predisposing to breast or ovarian cancer in clinically affected individuals to estimate their relative risk of a new primary cancer, and of </w:t>
      </w:r>
      <w:r w:rsidRPr="008A643B">
        <w:rPr>
          <w:b/>
          <w:lang w:val="en-US"/>
        </w:rPr>
        <w:t xml:space="preserve">predictive </w:t>
      </w:r>
      <w:r>
        <w:rPr>
          <w:b/>
          <w:lang w:val="en-US"/>
        </w:rPr>
        <w:t xml:space="preserve">genetic </w:t>
      </w:r>
      <w:r w:rsidRPr="008A643B">
        <w:rPr>
          <w:b/>
          <w:lang w:val="en-US"/>
        </w:rPr>
        <w:t>testing</w:t>
      </w:r>
      <w:r>
        <w:rPr>
          <w:lang w:val="en-US"/>
        </w:rPr>
        <w:t xml:space="preserve"> (or “cascade testing”) of the family members of those affected individuals who are shown to have such a mutation.</w:t>
      </w:r>
    </w:p>
    <w:p w:rsidR="00E977EE" w:rsidRPr="009108FA" w:rsidRDefault="00E977EE" w:rsidP="009108FA">
      <w:pPr>
        <w:pStyle w:val="Heading1"/>
        <w:numPr>
          <w:ilvl w:val="0"/>
          <w:numId w:val="23"/>
        </w:numPr>
        <w:ind w:hanging="720"/>
      </w:pPr>
      <w:r w:rsidRPr="008D5885">
        <w:t>MSAC’s advice to the Minister</w:t>
      </w:r>
    </w:p>
    <w:p w:rsidR="00D1277F" w:rsidRPr="00D1277F" w:rsidRDefault="00E977EE" w:rsidP="00D1277F">
      <w:pPr>
        <w:rPr>
          <w:szCs w:val="24"/>
        </w:rPr>
      </w:pPr>
      <w:r w:rsidRPr="00D1277F">
        <w:t>After considering the strength of the available evidence in relation to the safety, clinical effectiveness and cost-effectiveness</w:t>
      </w:r>
      <w:r w:rsidR="005D4CEB">
        <w:t>,</w:t>
      </w:r>
      <w:r w:rsidRPr="00D1277F">
        <w:t xml:space="preserve"> </w:t>
      </w:r>
      <w:r w:rsidR="00D1277F" w:rsidRPr="00D1277F">
        <w:rPr>
          <w:szCs w:val="24"/>
        </w:rPr>
        <w:t>MSAC supported MBS listing of testing of the defined set of breast cancer/ovarian cancer group of genes in affected individuals and for the specific gene mutation identified in their family members.</w:t>
      </w:r>
    </w:p>
    <w:p w:rsidR="00D1277F" w:rsidRPr="00D1277F" w:rsidRDefault="00D1277F" w:rsidP="00D1277F">
      <w:pPr>
        <w:rPr>
          <w:szCs w:val="24"/>
        </w:rPr>
      </w:pPr>
      <w:r w:rsidRPr="00D1277F">
        <w:rPr>
          <w:szCs w:val="24"/>
        </w:rPr>
        <w:t>MSAC advised that further consideration be given to how to take account of marginal costs for subsequent applications for additional tests – given t</w:t>
      </w:r>
      <w:r w:rsidR="005D4CEB">
        <w:rPr>
          <w:szCs w:val="24"/>
        </w:rPr>
        <w:t>he availability of panel tests.</w:t>
      </w:r>
    </w:p>
    <w:p w:rsidR="00E977EE" w:rsidRPr="009108FA" w:rsidRDefault="00D1277F" w:rsidP="009108FA">
      <w:pPr>
        <w:rPr>
          <w:szCs w:val="24"/>
        </w:rPr>
      </w:pPr>
      <w:r w:rsidRPr="00D1277F">
        <w:rPr>
          <w:szCs w:val="24"/>
        </w:rPr>
        <w:t xml:space="preserve">MSAC endorsed the CUC </w:t>
      </w:r>
      <w:proofErr w:type="spellStart"/>
      <w:r w:rsidRPr="00D1277F">
        <w:rPr>
          <w:szCs w:val="24"/>
        </w:rPr>
        <w:t>proforma</w:t>
      </w:r>
      <w:proofErr w:type="spellEnd"/>
      <w:r w:rsidRPr="00D1277F">
        <w:rPr>
          <w:szCs w:val="24"/>
        </w:rPr>
        <w:t xml:space="preserve"> as useful for future applications to MSAC for genetic tests of affected individuals where an inherited mutation is a likely cause and where knowing the test result is associated with clinical utility</w:t>
      </w:r>
      <w:r w:rsidR="00C760D4">
        <w:rPr>
          <w:szCs w:val="24"/>
        </w:rPr>
        <w:t xml:space="preserve"> for the individual</w:t>
      </w:r>
      <w:r w:rsidRPr="00D1277F">
        <w:rPr>
          <w:szCs w:val="24"/>
        </w:rPr>
        <w:t>, and also for the family members of those individuals shown to have a relevant mutation.</w:t>
      </w:r>
    </w:p>
    <w:p w:rsidR="00550354" w:rsidRPr="009108FA" w:rsidRDefault="00550354" w:rsidP="00550354">
      <w:pPr>
        <w:pStyle w:val="Heading1"/>
        <w:numPr>
          <w:ilvl w:val="0"/>
          <w:numId w:val="23"/>
        </w:numPr>
        <w:ind w:hanging="720"/>
      </w:pPr>
      <w:r w:rsidRPr="008D5885">
        <w:t>Summary of consideration and rationale for MSAC’s advice</w:t>
      </w:r>
      <w:r w:rsidRPr="00707064">
        <w:t xml:space="preserve"> </w:t>
      </w:r>
    </w:p>
    <w:p w:rsidR="00D1277F" w:rsidRPr="007250EA" w:rsidRDefault="00D1277F" w:rsidP="00D1277F">
      <w:pPr>
        <w:rPr>
          <w:szCs w:val="24"/>
        </w:rPr>
      </w:pPr>
      <w:r w:rsidRPr="007250EA">
        <w:rPr>
          <w:szCs w:val="24"/>
        </w:rPr>
        <w:t>MSAC noted that it had considered the proposed public funding of genetic testing for hereditary mutations predisposing to breast and/or ovarian cancer in November 2015. Although MSAC had accepted the evidence presented to support the analytical validity, clinical validity and clinical utility of the proposed genetic testing, the application was deferred due to uncertainty regarding the adequacy of the</w:t>
      </w:r>
      <w:r w:rsidR="00C760D4">
        <w:rPr>
          <w:szCs w:val="24"/>
        </w:rPr>
        <w:t xml:space="preserve"> economic analysis for </w:t>
      </w:r>
      <w:r w:rsidR="00C760D4">
        <w:rPr>
          <w:szCs w:val="24"/>
        </w:rPr>
        <w:lastRenderedPageBreak/>
        <w:t>decision</w:t>
      </w:r>
      <w:r w:rsidR="00C760D4">
        <w:rPr>
          <w:szCs w:val="24"/>
        </w:rPr>
        <w:noBreakHyphen/>
      </w:r>
      <w:r w:rsidRPr="007250EA">
        <w:rPr>
          <w:szCs w:val="24"/>
        </w:rPr>
        <w:t>making. In deferring the application, MSAC recommended the establishment of a working group to guide a new economic evaluation.</w:t>
      </w:r>
    </w:p>
    <w:p w:rsidR="00D1277F" w:rsidRPr="007250EA" w:rsidRDefault="005D4CEB" w:rsidP="00D1277F">
      <w:pPr>
        <w:rPr>
          <w:szCs w:val="24"/>
        </w:rPr>
      </w:pPr>
      <w:r>
        <w:rPr>
          <w:szCs w:val="24"/>
        </w:rPr>
        <w:t xml:space="preserve">In the context of its current consideration, </w:t>
      </w:r>
      <w:r w:rsidR="00D1277F" w:rsidRPr="007250EA">
        <w:rPr>
          <w:szCs w:val="24"/>
        </w:rPr>
        <w:t>MSAC reiterated that this application was a</w:t>
      </w:r>
      <w:r w:rsidR="008816B4">
        <w:rPr>
          <w:szCs w:val="24"/>
        </w:rPr>
        <w:t>lso a</w:t>
      </w:r>
      <w:r w:rsidR="00D1277F" w:rsidRPr="007250EA">
        <w:rPr>
          <w:szCs w:val="24"/>
        </w:rPr>
        <w:t xml:space="preserve"> pilot application to develop a process of applying for public funding </w:t>
      </w:r>
      <w:r w:rsidR="008816B4">
        <w:rPr>
          <w:szCs w:val="24"/>
        </w:rPr>
        <w:t>for</w:t>
      </w:r>
      <w:r w:rsidR="008816B4" w:rsidRPr="007250EA">
        <w:rPr>
          <w:szCs w:val="24"/>
        </w:rPr>
        <w:t xml:space="preserve"> </w:t>
      </w:r>
      <w:r w:rsidR="00D1277F" w:rsidRPr="007250EA">
        <w:rPr>
          <w:szCs w:val="24"/>
        </w:rPr>
        <w:t xml:space="preserve">testing groups of genes rather than testing individual genes. MSAC agreed that the Clinical Utility Card (CUC) </w:t>
      </w:r>
      <w:proofErr w:type="spellStart"/>
      <w:r w:rsidR="00D1277F" w:rsidRPr="007250EA">
        <w:rPr>
          <w:szCs w:val="24"/>
        </w:rPr>
        <w:t>proforma</w:t>
      </w:r>
      <w:proofErr w:type="spellEnd"/>
      <w:r w:rsidR="00D1277F" w:rsidRPr="007250EA">
        <w:rPr>
          <w:szCs w:val="24"/>
        </w:rPr>
        <w:t>, modified to reflect sections 6 and 7 (economic evaluation and financial analyses) of the revised application, would be used to guide the approach for future applications for other heritable medical conditions.</w:t>
      </w:r>
    </w:p>
    <w:p w:rsidR="00D1277F" w:rsidRPr="007250EA" w:rsidRDefault="00D1277F" w:rsidP="00D1277F">
      <w:pPr>
        <w:rPr>
          <w:szCs w:val="24"/>
        </w:rPr>
      </w:pPr>
      <w:r w:rsidRPr="007250EA">
        <w:rPr>
          <w:szCs w:val="24"/>
        </w:rPr>
        <w:t xml:space="preserve">MSAC noted that the proposed populations in the resubmission were the same as in the original application, with testing of individuals affected by breast and/or ovarian cancer for genes known to predispose to these conditions and also cascade testing of family members of the subset of individuals who are shown to have a hereditary mutation. MSAC reaffirmed that the current CUC and economic evaluation was focused on genetic testing to identify the “star performer” of </w:t>
      </w:r>
      <w:r w:rsidRPr="007250EA">
        <w:rPr>
          <w:i/>
          <w:szCs w:val="24"/>
        </w:rPr>
        <w:t>BRCA</w:t>
      </w:r>
      <w:r w:rsidRPr="007250EA">
        <w:rPr>
          <w:szCs w:val="24"/>
        </w:rPr>
        <w:t xml:space="preserve"> mutations. MSAC clarified that, as defined in the CUC, affected individuals are those </w:t>
      </w:r>
      <w:r w:rsidRPr="007250EA">
        <w:rPr>
          <w:i/>
          <w:szCs w:val="24"/>
        </w:rPr>
        <w:t>“with breast and/or ovarian cancer whose personal or family history of cancer using a mutation prediction score predicts a combined mutation carrier probability of &gt;10%”.</w:t>
      </w:r>
    </w:p>
    <w:p w:rsidR="00D1277F" w:rsidRPr="007250EA" w:rsidRDefault="00D1277F" w:rsidP="0067636A">
      <w:pPr>
        <w:spacing w:after="0"/>
        <w:rPr>
          <w:szCs w:val="24"/>
        </w:rPr>
      </w:pPr>
      <w:r w:rsidRPr="007250EA">
        <w:rPr>
          <w:szCs w:val="24"/>
        </w:rPr>
        <w:t>MSAC noted that, at the November 2015 meeting, the committee considered the results of the cost-utility analyses and noted they were high, with an incremental cost</w:t>
      </w:r>
      <w:r w:rsidR="00FD0945">
        <w:rPr>
          <w:szCs w:val="24"/>
        </w:rPr>
        <w:t>-</w:t>
      </w:r>
      <w:r w:rsidRPr="007250EA">
        <w:rPr>
          <w:szCs w:val="24"/>
        </w:rPr>
        <w:t>effectiveness ratio (ICER) per quality-adjusted life-year (QALY) gained of $151,837 and $85,598 for affected individuals and family members, respectively. MSAC was concerned that these ICER/QALY estimates may not accurately estimate the cost-utility of publicly funding this testing, noting that they did not match other estimates reported in the literature. MSAC also noted a number of additional concerns with the economic evaluation as highlighted by ESC at the time, including:</w:t>
      </w:r>
    </w:p>
    <w:p w:rsidR="00D1277F" w:rsidRPr="009108FA" w:rsidRDefault="00D1277F" w:rsidP="0067636A">
      <w:pPr>
        <w:pStyle w:val="ListParagraph"/>
        <w:numPr>
          <w:ilvl w:val="0"/>
          <w:numId w:val="48"/>
        </w:numPr>
        <w:ind w:left="714" w:hanging="357"/>
        <w:rPr>
          <w:szCs w:val="24"/>
        </w:rPr>
      </w:pPr>
      <w:proofErr w:type="gramStart"/>
      <w:r w:rsidRPr="009108FA">
        <w:rPr>
          <w:szCs w:val="24"/>
          <w:lang w:val="en-GB"/>
        </w:rPr>
        <w:t>the</w:t>
      </w:r>
      <w:proofErr w:type="gramEnd"/>
      <w:r w:rsidRPr="009108FA">
        <w:rPr>
          <w:szCs w:val="24"/>
          <w:lang w:val="en-GB"/>
        </w:rPr>
        <w:t xml:space="preserve"> need for a weighted average approach to modelling to also include the entire eligible population</w:t>
      </w:r>
      <w:r w:rsidR="00673860" w:rsidRPr="009108FA">
        <w:rPr>
          <w:szCs w:val="24"/>
          <w:lang w:val="en-GB"/>
        </w:rPr>
        <w:t>,</w:t>
      </w:r>
      <w:r w:rsidRPr="009108FA">
        <w:rPr>
          <w:szCs w:val="24"/>
          <w:lang w:val="en-GB"/>
        </w:rPr>
        <w:t xml:space="preserve"> </w:t>
      </w:r>
      <w:proofErr w:type="spellStart"/>
      <w:r w:rsidRPr="009108FA">
        <w:rPr>
          <w:szCs w:val="24"/>
          <w:lang w:val="en-GB"/>
        </w:rPr>
        <w:t>ie</w:t>
      </w:r>
      <w:proofErr w:type="spellEnd"/>
      <w:r w:rsidRPr="009108FA">
        <w:rPr>
          <w:szCs w:val="24"/>
          <w:lang w:val="en-GB"/>
        </w:rPr>
        <w:t>. affected individuals and their family members;</w:t>
      </w:r>
    </w:p>
    <w:p w:rsidR="00D1277F" w:rsidRPr="009108FA" w:rsidRDefault="00D1277F" w:rsidP="009108FA">
      <w:pPr>
        <w:pStyle w:val="ListParagraph"/>
        <w:numPr>
          <w:ilvl w:val="0"/>
          <w:numId w:val="48"/>
        </w:numPr>
        <w:rPr>
          <w:szCs w:val="24"/>
        </w:rPr>
      </w:pPr>
      <w:r w:rsidRPr="009108FA">
        <w:rPr>
          <w:szCs w:val="24"/>
        </w:rPr>
        <w:t>the model was potentially oversimplified and excluded key benefits including the risk and impact of ovarian cancer;</w:t>
      </w:r>
    </w:p>
    <w:p w:rsidR="00D1277F" w:rsidRPr="009108FA" w:rsidRDefault="00D1277F" w:rsidP="009108FA">
      <w:pPr>
        <w:pStyle w:val="ListParagraph"/>
        <w:numPr>
          <w:ilvl w:val="0"/>
          <w:numId w:val="48"/>
        </w:numPr>
        <w:rPr>
          <w:szCs w:val="24"/>
        </w:rPr>
      </w:pPr>
      <w:r w:rsidRPr="009108FA">
        <w:rPr>
          <w:szCs w:val="24"/>
        </w:rPr>
        <w:t>the ICERs derived from the model were highly uncertain and likely to be overestimated;</w:t>
      </w:r>
      <w:r w:rsidR="002E1AEB" w:rsidRPr="009108FA">
        <w:rPr>
          <w:szCs w:val="24"/>
        </w:rPr>
        <w:t xml:space="preserve"> and </w:t>
      </w:r>
    </w:p>
    <w:p w:rsidR="009108FA" w:rsidRPr="009108FA" w:rsidRDefault="00D1277F" w:rsidP="009108FA">
      <w:pPr>
        <w:pStyle w:val="ListParagraph"/>
        <w:numPr>
          <w:ilvl w:val="0"/>
          <w:numId w:val="48"/>
        </w:numPr>
        <w:rPr>
          <w:szCs w:val="24"/>
        </w:rPr>
      </w:pPr>
      <w:proofErr w:type="gramStart"/>
      <w:r w:rsidRPr="009108FA">
        <w:rPr>
          <w:szCs w:val="24"/>
        </w:rPr>
        <w:t>the</w:t>
      </w:r>
      <w:proofErr w:type="gramEnd"/>
      <w:r w:rsidRPr="009108FA">
        <w:rPr>
          <w:szCs w:val="24"/>
        </w:rPr>
        <w:t xml:space="preserve"> sensitivity analyses indicated the potential for the ICERs to become cost-effective when modelling was based on age-related relative risks, rather than a fixed relative risk across all ages.</w:t>
      </w:r>
    </w:p>
    <w:p w:rsidR="00D1277F" w:rsidRPr="007250EA" w:rsidRDefault="005D4CEB" w:rsidP="00D1277F">
      <w:pPr>
        <w:rPr>
          <w:szCs w:val="24"/>
        </w:rPr>
      </w:pPr>
      <w:r>
        <w:rPr>
          <w:szCs w:val="24"/>
        </w:rPr>
        <w:t xml:space="preserve">In the context of its current consideration, </w:t>
      </w:r>
      <w:r w:rsidR="00D1277F" w:rsidRPr="007250EA">
        <w:rPr>
          <w:szCs w:val="24"/>
        </w:rPr>
        <w:t>MSAC noted that the Predisposition Genetic Testing Economics Working Group (PGTEWG) was formulated to guide a new economic evaluation addressing these identified limitations with assistance from Griffith University. In determining the appropriateness of utilising an integrated economic model for the resubmission, MSAC noted that PGTEWG considered the concept of ‘joint production’. The working group proposed that performing genetic tests in affected individuals not only impacts their own utility or disutility values, but also those of their family members. In this regard, the cost of testing the affected individuals is incurred for the production of utility and/or disutility values relevant to both the affected individuals and their family members. The working group extended its rationale to note that</w:t>
      </w:r>
      <w:r>
        <w:rPr>
          <w:szCs w:val="24"/>
        </w:rPr>
        <w:t>,</w:t>
      </w:r>
      <w:r w:rsidR="00D1277F" w:rsidRPr="007250EA">
        <w:rPr>
          <w:szCs w:val="24"/>
        </w:rPr>
        <w:t xml:space="preserve"> if utilities are joint-produced by genetic tests, the cost-utility analysis must also be reframed to include the associated outcomes (whether or not testing of family members is eventually supported in addition to testing </w:t>
      </w:r>
      <w:r w:rsidR="00D1277F" w:rsidRPr="007250EA">
        <w:rPr>
          <w:szCs w:val="24"/>
        </w:rPr>
        <w:lastRenderedPageBreak/>
        <w:t>affected individuals or not). In turn, MSAC accepted that there was a strong conceptual case to support the use of an integrated model which included the costs and effects of initially testing affected individuals and then also testing their family members according to the results of the tests for the affected individuals.</w:t>
      </w:r>
    </w:p>
    <w:p w:rsidR="00B44E0A" w:rsidRDefault="00D1277F" w:rsidP="00D1277F">
      <w:pPr>
        <w:rPr>
          <w:szCs w:val="24"/>
        </w:rPr>
      </w:pPr>
      <w:r w:rsidRPr="007250EA">
        <w:rPr>
          <w:szCs w:val="24"/>
        </w:rPr>
        <w:t>MSAC acknowledged the use of an integrated model provided in the revised analysis</w:t>
      </w:r>
      <w:r w:rsidR="008E268B">
        <w:rPr>
          <w:szCs w:val="24"/>
        </w:rPr>
        <w:t>,</w:t>
      </w:r>
      <w:r w:rsidRPr="007250EA">
        <w:rPr>
          <w:szCs w:val="24"/>
        </w:rPr>
        <w:t xml:space="preserve"> in addition to several key improvements made to address the concerns raised in relation to the previous analysis. MSAC noted that the revised model accounts for the consequences of </w:t>
      </w:r>
      <w:r w:rsidRPr="007250EA">
        <w:rPr>
          <w:i/>
          <w:szCs w:val="24"/>
        </w:rPr>
        <w:t>BRCA</w:t>
      </w:r>
      <w:r w:rsidRPr="007250EA">
        <w:rPr>
          <w:szCs w:val="24"/>
        </w:rPr>
        <w:t xml:space="preserve"> testing for both breast and ovarian cancer prevention and treatment, unlike the previous model which focussed on the consequences for breast cancer only. MSAC also noted that, rather than using the cancer risk associated with </w:t>
      </w:r>
      <w:r w:rsidRPr="007250EA">
        <w:rPr>
          <w:i/>
          <w:szCs w:val="24"/>
        </w:rPr>
        <w:t>BRCA1</w:t>
      </w:r>
      <w:r w:rsidRPr="007250EA">
        <w:rPr>
          <w:szCs w:val="24"/>
        </w:rPr>
        <w:t xml:space="preserve"> only, the revised model considered the lower risk with </w:t>
      </w:r>
      <w:r w:rsidRPr="007250EA">
        <w:rPr>
          <w:i/>
          <w:szCs w:val="24"/>
        </w:rPr>
        <w:t>BRCA2</w:t>
      </w:r>
      <w:r w:rsidRPr="007250EA">
        <w:rPr>
          <w:szCs w:val="24"/>
        </w:rPr>
        <w:t xml:space="preserve"> mutation and applied a weighted average risk based on 54% and 46% prevalence for </w:t>
      </w:r>
      <w:r w:rsidRPr="007250EA">
        <w:rPr>
          <w:i/>
          <w:szCs w:val="24"/>
        </w:rPr>
        <w:t>BRCA1</w:t>
      </w:r>
      <w:r w:rsidRPr="007250EA">
        <w:rPr>
          <w:szCs w:val="24"/>
        </w:rPr>
        <w:t xml:space="preserve"> and </w:t>
      </w:r>
      <w:r w:rsidRPr="007250EA">
        <w:rPr>
          <w:i/>
          <w:szCs w:val="24"/>
        </w:rPr>
        <w:t>BRCA2</w:t>
      </w:r>
      <w:r w:rsidRPr="007250EA">
        <w:rPr>
          <w:szCs w:val="24"/>
        </w:rPr>
        <w:t xml:space="preserve">, respectively as adopted from Collins et al, 2013. </w:t>
      </w:r>
    </w:p>
    <w:p w:rsidR="00D1277F" w:rsidRPr="007250EA" w:rsidRDefault="00D1277F" w:rsidP="00D1277F">
      <w:pPr>
        <w:rPr>
          <w:szCs w:val="24"/>
        </w:rPr>
      </w:pPr>
      <w:r w:rsidRPr="007250EA">
        <w:rPr>
          <w:szCs w:val="24"/>
        </w:rPr>
        <w:t xml:space="preserve">In addition, MSAC noted that the revised analysis applied age-specific (rather than fixed) risks of ovarian and breast cancer, better reflecting the fact that </w:t>
      </w:r>
      <w:r w:rsidRPr="007250EA">
        <w:rPr>
          <w:i/>
          <w:szCs w:val="24"/>
        </w:rPr>
        <w:t>BRCA</w:t>
      </w:r>
      <w:r w:rsidRPr="007250EA">
        <w:rPr>
          <w:szCs w:val="24"/>
        </w:rPr>
        <w:t xml:space="preserve"> mutation is likely to increase the risk of these cancers at an earlier age compared to the general population. The age-specific incidence of breast and ovarian cancers were adopted from the findings of Antoniou et al, 2003. MSAC noted that, although there was concern about these estimates not being representative of the Australian population, the cumulative incidence was confirmed in a meta-analysis by Chen and </w:t>
      </w:r>
      <w:proofErr w:type="spellStart"/>
      <w:r w:rsidRPr="007250EA">
        <w:rPr>
          <w:szCs w:val="24"/>
        </w:rPr>
        <w:t>Parmigiani</w:t>
      </w:r>
      <w:proofErr w:type="spellEnd"/>
      <w:r w:rsidRPr="007250EA">
        <w:rPr>
          <w:szCs w:val="24"/>
        </w:rPr>
        <w:t xml:space="preserve">, 2007. In addition to the preventative measure uptake rates proposed by the working group (40% mastectomy with </w:t>
      </w:r>
      <w:r w:rsidR="008E268B">
        <w:rPr>
          <w:szCs w:val="24"/>
        </w:rPr>
        <w:t xml:space="preserve">bilateral </w:t>
      </w:r>
      <w:proofErr w:type="spellStart"/>
      <w:r w:rsidRPr="007250EA">
        <w:rPr>
          <w:szCs w:val="24"/>
        </w:rPr>
        <w:t>salpingo</w:t>
      </w:r>
      <w:proofErr w:type="spellEnd"/>
      <w:r w:rsidRPr="007250EA">
        <w:rPr>
          <w:szCs w:val="24"/>
        </w:rPr>
        <w:t>-oophorectomy (BSO), 40% BSO alone and 20% surveillance alone), MSAC noted that the revised model also tested the possibility of different uptake rates as reported in the Australian study by Collins et al, 2013 (28% mastectomy alone, 52% BSO alone, 16% mastectomy plus BSO).</w:t>
      </w:r>
    </w:p>
    <w:p w:rsidR="00D1277F" w:rsidRPr="007250EA" w:rsidRDefault="00D1277F" w:rsidP="00D1277F">
      <w:pPr>
        <w:rPr>
          <w:szCs w:val="24"/>
        </w:rPr>
      </w:pPr>
      <w:r w:rsidRPr="007250EA">
        <w:rPr>
          <w:szCs w:val="24"/>
        </w:rPr>
        <w:t xml:space="preserve">MSAC noted that the revised model applied a starting age of 40 years for affected individuals and their female siblings, however female children of the proband were not assumed to undergo testing until 20 years of age or to undertake a preventative measure until 30 years, in line with what would be expected in clinical practice. MSAC also noted that the model assumes the affected individuals and their female siblings would act as defined within one year of learning the test results by undertaking one of the noted preventative measures </w:t>
      </w:r>
      <w:r w:rsidR="008E268B">
        <w:rPr>
          <w:szCs w:val="24"/>
        </w:rPr>
        <w:t>(</w:t>
      </w:r>
      <w:r w:rsidRPr="007250EA">
        <w:rPr>
          <w:szCs w:val="24"/>
        </w:rPr>
        <w:t>or not</w:t>
      </w:r>
      <w:r w:rsidR="008E268B">
        <w:rPr>
          <w:szCs w:val="24"/>
        </w:rPr>
        <w:t>)</w:t>
      </w:r>
      <w:r w:rsidRPr="007250EA">
        <w:rPr>
          <w:szCs w:val="24"/>
        </w:rPr>
        <w:t>.</w:t>
      </w:r>
    </w:p>
    <w:p w:rsidR="005D4CEB" w:rsidRDefault="00D1277F" w:rsidP="00D1277F">
      <w:pPr>
        <w:rPr>
          <w:szCs w:val="24"/>
        </w:rPr>
      </w:pPr>
      <w:r w:rsidRPr="007250EA">
        <w:rPr>
          <w:szCs w:val="24"/>
        </w:rPr>
        <w:t xml:space="preserve">MSAC noted that the impact of genetic testing compared to no testing for affected individuals and their first-degree family members (female siblings and female children of identified </w:t>
      </w:r>
      <w:proofErr w:type="spellStart"/>
      <w:r w:rsidRPr="007250EA">
        <w:rPr>
          <w:szCs w:val="24"/>
        </w:rPr>
        <w:t>probands</w:t>
      </w:r>
      <w:proofErr w:type="spellEnd"/>
      <w:r w:rsidRPr="007250EA">
        <w:rPr>
          <w:szCs w:val="24"/>
        </w:rPr>
        <w:t xml:space="preserve">) was considered as the base case analysis, with their second-degree family members (female children of positively tested male and female siblings of identified </w:t>
      </w:r>
      <w:proofErr w:type="spellStart"/>
      <w:r w:rsidRPr="007250EA">
        <w:rPr>
          <w:szCs w:val="24"/>
        </w:rPr>
        <w:t>probands</w:t>
      </w:r>
      <w:proofErr w:type="spellEnd"/>
      <w:r w:rsidRPr="007250EA">
        <w:rPr>
          <w:szCs w:val="24"/>
        </w:rPr>
        <w:t>) considered in a scenario analysis. MSAC noted that the base case ICER generated was less than the ICERs calculated in the previous analysis, with a cost of $18,283 per QALY gained. MSAC noted that this reduction in ICER was primarily driven by the inclusion of ovarian cancer outcomes in the revised model. MSAC also considered that the scenario analyses</w:t>
      </w:r>
      <w:r w:rsidR="008E268B">
        <w:rPr>
          <w:szCs w:val="24"/>
        </w:rPr>
        <w:t>,</w:t>
      </w:r>
      <w:r w:rsidRPr="007250EA">
        <w:rPr>
          <w:szCs w:val="24"/>
        </w:rPr>
        <w:t xml:space="preserve"> incorporating different assumptions about the extent to which family members are tested</w:t>
      </w:r>
      <w:r w:rsidR="008E268B">
        <w:rPr>
          <w:szCs w:val="24"/>
        </w:rPr>
        <w:t>,</w:t>
      </w:r>
      <w:r w:rsidRPr="007250EA">
        <w:rPr>
          <w:szCs w:val="24"/>
        </w:rPr>
        <w:t xml:space="preserve"> did not have a large effect on the ICERs: for affected individuals only ($21,303/QALY), for affected individuals plus identified </w:t>
      </w:r>
      <w:proofErr w:type="spellStart"/>
      <w:r w:rsidRPr="007250EA">
        <w:rPr>
          <w:szCs w:val="24"/>
        </w:rPr>
        <w:t>probands</w:t>
      </w:r>
      <w:proofErr w:type="spellEnd"/>
      <w:r w:rsidRPr="007250EA">
        <w:rPr>
          <w:szCs w:val="24"/>
        </w:rPr>
        <w:t xml:space="preserve">’ female siblings only ($18,241/QALY), for affected individuals plus identified </w:t>
      </w:r>
      <w:proofErr w:type="spellStart"/>
      <w:r w:rsidRPr="007250EA">
        <w:rPr>
          <w:szCs w:val="24"/>
        </w:rPr>
        <w:t>probands</w:t>
      </w:r>
      <w:proofErr w:type="spellEnd"/>
      <w:r w:rsidRPr="007250EA">
        <w:rPr>
          <w:szCs w:val="24"/>
        </w:rPr>
        <w:t xml:space="preserve">’ female children only ($20,987/QALY), and for affected individuals plus identified </w:t>
      </w:r>
      <w:proofErr w:type="spellStart"/>
      <w:r w:rsidRPr="007250EA">
        <w:rPr>
          <w:szCs w:val="24"/>
        </w:rPr>
        <w:t>probands</w:t>
      </w:r>
      <w:proofErr w:type="spellEnd"/>
      <w:r w:rsidRPr="007250EA">
        <w:rPr>
          <w:szCs w:val="24"/>
        </w:rPr>
        <w:t>’ first and second-degree</w:t>
      </w:r>
      <w:r w:rsidR="005D4CEB">
        <w:rPr>
          <w:szCs w:val="24"/>
        </w:rPr>
        <w:t xml:space="preserve"> family members ($18,752/QALY).</w:t>
      </w:r>
    </w:p>
    <w:p w:rsidR="00D1277F" w:rsidRPr="007250EA" w:rsidRDefault="00D1277F" w:rsidP="00D1277F">
      <w:pPr>
        <w:rPr>
          <w:szCs w:val="24"/>
        </w:rPr>
      </w:pPr>
      <w:r w:rsidRPr="007250EA">
        <w:rPr>
          <w:szCs w:val="24"/>
        </w:rPr>
        <w:lastRenderedPageBreak/>
        <w:t>MSAC considered that a better way of interpreting these results was to start with the ICER for affected individuals, and then calculate the further ICER for adding the testing of family members. This was preferred to the above presentation of results which were better interpreted as average cost-effectiveness ratios across the different population definitions. In this case, MSAC noted that the correctly calculated ICERs would show the addition of testing family members would have a more favourable ICER than testing affected individuals only, but this would not necessarily be the case in all diseases where genetic testing might be contemplated.</w:t>
      </w:r>
    </w:p>
    <w:p w:rsidR="00D1277F" w:rsidRPr="007250EA" w:rsidRDefault="00D1277F" w:rsidP="00D1277F">
      <w:pPr>
        <w:rPr>
          <w:szCs w:val="24"/>
        </w:rPr>
      </w:pPr>
      <w:r w:rsidRPr="007250EA">
        <w:rPr>
          <w:szCs w:val="24"/>
        </w:rPr>
        <w:t xml:space="preserve">MSAC noted that the outcomes of the economic analysis not only related to cost per QALY, but also cost per cancer prevented. In the base case, genetic testing reduced breast and ovarian cancer events, with $53,202 per breast cancer event avoided and $79,477 per ovarian cancer avoided, </w:t>
      </w:r>
      <w:proofErr w:type="spellStart"/>
      <w:r w:rsidRPr="007250EA">
        <w:rPr>
          <w:szCs w:val="24"/>
        </w:rPr>
        <w:t>ie</w:t>
      </w:r>
      <w:proofErr w:type="spellEnd"/>
      <w:r w:rsidRPr="007250EA">
        <w:rPr>
          <w:szCs w:val="24"/>
        </w:rPr>
        <w:t xml:space="preserve">. </w:t>
      </w:r>
      <w:proofErr w:type="gramStart"/>
      <w:r w:rsidRPr="007250EA">
        <w:rPr>
          <w:szCs w:val="24"/>
        </w:rPr>
        <w:t>approximately</w:t>
      </w:r>
      <w:proofErr w:type="gramEnd"/>
      <w:r w:rsidRPr="007250EA">
        <w:rPr>
          <w:szCs w:val="24"/>
        </w:rPr>
        <w:t xml:space="preserve"> $32,000 per cancer (breast or ovarian) event avoided.</w:t>
      </w:r>
    </w:p>
    <w:p w:rsidR="00D1277F" w:rsidRPr="007250EA" w:rsidRDefault="00D1277F" w:rsidP="00D1277F">
      <w:pPr>
        <w:rPr>
          <w:szCs w:val="24"/>
        </w:rPr>
      </w:pPr>
      <w:r w:rsidRPr="007250EA">
        <w:rPr>
          <w:szCs w:val="24"/>
        </w:rPr>
        <w:t xml:space="preserve">MSAC noted that the presented sensitivity analyses indicated that the ICER generated for the base case was not particularly sensitive to the use of age-specific, as opposed to fixed risk, with the latter leading to a slightly higher ICER of $19,046 per QALY gained. The ICER was more sensitive to the application of the different rates of preventive strategy adoption by </w:t>
      </w:r>
      <w:proofErr w:type="spellStart"/>
      <w:r w:rsidRPr="007250EA">
        <w:rPr>
          <w:szCs w:val="24"/>
        </w:rPr>
        <w:t>probands</w:t>
      </w:r>
      <w:proofErr w:type="spellEnd"/>
      <w:r w:rsidRPr="007250EA">
        <w:rPr>
          <w:szCs w:val="24"/>
        </w:rPr>
        <w:t xml:space="preserve"> as noted by Collins et al, 2013. MSAC noted that applying these rates decreased the QALY increment observed in the base case from 0.19 to 0.15, the likely result of the reduced BSO adoption rates (16% in Collins et al, 2013 compared to 40% as proposed by working group), leading to less effective prevention of ovarian cancer and a consequent increase in cost to $22,348 per QALY gained. MSAC also noted that variation in the ICER was observed when the probability of </w:t>
      </w:r>
      <w:r w:rsidRPr="007250EA">
        <w:rPr>
          <w:i/>
          <w:szCs w:val="24"/>
        </w:rPr>
        <w:t>BRCA</w:t>
      </w:r>
      <w:r w:rsidRPr="007250EA">
        <w:rPr>
          <w:szCs w:val="24"/>
        </w:rPr>
        <w:t xml:space="preserve"> mutation in affected individuals was decreased to 10%, leading to a higher ICER of $22,828 per QALY. MSAC noted that this illustrated that the lower the chances of identifying a mutation, the less likely it is that testing will be cost-effective and consequently </w:t>
      </w:r>
      <w:r w:rsidRPr="007250EA">
        <w:rPr>
          <w:i/>
          <w:szCs w:val="24"/>
        </w:rPr>
        <w:t>BRCA</w:t>
      </w:r>
      <w:r w:rsidRPr="007250EA">
        <w:rPr>
          <w:szCs w:val="24"/>
        </w:rPr>
        <w:t xml:space="preserve"> screening in an unselected population</w:t>
      </w:r>
      <w:r w:rsidR="008E268B">
        <w:rPr>
          <w:szCs w:val="24"/>
        </w:rPr>
        <w:t>,</w:t>
      </w:r>
      <w:r w:rsidRPr="007250EA">
        <w:rPr>
          <w:szCs w:val="24"/>
        </w:rPr>
        <w:t xml:space="preserve"> for example, would not be appropriate.</w:t>
      </w:r>
    </w:p>
    <w:p w:rsidR="005D4CEB" w:rsidRDefault="00D1277F" w:rsidP="00D1277F">
      <w:pPr>
        <w:rPr>
          <w:szCs w:val="24"/>
        </w:rPr>
      </w:pPr>
      <w:r w:rsidRPr="007250EA">
        <w:rPr>
          <w:szCs w:val="24"/>
        </w:rPr>
        <w:t xml:space="preserve">MSAC also explored the impact of limiting the revised model to genetic testing for the identification of </w:t>
      </w:r>
      <w:r w:rsidRPr="007250EA">
        <w:rPr>
          <w:i/>
          <w:szCs w:val="24"/>
        </w:rPr>
        <w:t>BRCA1</w:t>
      </w:r>
      <w:r w:rsidRPr="007250EA">
        <w:rPr>
          <w:szCs w:val="24"/>
        </w:rPr>
        <w:t xml:space="preserve"> mutations alone and </w:t>
      </w:r>
      <w:r w:rsidRPr="007250EA">
        <w:rPr>
          <w:i/>
          <w:szCs w:val="24"/>
        </w:rPr>
        <w:t>BRCA2</w:t>
      </w:r>
      <w:r w:rsidRPr="007250EA">
        <w:rPr>
          <w:szCs w:val="24"/>
        </w:rPr>
        <w:t xml:space="preserve"> mutations alone on the ICERs generated. MSAC noted that in the base case, limiting the model to </w:t>
      </w:r>
      <w:r w:rsidRPr="007250EA">
        <w:rPr>
          <w:i/>
          <w:szCs w:val="24"/>
        </w:rPr>
        <w:t>BRCA1</w:t>
      </w:r>
      <w:r w:rsidRPr="007250EA">
        <w:rPr>
          <w:szCs w:val="24"/>
        </w:rPr>
        <w:t xml:space="preserve"> testing generated a QALY gain of 0.19 and an ICER of $15,866 per QALY. When the model was limited to </w:t>
      </w:r>
      <w:r w:rsidRPr="007250EA">
        <w:rPr>
          <w:i/>
          <w:szCs w:val="24"/>
        </w:rPr>
        <w:t>BRCA2</w:t>
      </w:r>
      <w:r w:rsidRPr="007250EA">
        <w:rPr>
          <w:szCs w:val="24"/>
        </w:rPr>
        <w:t xml:space="preserve"> testing, this led to a reduced QALY increment of 0.13 and a less favourable ICER of $31,562 per QALY. In turn, MSAC noted that the addition of </w:t>
      </w:r>
      <w:r w:rsidRPr="007250EA">
        <w:rPr>
          <w:i/>
          <w:szCs w:val="24"/>
        </w:rPr>
        <w:t>BRCA2</w:t>
      </w:r>
      <w:r w:rsidRPr="007250EA">
        <w:rPr>
          <w:szCs w:val="24"/>
        </w:rPr>
        <w:t xml:space="preserve"> testing in the primary analysis made the ICER less favourable, while </w:t>
      </w:r>
      <w:r w:rsidRPr="007250EA">
        <w:rPr>
          <w:i/>
          <w:szCs w:val="24"/>
        </w:rPr>
        <w:t>BRCA1</w:t>
      </w:r>
      <w:r w:rsidRPr="007250EA">
        <w:rPr>
          <w:szCs w:val="24"/>
        </w:rPr>
        <w:t xml:space="preserve"> testing, given its association with the detection of early disease and consequent improvements in life expectancy, represented the main driver behind the ICER presented for the base case.</w:t>
      </w:r>
    </w:p>
    <w:p w:rsidR="00D1277F" w:rsidRPr="007250EA" w:rsidRDefault="00D1277F" w:rsidP="00D1277F">
      <w:pPr>
        <w:rPr>
          <w:szCs w:val="24"/>
        </w:rPr>
      </w:pPr>
      <w:r w:rsidRPr="007250EA">
        <w:rPr>
          <w:szCs w:val="24"/>
        </w:rPr>
        <w:t xml:space="preserve">MSAC </w:t>
      </w:r>
      <w:r w:rsidR="00722046">
        <w:rPr>
          <w:szCs w:val="24"/>
        </w:rPr>
        <w:t xml:space="preserve">again </w:t>
      </w:r>
      <w:r w:rsidRPr="007250EA">
        <w:rPr>
          <w:szCs w:val="24"/>
        </w:rPr>
        <w:t xml:space="preserve">cautioned that, although not observed in the current economic analysis, the use of an average cost-effectiveness ratio across genes with different predisposition consequences for the identified disease grouping could also </w:t>
      </w:r>
      <w:r w:rsidR="00FD0945">
        <w:rPr>
          <w:szCs w:val="24"/>
        </w:rPr>
        <w:t>conceal wide variations in cost-</w:t>
      </w:r>
      <w:r w:rsidRPr="007250EA">
        <w:rPr>
          <w:szCs w:val="24"/>
        </w:rPr>
        <w:t>effectiveness. MSAC emphasised that future applications would need to pay particular attention to the definition and calculation of relevant ICERs in order to avoid bundling cost effective and non-cost effective options into one package which presents with an attractive overall ICER.</w:t>
      </w:r>
    </w:p>
    <w:p w:rsidR="00D1277F" w:rsidRPr="007250EA" w:rsidRDefault="00D1277F" w:rsidP="00D1277F">
      <w:pPr>
        <w:rPr>
          <w:szCs w:val="24"/>
        </w:rPr>
      </w:pPr>
      <w:r w:rsidRPr="007250EA">
        <w:rPr>
          <w:szCs w:val="24"/>
        </w:rPr>
        <w:t>MSAC noted that the revised ICER estimates provided in the resubmission more accurately represent the cost-utility of publicly funding the proposed genetic testing as they are in line with others reported in the literature, which range between approximately $8,600 (Holland et al, 2009) and $49,000 per QALY (</w:t>
      </w:r>
      <w:proofErr w:type="spellStart"/>
      <w:r w:rsidRPr="007250EA">
        <w:rPr>
          <w:szCs w:val="24"/>
        </w:rPr>
        <w:t>Kaldate</w:t>
      </w:r>
      <w:proofErr w:type="spellEnd"/>
      <w:r w:rsidRPr="007250EA">
        <w:rPr>
          <w:szCs w:val="24"/>
        </w:rPr>
        <w:t xml:space="preserve"> et al, 2014).</w:t>
      </w:r>
    </w:p>
    <w:p w:rsidR="00D1277F" w:rsidRPr="009108FA" w:rsidRDefault="00D1277F" w:rsidP="00D1277F">
      <w:pPr>
        <w:rPr>
          <w:szCs w:val="24"/>
          <w:highlight w:val="cyan"/>
        </w:rPr>
      </w:pPr>
      <w:r w:rsidRPr="007250EA">
        <w:rPr>
          <w:szCs w:val="24"/>
        </w:rPr>
        <w:lastRenderedPageBreak/>
        <w:t xml:space="preserve">Overall, MSAC concluded that the new economic model demonstrated that the proposed genetic testing arrangement is cost effective for affected individuals </w:t>
      </w:r>
      <w:proofErr w:type="gramStart"/>
      <w:r w:rsidRPr="007250EA">
        <w:rPr>
          <w:szCs w:val="24"/>
        </w:rPr>
        <w:t>alone,</w:t>
      </w:r>
      <w:proofErr w:type="gramEnd"/>
      <w:r w:rsidRPr="007250EA">
        <w:rPr>
          <w:szCs w:val="24"/>
        </w:rPr>
        <w:t xml:space="preserve"> and </w:t>
      </w:r>
      <w:r w:rsidR="008E268B">
        <w:rPr>
          <w:szCs w:val="24"/>
        </w:rPr>
        <w:t xml:space="preserve">also </w:t>
      </w:r>
      <w:r w:rsidRPr="007250EA">
        <w:rPr>
          <w:szCs w:val="24"/>
        </w:rPr>
        <w:t>when extended to include cascade testing of first and second-degree family members.</w:t>
      </w:r>
    </w:p>
    <w:p w:rsidR="00D1277F" w:rsidRPr="007250EA" w:rsidRDefault="00D1277F" w:rsidP="00D1277F">
      <w:pPr>
        <w:rPr>
          <w:szCs w:val="24"/>
        </w:rPr>
      </w:pPr>
      <w:r w:rsidRPr="007250EA">
        <w:rPr>
          <w:szCs w:val="24"/>
        </w:rPr>
        <w:t>MSAC noted that residual concerns related to the financial and budgetary impact projections in the revised analysis. MSAC noted that the total expected costs to Government were anticipated to increase from approximately $5.0 million in 2016 ($2.2 million for testing and genetic counselling, $2.8 million for elective surgeries) to $7.0 million in 2020 ($3.1 million for testing and genetic counselling, $3.9 million for elective surgeries). However, MSAC emphasised that these financial projections were likely to depend on a number of implementation issues including the available capacity to conduct genetic testing and counselling, in addition to how requests for the proposed testing arrangements would be regulated. MSAC postulated that if the proposed testing was poorly regulated, this could lead to greater service demand with consequent price inflation and increased out-of-pocket costs.</w:t>
      </w:r>
    </w:p>
    <w:p w:rsidR="00D1277F" w:rsidRPr="007250EA" w:rsidRDefault="00D1277F" w:rsidP="00D1277F">
      <w:pPr>
        <w:rPr>
          <w:szCs w:val="24"/>
        </w:rPr>
      </w:pPr>
      <w:r w:rsidRPr="007250EA">
        <w:rPr>
          <w:szCs w:val="24"/>
        </w:rPr>
        <w:t xml:space="preserve">MSAC noted that genetic counselling resources are limited and expressed concern that increasing workload through the MBS, as a result of the proposed testing, would generate further demand. MSAC reiterated that affected individuals could have their testing ordered by their treating specialist, rather than a geneticist, noting that the consequences of a mutation being identified could be subsequently incorporated into their pre-existing care plans. However, the family members of </w:t>
      </w:r>
      <w:proofErr w:type="spellStart"/>
      <w:r w:rsidRPr="007250EA">
        <w:rPr>
          <w:szCs w:val="24"/>
        </w:rPr>
        <w:t>probands</w:t>
      </w:r>
      <w:proofErr w:type="spellEnd"/>
      <w:r w:rsidRPr="007250EA">
        <w:rPr>
          <w:szCs w:val="24"/>
        </w:rPr>
        <w:t xml:space="preserve"> would require a request for testing issued by a clinical geneticist and would require counselling. MSAC anticipated that the Department would need to explore options to facilitate greater access to genetic counselling to meet this increased demand and also recommended a review of testing claims on an annual basis post</w:t>
      </w:r>
      <w:r w:rsidR="001C372E">
        <w:rPr>
          <w:szCs w:val="24"/>
        </w:rPr>
        <w:noBreakHyphen/>
      </w:r>
      <w:r w:rsidRPr="007250EA">
        <w:rPr>
          <w:szCs w:val="24"/>
        </w:rPr>
        <w:t>listing.</w:t>
      </w:r>
    </w:p>
    <w:p w:rsidR="00D1277F" w:rsidRPr="007250EA" w:rsidRDefault="00D1277F" w:rsidP="00D1277F">
      <w:pPr>
        <w:rPr>
          <w:szCs w:val="24"/>
        </w:rPr>
      </w:pPr>
      <w:r w:rsidRPr="007250EA">
        <w:rPr>
          <w:szCs w:val="24"/>
        </w:rPr>
        <w:t>MSAC noted that utilising familial cancer centres and hereditary cancer clinics for cascade testing might result in leakage to wider cascade testing and/or shift costs onto the Commonwealth. MSAC also considered the possibility of laboratories undertaking genetic testing for an expanded panel, including genes which have not been approved in the current application, resulting in detection of other mutations for which there would be pressure to fund cascade testing under the associated MBS item. MSAC noted that this initial testing could be conducted without explicit additional pathology costs, but warned about the potential for downstream impacts associated with additional investigations and/or procedures. Therefore, MSAC also anticipated that the Department would need to consider the use of specific accreditation standards and to limit the definition of the initial set of genes to be tested in laboratories in order to mitigate leakage. In light of these concerns, MSAC advised that the budgetary and financial implications could be considerably greater than foreshadowed.</w:t>
      </w:r>
    </w:p>
    <w:p w:rsidR="00D1277F" w:rsidRPr="007250EA" w:rsidRDefault="00D1277F" w:rsidP="00D1277F">
      <w:pPr>
        <w:rPr>
          <w:szCs w:val="24"/>
        </w:rPr>
      </w:pPr>
      <w:r w:rsidRPr="007250EA">
        <w:rPr>
          <w:szCs w:val="24"/>
        </w:rPr>
        <w:t>MSAC noted that a descriptor relating to genetic counselling associated with the proposed testing was not devised for its consideration, as this was out of scope for consideration of this pilot application. However, MSAC indicated that MBS item 132, despite being used in the economic analysis, d</w:t>
      </w:r>
      <w:r w:rsidR="00722046">
        <w:rPr>
          <w:szCs w:val="24"/>
        </w:rPr>
        <w:t>id</w:t>
      </w:r>
      <w:r w:rsidRPr="007250EA">
        <w:rPr>
          <w:szCs w:val="24"/>
        </w:rPr>
        <w:t xml:space="preserve"> not appropriately describe the genetic counselling service to be provided</w:t>
      </w:r>
      <w:r w:rsidR="00722046">
        <w:rPr>
          <w:szCs w:val="24"/>
        </w:rPr>
        <w:t>,</w:t>
      </w:r>
      <w:r w:rsidRPr="007250EA">
        <w:rPr>
          <w:szCs w:val="24"/>
        </w:rPr>
        <w:t xml:space="preserve"> and therefore should not be used as the basis for the resulting MBS item descriptor.</w:t>
      </w:r>
    </w:p>
    <w:p w:rsidR="00D1277F" w:rsidRPr="007250EA" w:rsidRDefault="00D1277F" w:rsidP="00D1277F">
      <w:pPr>
        <w:rPr>
          <w:szCs w:val="24"/>
        </w:rPr>
      </w:pPr>
      <w:r w:rsidRPr="007250EA">
        <w:rPr>
          <w:szCs w:val="24"/>
        </w:rPr>
        <w:t xml:space="preserve">MSAC also noted that the fee proposed for the testing of affected individuals, as included in the resubmission, </w:t>
      </w:r>
      <w:r w:rsidR="00722046">
        <w:rPr>
          <w:szCs w:val="24"/>
        </w:rPr>
        <w:t>wa</w:t>
      </w:r>
      <w:r w:rsidRPr="007250EA">
        <w:rPr>
          <w:szCs w:val="24"/>
        </w:rPr>
        <w:t>s too high and might require revision.</w:t>
      </w:r>
      <w:r w:rsidR="00DE553F">
        <w:rPr>
          <w:szCs w:val="24"/>
        </w:rPr>
        <w:t xml:space="preserve"> MSAC suggested this fee should be aligned to other similar tests</w:t>
      </w:r>
      <w:r w:rsidR="004951E8">
        <w:rPr>
          <w:szCs w:val="24"/>
        </w:rPr>
        <w:t xml:space="preserve">. </w:t>
      </w:r>
      <w:r w:rsidR="00DE553F">
        <w:rPr>
          <w:szCs w:val="24"/>
        </w:rPr>
        <w:t>Application 1380</w:t>
      </w:r>
      <w:r w:rsidR="00722046">
        <w:rPr>
          <w:szCs w:val="24"/>
        </w:rPr>
        <w:t xml:space="preserve">, considered by MSAC at the same </w:t>
      </w:r>
      <w:r w:rsidR="00722046">
        <w:rPr>
          <w:szCs w:val="24"/>
        </w:rPr>
        <w:lastRenderedPageBreak/>
        <w:t>meeting, was also</w:t>
      </w:r>
      <w:r w:rsidR="00DE553F">
        <w:rPr>
          <w:szCs w:val="24"/>
        </w:rPr>
        <w:t xml:space="preserve"> for a </w:t>
      </w:r>
      <w:r w:rsidR="00DE553F" w:rsidRPr="00E47311">
        <w:rPr>
          <w:i/>
          <w:szCs w:val="24"/>
        </w:rPr>
        <w:t>BRCA</w:t>
      </w:r>
      <w:r w:rsidR="00DE553F">
        <w:rPr>
          <w:szCs w:val="24"/>
        </w:rPr>
        <w:t xml:space="preserve"> gene test and the fee for the affected individual </w:t>
      </w:r>
      <w:r w:rsidR="00722046">
        <w:rPr>
          <w:szCs w:val="24"/>
        </w:rPr>
        <w:t>was</w:t>
      </w:r>
      <w:r w:rsidR="00DE553F">
        <w:rPr>
          <w:szCs w:val="24"/>
        </w:rPr>
        <w:t xml:space="preserve"> $1,200. MSAC considered this a more appropriate fee for the affected individual.</w:t>
      </w:r>
    </w:p>
    <w:p w:rsidR="00D1277F" w:rsidRPr="007250EA" w:rsidRDefault="00D1277F" w:rsidP="00D1277F">
      <w:pPr>
        <w:rPr>
          <w:szCs w:val="24"/>
        </w:rPr>
      </w:pPr>
      <w:r w:rsidRPr="007250EA">
        <w:rPr>
          <w:szCs w:val="24"/>
        </w:rPr>
        <w:t>MSAC agreed to support MBS-listing for the proposed genetic testing arrangements given the evidence provided on its safety and effectiveness considered in November 2015 and the revised cost-effectiveness estimates considered at this meeting. However</w:t>
      </w:r>
      <w:r w:rsidR="00FD0945">
        <w:rPr>
          <w:szCs w:val="24"/>
        </w:rPr>
        <w:t>,</w:t>
      </w:r>
      <w:r w:rsidRPr="007250EA">
        <w:rPr>
          <w:szCs w:val="24"/>
        </w:rPr>
        <w:t xml:space="preserve"> MSAC advised that the additional demand placed by this testing would add pressure to the existing capacity of genetic counselling, and that uncontrolled testing of genes not identified for the MBS item descriptor might result in increased financial implications.</w:t>
      </w:r>
    </w:p>
    <w:p w:rsidR="00D1277F" w:rsidRPr="007250EA" w:rsidRDefault="00D1277F" w:rsidP="0067636A">
      <w:pPr>
        <w:spacing w:after="0"/>
        <w:rPr>
          <w:szCs w:val="24"/>
        </w:rPr>
      </w:pPr>
      <w:r w:rsidRPr="007250EA">
        <w:rPr>
          <w:szCs w:val="24"/>
        </w:rPr>
        <w:t xml:space="preserve">MSAC then reiterated that the other intention associated with this application was to develop a </w:t>
      </w:r>
      <w:proofErr w:type="spellStart"/>
      <w:r w:rsidRPr="007250EA">
        <w:rPr>
          <w:szCs w:val="24"/>
        </w:rPr>
        <w:t>proforma</w:t>
      </w:r>
      <w:proofErr w:type="spellEnd"/>
      <w:r w:rsidRPr="007250EA">
        <w:rPr>
          <w:szCs w:val="24"/>
        </w:rPr>
        <w:t xml:space="preserve"> that could be made publicly available as guidance for future applications. MSAC confirmed that the current application provided a basis for a modelling approach that the committee is comfortable with, both with regards to the clinical, economic and financial components. However, MSAC stressed the importance of clarifying what is expected of future applicants as part of sections 6 (economic) and 7 (financial) of the extended CUC </w:t>
      </w:r>
      <w:proofErr w:type="spellStart"/>
      <w:r w:rsidRPr="007250EA">
        <w:rPr>
          <w:szCs w:val="24"/>
        </w:rPr>
        <w:t>proforma</w:t>
      </w:r>
      <w:proofErr w:type="spellEnd"/>
      <w:r w:rsidRPr="007250EA">
        <w:rPr>
          <w:szCs w:val="24"/>
        </w:rPr>
        <w:t>, including what would be considered as acceptable inputs into the economic model. MSAC recommended that future applications use a modelling approach that aggregates incremental costs to be divided by the aggregated incremental QALYs. However, this modelling approach should then be used to present a base case which starts with affected individuals only and then calculates the further incremental cost-effectiveness of adding cascade testing to at least their first-degree family members. MSAC noted that other sensitivity analyses may be relevant:</w:t>
      </w:r>
    </w:p>
    <w:p w:rsidR="00D1277F" w:rsidRPr="009108FA" w:rsidRDefault="00D1277F" w:rsidP="009108FA">
      <w:pPr>
        <w:pStyle w:val="ListParagraph"/>
        <w:numPr>
          <w:ilvl w:val="0"/>
          <w:numId w:val="49"/>
        </w:numPr>
        <w:rPr>
          <w:szCs w:val="24"/>
        </w:rPr>
      </w:pPr>
      <w:r w:rsidRPr="009108FA">
        <w:rPr>
          <w:szCs w:val="24"/>
        </w:rPr>
        <w:t>affected individuals and cascade testing to their first-degree siblings alone;</w:t>
      </w:r>
    </w:p>
    <w:p w:rsidR="00D1277F" w:rsidRPr="009108FA" w:rsidRDefault="00D1277F" w:rsidP="009108FA">
      <w:pPr>
        <w:pStyle w:val="ListParagraph"/>
        <w:numPr>
          <w:ilvl w:val="0"/>
          <w:numId w:val="49"/>
        </w:numPr>
        <w:rPr>
          <w:szCs w:val="24"/>
        </w:rPr>
      </w:pPr>
      <w:r w:rsidRPr="009108FA">
        <w:rPr>
          <w:szCs w:val="24"/>
        </w:rPr>
        <w:t>affected individuals and cascade testing to their first-degree children alone;</w:t>
      </w:r>
    </w:p>
    <w:p w:rsidR="00D1277F" w:rsidRPr="009108FA" w:rsidRDefault="00D1277F" w:rsidP="009108FA">
      <w:pPr>
        <w:pStyle w:val="ListParagraph"/>
        <w:numPr>
          <w:ilvl w:val="0"/>
          <w:numId w:val="49"/>
        </w:numPr>
        <w:rPr>
          <w:szCs w:val="24"/>
        </w:rPr>
      </w:pPr>
      <w:proofErr w:type="gramStart"/>
      <w:r w:rsidRPr="009108FA">
        <w:rPr>
          <w:szCs w:val="24"/>
        </w:rPr>
        <w:t>affected</w:t>
      </w:r>
      <w:proofErr w:type="gramEnd"/>
      <w:r w:rsidRPr="009108FA">
        <w:rPr>
          <w:szCs w:val="24"/>
        </w:rPr>
        <w:t xml:space="preserve"> individuals and cascade testing to their first- and second-degree family members.</w:t>
      </w:r>
    </w:p>
    <w:p w:rsidR="00D1277F" w:rsidRPr="007250EA" w:rsidRDefault="00D1277F" w:rsidP="00D1277F">
      <w:pPr>
        <w:rPr>
          <w:szCs w:val="24"/>
        </w:rPr>
      </w:pPr>
      <w:r w:rsidRPr="007250EA">
        <w:rPr>
          <w:szCs w:val="24"/>
        </w:rPr>
        <w:t>MSAC reiterated that there was a risk that integrated economic models could be used inappropriately to conceal poor ICER results for subsets of the population (for example low prevalence gene mutations). In turn, MSAC emphasised that all integrated models should be constructed in a way which allows results for each of the modelled subgroups to be considered separately.</w:t>
      </w:r>
    </w:p>
    <w:p w:rsidR="00D1277F" w:rsidRPr="007250EA" w:rsidRDefault="00D1277F" w:rsidP="00D1277F">
      <w:pPr>
        <w:rPr>
          <w:szCs w:val="24"/>
        </w:rPr>
      </w:pPr>
      <w:r w:rsidRPr="007250EA">
        <w:rPr>
          <w:szCs w:val="24"/>
        </w:rPr>
        <w:t>MSAC recommended that future economic models should start with the most prominent “star performer” genes and the most prominent disease within any grouping of diseases. MSAC considered the impact of including additional diseases in the model noting that, as observed in the current application with the addition of ovarian cancer, this is likely to add greater complexity to the analysis. Therefore, MSAC advised that additional diseases should be added to the model only when required and noted that this could be expected to make the cost-effectiveness more favourable. MSAC also noted that it may be appropriate to test whether including additional gene</w:t>
      </w:r>
      <w:r w:rsidR="00FD0945">
        <w:rPr>
          <w:szCs w:val="24"/>
        </w:rPr>
        <w:t>s from the set beyond the “star-</w:t>
      </w:r>
      <w:r w:rsidRPr="007250EA">
        <w:rPr>
          <w:szCs w:val="24"/>
        </w:rPr>
        <w:t>performer” genes would substantially alter the cost-effectiveness</w:t>
      </w:r>
      <w:r w:rsidR="00722046">
        <w:rPr>
          <w:szCs w:val="24"/>
        </w:rPr>
        <w:t xml:space="preserve"> in incremental terms</w:t>
      </w:r>
      <w:r w:rsidRPr="007250EA">
        <w:rPr>
          <w:szCs w:val="24"/>
        </w:rPr>
        <w:t>. MSAC noted that the number of genes to be included for genetic testing in future applications would need to be based on clinical judgement and emphasised that the proposed set of genes must have a minimum level of clinical utility. MSAC noted that rare variants should not generally be included, as they are likely to significantly increase the ICERs generated.</w:t>
      </w:r>
    </w:p>
    <w:p w:rsidR="00D1277F" w:rsidRPr="007250EA" w:rsidRDefault="00D1277F" w:rsidP="00D1277F">
      <w:pPr>
        <w:rPr>
          <w:szCs w:val="24"/>
        </w:rPr>
      </w:pPr>
      <w:r w:rsidRPr="007250EA">
        <w:rPr>
          <w:szCs w:val="24"/>
        </w:rPr>
        <w:t>Although the consequences of avoiding births for untreatable conditions w</w:t>
      </w:r>
      <w:r w:rsidR="004951E8">
        <w:rPr>
          <w:szCs w:val="24"/>
        </w:rPr>
        <w:t>ere</w:t>
      </w:r>
      <w:r w:rsidRPr="007250EA">
        <w:rPr>
          <w:szCs w:val="24"/>
        </w:rPr>
        <w:t xml:space="preserve"> not included in the current application, MSAC noted that future applications may deal with such conditions. </w:t>
      </w:r>
      <w:r w:rsidRPr="007250EA">
        <w:rPr>
          <w:szCs w:val="24"/>
        </w:rPr>
        <w:lastRenderedPageBreak/>
        <w:t>In these cases, consideration will need to be given to calculating utilities for a child who would otherwise be born with a condition which cannot be treated</w:t>
      </w:r>
      <w:r w:rsidR="00FD0945">
        <w:rPr>
          <w:szCs w:val="24"/>
        </w:rPr>
        <w:t xml:space="preserve"> (and, possibly, those of the child’s parents)</w:t>
      </w:r>
      <w:r w:rsidRPr="007250EA">
        <w:rPr>
          <w:szCs w:val="24"/>
        </w:rPr>
        <w:t>. MSAC noted that an option for valuing these consequences is something the committee could develop in the future. MSAC also noted that the revised model in the current application did not capture the testing of parents or male children in scenario analyses and that these should be conducted, if relevant to diseases presented in future applications.</w:t>
      </w:r>
    </w:p>
    <w:p w:rsidR="00550354" w:rsidRPr="00707064" w:rsidRDefault="00D1277F" w:rsidP="00550354">
      <w:pPr>
        <w:rPr>
          <w:szCs w:val="24"/>
        </w:rPr>
      </w:pPr>
      <w:r w:rsidRPr="007250EA">
        <w:rPr>
          <w:szCs w:val="24"/>
        </w:rPr>
        <w:t xml:space="preserve">Pending a final review of sections 6 and 7 by ESC, MSAC noted that the CUC </w:t>
      </w:r>
      <w:proofErr w:type="spellStart"/>
      <w:r w:rsidRPr="007250EA">
        <w:rPr>
          <w:szCs w:val="24"/>
        </w:rPr>
        <w:t>proforma</w:t>
      </w:r>
      <w:proofErr w:type="spellEnd"/>
      <w:r w:rsidRPr="007250EA">
        <w:rPr>
          <w:szCs w:val="24"/>
        </w:rPr>
        <w:t xml:space="preserve"> (including the economic and financial analyses) for the current application would be made publicly available and should be used to guide future applications related to this type of genetic testing.</w:t>
      </w:r>
    </w:p>
    <w:p w:rsidR="00BC1364" w:rsidRPr="009108FA" w:rsidRDefault="00BC1364" w:rsidP="00DD2858">
      <w:pPr>
        <w:pStyle w:val="Heading1"/>
        <w:numPr>
          <w:ilvl w:val="0"/>
          <w:numId w:val="23"/>
        </w:numPr>
        <w:ind w:hanging="720"/>
      </w:pPr>
      <w:r w:rsidRPr="00D90A38">
        <w:t>Background</w:t>
      </w:r>
    </w:p>
    <w:p w:rsidR="00E47311" w:rsidRDefault="005E42B4" w:rsidP="004539DE">
      <w:r>
        <w:rPr>
          <w:szCs w:val="24"/>
        </w:rPr>
        <w:t xml:space="preserve">MSAC considered Application 1411 at the November 2015 meeting. </w:t>
      </w:r>
      <w:r w:rsidRPr="006E369E">
        <w:t xml:space="preserve">MSAC </w:t>
      </w:r>
      <w:r>
        <w:t>considered that the CUC provided strong evidence to support the analytical and clinical validity and clinical utility of the proposed genetic testing in the context of breast and/or ovarian cancer. However, MSAC had concerns regarding the adequacy of the economic analysis for decision-making and deferred public funding for testing so that the outstanding economic issues could be addressed.</w:t>
      </w:r>
    </w:p>
    <w:p w:rsidR="00E47311" w:rsidRPr="005E42B4" w:rsidRDefault="00E47311" w:rsidP="00E47311">
      <w:r>
        <w:t xml:space="preserve">The Public Summary Document for Application 1411 is available at </w:t>
      </w:r>
      <w:hyperlink r:id="rId11" w:tooltip="Link to Public Summary Document 1411" w:history="1">
        <w:r w:rsidR="0067636A">
          <w:rPr>
            <w:rStyle w:val="Hyperlink"/>
          </w:rPr>
          <w:t>MSA</w:t>
        </w:r>
        <w:r w:rsidR="0067636A">
          <w:rPr>
            <w:rStyle w:val="Hyperlink"/>
          </w:rPr>
          <w:t>C</w:t>
        </w:r>
        <w:r w:rsidR="0067636A">
          <w:rPr>
            <w:rStyle w:val="Hyperlink"/>
          </w:rPr>
          <w:t xml:space="preserve"> Application 1411</w:t>
        </w:r>
      </w:hyperlink>
    </w:p>
    <w:p w:rsidR="00BC1364" w:rsidRPr="009108FA" w:rsidRDefault="00BC1364" w:rsidP="009108FA">
      <w:pPr>
        <w:pStyle w:val="Heading1"/>
        <w:numPr>
          <w:ilvl w:val="0"/>
          <w:numId w:val="23"/>
        </w:numPr>
        <w:ind w:hanging="720"/>
      </w:pPr>
      <w:r w:rsidRPr="00D90A38">
        <w:t>Prerequisites to implementation of any funding advice</w:t>
      </w:r>
    </w:p>
    <w:p w:rsidR="00BC1364" w:rsidRPr="00ED0865" w:rsidRDefault="005E42B4" w:rsidP="009E0D98">
      <w:pPr>
        <w:tabs>
          <w:tab w:val="left" w:pos="720"/>
          <w:tab w:val="left" w:pos="1140"/>
        </w:tabs>
        <w:rPr>
          <w:szCs w:val="24"/>
        </w:rPr>
      </w:pPr>
      <w:proofErr w:type="gramStart"/>
      <w:r w:rsidRPr="00545277">
        <w:rPr>
          <w:szCs w:val="24"/>
        </w:rPr>
        <w:t>Nil</w:t>
      </w:r>
      <w:r w:rsidR="00A21D99">
        <w:rPr>
          <w:szCs w:val="24"/>
        </w:rPr>
        <w:t>.</w:t>
      </w:r>
      <w:proofErr w:type="gramEnd"/>
    </w:p>
    <w:p w:rsidR="00BC1364" w:rsidRPr="009108FA" w:rsidRDefault="00BC1364" w:rsidP="009108FA">
      <w:pPr>
        <w:pStyle w:val="Heading1"/>
        <w:numPr>
          <w:ilvl w:val="0"/>
          <w:numId w:val="23"/>
        </w:numPr>
        <w:ind w:hanging="720"/>
      </w:pPr>
      <w:r w:rsidRPr="007B32D1">
        <w:t>Proposal for public funding</w:t>
      </w:r>
    </w:p>
    <w:p w:rsidR="00351B14" w:rsidRPr="00393DD3" w:rsidRDefault="00351B14" w:rsidP="0067636A">
      <w:pPr>
        <w:spacing w:after="0"/>
        <w:rPr>
          <w:szCs w:val="24"/>
          <w:u w:val="single"/>
        </w:rPr>
      </w:pPr>
      <w:r w:rsidRPr="00393DD3">
        <w:rPr>
          <w:szCs w:val="24"/>
          <w:u w:val="single"/>
        </w:rPr>
        <w:t>Affected individuals</w:t>
      </w:r>
    </w:p>
    <w:p w:rsidR="00351B14" w:rsidRPr="00393DD3" w:rsidRDefault="00351B14" w:rsidP="0067636A">
      <w:pPr>
        <w:spacing w:after="0"/>
        <w:rPr>
          <w:rFonts w:eastAsia="Calibri"/>
        </w:rPr>
      </w:pPr>
      <w:r w:rsidRPr="00393DD3">
        <w:rPr>
          <w:rFonts w:eastAsia="Calibri"/>
          <w:iCs/>
        </w:rPr>
        <w:t xml:space="preserve">“Characterisation of germline gene variants, including at minimum </w:t>
      </w:r>
      <w:r w:rsidRPr="000473F9">
        <w:rPr>
          <w:rFonts w:eastAsia="Calibri"/>
          <w:i/>
          <w:iCs/>
        </w:rPr>
        <w:t>BRCA1</w:t>
      </w:r>
      <w:r w:rsidRPr="00393DD3">
        <w:rPr>
          <w:rFonts w:eastAsia="Calibri"/>
          <w:iCs/>
        </w:rPr>
        <w:t xml:space="preserve"> and/or </w:t>
      </w:r>
      <w:r w:rsidRPr="000473F9">
        <w:rPr>
          <w:rFonts w:eastAsia="Calibri"/>
          <w:i/>
          <w:iCs/>
        </w:rPr>
        <w:t>BRCA2</w:t>
      </w:r>
      <w:r w:rsidRPr="005C40BC">
        <w:rPr>
          <w:rFonts w:eastAsia="Calibri"/>
          <w:iCs/>
        </w:rPr>
        <w:t xml:space="preserve"> </w:t>
      </w:r>
      <w:r w:rsidRPr="00393DD3">
        <w:rPr>
          <w:rFonts w:eastAsia="Calibri"/>
          <w:iCs/>
        </w:rPr>
        <w:t>genes, in a patient with breast or ovarian cancer, in whom clinical and family history criteria have been determined by a treating specialist to be strongly suggestive of heritable breast/ovarian cancer predisposition based on the following criteria:</w:t>
      </w:r>
    </w:p>
    <w:p w:rsidR="00351B14" w:rsidRPr="00393DD3" w:rsidRDefault="00351B14" w:rsidP="0067636A">
      <w:pPr>
        <w:numPr>
          <w:ilvl w:val="0"/>
          <w:numId w:val="26"/>
        </w:numPr>
        <w:spacing w:after="0"/>
        <w:ind w:hanging="357"/>
      </w:pPr>
      <w:r w:rsidRPr="00393DD3">
        <w:rPr>
          <w:iCs/>
        </w:rPr>
        <w:t>A patient with breast and/or ovarian cancer whose personal or family history of cancer using a mutation prediction score predicts a combined mutation carrier probability of &gt;10% according to either BOADICEA, BRCAPRO or pathology-adjusted Manchester score (combined score of 16 or greater) OR</w:t>
      </w:r>
    </w:p>
    <w:p w:rsidR="00351B14" w:rsidRPr="00393DD3" w:rsidRDefault="00351B14" w:rsidP="0067636A">
      <w:pPr>
        <w:numPr>
          <w:ilvl w:val="0"/>
          <w:numId w:val="26"/>
        </w:numPr>
        <w:spacing w:after="0"/>
        <w:ind w:hanging="357"/>
      </w:pPr>
      <w:r w:rsidRPr="00393DD3">
        <w:rPr>
          <w:iCs/>
        </w:rPr>
        <w:t xml:space="preserve">A patient </w:t>
      </w:r>
      <w:r w:rsidR="006D1701">
        <w:rPr>
          <w:iCs/>
        </w:rPr>
        <w:t>who falls into one or more of the following specific categories</w:t>
      </w:r>
      <w:r>
        <w:rPr>
          <w:iCs/>
        </w:rPr>
        <w:t>:</w:t>
      </w:r>
    </w:p>
    <w:p w:rsidR="00351B14" w:rsidRPr="00393DD3" w:rsidRDefault="006D1701" w:rsidP="0067636A">
      <w:pPr>
        <w:numPr>
          <w:ilvl w:val="1"/>
          <w:numId w:val="26"/>
        </w:numPr>
        <w:spacing w:after="0"/>
        <w:ind w:hanging="357"/>
      </w:pPr>
      <w:r>
        <w:rPr>
          <w:iCs/>
        </w:rPr>
        <w:t xml:space="preserve">with a </w:t>
      </w:r>
      <w:r w:rsidR="00351B14" w:rsidRPr="00393DD3">
        <w:rPr>
          <w:iCs/>
        </w:rPr>
        <w:t>triple negative b</w:t>
      </w:r>
      <w:r w:rsidR="00351B14">
        <w:rPr>
          <w:iCs/>
        </w:rPr>
        <w:t>reast cancer and aged ≤40 years</w:t>
      </w:r>
    </w:p>
    <w:p w:rsidR="00351B14" w:rsidRPr="00393DD3" w:rsidRDefault="006D1701" w:rsidP="0067636A">
      <w:pPr>
        <w:numPr>
          <w:ilvl w:val="1"/>
          <w:numId w:val="26"/>
        </w:numPr>
        <w:spacing w:after="0"/>
        <w:ind w:hanging="357"/>
      </w:pPr>
      <w:r>
        <w:rPr>
          <w:iCs/>
        </w:rPr>
        <w:t xml:space="preserve">with an </w:t>
      </w:r>
      <w:r w:rsidR="00351B14" w:rsidRPr="00393DD3">
        <w:rPr>
          <w:iCs/>
        </w:rPr>
        <w:t>isolated high grade (Grades 2 &amp; 3) invasive non-mucinous ovarian, fallopian tube or primary peritoneal cancer aged ≤70 years</w:t>
      </w:r>
    </w:p>
    <w:p w:rsidR="00351B14" w:rsidRPr="00393DD3" w:rsidRDefault="006D1701" w:rsidP="0067636A">
      <w:pPr>
        <w:numPr>
          <w:ilvl w:val="1"/>
          <w:numId w:val="26"/>
        </w:numPr>
        <w:spacing w:after="0"/>
        <w:ind w:hanging="357"/>
      </w:pPr>
      <w:r>
        <w:rPr>
          <w:iCs/>
        </w:rPr>
        <w:t xml:space="preserve">with </w:t>
      </w:r>
      <w:r w:rsidR="00351B14" w:rsidRPr="00393DD3">
        <w:rPr>
          <w:iCs/>
        </w:rPr>
        <w:t>invasive non-mucinous ovarian, fallopian tube or primary peritoneal cancer at any age and a family hist</w:t>
      </w:r>
      <w:r w:rsidR="00351B14">
        <w:rPr>
          <w:iCs/>
        </w:rPr>
        <w:t>ory of breast or ovarian cancer</w:t>
      </w:r>
    </w:p>
    <w:p w:rsidR="00351B14" w:rsidRPr="000473F9" w:rsidRDefault="006D1701" w:rsidP="00351B14">
      <w:pPr>
        <w:numPr>
          <w:ilvl w:val="1"/>
          <w:numId w:val="26"/>
        </w:numPr>
        <w:ind w:left="1434" w:hanging="357"/>
      </w:pPr>
      <w:proofErr w:type="gramStart"/>
      <w:r>
        <w:rPr>
          <w:iCs/>
        </w:rPr>
        <w:t>with</w:t>
      </w:r>
      <w:proofErr w:type="gramEnd"/>
      <w:r>
        <w:rPr>
          <w:iCs/>
        </w:rPr>
        <w:t xml:space="preserve"> a </w:t>
      </w:r>
      <w:r w:rsidR="00351B14" w:rsidRPr="00393DD3">
        <w:rPr>
          <w:iCs/>
        </w:rPr>
        <w:t>personal and/or family history of breast and/or ovarian cancer, from a population where a common founder mutation exists.”</w:t>
      </w:r>
    </w:p>
    <w:p w:rsidR="00351B14" w:rsidRPr="000473F9" w:rsidRDefault="00351B14" w:rsidP="0067636A">
      <w:pPr>
        <w:spacing w:after="0"/>
      </w:pPr>
      <w:r w:rsidRPr="000473F9">
        <w:rPr>
          <w:szCs w:val="24"/>
          <w:u w:val="single"/>
        </w:rPr>
        <w:t>Family members</w:t>
      </w:r>
    </w:p>
    <w:p w:rsidR="00351B14" w:rsidRPr="009108FA" w:rsidRDefault="00351B14" w:rsidP="00351B14">
      <w:pPr>
        <w:rPr>
          <w:szCs w:val="24"/>
        </w:rPr>
      </w:pPr>
      <w:r w:rsidRPr="00393DD3">
        <w:rPr>
          <w:iCs/>
        </w:rPr>
        <w:t xml:space="preserve">“Request by a specialist familial cancer physician for the detection of a previously identified single gene variant, in a relative of a patient with known breast or ovarian cancer where </w:t>
      </w:r>
      <w:r w:rsidRPr="00393DD3">
        <w:rPr>
          <w:iCs/>
        </w:rPr>
        <w:lastRenderedPageBreak/>
        <w:t>previous genetic testing has detected a variant causative of hereditary familial cancer predisposition.</w:t>
      </w:r>
      <w:r>
        <w:rPr>
          <w:iCs/>
        </w:rPr>
        <w:t>”</w:t>
      </w:r>
    </w:p>
    <w:p w:rsidR="00DE553F" w:rsidRDefault="00351B14" w:rsidP="00351B14">
      <w:r>
        <w:t>Using this application as a prototype, MSAC proposed the following simplification of the item descriptors for applications using the CUC pro forma to apply for public funding of genetic testing.</w:t>
      </w:r>
    </w:p>
    <w:p w:rsidR="00DE553F" w:rsidRPr="009A631D" w:rsidRDefault="00DE553F" w:rsidP="0067636A">
      <w:pPr>
        <w:numPr>
          <w:ilvl w:val="0"/>
          <w:numId w:val="26"/>
        </w:numPr>
        <w:spacing w:after="0"/>
        <w:ind w:left="714" w:hanging="357"/>
        <w:rPr>
          <w:szCs w:val="24"/>
          <w:u w:val="single"/>
        </w:rPr>
      </w:pPr>
      <w:r w:rsidRPr="009A631D">
        <w:rPr>
          <w:szCs w:val="24"/>
          <w:u w:val="single"/>
        </w:rPr>
        <w:t xml:space="preserve">Diagnostic </w:t>
      </w:r>
      <w:r>
        <w:rPr>
          <w:szCs w:val="24"/>
          <w:u w:val="single"/>
        </w:rPr>
        <w:t xml:space="preserve">genetic </w:t>
      </w:r>
      <w:r w:rsidRPr="009A631D">
        <w:rPr>
          <w:szCs w:val="24"/>
          <w:u w:val="single"/>
        </w:rPr>
        <w:t>testing</w:t>
      </w:r>
      <w:r>
        <w:rPr>
          <w:szCs w:val="24"/>
          <w:u w:val="single"/>
        </w:rPr>
        <w:t xml:space="preserve"> of affected individuals</w:t>
      </w:r>
    </w:p>
    <w:p w:rsidR="00DE553F" w:rsidRPr="009108FA" w:rsidRDefault="00DE553F" w:rsidP="009108FA">
      <w:pPr>
        <w:pStyle w:val="ListParagraph"/>
        <w:rPr>
          <w:rFonts w:eastAsia="Calibri"/>
          <w:iCs/>
        </w:rPr>
      </w:pPr>
      <w:r w:rsidRPr="009A631D">
        <w:rPr>
          <w:rFonts w:eastAsia="Calibri"/>
          <w:iCs/>
        </w:rPr>
        <w:t xml:space="preserve">“Characterisation of germline gene variants in one or more of the following genes </w:t>
      </w:r>
      <w:r>
        <w:rPr>
          <w:rFonts w:eastAsia="Calibri"/>
          <w:iCs/>
        </w:rPr>
        <w:t>[</w:t>
      </w:r>
      <w:r w:rsidRPr="000468B6">
        <w:rPr>
          <w:rFonts w:eastAsia="Calibri"/>
          <w:i/>
          <w:iCs/>
        </w:rPr>
        <w:t>BRCA1</w:t>
      </w:r>
      <w:r w:rsidRPr="009A631D">
        <w:rPr>
          <w:rFonts w:eastAsia="Calibri"/>
          <w:iCs/>
        </w:rPr>
        <w:t xml:space="preserve">, </w:t>
      </w:r>
      <w:r w:rsidRPr="000468B6">
        <w:rPr>
          <w:rFonts w:eastAsia="Calibri"/>
          <w:i/>
          <w:iCs/>
        </w:rPr>
        <w:t>BRCA2</w:t>
      </w:r>
      <w:r w:rsidRPr="009A631D">
        <w:rPr>
          <w:rFonts w:eastAsia="Calibri"/>
          <w:iCs/>
        </w:rPr>
        <w:t xml:space="preserve">, </w:t>
      </w:r>
      <w:r w:rsidRPr="000468B6">
        <w:rPr>
          <w:i/>
        </w:rPr>
        <w:t>STK11</w:t>
      </w:r>
      <w:r w:rsidRPr="00697980">
        <w:t xml:space="preserve">, </w:t>
      </w:r>
      <w:r w:rsidRPr="000468B6">
        <w:rPr>
          <w:i/>
        </w:rPr>
        <w:t>PTEN</w:t>
      </w:r>
      <w:r w:rsidRPr="00697980">
        <w:t xml:space="preserve">, </w:t>
      </w:r>
      <w:r w:rsidRPr="000468B6">
        <w:rPr>
          <w:i/>
        </w:rPr>
        <w:t>CDH1</w:t>
      </w:r>
      <w:r w:rsidRPr="00697980">
        <w:t xml:space="preserve">, </w:t>
      </w:r>
      <w:r w:rsidRPr="000468B6">
        <w:rPr>
          <w:i/>
        </w:rPr>
        <w:t>PALB2</w:t>
      </w:r>
      <w:r w:rsidRPr="00697980">
        <w:t>,</w:t>
      </w:r>
      <w:r w:rsidRPr="007124B5">
        <w:t xml:space="preserve"> and </w:t>
      </w:r>
      <w:r w:rsidRPr="000468B6">
        <w:rPr>
          <w:i/>
        </w:rPr>
        <w:t>TP53</w:t>
      </w:r>
      <w:r>
        <w:t>]</w:t>
      </w:r>
      <w:r w:rsidRPr="009A631D">
        <w:rPr>
          <w:rFonts w:eastAsia="Calibri"/>
          <w:iCs/>
        </w:rPr>
        <w:t xml:space="preserve">, in a patient with </w:t>
      </w:r>
      <w:r>
        <w:rPr>
          <w:rFonts w:eastAsia="Calibri"/>
          <w:iCs/>
        </w:rPr>
        <w:t>[</w:t>
      </w:r>
      <w:r w:rsidRPr="009A631D">
        <w:rPr>
          <w:rFonts w:eastAsia="Calibri"/>
          <w:iCs/>
        </w:rPr>
        <w:t>breast or ovarian cancer</w:t>
      </w:r>
      <w:r>
        <w:rPr>
          <w:rFonts w:eastAsia="Calibri"/>
          <w:iCs/>
        </w:rPr>
        <w:t>]</w:t>
      </w:r>
      <w:r w:rsidRPr="009A631D">
        <w:rPr>
          <w:rFonts w:eastAsia="Calibri"/>
          <w:iCs/>
        </w:rPr>
        <w:t xml:space="preserve"> </w:t>
      </w:r>
      <w:r>
        <w:rPr>
          <w:rFonts w:eastAsia="Calibri"/>
          <w:iCs/>
        </w:rPr>
        <w:t>for</w:t>
      </w:r>
      <w:r w:rsidRPr="009A631D">
        <w:rPr>
          <w:rFonts w:eastAsia="Calibri"/>
          <w:iCs/>
        </w:rPr>
        <w:t xml:space="preserve"> whom clinical and family history criteria, as assessed by a treating specialist using a quantitative algorithm, place the patient at </w:t>
      </w:r>
      <w:r>
        <w:rPr>
          <w:rFonts w:eastAsia="Calibri"/>
          <w:iCs/>
        </w:rPr>
        <w:t>[</w:t>
      </w:r>
      <w:r w:rsidRPr="009A631D">
        <w:rPr>
          <w:rFonts w:eastAsia="Calibri"/>
          <w:iCs/>
        </w:rPr>
        <w:t>&gt;10%</w:t>
      </w:r>
      <w:r>
        <w:rPr>
          <w:rFonts w:eastAsia="Calibri"/>
          <w:iCs/>
        </w:rPr>
        <w:t>]</w:t>
      </w:r>
      <w:r w:rsidRPr="009A631D">
        <w:rPr>
          <w:rFonts w:eastAsia="Calibri"/>
          <w:iCs/>
        </w:rPr>
        <w:t xml:space="preserve"> risk of having a clinically actionable pathogenic mutation identified”.</w:t>
      </w:r>
    </w:p>
    <w:p w:rsidR="00DE553F" w:rsidRPr="000473F9" w:rsidRDefault="00DE553F" w:rsidP="0067636A">
      <w:pPr>
        <w:numPr>
          <w:ilvl w:val="0"/>
          <w:numId w:val="26"/>
        </w:numPr>
        <w:spacing w:after="0"/>
        <w:ind w:left="714" w:hanging="357"/>
      </w:pPr>
      <w:r w:rsidRPr="009A631D">
        <w:rPr>
          <w:szCs w:val="24"/>
          <w:u w:val="single"/>
        </w:rPr>
        <w:t xml:space="preserve">Predictive </w:t>
      </w:r>
      <w:r>
        <w:rPr>
          <w:szCs w:val="24"/>
          <w:u w:val="single"/>
        </w:rPr>
        <w:t xml:space="preserve">genetic </w:t>
      </w:r>
      <w:r w:rsidRPr="009A631D">
        <w:rPr>
          <w:szCs w:val="24"/>
          <w:u w:val="single"/>
        </w:rPr>
        <w:t>testing</w:t>
      </w:r>
      <w:r>
        <w:rPr>
          <w:szCs w:val="24"/>
          <w:u w:val="single"/>
        </w:rPr>
        <w:t xml:space="preserve"> of family members</w:t>
      </w:r>
    </w:p>
    <w:p w:rsidR="00351B14" w:rsidRPr="009108FA" w:rsidRDefault="00DE553F" w:rsidP="009108FA">
      <w:pPr>
        <w:pStyle w:val="ListParagraph"/>
        <w:rPr>
          <w:iCs/>
        </w:rPr>
      </w:pPr>
      <w:r w:rsidRPr="009A631D">
        <w:rPr>
          <w:iCs/>
        </w:rPr>
        <w:t xml:space="preserve">“Request by a clinical geneticist, or a medical specialist providing professional genetic counselling services, for the detection of a </w:t>
      </w:r>
      <w:r>
        <w:rPr>
          <w:iCs/>
        </w:rPr>
        <w:t xml:space="preserve">clinically actionable pathogenic </w:t>
      </w:r>
      <w:r w:rsidRPr="009A631D">
        <w:rPr>
          <w:iCs/>
        </w:rPr>
        <w:t>mutation previously identified in a gene listed in Item XXXX in a relative.</w:t>
      </w:r>
      <w:r>
        <w:rPr>
          <w:iCs/>
        </w:rPr>
        <w:t>”</w:t>
      </w:r>
    </w:p>
    <w:p w:rsidR="00BC1364" w:rsidRPr="009108FA" w:rsidRDefault="00BC1364" w:rsidP="00DD2858">
      <w:pPr>
        <w:pStyle w:val="Heading1"/>
        <w:numPr>
          <w:ilvl w:val="0"/>
          <w:numId w:val="23"/>
        </w:numPr>
        <w:ind w:hanging="720"/>
      </w:pPr>
      <w:r w:rsidRPr="007B32D1">
        <w:t xml:space="preserve">Summary of </w:t>
      </w:r>
      <w:r w:rsidR="003D7F29">
        <w:t>Public Consultation</w:t>
      </w:r>
      <w:r w:rsidRPr="007B32D1">
        <w:t xml:space="preserve"> Feedback</w:t>
      </w:r>
      <w:r w:rsidR="003D7F29">
        <w:t>/Consumer Issues</w:t>
      </w:r>
    </w:p>
    <w:p w:rsidR="00BC1364" w:rsidRPr="00ED0865" w:rsidRDefault="00351B14" w:rsidP="00DD2858">
      <w:pPr>
        <w:rPr>
          <w:szCs w:val="24"/>
        </w:rPr>
      </w:pPr>
      <w:r>
        <w:rPr>
          <w:szCs w:val="24"/>
        </w:rPr>
        <w:t xml:space="preserve">See Application1411 Public </w:t>
      </w:r>
      <w:r w:rsidR="004951E8">
        <w:rPr>
          <w:szCs w:val="24"/>
        </w:rPr>
        <w:t>S</w:t>
      </w:r>
      <w:r>
        <w:rPr>
          <w:szCs w:val="24"/>
        </w:rPr>
        <w:t>ummary Document.</w:t>
      </w:r>
    </w:p>
    <w:p w:rsidR="00BC1364" w:rsidRPr="009108FA" w:rsidRDefault="00BC1364" w:rsidP="00DD2858">
      <w:pPr>
        <w:pStyle w:val="Heading1"/>
        <w:numPr>
          <w:ilvl w:val="0"/>
          <w:numId w:val="23"/>
        </w:numPr>
        <w:ind w:hanging="720"/>
      </w:pPr>
      <w:r w:rsidRPr="00D90A38">
        <w:t>Proposed intervention’s place in clinical management</w:t>
      </w:r>
    </w:p>
    <w:p w:rsidR="00BC1364" w:rsidRPr="00ED0865" w:rsidRDefault="00351B14" w:rsidP="00DD2858">
      <w:pPr>
        <w:rPr>
          <w:szCs w:val="24"/>
        </w:rPr>
      </w:pPr>
      <w:r>
        <w:rPr>
          <w:szCs w:val="24"/>
        </w:rPr>
        <w:t>Genetic testing was proposed to be added to the management of populations selected for being of elevated risk of having an inherited mutation in particular genes, for whom a genetic diagnosis would improve overall subsequent clinical management.</w:t>
      </w:r>
    </w:p>
    <w:p w:rsidR="00BC1364" w:rsidRPr="009108FA" w:rsidRDefault="00ED0865" w:rsidP="00DD2858">
      <w:pPr>
        <w:pStyle w:val="Heading1"/>
        <w:numPr>
          <w:ilvl w:val="0"/>
          <w:numId w:val="23"/>
        </w:numPr>
        <w:ind w:hanging="720"/>
      </w:pPr>
      <w:r>
        <w:t>Comparator</w:t>
      </w:r>
    </w:p>
    <w:p w:rsidR="00BC1364" w:rsidRPr="00ED0865" w:rsidRDefault="00351B14" w:rsidP="009108FA">
      <w:pPr>
        <w:tabs>
          <w:tab w:val="num" w:pos="426"/>
        </w:tabs>
        <w:rPr>
          <w:szCs w:val="24"/>
        </w:rPr>
      </w:pPr>
      <w:r w:rsidRPr="00D53243">
        <w:t>N</w:t>
      </w:r>
      <w:r>
        <w:t>o genetic testing of the proposed populations</w:t>
      </w:r>
      <w:r w:rsidRPr="00D53243">
        <w:t>.</w:t>
      </w:r>
    </w:p>
    <w:p w:rsidR="00BC1364" w:rsidRPr="009108FA" w:rsidRDefault="00BC1364" w:rsidP="009108FA">
      <w:pPr>
        <w:pStyle w:val="Heading1"/>
        <w:numPr>
          <w:ilvl w:val="0"/>
          <w:numId w:val="23"/>
        </w:numPr>
        <w:ind w:hanging="720"/>
      </w:pPr>
      <w:r w:rsidRPr="008D5885">
        <w:t>Comparative safety</w:t>
      </w:r>
    </w:p>
    <w:p w:rsidR="00E47311" w:rsidRPr="00ED0865" w:rsidRDefault="00E47311" w:rsidP="00E47311">
      <w:pPr>
        <w:tabs>
          <w:tab w:val="left" w:pos="720"/>
          <w:tab w:val="left" w:pos="1140"/>
        </w:tabs>
        <w:rPr>
          <w:szCs w:val="24"/>
        </w:rPr>
      </w:pPr>
      <w:r w:rsidRPr="00351B14">
        <w:rPr>
          <w:szCs w:val="24"/>
        </w:rPr>
        <w:t xml:space="preserve">See </w:t>
      </w:r>
      <w:r>
        <w:rPr>
          <w:szCs w:val="24"/>
        </w:rPr>
        <w:t xml:space="preserve">Application 1411 </w:t>
      </w:r>
      <w:r w:rsidRPr="00351B14">
        <w:rPr>
          <w:szCs w:val="24"/>
        </w:rPr>
        <w:t>CUC</w:t>
      </w:r>
      <w:r>
        <w:rPr>
          <w:szCs w:val="24"/>
        </w:rPr>
        <w:t xml:space="preserve"> at </w:t>
      </w:r>
      <w:hyperlink r:id="rId12" w:tooltip="Link to Public Summary Document 1411" w:history="1">
        <w:r w:rsidR="0067636A">
          <w:rPr>
            <w:rStyle w:val="Hyperlink"/>
            <w:szCs w:val="24"/>
          </w:rPr>
          <w:t>MSAC Application 1411</w:t>
        </w:r>
      </w:hyperlink>
    </w:p>
    <w:p w:rsidR="00BC1364" w:rsidRPr="00ED0865" w:rsidRDefault="00BC1364" w:rsidP="00DD2858">
      <w:pPr>
        <w:pStyle w:val="Heading1"/>
        <w:numPr>
          <w:ilvl w:val="0"/>
          <w:numId w:val="23"/>
        </w:numPr>
        <w:ind w:hanging="720"/>
      </w:pPr>
      <w:r w:rsidRPr="008D5885">
        <w:t>Comparative effectiveness</w:t>
      </w:r>
    </w:p>
    <w:p w:rsidR="00E47311" w:rsidRPr="00ED0865" w:rsidRDefault="00E47311" w:rsidP="00E47311">
      <w:pPr>
        <w:tabs>
          <w:tab w:val="left" w:pos="720"/>
          <w:tab w:val="left" w:pos="1140"/>
        </w:tabs>
        <w:rPr>
          <w:szCs w:val="24"/>
        </w:rPr>
      </w:pPr>
      <w:r w:rsidRPr="00351B14">
        <w:rPr>
          <w:szCs w:val="24"/>
        </w:rPr>
        <w:t xml:space="preserve">See </w:t>
      </w:r>
      <w:r>
        <w:rPr>
          <w:szCs w:val="24"/>
        </w:rPr>
        <w:t xml:space="preserve">Application 1411 </w:t>
      </w:r>
      <w:r w:rsidRPr="00351B14">
        <w:rPr>
          <w:szCs w:val="24"/>
        </w:rPr>
        <w:t>CUC</w:t>
      </w:r>
      <w:r>
        <w:rPr>
          <w:szCs w:val="24"/>
        </w:rPr>
        <w:t xml:space="preserve"> at </w:t>
      </w:r>
      <w:hyperlink r:id="rId13" w:tooltip="Link to Public Summary Document 1411" w:history="1">
        <w:r w:rsidR="0067636A">
          <w:rPr>
            <w:rStyle w:val="Hyperlink"/>
            <w:szCs w:val="24"/>
          </w:rPr>
          <w:t>MSAC Application 1411</w:t>
        </w:r>
      </w:hyperlink>
    </w:p>
    <w:p w:rsidR="00BC1364" w:rsidRPr="009108FA" w:rsidRDefault="00BC1364" w:rsidP="00DD2858">
      <w:pPr>
        <w:pStyle w:val="Heading1"/>
        <w:numPr>
          <w:ilvl w:val="0"/>
          <w:numId w:val="23"/>
        </w:numPr>
        <w:ind w:hanging="720"/>
      </w:pPr>
      <w:r w:rsidRPr="008D5885">
        <w:t>Economic evaluation</w:t>
      </w:r>
    </w:p>
    <w:p w:rsidR="00351B14" w:rsidRPr="004F50D3" w:rsidRDefault="00351B14" w:rsidP="00351B14">
      <w:pPr>
        <w:rPr>
          <w:szCs w:val="24"/>
        </w:rPr>
      </w:pPr>
      <w:r>
        <w:rPr>
          <w:szCs w:val="24"/>
        </w:rPr>
        <w:t>A revised</w:t>
      </w:r>
      <w:r w:rsidRPr="004F50D3">
        <w:rPr>
          <w:szCs w:val="24"/>
        </w:rPr>
        <w:t xml:space="preserve"> </w:t>
      </w:r>
      <w:r>
        <w:rPr>
          <w:szCs w:val="24"/>
        </w:rPr>
        <w:t>economic evaluation wa</w:t>
      </w:r>
      <w:r w:rsidRPr="004F50D3">
        <w:rPr>
          <w:szCs w:val="24"/>
        </w:rPr>
        <w:t>s</w:t>
      </w:r>
      <w:r>
        <w:rPr>
          <w:szCs w:val="24"/>
        </w:rPr>
        <w:t xml:space="preserve"> presented</w:t>
      </w:r>
      <w:r w:rsidRPr="004F50D3">
        <w:rPr>
          <w:szCs w:val="24"/>
        </w:rPr>
        <w:t xml:space="preserve"> to assess the cost-effectiveness of </w:t>
      </w:r>
      <w:r w:rsidRPr="00E47311">
        <w:rPr>
          <w:i/>
          <w:szCs w:val="24"/>
        </w:rPr>
        <w:t>BRCA1</w:t>
      </w:r>
      <w:r w:rsidRPr="004F50D3">
        <w:rPr>
          <w:szCs w:val="24"/>
        </w:rPr>
        <w:t>/</w:t>
      </w:r>
      <w:r w:rsidRPr="00E47311">
        <w:rPr>
          <w:i/>
          <w:szCs w:val="24"/>
        </w:rPr>
        <w:t>BRCA2</w:t>
      </w:r>
      <w:r w:rsidRPr="004F50D3">
        <w:rPr>
          <w:szCs w:val="24"/>
        </w:rPr>
        <w:t xml:space="preserve"> mutation testing of affected individuals and </w:t>
      </w:r>
      <w:r>
        <w:rPr>
          <w:szCs w:val="24"/>
        </w:rPr>
        <w:t>the</w:t>
      </w:r>
      <w:r w:rsidRPr="004F50D3">
        <w:rPr>
          <w:szCs w:val="24"/>
        </w:rPr>
        <w:t xml:space="preserve"> family members of </w:t>
      </w:r>
      <w:r>
        <w:rPr>
          <w:szCs w:val="24"/>
        </w:rPr>
        <w:t>the affected individuals who test positive</w:t>
      </w:r>
      <w:r w:rsidRPr="004F50D3">
        <w:rPr>
          <w:szCs w:val="24"/>
        </w:rPr>
        <w:t xml:space="preserve"> (cascade testing). </w:t>
      </w:r>
      <w:r>
        <w:rPr>
          <w:szCs w:val="24"/>
        </w:rPr>
        <w:t xml:space="preserve">The model compared the costs and effects of </w:t>
      </w:r>
      <w:r w:rsidRPr="004F50D3">
        <w:rPr>
          <w:szCs w:val="24"/>
        </w:rPr>
        <w:t xml:space="preserve">genetic testing </w:t>
      </w:r>
      <w:r>
        <w:rPr>
          <w:szCs w:val="24"/>
        </w:rPr>
        <w:t xml:space="preserve">versus no genetic testing </w:t>
      </w:r>
      <w:r w:rsidRPr="004F50D3">
        <w:rPr>
          <w:szCs w:val="24"/>
        </w:rPr>
        <w:t>for the following cohorts:</w:t>
      </w:r>
    </w:p>
    <w:p w:rsidR="00351B14" w:rsidRPr="004F50D3" w:rsidRDefault="00351B14" w:rsidP="00351B14">
      <w:pPr>
        <w:pStyle w:val="ListParagraph"/>
        <w:numPr>
          <w:ilvl w:val="0"/>
          <w:numId w:val="27"/>
        </w:numPr>
        <w:jc w:val="both"/>
        <w:rPr>
          <w:szCs w:val="24"/>
        </w:rPr>
      </w:pPr>
      <w:r w:rsidRPr="004F50D3">
        <w:rPr>
          <w:szCs w:val="24"/>
        </w:rPr>
        <w:t xml:space="preserve">Clinically affected individuals (referred to as affected individuals herein). An affected individual </w:t>
      </w:r>
      <w:r w:rsidR="00ED0865">
        <w:rPr>
          <w:szCs w:val="24"/>
        </w:rPr>
        <w:t>wa</w:t>
      </w:r>
      <w:r w:rsidRPr="004F50D3">
        <w:rPr>
          <w:szCs w:val="24"/>
        </w:rPr>
        <w:t>s defined in the CUC as “</w:t>
      </w:r>
      <w:r w:rsidRPr="004F50D3">
        <w:rPr>
          <w:i/>
          <w:iCs/>
          <w:szCs w:val="24"/>
        </w:rPr>
        <w:t xml:space="preserve">a patient with breast and/or ovarian cancer whose personal or family history of cancer using a mutation prediction score predicts a combined mutation carrier probability of &gt;10%”. </w:t>
      </w:r>
      <w:r w:rsidRPr="004F50D3">
        <w:rPr>
          <w:szCs w:val="24"/>
        </w:rPr>
        <w:t>A</w:t>
      </w:r>
      <w:r w:rsidR="00ED0865">
        <w:rPr>
          <w:szCs w:val="24"/>
        </w:rPr>
        <w:t>n a</w:t>
      </w:r>
      <w:r w:rsidRPr="004F50D3">
        <w:rPr>
          <w:szCs w:val="24"/>
        </w:rPr>
        <w:t>ffected individual who test</w:t>
      </w:r>
      <w:r w:rsidR="00ED0865">
        <w:rPr>
          <w:szCs w:val="24"/>
        </w:rPr>
        <w:t>s</w:t>
      </w:r>
      <w:r w:rsidRPr="004F50D3">
        <w:rPr>
          <w:szCs w:val="24"/>
        </w:rPr>
        <w:t xml:space="preserve"> </w:t>
      </w:r>
      <w:r w:rsidRPr="004F50D3">
        <w:rPr>
          <w:szCs w:val="24"/>
        </w:rPr>
        <w:lastRenderedPageBreak/>
        <w:t xml:space="preserve">positive for </w:t>
      </w:r>
      <w:r w:rsidRPr="00E47311">
        <w:rPr>
          <w:i/>
          <w:szCs w:val="24"/>
        </w:rPr>
        <w:t>BRCA1</w:t>
      </w:r>
      <w:r w:rsidRPr="004F50D3">
        <w:rPr>
          <w:szCs w:val="24"/>
        </w:rPr>
        <w:t xml:space="preserve"> or </w:t>
      </w:r>
      <w:r w:rsidRPr="00E47311">
        <w:rPr>
          <w:i/>
          <w:szCs w:val="24"/>
        </w:rPr>
        <w:t>BRCA2</w:t>
      </w:r>
      <w:r w:rsidRPr="004F50D3">
        <w:rPr>
          <w:szCs w:val="24"/>
        </w:rPr>
        <w:t xml:space="preserve"> mutation (</w:t>
      </w:r>
      <w:proofErr w:type="spellStart"/>
      <w:proofErr w:type="gramStart"/>
      <w:r w:rsidRPr="004F50D3">
        <w:rPr>
          <w:szCs w:val="24"/>
        </w:rPr>
        <w:t>ie</w:t>
      </w:r>
      <w:proofErr w:type="spellEnd"/>
      <w:r w:rsidRPr="004F50D3">
        <w:rPr>
          <w:szCs w:val="24"/>
        </w:rPr>
        <w:t>.,</w:t>
      </w:r>
      <w:proofErr w:type="gramEnd"/>
      <w:r w:rsidRPr="004F50D3">
        <w:rPr>
          <w:szCs w:val="24"/>
        </w:rPr>
        <w:t xml:space="preserve"> mutation carrier) </w:t>
      </w:r>
      <w:r w:rsidR="00ED0865">
        <w:rPr>
          <w:szCs w:val="24"/>
        </w:rPr>
        <w:t>was referred to as a proband.</w:t>
      </w:r>
    </w:p>
    <w:p w:rsidR="00DB5833" w:rsidRPr="009108FA" w:rsidRDefault="00351B14" w:rsidP="00096B67">
      <w:pPr>
        <w:pStyle w:val="ListParagraph"/>
        <w:widowControl w:val="0"/>
        <w:numPr>
          <w:ilvl w:val="0"/>
          <w:numId w:val="27"/>
        </w:numPr>
        <w:jc w:val="both"/>
        <w:rPr>
          <w:szCs w:val="24"/>
        </w:rPr>
      </w:pPr>
      <w:r w:rsidRPr="004F50D3">
        <w:rPr>
          <w:szCs w:val="24"/>
        </w:rPr>
        <w:t xml:space="preserve">First degree family members of the </w:t>
      </w:r>
      <w:proofErr w:type="spellStart"/>
      <w:r w:rsidRPr="004F50D3">
        <w:rPr>
          <w:szCs w:val="24"/>
        </w:rPr>
        <w:t>proband</w:t>
      </w:r>
      <w:proofErr w:type="spellEnd"/>
      <w:r w:rsidRPr="004F50D3">
        <w:rPr>
          <w:szCs w:val="24"/>
        </w:rPr>
        <w:t xml:space="preserve"> (</w:t>
      </w:r>
      <w:proofErr w:type="spellStart"/>
      <w:proofErr w:type="gramStart"/>
      <w:r w:rsidRPr="004F50D3">
        <w:rPr>
          <w:szCs w:val="24"/>
        </w:rPr>
        <w:t>ie</w:t>
      </w:r>
      <w:proofErr w:type="spellEnd"/>
      <w:r w:rsidRPr="004F50D3">
        <w:rPr>
          <w:szCs w:val="24"/>
        </w:rPr>
        <w:t>.,</w:t>
      </w:r>
      <w:proofErr w:type="gramEnd"/>
      <w:r w:rsidRPr="004F50D3">
        <w:rPr>
          <w:szCs w:val="24"/>
        </w:rPr>
        <w:t xml:space="preserve"> siblings and children).</w:t>
      </w:r>
    </w:p>
    <w:p w:rsidR="00351B14" w:rsidRPr="004F50D3" w:rsidRDefault="00351B14" w:rsidP="00351B14">
      <w:pPr>
        <w:rPr>
          <w:szCs w:val="24"/>
        </w:rPr>
      </w:pPr>
      <w:r w:rsidRPr="004F50D3">
        <w:rPr>
          <w:szCs w:val="24"/>
        </w:rPr>
        <w:t xml:space="preserve">Only female affected individuals and their female family members </w:t>
      </w:r>
      <w:r w:rsidR="00ED0865">
        <w:rPr>
          <w:szCs w:val="24"/>
        </w:rPr>
        <w:t>were</w:t>
      </w:r>
      <w:r w:rsidR="00E47311">
        <w:rPr>
          <w:szCs w:val="24"/>
        </w:rPr>
        <w:t xml:space="preserve"> </w:t>
      </w:r>
      <w:r w:rsidRPr="004F50D3">
        <w:rPr>
          <w:szCs w:val="24"/>
        </w:rPr>
        <w:t xml:space="preserve">considered in the model because breast cancer is more common in females. In addition, females have clinical utility from testing; which means they can undertake preventative strategies (e.g., breast and/or ovarian surgery) to reduce their future risk of developing breast </w:t>
      </w:r>
      <w:r>
        <w:rPr>
          <w:szCs w:val="24"/>
        </w:rPr>
        <w:t>and/</w:t>
      </w:r>
      <w:r w:rsidR="00ED0865">
        <w:rPr>
          <w:szCs w:val="24"/>
        </w:rPr>
        <w:t>or ovarian cancer.</w:t>
      </w:r>
    </w:p>
    <w:p w:rsidR="00351B14" w:rsidRDefault="00ED0865" w:rsidP="00351B14">
      <w:pPr>
        <w:rPr>
          <w:szCs w:val="24"/>
        </w:rPr>
      </w:pPr>
      <w:r>
        <w:rPr>
          <w:szCs w:val="24"/>
        </w:rPr>
        <w:t>The s</w:t>
      </w:r>
      <w:r w:rsidR="00351B14">
        <w:rPr>
          <w:szCs w:val="24"/>
        </w:rPr>
        <w:t xml:space="preserve">tarting age of affected individuals and </w:t>
      </w:r>
      <w:proofErr w:type="spellStart"/>
      <w:r w:rsidR="00351B14">
        <w:rPr>
          <w:szCs w:val="24"/>
        </w:rPr>
        <w:t>proband’s</w:t>
      </w:r>
      <w:proofErr w:type="spellEnd"/>
      <w:r w:rsidR="00351B14">
        <w:rPr>
          <w:szCs w:val="24"/>
        </w:rPr>
        <w:t xml:space="preserve"> female siblings </w:t>
      </w:r>
      <w:r>
        <w:rPr>
          <w:szCs w:val="24"/>
        </w:rPr>
        <w:t>wa</w:t>
      </w:r>
      <w:r w:rsidR="00351B14">
        <w:rPr>
          <w:szCs w:val="24"/>
        </w:rPr>
        <w:t xml:space="preserve">s 40 years, whereas the starting age of </w:t>
      </w:r>
      <w:proofErr w:type="spellStart"/>
      <w:r w:rsidR="00351B14">
        <w:rPr>
          <w:szCs w:val="24"/>
        </w:rPr>
        <w:t>proband’s</w:t>
      </w:r>
      <w:proofErr w:type="spellEnd"/>
      <w:r w:rsidR="00351B14">
        <w:rPr>
          <w:szCs w:val="24"/>
        </w:rPr>
        <w:t xml:space="preserve"> female children </w:t>
      </w:r>
      <w:r>
        <w:rPr>
          <w:szCs w:val="24"/>
        </w:rPr>
        <w:t>wa</w:t>
      </w:r>
      <w:r w:rsidR="00351B14">
        <w:rPr>
          <w:szCs w:val="24"/>
        </w:rPr>
        <w:t xml:space="preserve">s assumed to be 10 years. The model assumed that </w:t>
      </w:r>
      <w:proofErr w:type="spellStart"/>
      <w:r w:rsidR="00351B14">
        <w:rPr>
          <w:szCs w:val="24"/>
        </w:rPr>
        <w:t>proband</w:t>
      </w:r>
      <w:proofErr w:type="spellEnd"/>
      <w:r w:rsidR="00351B14">
        <w:rPr>
          <w:szCs w:val="24"/>
        </w:rPr>
        <w:t xml:space="preserve"> and </w:t>
      </w:r>
      <w:proofErr w:type="spellStart"/>
      <w:r w:rsidR="00351B14">
        <w:rPr>
          <w:szCs w:val="24"/>
        </w:rPr>
        <w:t>proband’s</w:t>
      </w:r>
      <w:proofErr w:type="spellEnd"/>
      <w:r w:rsidR="00351B14">
        <w:rPr>
          <w:szCs w:val="24"/>
        </w:rPr>
        <w:t xml:space="preserve"> siblings w</w:t>
      </w:r>
      <w:r>
        <w:rPr>
          <w:szCs w:val="24"/>
        </w:rPr>
        <w:t>ould</w:t>
      </w:r>
      <w:r w:rsidR="00351B14">
        <w:rPr>
          <w:szCs w:val="24"/>
        </w:rPr>
        <w:t xml:space="preserve"> act within one year of learning that they carry a BRCA mutation and undertake a preventative</w:t>
      </w:r>
      <w:r w:rsidR="004951E8">
        <w:rPr>
          <w:szCs w:val="24"/>
        </w:rPr>
        <w:t xml:space="preserve"> procedure</w:t>
      </w:r>
      <w:r w:rsidR="00351B14">
        <w:rPr>
          <w:szCs w:val="24"/>
        </w:rPr>
        <w:t xml:space="preserve">; however, </w:t>
      </w:r>
      <w:proofErr w:type="spellStart"/>
      <w:r w:rsidR="00351B14">
        <w:rPr>
          <w:szCs w:val="24"/>
        </w:rPr>
        <w:t>proband’s</w:t>
      </w:r>
      <w:proofErr w:type="spellEnd"/>
      <w:r w:rsidR="00351B14">
        <w:rPr>
          <w:szCs w:val="24"/>
        </w:rPr>
        <w:t xml:space="preserve"> female children w</w:t>
      </w:r>
      <w:r>
        <w:rPr>
          <w:szCs w:val="24"/>
        </w:rPr>
        <w:t>ould</w:t>
      </w:r>
      <w:r w:rsidR="00351B14">
        <w:rPr>
          <w:szCs w:val="24"/>
        </w:rPr>
        <w:t xml:space="preserve"> not be tested until the age of 20 years and they w</w:t>
      </w:r>
      <w:r>
        <w:rPr>
          <w:szCs w:val="24"/>
        </w:rPr>
        <w:t>ould</w:t>
      </w:r>
      <w:r w:rsidR="00351B14">
        <w:rPr>
          <w:szCs w:val="24"/>
        </w:rPr>
        <w:t xml:space="preserve"> not undertake a surgical interventio</w:t>
      </w:r>
      <w:r>
        <w:rPr>
          <w:szCs w:val="24"/>
        </w:rPr>
        <w:t>n until the age of 30 years.</w:t>
      </w:r>
    </w:p>
    <w:p w:rsidR="00351B14" w:rsidRDefault="00351B14" w:rsidP="00351B14">
      <w:pPr>
        <w:rPr>
          <w:szCs w:val="24"/>
        </w:rPr>
      </w:pPr>
      <w:r>
        <w:rPr>
          <w:szCs w:val="24"/>
        </w:rPr>
        <w:t>The model ha</w:t>
      </w:r>
      <w:r w:rsidR="00ED0865">
        <w:rPr>
          <w:szCs w:val="24"/>
        </w:rPr>
        <w:t>d</w:t>
      </w:r>
      <w:r>
        <w:rPr>
          <w:szCs w:val="24"/>
        </w:rPr>
        <w:t xml:space="preserve"> a cycle length of one year and a lifetime horizon (until the age of 90 years). An annual discount rate of 5% was applied to QALYs, costs and life-years, but not to cancer events. </w:t>
      </w:r>
      <w:r w:rsidRPr="004F50D3">
        <w:rPr>
          <w:szCs w:val="24"/>
        </w:rPr>
        <w:t>The model estimate</w:t>
      </w:r>
      <w:r>
        <w:rPr>
          <w:szCs w:val="24"/>
        </w:rPr>
        <w:t>d</w:t>
      </w:r>
      <w:r w:rsidRPr="004F50D3">
        <w:rPr>
          <w:szCs w:val="24"/>
        </w:rPr>
        <w:t xml:space="preserve"> the incremental cost per: QALY gained, life-years gained, breast cancer case avoided, and per ovarian cancer case avoided. It also provide</w:t>
      </w:r>
      <w:r w:rsidR="00ED0865">
        <w:rPr>
          <w:szCs w:val="24"/>
        </w:rPr>
        <w:t>d</w:t>
      </w:r>
      <w:r w:rsidRPr="004F50D3">
        <w:rPr>
          <w:szCs w:val="24"/>
        </w:rPr>
        <w:t xml:space="preserve"> Markov traces for key clinical outcomes including survival, cumulative breast cancer risk and cumulative ovarian cancer risk, in each cohort. Sensitivity analyses </w:t>
      </w:r>
      <w:r w:rsidR="00ED0865">
        <w:rPr>
          <w:szCs w:val="24"/>
        </w:rPr>
        <w:t>we</w:t>
      </w:r>
      <w:r w:rsidRPr="004F50D3">
        <w:rPr>
          <w:szCs w:val="24"/>
        </w:rPr>
        <w:t>re performed to test the impact of altering assumptions and input parameters on overall results of the economic evaluation.</w:t>
      </w:r>
    </w:p>
    <w:p w:rsidR="00ED0865" w:rsidRPr="004F50D3" w:rsidRDefault="00351B14" w:rsidP="00351B14">
      <w:pPr>
        <w:rPr>
          <w:szCs w:val="24"/>
        </w:rPr>
      </w:pPr>
      <w:r>
        <w:rPr>
          <w:szCs w:val="24"/>
        </w:rPr>
        <w:t>Table 1 summarises key structura</w:t>
      </w:r>
      <w:r w:rsidR="00ED0865">
        <w:rPr>
          <w:szCs w:val="24"/>
        </w:rPr>
        <w:t>l assumptions in the new model.</w:t>
      </w:r>
    </w:p>
    <w:p w:rsidR="00351B14" w:rsidRPr="002235BE" w:rsidRDefault="00351B14" w:rsidP="0067636A">
      <w:pPr>
        <w:spacing w:after="0"/>
        <w:rPr>
          <w:rFonts w:ascii="Arial Narrow" w:hAnsi="Arial Narrow" w:cs="Arial"/>
          <w:b/>
          <w:sz w:val="20"/>
        </w:rPr>
      </w:pPr>
      <w:r w:rsidRPr="002235BE">
        <w:rPr>
          <w:rFonts w:ascii="Arial Narrow" w:hAnsi="Arial Narrow" w:cs="Arial"/>
          <w:b/>
          <w:sz w:val="20"/>
        </w:rPr>
        <w:t xml:space="preserve">Table </w:t>
      </w:r>
      <w:r>
        <w:rPr>
          <w:rFonts w:ascii="Arial Narrow" w:hAnsi="Arial Narrow" w:cs="Arial"/>
          <w:b/>
          <w:sz w:val="20"/>
        </w:rPr>
        <w:t>1:</w:t>
      </w:r>
      <w:r w:rsidRPr="002235BE">
        <w:rPr>
          <w:rFonts w:ascii="Arial Narrow" w:hAnsi="Arial Narrow" w:cs="Arial"/>
          <w:b/>
          <w:sz w:val="20"/>
        </w:rPr>
        <w:t xml:space="preserve"> Summary of the model structure</w:t>
      </w:r>
    </w:p>
    <w:tbl>
      <w:tblPr>
        <w:tblW w:w="0" w:type="auto"/>
        <w:tblLook w:val="04A0" w:firstRow="1" w:lastRow="0" w:firstColumn="1" w:lastColumn="0" w:noHBand="0" w:noVBand="1"/>
        <w:tblDescription w:val="Table 1: Summary of the model structure"/>
      </w:tblPr>
      <w:tblGrid>
        <w:gridCol w:w="1809"/>
        <w:gridCol w:w="7433"/>
      </w:tblGrid>
      <w:tr w:rsidR="00351B14" w:rsidRPr="002235BE" w:rsidTr="002724DF">
        <w:tc>
          <w:tcPr>
            <w:tcW w:w="1809" w:type="dxa"/>
          </w:tcPr>
          <w:p w:rsidR="00351B14" w:rsidRPr="00852011" w:rsidRDefault="00351B14" w:rsidP="00852011">
            <w:pPr>
              <w:pStyle w:val="TableText1"/>
              <w:rPr>
                <w:b/>
              </w:rPr>
            </w:pPr>
            <w:r w:rsidRPr="00852011">
              <w:rPr>
                <w:b/>
              </w:rPr>
              <w:t>Model type</w:t>
            </w:r>
          </w:p>
        </w:tc>
        <w:tc>
          <w:tcPr>
            <w:tcW w:w="7433" w:type="dxa"/>
          </w:tcPr>
          <w:p w:rsidR="00351B14" w:rsidRPr="002235BE" w:rsidRDefault="00351B14" w:rsidP="00852011">
            <w:pPr>
              <w:pStyle w:val="TableText1"/>
            </w:pPr>
            <w:r w:rsidRPr="002235BE">
              <w:t>Markov cohort</w:t>
            </w:r>
          </w:p>
        </w:tc>
      </w:tr>
      <w:tr w:rsidR="00351B14" w:rsidRPr="002235BE" w:rsidTr="002724DF">
        <w:tc>
          <w:tcPr>
            <w:tcW w:w="1809" w:type="dxa"/>
          </w:tcPr>
          <w:p w:rsidR="00351B14" w:rsidRPr="00852011" w:rsidRDefault="00351B14" w:rsidP="00852011">
            <w:pPr>
              <w:pStyle w:val="TableText1"/>
              <w:rPr>
                <w:b/>
              </w:rPr>
            </w:pPr>
            <w:r w:rsidRPr="00852011">
              <w:rPr>
                <w:b/>
              </w:rPr>
              <w:t>Cohorts</w:t>
            </w:r>
          </w:p>
        </w:tc>
        <w:tc>
          <w:tcPr>
            <w:tcW w:w="7433" w:type="dxa"/>
          </w:tcPr>
          <w:p w:rsidR="00351B14" w:rsidRPr="002235BE" w:rsidRDefault="00351B14" w:rsidP="00852011">
            <w:pPr>
              <w:pStyle w:val="TableText1"/>
              <w:numPr>
                <w:ilvl w:val="0"/>
                <w:numId w:val="50"/>
              </w:numPr>
            </w:pPr>
            <w:r w:rsidRPr="002235BE">
              <w:t>Female affected individuals</w:t>
            </w:r>
          </w:p>
          <w:p w:rsidR="00351B14" w:rsidRPr="002235BE" w:rsidRDefault="00351B14" w:rsidP="00852011">
            <w:pPr>
              <w:pStyle w:val="TableText1"/>
              <w:numPr>
                <w:ilvl w:val="0"/>
                <w:numId w:val="50"/>
              </w:numPr>
            </w:pPr>
            <w:proofErr w:type="spellStart"/>
            <w:r w:rsidRPr="002235BE">
              <w:t>Proband’s</w:t>
            </w:r>
            <w:proofErr w:type="spellEnd"/>
            <w:r w:rsidRPr="002235BE">
              <w:t xml:space="preserve"> female siblings </w:t>
            </w:r>
          </w:p>
          <w:p w:rsidR="00351B14" w:rsidRPr="002235BE" w:rsidRDefault="00351B14" w:rsidP="00852011">
            <w:pPr>
              <w:pStyle w:val="TableText1"/>
              <w:numPr>
                <w:ilvl w:val="0"/>
                <w:numId w:val="50"/>
              </w:numPr>
            </w:pPr>
            <w:proofErr w:type="spellStart"/>
            <w:r w:rsidRPr="002235BE">
              <w:t>Proband’s</w:t>
            </w:r>
            <w:proofErr w:type="spellEnd"/>
            <w:r w:rsidRPr="002235BE">
              <w:t xml:space="preserve"> female children </w:t>
            </w:r>
          </w:p>
        </w:tc>
      </w:tr>
      <w:tr w:rsidR="00351B14" w:rsidRPr="002235BE" w:rsidTr="002724DF">
        <w:tc>
          <w:tcPr>
            <w:tcW w:w="1809" w:type="dxa"/>
          </w:tcPr>
          <w:p w:rsidR="00351B14" w:rsidRPr="00852011" w:rsidRDefault="00351B14" w:rsidP="00852011">
            <w:pPr>
              <w:pStyle w:val="TableText1"/>
              <w:rPr>
                <w:b/>
              </w:rPr>
            </w:pPr>
            <w:r w:rsidRPr="00852011">
              <w:rPr>
                <w:b/>
              </w:rPr>
              <w:t xml:space="preserve">Start </w:t>
            </w:r>
            <w:r w:rsidR="00ED0865" w:rsidRPr="00852011">
              <w:rPr>
                <w:b/>
              </w:rPr>
              <w:t>a</w:t>
            </w:r>
            <w:r w:rsidRPr="00852011">
              <w:rPr>
                <w:b/>
              </w:rPr>
              <w:t>ge</w:t>
            </w:r>
          </w:p>
        </w:tc>
        <w:tc>
          <w:tcPr>
            <w:tcW w:w="7433" w:type="dxa"/>
          </w:tcPr>
          <w:p w:rsidR="00351B14" w:rsidRPr="002235BE" w:rsidRDefault="00351B14" w:rsidP="00852011">
            <w:pPr>
              <w:pStyle w:val="TableText1"/>
              <w:numPr>
                <w:ilvl w:val="0"/>
                <w:numId w:val="50"/>
              </w:numPr>
            </w:pPr>
            <w:r w:rsidRPr="002235BE">
              <w:t>Female affected individuals : 40 years</w:t>
            </w:r>
          </w:p>
          <w:p w:rsidR="00351B14" w:rsidRPr="002235BE" w:rsidRDefault="00351B14" w:rsidP="00852011">
            <w:pPr>
              <w:pStyle w:val="TableText1"/>
              <w:numPr>
                <w:ilvl w:val="0"/>
                <w:numId w:val="50"/>
              </w:numPr>
            </w:pPr>
            <w:proofErr w:type="spellStart"/>
            <w:r w:rsidRPr="002235BE">
              <w:t>Proband’s</w:t>
            </w:r>
            <w:proofErr w:type="spellEnd"/>
            <w:r w:rsidRPr="002235BE">
              <w:t xml:space="preserve"> female siblings : 40 years</w:t>
            </w:r>
          </w:p>
          <w:p w:rsidR="00351B14" w:rsidRPr="002235BE" w:rsidRDefault="00351B14" w:rsidP="00852011">
            <w:pPr>
              <w:pStyle w:val="TableText1"/>
              <w:numPr>
                <w:ilvl w:val="0"/>
                <w:numId w:val="50"/>
              </w:numPr>
            </w:pPr>
            <w:proofErr w:type="spellStart"/>
            <w:r w:rsidRPr="002235BE">
              <w:t>Proband’s</w:t>
            </w:r>
            <w:proofErr w:type="spellEnd"/>
            <w:r w:rsidRPr="002235BE">
              <w:t xml:space="preserve"> female children :10 years</w:t>
            </w:r>
          </w:p>
        </w:tc>
      </w:tr>
      <w:tr w:rsidR="00351B14" w:rsidRPr="002235BE" w:rsidTr="002724DF">
        <w:tc>
          <w:tcPr>
            <w:tcW w:w="1809" w:type="dxa"/>
          </w:tcPr>
          <w:p w:rsidR="00351B14" w:rsidRPr="00852011" w:rsidRDefault="00351B14" w:rsidP="00852011">
            <w:pPr>
              <w:pStyle w:val="TableText1"/>
              <w:rPr>
                <w:b/>
              </w:rPr>
            </w:pPr>
            <w:r w:rsidRPr="00852011">
              <w:rPr>
                <w:b/>
              </w:rPr>
              <w:t>Time horizon</w:t>
            </w:r>
          </w:p>
        </w:tc>
        <w:tc>
          <w:tcPr>
            <w:tcW w:w="7433" w:type="dxa"/>
          </w:tcPr>
          <w:p w:rsidR="00351B14" w:rsidRPr="002235BE" w:rsidRDefault="00351B14" w:rsidP="00852011">
            <w:pPr>
              <w:pStyle w:val="TableText1"/>
            </w:pPr>
            <w:r w:rsidRPr="002235BE">
              <w:t>Lifetime (Age = 90 years)</w:t>
            </w:r>
          </w:p>
        </w:tc>
      </w:tr>
      <w:tr w:rsidR="00351B14" w:rsidRPr="002235BE" w:rsidTr="002724DF">
        <w:tc>
          <w:tcPr>
            <w:tcW w:w="1809" w:type="dxa"/>
          </w:tcPr>
          <w:p w:rsidR="00351B14" w:rsidRPr="00852011" w:rsidRDefault="00351B14" w:rsidP="00852011">
            <w:pPr>
              <w:pStyle w:val="TableText1"/>
              <w:rPr>
                <w:b/>
              </w:rPr>
            </w:pPr>
            <w:r w:rsidRPr="00852011">
              <w:rPr>
                <w:b/>
              </w:rPr>
              <w:t>Cycle length</w:t>
            </w:r>
          </w:p>
        </w:tc>
        <w:tc>
          <w:tcPr>
            <w:tcW w:w="7433" w:type="dxa"/>
          </w:tcPr>
          <w:p w:rsidR="00351B14" w:rsidRPr="002235BE" w:rsidRDefault="00351B14" w:rsidP="00852011">
            <w:pPr>
              <w:pStyle w:val="TableText1"/>
            </w:pPr>
            <w:r w:rsidRPr="002235BE">
              <w:t>1 year</w:t>
            </w:r>
          </w:p>
        </w:tc>
      </w:tr>
      <w:tr w:rsidR="00351B14" w:rsidRPr="002235BE" w:rsidTr="002724DF">
        <w:tc>
          <w:tcPr>
            <w:tcW w:w="1809" w:type="dxa"/>
          </w:tcPr>
          <w:p w:rsidR="00351B14" w:rsidRPr="00852011" w:rsidRDefault="00351B14" w:rsidP="00852011">
            <w:pPr>
              <w:pStyle w:val="TableText1"/>
              <w:rPr>
                <w:b/>
              </w:rPr>
            </w:pPr>
            <w:r w:rsidRPr="00852011">
              <w:rPr>
                <w:b/>
              </w:rPr>
              <w:t>Discount rate</w:t>
            </w:r>
          </w:p>
        </w:tc>
        <w:tc>
          <w:tcPr>
            <w:tcW w:w="7433" w:type="dxa"/>
          </w:tcPr>
          <w:p w:rsidR="00351B14" w:rsidRPr="002235BE" w:rsidRDefault="00351B14" w:rsidP="00852011">
            <w:pPr>
              <w:pStyle w:val="TableText1"/>
            </w:pPr>
            <w:r w:rsidRPr="002235BE">
              <w:t>5% for costs, QALYs, and life-years gained, but not for cancer events</w:t>
            </w:r>
          </w:p>
        </w:tc>
      </w:tr>
      <w:tr w:rsidR="00351B14" w:rsidRPr="002235BE" w:rsidTr="002724DF">
        <w:tc>
          <w:tcPr>
            <w:tcW w:w="1809" w:type="dxa"/>
          </w:tcPr>
          <w:p w:rsidR="00351B14" w:rsidRPr="00852011" w:rsidRDefault="00351B14" w:rsidP="00852011">
            <w:pPr>
              <w:pStyle w:val="TableText1"/>
              <w:rPr>
                <w:b/>
              </w:rPr>
            </w:pPr>
            <w:r w:rsidRPr="00852011">
              <w:rPr>
                <w:b/>
              </w:rPr>
              <w:t>Outcomes</w:t>
            </w:r>
          </w:p>
        </w:tc>
        <w:tc>
          <w:tcPr>
            <w:tcW w:w="7433" w:type="dxa"/>
          </w:tcPr>
          <w:p w:rsidR="00351B14" w:rsidRPr="00852011" w:rsidRDefault="00351B14" w:rsidP="00852011">
            <w:pPr>
              <w:pStyle w:val="TableText1"/>
            </w:pPr>
            <w:r w:rsidRPr="00852011">
              <w:t>Total cost, QALYs gained, Life-years gained, breast cancer events, ovarian cancer events</w:t>
            </w:r>
          </w:p>
        </w:tc>
      </w:tr>
    </w:tbl>
    <w:p w:rsidR="006F04DC" w:rsidRPr="009108FA" w:rsidRDefault="00351B14" w:rsidP="006F04DC">
      <w:pPr>
        <w:rPr>
          <w:rFonts w:ascii="Arial Narrow" w:hAnsi="Arial Narrow" w:cs="Arial"/>
          <w:sz w:val="20"/>
        </w:rPr>
      </w:pPr>
      <w:r w:rsidRPr="002235BE">
        <w:rPr>
          <w:rFonts w:ascii="Arial Narrow" w:hAnsi="Arial Narrow" w:cs="Arial"/>
          <w:sz w:val="20"/>
        </w:rPr>
        <w:t>QALY = quality-adjusted life-year</w:t>
      </w:r>
    </w:p>
    <w:p w:rsidR="006F04DC" w:rsidRPr="009B454B" w:rsidRDefault="002724DF" w:rsidP="006F04DC">
      <w:pPr>
        <w:rPr>
          <w:szCs w:val="24"/>
        </w:rPr>
      </w:pPr>
      <w:r w:rsidRPr="009B454B">
        <w:rPr>
          <w:szCs w:val="24"/>
        </w:rPr>
        <w:t>The presented model addresse</w:t>
      </w:r>
      <w:r w:rsidR="00ED0865">
        <w:rPr>
          <w:szCs w:val="24"/>
        </w:rPr>
        <w:t>d</w:t>
      </w:r>
      <w:r w:rsidRPr="009B454B">
        <w:rPr>
          <w:szCs w:val="24"/>
        </w:rPr>
        <w:t xml:space="preserve"> the concerns around the previous economic evaluation in Sect</w:t>
      </w:r>
      <w:r w:rsidR="00ED0865">
        <w:rPr>
          <w:szCs w:val="24"/>
        </w:rPr>
        <w:t>ion 6 of the CUC as follows.</w:t>
      </w:r>
    </w:p>
    <w:p w:rsidR="002724DF" w:rsidRPr="004F50D3" w:rsidRDefault="002724DF" w:rsidP="00852011">
      <w:pPr>
        <w:spacing w:after="0"/>
        <w:rPr>
          <w:b/>
          <w:szCs w:val="24"/>
          <w:u w:val="single"/>
        </w:rPr>
      </w:pPr>
      <w:r w:rsidRPr="004F50D3">
        <w:rPr>
          <w:b/>
          <w:szCs w:val="24"/>
          <w:u w:val="single"/>
        </w:rPr>
        <w:t>Structural issues</w:t>
      </w:r>
    </w:p>
    <w:p w:rsidR="002724DF" w:rsidRPr="004F50D3" w:rsidRDefault="002724DF" w:rsidP="00AC5F98">
      <w:pPr>
        <w:pStyle w:val="ListParagraph"/>
        <w:numPr>
          <w:ilvl w:val="0"/>
          <w:numId w:val="30"/>
        </w:numPr>
        <w:rPr>
          <w:szCs w:val="24"/>
        </w:rPr>
      </w:pPr>
      <w:r w:rsidRPr="004F50D3">
        <w:rPr>
          <w:szCs w:val="24"/>
        </w:rPr>
        <w:t>Th</w:t>
      </w:r>
      <w:r w:rsidR="00ED0865">
        <w:rPr>
          <w:szCs w:val="24"/>
        </w:rPr>
        <w:t>e new</w:t>
      </w:r>
      <w:r w:rsidRPr="004F50D3">
        <w:rPr>
          <w:szCs w:val="24"/>
        </w:rPr>
        <w:t xml:space="preserve"> model evaluate</w:t>
      </w:r>
      <w:r w:rsidR="00ED0865">
        <w:rPr>
          <w:szCs w:val="24"/>
        </w:rPr>
        <w:t>d</w:t>
      </w:r>
      <w:r w:rsidRPr="004F50D3">
        <w:rPr>
          <w:szCs w:val="24"/>
        </w:rPr>
        <w:t xml:space="preserve"> the costs and consequences of </w:t>
      </w:r>
      <w:r w:rsidRPr="00E47311">
        <w:rPr>
          <w:i/>
          <w:szCs w:val="24"/>
        </w:rPr>
        <w:t>BRCA</w:t>
      </w:r>
      <w:r w:rsidRPr="004F50D3">
        <w:rPr>
          <w:szCs w:val="24"/>
        </w:rPr>
        <w:t xml:space="preserve"> mutation testing for both affected individuals and </w:t>
      </w:r>
      <w:proofErr w:type="spellStart"/>
      <w:r w:rsidRPr="004F50D3">
        <w:rPr>
          <w:szCs w:val="24"/>
        </w:rPr>
        <w:t>proband’s</w:t>
      </w:r>
      <w:proofErr w:type="spellEnd"/>
      <w:r w:rsidRPr="004F50D3">
        <w:rPr>
          <w:szCs w:val="24"/>
        </w:rPr>
        <w:t xml:space="preserve"> family members simultaneously (i.e., in one model). This integrated modelling </w:t>
      </w:r>
      <w:r w:rsidR="00ED0865">
        <w:rPr>
          <w:szCs w:val="24"/>
        </w:rPr>
        <w:t>wa</w:t>
      </w:r>
      <w:r w:rsidRPr="004F50D3">
        <w:rPr>
          <w:szCs w:val="24"/>
        </w:rPr>
        <w:t xml:space="preserve">s necessary to reflect the cascading in effects and costs when an affected individual is tested positive for the mutation. The estimated ICER </w:t>
      </w:r>
      <w:r w:rsidR="00ED0865">
        <w:rPr>
          <w:szCs w:val="24"/>
        </w:rPr>
        <w:t>wa</w:t>
      </w:r>
      <w:r w:rsidRPr="004F50D3">
        <w:rPr>
          <w:szCs w:val="24"/>
        </w:rPr>
        <w:t>s for the whole model and not a weighted average of ICERs. (NB: The previous model incorrectly calculated a weighted average ICER by weighting each ICER rather than weighting the incremental costs, weighting the incremental QALYs and then calculating the ICER).</w:t>
      </w:r>
    </w:p>
    <w:p w:rsidR="002724DF" w:rsidRPr="004F50D3" w:rsidRDefault="002724DF" w:rsidP="00AC5F98">
      <w:pPr>
        <w:pStyle w:val="ListParagraph"/>
        <w:numPr>
          <w:ilvl w:val="0"/>
          <w:numId w:val="31"/>
        </w:numPr>
        <w:rPr>
          <w:szCs w:val="24"/>
        </w:rPr>
      </w:pPr>
      <w:r w:rsidRPr="004F50D3">
        <w:rPr>
          <w:szCs w:val="24"/>
        </w:rPr>
        <w:lastRenderedPageBreak/>
        <w:t>For cascade analysis, th</w:t>
      </w:r>
      <w:r w:rsidR="00ED0865">
        <w:rPr>
          <w:szCs w:val="24"/>
        </w:rPr>
        <w:t>e new</w:t>
      </w:r>
      <w:r w:rsidRPr="004F50D3">
        <w:rPr>
          <w:szCs w:val="24"/>
        </w:rPr>
        <w:t xml:space="preserve"> model consider</w:t>
      </w:r>
      <w:r w:rsidR="00ED0865">
        <w:rPr>
          <w:szCs w:val="24"/>
        </w:rPr>
        <w:t>ed</w:t>
      </w:r>
      <w:r w:rsidRPr="004F50D3">
        <w:rPr>
          <w:szCs w:val="24"/>
        </w:rPr>
        <w:t xml:space="preserve"> first degree female family members (children and siblings) of </w:t>
      </w:r>
      <w:proofErr w:type="spellStart"/>
      <w:r w:rsidRPr="004F50D3">
        <w:rPr>
          <w:szCs w:val="24"/>
        </w:rPr>
        <w:t>probands</w:t>
      </w:r>
      <w:proofErr w:type="spellEnd"/>
      <w:r w:rsidRPr="004F50D3">
        <w:rPr>
          <w:szCs w:val="24"/>
        </w:rPr>
        <w:t xml:space="preserve"> in the base-case and the second degree relatives (female children of positively tested male and female si</w:t>
      </w:r>
      <w:r w:rsidR="00ED0865">
        <w:rPr>
          <w:szCs w:val="24"/>
        </w:rPr>
        <w:t>blings) in a scenario analysis.</w:t>
      </w:r>
    </w:p>
    <w:p w:rsidR="002724DF" w:rsidRPr="004F50D3" w:rsidRDefault="002724DF" w:rsidP="00AC5F98">
      <w:pPr>
        <w:pStyle w:val="ListParagraph"/>
        <w:numPr>
          <w:ilvl w:val="0"/>
          <w:numId w:val="31"/>
        </w:numPr>
        <w:rPr>
          <w:szCs w:val="24"/>
        </w:rPr>
      </w:pPr>
      <w:r w:rsidRPr="004F50D3">
        <w:rPr>
          <w:szCs w:val="24"/>
        </w:rPr>
        <w:t xml:space="preserve">The </w:t>
      </w:r>
      <w:r w:rsidR="00ED0865">
        <w:rPr>
          <w:szCs w:val="24"/>
        </w:rPr>
        <w:t>new</w:t>
      </w:r>
      <w:r w:rsidRPr="004F50D3">
        <w:rPr>
          <w:szCs w:val="24"/>
        </w:rPr>
        <w:t xml:space="preserve"> model include</w:t>
      </w:r>
      <w:r w:rsidR="00ED0865">
        <w:rPr>
          <w:szCs w:val="24"/>
        </w:rPr>
        <w:t>d</w:t>
      </w:r>
      <w:r w:rsidRPr="004F50D3">
        <w:rPr>
          <w:szCs w:val="24"/>
        </w:rPr>
        <w:t xml:space="preserve"> the risk of developing ovarian cancer and capture</w:t>
      </w:r>
      <w:r w:rsidR="00521AE9">
        <w:rPr>
          <w:szCs w:val="24"/>
        </w:rPr>
        <w:t>d</w:t>
      </w:r>
      <w:r w:rsidRPr="004F50D3">
        <w:rPr>
          <w:szCs w:val="24"/>
        </w:rPr>
        <w:t xml:space="preserve"> the costs and outcomes of this condition (including disutility). </w:t>
      </w:r>
      <w:r w:rsidRPr="00E47311">
        <w:rPr>
          <w:i/>
          <w:szCs w:val="24"/>
        </w:rPr>
        <w:t>BRCA</w:t>
      </w:r>
      <w:r w:rsidRPr="004F50D3">
        <w:rPr>
          <w:szCs w:val="24"/>
        </w:rPr>
        <w:t xml:space="preserve"> mutation carriers have increased risk of ovarian cancer compare</w:t>
      </w:r>
      <w:r w:rsidR="00521AE9">
        <w:rPr>
          <w:szCs w:val="24"/>
        </w:rPr>
        <w:t>d with the general population.</w:t>
      </w:r>
    </w:p>
    <w:p w:rsidR="002724DF" w:rsidRPr="004F50D3" w:rsidRDefault="002724DF" w:rsidP="00AC5F98">
      <w:pPr>
        <w:pStyle w:val="ListParagraph"/>
        <w:numPr>
          <w:ilvl w:val="0"/>
          <w:numId w:val="31"/>
        </w:numPr>
        <w:rPr>
          <w:szCs w:val="24"/>
        </w:rPr>
      </w:pPr>
      <w:r w:rsidRPr="004F50D3">
        <w:rPr>
          <w:szCs w:val="24"/>
        </w:rPr>
        <w:t xml:space="preserve">In addition to costs and QALYs, the </w:t>
      </w:r>
      <w:r w:rsidR="00521AE9">
        <w:rPr>
          <w:szCs w:val="24"/>
        </w:rPr>
        <w:t>new</w:t>
      </w:r>
      <w:r w:rsidRPr="004F50D3">
        <w:rPr>
          <w:szCs w:val="24"/>
        </w:rPr>
        <w:t xml:space="preserve"> model report</w:t>
      </w:r>
      <w:r w:rsidR="00521AE9">
        <w:rPr>
          <w:szCs w:val="24"/>
        </w:rPr>
        <w:t>ed</w:t>
      </w:r>
      <w:r w:rsidRPr="004F50D3">
        <w:rPr>
          <w:szCs w:val="24"/>
        </w:rPr>
        <w:t xml:space="preserve"> clinically relevant outcomes that </w:t>
      </w:r>
      <w:r w:rsidR="00521AE9">
        <w:rPr>
          <w:szCs w:val="24"/>
        </w:rPr>
        <w:t>we</w:t>
      </w:r>
      <w:r w:rsidRPr="004F50D3">
        <w:rPr>
          <w:szCs w:val="24"/>
        </w:rPr>
        <w:t xml:space="preserve">re useful for model validation and clinical practice such as life-years gained, breast cancer events, and ovarian cancer events. Further, the </w:t>
      </w:r>
      <w:r w:rsidR="00521AE9">
        <w:rPr>
          <w:szCs w:val="24"/>
        </w:rPr>
        <w:t xml:space="preserve">new </w:t>
      </w:r>
      <w:r w:rsidRPr="004F50D3">
        <w:rPr>
          <w:szCs w:val="24"/>
        </w:rPr>
        <w:t>model present</w:t>
      </w:r>
      <w:r w:rsidR="00521AE9">
        <w:rPr>
          <w:szCs w:val="24"/>
        </w:rPr>
        <w:t>ed</w:t>
      </w:r>
      <w:r w:rsidRPr="004F50D3">
        <w:rPr>
          <w:szCs w:val="24"/>
        </w:rPr>
        <w:t xml:space="preserve"> Markov traces of the included cohorts for overall survival, cumulative breast cancer risk over age, and cumulative ovarian cancer risk over age.</w:t>
      </w:r>
    </w:p>
    <w:p w:rsidR="002724DF" w:rsidRPr="009108FA" w:rsidRDefault="002724DF" w:rsidP="00521AE9">
      <w:pPr>
        <w:pStyle w:val="ListParagraph"/>
        <w:numPr>
          <w:ilvl w:val="0"/>
          <w:numId w:val="31"/>
        </w:numPr>
        <w:rPr>
          <w:szCs w:val="24"/>
        </w:rPr>
      </w:pPr>
      <w:r w:rsidRPr="004F50D3">
        <w:rPr>
          <w:szCs w:val="24"/>
        </w:rPr>
        <w:t>Th</w:t>
      </w:r>
      <w:r w:rsidR="00521AE9">
        <w:rPr>
          <w:szCs w:val="24"/>
        </w:rPr>
        <w:t>e new</w:t>
      </w:r>
      <w:r w:rsidRPr="004F50D3">
        <w:rPr>
          <w:szCs w:val="24"/>
        </w:rPr>
        <w:t xml:space="preserve"> model consider</w:t>
      </w:r>
      <w:r w:rsidR="00521AE9">
        <w:rPr>
          <w:szCs w:val="24"/>
        </w:rPr>
        <w:t>ed</w:t>
      </w:r>
      <w:r w:rsidRPr="004F50D3">
        <w:rPr>
          <w:szCs w:val="24"/>
        </w:rPr>
        <w:t xml:space="preserve"> real-life decision scenarios. For instance, </w:t>
      </w:r>
      <w:r w:rsidR="00521AE9">
        <w:rPr>
          <w:szCs w:val="24"/>
        </w:rPr>
        <w:t>it</w:t>
      </w:r>
      <w:r w:rsidRPr="004F50D3">
        <w:rPr>
          <w:szCs w:val="24"/>
        </w:rPr>
        <w:t xml:space="preserve"> assume</w:t>
      </w:r>
      <w:r w:rsidR="00521AE9">
        <w:rPr>
          <w:szCs w:val="24"/>
        </w:rPr>
        <w:t>d</w:t>
      </w:r>
      <w:r w:rsidRPr="004F50D3">
        <w:rPr>
          <w:szCs w:val="24"/>
        </w:rPr>
        <w:t xml:space="preserve"> that </w:t>
      </w:r>
      <w:proofErr w:type="spellStart"/>
      <w:r w:rsidRPr="004F50D3">
        <w:rPr>
          <w:szCs w:val="24"/>
        </w:rPr>
        <w:t>probands</w:t>
      </w:r>
      <w:proofErr w:type="spellEnd"/>
      <w:r w:rsidRPr="004F50D3">
        <w:rPr>
          <w:szCs w:val="24"/>
        </w:rPr>
        <w:t xml:space="preserve"> and their siblings who test positive w</w:t>
      </w:r>
      <w:r w:rsidR="00521AE9">
        <w:rPr>
          <w:szCs w:val="24"/>
        </w:rPr>
        <w:t>ould</w:t>
      </w:r>
      <w:r w:rsidRPr="004F50D3">
        <w:rPr>
          <w:szCs w:val="24"/>
        </w:rPr>
        <w:t xml:space="preserve"> make a decision to undertake preventative measures within one year after they learn the results of their test, whereas </w:t>
      </w:r>
      <w:proofErr w:type="spellStart"/>
      <w:r w:rsidRPr="004F50D3">
        <w:rPr>
          <w:szCs w:val="24"/>
        </w:rPr>
        <w:t>probands</w:t>
      </w:r>
      <w:proofErr w:type="spellEnd"/>
      <w:r w:rsidRPr="004F50D3">
        <w:rPr>
          <w:szCs w:val="24"/>
        </w:rPr>
        <w:t>’ children w</w:t>
      </w:r>
      <w:r w:rsidR="00521AE9">
        <w:rPr>
          <w:szCs w:val="24"/>
        </w:rPr>
        <w:t>ould</w:t>
      </w:r>
      <w:r w:rsidRPr="004F50D3">
        <w:rPr>
          <w:szCs w:val="24"/>
        </w:rPr>
        <w:t xml:space="preserve"> not undertake genetic testing and preventative measures until the</w:t>
      </w:r>
      <w:r w:rsidR="00521AE9">
        <w:rPr>
          <w:szCs w:val="24"/>
        </w:rPr>
        <w:t xml:space="preserve"> age of</w:t>
      </w:r>
      <w:r w:rsidRPr="004F50D3">
        <w:rPr>
          <w:szCs w:val="24"/>
        </w:rPr>
        <w:t xml:space="preserve"> 20 and 30 years</w:t>
      </w:r>
      <w:r w:rsidR="00521AE9">
        <w:rPr>
          <w:szCs w:val="24"/>
        </w:rPr>
        <w:t>, respectively.</w:t>
      </w:r>
    </w:p>
    <w:p w:rsidR="002724DF" w:rsidRPr="004F50D3" w:rsidRDefault="002724DF" w:rsidP="00852011">
      <w:pPr>
        <w:spacing w:after="0"/>
        <w:rPr>
          <w:b/>
          <w:szCs w:val="24"/>
          <w:u w:val="single"/>
        </w:rPr>
      </w:pPr>
      <w:r w:rsidRPr="004F50D3">
        <w:rPr>
          <w:b/>
          <w:szCs w:val="24"/>
          <w:u w:val="single"/>
        </w:rPr>
        <w:t>Input parameters</w:t>
      </w:r>
    </w:p>
    <w:p w:rsidR="002724DF" w:rsidRPr="004F50D3" w:rsidRDefault="002724DF" w:rsidP="00AC5F98">
      <w:pPr>
        <w:pStyle w:val="ListParagraph"/>
        <w:numPr>
          <w:ilvl w:val="0"/>
          <w:numId w:val="32"/>
        </w:numPr>
        <w:ind w:left="709" w:hanging="425"/>
        <w:rPr>
          <w:szCs w:val="24"/>
        </w:rPr>
      </w:pPr>
      <w:r w:rsidRPr="004F50D3">
        <w:rPr>
          <w:szCs w:val="24"/>
        </w:rPr>
        <w:t xml:space="preserve">The </w:t>
      </w:r>
      <w:r w:rsidR="00521AE9">
        <w:rPr>
          <w:szCs w:val="24"/>
        </w:rPr>
        <w:t xml:space="preserve">new </w:t>
      </w:r>
      <w:r w:rsidRPr="004F50D3">
        <w:rPr>
          <w:szCs w:val="24"/>
        </w:rPr>
        <w:t xml:space="preserve">model used most of the input parameters advised by the working group in terms of probabilities, costs and utilities. However, some inputs were added or </w:t>
      </w:r>
      <w:r w:rsidR="00521AE9">
        <w:rPr>
          <w:szCs w:val="24"/>
        </w:rPr>
        <w:t>modified to improve the model.</w:t>
      </w:r>
    </w:p>
    <w:p w:rsidR="002724DF" w:rsidRPr="004F50D3" w:rsidRDefault="002724DF" w:rsidP="00AC5F98">
      <w:pPr>
        <w:pStyle w:val="ListParagraph"/>
        <w:numPr>
          <w:ilvl w:val="0"/>
          <w:numId w:val="29"/>
        </w:numPr>
        <w:ind w:left="709" w:hanging="425"/>
        <w:rPr>
          <w:szCs w:val="24"/>
        </w:rPr>
      </w:pPr>
      <w:r w:rsidRPr="004F50D3">
        <w:rPr>
          <w:szCs w:val="24"/>
        </w:rPr>
        <w:t>Unlike the previous model, th</w:t>
      </w:r>
      <w:r w:rsidR="00521AE9">
        <w:rPr>
          <w:szCs w:val="24"/>
        </w:rPr>
        <w:t>e new</w:t>
      </w:r>
      <w:r w:rsidRPr="004F50D3">
        <w:rPr>
          <w:szCs w:val="24"/>
        </w:rPr>
        <w:t xml:space="preserve"> model d</w:t>
      </w:r>
      <w:r w:rsidR="00521AE9">
        <w:rPr>
          <w:szCs w:val="24"/>
        </w:rPr>
        <w:t>id</w:t>
      </w:r>
      <w:r w:rsidRPr="004F50D3">
        <w:rPr>
          <w:szCs w:val="24"/>
        </w:rPr>
        <w:t xml:space="preserve"> not use a fixed relative risk to the population incidence because a </w:t>
      </w:r>
      <w:r w:rsidRPr="00E47311">
        <w:rPr>
          <w:i/>
          <w:szCs w:val="24"/>
        </w:rPr>
        <w:t>BRCA</w:t>
      </w:r>
      <w:r w:rsidRPr="004F50D3">
        <w:rPr>
          <w:szCs w:val="24"/>
        </w:rPr>
        <w:t xml:space="preserve"> mutation is likely to increase the risk of breast and ovarian cancers at an earlier age compared to the general population. The </w:t>
      </w:r>
      <w:r w:rsidR="00521AE9">
        <w:rPr>
          <w:szCs w:val="24"/>
        </w:rPr>
        <w:t>new</w:t>
      </w:r>
      <w:r w:rsidRPr="004F50D3">
        <w:rPr>
          <w:szCs w:val="24"/>
        </w:rPr>
        <w:t xml:space="preserve"> model use</w:t>
      </w:r>
      <w:r w:rsidR="00521AE9">
        <w:rPr>
          <w:szCs w:val="24"/>
        </w:rPr>
        <w:t>d</w:t>
      </w:r>
      <w:r w:rsidRPr="004F50D3">
        <w:rPr>
          <w:szCs w:val="24"/>
        </w:rPr>
        <w:t xml:space="preserve"> the age-specific incidence of both breast and ovarian cancers reported in Antoniou </w:t>
      </w:r>
      <w:r w:rsidRPr="00521AE9">
        <w:rPr>
          <w:szCs w:val="24"/>
        </w:rPr>
        <w:t>et al</w:t>
      </w:r>
      <w:r w:rsidR="00521AE9">
        <w:rPr>
          <w:szCs w:val="24"/>
        </w:rPr>
        <w:t>,</w:t>
      </w:r>
      <w:r>
        <w:rPr>
          <w:szCs w:val="24"/>
        </w:rPr>
        <w:t xml:space="preserve"> </w:t>
      </w:r>
      <w:r w:rsidRPr="004F50D3">
        <w:rPr>
          <w:szCs w:val="24"/>
        </w:rPr>
        <w:t>2003. Although these estimates represent</w:t>
      </w:r>
      <w:r w:rsidR="006F04DC">
        <w:rPr>
          <w:szCs w:val="24"/>
        </w:rPr>
        <w:t>ed</w:t>
      </w:r>
      <w:r w:rsidRPr="004F50D3">
        <w:rPr>
          <w:szCs w:val="24"/>
        </w:rPr>
        <w:t xml:space="preserve"> incidence from England and Wales and may not be representative of the Australian population, the cumulative incidence in that study was confirmed </w:t>
      </w:r>
      <w:r>
        <w:rPr>
          <w:szCs w:val="24"/>
        </w:rPr>
        <w:t>in a meta-analysis</w:t>
      </w:r>
      <w:r w:rsidRPr="004F50D3">
        <w:rPr>
          <w:szCs w:val="24"/>
        </w:rPr>
        <w:t xml:space="preserve"> </w:t>
      </w:r>
      <w:r>
        <w:rPr>
          <w:szCs w:val="24"/>
        </w:rPr>
        <w:t xml:space="preserve">by </w:t>
      </w:r>
      <w:r w:rsidRPr="004F50D3">
        <w:rPr>
          <w:szCs w:val="24"/>
        </w:rPr>
        <w:t xml:space="preserve">Chen and </w:t>
      </w:r>
      <w:proofErr w:type="spellStart"/>
      <w:r w:rsidRPr="004F50D3">
        <w:rPr>
          <w:szCs w:val="24"/>
        </w:rPr>
        <w:t>Parmigiani</w:t>
      </w:r>
      <w:proofErr w:type="spellEnd"/>
      <w:r w:rsidR="006F04DC">
        <w:rPr>
          <w:szCs w:val="24"/>
        </w:rPr>
        <w:t>, 2007</w:t>
      </w:r>
      <w:r w:rsidRPr="004F50D3">
        <w:rPr>
          <w:szCs w:val="24"/>
        </w:rPr>
        <w:t xml:space="preserve">. Among carriers of </w:t>
      </w:r>
      <w:r w:rsidRPr="00E47311">
        <w:rPr>
          <w:i/>
          <w:szCs w:val="24"/>
        </w:rPr>
        <w:t>BRCA1</w:t>
      </w:r>
      <w:r w:rsidRPr="004F50D3">
        <w:rPr>
          <w:szCs w:val="24"/>
        </w:rPr>
        <w:t xml:space="preserve"> or </w:t>
      </w:r>
      <w:r w:rsidRPr="00E47311">
        <w:rPr>
          <w:i/>
          <w:szCs w:val="24"/>
        </w:rPr>
        <w:t>BRCA2</w:t>
      </w:r>
      <w:r w:rsidRPr="004F50D3">
        <w:rPr>
          <w:szCs w:val="24"/>
        </w:rPr>
        <w:t xml:space="preserve"> mutations, the cumulative lifetime risk of developing breast cancer </w:t>
      </w:r>
      <w:r w:rsidR="006F04DC">
        <w:rPr>
          <w:szCs w:val="24"/>
        </w:rPr>
        <w:t>wa</w:t>
      </w:r>
      <w:r w:rsidRPr="004F50D3">
        <w:rPr>
          <w:szCs w:val="24"/>
        </w:rPr>
        <w:t xml:space="preserve">s 50–60% and the equivalent risk of ovarian cancer </w:t>
      </w:r>
      <w:r w:rsidR="006F04DC">
        <w:rPr>
          <w:szCs w:val="24"/>
        </w:rPr>
        <w:t>wa</w:t>
      </w:r>
      <w:r w:rsidRPr="004F50D3">
        <w:rPr>
          <w:szCs w:val="24"/>
        </w:rPr>
        <w:t xml:space="preserve">s 20–40%. The impact of using an age-specific incidence versus a fixed relative risk </w:t>
      </w:r>
      <w:r w:rsidR="006F04DC">
        <w:rPr>
          <w:szCs w:val="24"/>
        </w:rPr>
        <w:t>wa</w:t>
      </w:r>
      <w:r w:rsidRPr="004F50D3">
        <w:rPr>
          <w:szCs w:val="24"/>
        </w:rPr>
        <w:t>s te</w:t>
      </w:r>
      <w:r w:rsidR="006F04DC">
        <w:rPr>
          <w:szCs w:val="24"/>
        </w:rPr>
        <w:t>sted in a sensitivity analysis.</w:t>
      </w:r>
    </w:p>
    <w:p w:rsidR="002724DF" w:rsidRPr="004F50D3" w:rsidRDefault="002724DF" w:rsidP="00AC5F98">
      <w:pPr>
        <w:pStyle w:val="ListParagraph"/>
        <w:numPr>
          <w:ilvl w:val="0"/>
          <w:numId w:val="29"/>
        </w:numPr>
        <w:ind w:left="709" w:hanging="425"/>
        <w:rPr>
          <w:szCs w:val="24"/>
        </w:rPr>
      </w:pPr>
      <w:r w:rsidRPr="004F50D3">
        <w:rPr>
          <w:szCs w:val="24"/>
        </w:rPr>
        <w:t xml:space="preserve">Instead of adopting </w:t>
      </w:r>
      <w:r>
        <w:rPr>
          <w:szCs w:val="24"/>
        </w:rPr>
        <w:t xml:space="preserve">the </w:t>
      </w:r>
      <w:r w:rsidRPr="004F50D3">
        <w:rPr>
          <w:szCs w:val="24"/>
        </w:rPr>
        <w:t xml:space="preserve">cancer risk </w:t>
      </w:r>
      <w:r>
        <w:rPr>
          <w:szCs w:val="24"/>
        </w:rPr>
        <w:t>from</w:t>
      </w:r>
      <w:r w:rsidRPr="004F50D3">
        <w:rPr>
          <w:szCs w:val="24"/>
        </w:rPr>
        <w:t xml:space="preserve"> </w:t>
      </w:r>
      <w:r w:rsidRPr="00E47311">
        <w:rPr>
          <w:i/>
          <w:szCs w:val="24"/>
        </w:rPr>
        <w:t>BRCA1</w:t>
      </w:r>
      <w:r w:rsidRPr="004F50D3">
        <w:rPr>
          <w:szCs w:val="24"/>
        </w:rPr>
        <w:t xml:space="preserve"> mutation only, the </w:t>
      </w:r>
      <w:r w:rsidR="006F04DC">
        <w:rPr>
          <w:szCs w:val="24"/>
        </w:rPr>
        <w:t>new</w:t>
      </w:r>
      <w:r w:rsidRPr="004F50D3">
        <w:rPr>
          <w:szCs w:val="24"/>
        </w:rPr>
        <w:t xml:space="preserve"> model consider</w:t>
      </w:r>
      <w:r w:rsidR="006F04DC">
        <w:rPr>
          <w:szCs w:val="24"/>
        </w:rPr>
        <w:t>ed</w:t>
      </w:r>
      <w:r w:rsidRPr="004F50D3">
        <w:rPr>
          <w:szCs w:val="24"/>
        </w:rPr>
        <w:t xml:space="preserve"> the lower risk with </w:t>
      </w:r>
      <w:r w:rsidRPr="00E47311">
        <w:rPr>
          <w:i/>
          <w:szCs w:val="24"/>
        </w:rPr>
        <w:t>BRCA2</w:t>
      </w:r>
      <w:r w:rsidRPr="004F50D3">
        <w:rPr>
          <w:szCs w:val="24"/>
        </w:rPr>
        <w:t xml:space="preserve"> mutation and use</w:t>
      </w:r>
      <w:r w:rsidR="006F04DC">
        <w:rPr>
          <w:szCs w:val="24"/>
        </w:rPr>
        <w:t>d</w:t>
      </w:r>
      <w:r w:rsidRPr="004F50D3">
        <w:rPr>
          <w:szCs w:val="24"/>
        </w:rPr>
        <w:t xml:space="preserve"> the weighted average risk based on 54% and 46% prevalence for</w:t>
      </w:r>
      <w:r>
        <w:rPr>
          <w:szCs w:val="24"/>
        </w:rPr>
        <w:t xml:space="preserve"> </w:t>
      </w:r>
      <w:r w:rsidRPr="00E47311">
        <w:rPr>
          <w:i/>
          <w:szCs w:val="24"/>
        </w:rPr>
        <w:t>BRCA1</w:t>
      </w:r>
      <w:r>
        <w:rPr>
          <w:szCs w:val="24"/>
        </w:rPr>
        <w:t xml:space="preserve"> and </w:t>
      </w:r>
      <w:r w:rsidRPr="00E47311">
        <w:rPr>
          <w:i/>
          <w:szCs w:val="24"/>
        </w:rPr>
        <w:t>BRCA2</w:t>
      </w:r>
      <w:r>
        <w:rPr>
          <w:szCs w:val="24"/>
        </w:rPr>
        <w:t>, respectively</w:t>
      </w:r>
      <w:r w:rsidR="00521AE9">
        <w:rPr>
          <w:szCs w:val="24"/>
        </w:rPr>
        <w:t xml:space="preserve"> (Collins et al, 2013)</w:t>
      </w:r>
      <w:r>
        <w:rPr>
          <w:szCs w:val="24"/>
        </w:rPr>
        <w:t>.</w:t>
      </w:r>
    </w:p>
    <w:p w:rsidR="002724DF" w:rsidRPr="009108FA" w:rsidRDefault="002724DF" w:rsidP="002724DF">
      <w:pPr>
        <w:pStyle w:val="ListParagraph"/>
        <w:numPr>
          <w:ilvl w:val="0"/>
          <w:numId w:val="29"/>
        </w:numPr>
        <w:ind w:left="709" w:hanging="425"/>
        <w:rPr>
          <w:szCs w:val="24"/>
        </w:rPr>
      </w:pPr>
      <w:r>
        <w:rPr>
          <w:szCs w:val="24"/>
        </w:rPr>
        <w:t>In its base-</w:t>
      </w:r>
      <w:r w:rsidRPr="004F50D3">
        <w:rPr>
          <w:szCs w:val="24"/>
        </w:rPr>
        <w:t xml:space="preserve">case, the </w:t>
      </w:r>
      <w:r w:rsidR="006F04DC">
        <w:rPr>
          <w:szCs w:val="24"/>
        </w:rPr>
        <w:t>new</w:t>
      </w:r>
      <w:r w:rsidRPr="004F50D3">
        <w:rPr>
          <w:szCs w:val="24"/>
        </w:rPr>
        <w:t xml:space="preserve"> model adopt</w:t>
      </w:r>
      <w:r w:rsidR="006F04DC">
        <w:rPr>
          <w:szCs w:val="24"/>
        </w:rPr>
        <w:t>ed</w:t>
      </w:r>
      <w:r w:rsidRPr="004F50D3">
        <w:rPr>
          <w:szCs w:val="24"/>
        </w:rPr>
        <w:t xml:space="preserve"> the utilisation of preventative strategies proposed by the working group, which </w:t>
      </w:r>
      <w:r w:rsidR="006F04DC">
        <w:rPr>
          <w:szCs w:val="24"/>
        </w:rPr>
        <w:t>wa</w:t>
      </w:r>
      <w:r w:rsidRPr="004F50D3">
        <w:rPr>
          <w:szCs w:val="24"/>
        </w:rPr>
        <w:t xml:space="preserve">s 40%, 40%, 20% for mastectomy with </w:t>
      </w:r>
      <w:r w:rsidR="00D75CD6">
        <w:rPr>
          <w:szCs w:val="24"/>
        </w:rPr>
        <w:t xml:space="preserve">bilateral </w:t>
      </w:r>
      <w:proofErr w:type="spellStart"/>
      <w:r w:rsidRPr="004F50D3">
        <w:rPr>
          <w:szCs w:val="24"/>
        </w:rPr>
        <w:t>salpingo</w:t>
      </w:r>
      <w:proofErr w:type="spellEnd"/>
      <w:r w:rsidRPr="004F50D3">
        <w:rPr>
          <w:szCs w:val="24"/>
        </w:rPr>
        <w:t>-oophorectomy (BSO), BSO alone, and surveillance</w:t>
      </w:r>
      <w:r>
        <w:rPr>
          <w:szCs w:val="24"/>
        </w:rPr>
        <w:t>,</w:t>
      </w:r>
      <w:r w:rsidRPr="004F50D3">
        <w:rPr>
          <w:szCs w:val="24"/>
        </w:rPr>
        <w:t xml:space="preserve"> respectively. However, the model test</w:t>
      </w:r>
      <w:r w:rsidR="006F04DC">
        <w:rPr>
          <w:szCs w:val="24"/>
        </w:rPr>
        <w:t>ed</w:t>
      </w:r>
      <w:r w:rsidRPr="004F50D3">
        <w:rPr>
          <w:szCs w:val="24"/>
        </w:rPr>
        <w:t xml:space="preserve"> the possibility of choosing mastectomy alone as well as different uptake rates reported in the Australian study by Collins </w:t>
      </w:r>
      <w:r w:rsidRPr="00521AE9">
        <w:rPr>
          <w:szCs w:val="24"/>
        </w:rPr>
        <w:t>et al</w:t>
      </w:r>
      <w:r w:rsidR="00521AE9">
        <w:rPr>
          <w:szCs w:val="24"/>
        </w:rPr>
        <w:t>,</w:t>
      </w:r>
      <w:r>
        <w:rPr>
          <w:szCs w:val="24"/>
        </w:rPr>
        <w:t xml:space="preserve"> </w:t>
      </w:r>
      <w:r w:rsidRPr="004F50D3">
        <w:rPr>
          <w:szCs w:val="24"/>
        </w:rPr>
        <w:t>2013</w:t>
      </w:r>
      <w:r>
        <w:rPr>
          <w:szCs w:val="24"/>
        </w:rPr>
        <w:t>.</w:t>
      </w:r>
    </w:p>
    <w:p w:rsidR="002724DF" w:rsidRPr="008A7B70" w:rsidRDefault="002724DF" w:rsidP="00852011">
      <w:pPr>
        <w:spacing w:after="0"/>
        <w:rPr>
          <w:szCs w:val="24"/>
          <w:u w:val="single"/>
        </w:rPr>
      </w:pPr>
      <w:r w:rsidRPr="008A7B70">
        <w:rPr>
          <w:szCs w:val="24"/>
          <w:u w:val="single"/>
        </w:rPr>
        <w:t>Base-case analysis</w:t>
      </w:r>
    </w:p>
    <w:p w:rsidR="00B44E0A" w:rsidRDefault="002724DF">
      <w:pPr>
        <w:rPr>
          <w:szCs w:val="24"/>
        </w:rPr>
      </w:pPr>
      <w:r w:rsidRPr="004F50D3">
        <w:rPr>
          <w:szCs w:val="24"/>
        </w:rPr>
        <w:t xml:space="preserve">The base-case analysis </w:t>
      </w:r>
      <w:r>
        <w:rPr>
          <w:szCs w:val="24"/>
        </w:rPr>
        <w:t>include</w:t>
      </w:r>
      <w:r w:rsidR="006F04DC">
        <w:rPr>
          <w:szCs w:val="24"/>
        </w:rPr>
        <w:t>d</w:t>
      </w:r>
      <w:r>
        <w:rPr>
          <w:szCs w:val="24"/>
        </w:rPr>
        <w:t xml:space="preserve"> </w:t>
      </w:r>
      <w:r w:rsidRPr="004F50D3">
        <w:rPr>
          <w:szCs w:val="24"/>
        </w:rPr>
        <w:t xml:space="preserve">testing affected individuals and </w:t>
      </w:r>
      <w:proofErr w:type="spellStart"/>
      <w:r w:rsidRPr="004F50D3">
        <w:rPr>
          <w:szCs w:val="24"/>
        </w:rPr>
        <w:t>proband’s</w:t>
      </w:r>
      <w:proofErr w:type="spellEnd"/>
      <w:r w:rsidRPr="004F50D3">
        <w:rPr>
          <w:szCs w:val="24"/>
        </w:rPr>
        <w:t xml:space="preserve"> first degree family members (i.e., female siblings and female children) with the assumptions: start age of 40</w:t>
      </w:r>
      <w:r>
        <w:rPr>
          <w:szCs w:val="24"/>
        </w:rPr>
        <w:t> </w:t>
      </w:r>
      <w:r w:rsidRPr="004F50D3">
        <w:rPr>
          <w:szCs w:val="24"/>
        </w:rPr>
        <w:t xml:space="preserve">years for affected individuals and </w:t>
      </w:r>
      <w:proofErr w:type="spellStart"/>
      <w:r w:rsidRPr="004F50D3">
        <w:rPr>
          <w:szCs w:val="24"/>
        </w:rPr>
        <w:t>proband’s</w:t>
      </w:r>
      <w:proofErr w:type="spellEnd"/>
      <w:r w:rsidRPr="004F50D3">
        <w:rPr>
          <w:szCs w:val="24"/>
        </w:rPr>
        <w:t xml:space="preserve"> siblings, 10 years for </w:t>
      </w:r>
      <w:proofErr w:type="spellStart"/>
      <w:r w:rsidRPr="004F50D3">
        <w:rPr>
          <w:szCs w:val="24"/>
        </w:rPr>
        <w:t>proband’s</w:t>
      </w:r>
      <w:proofErr w:type="spellEnd"/>
      <w:r w:rsidRPr="004F50D3">
        <w:rPr>
          <w:szCs w:val="24"/>
        </w:rPr>
        <w:t xml:space="preserve"> children, discount rate 5% for QALY’s and life-years gained but not for cancer events.</w:t>
      </w:r>
      <w:r>
        <w:rPr>
          <w:szCs w:val="24"/>
        </w:rPr>
        <w:t xml:space="preserve"> Table 2</w:t>
      </w:r>
      <w:r w:rsidRPr="004F50D3">
        <w:rPr>
          <w:szCs w:val="24"/>
        </w:rPr>
        <w:t xml:space="preserve"> summarises the incremental costs and effects of genetic testing in the base-case analysis where the affected individuals, </w:t>
      </w:r>
      <w:proofErr w:type="spellStart"/>
      <w:r w:rsidRPr="004F50D3">
        <w:rPr>
          <w:szCs w:val="24"/>
        </w:rPr>
        <w:t>proband’s</w:t>
      </w:r>
      <w:proofErr w:type="spellEnd"/>
      <w:r w:rsidRPr="004F50D3">
        <w:rPr>
          <w:szCs w:val="24"/>
        </w:rPr>
        <w:t xml:space="preserve"> female siblings and female children are included.</w:t>
      </w:r>
      <w:r w:rsidR="00B44E0A">
        <w:rPr>
          <w:szCs w:val="24"/>
        </w:rPr>
        <w:br w:type="page"/>
      </w:r>
    </w:p>
    <w:p w:rsidR="002724DF" w:rsidRPr="001A0477" w:rsidRDefault="002724DF" w:rsidP="00852011">
      <w:pPr>
        <w:spacing w:after="0"/>
        <w:rPr>
          <w:rFonts w:ascii="Arial Narrow" w:hAnsi="Arial Narrow" w:cs="Arial"/>
          <w:b/>
          <w:color w:val="000000"/>
          <w:sz w:val="20"/>
        </w:rPr>
      </w:pPr>
      <w:r>
        <w:rPr>
          <w:rFonts w:ascii="Arial Narrow" w:hAnsi="Arial Narrow" w:cs="Arial"/>
          <w:b/>
          <w:color w:val="000000"/>
          <w:sz w:val="20"/>
        </w:rPr>
        <w:lastRenderedPageBreak/>
        <w:t xml:space="preserve">Table 2: </w:t>
      </w:r>
      <w:r w:rsidRPr="001A0477">
        <w:rPr>
          <w:rFonts w:ascii="Arial Narrow" w:hAnsi="Arial Narrow" w:cs="Arial"/>
          <w:b/>
          <w:color w:val="000000"/>
          <w:sz w:val="20"/>
        </w:rPr>
        <w:t xml:space="preserve">Results of affected individuals + </w:t>
      </w:r>
      <w:proofErr w:type="spellStart"/>
      <w:r>
        <w:rPr>
          <w:rFonts w:ascii="Arial Narrow" w:hAnsi="Arial Narrow" w:cs="Arial"/>
          <w:b/>
          <w:color w:val="000000"/>
          <w:sz w:val="20"/>
        </w:rPr>
        <w:t>proband’s</w:t>
      </w:r>
      <w:proofErr w:type="spellEnd"/>
      <w:r>
        <w:rPr>
          <w:rFonts w:ascii="Arial Narrow" w:hAnsi="Arial Narrow" w:cs="Arial"/>
          <w:b/>
          <w:color w:val="000000"/>
          <w:sz w:val="20"/>
        </w:rPr>
        <w:t xml:space="preserve"> female siblings</w:t>
      </w:r>
      <w:r w:rsidRPr="001A0477">
        <w:rPr>
          <w:rFonts w:ascii="Arial Narrow" w:hAnsi="Arial Narrow" w:cs="Arial"/>
          <w:b/>
          <w:color w:val="000000"/>
          <w:sz w:val="20"/>
        </w:rPr>
        <w:t xml:space="preserve"> + </w:t>
      </w:r>
      <w:proofErr w:type="spellStart"/>
      <w:r>
        <w:rPr>
          <w:rFonts w:ascii="Arial Narrow" w:hAnsi="Arial Narrow" w:cs="Arial"/>
          <w:b/>
          <w:color w:val="000000"/>
          <w:sz w:val="20"/>
        </w:rPr>
        <w:t>proband’s</w:t>
      </w:r>
      <w:proofErr w:type="spellEnd"/>
      <w:r>
        <w:rPr>
          <w:rFonts w:ascii="Arial Narrow" w:hAnsi="Arial Narrow" w:cs="Arial"/>
          <w:b/>
          <w:color w:val="000000"/>
          <w:sz w:val="20"/>
        </w:rPr>
        <w:t xml:space="preserve"> female children</w:t>
      </w:r>
    </w:p>
    <w:tbl>
      <w:tblPr>
        <w:tblW w:w="9322" w:type="dxa"/>
        <w:tblLook w:val="04A0" w:firstRow="1" w:lastRow="0" w:firstColumn="1" w:lastColumn="0" w:noHBand="0" w:noVBand="1"/>
        <w:tblDescription w:val="Table 2: Results of affected individuals + proband’s female siblings + proband’s female children"/>
      </w:tblPr>
      <w:tblGrid>
        <w:gridCol w:w="2802"/>
        <w:gridCol w:w="1417"/>
        <w:gridCol w:w="1276"/>
        <w:gridCol w:w="1134"/>
        <w:gridCol w:w="2693"/>
      </w:tblGrid>
      <w:tr w:rsidR="002724DF" w:rsidRPr="001A0477" w:rsidTr="002724DF">
        <w:tc>
          <w:tcPr>
            <w:tcW w:w="2802" w:type="dxa"/>
          </w:tcPr>
          <w:p w:rsidR="002724DF" w:rsidRPr="001A0477" w:rsidRDefault="002724DF" w:rsidP="00852011">
            <w:pPr>
              <w:pStyle w:val="TableText1"/>
            </w:pPr>
          </w:p>
        </w:tc>
        <w:tc>
          <w:tcPr>
            <w:tcW w:w="1417" w:type="dxa"/>
          </w:tcPr>
          <w:p w:rsidR="002724DF" w:rsidRPr="001A0477" w:rsidRDefault="006F04DC" w:rsidP="00852011">
            <w:pPr>
              <w:pStyle w:val="TableText1"/>
            </w:pPr>
            <w:r>
              <w:t>Genetic t</w:t>
            </w:r>
            <w:r w:rsidR="002724DF" w:rsidRPr="001A0477">
              <w:t>est</w:t>
            </w:r>
            <w:r w:rsidR="0063371D">
              <w:t>ing</w:t>
            </w:r>
          </w:p>
        </w:tc>
        <w:tc>
          <w:tcPr>
            <w:tcW w:w="1276" w:type="dxa"/>
          </w:tcPr>
          <w:p w:rsidR="002724DF" w:rsidRPr="001A0477" w:rsidRDefault="002724DF" w:rsidP="00852011">
            <w:pPr>
              <w:pStyle w:val="TableText1"/>
            </w:pPr>
            <w:r w:rsidRPr="001A0477">
              <w:t>No testing</w:t>
            </w:r>
          </w:p>
        </w:tc>
        <w:tc>
          <w:tcPr>
            <w:tcW w:w="1134" w:type="dxa"/>
          </w:tcPr>
          <w:p w:rsidR="002724DF" w:rsidRPr="001A0477" w:rsidRDefault="002724DF" w:rsidP="00852011">
            <w:pPr>
              <w:pStyle w:val="TableText1"/>
            </w:pPr>
            <w:r>
              <w:t>I</w:t>
            </w:r>
            <w:r w:rsidRPr="001A0477">
              <w:t>ncrement</w:t>
            </w:r>
          </w:p>
        </w:tc>
        <w:tc>
          <w:tcPr>
            <w:tcW w:w="2693" w:type="dxa"/>
          </w:tcPr>
          <w:p w:rsidR="002724DF" w:rsidRPr="001A0477" w:rsidRDefault="002724DF" w:rsidP="00852011">
            <w:pPr>
              <w:pStyle w:val="TableText1"/>
            </w:pPr>
            <w:r w:rsidRPr="001A0477">
              <w:t>Incr</w:t>
            </w:r>
            <w:r>
              <w:t>emental</w:t>
            </w:r>
            <w:r w:rsidRPr="001A0477">
              <w:t xml:space="preserve"> </w:t>
            </w:r>
            <w:r w:rsidR="006F04DC" w:rsidRPr="001A0477">
              <w:t>c</w:t>
            </w:r>
            <w:r w:rsidR="006F04DC">
              <w:t>ost</w:t>
            </w:r>
            <w:r w:rsidR="006F04DC" w:rsidRPr="001A0477">
              <w:t>/e</w:t>
            </w:r>
            <w:r w:rsidRPr="001A0477">
              <w:t>ffect</w:t>
            </w:r>
          </w:p>
        </w:tc>
      </w:tr>
      <w:tr w:rsidR="002724DF" w:rsidRPr="001A0477" w:rsidTr="002724DF">
        <w:tc>
          <w:tcPr>
            <w:tcW w:w="2802" w:type="dxa"/>
          </w:tcPr>
          <w:p w:rsidR="002724DF" w:rsidRPr="001A0477" w:rsidRDefault="002724DF" w:rsidP="00852011">
            <w:pPr>
              <w:pStyle w:val="TableText1"/>
            </w:pPr>
            <w:r w:rsidRPr="001A0477">
              <w:t>Cost</w:t>
            </w:r>
          </w:p>
        </w:tc>
        <w:tc>
          <w:tcPr>
            <w:tcW w:w="1417" w:type="dxa"/>
          </w:tcPr>
          <w:p w:rsidR="002724DF" w:rsidRPr="001A0477" w:rsidRDefault="002724DF" w:rsidP="00852011">
            <w:pPr>
              <w:pStyle w:val="TableText1"/>
            </w:pPr>
            <w:r w:rsidRPr="001A0477">
              <w:t>$</w:t>
            </w:r>
            <w:r>
              <w:t>7,788</w:t>
            </w:r>
          </w:p>
        </w:tc>
        <w:tc>
          <w:tcPr>
            <w:tcW w:w="1276" w:type="dxa"/>
          </w:tcPr>
          <w:p w:rsidR="002724DF" w:rsidRPr="001A0477" w:rsidRDefault="002724DF" w:rsidP="00852011">
            <w:pPr>
              <w:pStyle w:val="TableText1"/>
            </w:pPr>
            <w:r w:rsidRPr="001A0477">
              <w:t>$4,318</w:t>
            </w:r>
          </w:p>
        </w:tc>
        <w:tc>
          <w:tcPr>
            <w:tcW w:w="1134" w:type="dxa"/>
          </w:tcPr>
          <w:p w:rsidR="002724DF" w:rsidRPr="001A0477" w:rsidRDefault="002724DF" w:rsidP="00852011">
            <w:pPr>
              <w:pStyle w:val="TableText1"/>
            </w:pPr>
            <w:r w:rsidRPr="001A0477">
              <w:t>$3,</w:t>
            </w:r>
            <w:r>
              <w:t>470</w:t>
            </w:r>
          </w:p>
        </w:tc>
        <w:tc>
          <w:tcPr>
            <w:tcW w:w="2693" w:type="dxa"/>
          </w:tcPr>
          <w:p w:rsidR="002724DF" w:rsidRPr="001A0477" w:rsidRDefault="002724DF" w:rsidP="00852011">
            <w:pPr>
              <w:pStyle w:val="TableText1"/>
            </w:pPr>
            <w:r w:rsidRPr="001A0477">
              <w:t>-</w:t>
            </w:r>
          </w:p>
        </w:tc>
      </w:tr>
      <w:tr w:rsidR="002724DF" w:rsidRPr="001A0477" w:rsidTr="002724DF">
        <w:tc>
          <w:tcPr>
            <w:tcW w:w="2802" w:type="dxa"/>
          </w:tcPr>
          <w:p w:rsidR="002724DF" w:rsidRPr="001A0477" w:rsidRDefault="002724DF" w:rsidP="00852011">
            <w:pPr>
              <w:pStyle w:val="TableText1"/>
            </w:pPr>
            <w:r w:rsidRPr="001A0477">
              <w:t>QALY</w:t>
            </w:r>
            <w:r>
              <w:t>s</w:t>
            </w:r>
          </w:p>
        </w:tc>
        <w:tc>
          <w:tcPr>
            <w:tcW w:w="1417" w:type="dxa"/>
          </w:tcPr>
          <w:p w:rsidR="002724DF" w:rsidRPr="001A0477" w:rsidRDefault="002724DF" w:rsidP="00852011">
            <w:pPr>
              <w:pStyle w:val="TableText1"/>
            </w:pPr>
            <w:r w:rsidRPr="001A0477">
              <w:t>22.45</w:t>
            </w:r>
          </w:p>
        </w:tc>
        <w:tc>
          <w:tcPr>
            <w:tcW w:w="1276" w:type="dxa"/>
          </w:tcPr>
          <w:p w:rsidR="002724DF" w:rsidRPr="001A0477" w:rsidRDefault="002724DF" w:rsidP="00852011">
            <w:pPr>
              <w:pStyle w:val="TableText1"/>
            </w:pPr>
            <w:r w:rsidRPr="001A0477">
              <w:t>22.26</w:t>
            </w:r>
          </w:p>
        </w:tc>
        <w:tc>
          <w:tcPr>
            <w:tcW w:w="1134" w:type="dxa"/>
          </w:tcPr>
          <w:p w:rsidR="002724DF" w:rsidRPr="001A0477" w:rsidRDefault="002724DF" w:rsidP="00852011">
            <w:pPr>
              <w:pStyle w:val="TableText1"/>
            </w:pPr>
            <w:r w:rsidRPr="001A0477">
              <w:t>0.19</w:t>
            </w:r>
          </w:p>
        </w:tc>
        <w:tc>
          <w:tcPr>
            <w:tcW w:w="2693" w:type="dxa"/>
          </w:tcPr>
          <w:p w:rsidR="002724DF" w:rsidRPr="001A0477" w:rsidRDefault="002724DF" w:rsidP="00852011">
            <w:pPr>
              <w:pStyle w:val="TableText1"/>
            </w:pPr>
            <w:r w:rsidRPr="001A0477">
              <w:t>$1</w:t>
            </w:r>
            <w:r>
              <w:t>8</w:t>
            </w:r>
            <w:r w:rsidRPr="001A0477">
              <w:t>,</w:t>
            </w:r>
            <w:r>
              <w:t>283</w:t>
            </w:r>
            <w:r w:rsidRPr="001A0477">
              <w:t>/QALY gained</w:t>
            </w:r>
          </w:p>
        </w:tc>
      </w:tr>
      <w:tr w:rsidR="002724DF" w:rsidRPr="001A0477" w:rsidTr="002724DF">
        <w:tc>
          <w:tcPr>
            <w:tcW w:w="2802" w:type="dxa"/>
          </w:tcPr>
          <w:p w:rsidR="002724DF" w:rsidRPr="001A0477" w:rsidRDefault="002724DF" w:rsidP="00852011">
            <w:pPr>
              <w:pStyle w:val="TableText1"/>
            </w:pPr>
            <w:r>
              <w:t>Life-years</w:t>
            </w:r>
          </w:p>
        </w:tc>
        <w:tc>
          <w:tcPr>
            <w:tcW w:w="1417" w:type="dxa"/>
          </w:tcPr>
          <w:p w:rsidR="002724DF" w:rsidRPr="001A0477" w:rsidRDefault="002724DF" w:rsidP="00852011">
            <w:pPr>
              <w:pStyle w:val="TableText1"/>
            </w:pPr>
            <w:r w:rsidRPr="001A0477">
              <w:t>22.56</w:t>
            </w:r>
          </w:p>
        </w:tc>
        <w:tc>
          <w:tcPr>
            <w:tcW w:w="1276" w:type="dxa"/>
          </w:tcPr>
          <w:p w:rsidR="002724DF" w:rsidRPr="001A0477" w:rsidRDefault="002724DF" w:rsidP="00852011">
            <w:pPr>
              <w:pStyle w:val="TableText1"/>
            </w:pPr>
            <w:r w:rsidRPr="001A0477">
              <w:t>22.41</w:t>
            </w:r>
          </w:p>
        </w:tc>
        <w:tc>
          <w:tcPr>
            <w:tcW w:w="1134" w:type="dxa"/>
          </w:tcPr>
          <w:p w:rsidR="002724DF" w:rsidRPr="001A0477" w:rsidRDefault="002724DF" w:rsidP="00852011">
            <w:pPr>
              <w:pStyle w:val="TableText1"/>
            </w:pPr>
            <w:r w:rsidRPr="001A0477">
              <w:t>0.1</w:t>
            </w:r>
            <w:r>
              <w:t>4</w:t>
            </w:r>
          </w:p>
        </w:tc>
        <w:tc>
          <w:tcPr>
            <w:tcW w:w="2693" w:type="dxa"/>
          </w:tcPr>
          <w:p w:rsidR="002724DF" w:rsidRPr="001A0477" w:rsidRDefault="002724DF" w:rsidP="00852011">
            <w:pPr>
              <w:pStyle w:val="TableText1"/>
            </w:pPr>
            <w:r w:rsidRPr="001A0477">
              <w:t>$2</w:t>
            </w:r>
            <w:r>
              <w:t>3</w:t>
            </w:r>
            <w:r w:rsidRPr="001A0477">
              <w:t>,</w:t>
            </w:r>
            <w:r>
              <w:t>971</w:t>
            </w:r>
            <w:r w:rsidRPr="001A0477">
              <w:t>/</w:t>
            </w:r>
            <w:r w:rsidR="006F04DC" w:rsidRPr="001A0477">
              <w:t>l</w:t>
            </w:r>
            <w:r>
              <w:t>ife-year</w:t>
            </w:r>
            <w:r w:rsidRPr="001A0477">
              <w:t xml:space="preserve"> gained</w:t>
            </w:r>
          </w:p>
        </w:tc>
      </w:tr>
      <w:tr w:rsidR="002724DF" w:rsidRPr="001A0477" w:rsidTr="002724DF">
        <w:tc>
          <w:tcPr>
            <w:tcW w:w="2802" w:type="dxa"/>
          </w:tcPr>
          <w:p w:rsidR="002724DF" w:rsidRPr="001A0477" w:rsidRDefault="002724DF" w:rsidP="00852011">
            <w:pPr>
              <w:pStyle w:val="TableText1"/>
            </w:pPr>
            <w:r>
              <w:t>Breast cancer</w:t>
            </w:r>
            <w:r w:rsidRPr="001A0477">
              <w:t xml:space="preserve"> </w:t>
            </w:r>
          </w:p>
        </w:tc>
        <w:tc>
          <w:tcPr>
            <w:tcW w:w="1417" w:type="dxa"/>
          </w:tcPr>
          <w:p w:rsidR="002724DF" w:rsidRPr="001A0477" w:rsidRDefault="002724DF" w:rsidP="00852011">
            <w:pPr>
              <w:pStyle w:val="TableText1"/>
            </w:pPr>
            <w:r w:rsidRPr="001A0477">
              <w:t>0.28</w:t>
            </w:r>
          </w:p>
        </w:tc>
        <w:tc>
          <w:tcPr>
            <w:tcW w:w="1276" w:type="dxa"/>
          </w:tcPr>
          <w:p w:rsidR="002724DF" w:rsidRPr="001A0477" w:rsidRDefault="002724DF" w:rsidP="00852011">
            <w:pPr>
              <w:pStyle w:val="TableText1"/>
            </w:pPr>
            <w:r w:rsidRPr="001A0477">
              <w:t>0.35</w:t>
            </w:r>
          </w:p>
        </w:tc>
        <w:tc>
          <w:tcPr>
            <w:tcW w:w="1134" w:type="dxa"/>
          </w:tcPr>
          <w:p w:rsidR="002724DF" w:rsidRPr="001A0477" w:rsidRDefault="002724DF" w:rsidP="00852011">
            <w:pPr>
              <w:pStyle w:val="TableText1"/>
            </w:pPr>
            <w:r w:rsidRPr="001A0477">
              <w:t>-0.07</w:t>
            </w:r>
          </w:p>
        </w:tc>
        <w:tc>
          <w:tcPr>
            <w:tcW w:w="2693" w:type="dxa"/>
          </w:tcPr>
          <w:p w:rsidR="002724DF" w:rsidRPr="001A0477" w:rsidRDefault="002724DF" w:rsidP="00852011">
            <w:pPr>
              <w:pStyle w:val="TableText1"/>
            </w:pPr>
            <w:r w:rsidRPr="001A0477">
              <w:t>$5</w:t>
            </w:r>
            <w:r>
              <w:t>3</w:t>
            </w:r>
            <w:r w:rsidRPr="001A0477">
              <w:t>,</w:t>
            </w:r>
            <w:r>
              <w:t>202</w:t>
            </w:r>
            <w:r w:rsidRPr="001A0477">
              <w:t>/</w:t>
            </w:r>
            <w:r>
              <w:t>breast cancer</w:t>
            </w:r>
            <w:r w:rsidRPr="001A0477">
              <w:t xml:space="preserve"> avoided</w:t>
            </w:r>
          </w:p>
        </w:tc>
      </w:tr>
      <w:tr w:rsidR="002724DF" w:rsidRPr="001A0477" w:rsidTr="002724DF">
        <w:tc>
          <w:tcPr>
            <w:tcW w:w="2802" w:type="dxa"/>
          </w:tcPr>
          <w:p w:rsidR="002724DF" w:rsidRPr="001A0477" w:rsidRDefault="002724DF" w:rsidP="00852011">
            <w:pPr>
              <w:pStyle w:val="TableText1"/>
            </w:pPr>
            <w:r>
              <w:t>Ovarian cancer</w:t>
            </w:r>
          </w:p>
        </w:tc>
        <w:tc>
          <w:tcPr>
            <w:tcW w:w="1417" w:type="dxa"/>
          </w:tcPr>
          <w:p w:rsidR="002724DF" w:rsidRPr="001A0477" w:rsidRDefault="002724DF" w:rsidP="00852011">
            <w:pPr>
              <w:pStyle w:val="TableText1"/>
            </w:pPr>
            <w:r w:rsidRPr="001A0477">
              <w:t>0.04</w:t>
            </w:r>
          </w:p>
        </w:tc>
        <w:tc>
          <w:tcPr>
            <w:tcW w:w="1276" w:type="dxa"/>
          </w:tcPr>
          <w:p w:rsidR="002724DF" w:rsidRPr="001A0477" w:rsidRDefault="002724DF" w:rsidP="00852011">
            <w:pPr>
              <w:pStyle w:val="TableText1"/>
            </w:pPr>
            <w:r w:rsidRPr="001A0477">
              <w:t>0.08</w:t>
            </w:r>
          </w:p>
        </w:tc>
        <w:tc>
          <w:tcPr>
            <w:tcW w:w="1134" w:type="dxa"/>
          </w:tcPr>
          <w:p w:rsidR="002724DF" w:rsidRPr="001A0477" w:rsidRDefault="002724DF" w:rsidP="00852011">
            <w:pPr>
              <w:pStyle w:val="TableText1"/>
            </w:pPr>
            <w:r w:rsidRPr="001A0477">
              <w:t>-0.04</w:t>
            </w:r>
          </w:p>
        </w:tc>
        <w:tc>
          <w:tcPr>
            <w:tcW w:w="2693" w:type="dxa"/>
          </w:tcPr>
          <w:p w:rsidR="002724DF" w:rsidRPr="001A0477" w:rsidRDefault="002724DF" w:rsidP="00852011">
            <w:pPr>
              <w:pStyle w:val="TableText1"/>
            </w:pPr>
            <w:r w:rsidRPr="001A0477">
              <w:t>$</w:t>
            </w:r>
            <w:r>
              <w:t>79,477</w:t>
            </w:r>
            <w:r w:rsidR="006F04DC">
              <w:t>/</w:t>
            </w:r>
            <w:r w:rsidRPr="00D57D68">
              <w:t>ovarian cancer avoided</w:t>
            </w:r>
          </w:p>
        </w:tc>
      </w:tr>
      <w:tr w:rsidR="002724DF" w:rsidRPr="001A0477" w:rsidTr="002724DF">
        <w:tc>
          <w:tcPr>
            <w:tcW w:w="2802" w:type="dxa"/>
          </w:tcPr>
          <w:p w:rsidR="002724DF" w:rsidRPr="001A0477" w:rsidRDefault="002724DF" w:rsidP="00852011">
            <w:pPr>
              <w:pStyle w:val="TableText1"/>
            </w:pPr>
            <w:r w:rsidRPr="00AF0E2F">
              <w:t>Breast cancer</w:t>
            </w:r>
            <w:r>
              <w:t>+ ovarian cancer</w:t>
            </w:r>
          </w:p>
        </w:tc>
        <w:tc>
          <w:tcPr>
            <w:tcW w:w="1417" w:type="dxa"/>
          </w:tcPr>
          <w:p w:rsidR="002724DF" w:rsidRPr="001A0477" w:rsidRDefault="002724DF" w:rsidP="00852011">
            <w:pPr>
              <w:pStyle w:val="TableText1"/>
            </w:pPr>
            <w:r w:rsidRPr="001A0477">
              <w:t>0.32</w:t>
            </w:r>
          </w:p>
        </w:tc>
        <w:tc>
          <w:tcPr>
            <w:tcW w:w="1276" w:type="dxa"/>
          </w:tcPr>
          <w:p w:rsidR="002724DF" w:rsidRPr="001A0477" w:rsidRDefault="002724DF" w:rsidP="00852011">
            <w:pPr>
              <w:pStyle w:val="TableText1"/>
            </w:pPr>
            <w:r w:rsidRPr="001A0477">
              <w:t>0.43</w:t>
            </w:r>
          </w:p>
        </w:tc>
        <w:tc>
          <w:tcPr>
            <w:tcW w:w="1134" w:type="dxa"/>
          </w:tcPr>
          <w:p w:rsidR="002724DF" w:rsidRPr="001A0477" w:rsidRDefault="002724DF" w:rsidP="00852011">
            <w:pPr>
              <w:pStyle w:val="TableText1"/>
            </w:pPr>
            <w:r w:rsidRPr="001A0477">
              <w:t>-0.11</w:t>
            </w:r>
          </w:p>
        </w:tc>
        <w:tc>
          <w:tcPr>
            <w:tcW w:w="2693" w:type="dxa"/>
          </w:tcPr>
          <w:p w:rsidR="002724DF" w:rsidRPr="001A0477" w:rsidRDefault="002724DF" w:rsidP="00852011">
            <w:pPr>
              <w:pStyle w:val="TableText1"/>
            </w:pPr>
            <w:r w:rsidRPr="001A0477">
              <w:t>$3</w:t>
            </w:r>
            <w:r>
              <w:t>2</w:t>
            </w:r>
            <w:r w:rsidRPr="001A0477">
              <w:t>,</w:t>
            </w:r>
            <w:r>
              <w:t>000</w:t>
            </w:r>
            <w:r w:rsidRPr="001A0477">
              <w:t>/cancer avoided</w:t>
            </w:r>
          </w:p>
        </w:tc>
      </w:tr>
    </w:tbl>
    <w:p w:rsidR="006F04DC" w:rsidRPr="009108FA" w:rsidRDefault="002724DF" w:rsidP="002724DF">
      <w:pPr>
        <w:rPr>
          <w:rFonts w:ascii="Arial Narrow" w:hAnsi="Arial Narrow" w:cs="Arial"/>
          <w:color w:val="000000"/>
          <w:sz w:val="20"/>
        </w:rPr>
      </w:pPr>
      <w:r>
        <w:rPr>
          <w:rFonts w:ascii="Arial Narrow" w:hAnsi="Arial Narrow" w:cs="Arial"/>
          <w:color w:val="000000"/>
          <w:sz w:val="20"/>
        </w:rPr>
        <w:t>QALY = Quality-adjusted life-year</w:t>
      </w:r>
    </w:p>
    <w:p w:rsidR="002724DF" w:rsidRPr="009108FA" w:rsidRDefault="002724DF" w:rsidP="002724DF">
      <w:pPr>
        <w:rPr>
          <w:szCs w:val="24"/>
        </w:rPr>
      </w:pPr>
      <w:r w:rsidRPr="004F50D3">
        <w:rPr>
          <w:szCs w:val="24"/>
        </w:rPr>
        <w:t>Genetic testing result</w:t>
      </w:r>
      <w:r w:rsidR="006F04DC">
        <w:rPr>
          <w:szCs w:val="24"/>
        </w:rPr>
        <w:t>ed</w:t>
      </w:r>
      <w:r w:rsidRPr="004F50D3">
        <w:rPr>
          <w:szCs w:val="24"/>
        </w:rPr>
        <w:t xml:space="preserve"> in an incremental cost of around $3,500 and </w:t>
      </w:r>
      <w:r>
        <w:rPr>
          <w:szCs w:val="24"/>
        </w:rPr>
        <w:t xml:space="preserve">an additional </w:t>
      </w:r>
      <w:r w:rsidRPr="004F50D3">
        <w:rPr>
          <w:szCs w:val="24"/>
        </w:rPr>
        <w:t>0.19</w:t>
      </w:r>
      <w:r w:rsidR="00E47311">
        <w:rPr>
          <w:szCs w:val="24"/>
        </w:rPr>
        <w:t> </w:t>
      </w:r>
      <w:r w:rsidRPr="004F50D3">
        <w:rPr>
          <w:szCs w:val="24"/>
        </w:rPr>
        <w:t>QALYs</w:t>
      </w:r>
      <w:r w:rsidR="006F04DC">
        <w:rPr>
          <w:szCs w:val="24"/>
        </w:rPr>
        <w:t>,</w:t>
      </w:r>
      <w:r w:rsidRPr="004F50D3">
        <w:rPr>
          <w:szCs w:val="24"/>
        </w:rPr>
        <w:t xml:space="preserve"> with an estimated ICER of around $18,</w:t>
      </w:r>
      <w:r>
        <w:rPr>
          <w:szCs w:val="24"/>
        </w:rPr>
        <w:t>000</w:t>
      </w:r>
      <w:r w:rsidRPr="004F50D3">
        <w:rPr>
          <w:szCs w:val="24"/>
        </w:rPr>
        <w:t xml:space="preserve"> per QALYs gained. Further, genetic testing reduce</w:t>
      </w:r>
      <w:r w:rsidR="006F04DC">
        <w:rPr>
          <w:szCs w:val="24"/>
        </w:rPr>
        <w:t>d</w:t>
      </w:r>
      <w:r w:rsidRPr="004F50D3">
        <w:rPr>
          <w:szCs w:val="24"/>
        </w:rPr>
        <w:t xml:space="preserve"> breast cancer and ovarian cancer events with around $5</w:t>
      </w:r>
      <w:r>
        <w:rPr>
          <w:szCs w:val="24"/>
        </w:rPr>
        <w:t>3</w:t>
      </w:r>
      <w:r w:rsidRPr="004F50D3">
        <w:rPr>
          <w:szCs w:val="24"/>
        </w:rPr>
        <w:t xml:space="preserve">,000 </w:t>
      </w:r>
      <w:r>
        <w:rPr>
          <w:szCs w:val="24"/>
        </w:rPr>
        <w:t>per breast cancer event avoided</w:t>
      </w:r>
      <w:r w:rsidRPr="004F50D3">
        <w:rPr>
          <w:szCs w:val="24"/>
        </w:rPr>
        <w:t xml:space="preserve"> </w:t>
      </w:r>
      <w:r>
        <w:rPr>
          <w:szCs w:val="24"/>
        </w:rPr>
        <w:t xml:space="preserve">and </w:t>
      </w:r>
      <w:r w:rsidRPr="004F50D3">
        <w:rPr>
          <w:szCs w:val="24"/>
        </w:rPr>
        <w:t>$80,</w:t>
      </w:r>
      <w:r>
        <w:rPr>
          <w:szCs w:val="24"/>
        </w:rPr>
        <w:t>000</w:t>
      </w:r>
      <w:r w:rsidRPr="004F50D3">
        <w:rPr>
          <w:szCs w:val="24"/>
        </w:rPr>
        <w:t xml:space="preserve"> per ovarian cancer event avoided, </w:t>
      </w:r>
      <w:r>
        <w:rPr>
          <w:szCs w:val="24"/>
        </w:rPr>
        <w:t xml:space="preserve">which </w:t>
      </w:r>
      <w:r w:rsidR="006F04DC">
        <w:rPr>
          <w:szCs w:val="24"/>
        </w:rPr>
        <w:t>wa</w:t>
      </w:r>
      <w:r>
        <w:rPr>
          <w:szCs w:val="24"/>
        </w:rPr>
        <w:t xml:space="preserve">s approximately </w:t>
      </w:r>
      <w:r w:rsidRPr="004F50D3">
        <w:rPr>
          <w:szCs w:val="24"/>
        </w:rPr>
        <w:t xml:space="preserve">$32,000 ($3,500/0.11) per cancer (breast or ovarian) event avoided. </w:t>
      </w:r>
      <w:r>
        <w:rPr>
          <w:szCs w:val="24"/>
        </w:rPr>
        <w:t>At</w:t>
      </w:r>
      <w:r w:rsidRPr="004F50D3">
        <w:rPr>
          <w:szCs w:val="24"/>
        </w:rPr>
        <w:t xml:space="preserve"> a willingness-to-pay threshold of $50,000, genetic testing for BRCA mutation</w:t>
      </w:r>
      <w:r>
        <w:rPr>
          <w:szCs w:val="24"/>
        </w:rPr>
        <w:t xml:space="preserve"> in affected individuals and </w:t>
      </w:r>
      <w:proofErr w:type="spellStart"/>
      <w:r>
        <w:rPr>
          <w:szCs w:val="24"/>
        </w:rPr>
        <w:t>proband’s</w:t>
      </w:r>
      <w:proofErr w:type="spellEnd"/>
      <w:r>
        <w:rPr>
          <w:szCs w:val="24"/>
        </w:rPr>
        <w:t xml:space="preserve"> first degree female family members</w:t>
      </w:r>
      <w:r w:rsidRPr="004F50D3">
        <w:rPr>
          <w:szCs w:val="24"/>
        </w:rPr>
        <w:t xml:space="preserve"> </w:t>
      </w:r>
      <w:r w:rsidR="006F04DC">
        <w:rPr>
          <w:szCs w:val="24"/>
        </w:rPr>
        <w:t>wa</w:t>
      </w:r>
      <w:r w:rsidRPr="004F50D3">
        <w:rPr>
          <w:szCs w:val="24"/>
        </w:rPr>
        <w:t>s cost-effective</w:t>
      </w:r>
      <w:r>
        <w:rPr>
          <w:szCs w:val="24"/>
        </w:rPr>
        <w:t xml:space="preserve"> compared with no testing</w:t>
      </w:r>
      <w:r w:rsidRPr="004F50D3">
        <w:rPr>
          <w:szCs w:val="24"/>
        </w:rPr>
        <w:t>.</w:t>
      </w:r>
    </w:p>
    <w:p w:rsidR="002724DF" w:rsidRPr="004F50D3" w:rsidRDefault="002724DF" w:rsidP="00852011">
      <w:pPr>
        <w:spacing w:after="0"/>
        <w:rPr>
          <w:szCs w:val="24"/>
          <w:u w:val="single"/>
        </w:rPr>
      </w:pPr>
      <w:r w:rsidRPr="004F50D3">
        <w:rPr>
          <w:szCs w:val="24"/>
          <w:u w:val="single"/>
        </w:rPr>
        <w:t>Scenario analysis</w:t>
      </w:r>
    </w:p>
    <w:p w:rsidR="006F04DC" w:rsidRDefault="002724DF" w:rsidP="002724DF">
      <w:pPr>
        <w:rPr>
          <w:szCs w:val="24"/>
        </w:rPr>
      </w:pPr>
      <w:r w:rsidRPr="004F50D3">
        <w:rPr>
          <w:szCs w:val="24"/>
        </w:rPr>
        <w:t xml:space="preserve">Tables </w:t>
      </w:r>
      <w:r w:rsidR="00DF35D4">
        <w:rPr>
          <w:szCs w:val="24"/>
        </w:rPr>
        <w:t>3 to 6</w:t>
      </w:r>
      <w:r>
        <w:rPr>
          <w:szCs w:val="24"/>
        </w:rPr>
        <w:t xml:space="preserve"> summarise</w:t>
      </w:r>
      <w:r w:rsidRPr="004F50D3">
        <w:rPr>
          <w:szCs w:val="24"/>
        </w:rPr>
        <w:t xml:space="preserve"> the results of the economic evaluation when various co</w:t>
      </w:r>
      <w:r w:rsidR="00DF35D4">
        <w:rPr>
          <w:szCs w:val="24"/>
        </w:rPr>
        <w:t xml:space="preserve">horts </w:t>
      </w:r>
      <w:r w:rsidR="006F04DC">
        <w:rPr>
          <w:szCs w:val="24"/>
        </w:rPr>
        <w:t>we</w:t>
      </w:r>
      <w:r w:rsidR="00DF35D4">
        <w:rPr>
          <w:szCs w:val="24"/>
        </w:rPr>
        <w:t>re included in the model.</w:t>
      </w:r>
    </w:p>
    <w:p w:rsidR="002724DF" w:rsidRPr="001A0477" w:rsidRDefault="002724DF" w:rsidP="00852011">
      <w:pPr>
        <w:spacing w:after="0"/>
        <w:rPr>
          <w:rFonts w:ascii="Arial Narrow" w:hAnsi="Arial Narrow" w:cs="Arial"/>
          <w:b/>
          <w:color w:val="000000"/>
          <w:sz w:val="20"/>
        </w:rPr>
      </w:pPr>
      <w:r>
        <w:rPr>
          <w:rFonts w:ascii="Arial Narrow" w:hAnsi="Arial Narrow" w:cs="Arial"/>
          <w:b/>
          <w:color w:val="000000"/>
          <w:sz w:val="20"/>
        </w:rPr>
        <w:t xml:space="preserve">Table 3: </w:t>
      </w:r>
      <w:r w:rsidRPr="001A0477">
        <w:rPr>
          <w:rFonts w:ascii="Arial Narrow" w:hAnsi="Arial Narrow" w:cs="Arial"/>
          <w:b/>
          <w:color w:val="000000"/>
          <w:sz w:val="20"/>
        </w:rPr>
        <w:t>Results of affected individuals</w:t>
      </w:r>
      <w:r>
        <w:rPr>
          <w:rFonts w:ascii="Arial Narrow" w:hAnsi="Arial Narrow" w:cs="Arial"/>
          <w:b/>
          <w:color w:val="000000"/>
          <w:sz w:val="20"/>
        </w:rPr>
        <w:t xml:space="preserve"> only</w:t>
      </w:r>
    </w:p>
    <w:tbl>
      <w:tblPr>
        <w:tblW w:w="9322" w:type="dxa"/>
        <w:tblLook w:val="04A0" w:firstRow="1" w:lastRow="0" w:firstColumn="1" w:lastColumn="0" w:noHBand="0" w:noVBand="1"/>
        <w:tblDescription w:val="Table 3: Results of affected individuals only"/>
      </w:tblPr>
      <w:tblGrid>
        <w:gridCol w:w="2802"/>
        <w:gridCol w:w="1417"/>
        <w:gridCol w:w="1276"/>
        <w:gridCol w:w="1134"/>
        <w:gridCol w:w="2693"/>
      </w:tblGrid>
      <w:tr w:rsidR="002724DF" w:rsidRPr="001A0477" w:rsidTr="002724DF">
        <w:tc>
          <w:tcPr>
            <w:tcW w:w="2802" w:type="dxa"/>
          </w:tcPr>
          <w:p w:rsidR="002724DF" w:rsidRPr="001A0477" w:rsidRDefault="002724DF" w:rsidP="00852011">
            <w:pPr>
              <w:pStyle w:val="TableText1"/>
            </w:pPr>
          </w:p>
        </w:tc>
        <w:tc>
          <w:tcPr>
            <w:tcW w:w="1417" w:type="dxa"/>
          </w:tcPr>
          <w:p w:rsidR="002724DF" w:rsidRPr="001A0477" w:rsidRDefault="006F04DC" w:rsidP="00852011">
            <w:pPr>
              <w:pStyle w:val="TableText1"/>
            </w:pPr>
            <w:r>
              <w:t>Genetic t</w:t>
            </w:r>
            <w:r w:rsidR="002724DF" w:rsidRPr="001A0477">
              <w:t>est</w:t>
            </w:r>
            <w:r w:rsidR="0063371D">
              <w:t>ing</w:t>
            </w:r>
          </w:p>
        </w:tc>
        <w:tc>
          <w:tcPr>
            <w:tcW w:w="1276" w:type="dxa"/>
          </w:tcPr>
          <w:p w:rsidR="002724DF" w:rsidRPr="001A0477" w:rsidRDefault="002724DF" w:rsidP="00852011">
            <w:pPr>
              <w:pStyle w:val="TableText1"/>
            </w:pPr>
            <w:r w:rsidRPr="001A0477">
              <w:t>No testing</w:t>
            </w:r>
          </w:p>
        </w:tc>
        <w:tc>
          <w:tcPr>
            <w:tcW w:w="1134" w:type="dxa"/>
          </w:tcPr>
          <w:p w:rsidR="002724DF" w:rsidRPr="001A0477" w:rsidRDefault="002724DF" w:rsidP="00852011">
            <w:pPr>
              <w:pStyle w:val="TableText1"/>
            </w:pPr>
            <w:r>
              <w:t>I</w:t>
            </w:r>
            <w:r w:rsidRPr="001A0477">
              <w:t>ncrement</w:t>
            </w:r>
          </w:p>
        </w:tc>
        <w:tc>
          <w:tcPr>
            <w:tcW w:w="2693" w:type="dxa"/>
          </w:tcPr>
          <w:p w:rsidR="002724DF" w:rsidRPr="001A0477" w:rsidRDefault="002724DF" w:rsidP="00852011">
            <w:pPr>
              <w:pStyle w:val="TableText1"/>
            </w:pPr>
            <w:r w:rsidRPr="001A0477">
              <w:t>Incr</w:t>
            </w:r>
            <w:r>
              <w:t>emental</w:t>
            </w:r>
            <w:r w:rsidRPr="001A0477">
              <w:t xml:space="preserve"> </w:t>
            </w:r>
            <w:r w:rsidR="006F04DC" w:rsidRPr="001A0477">
              <w:t>c</w:t>
            </w:r>
            <w:r w:rsidR="006F04DC">
              <w:t>ost</w:t>
            </w:r>
            <w:r w:rsidR="006F04DC" w:rsidRPr="001A0477">
              <w:t>/e</w:t>
            </w:r>
            <w:r w:rsidRPr="001A0477">
              <w:t>ffect</w:t>
            </w:r>
          </w:p>
        </w:tc>
      </w:tr>
      <w:tr w:rsidR="002724DF" w:rsidRPr="001A0477" w:rsidTr="002724DF">
        <w:tc>
          <w:tcPr>
            <w:tcW w:w="2802" w:type="dxa"/>
          </w:tcPr>
          <w:p w:rsidR="002724DF" w:rsidRPr="001A0477" w:rsidRDefault="002724DF" w:rsidP="00852011">
            <w:pPr>
              <w:pStyle w:val="TableText1"/>
            </w:pPr>
            <w:r w:rsidRPr="001A0477">
              <w:t>Cost</w:t>
            </w:r>
          </w:p>
        </w:tc>
        <w:tc>
          <w:tcPr>
            <w:tcW w:w="1417" w:type="dxa"/>
          </w:tcPr>
          <w:p w:rsidR="002724DF" w:rsidRPr="001A0477" w:rsidRDefault="002724DF" w:rsidP="00852011">
            <w:pPr>
              <w:pStyle w:val="TableText1"/>
            </w:pPr>
            <w:r w:rsidRPr="001A0477">
              <w:t>$6,012</w:t>
            </w:r>
          </w:p>
        </w:tc>
        <w:tc>
          <w:tcPr>
            <w:tcW w:w="1276" w:type="dxa"/>
          </w:tcPr>
          <w:p w:rsidR="002724DF" w:rsidRPr="001A0477" w:rsidRDefault="002724DF" w:rsidP="00852011">
            <w:pPr>
              <w:pStyle w:val="TableText1"/>
            </w:pPr>
            <w:r w:rsidRPr="001A0477">
              <w:t>$3,397</w:t>
            </w:r>
          </w:p>
        </w:tc>
        <w:tc>
          <w:tcPr>
            <w:tcW w:w="1134" w:type="dxa"/>
          </w:tcPr>
          <w:p w:rsidR="002724DF" w:rsidRPr="001A0477" w:rsidRDefault="002724DF" w:rsidP="00852011">
            <w:pPr>
              <w:pStyle w:val="TableText1"/>
            </w:pPr>
            <w:r w:rsidRPr="001A0477">
              <w:t>$2,614</w:t>
            </w:r>
          </w:p>
        </w:tc>
        <w:tc>
          <w:tcPr>
            <w:tcW w:w="2693" w:type="dxa"/>
          </w:tcPr>
          <w:p w:rsidR="002724DF" w:rsidRPr="001A0477" w:rsidRDefault="002724DF" w:rsidP="00852011">
            <w:pPr>
              <w:pStyle w:val="TableText1"/>
            </w:pPr>
            <w:r w:rsidRPr="001A0477">
              <w:t>-</w:t>
            </w:r>
          </w:p>
        </w:tc>
      </w:tr>
      <w:tr w:rsidR="002724DF" w:rsidRPr="001A0477" w:rsidTr="002724DF">
        <w:tc>
          <w:tcPr>
            <w:tcW w:w="2802" w:type="dxa"/>
          </w:tcPr>
          <w:p w:rsidR="002724DF" w:rsidRPr="001A0477" w:rsidRDefault="002724DF" w:rsidP="00852011">
            <w:pPr>
              <w:pStyle w:val="TableText1"/>
            </w:pPr>
            <w:r w:rsidRPr="001A0477">
              <w:t>QALY</w:t>
            </w:r>
            <w:r>
              <w:t>s</w:t>
            </w:r>
          </w:p>
        </w:tc>
        <w:tc>
          <w:tcPr>
            <w:tcW w:w="1417" w:type="dxa"/>
          </w:tcPr>
          <w:p w:rsidR="002724DF" w:rsidRPr="001A0477" w:rsidRDefault="002724DF" w:rsidP="00852011">
            <w:pPr>
              <w:pStyle w:val="TableText1"/>
            </w:pPr>
            <w:r w:rsidRPr="001A0477">
              <w:t>17.42</w:t>
            </w:r>
          </w:p>
        </w:tc>
        <w:tc>
          <w:tcPr>
            <w:tcW w:w="1276" w:type="dxa"/>
          </w:tcPr>
          <w:p w:rsidR="002724DF" w:rsidRPr="001A0477" w:rsidRDefault="002724DF" w:rsidP="00852011">
            <w:pPr>
              <w:pStyle w:val="TableText1"/>
            </w:pPr>
            <w:r w:rsidRPr="001A0477">
              <w:t>17.29</w:t>
            </w:r>
          </w:p>
        </w:tc>
        <w:tc>
          <w:tcPr>
            <w:tcW w:w="1134" w:type="dxa"/>
          </w:tcPr>
          <w:p w:rsidR="002724DF" w:rsidRPr="001A0477" w:rsidRDefault="002724DF" w:rsidP="00852011">
            <w:pPr>
              <w:pStyle w:val="TableText1"/>
            </w:pPr>
            <w:r w:rsidRPr="001A0477">
              <w:t>0.12</w:t>
            </w:r>
          </w:p>
        </w:tc>
        <w:tc>
          <w:tcPr>
            <w:tcW w:w="2693" w:type="dxa"/>
          </w:tcPr>
          <w:p w:rsidR="002724DF" w:rsidRPr="001A0477" w:rsidRDefault="002724DF" w:rsidP="00852011">
            <w:pPr>
              <w:pStyle w:val="TableText1"/>
            </w:pPr>
            <w:r w:rsidRPr="001A0477">
              <w:t>$21,303/QALY gained</w:t>
            </w:r>
          </w:p>
        </w:tc>
      </w:tr>
      <w:tr w:rsidR="002724DF" w:rsidRPr="001A0477" w:rsidTr="002724DF">
        <w:tc>
          <w:tcPr>
            <w:tcW w:w="2802" w:type="dxa"/>
          </w:tcPr>
          <w:p w:rsidR="002724DF" w:rsidRPr="001A0477" w:rsidRDefault="002724DF" w:rsidP="00852011">
            <w:pPr>
              <w:pStyle w:val="TableText1"/>
            </w:pPr>
            <w:r>
              <w:t>Life-years</w:t>
            </w:r>
          </w:p>
        </w:tc>
        <w:tc>
          <w:tcPr>
            <w:tcW w:w="1417" w:type="dxa"/>
          </w:tcPr>
          <w:p w:rsidR="002724DF" w:rsidRPr="001A0477" w:rsidRDefault="002724DF" w:rsidP="00852011">
            <w:pPr>
              <w:pStyle w:val="TableText1"/>
            </w:pPr>
            <w:r w:rsidRPr="001A0477">
              <w:t>17.51</w:t>
            </w:r>
          </w:p>
        </w:tc>
        <w:tc>
          <w:tcPr>
            <w:tcW w:w="1276" w:type="dxa"/>
          </w:tcPr>
          <w:p w:rsidR="002724DF" w:rsidRPr="001A0477" w:rsidRDefault="002724DF" w:rsidP="00852011">
            <w:pPr>
              <w:pStyle w:val="TableText1"/>
            </w:pPr>
            <w:r w:rsidRPr="001A0477">
              <w:t>17.42</w:t>
            </w:r>
          </w:p>
        </w:tc>
        <w:tc>
          <w:tcPr>
            <w:tcW w:w="1134" w:type="dxa"/>
          </w:tcPr>
          <w:p w:rsidR="002724DF" w:rsidRPr="001A0477" w:rsidRDefault="002724DF" w:rsidP="00852011">
            <w:pPr>
              <w:pStyle w:val="TableText1"/>
            </w:pPr>
            <w:r w:rsidRPr="001A0477">
              <w:t>0.09</w:t>
            </w:r>
          </w:p>
        </w:tc>
        <w:tc>
          <w:tcPr>
            <w:tcW w:w="2693" w:type="dxa"/>
          </w:tcPr>
          <w:p w:rsidR="002724DF" w:rsidRPr="001A0477" w:rsidRDefault="002724DF" w:rsidP="00852011">
            <w:pPr>
              <w:pStyle w:val="TableText1"/>
            </w:pPr>
            <w:r w:rsidRPr="001A0477">
              <w:t>$27,695/</w:t>
            </w:r>
            <w:r w:rsidR="006F04DC" w:rsidRPr="001A0477">
              <w:t>l</w:t>
            </w:r>
            <w:r>
              <w:t>ife-year</w:t>
            </w:r>
            <w:r w:rsidRPr="001A0477">
              <w:t xml:space="preserve"> gained</w:t>
            </w:r>
          </w:p>
        </w:tc>
      </w:tr>
      <w:tr w:rsidR="002724DF" w:rsidRPr="001A0477" w:rsidTr="002724DF">
        <w:tc>
          <w:tcPr>
            <w:tcW w:w="2802" w:type="dxa"/>
          </w:tcPr>
          <w:p w:rsidR="002724DF" w:rsidRPr="001A0477" w:rsidRDefault="002724DF" w:rsidP="00852011">
            <w:pPr>
              <w:pStyle w:val="TableText1"/>
            </w:pPr>
            <w:r>
              <w:t>Breast cancer</w:t>
            </w:r>
            <w:r w:rsidRPr="001A0477">
              <w:t xml:space="preserve"> </w:t>
            </w:r>
          </w:p>
        </w:tc>
        <w:tc>
          <w:tcPr>
            <w:tcW w:w="1417" w:type="dxa"/>
          </w:tcPr>
          <w:p w:rsidR="002724DF" w:rsidRPr="001A0477" w:rsidRDefault="002724DF" w:rsidP="00852011">
            <w:pPr>
              <w:pStyle w:val="TableText1"/>
            </w:pPr>
            <w:r w:rsidRPr="001A0477">
              <w:t>0.22</w:t>
            </w:r>
          </w:p>
        </w:tc>
        <w:tc>
          <w:tcPr>
            <w:tcW w:w="1276" w:type="dxa"/>
          </w:tcPr>
          <w:p w:rsidR="002724DF" w:rsidRPr="001A0477" w:rsidRDefault="002724DF" w:rsidP="00852011">
            <w:pPr>
              <w:pStyle w:val="TableText1"/>
            </w:pPr>
            <w:r w:rsidRPr="001A0477">
              <w:t>0.25</w:t>
            </w:r>
          </w:p>
        </w:tc>
        <w:tc>
          <w:tcPr>
            <w:tcW w:w="1134" w:type="dxa"/>
          </w:tcPr>
          <w:p w:rsidR="002724DF" w:rsidRPr="001A0477" w:rsidRDefault="002724DF" w:rsidP="00852011">
            <w:pPr>
              <w:pStyle w:val="TableText1"/>
            </w:pPr>
            <w:r w:rsidRPr="001A0477">
              <w:t>-0.03</w:t>
            </w:r>
          </w:p>
        </w:tc>
        <w:tc>
          <w:tcPr>
            <w:tcW w:w="2693" w:type="dxa"/>
          </w:tcPr>
          <w:p w:rsidR="002724DF" w:rsidRPr="001A0477" w:rsidRDefault="006F04DC" w:rsidP="00852011">
            <w:pPr>
              <w:pStyle w:val="TableText1"/>
            </w:pPr>
            <w:r>
              <w:t>$85,533/</w:t>
            </w:r>
            <w:r w:rsidR="002724DF">
              <w:t>breast cancer</w:t>
            </w:r>
            <w:r w:rsidR="002724DF" w:rsidRPr="001A0477">
              <w:t xml:space="preserve"> avoided</w:t>
            </w:r>
          </w:p>
        </w:tc>
      </w:tr>
      <w:tr w:rsidR="002724DF" w:rsidRPr="001A0477" w:rsidTr="002724DF">
        <w:tc>
          <w:tcPr>
            <w:tcW w:w="2802" w:type="dxa"/>
          </w:tcPr>
          <w:p w:rsidR="002724DF" w:rsidRPr="001A0477" w:rsidRDefault="002724DF" w:rsidP="00852011">
            <w:pPr>
              <w:pStyle w:val="TableText1"/>
            </w:pPr>
            <w:r>
              <w:t>Ovarian cancer</w:t>
            </w:r>
          </w:p>
        </w:tc>
        <w:tc>
          <w:tcPr>
            <w:tcW w:w="1417" w:type="dxa"/>
          </w:tcPr>
          <w:p w:rsidR="002724DF" w:rsidRPr="001A0477" w:rsidRDefault="002724DF" w:rsidP="00852011">
            <w:pPr>
              <w:pStyle w:val="TableText1"/>
            </w:pPr>
            <w:r w:rsidRPr="001A0477">
              <w:t>0.03</w:t>
            </w:r>
          </w:p>
        </w:tc>
        <w:tc>
          <w:tcPr>
            <w:tcW w:w="1276" w:type="dxa"/>
          </w:tcPr>
          <w:p w:rsidR="002724DF" w:rsidRPr="001A0477" w:rsidRDefault="002724DF" w:rsidP="00852011">
            <w:pPr>
              <w:pStyle w:val="TableText1"/>
            </w:pPr>
            <w:r w:rsidRPr="001A0477">
              <w:t>0.05</w:t>
            </w:r>
          </w:p>
        </w:tc>
        <w:tc>
          <w:tcPr>
            <w:tcW w:w="1134" w:type="dxa"/>
          </w:tcPr>
          <w:p w:rsidR="002724DF" w:rsidRPr="001A0477" w:rsidRDefault="002724DF" w:rsidP="00852011">
            <w:pPr>
              <w:pStyle w:val="TableText1"/>
            </w:pPr>
            <w:r w:rsidRPr="001A0477">
              <w:t>-0.03</w:t>
            </w:r>
          </w:p>
        </w:tc>
        <w:tc>
          <w:tcPr>
            <w:tcW w:w="2693" w:type="dxa"/>
          </w:tcPr>
          <w:p w:rsidR="002724DF" w:rsidRPr="001A0477" w:rsidRDefault="002724DF" w:rsidP="00852011">
            <w:pPr>
              <w:pStyle w:val="TableText1"/>
            </w:pPr>
            <w:r w:rsidRPr="001A0477">
              <w:t>$100,160/</w:t>
            </w:r>
            <w:r>
              <w:t>ovarian cancer</w:t>
            </w:r>
            <w:r w:rsidRPr="001A0477">
              <w:t xml:space="preserve"> avoided</w:t>
            </w:r>
          </w:p>
        </w:tc>
      </w:tr>
      <w:tr w:rsidR="002724DF" w:rsidRPr="001A0477" w:rsidTr="002724DF">
        <w:tc>
          <w:tcPr>
            <w:tcW w:w="2802" w:type="dxa"/>
          </w:tcPr>
          <w:p w:rsidR="002724DF" w:rsidRPr="001A0477" w:rsidRDefault="002724DF" w:rsidP="00852011">
            <w:pPr>
              <w:pStyle w:val="TableText1"/>
            </w:pPr>
            <w:r w:rsidRPr="00AF0E2F">
              <w:t>Breast cancer</w:t>
            </w:r>
            <w:r>
              <w:t>+ ovarian cancer</w:t>
            </w:r>
          </w:p>
        </w:tc>
        <w:tc>
          <w:tcPr>
            <w:tcW w:w="1417" w:type="dxa"/>
          </w:tcPr>
          <w:p w:rsidR="002724DF" w:rsidRPr="001A0477" w:rsidRDefault="002724DF" w:rsidP="00852011">
            <w:pPr>
              <w:pStyle w:val="TableText1"/>
            </w:pPr>
            <w:r w:rsidRPr="001A0477">
              <w:t>0.25</w:t>
            </w:r>
          </w:p>
        </w:tc>
        <w:tc>
          <w:tcPr>
            <w:tcW w:w="1276" w:type="dxa"/>
          </w:tcPr>
          <w:p w:rsidR="002724DF" w:rsidRPr="001A0477" w:rsidRDefault="002724DF" w:rsidP="00852011">
            <w:pPr>
              <w:pStyle w:val="TableText1"/>
            </w:pPr>
            <w:r w:rsidRPr="001A0477">
              <w:t>0.30</w:t>
            </w:r>
          </w:p>
        </w:tc>
        <w:tc>
          <w:tcPr>
            <w:tcW w:w="1134" w:type="dxa"/>
          </w:tcPr>
          <w:p w:rsidR="002724DF" w:rsidRPr="001A0477" w:rsidRDefault="002724DF" w:rsidP="00852011">
            <w:pPr>
              <w:pStyle w:val="TableText1"/>
            </w:pPr>
            <w:r w:rsidRPr="001A0477">
              <w:t>-0.06</w:t>
            </w:r>
          </w:p>
        </w:tc>
        <w:tc>
          <w:tcPr>
            <w:tcW w:w="2693" w:type="dxa"/>
          </w:tcPr>
          <w:p w:rsidR="002724DF" w:rsidRPr="001A0477" w:rsidRDefault="002724DF" w:rsidP="00852011">
            <w:pPr>
              <w:pStyle w:val="TableText1"/>
            </w:pPr>
            <w:r w:rsidRPr="001A0477">
              <w:t>$4</w:t>
            </w:r>
            <w:r>
              <w:t>4</w:t>
            </w:r>
            <w:r w:rsidRPr="001A0477">
              <w:t>,</w:t>
            </w:r>
            <w:r>
              <w:t>000</w:t>
            </w:r>
            <w:r w:rsidRPr="001A0477">
              <w:t>/cancer avoided</w:t>
            </w:r>
          </w:p>
        </w:tc>
      </w:tr>
    </w:tbl>
    <w:p w:rsidR="002724DF" w:rsidRPr="009108FA" w:rsidRDefault="002724DF" w:rsidP="002724DF">
      <w:pPr>
        <w:rPr>
          <w:rFonts w:ascii="Arial Narrow" w:hAnsi="Arial Narrow" w:cs="Arial"/>
          <w:color w:val="000000"/>
          <w:sz w:val="20"/>
        </w:rPr>
      </w:pPr>
      <w:r>
        <w:rPr>
          <w:rFonts w:ascii="Arial Narrow" w:hAnsi="Arial Narrow" w:cs="Arial"/>
          <w:color w:val="000000"/>
          <w:sz w:val="20"/>
        </w:rPr>
        <w:t>QALY = Quality-adjusted life-year</w:t>
      </w:r>
    </w:p>
    <w:p w:rsidR="002724DF" w:rsidRPr="001A0477" w:rsidRDefault="002724DF" w:rsidP="00852011">
      <w:pPr>
        <w:spacing w:after="0"/>
        <w:rPr>
          <w:rFonts w:ascii="Arial Narrow" w:hAnsi="Arial Narrow" w:cs="Arial"/>
          <w:b/>
          <w:color w:val="000000"/>
          <w:sz w:val="20"/>
        </w:rPr>
      </w:pPr>
      <w:r>
        <w:rPr>
          <w:rFonts w:ascii="Arial Narrow" w:hAnsi="Arial Narrow" w:cs="Arial"/>
          <w:b/>
          <w:color w:val="000000"/>
          <w:sz w:val="20"/>
        </w:rPr>
        <w:t xml:space="preserve">Table 4: </w:t>
      </w:r>
      <w:r w:rsidRPr="001A0477">
        <w:rPr>
          <w:rFonts w:ascii="Arial Narrow" w:hAnsi="Arial Narrow" w:cs="Arial"/>
          <w:b/>
          <w:color w:val="000000"/>
          <w:sz w:val="20"/>
        </w:rPr>
        <w:t xml:space="preserve">Results of affected individuals + </w:t>
      </w:r>
      <w:proofErr w:type="spellStart"/>
      <w:r>
        <w:rPr>
          <w:rFonts w:ascii="Arial Narrow" w:hAnsi="Arial Narrow" w:cs="Arial"/>
          <w:b/>
          <w:color w:val="000000"/>
          <w:sz w:val="20"/>
        </w:rPr>
        <w:t>proband’s</w:t>
      </w:r>
      <w:proofErr w:type="spellEnd"/>
      <w:r>
        <w:rPr>
          <w:rFonts w:ascii="Arial Narrow" w:hAnsi="Arial Narrow" w:cs="Arial"/>
          <w:b/>
          <w:color w:val="000000"/>
          <w:sz w:val="20"/>
        </w:rPr>
        <w:t xml:space="preserve"> female siblings</w:t>
      </w:r>
    </w:p>
    <w:tbl>
      <w:tblPr>
        <w:tblW w:w="9322" w:type="dxa"/>
        <w:tblLook w:val="04A0" w:firstRow="1" w:lastRow="0" w:firstColumn="1" w:lastColumn="0" w:noHBand="0" w:noVBand="1"/>
        <w:tblDescription w:val="Table 4: Results of affected individuals + proband’s female siblings"/>
      </w:tblPr>
      <w:tblGrid>
        <w:gridCol w:w="2802"/>
        <w:gridCol w:w="1417"/>
        <w:gridCol w:w="1276"/>
        <w:gridCol w:w="1134"/>
        <w:gridCol w:w="2693"/>
      </w:tblGrid>
      <w:tr w:rsidR="002724DF" w:rsidRPr="001A0477" w:rsidTr="002724DF">
        <w:tc>
          <w:tcPr>
            <w:tcW w:w="2802" w:type="dxa"/>
          </w:tcPr>
          <w:p w:rsidR="002724DF" w:rsidRPr="001A0477" w:rsidRDefault="002724DF" w:rsidP="00852011">
            <w:pPr>
              <w:pStyle w:val="TableText1"/>
            </w:pPr>
          </w:p>
        </w:tc>
        <w:tc>
          <w:tcPr>
            <w:tcW w:w="1417" w:type="dxa"/>
          </w:tcPr>
          <w:p w:rsidR="002724DF" w:rsidRPr="001A0477" w:rsidRDefault="002724DF" w:rsidP="00852011">
            <w:pPr>
              <w:pStyle w:val="TableText1"/>
            </w:pPr>
            <w:r w:rsidRPr="001A0477">
              <w:t xml:space="preserve">Genetic </w:t>
            </w:r>
            <w:r w:rsidR="006F04DC">
              <w:t>t</w:t>
            </w:r>
            <w:r w:rsidRPr="001A0477">
              <w:t>est</w:t>
            </w:r>
            <w:r w:rsidR="0063371D">
              <w:t>ing</w:t>
            </w:r>
          </w:p>
        </w:tc>
        <w:tc>
          <w:tcPr>
            <w:tcW w:w="1276" w:type="dxa"/>
          </w:tcPr>
          <w:p w:rsidR="002724DF" w:rsidRPr="001A0477" w:rsidRDefault="002724DF" w:rsidP="00852011">
            <w:pPr>
              <w:pStyle w:val="TableText1"/>
            </w:pPr>
            <w:r w:rsidRPr="001A0477">
              <w:t>No testing</w:t>
            </w:r>
          </w:p>
        </w:tc>
        <w:tc>
          <w:tcPr>
            <w:tcW w:w="1134" w:type="dxa"/>
          </w:tcPr>
          <w:p w:rsidR="002724DF" w:rsidRPr="001A0477" w:rsidRDefault="002724DF" w:rsidP="00852011">
            <w:pPr>
              <w:pStyle w:val="TableText1"/>
            </w:pPr>
            <w:r w:rsidRPr="001A0477">
              <w:t>increment</w:t>
            </w:r>
          </w:p>
        </w:tc>
        <w:tc>
          <w:tcPr>
            <w:tcW w:w="2693" w:type="dxa"/>
          </w:tcPr>
          <w:p w:rsidR="002724DF" w:rsidRPr="001A0477" w:rsidRDefault="002724DF" w:rsidP="00852011">
            <w:pPr>
              <w:pStyle w:val="TableText1"/>
            </w:pPr>
            <w:r w:rsidRPr="001A0477">
              <w:t>Incr</w:t>
            </w:r>
            <w:r>
              <w:t>emental</w:t>
            </w:r>
            <w:r w:rsidRPr="001A0477">
              <w:t xml:space="preserve"> </w:t>
            </w:r>
            <w:r w:rsidR="006F04DC" w:rsidRPr="001A0477">
              <w:t>c</w:t>
            </w:r>
            <w:r w:rsidR="006F04DC">
              <w:t>ost</w:t>
            </w:r>
            <w:r w:rsidR="006F04DC" w:rsidRPr="001A0477">
              <w:t>/e</w:t>
            </w:r>
            <w:r w:rsidRPr="001A0477">
              <w:t>ffect</w:t>
            </w:r>
          </w:p>
        </w:tc>
      </w:tr>
      <w:tr w:rsidR="002724DF" w:rsidRPr="001A0477" w:rsidTr="002724DF">
        <w:tc>
          <w:tcPr>
            <w:tcW w:w="2802" w:type="dxa"/>
          </w:tcPr>
          <w:p w:rsidR="002724DF" w:rsidRPr="001A0477" w:rsidRDefault="002724DF" w:rsidP="00852011">
            <w:pPr>
              <w:pStyle w:val="TableText1"/>
            </w:pPr>
            <w:r w:rsidRPr="001A0477">
              <w:t>Cost</w:t>
            </w:r>
          </w:p>
        </w:tc>
        <w:tc>
          <w:tcPr>
            <w:tcW w:w="1417" w:type="dxa"/>
          </w:tcPr>
          <w:p w:rsidR="002724DF" w:rsidRPr="001A0477" w:rsidRDefault="002724DF" w:rsidP="00852011">
            <w:pPr>
              <w:pStyle w:val="TableText1"/>
            </w:pPr>
            <w:r w:rsidRPr="001A0477">
              <w:t>$7,</w:t>
            </w:r>
            <w:r>
              <w:t>230</w:t>
            </w:r>
          </w:p>
        </w:tc>
        <w:tc>
          <w:tcPr>
            <w:tcW w:w="1276" w:type="dxa"/>
          </w:tcPr>
          <w:p w:rsidR="002724DF" w:rsidRPr="001A0477" w:rsidRDefault="002724DF" w:rsidP="00852011">
            <w:pPr>
              <w:pStyle w:val="TableText1"/>
            </w:pPr>
            <w:r w:rsidRPr="001A0477">
              <w:t>$4,080</w:t>
            </w:r>
          </w:p>
        </w:tc>
        <w:tc>
          <w:tcPr>
            <w:tcW w:w="1134" w:type="dxa"/>
          </w:tcPr>
          <w:p w:rsidR="002724DF" w:rsidRPr="001A0477" w:rsidRDefault="002724DF" w:rsidP="00852011">
            <w:pPr>
              <w:pStyle w:val="TableText1"/>
            </w:pPr>
            <w:r w:rsidRPr="001A0477">
              <w:t>$3,</w:t>
            </w:r>
            <w:r>
              <w:t>150</w:t>
            </w:r>
          </w:p>
        </w:tc>
        <w:tc>
          <w:tcPr>
            <w:tcW w:w="2693" w:type="dxa"/>
          </w:tcPr>
          <w:p w:rsidR="002724DF" w:rsidRPr="001A0477" w:rsidRDefault="002724DF" w:rsidP="00852011">
            <w:pPr>
              <w:pStyle w:val="TableText1"/>
            </w:pPr>
            <w:r w:rsidRPr="001A0477">
              <w:t>-</w:t>
            </w:r>
          </w:p>
        </w:tc>
      </w:tr>
      <w:tr w:rsidR="002724DF" w:rsidRPr="001A0477" w:rsidTr="002724DF">
        <w:tc>
          <w:tcPr>
            <w:tcW w:w="2802" w:type="dxa"/>
          </w:tcPr>
          <w:p w:rsidR="002724DF" w:rsidRPr="001A0477" w:rsidRDefault="002724DF" w:rsidP="00852011">
            <w:pPr>
              <w:pStyle w:val="TableText1"/>
            </w:pPr>
            <w:r w:rsidRPr="001A0477">
              <w:lastRenderedPageBreak/>
              <w:t>QALY</w:t>
            </w:r>
            <w:r>
              <w:t>s</w:t>
            </w:r>
          </w:p>
        </w:tc>
        <w:tc>
          <w:tcPr>
            <w:tcW w:w="1417" w:type="dxa"/>
          </w:tcPr>
          <w:p w:rsidR="002724DF" w:rsidRPr="001A0477" w:rsidRDefault="002724DF" w:rsidP="00852011">
            <w:pPr>
              <w:pStyle w:val="TableText1"/>
            </w:pPr>
            <w:r w:rsidRPr="001A0477">
              <w:t>19.50</w:t>
            </w:r>
          </w:p>
        </w:tc>
        <w:tc>
          <w:tcPr>
            <w:tcW w:w="1276" w:type="dxa"/>
          </w:tcPr>
          <w:p w:rsidR="002724DF" w:rsidRPr="001A0477" w:rsidRDefault="002724DF" w:rsidP="00852011">
            <w:pPr>
              <w:pStyle w:val="TableText1"/>
            </w:pPr>
            <w:r w:rsidRPr="001A0477">
              <w:t>19.33</w:t>
            </w:r>
          </w:p>
        </w:tc>
        <w:tc>
          <w:tcPr>
            <w:tcW w:w="1134" w:type="dxa"/>
          </w:tcPr>
          <w:p w:rsidR="002724DF" w:rsidRPr="001A0477" w:rsidRDefault="002724DF" w:rsidP="00852011">
            <w:pPr>
              <w:pStyle w:val="TableText1"/>
            </w:pPr>
            <w:r w:rsidRPr="001A0477">
              <w:t>0.17</w:t>
            </w:r>
          </w:p>
        </w:tc>
        <w:tc>
          <w:tcPr>
            <w:tcW w:w="2693" w:type="dxa"/>
          </w:tcPr>
          <w:p w:rsidR="002724DF" w:rsidRPr="001A0477" w:rsidRDefault="002724DF" w:rsidP="00852011">
            <w:pPr>
              <w:pStyle w:val="TableText1"/>
            </w:pPr>
            <w:r w:rsidRPr="001A0477">
              <w:t>$1</w:t>
            </w:r>
            <w:r>
              <w:t>8</w:t>
            </w:r>
            <w:r w:rsidRPr="001A0477">
              <w:t>,</w:t>
            </w:r>
            <w:r>
              <w:t>241</w:t>
            </w:r>
            <w:r w:rsidRPr="001A0477">
              <w:t>/QALY gained</w:t>
            </w:r>
          </w:p>
        </w:tc>
      </w:tr>
      <w:tr w:rsidR="002724DF" w:rsidRPr="001A0477" w:rsidTr="002724DF">
        <w:tc>
          <w:tcPr>
            <w:tcW w:w="2802" w:type="dxa"/>
          </w:tcPr>
          <w:p w:rsidR="002724DF" w:rsidRPr="001A0477" w:rsidRDefault="002724DF" w:rsidP="00852011">
            <w:pPr>
              <w:pStyle w:val="TableText1"/>
            </w:pPr>
            <w:r>
              <w:t>Life-years</w:t>
            </w:r>
          </w:p>
        </w:tc>
        <w:tc>
          <w:tcPr>
            <w:tcW w:w="1417" w:type="dxa"/>
          </w:tcPr>
          <w:p w:rsidR="002724DF" w:rsidRPr="001A0477" w:rsidRDefault="002724DF" w:rsidP="00852011">
            <w:pPr>
              <w:pStyle w:val="TableText1"/>
            </w:pPr>
            <w:r w:rsidRPr="001A0477">
              <w:t>19.60</w:t>
            </w:r>
          </w:p>
        </w:tc>
        <w:tc>
          <w:tcPr>
            <w:tcW w:w="1276" w:type="dxa"/>
          </w:tcPr>
          <w:p w:rsidR="002724DF" w:rsidRPr="001A0477" w:rsidRDefault="002724DF" w:rsidP="00852011">
            <w:pPr>
              <w:pStyle w:val="TableText1"/>
            </w:pPr>
            <w:r w:rsidRPr="001A0477">
              <w:t>19.47</w:t>
            </w:r>
          </w:p>
        </w:tc>
        <w:tc>
          <w:tcPr>
            <w:tcW w:w="1134" w:type="dxa"/>
          </w:tcPr>
          <w:p w:rsidR="002724DF" w:rsidRPr="001A0477" w:rsidRDefault="002724DF" w:rsidP="00852011">
            <w:pPr>
              <w:pStyle w:val="TableText1"/>
            </w:pPr>
            <w:r w:rsidRPr="001A0477">
              <w:t>0.13</w:t>
            </w:r>
          </w:p>
        </w:tc>
        <w:tc>
          <w:tcPr>
            <w:tcW w:w="2693" w:type="dxa"/>
          </w:tcPr>
          <w:p w:rsidR="002724DF" w:rsidRPr="001A0477" w:rsidRDefault="002724DF" w:rsidP="00852011">
            <w:pPr>
              <w:pStyle w:val="TableText1"/>
            </w:pPr>
            <w:r w:rsidRPr="001A0477">
              <w:t>$2</w:t>
            </w:r>
            <w:r>
              <w:t>3</w:t>
            </w:r>
            <w:r w:rsidRPr="001A0477">
              <w:t>,</w:t>
            </w:r>
            <w:r>
              <w:t>875</w:t>
            </w:r>
            <w:r w:rsidR="006F04DC">
              <w:t>/l</w:t>
            </w:r>
            <w:r>
              <w:t>ife-year</w:t>
            </w:r>
            <w:r w:rsidRPr="001A0477">
              <w:t xml:space="preserve"> gained</w:t>
            </w:r>
          </w:p>
        </w:tc>
      </w:tr>
      <w:tr w:rsidR="002724DF" w:rsidRPr="001A0477" w:rsidTr="002724DF">
        <w:tc>
          <w:tcPr>
            <w:tcW w:w="2802" w:type="dxa"/>
          </w:tcPr>
          <w:p w:rsidR="002724DF" w:rsidRPr="001A0477" w:rsidRDefault="002724DF" w:rsidP="00852011">
            <w:pPr>
              <w:pStyle w:val="TableText1"/>
            </w:pPr>
            <w:r>
              <w:t>Breast cancer</w:t>
            </w:r>
            <w:r w:rsidRPr="001A0477">
              <w:t xml:space="preserve"> </w:t>
            </w:r>
          </w:p>
        </w:tc>
        <w:tc>
          <w:tcPr>
            <w:tcW w:w="1417" w:type="dxa"/>
          </w:tcPr>
          <w:p w:rsidR="002724DF" w:rsidRPr="001A0477" w:rsidRDefault="002724DF" w:rsidP="00852011">
            <w:pPr>
              <w:pStyle w:val="TableText1"/>
            </w:pPr>
            <w:r w:rsidRPr="001A0477">
              <w:t>0.25</w:t>
            </w:r>
          </w:p>
        </w:tc>
        <w:tc>
          <w:tcPr>
            <w:tcW w:w="1276" w:type="dxa"/>
          </w:tcPr>
          <w:p w:rsidR="002724DF" w:rsidRPr="001A0477" w:rsidRDefault="002724DF" w:rsidP="00852011">
            <w:pPr>
              <w:pStyle w:val="TableText1"/>
            </w:pPr>
            <w:r w:rsidRPr="001A0477">
              <w:t>0.30</w:t>
            </w:r>
          </w:p>
        </w:tc>
        <w:tc>
          <w:tcPr>
            <w:tcW w:w="1134" w:type="dxa"/>
          </w:tcPr>
          <w:p w:rsidR="002724DF" w:rsidRPr="001A0477" w:rsidRDefault="002724DF" w:rsidP="00852011">
            <w:pPr>
              <w:pStyle w:val="TableText1"/>
            </w:pPr>
            <w:r w:rsidRPr="001A0477">
              <w:t>-0.05</w:t>
            </w:r>
          </w:p>
        </w:tc>
        <w:tc>
          <w:tcPr>
            <w:tcW w:w="2693" w:type="dxa"/>
          </w:tcPr>
          <w:p w:rsidR="002724DF" w:rsidRPr="001A0477" w:rsidRDefault="002724DF" w:rsidP="00852011">
            <w:pPr>
              <w:pStyle w:val="TableText1"/>
            </w:pPr>
            <w:r w:rsidRPr="001A0477">
              <w:t>$</w:t>
            </w:r>
            <w:r>
              <w:t>68</w:t>
            </w:r>
            <w:r w:rsidRPr="001A0477">
              <w:t>,</w:t>
            </w:r>
            <w:r>
              <w:t>850</w:t>
            </w:r>
            <w:r w:rsidR="006F04DC">
              <w:t>/</w:t>
            </w:r>
            <w:r>
              <w:t>breast cancer</w:t>
            </w:r>
            <w:r w:rsidRPr="001A0477">
              <w:t xml:space="preserve"> avoided</w:t>
            </w:r>
          </w:p>
        </w:tc>
      </w:tr>
      <w:tr w:rsidR="002724DF" w:rsidRPr="001A0477" w:rsidTr="002724DF">
        <w:tc>
          <w:tcPr>
            <w:tcW w:w="2802" w:type="dxa"/>
          </w:tcPr>
          <w:p w:rsidR="002724DF" w:rsidRPr="001A0477" w:rsidRDefault="002724DF" w:rsidP="00852011">
            <w:pPr>
              <w:pStyle w:val="TableText1"/>
            </w:pPr>
            <w:r>
              <w:t>Ovarian cancer</w:t>
            </w:r>
          </w:p>
        </w:tc>
        <w:tc>
          <w:tcPr>
            <w:tcW w:w="1417" w:type="dxa"/>
          </w:tcPr>
          <w:p w:rsidR="002724DF" w:rsidRPr="001A0477" w:rsidRDefault="002724DF" w:rsidP="00852011">
            <w:pPr>
              <w:pStyle w:val="TableText1"/>
            </w:pPr>
            <w:r w:rsidRPr="001A0477">
              <w:t>0.03</w:t>
            </w:r>
          </w:p>
        </w:tc>
        <w:tc>
          <w:tcPr>
            <w:tcW w:w="1276" w:type="dxa"/>
          </w:tcPr>
          <w:p w:rsidR="002724DF" w:rsidRPr="001A0477" w:rsidRDefault="002724DF" w:rsidP="00852011">
            <w:pPr>
              <w:pStyle w:val="TableText1"/>
            </w:pPr>
            <w:r w:rsidRPr="001A0477">
              <w:t>0.07</w:t>
            </w:r>
          </w:p>
        </w:tc>
        <w:tc>
          <w:tcPr>
            <w:tcW w:w="1134" w:type="dxa"/>
          </w:tcPr>
          <w:p w:rsidR="002724DF" w:rsidRPr="001A0477" w:rsidRDefault="002724DF" w:rsidP="00852011">
            <w:pPr>
              <w:pStyle w:val="TableText1"/>
            </w:pPr>
            <w:r w:rsidRPr="001A0477">
              <w:t>-0.03</w:t>
            </w:r>
          </w:p>
        </w:tc>
        <w:tc>
          <w:tcPr>
            <w:tcW w:w="2693" w:type="dxa"/>
          </w:tcPr>
          <w:p w:rsidR="002724DF" w:rsidRPr="001A0477" w:rsidRDefault="002724DF" w:rsidP="00852011">
            <w:pPr>
              <w:pStyle w:val="TableText1"/>
            </w:pPr>
            <w:r w:rsidRPr="001A0477">
              <w:t>$9</w:t>
            </w:r>
            <w:r>
              <w:t>1</w:t>
            </w:r>
            <w:r w:rsidRPr="001A0477">
              <w:t>,</w:t>
            </w:r>
            <w:r>
              <w:t>950</w:t>
            </w:r>
            <w:r w:rsidRPr="001A0477">
              <w:t>/</w:t>
            </w:r>
            <w:r>
              <w:t>ovarian cancer</w:t>
            </w:r>
            <w:r w:rsidRPr="001A0477">
              <w:t xml:space="preserve"> avoided</w:t>
            </w:r>
          </w:p>
        </w:tc>
      </w:tr>
      <w:tr w:rsidR="002724DF" w:rsidRPr="001A0477" w:rsidTr="002724DF">
        <w:tc>
          <w:tcPr>
            <w:tcW w:w="2802" w:type="dxa"/>
          </w:tcPr>
          <w:p w:rsidR="002724DF" w:rsidRPr="001A0477" w:rsidRDefault="002724DF" w:rsidP="00852011">
            <w:pPr>
              <w:pStyle w:val="TableText1"/>
            </w:pPr>
            <w:r w:rsidRPr="00AF0E2F">
              <w:t>Breast cancer</w:t>
            </w:r>
            <w:r>
              <w:t>+ ovarian cancer</w:t>
            </w:r>
          </w:p>
        </w:tc>
        <w:tc>
          <w:tcPr>
            <w:tcW w:w="1417" w:type="dxa"/>
          </w:tcPr>
          <w:p w:rsidR="002724DF" w:rsidRPr="001A0477" w:rsidRDefault="002724DF" w:rsidP="00852011">
            <w:pPr>
              <w:pStyle w:val="TableText1"/>
            </w:pPr>
            <w:r w:rsidRPr="001A0477">
              <w:t>0.28</w:t>
            </w:r>
          </w:p>
        </w:tc>
        <w:tc>
          <w:tcPr>
            <w:tcW w:w="1276" w:type="dxa"/>
          </w:tcPr>
          <w:p w:rsidR="002724DF" w:rsidRPr="001A0477" w:rsidRDefault="002724DF" w:rsidP="00852011">
            <w:pPr>
              <w:pStyle w:val="TableText1"/>
            </w:pPr>
            <w:r w:rsidRPr="001A0477">
              <w:t>0.37</w:t>
            </w:r>
          </w:p>
        </w:tc>
        <w:tc>
          <w:tcPr>
            <w:tcW w:w="1134" w:type="dxa"/>
          </w:tcPr>
          <w:p w:rsidR="002724DF" w:rsidRPr="001A0477" w:rsidRDefault="002724DF" w:rsidP="00852011">
            <w:pPr>
              <w:pStyle w:val="TableText1"/>
            </w:pPr>
            <w:r w:rsidRPr="001A0477">
              <w:t>-0.08</w:t>
            </w:r>
          </w:p>
        </w:tc>
        <w:tc>
          <w:tcPr>
            <w:tcW w:w="2693" w:type="dxa"/>
          </w:tcPr>
          <w:p w:rsidR="002724DF" w:rsidRPr="001A0477" w:rsidRDefault="002724DF" w:rsidP="00852011">
            <w:pPr>
              <w:pStyle w:val="TableText1"/>
            </w:pPr>
            <w:r w:rsidRPr="001A0477">
              <w:t>$</w:t>
            </w:r>
            <w:r>
              <w:t>39</w:t>
            </w:r>
            <w:r w:rsidRPr="001A0477">
              <w:t>,</w:t>
            </w:r>
            <w:r>
              <w:t>000</w:t>
            </w:r>
            <w:r w:rsidRPr="001A0477">
              <w:t>/cancer avoided</w:t>
            </w:r>
          </w:p>
        </w:tc>
      </w:tr>
    </w:tbl>
    <w:p w:rsidR="002724DF" w:rsidRPr="009108FA" w:rsidRDefault="002724DF" w:rsidP="002724DF">
      <w:pPr>
        <w:rPr>
          <w:rFonts w:ascii="Arial Narrow" w:hAnsi="Arial Narrow" w:cs="Arial"/>
          <w:color w:val="000000"/>
          <w:sz w:val="20"/>
        </w:rPr>
      </w:pPr>
      <w:r>
        <w:rPr>
          <w:rFonts w:ascii="Arial Narrow" w:hAnsi="Arial Narrow" w:cs="Arial"/>
          <w:color w:val="000000"/>
          <w:sz w:val="20"/>
        </w:rPr>
        <w:t>QALY = Quality-adjusted life-year</w:t>
      </w:r>
    </w:p>
    <w:p w:rsidR="002724DF" w:rsidRPr="001A0477" w:rsidRDefault="00DF35D4" w:rsidP="00852011">
      <w:pPr>
        <w:spacing w:after="0"/>
        <w:rPr>
          <w:rFonts w:ascii="Arial Narrow" w:hAnsi="Arial Narrow" w:cs="Arial"/>
          <w:b/>
          <w:color w:val="000000"/>
          <w:sz w:val="20"/>
        </w:rPr>
      </w:pPr>
      <w:r>
        <w:rPr>
          <w:rFonts w:ascii="Arial Narrow" w:hAnsi="Arial Narrow" w:cs="Arial"/>
          <w:b/>
          <w:color w:val="000000"/>
          <w:sz w:val="20"/>
        </w:rPr>
        <w:t>Table 5</w:t>
      </w:r>
      <w:r w:rsidR="002724DF">
        <w:rPr>
          <w:rFonts w:ascii="Arial Narrow" w:hAnsi="Arial Narrow" w:cs="Arial"/>
          <w:b/>
          <w:color w:val="000000"/>
          <w:sz w:val="20"/>
        </w:rPr>
        <w:t xml:space="preserve">: </w:t>
      </w:r>
      <w:r w:rsidR="002724DF" w:rsidRPr="001A0477">
        <w:rPr>
          <w:rFonts w:ascii="Arial Narrow" w:hAnsi="Arial Narrow" w:cs="Arial"/>
          <w:b/>
          <w:color w:val="000000"/>
          <w:sz w:val="20"/>
        </w:rPr>
        <w:t xml:space="preserve">Results of affected individuals + </w:t>
      </w:r>
      <w:proofErr w:type="spellStart"/>
      <w:r w:rsidR="002724DF">
        <w:rPr>
          <w:rFonts w:ascii="Arial Narrow" w:hAnsi="Arial Narrow" w:cs="Arial"/>
          <w:b/>
          <w:color w:val="000000"/>
          <w:sz w:val="20"/>
        </w:rPr>
        <w:t>proband’s</w:t>
      </w:r>
      <w:proofErr w:type="spellEnd"/>
      <w:r w:rsidR="002724DF">
        <w:rPr>
          <w:rFonts w:ascii="Arial Narrow" w:hAnsi="Arial Narrow" w:cs="Arial"/>
          <w:b/>
          <w:color w:val="000000"/>
          <w:sz w:val="20"/>
        </w:rPr>
        <w:t xml:space="preserve"> female children</w:t>
      </w:r>
    </w:p>
    <w:tbl>
      <w:tblPr>
        <w:tblW w:w="9322" w:type="dxa"/>
        <w:tblLook w:val="04A0" w:firstRow="1" w:lastRow="0" w:firstColumn="1" w:lastColumn="0" w:noHBand="0" w:noVBand="1"/>
        <w:tblDescription w:val="Table 5: Results of affected individuals + proband’s female children"/>
      </w:tblPr>
      <w:tblGrid>
        <w:gridCol w:w="2802"/>
        <w:gridCol w:w="1417"/>
        <w:gridCol w:w="1276"/>
        <w:gridCol w:w="1134"/>
        <w:gridCol w:w="2693"/>
      </w:tblGrid>
      <w:tr w:rsidR="002724DF" w:rsidRPr="001A0477" w:rsidTr="002724DF">
        <w:tc>
          <w:tcPr>
            <w:tcW w:w="2802" w:type="dxa"/>
          </w:tcPr>
          <w:p w:rsidR="002724DF" w:rsidRPr="001A0477" w:rsidRDefault="002724DF" w:rsidP="00852011">
            <w:pPr>
              <w:pStyle w:val="TableText1"/>
            </w:pPr>
          </w:p>
        </w:tc>
        <w:tc>
          <w:tcPr>
            <w:tcW w:w="1417" w:type="dxa"/>
          </w:tcPr>
          <w:p w:rsidR="002724DF" w:rsidRPr="001A0477" w:rsidRDefault="002724DF" w:rsidP="00852011">
            <w:pPr>
              <w:pStyle w:val="TableText1"/>
            </w:pPr>
            <w:r w:rsidRPr="001A0477">
              <w:t xml:space="preserve">Genetic </w:t>
            </w:r>
            <w:r w:rsidR="006F04DC">
              <w:t>t</w:t>
            </w:r>
            <w:r w:rsidRPr="001A0477">
              <w:t>est</w:t>
            </w:r>
            <w:r w:rsidR="0063371D">
              <w:t>ing</w:t>
            </w:r>
          </w:p>
        </w:tc>
        <w:tc>
          <w:tcPr>
            <w:tcW w:w="1276" w:type="dxa"/>
          </w:tcPr>
          <w:p w:rsidR="002724DF" w:rsidRPr="001A0477" w:rsidRDefault="002724DF" w:rsidP="00852011">
            <w:pPr>
              <w:pStyle w:val="TableText1"/>
            </w:pPr>
            <w:r w:rsidRPr="001A0477">
              <w:t>No testing</w:t>
            </w:r>
          </w:p>
        </w:tc>
        <w:tc>
          <w:tcPr>
            <w:tcW w:w="1134" w:type="dxa"/>
          </w:tcPr>
          <w:p w:rsidR="002724DF" w:rsidRPr="001A0477" w:rsidRDefault="002724DF" w:rsidP="00852011">
            <w:pPr>
              <w:pStyle w:val="TableText1"/>
            </w:pPr>
            <w:r>
              <w:t>I</w:t>
            </w:r>
            <w:r w:rsidRPr="001A0477">
              <w:t>ncrement</w:t>
            </w:r>
          </w:p>
        </w:tc>
        <w:tc>
          <w:tcPr>
            <w:tcW w:w="2693" w:type="dxa"/>
          </w:tcPr>
          <w:p w:rsidR="002724DF" w:rsidRPr="001A0477" w:rsidRDefault="002724DF" w:rsidP="00852011">
            <w:pPr>
              <w:pStyle w:val="TableText1"/>
            </w:pPr>
            <w:r w:rsidRPr="001A0477">
              <w:t>Incr</w:t>
            </w:r>
            <w:r>
              <w:t>emental</w:t>
            </w:r>
            <w:r w:rsidRPr="001A0477">
              <w:t xml:space="preserve"> </w:t>
            </w:r>
            <w:r w:rsidR="006F04DC">
              <w:t>c</w:t>
            </w:r>
            <w:r>
              <w:t>ost</w:t>
            </w:r>
            <w:r w:rsidRPr="001A0477">
              <w:t>/</w:t>
            </w:r>
            <w:r w:rsidR="006F04DC">
              <w:t>e</w:t>
            </w:r>
            <w:r w:rsidRPr="001A0477">
              <w:t>ffect</w:t>
            </w:r>
          </w:p>
        </w:tc>
      </w:tr>
      <w:tr w:rsidR="002724DF" w:rsidRPr="001A0477" w:rsidTr="002724DF">
        <w:tc>
          <w:tcPr>
            <w:tcW w:w="2802" w:type="dxa"/>
          </w:tcPr>
          <w:p w:rsidR="002724DF" w:rsidRPr="001A0477" w:rsidRDefault="002724DF" w:rsidP="00852011">
            <w:pPr>
              <w:pStyle w:val="TableText1"/>
            </w:pPr>
            <w:r w:rsidRPr="001A0477">
              <w:t>Cost</w:t>
            </w:r>
          </w:p>
        </w:tc>
        <w:tc>
          <w:tcPr>
            <w:tcW w:w="1417" w:type="dxa"/>
          </w:tcPr>
          <w:p w:rsidR="002724DF" w:rsidRPr="001A0477" w:rsidRDefault="002724DF" w:rsidP="00852011">
            <w:pPr>
              <w:pStyle w:val="TableText1"/>
            </w:pPr>
            <w:r w:rsidRPr="001A0477">
              <w:t>$6,</w:t>
            </w:r>
            <w:r>
              <w:t>570</w:t>
            </w:r>
          </w:p>
        </w:tc>
        <w:tc>
          <w:tcPr>
            <w:tcW w:w="1276" w:type="dxa"/>
          </w:tcPr>
          <w:p w:rsidR="002724DF" w:rsidRPr="001A0477" w:rsidRDefault="002724DF" w:rsidP="00852011">
            <w:pPr>
              <w:pStyle w:val="TableText1"/>
            </w:pPr>
            <w:r w:rsidRPr="001A0477">
              <w:t>$3,</w:t>
            </w:r>
            <w:r>
              <w:t>636</w:t>
            </w:r>
          </w:p>
        </w:tc>
        <w:tc>
          <w:tcPr>
            <w:tcW w:w="1134" w:type="dxa"/>
          </w:tcPr>
          <w:p w:rsidR="002724DF" w:rsidRPr="001A0477" w:rsidRDefault="002724DF" w:rsidP="00852011">
            <w:pPr>
              <w:pStyle w:val="TableText1"/>
            </w:pPr>
            <w:r w:rsidRPr="001A0477">
              <w:t>$</w:t>
            </w:r>
            <w:r>
              <w:t>2,934</w:t>
            </w:r>
          </w:p>
        </w:tc>
        <w:tc>
          <w:tcPr>
            <w:tcW w:w="2693" w:type="dxa"/>
          </w:tcPr>
          <w:p w:rsidR="002724DF" w:rsidRPr="001A0477" w:rsidRDefault="002724DF" w:rsidP="00852011">
            <w:pPr>
              <w:pStyle w:val="TableText1"/>
            </w:pPr>
            <w:r w:rsidRPr="001A0477">
              <w:t>-</w:t>
            </w:r>
          </w:p>
        </w:tc>
      </w:tr>
      <w:tr w:rsidR="002724DF" w:rsidRPr="001A0477" w:rsidTr="002724DF">
        <w:tc>
          <w:tcPr>
            <w:tcW w:w="2802" w:type="dxa"/>
          </w:tcPr>
          <w:p w:rsidR="002724DF" w:rsidRPr="001A0477" w:rsidRDefault="002724DF" w:rsidP="00852011">
            <w:pPr>
              <w:pStyle w:val="TableText1"/>
            </w:pPr>
            <w:r w:rsidRPr="001A0477">
              <w:t>QALY</w:t>
            </w:r>
            <w:r>
              <w:t>s</w:t>
            </w:r>
          </w:p>
        </w:tc>
        <w:tc>
          <w:tcPr>
            <w:tcW w:w="1417" w:type="dxa"/>
          </w:tcPr>
          <w:p w:rsidR="002724DF" w:rsidRPr="001A0477" w:rsidRDefault="002724DF" w:rsidP="00852011">
            <w:pPr>
              <w:pStyle w:val="TableText1"/>
            </w:pPr>
            <w:r w:rsidRPr="001A0477">
              <w:t>20.37</w:t>
            </w:r>
          </w:p>
        </w:tc>
        <w:tc>
          <w:tcPr>
            <w:tcW w:w="1276" w:type="dxa"/>
          </w:tcPr>
          <w:p w:rsidR="002724DF" w:rsidRPr="001A0477" w:rsidRDefault="002724DF" w:rsidP="00852011">
            <w:pPr>
              <w:pStyle w:val="TableText1"/>
            </w:pPr>
            <w:r w:rsidRPr="001A0477">
              <w:t>20.23</w:t>
            </w:r>
          </w:p>
        </w:tc>
        <w:tc>
          <w:tcPr>
            <w:tcW w:w="1134" w:type="dxa"/>
          </w:tcPr>
          <w:p w:rsidR="002724DF" w:rsidRPr="001A0477" w:rsidRDefault="002724DF" w:rsidP="00852011">
            <w:pPr>
              <w:pStyle w:val="TableText1"/>
            </w:pPr>
            <w:r w:rsidRPr="001A0477">
              <w:t>0.14</w:t>
            </w:r>
          </w:p>
        </w:tc>
        <w:tc>
          <w:tcPr>
            <w:tcW w:w="2693" w:type="dxa"/>
          </w:tcPr>
          <w:p w:rsidR="002724DF" w:rsidRPr="001A0477" w:rsidRDefault="002724DF" w:rsidP="00852011">
            <w:pPr>
              <w:pStyle w:val="TableText1"/>
            </w:pPr>
            <w:r w:rsidRPr="001A0477">
              <w:t>$2</w:t>
            </w:r>
            <w:r>
              <w:t>0</w:t>
            </w:r>
            <w:r w:rsidRPr="001A0477">
              <w:t>,</w:t>
            </w:r>
            <w:r>
              <w:t>987</w:t>
            </w:r>
            <w:r w:rsidRPr="001A0477">
              <w:t>/QALY gained</w:t>
            </w:r>
          </w:p>
        </w:tc>
      </w:tr>
      <w:tr w:rsidR="002724DF" w:rsidRPr="001A0477" w:rsidTr="002724DF">
        <w:tc>
          <w:tcPr>
            <w:tcW w:w="2802" w:type="dxa"/>
          </w:tcPr>
          <w:p w:rsidR="002724DF" w:rsidRPr="001A0477" w:rsidRDefault="002724DF" w:rsidP="00852011">
            <w:pPr>
              <w:pStyle w:val="TableText1"/>
            </w:pPr>
            <w:r>
              <w:t>Life-years</w:t>
            </w:r>
          </w:p>
        </w:tc>
        <w:tc>
          <w:tcPr>
            <w:tcW w:w="1417" w:type="dxa"/>
          </w:tcPr>
          <w:p w:rsidR="002724DF" w:rsidRPr="001A0477" w:rsidRDefault="002724DF" w:rsidP="00852011">
            <w:pPr>
              <w:pStyle w:val="TableText1"/>
            </w:pPr>
            <w:r w:rsidRPr="001A0477">
              <w:t>20.47</w:t>
            </w:r>
          </w:p>
        </w:tc>
        <w:tc>
          <w:tcPr>
            <w:tcW w:w="1276" w:type="dxa"/>
          </w:tcPr>
          <w:p w:rsidR="002724DF" w:rsidRPr="001A0477" w:rsidRDefault="002724DF" w:rsidP="00852011">
            <w:pPr>
              <w:pStyle w:val="TableText1"/>
            </w:pPr>
            <w:r w:rsidRPr="001A0477">
              <w:t>20.36</w:t>
            </w:r>
          </w:p>
        </w:tc>
        <w:tc>
          <w:tcPr>
            <w:tcW w:w="1134" w:type="dxa"/>
          </w:tcPr>
          <w:p w:rsidR="002724DF" w:rsidRPr="001A0477" w:rsidRDefault="002724DF" w:rsidP="00852011">
            <w:pPr>
              <w:pStyle w:val="TableText1"/>
            </w:pPr>
            <w:r w:rsidRPr="001A0477">
              <w:t>0.11</w:t>
            </w:r>
          </w:p>
        </w:tc>
        <w:tc>
          <w:tcPr>
            <w:tcW w:w="2693" w:type="dxa"/>
          </w:tcPr>
          <w:p w:rsidR="002724DF" w:rsidRPr="001A0477" w:rsidRDefault="002724DF" w:rsidP="00852011">
            <w:pPr>
              <w:pStyle w:val="TableText1"/>
            </w:pPr>
            <w:r w:rsidRPr="001A0477">
              <w:t>$2</w:t>
            </w:r>
            <w:r>
              <w:t>7</w:t>
            </w:r>
            <w:r w:rsidRPr="001A0477">
              <w:t>,</w:t>
            </w:r>
            <w:r>
              <w:t>368</w:t>
            </w:r>
            <w:r w:rsidRPr="001A0477">
              <w:t>/</w:t>
            </w:r>
            <w:r w:rsidR="006F04DC">
              <w:t>l</w:t>
            </w:r>
            <w:r>
              <w:t>ife-year</w:t>
            </w:r>
            <w:r w:rsidRPr="001A0477">
              <w:t xml:space="preserve"> gained</w:t>
            </w:r>
          </w:p>
        </w:tc>
      </w:tr>
      <w:tr w:rsidR="002724DF" w:rsidRPr="001A0477" w:rsidTr="002724DF">
        <w:tc>
          <w:tcPr>
            <w:tcW w:w="2802" w:type="dxa"/>
          </w:tcPr>
          <w:p w:rsidR="002724DF" w:rsidRPr="001A0477" w:rsidRDefault="002724DF" w:rsidP="00852011">
            <w:pPr>
              <w:pStyle w:val="TableText1"/>
            </w:pPr>
            <w:r>
              <w:t>Breast cancer</w:t>
            </w:r>
            <w:r w:rsidRPr="001A0477">
              <w:t xml:space="preserve"> </w:t>
            </w:r>
          </w:p>
        </w:tc>
        <w:tc>
          <w:tcPr>
            <w:tcW w:w="1417" w:type="dxa"/>
          </w:tcPr>
          <w:p w:rsidR="002724DF" w:rsidRPr="001A0477" w:rsidRDefault="002724DF" w:rsidP="00852011">
            <w:pPr>
              <w:pStyle w:val="TableText1"/>
            </w:pPr>
            <w:r w:rsidRPr="001A0477">
              <w:t>0.26</w:t>
            </w:r>
          </w:p>
        </w:tc>
        <w:tc>
          <w:tcPr>
            <w:tcW w:w="1276" w:type="dxa"/>
          </w:tcPr>
          <w:p w:rsidR="002724DF" w:rsidRPr="001A0477" w:rsidRDefault="002724DF" w:rsidP="00852011">
            <w:pPr>
              <w:pStyle w:val="TableText1"/>
            </w:pPr>
            <w:r w:rsidRPr="001A0477">
              <w:t>0.31</w:t>
            </w:r>
          </w:p>
        </w:tc>
        <w:tc>
          <w:tcPr>
            <w:tcW w:w="1134" w:type="dxa"/>
          </w:tcPr>
          <w:p w:rsidR="002724DF" w:rsidRPr="001A0477" w:rsidRDefault="002724DF" w:rsidP="00852011">
            <w:pPr>
              <w:pStyle w:val="TableText1"/>
            </w:pPr>
            <w:r w:rsidRPr="001A0477">
              <w:t>-0.05</w:t>
            </w:r>
          </w:p>
        </w:tc>
        <w:tc>
          <w:tcPr>
            <w:tcW w:w="2693" w:type="dxa"/>
          </w:tcPr>
          <w:p w:rsidR="002724DF" w:rsidRPr="001A0477" w:rsidRDefault="002724DF" w:rsidP="00852011">
            <w:pPr>
              <w:pStyle w:val="TableText1"/>
            </w:pPr>
            <w:r w:rsidRPr="001A0477">
              <w:t>$</w:t>
            </w:r>
            <w:r>
              <w:t>58</w:t>
            </w:r>
            <w:r w:rsidRPr="001A0477">
              <w:t>,</w:t>
            </w:r>
            <w:r>
              <w:t>641</w:t>
            </w:r>
            <w:r w:rsidR="006F04DC">
              <w:t>/</w:t>
            </w:r>
            <w:r>
              <w:t>breast cancer</w:t>
            </w:r>
            <w:r w:rsidRPr="001A0477">
              <w:t xml:space="preserve"> avoided</w:t>
            </w:r>
          </w:p>
        </w:tc>
      </w:tr>
      <w:tr w:rsidR="002724DF" w:rsidRPr="001A0477" w:rsidTr="002724DF">
        <w:tc>
          <w:tcPr>
            <w:tcW w:w="2802" w:type="dxa"/>
          </w:tcPr>
          <w:p w:rsidR="002724DF" w:rsidRPr="001A0477" w:rsidRDefault="002724DF" w:rsidP="00852011">
            <w:pPr>
              <w:pStyle w:val="TableText1"/>
            </w:pPr>
            <w:r>
              <w:t>Ovarian cancer</w:t>
            </w:r>
          </w:p>
        </w:tc>
        <w:tc>
          <w:tcPr>
            <w:tcW w:w="1417" w:type="dxa"/>
          </w:tcPr>
          <w:p w:rsidR="002724DF" w:rsidRPr="001A0477" w:rsidRDefault="002724DF" w:rsidP="00852011">
            <w:pPr>
              <w:pStyle w:val="TableText1"/>
            </w:pPr>
            <w:r w:rsidRPr="001A0477">
              <w:t>0.03</w:t>
            </w:r>
          </w:p>
        </w:tc>
        <w:tc>
          <w:tcPr>
            <w:tcW w:w="1276" w:type="dxa"/>
          </w:tcPr>
          <w:p w:rsidR="002724DF" w:rsidRPr="001A0477" w:rsidRDefault="002724DF" w:rsidP="00852011">
            <w:pPr>
              <w:pStyle w:val="TableText1"/>
            </w:pPr>
            <w:r w:rsidRPr="001A0477">
              <w:t>0.07</w:t>
            </w:r>
          </w:p>
        </w:tc>
        <w:tc>
          <w:tcPr>
            <w:tcW w:w="1134" w:type="dxa"/>
          </w:tcPr>
          <w:p w:rsidR="002724DF" w:rsidRPr="001A0477" w:rsidRDefault="002724DF" w:rsidP="00852011">
            <w:pPr>
              <w:pStyle w:val="TableText1"/>
            </w:pPr>
            <w:r w:rsidRPr="001A0477">
              <w:t>-0.04</w:t>
            </w:r>
          </w:p>
        </w:tc>
        <w:tc>
          <w:tcPr>
            <w:tcW w:w="2693" w:type="dxa"/>
          </w:tcPr>
          <w:p w:rsidR="002724DF" w:rsidRPr="001A0477" w:rsidRDefault="002724DF" w:rsidP="00852011">
            <w:pPr>
              <w:pStyle w:val="TableText1"/>
            </w:pPr>
            <w:r w:rsidRPr="001A0477">
              <w:t>$</w:t>
            </w:r>
            <w:r>
              <w:t>82</w:t>
            </w:r>
            <w:r w:rsidRPr="001A0477">
              <w:t>,</w:t>
            </w:r>
            <w:r>
              <w:t>647</w:t>
            </w:r>
            <w:r w:rsidRPr="001A0477">
              <w:t>/</w:t>
            </w:r>
            <w:r>
              <w:t>ovarian cancer</w:t>
            </w:r>
            <w:r w:rsidRPr="001A0477">
              <w:t xml:space="preserve"> avoided</w:t>
            </w:r>
          </w:p>
        </w:tc>
      </w:tr>
      <w:tr w:rsidR="002724DF" w:rsidRPr="001A0477" w:rsidTr="002724DF">
        <w:tc>
          <w:tcPr>
            <w:tcW w:w="2802" w:type="dxa"/>
          </w:tcPr>
          <w:p w:rsidR="002724DF" w:rsidRPr="001A0477" w:rsidRDefault="002724DF" w:rsidP="00852011">
            <w:pPr>
              <w:pStyle w:val="TableText1"/>
            </w:pPr>
            <w:r w:rsidRPr="00AF0E2F">
              <w:t>Breast cancer</w:t>
            </w:r>
            <w:r>
              <w:t>+ ovarian cancer</w:t>
            </w:r>
          </w:p>
        </w:tc>
        <w:tc>
          <w:tcPr>
            <w:tcW w:w="1417" w:type="dxa"/>
          </w:tcPr>
          <w:p w:rsidR="002724DF" w:rsidRPr="001A0477" w:rsidRDefault="002724DF" w:rsidP="00852011">
            <w:pPr>
              <w:pStyle w:val="TableText1"/>
            </w:pPr>
            <w:r w:rsidRPr="001A0477">
              <w:t>0.29</w:t>
            </w:r>
          </w:p>
        </w:tc>
        <w:tc>
          <w:tcPr>
            <w:tcW w:w="1276" w:type="dxa"/>
          </w:tcPr>
          <w:p w:rsidR="002724DF" w:rsidRPr="001A0477" w:rsidRDefault="002724DF" w:rsidP="00852011">
            <w:pPr>
              <w:pStyle w:val="TableText1"/>
            </w:pPr>
            <w:r w:rsidRPr="001A0477">
              <w:t>0.38</w:t>
            </w:r>
          </w:p>
        </w:tc>
        <w:tc>
          <w:tcPr>
            <w:tcW w:w="1134" w:type="dxa"/>
          </w:tcPr>
          <w:p w:rsidR="002724DF" w:rsidRPr="001A0477" w:rsidRDefault="002724DF" w:rsidP="00852011">
            <w:pPr>
              <w:pStyle w:val="TableText1"/>
            </w:pPr>
            <w:r w:rsidRPr="001A0477">
              <w:t>-0.09</w:t>
            </w:r>
          </w:p>
        </w:tc>
        <w:tc>
          <w:tcPr>
            <w:tcW w:w="2693" w:type="dxa"/>
          </w:tcPr>
          <w:p w:rsidR="002724DF" w:rsidRPr="001A0477" w:rsidRDefault="002724DF" w:rsidP="00852011">
            <w:pPr>
              <w:pStyle w:val="TableText1"/>
            </w:pPr>
            <w:r w:rsidRPr="001A0477">
              <w:t>$3</w:t>
            </w:r>
            <w:r>
              <w:t>4</w:t>
            </w:r>
            <w:r w:rsidRPr="001A0477">
              <w:t>,</w:t>
            </w:r>
            <w:r>
              <w:t>000</w:t>
            </w:r>
            <w:r w:rsidRPr="001A0477">
              <w:t>/cancer avoided</w:t>
            </w:r>
          </w:p>
        </w:tc>
      </w:tr>
    </w:tbl>
    <w:p w:rsidR="002724DF" w:rsidRDefault="002724DF" w:rsidP="002724DF">
      <w:pPr>
        <w:rPr>
          <w:rFonts w:ascii="Arial Narrow" w:hAnsi="Arial Narrow" w:cs="Arial"/>
          <w:color w:val="000000"/>
          <w:sz w:val="20"/>
        </w:rPr>
      </w:pPr>
      <w:r>
        <w:rPr>
          <w:rFonts w:ascii="Arial Narrow" w:hAnsi="Arial Narrow" w:cs="Arial"/>
          <w:color w:val="000000"/>
          <w:sz w:val="20"/>
        </w:rPr>
        <w:t>QALY = Quality-adjusted life-year</w:t>
      </w:r>
    </w:p>
    <w:p w:rsidR="00B44E0A" w:rsidRDefault="00B44E0A">
      <w:pPr>
        <w:rPr>
          <w:color w:val="000000"/>
          <w:szCs w:val="24"/>
        </w:rPr>
      </w:pPr>
      <w:r>
        <w:rPr>
          <w:color w:val="000000"/>
          <w:szCs w:val="24"/>
        </w:rPr>
        <w:br w:type="page"/>
      </w:r>
    </w:p>
    <w:p w:rsidR="002724DF" w:rsidRPr="001A0477" w:rsidRDefault="00DF35D4" w:rsidP="00852011">
      <w:pPr>
        <w:spacing w:after="0"/>
        <w:rPr>
          <w:rFonts w:ascii="Arial Narrow" w:hAnsi="Arial Narrow" w:cs="Arial"/>
          <w:b/>
          <w:color w:val="000000"/>
          <w:sz w:val="20"/>
        </w:rPr>
      </w:pPr>
      <w:r>
        <w:rPr>
          <w:rFonts w:ascii="Arial Narrow" w:hAnsi="Arial Narrow" w:cs="Arial"/>
          <w:b/>
          <w:color w:val="000000"/>
          <w:sz w:val="20"/>
        </w:rPr>
        <w:lastRenderedPageBreak/>
        <w:t>Table 6</w:t>
      </w:r>
      <w:r w:rsidR="002724DF">
        <w:rPr>
          <w:rFonts w:ascii="Arial Narrow" w:hAnsi="Arial Narrow" w:cs="Arial"/>
          <w:b/>
          <w:color w:val="000000"/>
          <w:sz w:val="20"/>
        </w:rPr>
        <w:t xml:space="preserve">: Results of </w:t>
      </w:r>
      <w:r w:rsidR="002724DF" w:rsidRPr="001A0477">
        <w:rPr>
          <w:rFonts w:ascii="Arial Narrow" w:hAnsi="Arial Narrow" w:cs="Arial"/>
          <w:b/>
          <w:color w:val="000000"/>
          <w:sz w:val="20"/>
        </w:rPr>
        <w:t xml:space="preserve">affected individuals + </w:t>
      </w:r>
      <w:proofErr w:type="spellStart"/>
      <w:r w:rsidR="002724DF">
        <w:rPr>
          <w:rFonts w:ascii="Arial Narrow" w:hAnsi="Arial Narrow" w:cs="Arial"/>
          <w:b/>
          <w:color w:val="000000"/>
          <w:sz w:val="20"/>
        </w:rPr>
        <w:t>proband’s</w:t>
      </w:r>
      <w:proofErr w:type="spellEnd"/>
      <w:r w:rsidR="002724DF">
        <w:rPr>
          <w:rFonts w:ascii="Arial Narrow" w:hAnsi="Arial Narrow" w:cs="Arial"/>
          <w:b/>
          <w:color w:val="000000"/>
          <w:sz w:val="20"/>
        </w:rPr>
        <w:t xml:space="preserve"> siblings</w:t>
      </w:r>
      <w:r w:rsidR="002724DF" w:rsidRPr="001A0477">
        <w:rPr>
          <w:rFonts w:ascii="Arial Narrow" w:hAnsi="Arial Narrow" w:cs="Arial"/>
          <w:b/>
          <w:color w:val="000000"/>
          <w:sz w:val="20"/>
        </w:rPr>
        <w:t xml:space="preserve"> </w:t>
      </w:r>
      <w:r w:rsidR="002724DF">
        <w:rPr>
          <w:rFonts w:ascii="Arial Narrow" w:hAnsi="Arial Narrow" w:cs="Arial"/>
          <w:b/>
          <w:color w:val="000000"/>
          <w:sz w:val="20"/>
        </w:rPr>
        <w:t xml:space="preserve">(male and </w:t>
      </w:r>
      <w:r w:rsidR="002724DF" w:rsidRPr="003C43F2">
        <w:rPr>
          <w:rFonts w:ascii="Arial Narrow" w:hAnsi="Arial Narrow" w:cs="Arial"/>
          <w:b/>
          <w:color w:val="000000"/>
          <w:sz w:val="20"/>
        </w:rPr>
        <w:t>female</w:t>
      </w:r>
      <w:proofErr w:type="gramStart"/>
      <w:r w:rsidR="002724DF" w:rsidRPr="003C43F2">
        <w:rPr>
          <w:rFonts w:ascii="Arial Narrow" w:hAnsi="Arial Narrow" w:cs="Arial"/>
          <w:b/>
          <w:color w:val="000000"/>
          <w:sz w:val="20"/>
        </w:rPr>
        <w:t>)</w:t>
      </w:r>
      <w:r w:rsidR="002724DF" w:rsidRPr="003C43F2">
        <w:rPr>
          <w:rFonts w:ascii="Arial Narrow" w:hAnsi="Arial Narrow" w:cs="Arial"/>
          <w:b/>
          <w:color w:val="000000"/>
          <w:sz w:val="20"/>
          <w:vertAlign w:val="superscript"/>
        </w:rPr>
        <w:t>a</w:t>
      </w:r>
      <w:proofErr w:type="gramEnd"/>
      <w:r w:rsidR="002724DF" w:rsidRPr="003C43F2">
        <w:rPr>
          <w:rFonts w:ascii="Arial Narrow" w:hAnsi="Arial Narrow" w:cs="Arial"/>
          <w:b/>
          <w:color w:val="000000"/>
          <w:sz w:val="20"/>
        </w:rPr>
        <w:t xml:space="preserve"> + </w:t>
      </w:r>
      <w:proofErr w:type="spellStart"/>
      <w:r w:rsidR="002724DF" w:rsidRPr="003C43F2">
        <w:rPr>
          <w:rFonts w:ascii="Arial Narrow" w:hAnsi="Arial Narrow" w:cs="Arial"/>
          <w:b/>
          <w:color w:val="000000"/>
          <w:sz w:val="20"/>
        </w:rPr>
        <w:t>pr</w:t>
      </w:r>
      <w:r w:rsidR="002724DF">
        <w:rPr>
          <w:rFonts w:ascii="Arial Narrow" w:hAnsi="Arial Narrow" w:cs="Arial"/>
          <w:b/>
          <w:color w:val="000000"/>
          <w:sz w:val="20"/>
        </w:rPr>
        <w:t>oband’s</w:t>
      </w:r>
      <w:proofErr w:type="spellEnd"/>
      <w:r w:rsidR="002724DF">
        <w:rPr>
          <w:rFonts w:ascii="Arial Narrow" w:hAnsi="Arial Narrow" w:cs="Arial"/>
          <w:b/>
          <w:color w:val="000000"/>
          <w:sz w:val="20"/>
        </w:rPr>
        <w:t xml:space="preserve"> female children + female children of siblings who test positive (first and second degree family members)</w:t>
      </w:r>
    </w:p>
    <w:tbl>
      <w:tblPr>
        <w:tblW w:w="9322" w:type="dxa"/>
        <w:tblLook w:val="04A0" w:firstRow="1" w:lastRow="0" w:firstColumn="1" w:lastColumn="0" w:noHBand="0" w:noVBand="1"/>
        <w:tblDescription w:val="Table 6: Results of affected individuals + proband’s siblings (male and female)a + proband’s female children + female children of siblings who test positive (first and second degree family members)"/>
      </w:tblPr>
      <w:tblGrid>
        <w:gridCol w:w="2802"/>
        <w:gridCol w:w="1417"/>
        <w:gridCol w:w="1276"/>
        <w:gridCol w:w="1134"/>
        <w:gridCol w:w="2693"/>
      </w:tblGrid>
      <w:tr w:rsidR="002724DF" w:rsidRPr="001A0477" w:rsidTr="002724DF">
        <w:tc>
          <w:tcPr>
            <w:tcW w:w="2802" w:type="dxa"/>
          </w:tcPr>
          <w:p w:rsidR="002724DF" w:rsidRPr="001A0477" w:rsidRDefault="002724DF" w:rsidP="00852011">
            <w:pPr>
              <w:pStyle w:val="TableText1"/>
            </w:pPr>
          </w:p>
        </w:tc>
        <w:tc>
          <w:tcPr>
            <w:tcW w:w="1417" w:type="dxa"/>
          </w:tcPr>
          <w:p w:rsidR="002724DF" w:rsidRPr="001A0477" w:rsidRDefault="002724DF" w:rsidP="00852011">
            <w:pPr>
              <w:pStyle w:val="TableText1"/>
            </w:pPr>
            <w:r w:rsidRPr="001A0477">
              <w:t xml:space="preserve">Genetic </w:t>
            </w:r>
            <w:r w:rsidR="006F04DC">
              <w:t>t</w:t>
            </w:r>
            <w:r w:rsidRPr="001A0477">
              <w:t>est</w:t>
            </w:r>
            <w:r w:rsidR="0063371D">
              <w:t>ing</w:t>
            </w:r>
          </w:p>
        </w:tc>
        <w:tc>
          <w:tcPr>
            <w:tcW w:w="1276" w:type="dxa"/>
          </w:tcPr>
          <w:p w:rsidR="002724DF" w:rsidRPr="001A0477" w:rsidRDefault="002724DF" w:rsidP="00852011">
            <w:pPr>
              <w:pStyle w:val="TableText1"/>
            </w:pPr>
            <w:r w:rsidRPr="001A0477">
              <w:t>No testing</w:t>
            </w:r>
          </w:p>
        </w:tc>
        <w:tc>
          <w:tcPr>
            <w:tcW w:w="1134" w:type="dxa"/>
          </w:tcPr>
          <w:p w:rsidR="002724DF" w:rsidRPr="001A0477" w:rsidRDefault="002724DF" w:rsidP="00852011">
            <w:pPr>
              <w:pStyle w:val="TableText1"/>
            </w:pPr>
            <w:r>
              <w:t>I</w:t>
            </w:r>
            <w:r w:rsidRPr="001A0477">
              <w:t>ncrement</w:t>
            </w:r>
          </w:p>
        </w:tc>
        <w:tc>
          <w:tcPr>
            <w:tcW w:w="2693" w:type="dxa"/>
          </w:tcPr>
          <w:p w:rsidR="002724DF" w:rsidRPr="001A0477" w:rsidRDefault="002724DF" w:rsidP="00852011">
            <w:pPr>
              <w:pStyle w:val="TableText1"/>
            </w:pPr>
            <w:r w:rsidRPr="001A0477">
              <w:t>Incr</w:t>
            </w:r>
            <w:r>
              <w:t>emental</w:t>
            </w:r>
            <w:r w:rsidRPr="001A0477">
              <w:t xml:space="preserve"> </w:t>
            </w:r>
            <w:r w:rsidR="006F04DC" w:rsidRPr="001A0477">
              <w:t>c</w:t>
            </w:r>
            <w:r w:rsidR="006F04DC">
              <w:t>ost</w:t>
            </w:r>
            <w:r w:rsidR="006F04DC" w:rsidRPr="001A0477">
              <w:t>/e</w:t>
            </w:r>
            <w:r w:rsidRPr="001A0477">
              <w:t>ffect</w:t>
            </w:r>
          </w:p>
        </w:tc>
      </w:tr>
      <w:tr w:rsidR="002724DF" w:rsidRPr="001A0477" w:rsidTr="002724DF">
        <w:tc>
          <w:tcPr>
            <w:tcW w:w="2802" w:type="dxa"/>
          </w:tcPr>
          <w:p w:rsidR="002724DF" w:rsidRPr="001A0477" w:rsidRDefault="002724DF" w:rsidP="00852011">
            <w:pPr>
              <w:pStyle w:val="TableText1"/>
            </w:pPr>
            <w:r w:rsidRPr="001A0477">
              <w:t>Cost</w:t>
            </w:r>
          </w:p>
        </w:tc>
        <w:tc>
          <w:tcPr>
            <w:tcW w:w="1417" w:type="dxa"/>
          </w:tcPr>
          <w:p w:rsidR="002724DF" w:rsidRPr="001A0477" w:rsidRDefault="002724DF" w:rsidP="00852011">
            <w:pPr>
              <w:pStyle w:val="TableText1"/>
            </w:pPr>
            <w:r w:rsidRPr="001A0477">
              <w:t>$</w:t>
            </w:r>
            <w:r>
              <w:t>8,324</w:t>
            </w:r>
          </w:p>
        </w:tc>
        <w:tc>
          <w:tcPr>
            <w:tcW w:w="1276" w:type="dxa"/>
          </w:tcPr>
          <w:p w:rsidR="002724DF" w:rsidRPr="001A0477" w:rsidRDefault="002724DF" w:rsidP="00852011">
            <w:pPr>
              <w:pStyle w:val="TableText1"/>
            </w:pPr>
            <w:r w:rsidRPr="001A0477">
              <w:t>$</w:t>
            </w:r>
            <w:r>
              <w:t>4,509</w:t>
            </w:r>
          </w:p>
        </w:tc>
        <w:tc>
          <w:tcPr>
            <w:tcW w:w="1134" w:type="dxa"/>
          </w:tcPr>
          <w:p w:rsidR="002724DF" w:rsidRPr="001A0477" w:rsidRDefault="002724DF" w:rsidP="00852011">
            <w:pPr>
              <w:pStyle w:val="TableText1"/>
            </w:pPr>
            <w:r w:rsidRPr="001A0477">
              <w:t>$</w:t>
            </w:r>
            <w:r>
              <w:t>3,815</w:t>
            </w:r>
          </w:p>
        </w:tc>
        <w:tc>
          <w:tcPr>
            <w:tcW w:w="2693" w:type="dxa"/>
          </w:tcPr>
          <w:p w:rsidR="002724DF" w:rsidRPr="001A0477" w:rsidRDefault="002724DF" w:rsidP="00852011">
            <w:pPr>
              <w:pStyle w:val="TableText1"/>
            </w:pPr>
            <w:r w:rsidRPr="001A0477">
              <w:t>-</w:t>
            </w:r>
          </w:p>
        </w:tc>
      </w:tr>
      <w:tr w:rsidR="002724DF" w:rsidRPr="001A0477" w:rsidTr="002724DF">
        <w:tc>
          <w:tcPr>
            <w:tcW w:w="2802" w:type="dxa"/>
          </w:tcPr>
          <w:p w:rsidR="002724DF" w:rsidRPr="001A0477" w:rsidRDefault="002724DF" w:rsidP="00852011">
            <w:pPr>
              <w:pStyle w:val="TableText1"/>
            </w:pPr>
            <w:r w:rsidRPr="001A0477">
              <w:t>QALY</w:t>
            </w:r>
            <w:r>
              <w:t>s</w:t>
            </w:r>
          </w:p>
        </w:tc>
        <w:tc>
          <w:tcPr>
            <w:tcW w:w="1417" w:type="dxa"/>
          </w:tcPr>
          <w:p w:rsidR="002724DF" w:rsidRPr="001A0477" w:rsidRDefault="002724DF" w:rsidP="00852011">
            <w:pPr>
              <w:pStyle w:val="TableText1"/>
            </w:pPr>
            <w:r>
              <w:t>24.81</w:t>
            </w:r>
          </w:p>
        </w:tc>
        <w:tc>
          <w:tcPr>
            <w:tcW w:w="1276" w:type="dxa"/>
          </w:tcPr>
          <w:p w:rsidR="002724DF" w:rsidRPr="001A0477" w:rsidRDefault="002724DF" w:rsidP="00852011">
            <w:pPr>
              <w:pStyle w:val="TableText1"/>
            </w:pPr>
            <w:r>
              <w:t>24.61</w:t>
            </w:r>
          </w:p>
        </w:tc>
        <w:tc>
          <w:tcPr>
            <w:tcW w:w="1134" w:type="dxa"/>
          </w:tcPr>
          <w:p w:rsidR="002724DF" w:rsidRPr="001A0477" w:rsidRDefault="002724DF" w:rsidP="00852011">
            <w:pPr>
              <w:pStyle w:val="TableText1"/>
            </w:pPr>
            <w:r w:rsidRPr="001A0477">
              <w:t>0.</w:t>
            </w:r>
            <w:r>
              <w:t>20</w:t>
            </w:r>
          </w:p>
        </w:tc>
        <w:tc>
          <w:tcPr>
            <w:tcW w:w="2693" w:type="dxa"/>
          </w:tcPr>
          <w:p w:rsidR="002724DF" w:rsidRPr="001A0477" w:rsidRDefault="002724DF" w:rsidP="00852011">
            <w:pPr>
              <w:pStyle w:val="TableText1"/>
            </w:pPr>
            <w:r w:rsidRPr="001A0477">
              <w:t>$</w:t>
            </w:r>
            <w:r>
              <w:t>18,752</w:t>
            </w:r>
            <w:r w:rsidRPr="001A0477">
              <w:t>/QALY gained</w:t>
            </w:r>
          </w:p>
        </w:tc>
      </w:tr>
      <w:tr w:rsidR="002724DF" w:rsidRPr="001A0477" w:rsidTr="002724DF">
        <w:tc>
          <w:tcPr>
            <w:tcW w:w="2802" w:type="dxa"/>
          </w:tcPr>
          <w:p w:rsidR="002724DF" w:rsidRPr="001A0477" w:rsidRDefault="002724DF" w:rsidP="00852011">
            <w:pPr>
              <w:pStyle w:val="TableText1"/>
            </w:pPr>
            <w:r>
              <w:t>Life-years</w:t>
            </w:r>
          </w:p>
        </w:tc>
        <w:tc>
          <w:tcPr>
            <w:tcW w:w="1417" w:type="dxa"/>
          </w:tcPr>
          <w:p w:rsidR="002724DF" w:rsidRPr="001A0477" w:rsidRDefault="002724DF" w:rsidP="00852011">
            <w:pPr>
              <w:pStyle w:val="TableText1"/>
            </w:pPr>
            <w:r>
              <w:t>24.92</w:t>
            </w:r>
          </w:p>
        </w:tc>
        <w:tc>
          <w:tcPr>
            <w:tcW w:w="1276" w:type="dxa"/>
          </w:tcPr>
          <w:p w:rsidR="002724DF" w:rsidRPr="001A0477" w:rsidRDefault="002724DF" w:rsidP="00852011">
            <w:pPr>
              <w:pStyle w:val="TableText1"/>
            </w:pPr>
            <w:r>
              <w:t>24.77</w:t>
            </w:r>
          </w:p>
        </w:tc>
        <w:tc>
          <w:tcPr>
            <w:tcW w:w="1134" w:type="dxa"/>
          </w:tcPr>
          <w:p w:rsidR="002724DF" w:rsidRPr="001A0477" w:rsidRDefault="002724DF" w:rsidP="00852011">
            <w:pPr>
              <w:pStyle w:val="TableText1"/>
            </w:pPr>
            <w:r w:rsidRPr="001A0477">
              <w:t>0.</w:t>
            </w:r>
            <w:r>
              <w:t>16</w:t>
            </w:r>
          </w:p>
        </w:tc>
        <w:tc>
          <w:tcPr>
            <w:tcW w:w="2693" w:type="dxa"/>
          </w:tcPr>
          <w:p w:rsidR="002724DF" w:rsidRPr="001A0477" w:rsidRDefault="002724DF" w:rsidP="00852011">
            <w:pPr>
              <w:pStyle w:val="TableText1"/>
            </w:pPr>
            <w:r w:rsidRPr="001A0477">
              <w:t>$</w:t>
            </w:r>
            <w:r>
              <w:t>24</w:t>
            </w:r>
            <w:r w:rsidRPr="001A0477">
              <w:t>,</w:t>
            </w:r>
            <w:r>
              <w:t>613</w:t>
            </w:r>
            <w:r w:rsidR="006F04DC">
              <w:t>/l</w:t>
            </w:r>
            <w:r>
              <w:t>ife-year</w:t>
            </w:r>
            <w:r w:rsidRPr="001A0477">
              <w:t xml:space="preserve"> gained</w:t>
            </w:r>
          </w:p>
        </w:tc>
      </w:tr>
      <w:tr w:rsidR="002724DF" w:rsidRPr="001A0477" w:rsidTr="002724DF">
        <w:tc>
          <w:tcPr>
            <w:tcW w:w="2802" w:type="dxa"/>
          </w:tcPr>
          <w:p w:rsidR="002724DF" w:rsidRPr="001A0477" w:rsidRDefault="002724DF" w:rsidP="00852011">
            <w:pPr>
              <w:pStyle w:val="TableText1"/>
            </w:pPr>
            <w:r>
              <w:t>Breast cancer</w:t>
            </w:r>
            <w:r w:rsidRPr="001A0477">
              <w:t xml:space="preserve"> </w:t>
            </w:r>
          </w:p>
        </w:tc>
        <w:tc>
          <w:tcPr>
            <w:tcW w:w="1417" w:type="dxa"/>
          </w:tcPr>
          <w:p w:rsidR="002724DF" w:rsidRPr="001A0477" w:rsidRDefault="002724DF" w:rsidP="00852011">
            <w:pPr>
              <w:pStyle w:val="TableText1"/>
            </w:pPr>
            <w:r w:rsidRPr="001A0477">
              <w:t>0.</w:t>
            </w:r>
            <w:r>
              <w:t>31</w:t>
            </w:r>
          </w:p>
        </w:tc>
        <w:tc>
          <w:tcPr>
            <w:tcW w:w="1276" w:type="dxa"/>
          </w:tcPr>
          <w:p w:rsidR="002724DF" w:rsidRPr="001A0477" w:rsidRDefault="002724DF" w:rsidP="00852011">
            <w:pPr>
              <w:pStyle w:val="TableText1"/>
            </w:pPr>
            <w:r w:rsidRPr="001A0477">
              <w:t>0.</w:t>
            </w:r>
            <w:r>
              <w:t>39</w:t>
            </w:r>
          </w:p>
        </w:tc>
        <w:tc>
          <w:tcPr>
            <w:tcW w:w="1134" w:type="dxa"/>
          </w:tcPr>
          <w:p w:rsidR="002724DF" w:rsidRPr="001A0477" w:rsidRDefault="002724DF" w:rsidP="00852011">
            <w:pPr>
              <w:pStyle w:val="TableText1"/>
            </w:pPr>
            <w:r w:rsidRPr="001A0477">
              <w:t>-0.</w:t>
            </w:r>
            <w:r>
              <w:t>08</w:t>
            </w:r>
          </w:p>
        </w:tc>
        <w:tc>
          <w:tcPr>
            <w:tcW w:w="2693" w:type="dxa"/>
          </w:tcPr>
          <w:p w:rsidR="002724DF" w:rsidRPr="001A0477" w:rsidRDefault="002724DF" w:rsidP="00852011">
            <w:pPr>
              <w:pStyle w:val="TableText1"/>
            </w:pPr>
            <w:r w:rsidRPr="001A0477">
              <w:t>$</w:t>
            </w:r>
            <w:r>
              <w:t>47</w:t>
            </w:r>
            <w:r w:rsidRPr="001A0477">
              <w:t>,</w:t>
            </w:r>
            <w:r>
              <w:t>219</w:t>
            </w:r>
            <w:r w:rsidR="006F04DC">
              <w:t>/</w:t>
            </w:r>
            <w:r>
              <w:t>breast cancer</w:t>
            </w:r>
            <w:r w:rsidRPr="001A0477">
              <w:t xml:space="preserve"> avoided</w:t>
            </w:r>
          </w:p>
        </w:tc>
      </w:tr>
      <w:tr w:rsidR="002724DF" w:rsidRPr="001A0477" w:rsidTr="002724DF">
        <w:tc>
          <w:tcPr>
            <w:tcW w:w="2802" w:type="dxa"/>
          </w:tcPr>
          <w:p w:rsidR="002724DF" w:rsidRPr="001A0477" w:rsidRDefault="002724DF" w:rsidP="00852011">
            <w:pPr>
              <w:pStyle w:val="TableText1"/>
            </w:pPr>
            <w:r>
              <w:t>Ovarian cancer</w:t>
            </w:r>
          </w:p>
        </w:tc>
        <w:tc>
          <w:tcPr>
            <w:tcW w:w="1417" w:type="dxa"/>
          </w:tcPr>
          <w:p w:rsidR="002724DF" w:rsidRPr="001A0477" w:rsidRDefault="002724DF" w:rsidP="00852011">
            <w:pPr>
              <w:pStyle w:val="TableText1"/>
            </w:pPr>
            <w:r w:rsidRPr="001A0477">
              <w:t>0.</w:t>
            </w:r>
            <w:r>
              <w:t>05</w:t>
            </w:r>
          </w:p>
        </w:tc>
        <w:tc>
          <w:tcPr>
            <w:tcW w:w="1276" w:type="dxa"/>
          </w:tcPr>
          <w:p w:rsidR="002724DF" w:rsidRPr="001A0477" w:rsidRDefault="002724DF" w:rsidP="00852011">
            <w:pPr>
              <w:pStyle w:val="TableText1"/>
            </w:pPr>
            <w:r w:rsidRPr="001A0477">
              <w:t>0.</w:t>
            </w:r>
            <w:r>
              <w:t>1</w:t>
            </w:r>
          </w:p>
        </w:tc>
        <w:tc>
          <w:tcPr>
            <w:tcW w:w="1134" w:type="dxa"/>
          </w:tcPr>
          <w:p w:rsidR="002724DF" w:rsidRPr="001A0477" w:rsidRDefault="002724DF" w:rsidP="00852011">
            <w:pPr>
              <w:pStyle w:val="TableText1"/>
            </w:pPr>
            <w:r w:rsidRPr="001A0477">
              <w:t>-0.0</w:t>
            </w:r>
            <w:r>
              <w:t>5</w:t>
            </w:r>
          </w:p>
        </w:tc>
        <w:tc>
          <w:tcPr>
            <w:tcW w:w="2693" w:type="dxa"/>
          </w:tcPr>
          <w:p w:rsidR="002724DF" w:rsidRPr="001A0477" w:rsidRDefault="002724DF" w:rsidP="00852011">
            <w:pPr>
              <w:pStyle w:val="TableText1"/>
            </w:pPr>
            <w:r w:rsidRPr="001A0477">
              <w:t>$</w:t>
            </w:r>
            <w:r>
              <w:t>74</w:t>
            </w:r>
            <w:r w:rsidRPr="001A0477">
              <w:t>,</w:t>
            </w:r>
            <w:r>
              <w:t>545</w:t>
            </w:r>
            <w:r w:rsidRPr="001A0477">
              <w:t>/</w:t>
            </w:r>
            <w:r>
              <w:t>ovarian cancer</w:t>
            </w:r>
            <w:r w:rsidRPr="001A0477">
              <w:t xml:space="preserve"> avoided</w:t>
            </w:r>
          </w:p>
        </w:tc>
      </w:tr>
      <w:tr w:rsidR="002724DF" w:rsidRPr="001A0477" w:rsidTr="002724DF">
        <w:tc>
          <w:tcPr>
            <w:tcW w:w="2802" w:type="dxa"/>
          </w:tcPr>
          <w:p w:rsidR="002724DF" w:rsidRPr="001A0477" w:rsidRDefault="002724DF" w:rsidP="00852011">
            <w:pPr>
              <w:pStyle w:val="TableText1"/>
            </w:pPr>
            <w:r w:rsidRPr="00AF0E2F">
              <w:t>Breast cancer</w:t>
            </w:r>
            <w:r>
              <w:t>+ ovarian cancer</w:t>
            </w:r>
          </w:p>
        </w:tc>
        <w:tc>
          <w:tcPr>
            <w:tcW w:w="1417" w:type="dxa"/>
          </w:tcPr>
          <w:p w:rsidR="002724DF" w:rsidRPr="001A0477" w:rsidRDefault="002724DF" w:rsidP="00852011">
            <w:pPr>
              <w:pStyle w:val="TableText1"/>
            </w:pPr>
            <w:r w:rsidRPr="001A0477">
              <w:t>0.</w:t>
            </w:r>
            <w:r>
              <w:t>36</w:t>
            </w:r>
          </w:p>
        </w:tc>
        <w:tc>
          <w:tcPr>
            <w:tcW w:w="1276" w:type="dxa"/>
          </w:tcPr>
          <w:p w:rsidR="002724DF" w:rsidRPr="001A0477" w:rsidRDefault="002724DF" w:rsidP="00852011">
            <w:pPr>
              <w:pStyle w:val="TableText1"/>
            </w:pPr>
            <w:r w:rsidRPr="001A0477">
              <w:t>0.</w:t>
            </w:r>
            <w:r>
              <w:t>49</w:t>
            </w:r>
          </w:p>
        </w:tc>
        <w:tc>
          <w:tcPr>
            <w:tcW w:w="1134" w:type="dxa"/>
          </w:tcPr>
          <w:p w:rsidR="002724DF" w:rsidRPr="001A0477" w:rsidRDefault="002724DF" w:rsidP="00852011">
            <w:pPr>
              <w:pStyle w:val="TableText1"/>
            </w:pPr>
            <w:r w:rsidRPr="001A0477">
              <w:t>-0.</w:t>
            </w:r>
            <w:r>
              <w:t>13</w:t>
            </w:r>
          </w:p>
        </w:tc>
        <w:tc>
          <w:tcPr>
            <w:tcW w:w="2693" w:type="dxa"/>
          </w:tcPr>
          <w:p w:rsidR="002724DF" w:rsidRPr="001A0477" w:rsidRDefault="002724DF" w:rsidP="00852011">
            <w:pPr>
              <w:pStyle w:val="TableText1"/>
            </w:pPr>
            <w:r w:rsidRPr="001A0477">
              <w:t>$</w:t>
            </w:r>
            <w:r>
              <w:t>29</w:t>
            </w:r>
            <w:r w:rsidRPr="001A0477">
              <w:t>,</w:t>
            </w:r>
            <w:r>
              <w:t>000</w:t>
            </w:r>
            <w:r w:rsidRPr="001A0477">
              <w:t>/cancer avoided</w:t>
            </w:r>
          </w:p>
        </w:tc>
      </w:tr>
    </w:tbl>
    <w:p w:rsidR="002724DF" w:rsidRPr="001A0477" w:rsidRDefault="002724DF" w:rsidP="00852011">
      <w:pPr>
        <w:spacing w:after="0"/>
        <w:rPr>
          <w:rFonts w:ascii="Arial Narrow" w:hAnsi="Arial Narrow" w:cs="Arial"/>
          <w:color w:val="000000"/>
          <w:sz w:val="20"/>
        </w:rPr>
      </w:pPr>
      <w:r>
        <w:rPr>
          <w:rFonts w:ascii="Arial Narrow" w:hAnsi="Arial Narrow" w:cs="Arial"/>
          <w:color w:val="000000"/>
          <w:sz w:val="20"/>
        </w:rPr>
        <w:t>QALY = Quality-adjusted life-year</w:t>
      </w:r>
    </w:p>
    <w:p w:rsidR="002724DF" w:rsidRPr="009108FA" w:rsidRDefault="002724DF" w:rsidP="002724DF">
      <w:pPr>
        <w:rPr>
          <w:rFonts w:ascii="Arial Narrow" w:hAnsi="Arial Narrow" w:cs="Arial"/>
          <w:color w:val="000000"/>
          <w:sz w:val="20"/>
          <w:vertAlign w:val="superscript"/>
        </w:rPr>
      </w:pPr>
      <w:proofErr w:type="gramStart"/>
      <w:r>
        <w:rPr>
          <w:rFonts w:ascii="Arial Narrow" w:hAnsi="Arial Narrow" w:cs="Arial"/>
          <w:color w:val="000000"/>
          <w:sz w:val="20"/>
          <w:vertAlign w:val="superscript"/>
        </w:rPr>
        <w:t>a</w:t>
      </w:r>
      <w:proofErr w:type="gramEnd"/>
      <w:r>
        <w:rPr>
          <w:rFonts w:ascii="Arial Narrow" w:hAnsi="Arial Narrow" w:cs="Arial"/>
          <w:color w:val="000000"/>
          <w:sz w:val="20"/>
          <w:vertAlign w:val="superscript"/>
        </w:rPr>
        <w:t xml:space="preserve"> </w:t>
      </w:r>
      <w:proofErr w:type="spellStart"/>
      <w:r w:rsidRPr="003C43F2">
        <w:rPr>
          <w:rFonts w:ascii="Arial Narrow" w:hAnsi="Arial Narrow" w:cs="Arial"/>
          <w:sz w:val="20"/>
        </w:rPr>
        <w:t>Proband</w:t>
      </w:r>
      <w:r>
        <w:rPr>
          <w:rFonts w:ascii="Arial Narrow" w:hAnsi="Arial Narrow" w:cs="Arial"/>
          <w:sz w:val="20"/>
        </w:rPr>
        <w:t>’</w:t>
      </w:r>
      <w:r w:rsidRPr="003C43F2">
        <w:rPr>
          <w:rFonts w:ascii="Arial Narrow" w:hAnsi="Arial Narrow" w:cs="Arial"/>
          <w:sz w:val="20"/>
        </w:rPr>
        <w:t>s</w:t>
      </w:r>
      <w:proofErr w:type="spellEnd"/>
      <w:r>
        <w:rPr>
          <w:rFonts w:ascii="Arial Narrow" w:hAnsi="Arial Narrow" w:cs="Arial"/>
          <w:color w:val="000000"/>
          <w:sz w:val="20"/>
          <w:vertAlign w:val="superscript"/>
        </w:rPr>
        <w:t xml:space="preserve"> </w:t>
      </w:r>
      <w:r>
        <w:rPr>
          <w:rFonts w:ascii="Arial Narrow" w:hAnsi="Arial Narrow" w:cs="Arial"/>
          <w:sz w:val="20"/>
        </w:rPr>
        <w:t>m</w:t>
      </w:r>
      <w:r w:rsidRPr="00431E2E">
        <w:rPr>
          <w:rFonts w:ascii="Arial Narrow" w:hAnsi="Arial Narrow" w:cs="Arial"/>
          <w:sz w:val="20"/>
        </w:rPr>
        <w:t>ale siblings will not be included in the model but the cost of testing them will be included to inform the need to test their children.</w:t>
      </w:r>
    </w:p>
    <w:p w:rsidR="002724DF" w:rsidRDefault="002724DF" w:rsidP="002724DF">
      <w:pPr>
        <w:rPr>
          <w:szCs w:val="24"/>
        </w:rPr>
      </w:pPr>
      <w:r w:rsidRPr="004F50D3">
        <w:rPr>
          <w:szCs w:val="24"/>
        </w:rPr>
        <w:t xml:space="preserve">Genetic testing </w:t>
      </w:r>
      <w:r w:rsidR="006F04DC">
        <w:rPr>
          <w:szCs w:val="24"/>
        </w:rPr>
        <w:t>wa</w:t>
      </w:r>
      <w:r w:rsidRPr="004F50D3">
        <w:rPr>
          <w:szCs w:val="24"/>
        </w:rPr>
        <w:t>s cost-effective for all groups (scenarios)</w:t>
      </w:r>
      <w:r w:rsidR="00D75CD6">
        <w:rPr>
          <w:szCs w:val="24"/>
        </w:rPr>
        <w:t>,</w:t>
      </w:r>
      <w:r w:rsidRPr="004F50D3">
        <w:rPr>
          <w:szCs w:val="24"/>
        </w:rPr>
        <w:t xml:space="preserve"> including affected individuals alone</w:t>
      </w:r>
      <w:r w:rsidR="00D75CD6">
        <w:rPr>
          <w:szCs w:val="24"/>
        </w:rPr>
        <w:t>,</w:t>
      </w:r>
      <w:r w:rsidRPr="004F50D3">
        <w:rPr>
          <w:szCs w:val="24"/>
        </w:rPr>
        <w:t xml:space="preserve"> or with cascading to include first and second degree family members.</w:t>
      </w:r>
    </w:p>
    <w:p w:rsidR="002724DF" w:rsidRPr="004F50D3" w:rsidRDefault="002724DF" w:rsidP="002724DF">
      <w:pPr>
        <w:rPr>
          <w:szCs w:val="24"/>
        </w:rPr>
      </w:pPr>
      <w:r w:rsidRPr="004F50D3">
        <w:rPr>
          <w:szCs w:val="24"/>
        </w:rPr>
        <w:t xml:space="preserve">Table </w:t>
      </w:r>
      <w:r w:rsidR="00DF35D4">
        <w:rPr>
          <w:szCs w:val="24"/>
        </w:rPr>
        <w:t>7</w:t>
      </w:r>
      <w:r w:rsidRPr="004F50D3">
        <w:rPr>
          <w:szCs w:val="24"/>
        </w:rPr>
        <w:t xml:space="preserve"> summarises the incremental costs and effects for the possible </w:t>
      </w:r>
      <w:r>
        <w:rPr>
          <w:szCs w:val="24"/>
        </w:rPr>
        <w:t>testing scenarios</w:t>
      </w:r>
      <w:r w:rsidR="006F04DC">
        <w:rPr>
          <w:szCs w:val="24"/>
        </w:rPr>
        <w:t xml:space="preserve"> by reporting </w:t>
      </w:r>
      <w:r>
        <w:rPr>
          <w:szCs w:val="24"/>
        </w:rPr>
        <w:t>the additional costs, additional QALYs and ICER of adding each step of the cascade to the previous step of the cascade.</w:t>
      </w:r>
    </w:p>
    <w:p w:rsidR="002724DF" w:rsidRPr="00240D61" w:rsidRDefault="002724DF" w:rsidP="00852011">
      <w:pPr>
        <w:spacing w:after="0"/>
        <w:rPr>
          <w:rFonts w:ascii="Arial Narrow" w:hAnsi="Arial Narrow" w:cs="Arial"/>
          <w:b/>
          <w:color w:val="000000"/>
          <w:sz w:val="20"/>
        </w:rPr>
      </w:pPr>
      <w:r w:rsidRPr="00240D61">
        <w:rPr>
          <w:rFonts w:ascii="Arial Narrow" w:hAnsi="Arial Narrow" w:cs="Arial"/>
          <w:b/>
          <w:color w:val="000000"/>
          <w:sz w:val="20"/>
        </w:rPr>
        <w:t xml:space="preserve">Table </w:t>
      </w:r>
      <w:r w:rsidR="00DF35D4">
        <w:rPr>
          <w:rFonts w:ascii="Arial Narrow" w:hAnsi="Arial Narrow" w:cs="Arial"/>
          <w:b/>
          <w:color w:val="000000"/>
          <w:sz w:val="20"/>
        </w:rPr>
        <w:t>7</w:t>
      </w:r>
      <w:r w:rsidRPr="00240D61">
        <w:rPr>
          <w:rFonts w:ascii="Arial Narrow" w:hAnsi="Arial Narrow" w:cs="Arial"/>
          <w:b/>
          <w:color w:val="000000"/>
          <w:sz w:val="20"/>
        </w:rPr>
        <w:t xml:space="preserve">: Incremental costs and effects for </w:t>
      </w:r>
      <w:r>
        <w:rPr>
          <w:rFonts w:ascii="Arial Narrow" w:hAnsi="Arial Narrow" w:cs="Arial"/>
          <w:b/>
          <w:color w:val="000000"/>
          <w:sz w:val="20"/>
        </w:rPr>
        <w:t>testing various groups</w:t>
      </w:r>
    </w:p>
    <w:tbl>
      <w:tblPr>
        <w:tblW w:w="9209" w:type="dxa"/>
        <w:tblLook w:val="04A0" w:firstRow="1" w:lastRow="0" w:firstColumn="1" w:lastColumn="0" w:noHBand="0" w:noVBand="1"/>
        <w:tblDescription w:val="Table 7: Incremental costs and effects for testing various groups"/>
      </w:tblPr>
      <w:tblGrid>
        <w:gridCol w:w="3794"/>
        <w:gridCol w:w="718"/>
        <w:gridCol w:w="841"/>
        <w:gridCol w:w="1276"/>
        <w:gridCol w:w="1446"/>
        <w:gridCol w:w="1134"/>
      </w:tblGrid>
      <w:tr w:rsidR="002724DF" w:rsidRPr="001A0477" w:rsidTr="002724DF">
        <w:tc>
          <w:tcPr>
            <w:tcW w:w="3794" w:type="dxa"/>
          </w:tcPr>
          <w:p w:rsidR="002724DF" w:rsidRPr="001A0477" w:rsidRDefault="002724DF" w:rsidP="00852011">
            <w:pPr>
              <w:pStyle w:val="TableText1"/>
            </w:pPr>
          </w:p>
        </w:tc>
        <w:tc>
          <w:tcPr>
            <w:tcW w:w="718" w:type="dxa"/>
          </w:tcPr>
          <w:p w:rsidR="002724DF" w:rsidRPr="001A0477" w:rsidRDefault="0063371D" w:rsidP="00852011">
            <w:pPr>
              <w:pStyle w:val="TableText1"/>
            </w:pPr>
            <w:r>
              <w:t>Cost</w:t>
            </w:r>
          </w:p>
        </w:tc>
        <w:tc>
          <w:tcPr>
            <w:tcW w:w="841" w:type="dxa"/>
          </w:tcPr>
          <w:p w:rsidR="002724DF" w:rsidRPr="001A0477" w:rsidRDefault="002724DF" w:rsidP="00852011">
            <w:pPr>
              <w:pStyle w:val="TableText1"/>
            </w:pPr>
            <w:r>
              <w:t>QALY</w:t>
            </w:r>
          </w:p>
        </w:tc>
        <w:tc>
          <w:tcPr>
            <w:tcW w:w="1276" w:type="dxa"/>
          </w:tcPr>
          <w:p w:rsidR="002724DF" w:rsidRPr="001A0477" w:rsidRDefault="002724DF" w:rsidP="00852011">
            <w:pPr>
              <w:pStyle w:val="TableText1"/>
            </w:pPr>
            <w:r>
              <w:t>Incremental cost</w:t>
            </w:r>
          </w:p>
        </w:tc>
        <w:tc>
          <w:tcPr>
            <w:tcW w:w="1446" w:type="dxa"/>
          </w:tcPr>
          <w:p w:rsidR="002724DF" w:rsidRPr="001A0477" w:rsidRDefault="002724DF" w:rsidP="00852011">
            <w:pPr>
              <w:pStyle w:val="TableText1"/>
            </w:pPr>
            <w:r>
              <w:t>Incremental effect</w:t>
            </w:r>
          </w:p>
        </w:tc>
        <w:tc>
          <w:tcPr>
            <w:tcW w:w="1134" w:type="dxa"/>
          </w:tcPr>
          <w:p w:rsidR="002724DF" w:rsidRPr="001A0477" w:rsidRDefault="002724DF" w:rsidP="00852011">
            <w:pPr>
              <w:pStyle w:val="TableText1"/>
            </w:pPr>
            <w:r>
              <w:t>ICER/QALY</w:t>
            </w:r>
          </w:p>
        </w:tc>
      </w:tr>
      <w:tr w:rsidR="002724DF" w:rsidRPr="001A0477" w:rsidTr="002724DF">
        <w:tc>
          <w:tcPr>
            <w:tcW w:w="3794" w:type="dxa"/>
          </w:tcPr>
          <w:p w:rsidR="002724DF" w:rsidRPr="001A0477" w:rsidRDefault="002724DF" w:rsidP="00852011">
            <w:pPr>
              <w:pStyle w:val="TableText1"/>
            </w:pPr>
            <w:r>
              <w:t>Affected individuals only</w:t>
            </w:r>
          </w:p>
        </w:tc>
        <w:tc>
          <w:tcPr>
            <w:tcW w:w="718" w:type="dxa"/>
          </w:tcPr>
          <w:p w:rsidR="002724DF" w:rsidRPr="001A0477" w:rsidRDefault="002724DF" w:rsidP="00852011">
            <w:pPr>
              <w:pStyle w:val="TableText1"/>
            </w:pPr>
            <w:r w:rsidRPr="00070C63">
              <w:t>$6,012</w:t>
            </w:r>
          </w:p>
        </w:tc>
        <w:tc>
          <w:tcPr>
            <w:tcW w:w="841" w:type="dxa"/>
          </w:tcPr>
          <w:p w:rsidR="002724DF" w:rsidRPr="001A0477" w:rsidRDefault="002724DF" w:rsidP="00852011">
            <w:pPr>
              <w:pStyle w:val="TableText1"/>
            </w:pPr>
            <w:r>
              <w:t>17.42</w:t>
            </w:r>
          </w:p>
        </w:tc>
        <w:tc>
          <w:tcPr>
            <w:tcW w:w="1276" w:type="dxa"/>
          </w:tcPr>
          <w:p w:rsidR="002724DF" w:rsidRDefault="002724DF" w:rsidP="00852011">
            <w:pPr>
              <w:pStyle w:val="TableText1"/>
            </w:pPr>
            <w:r>
              <w:t>-</w:t>
            </w:r>
          </w:p>
        </w:tc>
        <w:tc>
          <w:tcPr>
            <w:tcW w:w="1446" w:type="dxa"/>
          </w:tcPr>
          <w:p w:rsidR="002724DF" w:rsidRDefault="002724DF" w:rsidP="00852011">
            <w:pPr>
              <w:pStyle w:val="TableText1"/>
            </w:pPr>
            <w:r>
              <w:t>-</w:t>
            </w:r>
          </w:p>
        </w:tc>
        <w:tc>
          <w:tcPr>
            <w:tcW w:w="1134" w:type="dxa"/>
          </w:tcPr>
          <w:p w:rsidR="002724DF" w:rsidRPr="001A0477" w:rsidRDefault="002724DF" w:rsidP="00852011">
            <w:pPr>
              <w:pStyle w:val="TableText1"/>
            </w:pPr>
            <w:r>
              <w:t>-</w:t>
            </w:r>
          </w:p>
        </w:tc>
      </w:tr>
      <w:tr w:rsidR="002724DF" w:rsidRPr="001A0477" w:rsidTr="002724DF">
        <w:tc>
          <w:tcPr>
            <w:tcW w:w="3794" w:type="dxa"/>
          </w:tcPr>
          <w:p w:rsidR="002724DF" w:rsidRPr="001A0477" w:rsidRDefault="002724DF" w:rsidP="00852011">
            <w:pPr>
              <w:pStyle w:val="TableText1"/>
            </w:pPr>
            <w:r>
              <w:t xml:space="preserve">Affected individuals + </w:t>
            </w:r>
            <w:proofErr w:type="spellStart"/>
            <w:r>
              <w:t>proband’s</w:t>
            </w:r>
            <w:proofErr w:type="spellEnd"/>
            <w:r>
              <w:t xml:space="preserve"> female siblings</w:t>
            </w:r>
          </w:p>
        </w:tc>
        <w:tc>
          <w:tcPr>
            <w:tcW w:w="718" w:type="dxa"/>
          </w:tcPr>
          <w:p w:rsidR="002724DF" w:rsidRPr="001A0477" w:rsidRDefault="002724DF" w:rsidP="00852011">
            <w:pPr>
              <w:pStyle w:val="TableText1"/>
            </w:pPr>
            <w:r w:rsidRPr="001A0477">
              <w:t>$7,</w:t>
            </w:r>
            <w:r>
              <w:t>230</w:t>
            </w:r>
          </w:p>
        </w:tc>
        <w:tc>
          <w:tcPr>
            <w:tcW w:w="841" w:type="dxa"/>
          </w:tcPr>
          <w:p w:rsidR="002724DF" w:rsidRPr="001A0477" w:rsidRDefault="002724DF" w:rsidP="00852011">
            <w:pPr>
              <w:pStyle w:val="TableText1"/>
            </w:pPr>
            <w:r>
              <w:t>19.50</w:t>
            </w:r>
          </w:p>
        </w:tc>
        <w:tc>
          <w:tcPr>
            <w:tcW w:w="1276" w:type="dxa"/>
          </w:tcPr>
          <w:p w:rsidR="002724DF" w:rsidRDefault="002724DF" w:rsidP="00852011">
            <w:pPr>
              <w:pStyle w:val="TableText1"/>
            </w:pPr>
            <w:r>
              <w:t>$1,218</w:t>
            </w:r>
          </w:p>
        </w:tc>
        <w:tc>
          <w:tcPr>
            <w:tcW w:w="1446" w:type="dxa"/>
          </w:tcPr>
          <w:p w:rsidR="002724DF" w:rsidRDefault="002724DF" w:rsidP="00852011">
            <w:pPr>
              <w:pStyle w:val="TableText1"/>
            </w:pPr>
            <w:r>
              <w:t>2.08</w:t>
            </w:r>
          </w:p>
        </w:tc>
        <w:tc>
          <w:tcPr>
            <w:tcW w:w="1134" w:type="dxa"/>
          </w:tcPr>
          <w:p w:rsidR="002724DF" w:rsidRPr="001A0477" w:rsidRDefault="002724DF" w:rsidP="00852011">
            <w:pPr>
              <w:pStyle w:val="TableText1"/>
            </w:pPr>
            <w:r>
              <w:t>$586</w:t>
            </w:r>
          </w:p>
        </w:tc>
      </w:tr>
      <w:tr w:rsidR="002724DF" w:rsidRPr="001A0477" w:rsidTr="002724DF">
        <w:tc>
          <w:tcPr>
            <w:tcW w:w="3794" w:type="dxa"/>
          </w:tcPr>
          <w:p w:rsidR="002724DF" w:rsidRDefault="002724DF" w:rsidP="00852011">
            <w:pPr>
              <w:pStyle w:val="TableText1"/>
            </w:pPr>
            <w:r w:rsidRPr="00070C63">
              <w:t xml:space="preserve">Affected individuals + </w:t>
            </w:r>
            <w:proofErr w:type="spellStart"/>
            <w:r w:rsidRPr="00070C63">
              <w:t>proband’s</w:t>
            </w:r>
            <w:proofErr w:type="spellEnd"/>
            <w:r>
              <w:t xml:space="preserve"> female </w:t>
            </w:r>
            <w:r w:rsidRPr="00070C63">
              <w:t>siblings</w:t>
            </w:r>
            <w:r>
              <w:t xml:space="preserve">+ </w:t>
            </w:r>
            <w:proofErr w:type="spellStart"/>
            <w:r>
              <w:t>proband’s</w:t>
            </w:r>
            <w:proofErr w:type="spellEnd"/>
            <w:r>
              <w:t xml:space="preserve"> female children</w:t>
            </w:r>
          </w:p>
        </w:tc>
        <w:tc>
          <w:tcPr>
            <w:tcW w:w="718" w:type="dxa"/>
          </w:tcPr>
          <w:p w:rsidR="002724DF" w:rsidRDefault="002724DF" w:rsidP="00852011">
            <w:pPr>
              <w:pStyle w:val="TableText1"/>
            </w:pPr>
            <w:r w:rsidRPr="001A0477">
              <w:t>$</w:t>
            </w:r>
            <w:r>
              <w:t>7,788</w:t>
            </w:r>
          </w:p>
        </w:tc>
        <w:tc>
          <w:tcPr>
            <w:tcW w:w="841" w:type="dxa"/>
          </w:tcPr>
          <w:p w:rsidR="002724DF" w:rsidRDefault="002724DF" w:rsidP="00852011">
            <w:pPr>
              <w:pStyle w:val="TableText1"/>
            </w:pPr>
            <w:r>
              <w:t>22.45</w:t>
            </w:r>
          </w:p>
        </w:tc>
        <w:tc>
          <w:tcPr>
            <w:tcW w:w="1276" w:type="dxa"/>
          </w:tcPr>
          <w:p w:rsidR="002724DF" w:rsidRDefault="002724DF" w:rsidP="00852011">
            <w:pPr>
              <w:pStyle w:val="TableText1"/>
            </w:pPr>
            <w:r>
              <w:t>$558</w:t>
            </w:r>
          </w:p>
        </w:tc>
        <w:tc>
          <w:tcPr>
            <w:tcW w:w="1446" w:type="dxa"/>
          </w:tcPr>
          <w:p w:rsidR="002724DF" w:rsidRDefault="002724DF" w:rsidP="00852011">
            <w:pPr>
              <w:pStyle w:val="TableText1"/>
            </w:pPr>
            <w:r>
              <w:t>2.95</w:t>
            </w:r>
          </w:p>
        </w:tc>
        <w:tc>
          <w:tcPr>
            <w:tcW w:w="1134" w:type="dxa"/>
          </w:tcPr>
          <w:p w:rsidR="002724DF" w:rsidRPr="001A0477" w:rsidRDefault="002724DF" w:rsidP="00852011">
            <w:pPr>
              <w:pStyle w:val="TableText1"/>
            </w:pPr>
            <w:r>
              <w:t>$189</w:t>
            </w:r>
          </w:p>
        </w:tc>
      </w:tr>
      <w:tr w:rsidR="002724DF" w:rsidRPr="001A0477" w:rsidTr="002724DF">
        <w:tc>
          <w:tcPr>
            <w:tcW w:w="3794" w:type="dxa"/>
          </w:tcPr>
          <w:p w:rsidR="002724DF" w:rsidRPr="00070C63" w:rsidRDefault="002724DF" w:rsidP="00852011">
            <w:pPr>
              <w:pStyle w:val="TableText1"/>
            </w:pPr>
            <w:r>
              <w:t>A</w:t>
            </w:r>
            <w:r w:rsidRPr="002045E6">
              <w:t xml:space="preserve">ffected individuals + </w:t>
            </w:r>
            <w:proofErr w:type="spellStart"/>
            <w:r w:rsidRPr="002045E6">
              <w:t>proband’s</w:t>
            </w:r>
            <w:proofErr w:type="spellEnd"/>
            <w:r w:rsidRPr="002045E6">
              <w:t xml:space="preserve"> siblings </w:t>
            </w:r>
            <w:r>
              <w:t>(male and female)</w:t>
            </w:r>
            <w:r w:rsidRPr="002045E6">
              <w:t xml:space="preserve"> + </w:t>
            </w:r>
            <w:proofErr w:type="spellStart"/>
            <w:r w:rsidRPr="002045E6">
              <w:t>proband’s</w:t>
            </w:r>
            <w:proofErr w:type="spellEnd"/>
            <w:r w:rsidRPr="002045E6">
              <w:t xml:space="preserve"> female children + </w:t>
            </w:r>
            <w:r w:rsidRPr="00B3506B">
              <w:t>female children of siblings who test positive</w:t>
            </w:r>
          </w:p>
        </w:tc>
        <w:tc>
          <w:tcPr>
            <w:tcW w:w="718" w:type="dxa"/>
          </w:tcPr>
          <w:p w:rsidR="002724DF" w:rsidRDefault="002724DF" w:rsidP="00852011">
            <w:pPr>
              <w:pStyle w:val="TableText1"/>
            </w:pPr>
            <w:r w:rsidRPr="001A0477">
              <w:t>$</w:t>
            </w:r>
            <w:r>
              <w:t>8,324</w:t>
            </w:r>
          </w:p>
        </w:tc>
        <w:tc>
          <w:tcPr>
            <w:tcW w:w="841" w:type="dxa"/>
          </w:tcPr>
          <w:p w:rsidR="002724DF" w:rsidRDefault="002724DF" w:rsidP="00852011">
            <w:pPr>
              <w:pStyle w:val="TableText1"/>
            </w:pPr>
            <w:r>
              <w:t>24.81</w:t>
            </w:r>
          </w:p>
        </w:tc>
        <w:tc>
          <w:tcPr>
            <w:tcW w:w="1276" w:type="dxa"/>
          </w:tcPr>
          <w:p w:rsidR="002724DF" w:rsidRDefault="002724DF" w:rsidP="00852011">
            <w:pPr>
              <w:pStyle w:val="TableText1"/>
            </w:pPr>
            <w:r>
              <w:t>$536</w:t>
            </w:r>
          </w:p>
        </w:tc>
        <w:tc>
          <w:tcPr>
            <w:tcW w:w="1446" w:type="dxa"/>
          </w:tcPr>
          <w:p w:rsidR="002724DF" w:rsidRDefault="002724DF" w:rsidP="00852011">
            <w:pPr>
              <w:pStyle w:val="TableText1"/>
            </w:pPr>
            <w:r>
              <w:t>2.36</w:t>
            </w:r>
          </w:p>
        </w:tc>
        <w:tc>
          <w:tcPr>
            <w:tcW w:w="1134" w:type="dxa"/>
          </w:tcPr>
          <w:p w:rsidR="002724DF" w:rsidRPr="001A0477" w:rsidRDefault="002724DF" w:rsidP="00852011">
            <w:pPr>
              <w:pStyle w:val="TableText1"/>
            </w:pPr>
            <w:r>
              <w:t>$227</w:t>
            </w:r>
          </w:p>
        </w:tc>
      </w:tr>
    </w:tbl>
    <w:p w:rsidR="002724DF" w:rsidRPr="009108FA" w:rsidRDefault="002724DF" w:rsidP="002724DF">
      <w:pPr>
        <w:rPr>
          <w:rFonts w:ascii="Arial Narrow" w:hAnsi="Arial Narrow" w:cs="Arial"/>
          <w:color w:val="000000"/>
          <w:sz w:val="20"/>
        </w:rPr>
      </w:pPr>
      <w:r>
        <w:rPr>
          <w:rFonts w:ascii="Arial Narrow" w:hAnsi="Arial Narrow" w:cs="Arial"/>
          <w:color w:val="000000"/>
          <w:sz w:val="20"/>
        </w:rPr>
        <w:t xml:space="preserve">QALY = Quality-adjusted life-year; </w:t>
      </w:r>
      <w:r w:rsidRPr="002C2463">
        <w:rPr>
          <w:rFonts w:ascii="Arial Narrow" w:hAnsi="Arial Narrow" w:cs="Arial"/>
          <w:color w:val="000000"/>
          <w:sz w:val="20"/>
        </w:rPr>
        <w:t>ICER = incremental cost-effectiveness ratio</w:t>
      </w:r>
    </w:p>
    <w:p w:rsidR="00FB7F6B" w:rsidRPr="004F50D3" w:rsidRDefault="002724DF" w:rsidP="002724DF">
      <w:pPr>
        <w:rPr>
          <w:szCs w:val="24"/>
        </w:rPr>
      </w:pPr>
      <w:r w:rsidRPr="004F50D3">
        <w:rPr>
          <w:szCs w:val="24"/>
        </w:rPr>
        <w:t xml:space="preserve">Genetic testing of affected individuals plus </w:t>
      </w:r>
      <w:proofErr w:type="spellStart"/>
      <w:r>
        <w:rPr>
          <w:szCs w:val="24"/>
        </w:rPr>
        <w:t>proband’s</w:t>
      </w:r>
      <w:proofErr w:type="spellEnd"/>
      <w:r>
        <w:rPr>
          <w:szCs w:val="24"/>
        </w:rPr>
        <w:t xml:space="preserve"> </w:t>
      </w:r>
      <w:r w:rsidRPr="004F50D3">
        <w:rPr>
          <w:szCs w:val="24"/>
        </w:rPr>
        <w:t xml:space="preserve">first and second degree family members </w:t>
      </w:r>
      <w:r w:rsidR="0063371D">
        <w:rPr>
          <w:szCs w:val="24"/>
        </w:rPr>
        <w:t>wa</w:t>
      </w:r>
      <w:r w:rsidRPr="004F50D3">
        <w:rPr>
          <w:szCs w:val="24"/>
        </w:rPr>
        <w:t>s the most cost-effective option since it provide</w:t>
      </w:r>
      <w:r w:rsidR="0063371D">
        <w:rPr>
          <w:szCs w:val="24"/>
        </w:rPr>
        <w:t>d</w:t>
      </w:r>
      <w:r w:rsidRPr="004F50D3">
        <w:rPr>
          <w:szCs w:val="24"/>
        </w:rPr>
        <w:t xml:space="preserve"> an additional 2.36 QALYs at an incremental cost of $</w:t>
      </w:r>
      <w:r>
        <w:rPr>
          <w:szCs w:val="24"/>
        </w:rPr>
        <w:t>536</w:t>
      </w:r>
      <w:r w:rsidRPr="004F50D3">
        <w:rPr>
          <w:szCs w:val="24"/>
        </w:rPr>
        <w:t xml:space="preserve"> (ICER = </w:t>
      </w:r>
      <w:r>
        <w:rPr>
          <w:szCs w:val="24"/>
        </w:rPr>
        <w:t>$227/QALY</w:t>
      </w:r>
      <w:r w:rsidRPr="004F50D3">
        <w:rPr>
          <w:szCs w:val="24"/>
        </w:rPr>
        <w:t>)</w:t>
      </w:r>
      <w:r>
        <w:rPr>
          <w:szCs w:val="24"/>
        </w:rPr>
        <w:t xml:space="preserve"> compared with testing affected individuals plus </w:t>
      </w:r>
      <w:proofErr w:type="spellStart"/>
      <w:r>
        <w:rPr>
          <w:szCs w:val="24"/>
        </w:rPr>
        <w:t>proband’s</w:t>
      </w:r>
      <w:proofErr w:type="spellEnd"/>
      <w:r>
        <w:rPr>
          <w:szCs w:val="24"/>
        </w:rPr>
        <w:t xml:space="preserve"> first degree female family members.</w:t>
      </w:r>
    </w:p>
    <w:p w:rsidR="0063371D" w:rsidRDefault="002724DF" w:rsidP="002724DF">
      <w:pPr>
        <w:rPr>
          <w:szCs w:val="24"/>
        </w:rPr>
      </w:pPr>
      <w:r w:rsidRPr="004F50D3">
        <w:rPr>
          <w:szCs w:val="24"/>
        </w:rPr>
        <w:t xml:space="preserve">Table </w:t>
      </w:r>
      <w:r w:rsidR="00DF35D4">
        <w:rPr>
          <w:szCs w:val="24"/>
        </w:rPr>
        <w:t>8</w:t>
      </w:r>
      <w:r w:rsidRPr="004F50D3">
        <w:rPr>
          <w:szCs w:val="24"/>
        </w:rPr>
        <w:t xml:space="preserve"> summarises the results when a fixed relative risk factor of 6.3 </w:t>
      </w:r>
      <w:r w:rsidR="0063371D">
        <w:rPr>
          <w:szCs w:val="24"/>
        </w:rPr>
        <w:t>wa</w:t>
      </w:r>
      <w:r w:rsidRPr="004F50D3">
        <w:rPr>
          <w:szCs w:val="24"/>
        </w:rPr>
        <w:t xml:space="preserve">s applied to the general female population breast cancer risk, instead </w:t>
      </w:r>
      <w:r>
        <w:rPr>
          <w:szCs w:val="24"/>
        </w:rPr>
        <w:t>of using age-specific estimates.</w:t>
      </w:r>
    </w:p>
    <w:p w:rsidR="002724DF" w:rsidRPr="00AD7019" w:rsidRDefault="00DF35D4" w:rsidP="00852011">
      <w:pPr>
        <w:spacing w:after="0"/>
        <w:rPr>
          <w:rFonts w:ascii="Arial Narrow" w:hAnsi="Arial Narrow" w:cs="Arial"/>
          <w:b/>
          <w:color w:val="000000"/>
          <w:sz w:val="20"/>
        </w:rPr>
      </w:pPr>
      <w:r>
        <w:rPr>
          <w:rFonts w:ascii="Arial Narrow" w:hAnsi="Arial Narrow" w:cs="Arial"/>
          <w:b/>
          <w:color w:val="000000"/>
          <w:sz w:val="20"/>
        </w:rPr>
        <w:t>Table 8</w:t>
      </w:r>
      <w:r w:rsidR="002724DF" w:rsidRPr="00AD7019">
        <w:rPr>
          <w:rFonts w:ascii="Arial Narrow" w:hAnsi="Arial Narrow" w:cs="Arial"/>
          <w:b/>
          <w:color w:val="000000"/>
          <w:sz w:val="20"/>
        </w:rPr>
        <w:t xml:space="preserve">: </w:t>
      </w:r>
      <w:r w:rsidR="002724DF">
        <w:rPr>
          <w:rFonts w:ascii="Arial Narrow" w:hAnsi="Arial Narrow" w:cs="Arial"/>
          <w:b/>
          <w:color w:val="000000"/>
          <w:sz w:val="20"/>
        </w:rPr>
        <w:t>Results of a</w:t>
      </w:r>
      <w:r w:rsidR="002724DF" w:rsidRPr="00AD7019">
        <w:rPr>
          <w:rFonts w:ascii="Arial Narrow" w:hAnsi="Arial Narrow" w:cs="Arial"/>
          <w:b/>
          <w:color w:val="000000"/>
          <w:sz w:val="20"/>
        </w:rPr>
        <w:t>pplying fixed relative risk factor of 6.3 to population risk of breast cancer</w:t>
      </w:r>
    </w:p>
    <w:tbl>
      <w:tblPr>
        <w:tblW w:w="9180" w:type="dxa"/>
        <w:tblLook w:val="04A0" w:firstRow="1" w:lastRow="0" w:firstColumn="1" w:lastColumn="0" w:noHBand="0" w:noVBand="1"/>
        <w:tblDescription w:val="Table 8: Results of applying fixed relative risk factor of 6.3 to population risk of breast cancer"/>
      </w:tblPr>
      <w:tblGrid>
        <w:gridCol w:w="2802"/>
        <w:gridCol w:w="1417"/>
        <w:gridCol w:w="1276"/>
        <w:gridCol w:w="1134"/>
        <w:gridCol w:w="2551"/>
      </w:tblGrid>
      <w:tr w:rsidR="002724DF" w:rsidRPr="001A0477" w:rsidTr="002724DF">
        <w:tc>
          <w:tcPr>
            <w:tcW w:w="2802" w:type="dxa"/>
          </w:tcPr>
          <w:p w:rsidR="002724DF" w:rsidRPr="001A0477" w:rsidRDefault="002724DF" w:rsidP="00852011">
            <w:pPr>
              <w:pStyle w:val="TableText1"/>
            </w:pPr>
          </w:p>
        </w:tc>
        <w:tc>
          <w:tcPr>
            <w:tcW w:w="1417" w:type="dxa"/>
          </w:tcPr>
          <w:p w:rsidR="002724DF" w:rsidRPr="001A0477" w:rsidRDefault="0063371D" w:rsidP="00852011">
            <w:pPr>
              <w:pStyle w:val="TableText1"/>
            </w:pPr>
            <w:r>
              <w:t>Genetic t</w:t>
            </w:r>
            <w:r w:rsidR="002724DF" w:rsidRPr="001A0477">
              <w:t>est</w:t>
            </w:r>
            <w:r>
              <w:t>ing</w:t>
            </w:r>
          </w:p>
        </w:tc>
        <w:tc>
          <w:tcPr>
            <w:tcW w:w="1276" w:type="dxa"/>
          </w:tcPr>
          <w:p w:rsidR="002724DF" w:rsidRPr="001A0477" w:rsidRDefault="002724DF" w:rsidP="00852011">
            <w:pPr>
              <w:pStyle w:val="TableText1"/>
            </w:pPr>
            <w:r w:rsidRPr="001A0477">
              <w:t>No testing</w:t>
            </w:r>
          </w:p>
        </w:tc>
        <w:tc>
          <w:tcPr>
            <w:tcW w:w="1134" w:type="dxa"/>
          </w:tcPr>
          <w:p w:rsidR="002724DF" w:rsidRPr="001A0477" w:rsidRDefault="002724DF" w:rsidP="00852011">
            <w:pPr>
              <w:pStyle w:val="TableText1"/>
            </w:pPr>
            <w:r>
              <w:t>I</w:t>
            </w:r>
            <w:r w:rsidRPr="001A0477">
              <w:t>ncrement</w:t>
            </w:r>
          </w:p>
        </w:tc>
        <w:tc>
          <w:tcPr>
            <w:tcW w:w="2551" w:type="dxa"/>
          </w:tcPr>
          <w:p w:rsidR="002724DF" w:rsidRPr="001A0477" w:rsidRDefault="002724DF" w:rsidP="00852011">
            <w:pPr>
              <w:pStyle w:val="TableText1"/>
            </w:pPr>
            <w:r w:rsidRPr="001A0477">
              <w:t>Incr</w:t>
            </w:r>
            <w:r>
              <w:t>emental</w:t>
            </w:r>
            <w:r w:rsidRPr="001A0477">
              <w:t xml:space="preserve"> </w:t>
            </w:r>
            <w:r w:rsidR="0063371D" w:rsidRPr="001A0477">
              <w:t>c</w:t>
            </w:r>
            <w:r w:rsidR="0063371D">
              <w:t>ost</w:t>
            </w:r>
            <w:r w:rsidR="0063371D" w:rsidRPr="001A0477">
              <w:t>/e</w:t>
            </w:r>
            <w:r w:rsidRPr="001A0477">
              <w:t>ffect</w:t>
            </w:r>
          </w:p>
        </w:tc>
      </w:tr>
      <w:tr w:rsidR="002724DF" w:rsidRPr="001A0477" w:rsidTr="002724DF">
        <w:tc>
          <w:tcPr>
            <w:tcW w:w="2802" w:type="dxa"/>
          </w:tcPr>
          <w:p w:rsidR="002724DF" w:rsidRPr="001A0477" w:rsidRDefault="002724DF" w:rsidP="00852011">
            <w:pPr>
              <w:pStyle w:val="TableText1"/>
            </w:pPr>
            <w:r w:rsidRPr="001A0477">
              <w:t>Cost</w:t>
            </w:r>
          </w:p>
        </w:tc>
        <w:tc>
          <w:tcPr>
            <w:tcW w:w="1417" w:type="dxa"/>
          </w:tcPr>
          <w:p w:rsidR="002724DF" w:rsidRPr="001A0477" w:rsidRDefault="002724DF" w:rsidP="00852011">
            <w:pPr>
              <w:pStyle w:val="TableText1"/>
            </w:pPr>
            <w:r w:rsidRPr="001A0477">
              <w:t>$</w:t>
            </w:r>
            <w:r>
              <w:t>7,691</w:t>
            </w:r>
          </w:p>
        </w:tc>
        <w:tc>
          <w:tcPr>
            <w:tcW w:w="1276" w:type="dxa"/>
          </w:tcPr>
          <w:p w:rsidR="002724DF" w:rsidRPr="001A0477" w:rsidRDefault="002724DF" w:rsidP="00852011">
            <w:pPr>
              <w:pStyle w:val="TableText1"/>
            </w:pPr>
            <w:r w:rsidRPr="001A0477">
              <w:t>$</w:t>
            </w:r>
            <w:r>
              <w:t>4,140</w:t>
            </w:r>
          </w:p>
        </w:tc>
        <w:tc>
          <w:tcPr>
            <w:tcW w:w="1134" w:type="dxa"/>
          </w:tcPr>
          <w:p w:rsidR="002724DF" w:rsidRPr="001A0477" w:rsidRDefault="002724DF" w:rsidP="00852011">
            <w:pPr>
              <w:pStyle w:val="TableText1"/>
            </w:pPr>
            <w:r w:rsidRPr="001A0477">
              <w:t>$</w:t>
            </w:r>
            <w:r>
              <w:t>3,552</w:t>
            </w:r>
          </w:p>
        </w:tc>
        <w:tc>
          <w:tcPr>
            <w:tcW w:w="2551" w:type="dxa"/>
          </w:tcPr>
          <w:p w:rsidR="002724DF" w:rsidRPr="001A0477" w:rsidRDefault="002724DF" w:rsidP="00852011">
            <w:pPr>
              <w:pStyle w:val="TableText1"/>
            </w:pPr>
            <w:r w:rsidRPr="001A0477">
              <w:t>-</w:t>
            </w:r>
          </w:p>
        </w:tc>
      </w:tr>
      <w:tr w:rsidR="002724DF" w:rsidRPr="001A0477" w:rsidTr="002724DF">
        <w:tc>
          <w:tcPr>
            <w:tcW w:w="2802" w:type="dxa"/>
          </w:tcPr>
          <w:p w:rsidR="002724DF" w:rsidRPr="001A0477" w:rsidRDefault="002724DF" w:rsidP="00852011">
            <w:pPr>
              <w:pStyle w:val="TableText1"/>
            </w:pPr>
            <w:r w:rsidRPr="001A0477">
              <w:t>QALY</w:t>
            </w:r>
            <w:r>
              <w:t>s</w:t>
            </w:r>
          </w:p>
        </w:tc>
        <w:tc>
          <w:tcPr>
            <w:tcW w:w="1417" w:type="dxa"/>
          </w:tcPr>
          <w:p w:rsidR="002724DF" w:rsidRPr="001A0477" w:rsidRDefault="002724DF" w:rsidP="00852011">
            <w:pPr>
              <w:pStyle w:val="TableText1"/>
            </w:pPr>
            <w:r>
              <w:t>22.46</w:t>
            </w:r>
          </w:p>
        </w:tc>
        <w:tc>
          <w:tcPr>
            <w:tcW w:w="1276" w:type="dxa"/>
          </w:tcPr>
          <w:p w:rsidR="002724DF" w:rsidRPr="001A0477" w:rsidRDefault="002724DF" w:rsidP="00852011">
            <w:pPr>
              <w:pStyle w:val="TableText1"/>
            </w:pPr>
            <w:r>
              <w:t>22.27</w:t>
            </w:r>
          </w:p>
        </w:tc>
        <w:tc>
          <w:tcPr>
            <w:tcW w:w="1134" w:type="dxa"/>
          </w:tcPr>
          <w:p w:rsidR="002724DF" w:rsidRPr="001A0477" w:rsidRDefault="002724DF" w:rsidP="00852011">
            <w:pPr>
              <w:pStyle w:val="TableText1"/>
            </w:pPr>
            <w:r w:rsidRPr="001A0477">
              <w:t>0.</w:t>
            </w:r>
            <w:r>
              <w:t>19</w:t>
            </w:r>
          </w:p>
        </w:tc>
        <w:tc>
          <w:tcPr>
            <w:tcW w:w="2551" w:type="dxa"/>
          </w:tcPr>
          <w:p w:rsidR="002724DF" w:rsidRPr="001A0477" w:rsidRDefault="002724DF" w:rsidP="00852011">
            <w:pPr>
              <w:pStyle w:val="TableText1"/>
            </w:pPr>
            <w:r w:rsidRPr="001A0477">
              <w:t>$</w:t>
            </w:r>
            <w:r>
              <w:t>19,046</w:t>
            </w:r>
            <w:r w:rsidRPr="001A0477">
              <w:t>/QALY gained</w:t>
            </w:r>
          </w:p>
        </w:tc>
      </w:tr>
      <w:tr w:rsidR="002724DF" w:rsidRPr="001A0477" w:rsidTr="002724DF">
        <w:tc>
          <w:tcPr>
            <w:tcW w:w="2802" w:type="dxa"/>
          </w:tcPr>
          <w:p w:rsidR="002724DF" w:rsidRPr="001A0477" w:rsidRDefault="002724DF" w:rsidP="00852011">
            <w:pPr>
              <w:pStyle w:val="TableText1"/>
            </w:pPr>
            <w:r>
              <w:t>Life-years</w:t>
            </w:r>
          </w:p>
        </w:tc>
        <w:tc>
          <w:tcPr>
            <w:tcW w:w="1417" w:type="dxa"/>
          </w:tcPr>
          <w:p w:rsidR="002724DF" w:rsidRPr="001A0477" w:rsidRDefault="002724DF" w:rsidP="00852011">
            <w:pPr>
              <w:pStyle w:val="TableText1"/>
            </w:pPr>
            <w:r>
              <w:t>22.56</w:t>
            </w:r>
          </w:p>
        </w:tc>
        <w:tc>
          <w:tcPr>
            <w:tcW w:w="1276" w:type="dxa"/>
          </w:tcPr>
          <w:p w:rsidR="002724DF" w:rsidRPr="001A0477" w:rsidRDefault="002724DF" w:rsidP="00852011">
            <w:pPr>
              <w:pStyle w:val="TableText1"/>
            </w:pPr>
            <w:r>
              <w:t>22.42</w:t>
            </w:r>
          </w:p>
        </w:tc>
        <w:tc>
          <w:tcPr>
            <w:tcW w:w="1134" w:type="dxa"/>
          </w:tcPr>
          <w:p w:rsidR="002724DF" w:rsidRPr="001A0477" w:rsidRDefault="002724DF" w:rsidP="00852011">
            <w:pPr>
              <w:pStyle w:val="TableText1"/>
            </w:pPr>
            <w:r>
              <w:t>0.14</w:t>
            </w:r>
          </w:p>
        </w:tc>
        <w:tc>
          <w:tcPr>
            <w:tcW w:w="2551" w:type="dxa"/>
          </w:tcPr>
          <w:p w:rsidR="002724DF" w:rsidRPr="001A0477" w:rsidRDefault="002724DF" w:rsidP="00852011">
            <w:pPr>
              <w:pStyle w:val="TableText1"/>
            </w:pPr>
            <w:r w:rsidRPr="001A0477">
              <w:t>$</w:t>
            </w:r>
            <w:r>
              <w:t>24</w:t>
            </w:r>
            <w:r w:rsidRPr="001A0477">
              <w:t>,</w:t>
            </w:r>
            <w:r>
              <w:t>641</w:t>
            </w:r>
            <w:r w:rsidRPr="001A0477">
              <w:t>/</w:t>
            </w:r>
            <w:r w:rsidR="0063371D">
              <w:t>l</w:t>
            </w:r>
            <w:r>
              <w:t>ife-year</w:t>
            </w:r>
            <w:r w:rsidRPr="001A0477">
              <w:t xml:space="preserve"> gained</w:t>
            </w:r>
          </w:p>
        </w:tc>
      </w:tr>
      <w:tr w:rsidR="002724DF" w:rsidRPr="001A0477" w:rsidTr="002724DF">
        <w:tc>
          <w:tcPr>
            <w:tcW w:w="2802" w:type="dxa"/>
          </w:tcPr>
          <w:p w:rsidR="002724DF" w:rsidRPr="001A0477" w:rsidRDefault="002724DF" w:rsidP="00852011">
            <w:pPr>
              <w:pStyle w:val="TableText1"/>
            </w:pPr>
            <w:r>
              <w:t>Breast cancer</w:t>
            </w:r>
            <w:r w:rsidRPr="001A0477">
              <w:t xml:space="preserve"> </w:t>
            </w:r>
          </w:p>
        </w:tc>
        <w:tc>
          <w:tcPr>
            <w:tcW w:w="1417" w:type="dxa"/>
          </w:tcPr>
          <w:p w:rsidR="002724DF" w:rsidRPr="001A0477" w:rsidRDefault="002724DF" w:rsidP="00852011">
            <w:pPr>
              <w:pStyle w:val="TableText1"/>
            </w:pPr>
            <w:r w:rsidRPr="001A0477">
              <w:t>0.</w:t>
            </w:r>
            <w:r>
              <w:t>27</w:t>
            </w:r>
          </w:p>
        </w:tc>
        <w:tc>
          <w:tcPr>
            <w:tcW w:w="1276" w:type="dxa"/>
          </w:tcPr>
          <w:p w:rsidR="002724DF" w:rsidRPr="001A0477" w:rsidRDefault="002724DF" w:rsidP="00852011">
            <w:pPr>
              <w:pStyle w:val="TableText1"/>
            </w:pPr>
            <w:r w:rsidRPr="001A0477">
              <w:t>0.</w:t>
            </w:r>
            <w:r>
              <w:t>33</w:t>
            </w:r>
          </w:p>
        </w:tc>
        <w:tc>
          <w:tcPr>
            <w:tcW w:w="1134" w:type="dxa"/>
          </w:tcPr>
          <w:p w:rsidR="002724DF" w:rsidRPr="001A0477" w:rsidRDefault="002724DF" w:rsidP="00852011">
            <w:pPr>
              <w:pStyle w:val="TableText1"/>
            </w:pPr>
            <w:r w:rsidRPr="001A0477">
              <w:t>-0.</w:t>
            </w:r>
            <w:r>
              <w:t>06</w:t>
            </w:r>
          </w:p>
        </w:tc>
        <w:tc>
          <w:tcPr>
            <w:tcW w:w="2551" w:type="dxa"/>
          </w:tcPr>
          <w:p w:rsidR="002724DF" w:rsidRPr="001A0477" w:rsidRDefault="002724DF" w:rsidP="00852011">
            <w:pPr>
              <w:pStyle w:val="TableText1"/>
            </w:pPr>
            <w:r w:rsidRPr="001A0477">
              <w:t>$</w:t>
            </w:r>
            <w:r>
              <w:t>61</w:t>
            </w:r>
            <w:r w:rsidRPr="001A0477">
              <w:t>,</w:t>
            </w:r>
            <w:r>
              <w:t>790</w:t>
            </w:r>
            <w:r w:rsidRPr="001A0477">
              <w:t>/</w:t>
            </w:r>
            <w:r>
              <w:t>breast cancer</w:t>
            </w:r>
            <w:r w:rsidRPr="001A0477">
              <w:t xml:space="preserve"> avoided</w:t>
            </w:r>
          </w:p>
        </w:tc>
      </w:tr>
      <w:tr w:rsidR="002724DF" w:rsidRPr="001A0477" w:rsidTr="002724DF">
        <w:tc>
          <w:tcPr>
            <w:tcW w:w="2802" w:type="dxa"/>
          </w:tcPr>
          <w:p w:rsidR="002724DF" w:rsidRPr="001A0477" w:rsidRDefault="002724DF" w:rsidP="00852011">
            <w:pPr>
              <w:pStyle w:val="TableText1"/>
            </w:pPr>
            <w:r>
              <w:t>Ovarian cancer</w:t>
            </w:r>
          </w:p>
        </w:tc>
        <w:tc>
          <w:tcPr>
            <w:tcW w:w="1417" w:type="dxa"/>
          </w:tcPr>
          <w:p w:rsidR="002724DF" w:rsidRPr="001A0477" w:rsidRDefault="002724DF" w:rsidP="00852011">
            <w:pPr>
              <w:pStyle w:val="TableText1"/>
            </w:pPr>
            <w:r w:rsidRPr="001A0477">
              <w:t>0.</w:t>
            </w:r>
            <w:r>
              <w:t>04</w:t>
            </w:r>
          </w:p>
        </w:tc>
        <w:tc>
          <w:tcPr>
            <w:tcW w:w="1276" w:type="dxa"/>
          </w:tcPr>
          <w:p w:rsidR="002724DF" w:rsidRPr="001A0477" w:rsidRDefault="002724DF" w:rsidP="00852011">
            <w:pPr>
              <w:pStyle w:val="TableText1"/>
            </w:pPr>
            <w:r>
              <w:t>0.08</w:t>
            </w:r>
          </w:p>
        </w:tc>
        <w:tc>
          <w:tcPr>
            <w:tcW w:w="1134" w:type="dxa"/>
          </w:tcPr>
          <w:p w:rsidR="002724DF" w:rsidRPr="001A0477" w:rsidRDefault="002724DF" w:rsidP="00852011">
            <w:pPr>
              <w:pStyle w:val="TableText1"/>
            </w:pPr>
            <w:r w:rsidRPr="001A0477">
              <w:t>-0.0</w:t>
            </w:r>
            <w:r>
              <w:t>4</w:t>
            </w:r>
          </w:p>
        </w:tc>
        <w:tc>
          <w:tcPr>
            <w:tcW w:w="2551" w:type="dxa"/>
          </w:tcPr>
          <w:p w:rsidR="002724DF" w:rsidRPr="001A0477" w:rsidRDefault="002724DF" w:rsidP="00852011">
            <w:pPr>
              <w:pStyle w:val="TableText1"/>
            </w:pPr>
            <w:r w:rsidRPr="001A0477">
              <w:t>$</w:t>
            </w:r>
            <w:r>
              <w:t>71</w:t>
            </w:r>
            <w:r w:rsidRPr="001A0477">
              <w:t>,</w:t>
            </w:r>
            <w:r>
              <w:t>000</w:t>
            </w:r>
            <w:r w:rsidRPr="001A0477">
              <w:t>/</w:t>
            </w:r>
            <w:r>
              <w:t>ovarian cancer</w:t>
            </w:r>
            <w:r w:rsidRPr="001A0477">
              <w:t xml:space="preserve"> avoided</w:t>
            </w:r>
          </w:p>
        </w:tc>
      </w:tr>
      <w:tr w:rsidR="002724DF" w:rsidRPr="001A0477" w:rsidTr="002724DF">
        <w:tc>
          <w:tcPr>
            <w:tcW w:w="2802" w:type="dxa"/>
          </w:tcPr>
          <w:p w:rsidR="002724DF" w:rsidRPr="001A0477" w:rsidRDefault="002724DF" w:rsidP="00852011">
            <w:pPr>
              <w:pStyle w:val="TableText1"/>
            </w:pPr>
            <w:r w:rsidRPr="00AF0E2F">
              <w:t>Breast cancer</w:t>
            </w:r>
            <w:r>
              <w:t>+ ovarian cancer</w:t>
            </w:r>
          </w:p>
        </w:tc>
        <w:tc>
          <w:tcPr>
            <w:tcW w:w="1417" w:type="dxa"/>
          </w:tcPr>
          <w:p w:rsidR="002724DF" w:rsidRPr="001A0477" w:rsidRDefault="002724DF" w:rsidP="00852011">
            <w:pPr>
              <w:pStyle w:val="TableText1"/>
            </w:pPr>
            <w:r w:rsidRPr="001A0477">
              <w:t>0.</w:t>
            </w:r>
            <w:r>
              <w:t>31</w:t>
            </w:r>
          </w:p>
        </w:tc>
        <w:tc>
          <w:tcPr>
            <w:tcW w:w="1276" w:type="dxa"/>
          </w:tcPr>
          <w:p w:rsidR="002724DF" w:rsidRPr="001A0477" w:rsidRDefault="002724DF" w:rsidP="00852011">
            <w:pPr>
              <w:pStyle w:val="TableText1"/>
            </w:pPr>
            <w:r w:rsidRPr="001A0477">
              <w:t>0.</w:t>
            </w:r>
            <w:r>
              <w:t>42</w:t>
            </w:r>
          </w:p>
        </w:tc>
        <w:tc>
          <w:tcPr>
            <w:tcW w:w="1134" w:type="dxa"/>
          </w:tcPr>
          <w:p w:rsidR="002724DF" w:rsidRPr="001A0477" w:rsidRDefault="002724DF" w:rsidP="00852011">
            <w:pPr>
              <w:pStyle w:val="TableText1"/>
            </w:pPr>
            <w:r w:rsidRPr="001A0477">
              <w:t>-0.</w:t>
            </w:r>
            <w:r>
              <w:t>11</w:t>
            </w:r>
          </w:p>
        </w:tc>
        <w:tc>
          <w:tcPr>
            <w:tcW w:w="2551" w:type="dxa"/>
          </w:tcPr>
          <w:p w:rsidR="002724DF" w:rsidRPr="001A0477" w:rsidRDefault="002724DF" w:rsidP="00852011">
            <w:pPr>
              <w:pStyle w:val="TableText1"/>
            </w:pPr>
            <w:r w:rsidRPr="001A0477">
              <w:t>$</w:t>
            </w:r>
            <w:r>
              <w:t>32</w:t>
            </w:r>
            <w:r w:rsidRPr="001A0477">
              <w:t>,</w:t>
            </w:r>
            <w:r>
              <w:t>000</w:t>
            </w:r>
            <w:r w:rsidRPr="001A0477">
              <w:t>/cancer avoided</w:t>
            </w:r>
          </w:p>
        </w:tc>
      </w:tr>
    </w:tbl>
    <w:p w:rsidR="0063371D" w:rsidRPr="009108FA" w:rsidRDefault="002724DF" w:rsidP="002724DF">
      <w:pPr>
        <w:rPr>
          <w:rFonts w:ascii="Arial Narrow" w:hAnsi="Arial Narrow" w:cs="Arial"/>
          <w:color w:val="000000"/>
          <w:sz w:val="20"/>
        </w:rPr>
      </w:pPr>
      <w:r>
        <w:rPr>
          <w:rFonts w:ascii="Arial Narrow" w:hAnsi="Arial Narrow" w:cs="Arial"/>
          <w:color w:val="000000"/>
          <w:sz w:val="20"/>
        </w:rPr>
        <w:t>QALY = Quality-adjusted life-year</w:t>
      </w:r>
    </w:p>
    <w:p w:rsidR="002724DF" w:rsidRDefault="002724DF" w:rsidP="002724DF">
      <w:pPr>
        <w:rPr>
          <w:szCs w:val="24"/>
        </w:rPr>
      </w:pPr>
      <w:r w:rsidRPr="004F50D3">
        <w:rPr>
          <w:szCs w:val="24"/>
        </w:rPr>
        <w:t xml:space="preserve">The results </w:t>
      </w:r>
      <w:r>
        <w:rPr>
          <w:szCs w:val="24"/>
        </w:rPr>
        <w:t xml:space="preserve">of the evaluation </w:t>
      </w:r>
      <w:r w:rsidR="0063371D">
        <w:rPr>
          <w:szCs w:val="24"/>
        </w:rPr>
        <w:t>we</w:t>
      </w:r>
      <w:r>
        <w:rPr>
          <w:szCs w:val="24"/>
        </w:rPr>
        <w:t>re</w:t>
      </w:r>
      <w:r w:rsidRPr="004F50D3">
        <w:rPr>
          <w:szCs w:val="24"/>
        </w:rPr>
        <w:t xml:space="preserve"> not sensitive to applying a fixed relative risk rate of 6.3 to the risk of breast cancer in the general female population in Australia.</w:t>
      </w:r>
    </w:p>
    <w:p w:rsidR="00B44E0A" w:rsidRDefault="00B44E0A">
      <w:pPr>
        <w:rPr>
          <w:szCs w:val="24"/>
        </w:rPr>
      </w:pPr>
      <w:r>
        <w:rPr>
          <w:szCs w:val="24"/>
        </w:rPr>
        <w:br w:type="page"/>
      </w:r>
    </w:p>
    <w:p w:rsidR="0063371D" w:rsidRDefault="002724DF" w:rsidP="002724DF">
      <w:pPr>
        <w:rPr>
          <w:szCs w:val="24"/>
        </w:rPr>
      </w:pPr>
      <w:r w:rsidRPr="004F50D3">
        <w:rPr>
          <w:szCs w:val="24"/>
        </w:rPr>
        <w:lastRenderedPageBreak/>
        <w:t xml:space="preserve">Table </w:t>
      </w:r>
      <w:r w:rsidR="00DF35D4">
        <w:rPr>
          <w:szCs w:val="24"/>
        </w:rPr>
        <w:t>9</w:t>
      </w:r>
      <w:r w:rsidRPr="004F50D3">
        <w:rPr>
          <w:szCs w:val="24"/>
        </w:rPr>
        <w:t xml:space="preserve"> presents the results of applying preventative strategies uptake as reported </w:t>
      </w:r>
      <w:r w:rsidR="0063371D">
        <w:rPr>
          <w:szCs w:val="24"/>
        </w:rPr>
        <w:t>by</w:t>
      </w:r>
      <w:r w:rsidRPr="004F50D3">
        <w:rPr>
          <w:szCs w:val="24"/>
        </w:rPr>
        <w:t xml:space="preserve"> Collins </w:t>
      </w:r>
      <w:r w:rsidR="0063371D">
        <w:rPr>
          <w:szCs w:val="24"/>
        </w:rPr>
        <w:t xml:space="preserve">et al, </w:t>
      </w:r>
      <w:r w:rsidRPr="004F50D3">
        <w:rPr>
          <w:szCs w:val="24"/>
        </w:rPr>
        <w:t>2013 (28% mastectomy alone, 52% BSO alone, 16% mastectomy plus BSO, and 4% surveillance) instead of 40% mastectomy plus BSO, 40% BSO alone, 20% surveillance in the base-case analysis.</w:t>
      </w:r>
    </w:p>
    <w:p w:rsidR="002724DF" w:rsidRPr="00494BE4" w:rsidRDefault="002724DF" w:rsidP="00852011">
      <w:pPr>
        <w:spacing w:after="0"/>
        <w:rPr>
          <w:rFonts w:ascii="Arial Narrow" w:hAnsi="Arial Narrow" w:cs="Arial"/>
          <w:b/>
          <w:color w:val="000000"/>
          <w:sz w:val="20"/>
          <w:vertAlign w:val="superscript"/>
        </w:rPr>
      </w:pPr>
      <w:r w:rsidRPr="00AD7019">
        <w:rPr>
          <w:rFonts w:ascii="Arial Narrow" w:hAnsi="Arial Narrow" w:cs="Arial"/>
          <w:b/>
          <w:color w:val="000000"/>
          <w:sz w:val="20"/>
        </w:rPr>
        <w:t xml:space="preserve">Table </w:t>
      </w:r>
      <w:r w:rsidR="00DF35D4">
        <w:rPr>
          <w:rFonts w:ascii="Arial Narrow" w:hAnsi="Arial Narrow" w:cs="Arial"/>
          <w:b/>
          <w:color w:val="000000"/>
          <w:sz w:val="20"/>
        </w:rPr>
        <w:t>9</w:t>
      </w:r>
      <w:r w:rsidRPr="00AD7019">
        <w:rPr>
          <w:rFonts w:ascii="Arial Narrow" w:hAnsi="Arial Narrow" w:cs="Arial"/>
          <w:b/>
          <w:color w:val="000000"/>
          <w:sz w:val="20"/>
        </w:rPr>
        <w:t xml:space="preserve">: </w:t>
      </w:r>
      <w:r>
        <w:rPr>
          <w:rFonts w:ascii="Arial Narrow" w:hAnsi="Arial Narrow" w:cs="Arial"/>
          <w:b/>
          <w:color w:val="000000"/>
          <w:sz w:val="20"/>
        </w:rPr>
        <w:t>Results of a</w:t>
      </w:r>
      <w:r w:rsidRPr="00AD7019">
        <w:rPr>
          <w:rFonts w:ascii="Arial Narrow" w:hAnsi="Arial Narrow" w:cs="Arial"/>
          <w:b/>
          <w:color w:val="000000"/>
          <w:sz w:val="20"/>
        </w:rPr>
        <w:t xml:space="preserve">pplying </w:t>
      </w:r>
      <w:r>
        <w:rPr>
          <w:rFonts w:ascii="Arial Narrow" w:hAnsi="Arial Narrow" w:cs="Arial"/>
          <w:b/>
          <w:color w:val="000000"/>
          <w:sz w:val="20"/>
        </w:rPr>
        <w:t xml:space="preserve">preventative strategies uptake as in Collins </w:t>
      </w:r>
      <w:r w:rsidR="0063371D">
        <w:rPr>
          <w:rFonts w:ascii="Arial Narrow" w:hAnsi="Arial Narrow" w:cs="Arial"/>
          <w:b/>
          <w:color w:val="000000"/>
          <w:sz w:val="20"/>
        </w:rPr>
        <w:t xml:space="preserve">et al, </w:t>
      </w:r>
      <w:r>
        <w:rPr>
          <w:rFonts w:ascii="Arial Narrow" w:hAnsi="Arial Narrow" w:cs="Arial"/>
          <w:b/>
          <w:color w:val="000000"/>
          <w:sz w:val="20"/>
        </w:rPr>
        <w:t>2013</w:t>
      </w:r>
      <w:r>
        <w:rPr>
          <w:rFonts w:ascii="Arial Narrow" w:hAnsi="Arial Narrow" w:cs="Arial"/>
          <w:b/>
          <w:color w:val="000000"/>
          <w:sz w:val="20"/>
          <w:vertAlign w:val="superscript"/>
        </w:rPr>
        <w:t>a</w:t>
      </w:r>
    </w:p>
    <w:tbl>
      <w:tblPr>
        <w:tblW w:w="9322" w:type="dxa"/>
        <w:tblLook w:val="04A0" w:firstRow="1" w:lastRow="0" w:firstColumn="1" w:lastColumn="0" w:noHBand="0" w:noVBand="1"/>
        <w:tblDescription w:val="Table 9: Results of applying preventative strategies uptake as in Collins et al, 2013a"/>
      </w:tblPr>
      <w:tblGrid>
        <w:gridCol w:w="2802"/>
        <w:gridCol w:w="1417"/>
        <w:gridCol w:w="1276"/>
        <w:gridCol w:w="1134"/>
        <w:gridCol w:w="2693"/>
      </w:tblGrid>
      <w:tr w:rsidR="002724DF" w:rsidRPr="001A0477" w:rsidTr="002724DF">
        <w:tc>
          <w:tcPr>
            <w:tcW w:w="2802" w:type="dxa"/>
          </w:tcPr>
          <w:p w:rsidR="002724DF" w:rsidRPr="001A0477" w:rsidRDefault="002724DF" w:rsidP="00852011">
            <w:pPr>
              <w:pStyle w:val="TableText1"/>
            </w:pPr>
          </w:p>
        </w:tc>
        <w:tc>
          <w:tcPr>
            <w:tcW w:w="1417" w:type="dxa"/>
          </w:tcPr>
          <w:p w:rsidR="002724DF" w:rsidRPr="001A0477" w:rsidRDefault="002724DF" w:rsidP="00852011">
            <w:pPr>
              <w:pStyle w:val="TableText1"/>
            </w:pPr>
            <w:r w:rsidRPr="001A0477">
              <w:t xml:space="preserve">Genetic </w:t>
            </w:r>
            <w:r w:rsidR="0063371D">
              <w:t>t</w:t>
            </w:r>
            <w:r w:rsidRPr="001A0477">
              <w:t>est</w:t>
            </w:r>
            <w:r w:rsidR="0063371D">
              <w:t>ing</w:t>
            </w:r>
          </w:p>
        </w:tc>
        <w:tc>
          <w:tcPr>
            <w:tcW w:w="1276" w:type="dxa"/>
          </w:tcPr>
          <w:p w:rsidR="002724DF" w:rsidRPr="001A0477" w:rsidRDefault="002724DF" w:rsidP="00852011">
            <w:pPr>
              <w:pStyle w:val="TableText1"/>
            </w:pPr>
            <w:r w:rsidRPr="001A0477">
              <w:t>No testing</w:t>
            </w:r>
          </w:p>
        </w:tc>
        <w:tc>
          <w:tcPr>
            <w:tcW w:w="1134" w:type="dxa"/>
          </w:tcPr>
          <w:p w:rsidR="002724DF" w:rsidRPr="001A0477" w:rsidRDefault="002724DF" w:rsidP="00852011">
            <w:pPr>
              <w:pStyle w:val="TableText1"/>
            </w:pPr>
            <w:r>
              <w:t>I</w:t>
            </w:r>
            <w:r w:rsidRPr="001A0477">
              <w:t>ncrement</w:t>
            </w:r>
          </w:p>
        </w:tc>
        <w:tc>
          <w:tcPr>
            <w:tcW w:w="2693" w:type="dxa"/>
          </w:tcPr>
          <w:p w:rsidR="002724DF" w:rsidRPr="001A0477" w:rsidRDefault="002724DF" w:rsidP="00852011">
            <w:pPr>
              <w:pStyle w:val="TableText1"/>
            </w:pPr>
            <w:r w:rsidRPr="001A0477">
              <w:t>Incr</w:t>
            </w:r>
            <w:r>
              <w:t>emental</w:t>
            </w:r>
            <w:r w:rsidRPr="001A0477">
              <w:t xml:space="preserve"> </w:t>
            </w:r>
            <w:r w:rsidR="0063371D" w:rsidRPr="001A0477">
              <w:t>c</w:t>
            </w:r>
            <w:r w:rsidR="0063371D">
              <w:t>ost</w:t>
            </w:r>
            <w:r w:rsidR="0063371D" w:rsidRPr="001A0477">
              <w:t>/e</w:t>
            </w:r>
            <w:r w:rsidRPr="001A0477">
              <w:t>ffect</w:t>
            </w:r>
          </w:p>
        </w:tc>
      </w:tr>
      <w:tr w:rsidR="002724DF" w:rsidRPr="001A0477" w:rsidTr="002724DF">
        <w:tc>
          <w:tcPr>
            <w:tcW w:w="2802" w:type="dxa"/>
          </w:tcPr>
          <w:p w:rsidR="002724DF" w:rsidRPr="001A0477" w:rsidRDefault="002724DF" w:rsidP="00852011">
            <w:pPr>
              <w:pStyle w:val="TableText1"/>
            </w:pPr>
            <w:r w:rsidRPr="001A0477">
              <w:t>Cost</w:t>
            </w:r>
          </w:p>
        </w:tc>
        <w:tc>
          <w:tcPr>
            <w:tcW w:w="1417" w:type="dxa"/>
          </w:tcPr>
          <w:p w:rsidR="002724DF" w:rsidRPr="001A0477" w:rsidRDefault="002724DF" w:rsidP="00852011">
            <w:pPr>
              <w:pStyle w:val="TableText1"/>
            </w:pPr>
            <w:r w:rsidRPr="001A0477">
              <w:t>$</w:t>
            </w:r>
            <w:r>
              <w:t>7,725</w:t>
            </w:r>
          </w:p>
        </w:tc>
        <w:tc>
          <w:tcPr>
            <w:tcW w:w="1276" w:type="dxa"/>
          </w:tcPr>
          <w:p w:rsidR="002724DF" w:rsidRPr="001A0477" w:rsidRDefault="002724DF" w:rsidP="00852011">
            <w:pPr>
              <w:pStyle w:val="TableText1"/>
            </w:pPr>
            <w:r w:rsidRPr="001A0477">
              <w:t>$</w:t>
            </w:r>
            <w:r>
              <w:t>4,318</w:t>
            </w:r>
          </w:p>
        </w:tc>
        <w:tc>
          <w:tcPr>
            <w:tcW w:w="1134" w:type="dxa"/>
          </w:tcPr>
          <w:p w:rsidR="002724DF" w:rsidRPr="001A0477" w:rsidRDefault="002724DF" w:rsidP="00852011">
            <w:pPr>
              <w:pStyle w:val="TableText1"/>
            </w:pPr>
            <w:r w:rsidRPr="001A0477">
              <w:t>$</w:t>
            </w:r>
            <w:r>
              <w:t>3,450</w:t>
            </w:r>
          </w:p>
        </w:tc>
        <w:tc>
          <w:tcPr>
            <w:tcW w:w="2693" w:type="dxa"/>
          </w:tcPr>
          <w:p w:rsidR="002724DF" w:rsidRPr="001A0477" w:rsidRDefault="002724DF" w:rsidP="00852011">
            <w:pPr>
              <w:pStyle w:val="TableText1"/>
            </w:pPr>
            <w:r w:rsidRPr="001A0477">
              <w:t>-</w:t>
            </w:r>
          </w:p>
        </w:tc>
      </w:tr>
      <w:tr w:rsidR="002724DF" w:rsidRPr="001A0477" w:rsidTr="002724DF">
        <w:tc>
          <w:tcPr>
            <w:tcW w:w="2802" w:type="dxa"/>
          </w:tcPr>
          <w:p w:rsidR="002724DF" w:rsidRPr="001A0477" w:rsidRDefault="002724DF" w:rsidP="00852011">
            <w:pPr>
              <w:pStyle w:val="TableText1"/>
            </w:pPr>
            <w:r w:rsidRPr="001A0477">
              <w:t>QALY</w:t>
            </w:r>
            <w:r>
              <w:t>s</w:t>
            </w:r>
          </w:p>
        </w:tc>
        <w:tc>
          <w:tcPr>
            <w:tcW w:w="1417" w:type="dxa"/>
          </w:tcPr>
          <w:p w:rsidR="002724DF" w:rsidRPr="001A0477" w:rsidRDefault="002724DF" w:rsidP="00852011">
            <w:pPr>
              <w:pStyle w:val="TableText1"/>
            </w:pPr>
            <w:r>
              <w:t>22.41</w:t>
            </w:r>
          </w:p>
        </w:tc>
        <w:tc>
          <w:tcPr>
            <w:tcW w:w="1276" w:type="dxa"/>
          </w:tcPr>
          <w:p w:rsidR="002724DF" w:rsidRPr="001A0477" w:rsidRDefault="002724DF" w:rsidP="00852011">
            <w:pPr>
              <w:pStyle w:val="TableText1"/>
            </w:pPr>
            <w:r>
              <w:t>22.26</w:t>
            </w:r>
          </w:p>
        </w:tc>
        <w:tc>
          <w:tcPr>
            <w:tcW w:w="1134" w:type="dxa"/>
          </w:tcPr>
          <w:p w:rsidR="002724DF" w:rsidRPr="001A0477" w:rsidRDefault="002724DF" w:rsidP="00852011">
            <w:pPr>
              <w:pStyle w:val="TableText1"/>
            </w:pPr>
            <w:r w:rsidRPr="001A0477">
              <w:t>0.</w:t>
            </w:r>
            <w:r>
              <w:t>15</w:t>
            </w:r>
          </w:p>
        </w:tc>
        <w:tc>
          <w:tcPr>
            <w:tcW w:w="2693" w:type="dxa"/>
          </w:tcPr>
          <w:p w:rsidR="002724DF" w:rsidRPr="001A0477" w:rsidRDefault="002724DF" w:rsidP="00852011">
            <w:pPr>
              <w:pStyle w:val="TableText1"/>
            </w:pPr>
            <w:r w:rsidRPr="001A0477">
              <w:t>$</w:t>
            </w:r>
            <w:r>
              <w:t>22,348</w:t>
            </w:r>
            <w:r w:rsidRPr="001A0477">
              <w:t>/QALY gained</w:t>
            </w:r>
          </w:p>
        </w:tc>
      </w:tr>
      <w:tr w:rsidR="002724DF" w:rsidRPr="001A0477" w:rsidTr="002724DF">
        <w:tc>
          <w:tcPr>
            <w:tcW w:w="2802" w:type="dxa"/>
          </w:tcPr>
          <w:p w:rsidR="002724DF" w:rsidRPr="001A0477" w:rsidRDefault="002724DF" w:rsidP="00852011">
            <w:pPr>
              <w:pStyle w:val="TableText1"/>
            </w:pPr>
            <w:r>
              <w:t>Life-years</w:t>
            </w:r>
          </w:p>
        </w:tc>
        <w:tc>
          <w:tcPr>
            <w:tcW w:w="1417" w:type="dxa"/>
          </w:tcPr>
          <w:p w:rsidR="002724DF" w:rsidRPr="001A0477" w:rsidRDefault="002724DF" w:rsidP="00852011">
            <w:pPr>
              <w:pStyle w:val="TableText1"/>
            </w:pPr>
            <w:r>
              <w:t>22.52</w:t>
            </w:r>
          </w:p>
        </w:tc>
        <w:tc>
          <w:tcPr>
            <w:tcW w:w="1276" w:type="dxa"/>
          </w:tcPr>
          <w:p w:rsidR="002724DF" w:rsidRPr="001A0477" w:rsidRDefault="002724DF" w:rsidP="00852011">
            <w:pPr>
              <w:pStyle w:val="TableText1"/>
            </w:pPr>
            <w:r>
              <w:t>22.41</w:t>
            </w:r>
          </w:p>
        </w:tc>
        <w:tc>
          <w:tcPr>
            <w:tcW w:w="1134" w:type="dxa"/>
          </w:tcPr>
          <w:p w:rsidR="002724DF" w:rsidRPr="001A0477" w:rsidRDefault="002724DF" w:rsidP="00852011">
            <w:pPr>
              <w:pStyle w:val="TableText1"/>
            </w:pPr>
            <w:r>
              <w:t>0.11</w:t>
            </w:r>
          </w:p>
        </w:tc>
        <w:tc>
          <w:tcPr>
            <w:tcW w:w="2693" w:type="dxa"/>
          </w:tcPr>
          <w:p w:rsidR="002724DF" w:rsidRPr="001A0477" w:rsidRDefault="002724DF" w:rsidP="00852011">
            <w:pPr>
              <w:pStyle w:val="TableText1"/>
            </w:pPr>
            <w:r w:rsidRPr="001A0477">
              <w:t>$</w:t>
            </w:r>
            <w:r>
              <w:t>31</w:t>
            </w:r>
            <w:r w:rsidRPr="001A0477">
              <w:t>,</w:t>
            </w:r>
            <w:r>
              <w:t>094</w:t>
            </w:r>
            <w:r w:rsidRPr="001A0477">
              <w:t>/</w:t>
            </w:r>
            <w:r w:rsidR="0063371D">
              <w:t>l</w:t>
            </w:r>
            <w:r>
              <w:t>ife-year</w:t>
            </w:r>
            <w:r w:rsidRPr="001A0477">
              <w:t xml:space="preserve"> gained</w:t>
            </w:r>
          </w:p>
        </w:tc>
      </w:tr>
      <w:tr w:rsidR="002724DF" w:rsidRPr="001A0477" w:rsidTr="002724DF">
        <w:tc>
          <w:tcPr>
            <w:tcW w:w="2802" w:type="dxa"/>
          </w:tcPr>
          <w:p w:rsidR="002724DF" w:rsidRPr="001A0477" w:rsidRDefault="002724DF" w:rsidP="00852011">
            <w:pPr>
              <w:pStyle w:val="TableText1"/>
            </w:pPr>
            <w:r>
              <w:t>Breast cancer</w:t>
            </w:r>
            <w:r w:rsidRPr="001A0477">
              <w:t xml:space="preserve"> </w:t>
            </w:r>
          </w:p>
        </w:tc>
        <w:tc>
          <w:tcPr>
            <w:tcW w:w="1417" w:type="dxa"/>
          </w:tcPr>
          <w:p w:rsidR="002724DF" w:rsidRPr="001A0477" w:rsidRDefault="002724DF" w:rsidP="00852011">
            <w:pPr>
              <w:pStyle w:val="TableText1"/>
            </w:pPr>
            <w:r w:rsidRPr="001A0477">
              <w:t>0.</w:t>
            </w:r>
            <w:r>
              <w:t>27</w:t>
            </w:r>
          </w:p>
        </w:tc>
        <w:tc>
          <w:tcPr>
            <w:tcW w:w="1276" w:type="dxa"/>
          </w:tcPr>
          <w:p w:rsidR="002724DF" w:rsidRPr="001A0477" w:rsidRDefault="002724DF" w:rsidP="00852011">
            <w:pPr>
              <w:pStyle w:val="TableText1"/>
            </w:pPr>
            <w:r w:rsidRPr="001A0477">
              <w:t>0.</w:t>
            </w:r>
            <w:r>
              <w:t>35</w:t>
            </w:r>
          </w:p>
        </w:tc>
        <w:tc>
          <w:tcPr>
            <w:tcW w:w="1134" w:type="dxa"/>
          </w:tcPr>
          <w:p w:rsidR="002724DF" w:rsidRPr="001A0477" w:rsidRDefault="002724DF" w:rsidP="00852011">
            <w:pPr>
              <w:pStyle w:val="TableText1"/>
            </w:pPr>
            <w:r w:rsidRPr="001A0477">
              <w:t>-0.</w:t>
            </w:r>
            <w:r>
              <w:t>08</w:t>
            </w:r>
          </w:p>
        </w:tc>
        <w:tc>
          <w:tcPr>
            <w:tcW w:w="2693" w:type="dxa"/>
          </w:tcPr>
          <w:p w:rsidR="002724DF" w:rsidRPr="001A0477" w:rsidRDefault="002724DF" w:rsidP="00852011">
            <w:pPr>
              <w:pStyle w:val="TableText1"/>
            </w:pPr>
            <w:r w:rsidRPr="001A0477">
              <w:t>$</w:t>
            </w:r>
            <w:r>
              <w:t>44</w:t>
            </w:r>
            <w:r w:rsidRPr="001A0477">
              <w:t>,</w:t>
            </w:r>
            <w:r>
              <w:t>514</w:t>
            </w:r>
            <w:r w:rsidR="0063371D">
              <w:t>/</w:t>
            </w:r>
            <w:r>
              <w:t>breast cancer</w:t>
            </w:r>
            <w:r w:rsidRPr="001A0477">
              <w:t xml:space="preserve"> avoided</w:t>
            </w:r>
          </w:p>
        </w:tc>
      </w:tr>
      <w:tr w:rsidR="002724DF" w:rsidRPr="001A0477" w:rsidTr="002724DF">
        <w:tc>
          <w:tcPr>
            <w:tcW w:w="2802" w:type="dxa"/>
          </w:tcPr>
          <w:p w:rsidR="002724DF" w:rsidRPr="001A0477" w:rsidRDefault="002724DF" w:rsidP="00852011">
            <w:pPr>
              <w:pStyle w:val="TableText1"/>
            </w:pPr>
            <w:r>
              <w:t>Ovarian cancer</w:t>
            </w:r>
          </w:p>
        </w:tc>
        <w:tc>
          <w:tcPr>
            <w:tcW w:w="1417" w:type="dxa"/>
          </w:tcPr>
          <w:p w:rsidR="002724DF" w:rsidRPr="001A0477" w:rsidRDefault="002724DF" w:rsidP="00852011">
            <w:pPr>
              <w:pStyle w:val="TableText1"/>
            </w:pPr>
            <w:r w:rsidRPr="001A0477">
              <w:t>0.</w:t>
            </w:r>
            <w:r>
              <w:t>06</w:t>
            </w:r>
          </w:p>
        </w:tc>
        <w:tc>
          <w:tcPr>
            <w:tcW w:w="1276" w:type="dxa"/>
          </w:tcPr>
          <w:p w:rsidR="002724DF" w:rsidRPr="001A0477" w:rsidRDefault="002724DF" w:rsidP="00852011">
            <w:pPr>
              <w:pStyle w:val="TableText1"/>
            </w:pPr>
            <w:r>
              <w:t>0.08</w:t>
            </w:r>
          </w:p>
        </w:tc>
        <w:tc>
          <w:tcPr>
            <w:tcW w:w="1134" w:type="dxa"/>
          </w:tcPr>
          <w:p w:rsidR="002724DF" w:rsidRPr="001A0477" w:rsidRDefault="002724DF" w:rsidP="00852011">
            <w:pPr>
              <w:pStyle w:val="TableText1"/>
            </w:pPr>
            <w:r w:rsidRPr="001A0477">
              <w:t>-0.0</w:t>
            </w:r>
            <w:r>
              <w:t>2</w:t>
            </w:r>
          </w:p>
        </w:tc>
        <w:tc>
          <w:tcPr>
            <w:tcW w:w="2693" w:type="dxa"/>
          </w:tcPr>
          <w:p w:rsidR="002724DF" w:rsidRPr="001A0477" w:rsidRDefault="002724DF" w:rsidP="00852011">
            <w:pPr>
              <w:pStyle w:val="TableText1"/>
            </w:pPr>
            <w:r w:rsidRPr="001A0477">
              <w:t>$</w:t>
            </w:r>
            <w:r>
              <w:t>179</w:t>
            </w:r>
            <w:r w:rsidRPr="001A0477">
              <w:t>,</w:t>
            </w:r>
            <w:r>
              <w:t>262</w:t>
            </w:r>
            <w:r w:rsidRPr="001A0477">
              <w:t>/</w:t>
            </w:r>
            <w:r>
              <w:t>ovarian cancer</w:t>
            </w:r>
            <w:r w:rsidRPr="001A0477">
              <w:t xml:space="preserve"> avoided</w:t>
            </w:r>
          </w:p>
        </w:tc>
      </w:tr>
      <w:tr w:rsidR="002724DF" w:rsidRPr="001A0477" w:rsidTr="002724DF">
        <w:tc>
          <w:tcPr>
            <w:tcW w:w="2802" w:type="dxa"/>
          </w:tcPr>
          <w:p w:rsidR="002724DF" w:rsidRPr="001A0477" w:rsidRDefault="002724DF" w:rsidP="00852011">
            <w:pPr>
              <w:pStyle w:val="TableText1"/>
            </w:pPr>
            <w:r w:rsidRPr="00AF0E2F">
              <w:t>Breast cancer</w:t>
            </w:r>
            <w:r>
              <w:t>+ ovarian cancer</w:t>
            </w:r>
          </w:p>
        </w:tc>
        <w:tc>
          <w:tcPr>
            <w:tcW w:w="1417" w:type="dxa"/>
          </w:tcPr>
          <w:p w:rsidR="002724DF" w:rsidRPr="001A0477" w:rsidRDefault="002724DF" w:rsidP="00852011">
            <w:pPr>
              <w:pStyle w:val="TableText1"/>
            </w:pPr>
            <w:r w:rsidRPr="001A0477">
              <w:t>0.</w:t>
            </w:r>
            <w:r>
              <w:t>33</w:t>
            </w:r>
          </w:p>
        </w:tc>
        <w:tc>
          <w:tcPr>
            <w:tcW w:w="1276" w:type="dxa"/>
          </w:tcPr>
          <w:p w:rsidR="002724DF" w:rsidRPr="001A0477" w:rsidRDefault="002724DF" w:rsidP="00852011">
            <w:pPr>
              <w:pStyle w:val="TableText1"/>
            </w:pPr>
            <w:r w:rsidRPr="001A0477">
              <w:t>0.</w:t>
            </w:r>
            <w:r>
              <w:t>43</w:t>
            </w:r>
          </w:p>
        </w:tc>
        <w:tc>
          <w:tcPr>
            <w:tcW w:w="1134" w:type="dxa"/>
          </w:tcPr>
          <w:p w:rsidR="002724DF" w:rsidRPr="001A0477" w:rsidRDefault="002724DF" w:rsidP="00852011">
            <w:pPr>
              <w:pStyle w:val="TableText1"/>
            </w:pPr>
            <w:r w:rsidRPr="001A0477">
              <w:t>-0.</w:t>
            </w:r>
            <w:r>
              <w:t>10</w:t>
            </w:r>
          </w:p>
        </w:tc>
        <w:tc>
          <w:tcPr>
            <w:tcW w:w="2693" w:type="dxa"/>
          </w:tcPr>
          <w:p w:rsidR="002724DF" w:rsidRPr="001A0477" w:rsidRDefault="002724DF" w:rsidP="00852011">
            <w:pPr>
              <w:pStyle w:val="TableText1"/>
            </w:pPr>
            <w:r w:rsidRPr="001A0477">
              <w:t>$</w:t>
            </w:r>
            <w:r>
              <w:t>34</w:t>
            </w:r>
            <w:r w:rsidRPr="001A0477">
              <w:t>,</w:t>
            </w:r>
            <w:r>
              <w:t>500</w:t>
            </w:r>
            <w:r w:rsidRPr="001A0477">
              <w:t>/cancer avoided</w:t>
            </w:r>
          </w:p>
        </w:tc>
      </w:tr>
    </w:tbl>
    <w:p w:rsidR="002724DF" w:rsidRDefault="002724DF" w:rsidP="00852011">
      <w:pPr>
        <w:spacing w:after="0"/>
        <w:rPr>
          <w:rFonts w:ascii="Arial Narrow" w:hAnsi="Arial Narrow" w:cs="Arial"/>
          <w:color w:val="000000"/>
          <w:sz w:val="20"/>
        </w:rPr>
      </w:pPr>
      <w:r>
        <w:rPr>
          <w:rFonts w:ascii="Arial Narrow" w:hAnsi="Arial Narrow" w:cs="Arial"/>
          <w:color w:val="000000"/>
          <w:sz w:val="20"/>
        </w:rPr>
        <w:t>QALY = Quality-adjusted life-year</w:t>
      </w:r>
    </w:p>
    <w:p w:rsidR="0063371D" w:rsidRPr="009108FA" w:rsidRDefault="002724DF" w:rsidP="002724DF">
      <w:pPr>
        <w:rPr>
          <w:rFonts w:ascii="Arial Narrow" w:hAnsi="Arial Narrow" w:cs="Arial"/>
          <w:color w:val="000000"/>
          <w:sz w:val="20"/>
        </w:rPr>
      </w:pPr>
      <w:r>
        <w:rPr>
          <w:rFonts w:ascii="Arial Narrow" w:hAnsi="Arial Narrow" w:cs="Arial"/>
          <w:color w:val="000000"/>
          <w:sz w:val="20"/>
          <w:vertAlign w:val="superscript"/>
        </w:rPr>
        <w:t>a</w:t>
      </w:r>
      <w:r w:rsidRPr="00494BE4">
        <w:rPr>
          <w:rFonts w:ascii="Arial Narrow" w:hAnsi="Arial Narrow" w:cs="Arial"/>
          <w:color w:val="000000"/>
          <w:sz w:val="20"/>
        </w:rPr>
        <w:t>28% mastectomy alone, 52% BSO alone, 16% mastectomy plus BSO, and 4% surveillance</w:t>
      </w:r>
    </w:p>
    <w:p w:rsidR="0063371D" w:rsidRPr="004F50D3" w:rsidRDefault="002724DF" w:rsidP="002724DF">
      <w:pPr>
        <w:rPr>
          <w:szCs w:val="24"/>
        </w:rPr>
      </w:pPr>
      <w:r w:rsidRPr="004F50D3">
        <w:rPr>
          <w:szCs w:val="24"/>
        </w:rPr>
        <w:t>Genetic testing remain</w:t>
      </w:r>
      <w:r w:rsidR="0063371D">
        <w:rPr>
          <w:szCs w:val="24"/>
        </w:rPr>
        <w:t>ed</w:t>
      </w:r>
      <w:r w:rsidRPr="004F50D3">
        <w:rPr>
          <w:szCs w:val="24"/>
        </w:rPr>
        <w:t xml:space="preserve"> cost-effective </w:t>
      </w:r>
      <w:r>
        <w:rPr>
          <w:szCs w:val="24"/>
        </w:rPr>
        <w:t xml:space="preserve">compared with no testing </w:t>
      </w:r>
      <w:r w:rsidRPr="004F50D3">
        <w:rPr>
          <w:szCs w:val="24"/>
        </w:rPr>
        <w:t xml:space="preserve">when a different uptake of preventative strategies </w:t>
      </w:r>
      <w:r w:rsidR="0063371D">
        <w:rPr>
          <w:szCs w:val="24"/>
        </w:rPr>
        <w:t>wa</w:t>
      </w:r>
      <w:r w:rsidRPr="004F50D3">
        <w:rPr>
          <w:szCs w:val="24"/>
        </w:rPr>
        <w:t>s applied. The reduction in BSO procedures (with reduced uptake of mastectomy plus BSO) result</w:t>
      </w:r>
      <w:r w:rsidR="0063371D">
        <w:rPr>
          <w:szCs w:val="24"/>
        </w:rPr>
        <w:t>ed</w:t>
      </w:r>
      <w:r w:rsidRPr="004F50D3">
        <w:rPr>
          <w:szCs w:val="24"/>
        </w:rPr>
        <w:t xml:space="preserve"> in lower effect on ovarian cancer </w:t>
      </w:r>
      <w:r>
        <w:rPr>
          <w:szCs w:val="24"/>
        </w:rPr>
        <w:t xml:space="preserve">events </w:t>
      </w:r>
      <w:r w:rsidRPr="004F50D3">
        <w:rPr>
          <w:szCs w:val="24"/>
        </w:rPr>
        <w:t>avoided (0.02 versus 0.04 in the base-case)</w:t>
      </w:r>
      <w:r>
        <w:rPr>
          <w:szCs w:val="24"/>
        </w:rPr>
        <w:t>,</w:t>
      </w:r>
      <w:r w:rsidRPr="004F50D3">
        <w:rPr>
          <w:szCs w:val="24"/>
        </w:rPr>
        <w:t xml:space="preserve"> and</w:t>
      </w:r>
      <w:r>
        <w:rPr>
          <w:szCs w:val="24"/>
        </w:rPr>
        <w:t xml:space="preserve"> consequently</w:t>
      </w:r>
      <w:r w:rsidR="00FB7F6B">
        <w:rPr>
          <w:szCs w:val="24"/>
        </w:rPr>
        <w:t xml:space="preserve"> an increased ICER.</w:t>
      </w:r>
    </w:p>
    <w:p w:rsidR="002724DF" w:rsidRPr="004F50D3" w:rsidRDefault="0063371D" w:rsidP="002724DF">
      <w:pPr>
        <w:spacing w:after="120"/>
        <w:rPr>
          <w:szCs w:val="24"/>
          <w:u w:val="single"/>
        </w:rPr>
      </w:pPr>
      <w:r>
        <w:rPr>
          <w:szCs w:val="24"/>
          <w:u w:val="single"/>
        </w:rPr>
        <w:t>Markov traces</w:t>
      </w:r>
    </w:p>
    <w:p w:rsidR="002724DF" w:rsidRPr="004F50D3" w:rsidRDefault="0063371D" w:rsidP="002724DF">
      <w:pPr>
        <w:spacing w:after="120"/>
        <w:rPr>
          <w:b/>
          <w:i/>
          <w:szCs w:val="24"/>
        </w:rPr>
      </w:pPr>
      <w:r>
        <w:rPr>
          <w:b/>
          <w:i/>
          <w:szCs w:val="24"/>
        </w:rPr>
        <w:t>Survival</w:t>
      </w:r>
    </w:p>
    <w:p w:rsidR="0063371D" w:rsidRPr="004F50D3" w:rsidRDefault="002724DF" w:rsidP="002724DF">
      <w:pPr>
        <w:rPr>
          <w:szCs w:val="24"/>
        </w:rPr>
      </w:pPr>
      <w:r w:rsidRPr="004F50D3">
        <w:rPr>
          <w:szCs w:val="24"/>
        </w:rPr>
        <w:t xml:space="preserve">Figure </w:t>
      </w:r>
      <w:r w:rsidR="00DF35D4">
        <w:rPr>
          <w:szCs w:val="24"/>
        </w:rPr>
        <w:t>1</w:t>
      </w:r>
      <w:r w:rsidRPr="004F50D3">
        <w:rPr>
          <w:szCs w:val="24"/>
        </w:rPr>
        <w:t xml:space="preserve"> </w:t>
      </w:r>
      <w:r w:rsidR="0063371D">
        <w:rPr>
          <w:szCs w:val="24"/>
        </w:rPr>
        <w:t>presents</w:t>
      </w:r>
      <w:r w:rsidRPr="004F50D3">
        <w:rPr>
          <w:szCs w:val="24"/>
        </w:rPr>
        <w:t xml:space="preserve"> the survival curves for </w:t>
      </w:r>
      <w:proofErr w:type="spellStart"/>
      <w:r w:rsidRPr="004F50D3">
        <w:rPr>
          <w:szCs w:val="24"/>
        </w:rPr>
        <w:t>probands</w:t>
      </w:r>
      <w:proofErr w:type="spellEnd"/>
      <w:r w:rsidRPr="004F50D3">
        <w:rPr>
          <w:szCs w:val="24"/>
        </w:rPr>
        <w:t xml:space="preserve"> (</w:t>
      </w:r>
      <w:r w:rsidR="0063371D">
        <w:rPr>
          <w:szCs w:val="24"/>
        </w:rPr>
        <w:t>g</w:t>
      </w:r>
      <w:r w:rsidRPr="004F50D3">
        <w:rPr>
          <w:szCs w:val="24"/>
        </w:rPr>
        <w:t xml:space="preserve">enetic </w:t>
      </w:r>
      <w:r w:rsidR="0063371D">
        <w:rPr>
          <w:szCs w:val="24"/>
        </w:rPr>
        <w:t>t</w:t>
      </w:r>
      <w:r w:rsidRPr="004F50D3">
        <w:rPr>
          <w:szCs w:val="24"/>
        </w:rPr>
        <w:t xml:space="preserve">esting group) and affected individuals who are </w:t>
      </w:r>
      <w:r w:rsidRPr="00601D4B">
        <w:rPr>
          <w:i/>
          <w:szCs w:val="24"/>
        </w:rPr>
        <w:t>BRCA</w:t>
      </w:r>
      <w:r w:rsidRPr="004F50D3">
        <w:rPr>
          <w:szCs w:val="24"/>
        </w:rPr>
        <w:t xml:space="preserve"> </w:t>
      </w:r>
      <w:r>
        <w:rPr>
          <w:szCs w:val="24"/>
        </w:rPr>
        <w:t>carriers</w:t>
      </w:r>
      <w:r w:rsidRPr="004F50D3">
        <w:rPr>
          <w:szCs w:val="24"/>
        </w:rPr>
        <w:t xml:space="preserve"> (</w:t>
      </w:r>
      <w:r w:rsidR="0063371D">
        <w:rPr>
          <w:szCs w:val="24"/>
        </w:rPr>
        <w:t>n</w:t>
      </w:r>
      <w:r w:rsidRPr="004F50D3">
        <w:rPr>
          <w:szCs w:val="24"/>
        </w:rPr>
        <w:t xml:space="preserve">o </w:t>
      </w:r>
      <w:r w:rsidR="0063371D" w:rsidRPr="004F50D3">
        <w:rPr>
          <w:szCs w:val="24"/>
        </w:rPr>
        <w:t>t</w:t>
      </w:r>
      <w:r w:rsidRPr="004F50D3">
        <w:rPr>
          <w:szCs w:val="24"/>
        </w:rPr>
        <w:t>esting) compared with the general Australian female population.</w:t>
      </w:r>
    </w:p>
    <w:p w:rsidR="002724DF" w:rsidRPr="007D17DF" w:rsidRDefault="00DF35D4" w:rsidP="00852011">
      <w:pPr>
        <w:spacing w:after="0"/>
        <w:rPr>
          <w:rFonts w:ascii="Arial Narrow" w:hAnsi="Arial Narrow" w:cs="Arial"/>
          <w:b/>
          <w:color w:val="000000"/>
          <w:sz w:val="20"/>
        </w:rPr>
      </w:pPr>
      <w:r>
        <w:rPr>
          <w:rFonts w:ascii="Arial Narrow" w:hAnsi="Arial Narrow" w:cs="Arial"/>
          <w:b/>
          <w:color w:val="000000"/>
          <w:sz w:val="20"/>
        </w:rPr>
        <w:t>Figure 1</w:t>
      </w:r>
      <w:r w:rsidR="002724DF" w:rsidRPr="007D17DF">
        <w:rPr>
          <w:rFonts w:ascii="Arial Narrow" w:hAnsi="Arial Narrow" w:cs="Arial"/>
          <w:b/>
          <w:color w:val="000000"/>
          <w:sz w:val="20"/>
        </w:rPr>
        <w:t>: Survival curve</w:t>
      </w:r>
      <w:r w:rsidR="0063371D">
        <w:rPr>
          <w:rFonts w:ascii="Arial Narrow" w:hAnsi="Arial Narrow" w:cs="Arial"/>
          <w:b/>
          <w:color w:val="000000"/>
          <w:sz w:val="20"/>
        </w:rPr>
        <w:t>s</w:t>
      </w:r>
      <w:r w:rsidR="002724DF" w:rsidRPr="007D17DF">
        <w:rPr>
          <w:rFonts w:ascii="Arial Narrow" w:hAnsi="Arial Narrow" w:cs="Arial"/>
          <w:b/>
          <w:color w:val="000000"/>
          <w:sz w:val="20"/>
        </w:rPr>
        <w:t xml:space="preserve"> for </w:t>
      </w:r>
      <w:proofErr w:type="spellStart"/>
      <w:r w:rsidR="002724DF" w:rsidRPr="007D17DF">
        <w:rPr>
          <w:rFonts w:ascii="Arial Narrow" w:hAnsi="Arial Narrow" w:cs="Arial"/>
          <w:b/>
          <w:color w:val="000000"/>
          <w:sz w:val="20"/>
        </w:rPr>
        <w:t>probands</w:t>
      </w:r>
      <w:proofErr w:type="spellEnd"/>
      <w:r w:rsidR="002724DF" w:rsidRPr="007D17DF">
        <w:rPr>
          <w:rFonts w:ascii="Arial Narrow" w:hAnsi="Arial Narrow" w:cs="Arial"/>
          <w:b/>
          <w:color w:val="000000"/>
          <w:sz w:val="20"/>
        </w:rPr>
        <w:t xml:space="preserve"> with and without genetic testing</w:t>
      </w:r>
    </w:p>
    <w:p w:rsidR="00B44E0A" w:rsidRPr="009108FA" w:rsidRDefault="002724DF" w:rsidP="002724DF">
      <w:pPr>
        <w:rPr>
          <w:rFonts w:ascii="Arial Narrow" w:hAnsi="Arial Narrow" w:cs="Arial"/>
          <w:color w:val="000000"/>
          <w:sz w:val="20"/>
        </w:rPr>
      </w:pPr>
      <w:r>
        <w:rPr>
          <w:rFonts w:ascii="Arial Narrow" w:hAnsi="Arial Narrow" w:cs="Arial"/>
          <w:noProof/>
          <w:color w:val="000000"/>
          <w:sz w:val="20"/>
        </w:rPr>
        <w:drawing>
          <wp:inline distT="0" distB="0" distL="0" distR="0" wp14:anchorId="755B6F1F" wp14:editId="4FC2EE7F">
            <wp:extent cx="5583504" cy="2095837"/>
            <wp:effectExtent l="0" t="0" r="0" b="0"/>
            <wp:docPr id="5" name="Picture 5" descr="Figure 1: Survival curves for probands with and without genetic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05143" cy="2103959"/>
                    </a:xfrm>
                    <a:prstGeom prst="rect">
                      <a:avLst/>
                    </a:prstGeom>
                    <a:noFill/>
                  </pic:spPr>
                </pic:pic>
              </a:graphicData>
            </a:graphic>
          </wp:inline>
        </w:drawing>
      </w:r>
    </w:p>
    <w:p w:rsidR="00B44E0A" w:rsidRDefault="00B44E0A">
      <w:pPr>
        <w:rPr>
          <w:szCs w:val="24"/>
        </w:rPr>
      </w:pPr>
      <w:r>
        <w:rPr>
          <w:szCs w:val="24"/>
        </w:rPr>
        <w:br w:type="page"/>
      </w:r>
    </w:p>
    <w:p w:rsidR="00601D4B" w:rsidRPr="004F50D3" w:rsidRDefault="002724DF" w:rsidP="00430306">
      <w:pPr>
        <w:spacing w:after="120"/>
        <w:rPr>
          <w:szCs w:val="24"/>
        </w:rPr>
      </w:pPr>
      <w:r w:rsidRPr="004F50D3">
        <w:rPr>
          <w:szCs w:val="24"/>
        </w:rPr>
        <w:lastRenderedPageBreak/>
        <w:t xml:space="preserve">Figure </w:t>
      </w:r>
      <w:r w:rsidR="00DF35D4">
        <w:rPr>
          <w:szCs w:val="24"/>
        </w:rPr>
        <w:t>2</w:t>
      </w:r>
      <w:r w:rsidRPr="004F50D3">
        <w:rPr>
          <w:szCs w:val="24"/>
        </w:rPr>
        <w:t xml:space="preserve"> presents the survival curves for </w:t>
      </w:r>
      <w:proofErr w:type="spellStart"/>
      <w:r w:rsidRPr="004F50D3">
        <w:rPr>
          <w:szCs w:val="24"/>
        </w:rPr>
        <w:t>proband’s</w:t>
      </w:r>
      <w:proofErr w:type="spellEnd"/>
      <w:r w:rsidRPr="004F50D3">
        <w:rPr>
          <w:szCs w:val="24"/>
        </w:rPr>
        <w:t xml:space="preserve"> female siblings with </w:t>
      </w:r>
      <w:r w:rsidR="0063371D">
        <w:rPr>
          <w:szCs w:val="24"/>
        </w:rPr>
        <w:t>and</w:t>
      </w:r>
      <w:r w:rsidRPr="004F50D3">
        <w:rPr>
          <w:szCs w:val="24"/>
        </w:rPr>
        <w:t xml:space="preserve"> without genetic testing compared with the general population</w:t>
      </w:r>
      <w:r w:rsidR="00601D4B">
        <w:rPr>
          <w:szCs w:val="24"/>
        </w:rPr>
        <w:t>.</w:t>
      </w:r>
    </w:p>
    <w:p w:rsidR="002724DF" w:rsidRPr="007D17DF" w:rsidRDefault="002724DF" w:rsidP="00852011">
      <w:pPr>
        <w:spacing w:after="0"/>
        <w:rPr>
          <w:rFonts w:ascii="Arial Narrow" w:hAnsi="Arial Narrow" w:cs="Arial"/>
          <w:b/>
          <w:color w:val="000000"/>
          <w:sz w:val="20"/>
        </w:rPr>
      </w:pPr>
      <w:r w:rsidRPr="007D17DF">
        <w:rPr>
          <w:rFonts w:ascii="Arial Narrow" w:hAnsi="Arial Narrow" w:cs="Arial"/>
          <w:b/>
          <w:color w:val="000000"/>
          <w:sz w:val="20"/>
        </w:rPr>
        <w:t xml:space="preserve">Figure </w:t>
      </w:r>
      <w:r w:rsidR="00DF35D4">
        <w:rPr>
          <w:rFonts w:ascii="Arial Narrow" w:hAnsi="Arial Narrow" w:cs="Arial"/>
          <w:b/>
          <w:color w:val="000000"/>
          <w:sz w:val="20"/>
        </w:rPr>
        <w:t>2</w:t>
      </w:r>
      <w:r w:rsidRPr="007D17DF">
        <w:rPr>
          <w:rFonts w:ascii="Arial Narrow" w:hAnsi="Arial Narrow" w:cs="Arial"/>
          <w:b/>
          <w:color w:val="000000"/>
          <w:sz w:val="20"/>
        </w:rPr>
        <w:t xml:space="preserve">: Survival curves for </w:t>
      </w:r>
      <w:proofErr w:type="spellStart"/>
      <w:r w:rsidRPr="007D17DF">
        <w:rPr>
          <w:rFonts w:ascii="Arial Narrow" w:hAnsi="Arial Narrow" w:cs="Arial"/>
          <w:b/>
          <w:color w:val="000000"/>
          <w:sz w:val="20"/>
        </w:rPr>
        <w:t>proband’s</w:t>
      </w:r>
      <w:proofErr w:type="spellEnd"/>
      <w:r w:rsidRPr="007D17DF">
        <w:rPr>
          <w:rFonts w:ascii="Arial Narrow" w:hAnsi="Arial Narrow" w:cs="Arial"/>
          <w:b/>
          <w:color w:val="000000"/>
          <w:sz w:val="20"/>
        </w:rPr>
        <w:t xml:space="preserve"> female siblings with </w:t>
      </w:r>
      <w:r w:rsidR="0063371D">
        <w:rPr>
          <w:rFonts w:ascii="Arial Narrow" w:hAnsi="Arial Narrow" w:cs="Arial"/>
          <w:b/>
          <w:color w:val="000000"/>
          <w:sz w:val="20"/>
        </w:rPr>
        <w:t>and</w:t>
      </w:r>
      <w:r w:rsidRPr="007D17DF">
        <w:rPr>
          <w:rFonts w:ascii="Arial Narrow" w:hAnsi="Arial Narrow" w:cs="Arial"/>
          <w:b/>
          <w:color w:val="000000"/>
          <w:sz w:val="20"/>
        </w:rPr>
        <w:t xml:space="preserve"> without genetic testing</w:t>
      </w:r>
    </w:p>
    <w:p w:rsidR="00DF35D4" w:rsidRPr="009108FA" w:rsidRDefault="002724DF">
      <w:pPr>
        <w:rPr>
          <w:rFonts w:ascii="Arial Narrow" w:hAnsi="Arial Narrow" w:cs="Arial"/>
          <w:color w:val="000000"/>
          <w:sz w:val="20"/>
        </w:rPr>
      </w:pPr>
      <w:r>
        <w:rPr>
          <w:rFonts w:ascii="Arial Narrow" w:hAnsi="Arial Narrow" w:cs="Arial"/>
          <w:noProof/>
          <w:color w:val="000000"/>
          <w:sz w:val="20"/>
        </w:rPr>
        <w:drawing>
          <wp:inline distT="0" distB="0" distL="0" distR="0" wp14:anchorId="0444701B" wp14:editId="508D79D9">
            <wp:extent cx="6028563" cy="2896948"/>
            <wp:effectExtent l="0" t="0" r="0" b="0"/>
            <wp:docPr id="3" name="Picture 3" descr="Figure 2: Survival curves for proband's female sibblings with and without genetic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39232" cy="2902075"/>
                    </a:xfrm>
                    <a:prstGeom prst="rect">
                      <a:avLst/>
                    </a:prstGeom>
                    <a:noFill/>
                  </pic:spPr>
                </pic:pic>
              </a:graphicData>
            </a:graphic>
          </wp:inline>
        </w:drawing>
      </w:r>
    </w:p>
    <w:p w:rsidR="00601D4B" w:rsidRPr="00B3506B" w:rsidRDefault="00DF35D4" w:rsidP="00430306">
      <w:pPr>
        <w:spacing w:after="120"/>
        <w:rPr>
          <w:szCs w:val="24"/>
        </w:rPr>
      </w:pPr>
      <w:r>
        <w:rPr>
          <w:szCs w:val="24"/>
        </w:rPr>
        <w:t>Figure 3</w:t>
      </w:r>
      <w:r w:rsidR="002724DF" w:rsidRPr="00B3506B">
        <w:rPr>
          <w:szCs w:val="24"/>
        </w:rPr>
        <w:t xml:space="preserve"> presents the survival curves for </w:t>
      </w:r>
      <w:proofErr w:type="spellStart"/>
      <w:r w:rsidR="002724DF" w:rsidRPr="00B3506B">
        <w:rPr>
          <w:szCs w:val="24"/>
        </w:rPr>
        <w:t>proband’s</w:t>
      </w:r>
      <w:proofErr w:type="spellEnd"/>
      <w:r w:rsidR="002724DF" w:rsidRPr="00B3506B">
        <w:rPr>
          <w:szCs w:val="24"/>
        </w:rPr>
        <w:t xml:space="preserve"> female children with </w:t>
      </w:r>
      <w:r w:rsidR="0063371D">
        <w:rPr>
          <w:szCs w:val="24"/>
        </w:rPr>
        <w:t>and</w:t>
      </w:r>
      <w:r w:rsidR="002724DF" w:rsidRPr="00B3506B">
        <w:rPr>
          <w:szCs w:val="24"/>
        </w:rPr>
        <w:t xml:space="preserve"> without genetic testing compared with the general population</w:t>
      </w:r>
      <w:r w:rsidR="00601D4B">
        <w:rPr>
          <w:szCs w:val="24"/>
        </w:rPr>
        <w:t>.</w:t>
      </w:r>
    </w:p>
    <w:p w:rsidR="002724DF" w:rsidRDefault="00DF35D4" w:rsidP="00852011">
      <w:pPr>
        <w:keepNext/>
        <w:keepLines/>
        <w:spacing w:after="0"/>
        <w:rPr>
          <w:rFonts w:ascii="Arial Narrow" w:hAnsi="Arial Narrow" w:cs="Arial"/>
          <w:noProof/>
          <w:color w:val="000000"/>
          <w:sz w:val="20"/>
          <w:lang w:eastAsia="en-GB"/>
        </w:rPr>
      </w:pPr>
      <w:r>
        <w:rPr>
          <w:rFonts w:ascii="Arial Narrow" w:hAnsi="Arial Narrow" w:cs="Arial"/>
          <w:b/>
          <w:color w:val="000000"/>
          <w:sz w:val="20"/>
        </w:rPr>
        <w:t>Figure 3</w:t>
      </w:r>
      <w:r w:rsidR="002724DF">
        <w:rPr>
          <w:rFonts w:ascii="Arial Narrow" w:hAnsi="Arial Narrow" w:cs="Arial"/>
          <w:b/>
          <w:color w:val="000000"/>
          <w:sz w:val="20"/>
        </w:rPr>
        <w:t>: S</w:t>
      </w:r>
      <w:r w:rsidR="002724DF" w:rsidRPr="00583636">
        <w:rPr>
          <w:rFonts w:ascii="Arial Narrow" w:hAnsi="Arial Narrow" w:cs="Arial"/>
          <w:b/>
          <w:color w:val="000000"/>
          <w:sz w:val="20"/>
        </w:rPr>
        <w:t xml:space="preserve">urvival curves for </w:t>
      </w:r>
      <w:proofErr w:type="spellStart"/>
      <w:r w:rsidR="002724DF" w:rsidRPr="00583636">
        <w:rPr>
          <w:rFonts w:ascii="Arial Narrow" w:hAnsi="Arial Narrow" w:cs="Arial"/>
          <w:b/>
          <w:color w:val="000000"/>
          <w:sz w:val="20"/>
        </w:rPr>
        <w:t>proband’s</w:t>
      </w:r>
      <w:proofErr w:type="spellEnd"/>
      <w:r w:rsidR="002724DF" w:rsidRPr="00583636">
        <w:rPr>
          <w:rFonts w:ascii="Arial Narrow" w:hAnsi="Arial Narrow" w:cs="Arial"/>
          <w:b/>
          <w:color w:val="000000"/>
          <w:sz w:val="20"/>
        </w:rPr>
        <w:t xml:space="preserve"> female children with </w:t>
      </w:r>
      <w:r w:rsidR="0063371D">
        <w:rPr>
          <w:rFonts w:ascii="Arial Narrow" w:hAnsi="Arial Narrow" w:cs="Arial"/>
          <w:b/>
          <w:color w:val="000000"/>
          <w:sz w:val="20"/>
        </w:rPr>
        <w:t>and</w:t>
      </w:r>
      <w:r w:rsidR="002724DF" w:rsidRPr="00583636">
        <w:rPr>
          <w:rFonts w:ascii="Arial Narrow" w:hAnsi="Arial Narrow" w:cs="Arial"/>
          <w:b/>
          <w:color w:val="000000"/>
          <w:sz w:val="20"/>
        </w:rPr>
        <w:t xml:space="preserve"> without genetic testing</w:t>
      </w:r>
    </w:p>
    <w:p w:rsidR="00601D4B" w:rsidRPr="009108FA" w:rsidRDefault="002724DF" w:rsidP="002724DF">
      <w:pPr>
        <w:rPr>
          <w:rFonts w:ascii="Arial Narrow" w:hAnsi="Arial Narrow" w:cs="Arial"/>
          <w:noProof/>
          <w:color w:val="000000"/>
          <w:sz w:val="20"/>
          <w:lang w:eastAsia="en-GB"/>
        </w:rPr>
      </w:pPr>
      <w:r>
        <w:rPr>
          <w:rFonts w:ascii="Arial Narrow" w:hAnsi="Arial Narrow" w:cs="Arial"/>
          <w:noProof/>
          <w:color w:val="000000"/>
          <w:sz w:val="20"/>
        </w:rPr>
        <w:drawing>
          <wp:inline distT="0" distB="0" distL="0" distR="0" wp14:anchorId="5E8862F4" wp14:editId="314924C6">
            <wp:extent cx="6181034" cy="3034513"/>
            <wp:effectExtent l="0" t="0" r="0" b="0"/>
            <wp:docPr id="4" name="Picture 4" descr="Figure 3: Survival curves for proband's female children with and without genetic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75444" cy="3080863"/>
                    </a:xfrm>
                    <a:prstGeom prst="rect">
                      <a:avLst/>
                    </a:prstGeom>
                    <a:noFill/>
                  </pic:spPr>
                </pic:pic>
              </a:graphicData>
            </a:graphic>
          </wp:inline>
        </w:drawing>
      </w:r>
    </w:p>
    <w:p w:rsidR="002724DF" w:rsidRPr="004F50D3" w:rsidRDefault="002724DF" w:rsidP="00430306">
      <w:pPr>
        <w:spacing w:after="160"/>
        <w:rPr>
          <w:szCs w:val="24"/>
        </w:rPr>
      </w:pPr>
      <w:proofErr w:type="spellStart"/>
      <w:r w:rsidRPr="004F50D3">
        <w:rPr>
          <w:szCs w:val="24"/>
        </w:rPr>
        <w:t>Probands</w:t>
      </w:r>
      <w:proofErr w:type="spellEnd"/>
      <w:r w:rsidRPr="004F50D3">
        <w:rPr>
          <w:szCs w:val="24"/>
        </w:rPr>
        <w:t xml:space="preserve"> and their family members ha</w:t>
      </w:r>
      <w:r w:rsidR="0063371D">
        <w:rPr>
          <w:szCs w:val="24"/>
        </w:rPr>
        <w:t>d</w:t>
      </w:r>
      <w:r w:rsidRPr="004F50D3">
        <w:rPr>
          <w:szCs w:val="24"/>
        </w:rPr>
        <w:t xml:space="preserve"> reduced survival compared to the general Australian population; however, </w:t>
      </w:r>
      <w:proofErr w:type="spellStart"/>
      <w:r w:rsidRPr="004F50D3">
        <w:rPr>
          <w:szCs w:val="24"/>
        </w:rPr>
        <w:t>probands</w:t>
      </w:r>
      <w:proofErr w:type="spellEnd"/>
      <w:r w:rsidRPr="004F50D3">
        <w:rPr>
          <w:szCs w:val="24"/>
        </w:rPr>
        <w:t xml:space="preserve"> and their family members who undertake genetic testing ha</w:t>
      </w:r>
      <w:r w:rsidR="0063371D">
        <w:rPr>
          <w:szCs w:val="24"/>
        </w:rPr>
        <w:t>d</w:t>
      </w:r>
      <w:r w:rsidRPr="004F50D3">
        <w:rPr>
          <w:szCs w:val="24"/>
        </w:rPr>
        <w:t xml:space="preserve"> improved survival compared </w:t>
      </w:r>
      <w:r>
        <w:rPr>
          <w:szCs w:val="24"/>
        </w:rPr>
        <w:t>with</w:t>
      </w:r>
      <w:r w:rsidR="00DF35D4">
        <w:rPr>
          <w:szCs w:val="24"/>
        </w:rPr>
        <w:t xml:space="preserve"> no testing.</w:t>
      </w:r>
    </w:p>
    <w:p w:rsidR="002724DF" w:rsidRPr="004F50D3" w:rsidRDefault="002724DF" w:rsidP="002724DF">
      <w:pPr>
        <w:spacing w:after="120"/>
        <w:rPr>
          <w:b/>
          <w:i/>
          <w:szCs w:val="24"/>
        </w:rPr>
      </w:pPr>
      <w:r w:rsidRPr="004F50D3">
        <w:rPr>
          <w:b/>
          <w:i/>
          <w:szCs w:val="24"/>
        </w:rPr>
        <w:lastRenderedPageBreak/>
        <w:t>Breast cancer</w:t>
      </w:r>
    </w:p>
    <w:p w:rsidR="00601D4B" w:rsidRPr="004F50D3" w:rsidRDefault="002724DF" w:rsidP="002724DF">
      <w:pPr>
        <w:rPr>
          <w:szCs w:val="24"/>
        </w:rPr>
      </w:pPr>
      <w:r w:rsidRPr="004F50D3">
        <w:rPr>
          <w:szCs w:val="24"/>
        </w:rPr>
        <w:t xml:space="preserve">Figure </w:t>
      </w:r>
      <w:r w:rsidR="00DF35D4">
        <w:rPr>
          <w:szCs w:val="24"/>
        </w:rPr>
        <w:t>4</w:t>
      </w:r>
      <w:r w:rsidRPr="004F50D3">
        <w:rPr>
          <w:szCs w:val="24"/>
        </w:rPr>
        <w:t xml:space="preserve"> </w:t>
      </w:r>
      <w:r w:rsidR="0063371D">
        <w:rPr>
          <w:szCs w:val="24"/>
        </w:rPr>
        <w:t>presents</w:t>
      </w:r>
      <w:r w:rsidRPr="004F50D3">
        <w:rPr>
          <w:szCs w:val="24"/>
        </w:rPr>
        <w:t xml:space="preserve"> the cumulative breast cancer risk in </w:t>
      </w:r>
      <w:proofErr w:type="spellStart"/>
      <w:r w:rsidRPr="004F50D3">
        <w:rPr>
          <w:szCs w:val="24"/>
        </w:rPr>
        <w:t>probands</w:t>
      </w:r>
      <w:proofErr w:type="spellEnd"/>
      <w:r w:rsidRPr="004F50D3">
        <w:rPr>
          <w:szCs w:val="24"/>
        </w:rPr>
        <w:t xml:space="preserve"> with and without genetic testing compared with the cumulative breast cancer risk in the general Australian female population.</w:t>
      </w:r>
    </w:p>
    <w:p w:rsidR="002724DF" w:rsidRDefault="002724DF" w:rsidP="00852011">
      <w:pPr>
        <w:spacing w:after="0"/>
        <w:rPr>
          <w:rFonts w:ascii="Arial Narrow" w:hAnsi="Arial Narrow" w:cs="Arial"/>
          <w:b/>
          <w:color w:val="000000"/>
          <w:sz w:val="20"/>
        </w:rPr>
      </w:pPr>
      <w:r w:rsidRPr="007E42BA">
        <w:rPr>
          <w:rFonts w:ascii="Arial Narrow" w:hAnsi="Arial Narrow" w:cs="Arial"/>
          <w:b/>
          <w:color w:val="000000"/>
          <w:sz w:val="20"/>
        </w:rPr>
        <w:t xml:space="preserve">Figure </w:t>
      </w:r>
      <w:r w:rsidR="00DF35D4">
        <w:rPr>
          <w:rFonts w:ascii="Arial Narrow" w:hAnsi="Arial Narrow" w:cs="Arial"/>
          <w:b/>
          <w:color w:val="000000"/>
          <w:sz w:val="20"/>
        </w:rPr>
        <w:t>4</w:t>
      </w:r>
      <w:r>
        <w:rPr>
          <w:rFonts w:ascii="Arial Narrow" w:hAnsi="Arial Narrow" w:cs="Arial"/>
          <w:b/>
          <w:color w:val="000000"/>
          <w:sz w:val="20"/>
        </w:rPr>
        <w:t>:</w:t>
      </w:r>
      <w:r w:rsidRPr="007E42BA">
        <w:rPr>
          <w:rFonts w:ascii="Arial Narrow" w:hAnsi="Arial Narrow" w:cs="Arial"/>
          <w:b/>
          <w:color w:val="000000"/>
          <w:sz w:val="20"/>
        </w:rPr>
        <w:t xml:space="preserve"> </w:t>
      </w:r>
      <w:r>
        <w:rPr>
          <w:rFonts w:ascii="Arial Narrow" w:hAnsi="Arial Narrow" w:cs="Arial"/>
          <w:b/>
          <w:color w:val="000000"/>
          <w:sz w:val="20"/>
        </w:rPr>
        <w:t>C</w:t>
      </w:r>
      <w:r w:rsidRPr="007E42BA">
        <w:rPr>
          <w:rFonts w:ascii="Arial Narrow" w:hAnsi="Arial Narrow" w:cs="Arial"/>
          <w:b/>
          <w:color w:val="000000"/>
          <w:sz w:val="20"/>
        </w:rPr>
        <w:t xml:space="preserve">umulative breast cancer risk in </w:t>
      </w:r>
      <w:proofErr w:type="spellStart"/>
      <w:r w:rsidRPr="007E42BA">
        <w:rPr>
          <w:rFonts w:ascii="Arial Narrow" w:hAnsi="Arial Narrow" w:cs="Arial"/>
          <w:b/>
          <w:color w:val="000000"/>
          <w:sz w:val="20"/>
        </w:rPr>
        <w:t>probands</w:t>
      </w:r>
      <w:proofErr w:type="spellEnd"/>
      <w:r w:rsidRPr="007E42BA">
        <w:rPr>
          <w:rFonts w:ascii="Arial Narrow" w:hAnsi="Arial Narrow" w:cs="Arial"/>
          <w:b/>
          <w:color w:val="000000"/>
          <w:sz w:val="20"/>
        </w:rPr>
        <w:t xml:space="preserve"> with and without genetic testing</w:t>
      </w:r>
    </w:p>
    <w:p w:rsidR="00DF35D4" w:rsidRPr="009108FA" w:rsidRDefault="002724DF" w:rsidP="002724DF">
      <w:pPr>
        <w:rPr>
          <w:rFonts w:ascii="Arial Narrow" w:hAnsi="Arial Narrow" w:cs="Arial"/>
          <w:b/>
          <w:color w:val="000000"/>
          <w:sz w:val="20"/>
        </w:rPr>
      </w:pPr>
      <w:r>
        <w:rPr>
          <w:rFonts w:ascii="Arial Narrow" w:hAnsi="Arial Narrow" w:cs="Arial"/>
          <w:b/>
          <w:noProof/>
          <w:color w:val="000000"/>
          <w:sz w:val="20"/>
        </w:rPr>
        <w:drawing>
          <wp:inline distT="0" distB="0" distL="0" distR="0" wp14:anchorId="5E149C9D" wp14:editId="57C92753">
            <wp:extent cx="5768520" cy="2783660"/>
            <wp:effectExtent l="0" t="0" r="3810" b="0"/>
            <wp:docPr id="6" name="Picture 6" descr="Figure 4: Cumulative breast cancer risk in probands with and without genetic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9058" cy="2783920"/>
                    </a:xfrm>
                    <a:prstGeom prst="rect">
                      <a:avLst/>
                    </a:prstGeom>
                    <a:noFill/>
                  </pic:spPr>
                </pic:pic>
              </a:graphicData>
            </a:graphic>
          </wp:inline>
        </w:drawing>
      </w:r>
    </w:p>
    <w:p w:rsidR="002724DF" w:rsidRPr="009108FA" w:rsidRDefault="002724DF" w:rsidP="002724DF">
      <w:pPr>
        <w:rPr>
          <w:szCs w:val="24"/>
        </w:rPr>
      </w:pPr>
      <w:r w:rsidRPr="004F50D3">
        <w:rPr>
          <w:szCs w:val="24"/>
        </w:rPr>
        <w:t xml:space="preserve">The 15-year cumulative breast cancer </w:t>
      </w:r>
      <w:r>
        <w:rPr>
          <w:szCs w:val="24"/>
        </w:rPr>
        <w:t>risk (Age 55</w:t>
      </w:r>
      <w:r w:rsidRPr="004F50D3">
        <w:rPr>
          <w:szCs w:val="24"/>
        </w:rPr>
        <w:t xml:space="preserve">) in </w:t>
      </w:r>
      <w:proofErr w:type="spellStart"/>
      <w:r>
        <w:rPr>
          <w:szCs w:val="24"/>
        </w:rPr>
        <w:t>probands</w:t>
      </w:r>
      <w:proofErr w:type="spellEnd"/>
      <w:r w:rsidRPr="004F50D3">
        <w:rPr>
          <w:szCs w:val="24"/>
        </w:rPr>
        <w:t xml:space="preserve"> range</w:t>
      </w:r>
      <w:r w:rsidR="00601D4B">
        <w:rPr>
          <w:szCs w:val="24"/>
        </w:rPr>
        <w:t>d</w:t>
      </w:r>
      <w:r w:rsidRPr="004F50D3">
        <w:rPr>
          <w:szCs w:val="24"/>
        </w:rPr>
        <w:t xml:space="preserve"> from 20% to 40%.</w:t>
      </w:r>
    </w:p>
    <w:p w:rsidR="002724DF" w:rsidRPr="009108FA" w:rsidRDefault="002724DF" w:rsidP="002724DF">
      <w:pPr>
        <w:rPr>
          <w:szCs w:val="24"/>
        </w:rPr>
      </w:pPr>
      <w:r w:rsidRPr="004F50D3">
        <w:rPr>
          <w:szCs w:val="24"/>
        </w:rPr>
        <w:t xml:space="preserve">Figure </w:t>
      </w:r>
      <w:r w:rsidR="00DF35D4">
        <w:rPr>
          <w:szCs w:val="24"/>
        </w:rPr>
        <w:t>5</w:t>
      </w:r>
      <w:r w:rsidRPr="004F50D3">
        <w:rPr>
          <w:szCs w:val="24"/>
        </w:rPr>
        <w:t xml:space="preserve"> </w:t>
      </w:r>
      <w:r w:rsidR="00601D4B">
        <w:rPr>
          <w:szCs w:val="24"/>
        </w:rPr>
        <w:t>presents</w:t>
      </w:r>
      <w:r w:rsidRPr="004F50D3">
        <w:rPr>
          <w:szCs w:val="24"/>
        </w:rPr>
        <w:t xml:space="preserve"> the cumulative breast cancer risk in </w:t>
      </w:r>
      <w:proofErr w:type="spellStart"/>
      <w:r w:rsidRPr="004F50D3">
        <w:rPr>
          <w:szCs w:val="24"/>
        </w:rPr>
        <w:t>proband’s</w:t>
      </w:r>
      <w:proofErr w:type="spellEnd"/>
      <w:r w:rsidRPr="004F50D3">
        <w:rPr>
          <w:szCs w:val="24"/>
        </w:rPr>
        <w:t xml:space="preserve"> </w:t>
      </w:r>
      <w:r>
        <w:rPr>
          <w:szCs w:val="24"/>
        </w:rPr>
        <w:t xml:space="preserve">female </w:t>
      </w:r>
      <w:r w:rsidRPr="004F50D3">
        <w:rPr>
          <w:szCs w:val="24"/>
        </w:rPr>
        <w:t>children (</w:t>
      </w:r>
      <w:r>
        <w:rPr>
          <w:szCs w:val="24"/>
        </w:rPr>
        <w:t>and female siblings</w:t>
      </w:r>
      <w:r w:rsidRPr="004F50D3">
        <w:rPr>
          <w:szCs w:val="24"/>
        </w:rPr>
        <w:t>) who carry</w:t>
      </w:r>
      <w:r w:rsidR="00D75CD6">
        <w:rPr>
          <w:szCs w:val="24"/>
        </w:rPr>
        <w:t xml:space="preserve"> a</w:t>
      </w:r>
      <w:r w:rsidRPr="004F50D3">
        <w:rPr>
          <w:szCs w:val="24"/>
        </w:rPr>
        <w:t xml:space="preserve"> </w:t>
      </w:r>
      <w:r w:rsidRPr="00E47311">
        <w:rPr>
          <w:i/>
          <w:szCs w:val="24"/>
        </w:rPr>
        <w:t>BRCA</w:t>
      </w:r>
      <w:r w:rsidRPr="004F50D3">
        <w:rPr>
          <w:szCs w:val="24"/>
        </w:rPr>
        <w:t xml:space="preserve"> mutation with and without genetic testing compared with the cumulative breast cancer risk in the general Australian female population.</w:t>
      </w:r>
    </w:p>
    <w:p w:rsidR="002724DF" w:rsidRDefault="002724DF" w:rsidP="00430306">
      <w:pPr>
        <w:spacing w:after="0"/>
        <w:rPr>
          <w:rFonts w:ascii="Arial Narrow" w:hAnsi="Arial Narrow" w:cs="Arial"/>
          <w:b/>
          <w:color w:val="000000"/>
          <w:sz w:val="20"/>
        </w:rPr>
      </w:pPr>
      <w:r w:rsidRPr="007E42BA">
        <w:rPr>
          <w:rFonts w:ascii="Arial Narrow" w:hAnsi="Arial Narrow" w:cs="Arial"/>
          <w:b/>
          <w:color w:val="000000"/>
          <w:sz w:val="20"/>
        </w:rPr>
        <w:t xml:space="preserve">Figure </w:t>
      </w:r>
      <w:r w:rsidR="00DF35D4">
        <w:rPr>
          <w:rFonts w:ascii="Arial Narrow" w:hAnsi="Arial Narrow" w:cs="Arial"/>
          <w:b/>
          <w:color w:val="000000"/>
          <w:sz w:val="20"/>
        </w:rPr>
        <w:t>5</w:t>
      </w:r>
      <w:r>
        <w:rPr>
          <w:rFonts w:ascii="Arial Narrow" w:hAnsi="Arial Narrow" w:cs="Arial"/>
          <w:b/>
          <w:color w:val="000000"/>
          <w:sz w:val="20"/>
        </w:rPr>
        <w:t>:</w:t>
      </w:r>
      <w:r w:rsidRPr="007E42BA">
        <w:rPr>
          <w:rFonts w:ascii="Arial Narrow" w:hAnsi="Arial Narrow" w:cs="Arial"/>
          <w:b/>
          <w:color w:val="000000"/>
          <w:sz w:val="20"/>
        </w:rPr>
        <w:t xml:space="preserve"> </w:t>
      </w:r>
      <w:r>
        <w:rPr>
          <w:rFonts w:ascii="Arial Narrow" w:hAnsi="Arial Narrow" w:cs="Arial"/>
          <w:b/>
          <w:color w:val="000000"/>
          <w:sz w:val="20"/>
        </w:rPr>
        <w:t>C</w:t>
      </w:r>
      <w:r w:rsidRPr="007E42BA">
        <w:rPr>
          <w:rFonts w:ascii="Arial Narrow" w:hAnsi="Arial Narrow" w:cs="Arial"/>
          <w:b/>
          <w:color w:val="000000"/>
          <w:sz w:val="20"/>
        </w:rPr>
        <w:t xml:space="preserve">umulative breast cancer risk in </w:t>
      </w:r>
      <w:proofErr w:type="spellStart"/>
      <w:r w:rsidRPr="00CC0136">
        <w:rPr>
          <w:rFonts w:ascii="Arial Narrow" w:hAnsi="Arial Narrow" w:cs="Arial"/>
          <w:b/>
          <w:color w:val="000000"/>
          <w:sz w:val="20"/>
        </w:rPr>
        <w:t>proband’s</w:t>
      </w:r>
      <w:proofErr w:type="spellEnd"/>
      <w:r w:rsidRPr="00CC0136">
        <w:rPr>
          <w:rFonts w:ascii="Arial Narrow" w:hAnsi="Arial Narrow" w:cs="Arial"/>
          <w:b/>
          <w:color w:val="000000"/>
          <w:sz w:val="20"/>
        </w:rPr>
        <w:t xml:space="preserve"> children who carry </w:t>
      </w:r>
      <w:r w:rsidRPr="00601D4B">
        <w:rPr>
          <w:rFonts w:ascii="Arial Narrow" w:hAnsi="Arial Narrow" w:cs="Arial"/>
          <w:b/>
          <w:i/>
          <w:color w:val="000000"/>
          <w:sz w:val="20"/>
        </w:rPr>
        <w:t>BRCA</w:t>
      </w:r>
      <w:r w:rsidRPr="00CC0136">
        <w:rPr>
          <w:rFonts w:ascii="Arial Narrow" w:hAnsi="Arial Narrow" w:cs="Arial"/>
          <w:b/>
          <w:color w:val="000000"/>
          <w:sz w:val="20"/>
        </w:rPr>
        <w:t xml:space="preserve"> mutation</w:t>
      </w:r>
      <w:r w:rsidRPr="007E42BA">
        <w:rPr>
          <w:rFonts w:ascii="Arial Narrow" w:hAnsi="Arial Narrow" w:cs="Arial"/>
          <w:b/>
          <w:color w:val="000000"/>
          <w:sz w:val="20"/>
        </w:rPr>
        <w:t xml:space="preserve"> with and without testing</w:t>
      </w:r>
    </w:p>
    <w:p w:rsidR="002724DF" w:rsidRPr="009108FA" w:rsidRDefault="002724DF" w:rsidP="002724DF">
      <w:pPr>
        <w:rPr>
          <w:b/>
        </w:rPr>
      </w:pPr>
      <w:r>
        <w:rPr>
          <w:b/>
          <w:noProof/>
        </w:rPr>
        <w:drawing>
          <wp:inline distT="0" distB="0" distL="0" distR="0" wp14:anchorId="5AF67165" wp14:editId="3B690C27">
            <wp:extent cx="5834358" cy="2807936"/>
            <wp:effectExtent l="0" t="0" r="0" b="0"/>
            <wp:docPr id="10" name="Picture 10" descr="Figure 5: Cumulative breast cancer risk in proband's children who carry BRCA mutation with and without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37918" cy="2809650"/>
                    </a:xfrm>
                    <a:prstGeom prst="rect">
                      <a:avLst/>
                    </a:prstGeom>
                    <a:noFill/>
                  </pic:spPr>
                </pic:pic>
              </a:graphicData>
            </a:graphic>
          </wp:inline>
        </w:drawing>
      </w:r>
    </w:p>
    <w:p w:rsidR="002724DF" w:rsidRPr="004F50D3" w:rsidRDefault="002724DF" w:rsidP="002724DF">
      <w:pPr>
        <w:rPr>
          <w:szCs w:val="24"/>
        </w:rPr>
      </w:pPr>
      <w:r w:rsidRPr="004F50D3">
        <w:rPr>
          <w:szCs w:val="24"/>
        </w:rPr>
        <w:lastRenderedPageBreak/>
        <w:t xml:space="preserve">The cumulative risk of breast cancer in </w:t>
      </w:r>
      <w:r w:rsidRPr="00E47311">
        <w:rPr>
          <w:i/>
          <w:szCs w:val="24"/>
        </w:rPr>
        <w:t>BRCA1</w:t>
      </w:r>
      <w:r w:rsidRPr="004F50D3">
        <w:rPr>
          <w:szCs w:val="24"/>
        </w:rPr>
        <w:t xml:space="preserve"> or </w:t>
      </w:r>
      <w:r w:rsidRPr="00E47311">
        <w:rPr>
          <w:i/>
          <w:szCs w:val="24"/>
        </w:rPr>
        <w:t>BRCA2</w:t>
      </w:r>
      <w:r w:rsidRPr="004F50D3">
        <w:rPr>
          <w:szCs w:val="24"/>
        </w:rPr>
        <w:t xml:space="preserve"> positive </w:t>
      </w:r>
      <w:proofErr w:type="spellStart"/>
      <w:r w:rsidRPr="004F50D3">
        <w:rPr>
          <w:szCs w:val="24"/>
        </w:rPr>
        <w:t>proband’s</w:t>
      </w:r>
      <w:proofErr w:type="spellEnd"/>
      <w:r w:rsidRPr="004F50D3">
        <w:rPr>
          <w:szCs w:val="24"/>
        </w:rPr>
        <w:t xml:space="preserve"> </w:t>
      </w:r>
      <w:r>
        <w:rPr>
          <w:szCs w:val="24"/>
        </w:rPr>
        <w:t xml:space="preserve">female </w:t>
      </w:r>
      <w:r w:rsidRPr="004F50D3">
        <w:rPr>
          <w:szCs w:val="24"/>
        </w:rPr>
        <w:t xml:space="preserve">children (and </w:t>
      </w:r>
      <w:r>
        <w:rPr>
          <w:szCs w:val="24"/>
        </w:rPr>
        <w:t xml:space="preserve">female </w:t>
      </w:r>
      <w:r w:rsidRPr="004F50D3">
        <w:rPr>
          <w:szCs w:val="24"/>
        </w:rPr>
        <w:t xml:space="preserve">siblings) </w:t>
      </w:r>
      <w:r w:rsidR="00601D4B">
        <w:rPr>
          <w:szCs w:val="24"/>
        </w:rPr>
        <w:t>wa</w:t>
      </w:r>
      <w:r w:rsidRPr="004F50D3">
        <w:rPr>
          <w:szCs w:val="24"/>
        </w:rPr>
        <w:t xml:space="preserve">s 55% at the age of 70 years. With genetic testing, the cumulative incidence of breast cancer in this group reduced to 30% at the age of 70 years. </w:t>
      </w:r>
    </w:p>
    <w:p w:rsidR="002724DF" w:rsidRPr="004F50D3" w:rsidRDefault="002724DF" w:rsidP="002724DF">
      <w:pPr>
        <w:spacing w:after="120"/>
        <w:rPr>
          <w:b/>
          <w:i/>
          <w:szCs w:val="24"/>
        </w:rPr>
      </w:pPr>
      <w:r w:rsidRPr="004F50D3">
        <w:rPr>
          <w:b/>
          <w:i/>
          <w:szCs w:val="24"/>
        </w:rPr>
        <w:t>Ovarian cancer</w:t>
      </w:r>
    </w:p>
    <w:p w:rsidR="002724DF" w:rsidRPr="009108FA" w:rsidRDefault="002724DF" w:rsidP="002724DF">
      <w:pPr>
        <w:rPr>
          <w:szCs w:val="24"/>
        </w:rPr>
      </w:pPr>
      <w:r w:rsidRPr="004F50D3">
        <w:rPr>
          <w:szCs w:val="24"/>
        </w:rPr>
        <w:t xml:space="preserve">Figure </w:t>
      </w:r>
      <w:r w:rsidR="00DF35D4">
        <w:rPr>
          <w:szCs w:val="24"/>
        </w:rPr>
        <w:t>6</w:t>
      </w:r>
      <w:r w:rsidRPr="004F50D3">
        <w:rPr>
          <w:szCs w:val="24"/>
        </w:rPr>
        <w:t xml:space="preserve"> </w:t>
      </w:r>
      <w:r w:rsidR="00601D4B">
        <w:rPr>
          <w:szCs w:val="24"/>
        </w:rPr>
        <w:t>presents</w:t>
      </w:r>
      <w:r w:rsidRPr="004F50D3">
        <w:rPr>
          <w:szCs w:val="24"/>
        </w:rPr>
        <w:t xml:space="preserve"> the cumulative ovarian cancer risk in </w:t>
      </w:r>
      <w:proofErr w:type="spellStart"/>
      <w:r w:rsidRPr="004F50D3">
        <w:rPr>
          <w:szCs w:val="24"/>
        </w:rPr>
        <w:t>probands</w:t>
      </w:r>
      <w:proofErr w:type="spellEnd"/>
      <w:r w:rsidRPr="004F50D3">
        <w:rPr>
          <w:szCs w:val="24"/>
        </w:rPr>
        <w:t xml:space="preserve"> with and without genetic testing compared with the cumulative ovarian cancer risk in the general Australian female population.</w:t>
      </w:r>
    </w:p>
    <w:p w:rsidR="002724DF" w:rsidRDefault="002724DF" w:rsidP="00430306">
      <w:pPr>
        <w:spacing w:after="0"/>
        <w:rPr>
          <w:rFonts w:ascii="Arial Narrow" w:hAnsi="Arial Narrow" w:cs="Arial"/>
          <w:b/>
          <w:color w:val="000000"/>
          <w:sz w:val="20"/>
        </w:rPr>
      </w:pPr>
      <w:r w:rsidRPr="007E42BA">
        <w:rPr>
          <w:rFonts w:ascii="Arial Narrow" w:hAnsi="Arial Narrow" w:cs="Arial"/>
          <w:b/>
          <w:color w:val="000000"/>
          <w:sz w:val="20"/>
        </w:rPr>
        <w:t xml:space="preserve">Figure </w:t>
      </w:r>
      <w:r w:rsidR="00DF35D4">
        <w:rPr>
          <w:rFonts w:ascii="Arial Narrow" w:hAnsi="Arial Narrow" w:cs="Arial"/>
          <w:b/>
          <w:color w:val="000000"/>
          <w:sz w:val="20"/>
        </w:rPr>
        <w:t>6</w:t>
      </w:r>
      <w:r>
        <w:rPr>
          <w:rFonts w:ascii="Arial Narrow" w:hAnsi="Arial Narrow" w:cs="Arial"/>
          <w:b/>
          <w:color w:val="000000"/>
          <w:sz w:val="20"/>
        </w:rPr>
        <w:t>:</w:t>
      </w:r>
      <w:r w:rsidRPr="007E42BA">
        <w:rPr>
          <w:rFonts w:ascii="Arial Narrow" w:hAnsi="Arial Narrow" w:cs="Arial"/>
          <w:b/>
          <w:color w:val="000000"/>
          <w:sz w:val="20"/>
        </w:rPr>
        <w:t xml:space="preserve"> </w:t>
      </w:r>
      <w:r>
        <w:rPr>
          <w:rFonts w:ascii="Arial Narrow" w:hAnsi="Arial Narrow" w:cs="Arial"/>
          <w:b/>
          <w:color w:val="000000"/>
          <w:sz w:val="20"/>
        </w:rPr>
        <w:t>C</w:t>
      </w:r>
      <w:r w:rsidRPr="007E42BA">
        <w:rPr>
          <w:rFonts w:ascii="Arial Narrow" w:hAnsi="Arial Narrow" w:cs="Arial"/>
          <w:b/>
          <w:color w:val="000000"/>
          <w:sz w:val="20"/>
        </w:rPr>
        <w:t xml:space="preserve">umulative </w:t>
      </w:r>
      <w:r>
        <w:rPr>
          <w:rFonts w:ascii="Arial Narrow" w:hAnsi="Arial Narrow" w:cs="Arial"/>
          <w:b/>
          <w:color w:val="000000"/>
          <w:sz w:val="20"/>
        </w:rPr>
        <w:t>ovarian</w:t>
      </w:r>
      <w:r w:rsidRPr="007E42BA">
        <w:rPr>
          <w:rFonts w:ascii="Arial Narrow" w:hAnsi="Arial Narrow" w:cs="Arial"/>
          <w:b/>
          <w:color w:val="000000"/>
          <w:sz w:val="20"/>
        </w:rPr>
        <w:t xml:space="preserve"> cancer risk in </w:t>
      </w:r>
      <w:proofErr w:type="spellStart"/>
      <w:r w:rsidRPr="007E42BA">
        <w:rPr>
          <w:rFonts w:ascii="Arial Narrow" w:hAnsi="Arial Narrow" w:cs="Arial"/>
          <w:b/>
          <w:color w:val="000000"/>
          <w:sz w:val="20"/>
        </w:rPr>
        <w:t>probands</w:t>
      </w:r>
      <w:proofErr w:type="spellEnd"/>
      <w:r w:rsidRPr="007E42BA">
        <w:rPr>
          <w:rFonts w:ascii="Arial Narrow" w:hAnsi="Arial Narrow" w:cs="Arial"/>
          <w:b/>
          <w:color w:val="000000"/>
          <w:sz w:val="20"/>
        </w:rPr>
        <w:t xml:space="preserve"> with and without genetic testing</w:t>
      </w:r>
    </w:p>
    <w:p w:rsidR="002724DF" w:rsidRPr="009108FA" w:rsidRDefault="002724DF" w:rsidP="002724DF">
      <w:pPr>
        <w:rPr>
          <w:b/>
        </w:rPr>
      </w:pPr>
      <w:r>
        <w:rPr>
          <w:b/>
          <w:noProof/>
        </w:rPr>
        <w:drawing>
          <wp:inline distT="0" distB="0" distL="0" distR="0" wp14:anchorId="4804138D" wp14:editId="5F6EEAD4">
            <wp:extent cx="5712975" cy="2824120"/>
            <wp:effectExtent l="0" t="0" r="2540" b="0"/>
            <wp:docPr id="11" name="Picture 11" descr="Figure 6: Cummulative ovarian cancer risk in probands with and without genetic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8788" cy="2826994"/>
                    </a:xfrm>
                    <a:prstGeom prst="rect">
                      <a:avLst/>
                    </a:prstGeom>
                    <a:noFill/>
                  </pic:spPr>
                </pic:pic>
              </a:graphicData>
            </a:graphic>
          </wp:inline>
        </w:drawing>
      </w:r>
    </w:p>
    <w:p w:rsidR="002724DF" w:rsidRPr="009108FA" w:rsidRDefault="002724DF" w:rsidP="002724DF">
      <w:pPr>
        <w:rPr>
          <w:szCs w:val="24"/>
        </w:rPr>
      </w:pPr>
      <w:r w:rsidRPr="004F50D3">
        <w:rPr>
          <w:szCs w:val="24"/>
        </w:rPr>
        <w:t xml:space="preserve">Figure </w:t>
      </w:r>
      <w:r w:rsidR="00DF35D4">
        <w:rPr>
          <w:szCs w:val="24"/>
        </w:rPr>
        <w:t>7</w:t>
      </w:r>
      <w:r w:rsidRPr="004F50D3">
        <w:rPr>
          <w:szCs w:val="24"/>
        </w:rPr>
        <w:t xml:space="preserve"> </w:t>
      </w:r>
      <w:r w:rsidR="00601D4B">
        <w:rPr>
          <w:szCs w:val="24"/>
        </w:rPr>
        <w:t>presents</w:t>
      </w:r>
      <w:r w:rsidRPr="004F50D3">
        <w:rPr>
          <w:szCs w:val="24"/>
        </w:rPr>
        <w:t xml:space="preserve"> the cumulative ovarian cancer risk in </w:t>
      </w:r>
      <w:proofErr w:type="spellStart"/>
      <w:r w:rsidRPr="004F50D3">
        <w:rPr>
          <w:szCs w:val="24"/>
        </w:rPr>
        <w:t>proband’s</w:t>
      </w:r>
      <w:proofErr w:type="spellEnd"/>
      <w:r w:rsidRPr="004F50D3">
        <w:rPr>
          <w:szCs w:val="24"/>
        </w:rPr>
        <w:t xml:space="preserve"> </w:t>
      </w:r>
      <w:r>
        <w:rPr>
          <w:szCs w:val="24"/>
        </w:rPr>
        <w:t xml:space="preserve">female </w:t>
      </w:r>
      <w:r w:rsidRPr="004F50D3">
        <w:rPr>
          <w:szCs w:val="24"/>
        </w:rPr>
        <w:t xml:space="preserve">children </w:t>
      </w:r>
      <w:r>
        <w:rPr>
          <w:szCs w:val="24"/>
        </w:rPr>
        <w:t xml:space="preserve">(and female siblings) </w:t>
      </w:r>
      <w:r w:rsidRPr="004F50D3">
        <w:rPr>
          <w:szCs w:val="24"/>
        </w:rPr>
        <w:t xml:space="preserve">who carry </w:t>
      </w:r>
      <w:r w:rsidR="00D75CD6">
        <w:rPr>
          <w:szCs w:val="24"/>
        </w:rPr>
        <w:t xml:space="preserve">a </w:t>
      </w:r>
      <w:r w:rsidRPr="00E47311">
        <w:rPr>
          <w:i/>
          <w:szCs w:val="24"/>
        </w:rPr>
        <w:t>BRCA</w:t>
      </w:r>
      <w:r w:rsidRPr="004F50D3">
        <w:rPr>
          <w:szCs w:val="24"/>
        </w:rPr>
        <w:t xml:space="preserve"> mutation with and without genetic testing compared with the cumulative ovarian cancer risk in the general Australian female population.</w:t>
      </w:r>
    </w:p>
    <w:p w:rsidR="002724DF" w:rsidRDefault="002724DF" w:rsidP="00430306">
      <w:pPr>
        <w:keepNext/>
        <w:keepLines/>
        <w:spacing w:after="0"/>
        <w:rPr>
          <w:rFonts w:ascii="Arial Narrow" w:hAnsi="Arial Narrow" w:cs="Arial"/>
          <w:b/>
          <w:color w:val="000000"/>
          <w:sz w:val="20"/>
        </w:rPr>
      </w:pPr>
      <w:r w:rsidRPr="007E42BA">
        <w:rPr>
          <w:rFonts w:ascii="Arial Narrow" w:hAnsi="Arial Narrow" w:cs="Arial"/>
          <w:b/>
          <w:color w:val="000000"/>
          <w:sz w:val="20"/>
        </w:rPr>
        <w:t xml:space="preserve">Figure </w:t>
      </w:r>
      <w:r w:rsidR="00DF35D4">
        <w:rPr>
          <w:rFonts w:ascii="Arial Narrow" w:hAnsi="Arial Narrow" w:cs="Arial"/>
          <w:b/>
          <w:color w:val="000000"/>
          <w:sz w:val="20"/>
        </w:rPr>
        <w:t>7</w:t>
      </w:r>
      <w:r>
        <w:rPr>
          <w:rFonts w:ascii="Arial Narrow" w:hAnsi="Arial Narrow" w:cs="Arial"/>
          <w:b/>
          <w:color w:val="000000"/>
          <w:sz w:val="20"/>
        </w:rPr>
        <w:t>:</w:t>
      </w:r>
      <w:r w:rsidRPr="007E42BA">
        <w:rPr>
          <w:rFonts w:ascii="Arial Narrow" w:hAnsi="Arial Narrow" w:cs="Arial"/>
          <w:b/>
          <w:color w:val="000000"/>
          <w:sz w:val="20"/>
        </w:rPr>
        <w:t xml:space="preserve"> </w:t>
      </w:r>
      <w:r>
        <w:rPr>
          <w:rFonts w:ascii="Arial Narrow" w:hAnsi="Arial Narrow" w:cs="Arial"/>
          <w:b/>
          <w:color w:val="000000"/>
          <w:sz w:val="20"/>
        </w:rPr>
        <w:t>C</w:t>
      </w:r>
      <w:r w:rsidRPr="007E42BA">
        <w:rPr>
          <w:rFonts w:ascii="Arial Narrow" w:hAnsi="Arial Narrow" w:cs="Arial"/>
          <w:b/>
          <w:color w:val="000000"/>
          <w:sz w:val="20"/>
        </w:rPr>
        <w:t xml:space="preserve">umulative </w:t>
      </w:r>
      <w:r>
        <w:rPr>
          <w:rFonts w:ascii="Arial Narrow" w:hAnsi="Arial Narrow" w:cs="Arial"/>
          <w:b/>
          <w:color w:val="000000"/>
          <w:sz w:val="20"/>
        </w:rPr>
        <w:t>ovarian</w:t>
      </w:r>
      <w:r w:rsidRPr="007E42BA">
        <w:rPr>
          <w:rFonts w:ascii="Arial Narrow" w:hAnsi="Arial Narrow" w:cs="Arial"/>
          <w:b/>
          <w:color w:val="000000"/>
          <w:sz w:val="20"/>
        </w:rPr>
        <w:t xml:space="preserve"> cancer risk in </w:t>
      </w:r>
      <w:proofErr w:type="spellStart"/>
      <w:r w:rsidRPr="00CC0136">
        <w:rPr>
          <w:rFonts w:ascii="Arial Narrow" w:hAnsi="Arial Narrow" w:cs="Arial"/>
          <w:b/>
          <w:color w:val="000000"/>
          <w:sz w:val="20"/>
        </w:rPr>
        <w:t>proband’s</w:t>
      </w:r>
      <w:proofErr w:type="spellEnd"/>
      <w:r w:rsidRPr="00CC0136">
        <w:rPr>
          <w:rFonts w:ascii="Arial Narrow" w:hAnsi="Arial Narrow" w:cs="Arial"/>
          <w:b/>
          <w:color w:val="000000"/>
          <w:sz w:val="20"/>
        </w:rPr>
        <w:t xml:space="preserve"> children who carry BRCA mutation</w:t>
      </w:r>
      <w:r w:rsidRPr="007E42BA">
        <w:rPr>
          <w:rFonts w:ascii="Arial Narrow" w:hAnsi="Arial Narrow" w:cs="Arial"/>
          <w:b/>
          <w:color w:val="000000"/>
          <w:sz w:val="20"/>
        </w:rPr>
        <w:t xml:space="preserve"> with and without testing</w:t>
      </w:r>
    </w:p>
    <w:p w:rsidR="002724DF" w:rsidRPr="009108FA" w:rsidRDefault="002724DF" w:rsidP="002724DF">
      <w:pPr>
        <w:rPr>
          <w:b/>
        </w:rPr>
      </w:pPr>
      <w:r>
        <w:rPr>
          <w:b/>
          <w:noProof/>
        </w:rPr>
        <w:drawing>
          <wp:inline distT="0" distB="0" distL="0" distR="0" wp14:anchorId="3D33A25B" wp14:editId="00E840A6">
            <wp:extent cx="5712975" cy="2921225"/>
            <wp:effectExtent l="0" t="0" r="2540" b="0"/>
            <wp:docPr id="12" name="Picture 12" descr="Figure 7: Cummulative ovarian cancer risk in proband's children who carry BRCA mu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2977" cy="2921226"/>
                    </a:xfrm>
                    <a:prstGeom prst="rect">
                      <a:avLst/>
                    </a:prstGeom>
                    <a:noFill/>
                  </pic:spPr>
                </pic:pic>
              </a:graphicData>
            </a:graphic>
          </wp:inline>
        </w:drawing>
      </w:r>
    </w:p>
    <w:p w:rsidR="002724DF" w:rsidRPr="004F50D3" w:rsidRDefault="002724DF" w:rsidP="002724DF">
      <w:pPr>
        <w:rPr>
          <w:szCs w:val="24"/>
        </w:rPr>
      </w:pPr>
      <w:r w:rsidRPr="004F50D3">
        <w:rPr>
          <w:szCs w:val="24"/>
        </w:rPr>
        <w:lastRenderedPageBreak/>
        <w:t xml:space="preserve">The cumulative risk of ovarian cancer in </w:t>
      </w:r>
      <w:proofErr w:type="spellStart"/>
      <w:r w:rsidRPr="004F50D3">
        <w:rPr>
          <w:szCs w:val="24"/>
        </w:rPr>
        <w:t>probands</w:t>
      </w:r>
      <w:proofErr w:type="spellEnd"/>
      <w:r w:rsidRPr="004F50D3">
        <w:rPr>
          <w:szCs w:val="24"/>
        </w:rPr>
        <w:t xml:space="preserve"> and </w:t>
      </w:r>
      <w:proofErr w:type="spellStart"/>
      <w:r w:rsidRPr="004F50D3">
        <w:rPr>
          <w:szCs w:val="24"/>
        </w:rPr>
        <w:t>proband’s</w:t>
      </w:r>
      <w:proofErr w:type="spellEnd"/>
      <w:r w:rsidRPr="004F50D3">
        <w:rPr>
          <w:szCs w:val="24"/>
        </w:rPr>
        <w:t xml:space="preserve"> family members who carry </w:t>
      </w:r>
      <w:r w:rsidR="00601D4B">
        <w:rPr>
          <w:szCs w:val="24"/>
        </w:rPr>
        <w:t xml:space="preserve">a </w:t>
      </w:r>
      <w:r w:rsidRPr="00E47311">
        <w:rPr>
          <w:i/>
          <w:szCs w:val="24"/>
        </w:rPr>
        <w:t xml:space="preserve">BRCA1 </w:t>
      </w:r>
      <w:r w:rsidRPr="004F50D3">
        <w:rPr>
          <w:szCs w:val="24"/>
        </w:rPr>
        <w:t xml:space="preserve">or </w:t>
      </w:r>
      <w:r w:rsidRPr="00E47311">
        <w:rPr>
          <w:i/>
          <w:szCs w:val="24"/>
        </w:rPr>
        <w:t>BRCA2</w:t>
      </w:r>
      <w:r w:rsidRPr="004F50D3">
        <w:rPr>
          <w:szCs w:val="24"/>
        </w:rPr>
        <w:t xml:space="preserve"> mutation </w:t>
      </w:r>
      <w:r w:rsidR="00601D4B">
        <w:rPr>
          <w:szCs w:val="24"/>
        </w:rPr>
        <w:t>wa</w:t>
      </w:r>
      <w:r w:rsidRPr="004F50D3">
        <w:rPr>
          <w:szCs w:val="24"/>
        </w:rPr>
        <w:t>s around 20% at the age of 70 years. Genetic mutation testing result</w:t>
      </w:r>
      <w:r w:rsidR="00601D4B">
        <w:rPr>
          <w:szCs w:val="24"/>
        </w:rPr>
        <w:t>ed</w:t>
      </w:r>
      <w:r w:rsidRPr="004F50D3">
        <w:rPr>
          <w:szCs w:val="24"/>
        </w:rPr>
        <w:t xml:space="preserve"> in reduced cumulative risk at around 10% for both </w:t>
      </w:r>
      <w:proofErr w:type="spellStart"/>
      <w:r w:rsidRPr="004F50D3">
        <w:rPr>
          <w:szCs w:val="24"/>
        </w:rPr>
        <w:t>probands</w:t>
      </w:r>
      <w:proofErr w:type="spellEnd"/>
      <w:r w:rsidRPr="004F50D3">
        <w:rPr>
          <w:szCs w:val="24"/>
        </w:rPr>
        <w:t xml:space="preserve"> and family member</w:t>
      </w:r>
      <w:r w:rsidR="00601D4B">
        <w:rPr>
          <w:szCs w:val="24"/>
        </w:rPr>
        <w:t>s who carry the mutation.</w:t>
      </w:r>
    </w:p>
    <w:p w:rsidR="00601D4B" w:rsidRPr="004F50D3" w:rsidRDefault="002724DF" w:rsidP="002724DF">
      <w:pPr>
        <w:rPr>
          <w:szCs w:val="24"/>
        </w:rPr>
      </w:pPr>
      <w:r w:rsidRPr="004F50D3">
        <w:rPr>
          <w:szCs w:val="24"/>
        </w:rPr>
        <w:t xml:space="preserve">The results of the </w:t>
      </w:r>
      <w:r>
        <w:rPr>
          <w:szCs w:val="24"/>
        </w:rPr>
        <w:t>model</w:t>
      </w:r>
      <w:r w:rsidRPr="004F50D3">
        <w:rPr>
          <w:szCs w:val="24"/>
        </w:rPr>
        <w:t xml:space="preserve"> </w:t>
      </w:r>
      <w:r w:rsidR="00601D4B">
        <w:rPr>
          <w:szCs w:val="24"/>
        </w:rPr>
        <w:t>we</w:t>
      </w:r>
      <w:r w:rsidRPr="004F50D3">
        <w:rPr>
          <w:szCs w:val="24"/>
        </w:rPr>
        <w:t xml:space="preserve">re in line with international evaluations. A review </w:t>
      </w:r>
      <w:r>
        <w:rPr>
          <w:szCs w:val="24"/>
        </w:rPr>
        <w:t>of published analyses</w:t>
      </w:r>
      <w:r w:rsidRPr="004F50D3">
        <w:rPr>
          <w:szCs w:val="24"/>
        </w:rPr>
        <w:t xml:space="preserve"> did not identif</w:t>
      </w:r>
      <w:r>
        <w:rPr>
          <w:szCs w:val="24"/>
        </w:rPr>
        <w:t>y any integrated economic model</w:t>
      </w:r>
      <w:r w:rsidRPr="004F50D3">
        <w:rPr>
          <w:szCs w:val="24"/>
        </w:rPr>
        <w:t xml:space="preserve"> to assess the cost-effectiveness </w:t>
      </w:r>
      <w:r>
        <w:rPr>
          <w:szCs w:val="24"/>
        </w:rPr>
        <w:t>of a</w:t>
      </w:r>
      <w:r w:rsidRPr="004F50D3">
        <w:rPr>
          <w:szCs w:val="24"/>
        </w:rPr>
        <w:t xml:space="preserve"> genetic testing program for </w:t>
      </w:r>
      <w:r w:rsidRPr="00E47311">
        <w:rPr>
          <w:i/>
          <w:szCs w:val="24"/>
        </w:rPr>
        <w:t>BRCA</w:t>
      </w:r>
      <w:r w:rsidRPr="004F50D3">
        <w:rPr>
          <w:szCs w:val="24"/>
        </w:rPr>
        <w:t xml:space="preserve"> mutation</w:t>
      </w:r>
      <w:r w:rsidR="00601D4B">
        <w:rPr>
          <w:szCs w:val="24"/>
        </w:rPr>
        <w:t>s</w:t>
      </w:r>
      <w:r w:rsidRPr="004F50D3">
        <w:rPr>
          <w:szCs w:val="24"/>
        </w:rPr>
        <w:t xml:space="preserve">. Nevertheless, in the economic evaluations of </w:t>
      </w:r>
      <w:r w:rsidRPr="00E47311">
        <w:rPr>
          <w:i/>
          <w:szCs w:val="24"/>
        </w:rPr>
        <w:t>BRCA</w:t>
      </w:r>
      <w:r w:rsidRPr="004F50D3">
        <w:rPr>
          <w:szCs w:val="24"/>
        </w:rPr>
        <w:t xml:space="preserve"> mutation genetic testing in affected individuals or family members compared with no testing, genetic testing resulted in QALY gains </w:t>
      </w:r>
      <w:r>
        <w:rPr>
          <w:szCs w:val="24"/>
        </w:rPr>
        <w:t xml:space="preserve">ranging </w:t>
      </w:r>
      <w:r w:rsidRPr="004F50D3">
        <w:rPr>
          <w:szCs w:val="24"/>
        </w:rPr>
        <w:t>from 0.06</w:t>
      </w:r>
      <w:r>
        <w:rPr>
          <w:szCs w:val="24"/>
        </w:rPr>
        <w:t xml:space="preserve"> to </w:t>
      </w:r>
      <w:r w:rsidRPr="004F50D3">
        <w:rPr>
          <w:szCs w:val="24"/>
        </w:rPr>
        <w:t xml:space="preserve">0.32 and was cost-effective with ICERs ranging from $9,000 to $50,000 per QALY gained. Table </w:t>
      </w:r>
      <w:r w:rsidR="00DF35D4">
        <w:rPr>
          <w:szCs w:val="24"/>
        </w:rPr>
        <w:t>10</w:t>
      </w:r>
      <w:r w:rsidRPr="004F50D3">
        <w:rPr>
          <w:szCs w:val="24"/>
        </w:rPr>
        <w:t xml:space="preserve"> summarises the results of international economic evaluations of </w:t>
      </w:r>
      <w:r w:rsidRPr="00E47311">
        <w:rPr>
          <w:i/>
          <w:szCs w:val="24"/>
        </w:rPr>
        <w:t>BRCA</w:t>
      </w:r>
      <w:r w:rsidRPr="004F50D3">
        <w:rPr>
          <w:szCs w:val="24"/>
        </w:rPr>
        <w:t xml:space="preserve"> mutation genetic testing with costs and ICERs conver</w:t>
      </w:r>
      <w:r w:rsidR="00601D4B">
        <w:rPr>
          <w:szCs w:val="24"/>
        </w:rPr>
        <w:t>ted to 2015 Australian dollars.</w:t>
      </w:r>
    </w:p>
    <w:p w:rsidR="002724DF" w:rsidRPr="00AD7019" w:rsidRDefault="002724DF" w:rsidP="00430306">
      <w:pPr>
        <w:spacing w:after="0"/>
        <w:rPr>
          <w:rFonts w:ascii="Arial Narrow" w:hAnsi="Arial Narrow" w:cs="Arial"/>
          <w:b/>
          <w:color w:val="000000"/>
          <w:sz w:val="20"/>
        </w:rPr>
      </w:pPr>
      <w:r w:rsidRPr="00AD7019">
        <w:rPr>
          <w:rFonts w:ascii="Arial Narrow" w:hAnsi="Arial Narrow" w:cs="Arial"/>
          <w:b/>
          <w:color w:val="000000"/>
          <w:sz w:val="20"/>
        </w:rPr>
        <w:t xml:space="preserve">Table </w:t>
      </w:r>
      <w:r w:rsidR="00DF35D4">
        <w:rPr>
          <w:rFonts w:ascii="Arial Narrow" w:hAnsi="Arial Narrow" w:cs="Arial"/>
          <w:b/>
          <w:color w:val="000000"/>
          <w:sz w:val="20"/>
        </w:rPr>
        <w:t>10</w:t>
      </w:r>
      <w:r w:rsidRPr="00AD7019">
        <w:rPr>
          <w:rFonts w:ascii="Arial Narrow" w:hAnsi="Arial Narrow" w:cs="Arial"/>
          <w:b/>
          <w:color w:val="000000"/>
          <w:sz w:val="20"/>
        </w:rPr>
        <w:t xml:space="preserve">: </w:t>
      </w:r>
      <w:r>
        <w:rPr>
          <w:rFonts w:ascii="Arial Narrow" w:hAnsi="Arial Narrow" w:cs="Arial"/>
          <w:b/>
          <w:color w:val="000000"/>
          <w:sz w:val="20"/>
        </w:rPr>
        <w:t>Results of international economic evaluations of BRCA mutation genetic testing</w:t>
      </w:r>
    </w:p>
    <w:tbl>
      <w:tblPr>
        <w:tblW w:w="0" w:type="auto"/>
        <w:tblLayout w:type="fixed"/>
        <w:tblLook w:val="04A0" w:firstRow="1" w:lastRow="0" w:firstColumn="1" w:lastColumn="0" w:noHBand="0" w:noVBand="1"/>
        <w:tblDescription w:val="Table 10: Results of international economic evaluations of BRCA mutation genetic testing"/>
      </w:tblPr>
      <w:tblGrid>
        <w:gridCol w:w="959"/>
        <w:gridCol w:w="1984"/>
        <w:gridCol w:w="1276"/>
        <w:gridCol w:w="1559"/>
        <w:gridCol w:w="851"/>
        <w:gridCol w:w="992"/>
        <w:gridCol w:w="1621"/>
      </w:tblGrid>
      <w:tr w:rsidR="002724DF" w:rsidRPr="00A36FF9" w:rsidTr="00601D4B">
        <w:tc>
          <w:tcPr>
            <w:tcW w:w="959" w:type="dxa"/>
          </w:tcPr>
          <w:p w:rsidR="002724DF" w:rsidRPr="00430306" w:rsidRDefault="002724DF" w:rsidP="00430306">
            <w:pPr>
              <w:pStyle w:val="TableText1"/>
              <w:rPr>
                <w:b/>
              </w:rPr>
            </w:pPr>
            <w:r w:rsidRPr="00430306">
              <w:rPr>
                <w:b/>
              </w:rPr>
              <w:t xml:space="preserve">Study </w:t>
            </w:r>
          </w:p>
        </w:tc>
        <w:tc>
          <w:tcPr>
            <w:tcW w:w="1984" w:type="dxa"/>
          </w:tcPr>
          <w:p w:rsidR="002724DF" w:rsidRPr="00430306" w:rsidRDefault="002724DF" w:rsidP="00430306">
            <w:pPr>
              <w:pStyle w:val="TableText1"/>
              <w:rPr>
                <w:b/>
              </w:rPr>
            </w:pPr>
            <w:r w:rsidRPr="00430306">
              <w:rPr>
                <w:b/>
              </w:rPr>
              <w:t xml:space="preserve">Population </w:t>
            </w:r>
          </w:p>
        </w:tc>
        <w:tc>
          <w:tcPr>
            <w:tcW w:w="1276" w:type="dxa"/>
          </w:tcPr>
          <w:p w:rsidR="002724DF" w:rsidRPr="00430306" w:rsidRDefault="002724DF" w:rsidP="00430306">
            <w:pPr>
              <w:pStyle w:val="TableText1"/>
              <w:rPr>
                <w:b/>
              </w:rPr>
            </w:pPr>
            <w:r w:rsidRPr="00430306">
              <w:rPr>
                <w:b/>
              </w:rPr>
              <w:t>Country</w:t>
            </w:r>
          </w:p>
        </w:tc>
        <w:tc>
          <w:tcPr>
            <w:tcW w:w="1559" w:type="dxa"/>
          </w:tcPr>
          <w:p w:rsidR="002724DF" w:rsidRPr="00430306" w:rsidRDefault="002724DF" w:rsidP="00430306">
            <w:pPr>
              <w:pStyle w:val="TableText1"/>
              <w:rPr>
                <w:b/>
              </w:rPr>
            </w:pPr>
            <w:r w:rsidRPr="00430306">
              <w:rPr>
                <w:b/>
              </w:rPr>
              <w:t>Cost (AUD 2015)</w:t>
            </w:r>
          </w:p>
        </w:tc>
        <w:tc>
          <w:tcPr>
            <w:tcW w:w="851" w:type="dxa"/>
          </w:tcPr>
          <w:p w:rsidR="002724DF" w:rsidRPr="00430306" w:rsidRDefault="002724DF" w:rsidP="00430306">
            <w:pPr>
              <w:pStyle w:val="TableText1"/>
              <w:rPr>
                <w:b/>
              </w:rPr>
            </w:pPr>
            <w:r w:rsidRPr="00430306">
              <w:rPr>
                <w:b/>
              </w:rPr>
              <w:t>QALY</w:t>
            </w:r>
          </w:p>
        </w:tc>
        <w:tc>
          <w:tcPr>
            <w:tcW w:w="992" w:type="dxa"/>
          </w:tcPr>
          <w:p w:rsidR="002724DF" w:rsidRPr="00430306" w:rsidRDefault="002724DF" w:rsidP="00430306">
            <w:pPr>
              <w:pStyle w:val="TableText1"/>
              <w:rPr>
                <w:b/>
              </w:rPr>
            </w:pPr>
            <w:r w:rsidRPr="00430306">
              <w:rPr>
                <w:b/>
              </w:rPr>
              <w:t>Life-year</w:t>
            </w:r>
          </w:p>
        </w:tc>
        <w:tc>
          <w:tcPr>
            <w:tcW w:w="1621" w:type="dxa"/>
          </w:tcPr>
          <w:p w:rsidR="002724DF" w:rsidRPr="00430306" w:rsidRDefault="002724DF" w:rsidP="00430306">
            <w:pPr>
              <w:pStyle w:val="TableText1"/>
              <w:rPr>
                <w:b/>
              </w:rPr>
            </w:pPr>
            <w:r w:rsidRPr="00430306">
              <w:rPr>
                <w:b/>
              </w:rPr>
              <w:t>ICER</w:t>
            </w:r>
          </w:p>
        </w:tc>
      </w:tr>
      <w:tr w:rsidR="002724DF" w:rsidRPr="00A36FF9" w:rsidTr="00601D4B">
        <w:trPr>
          <w:trHeight w:val="20"/>
        </w:trPr>
        <w:tc>
          <w:tcPr>
            <w:tcW w:w="959" w:type="dxa"/>
          </w:tcPr>
          <w:p w:rsidR="002724DF" w:rsidRPr="00A36FF9" w:rsidRDefault="002724DF" w:rsidP="00430306">
            <w:pPr>
              <w:pStyle w:val="TableText1"/>
            </w:pPr>
            <w:proofErr w:type="spellStart"/>
            <w:r w:rsidRPr="00A36FF9">
              <w:t>Balmana</w:t>
            </w:r>
            <w:proofErr w:type="spellEnd"/>
            <w:r w:rsidR="00521AE9">
              <w:t xml:space="preserve"> et al, 2004</w:t>
            </w:r>
          </w:p>
        </w:tc>
        <w:tc>
          <w:tcPr>
            <w:tcW w:w="1984" w:type="dxa"/>
          </w:tcPr>
          <w:p w:rsidR="002724DF" w:rsidRPr="00A36FF9" w:rsidRDefault="002724DF" w:rsidP="00430306">
            <w:pPr>
              <w:pStyle w:val="TableText1"/>
            </w:pPr>
            <w:r>
              <w:t>A</w:t>
            </w:r>
            <w:r w:rsidRPr="00A36FF9">
              <w:t>ffected individuals and women with family history</w:t>
            </w:r>
            <w:r>
              <w:t>, 30 years old</w:t>
            </w:r>
          </w:p>
        </w:tc>
        <w:tc>
          <w:tcPr>
            <w:tcW w:w="1276" w:type="dxa"/>
          </w:tcPr>
          <w:p w:rsidR="002724DF" w:rsidRPr="00A36FF9" w:rsidRDefault="002724DF" w:rsidP="00430306">
            <w:pPr>
              <w:pStyle w:val="TableText1"/>
            </w:pPr>
            <w:r w:rsidRPr="00A36FF9">
              <w:t>Spain</w:t>
            </w:r>
          </w:p>
        </w:tc>
        <w:tc>
          <w:tcPr>
            <w:tcW w:w="1559" w:type="dxa"/>
          </w:tcPr>
          <w:p w:rsidR="002724DF" w:rsidRDefault="002724DF" w:rsidP="00430306">
            <w:pPr>
              <w:pStyle w:val="TableText1"/>
            </w:pPr>
            <w:r>
              <w:t xml:space="preserve">Euro </w:t>
            </w:r>
            <w:r w:rsidRPr="00A36FF9">
              <w:t>823</w:t>
            </w:r>
          </w:p>
          <w:p w:rsidR="002724DF" w:rsidRPr="00A36FF9" w:rsidRDefault="002724DF" w:rsidP="00430306">
            <w:pPr>
              <w:pStyle w:val="TableText1"/>
            </w:pPr>
            <w:r>
              <w:t>(AUD2,096)</w:t>
            </w:r>
          </w:p>
        </w:tc>
        <w:tc>
          <w:tcPr>
            <w:tcW w:w="851" w:type="dxa"/>
          </w:tcPr>
          <w:p w:rsidR="002724DF" w:rsidRPr="00A36FF9" w:rsidRDefault="002724DF" w:rsidP="00430306">
            <w:pPr>
              <w:pStyle w:val="TableText1"/>
            </w:pPr>
            <w:r w:rsidRPr="00A36FF9">
              <w:t>-</w:t>
            </w:r>
          </w:p>
        </w:tc>
        <w:tc>
          <w:tcPr>
            <w:tcW w:w="992" w:type="dxa"/>
          </w:tcPr>
          <w:p w:rsidR="002724DF" w:rsidRPr="00A36FF9" w:rsidRDefault="002724DF" w:rsidP="00430306">
            <w:pPr>
              <w:pStyle w:val="TableText1"/>
            </w:pPr>
            <w:r w:rsidRPr="00A36FF9">
              <w:t>0.19</w:t>
            </w:r>
          </w:p>
        </w:tc>
        <w:tc>
          <w:tcPr>
            <w:tcW w:w="1621" w:type="dxa"/>
          </w:tcPr>
          <w:p w:rsidR="002724DF" w:rsidRPr="00A36FF9" w:rsidRDefault="002724DF" w:rsidP="00430306">
            <w:pPr>
              <w:pStyle w:val="TableText1"/>
            </w:pPr>
            <w:r>
              <w:t>AUD11,032</w:t>
            </w:r>
            <w:r w:rsidRPr="00A36FF9">
              <w:t>/LY</w:t>
            </w:r>
          </w:p>
        </w:tc>
      </w:tr>
      <w:tr w:rsidR="002724DF" w:rsidRPr="00A36FF9" w:rsidTr="00601D4B">
        <w:trPr>
          <w:trHeight w:val="20"/>
        </w:trPr>
        <w:tc>
          <w:tcPr>
            <w:tcW w:w="959" w:type="dxa"/>
          </w:tcPr>
          <w:p w:rsidR="002724DF" w:rsidRPr="00A36FF9" w:rsidRDefault="002724DF" w:rsidP="00430306">
            <w:pPr>
              <w:pStyle w:val="TableText1"/>
            </w:pPr>
            <w:r w:rsidRPr="00A36FF9">
              <w:t>Hollan</w:t>
            </w:r>
            <w:r>
              <w:t>d</w:t>
            </w:r>
            <w:r w:rsidR="00521AE9">
              <w:t xml:space="preserve"> et al, 2009</w:t>
            </w:r>
          </w:p>
        </w:tc>
        <w:tc>
          <w:tcPr>
            <w:tcW w:w="1984" w:type="dxa"/>
          </w:tcPr>
          <w:p w:rsidR="002724DF" w:rsidRPr="00A36FF9" w:rsidRDefault="002724DF" w:rsidP="00430306">
            <w:pPr>
              <w:pStyle w:val="TableText1"/>
            </w:pPr>
            <w:r w:rsidRPr="00A36FF9">
              <w:t>Women with family risk of breast and/or ovarian cancer</w:t>
            </w:r>
            <w:r>
              <w:t xml:space="preserve">, </w:t>
            </w:r>
            <w:r w:rsidRPr="00A36FF9">
              <w:t>35 years</w:t>
            </w:r>
            <w:r>
              <w:t xml:space="preserve"> old</w:t>
            </w:r>
          </w:p>
        </w:tc>
        <w:tc>
          <w:tcPr>
            <w:tcW w:w="1276" w:type="dxa"/>
          </w:tcPr>
          <w:p w:rsidR="002724DF" w:rsidRPr="00A36FF9" w:rsidRDefault="002724DF" w:rsidP="00430306">
            <w:pPr>
              <w:pStyle w:val="TableText1"/>
            </w:pPr>
            <w:r>
              <w:t>Unites States</w:t>
            </w:r>
          </w:p>
        </w:tc>
        <w:tc>
          <w:tcPr>
            <w:tcW w:w="1559" w:type="dxa"/>
          </w:tcPr>
          <w:p w:rsidR="002724DF" w:rsidRDefault="002724DF" w:rsidP="00430306">
            <w:pPr>
              <w:pStyle w:val="TableText1"/>
            </w:pPr>
            <w:r>
              <w:t>USD</w:t>
            </w:r>
            <w:r w:rsidRPr="00A36FF9">
              <w:t>1</w:t>
            </w:r>
            <w:r>
              <w:t>,</w:t>
            </w:r>
            <w:r w:rsidRPr="00A36FF9">
              <w:t>000</w:t>
            </w:r>
          </w:p>
          <w:p w:rsidR="002724DF" w:rsidRPr="00A36FF9" w:rsidRDefault="002724DF" w:rsidP="00430306">
            <w:pPr>
              <w:pStyle w:val="TableText1"/>
            </w:pPr>
            <w:r>
              <w:t>(USD1,724)</w:t>
            </w:r>
          </w:p>
        </w:tc>
        <w:tc>
          <w:tcPr>
            <w:tcW w:w="851" w:type="dxa"/>
          </w:tcPr>
          <w:p w:rsidR="002724DF" w:rsidRPr="00A36FF9" w:rsidRDefault="002724DF" w:rsidP="00430306">
            <w:pPr>
              <w:pStyle w:val="TableText1"/>
            </w:pPr>
            <w:r w:rsidRPr="00A36FF9">
              <w:t>0.2</w:t>
            </w:r>
          </w:p>
        </w:tc>
        <w:tc>
          <w:tcPr>
            <w:tcW w:w="992" w:type="dxa"/>
          </w:tcPr>
          <w:p w:rsidR="002724DF" w:rsidRPr="00A36FF9" w:rsidRDefault="002724DF" w:rsidP="00430306">
            <w:pPr>
              <w:pStyle w:val="TableText1"/>
            </w:pPr>
            <w:r w:rsidRPr="00A36FF9">
              <w:t>-</w:t>
            </w:r>
          </w:p>
        </w:tc>
        <w:tc>
          <w:tcPr>
            <w:tcW w:w="1621" w:type="dxa"/>
          </w:tcPr>
          <w:p w:rsidR="002724DF" w:rsidRPr="00A36FF9" w:rsidRDefault="002724DF" w:rsidP="00430306">
            <w:pPr>
              <w:pStyle w:val="TableText1"/>
            </w:pPr>
            <w:r>
              <w:t>AUD8,620/QALY</w:t>
            </w:r>
          </w:p>
        </w:tc>
      </w:tr>
      <w:tr w:rsidR="002724DF" w:rsidRPr="00A36FF9" w:rsidTr="00601D4B">
        <w:trPr>
          <w:trHeight w:val="20"/>
        </w:trPr>
        <w:tc>
          <w:tcPr>
            <w:tcW w:w="959" w:type="dxa"/>
          </w:tcPr>
          <w:p w:rsidR="002724DF" w:rsidRPr="00A36FF9" w:rsidRDefault="002724DF" w:rsidP="00430306">
            <w:pPr>
              <w:pStyle w:val="TableText1"/>
            </w:pPr>
            <w:proofErr w:type="spellStart"/>
            <w:r>
              <w:t>Kaldate</w:t>
            </w:r>
            <w:proofErr w:type="spellEnd"/>
            <w:r w:rsidR="00521AE9">
              <w:t xml:space="preserve"> et al, 2014</w:t>
            </w:r>
          </w:p>
        </w:tc>
        <w:tc>
          <w:tcPr>
            <w:tcW w:w="1984" w:type="dxa"/>
          </w:tcPr>
          <w:p w:rsidR="002724DF" w:rsidRPr="00A36FF9" w:rsidRDefault="002724DF" w:rsidP="00430306">
            <w:pPr>
              <w:pStyle w:val="TableText1"/>
            </w:pPr>
            <w:r>
              <w:t>W</w:t>
            </w:r>
            <w:r w:rsidRPr="002C2463">
              <w:t>omen at high risk based on family history</w:t>
            </w:r>
            <w:r>
              <w:t>, 35 years old</w:t>
            </w:r>
          </w:p>
        </w:tc>
        <w:tc>
          <w:tcPr>
            <w:tcW w:w="1276" w:type="dxa"/>
          </w:tcPr>
          <w:p w:rsidR="002724DF" w:rsidRDefault="002724DF" w:rsidP="00430306">
            <w:pPr>
              <w:pStyle w:val="TableText1"/>
            </w:pPr>
            <w:r>
              <w:t>Unites States</w:t>
            </w:r>
          </w:p>
        </w:tc>
        <w:tc>
          <w:tcPr>
            <w:tcW w:w="1559" w:type="dxa"/>
          </w:tcPr>
          <w:p w:rsidR="002724DF" w:rsidRDefault="002724DF" w:rsidP="00430306">
            <w:pPr>
              <w:pStyle w:val="TableText1"/>
            </w:pPr>
            <w:r>
              <w:t>USD9,844</w:t>
            </w:r>
          </w:p>
          <w:p w:rsidR="002724DF" w:rsidRDefault="002724DF" w:rsidP="00430306">
            <w:pPr>
              <w:pStyle w:val="TableText1"/>
            </w:pPr>
            <w:r>
              <w:t>(AUD15,685)</w:t>
            </w:r>
          </w:p>
          <w:p w:rsidR="002724DF" w:rsidRDefault="002724DF" w:rsidP="00430306">
            <w:pPr>
              <w:pStyle w:val="TableText1"/>
            </w:pPr>
          </w:p>
        </w:tc>
        <w:tc>
          <w:tcPr>
            <w:tcW w:w="851" w:type="dxa"/>
          </w:tcPr>
          <w:p w:rsidR="002724DF" w:rsidRPr="00A36FF9" w:rsidRDefault="002724DF" w:rsidP="00430306">
            <w:pPr>
              <w:pStyle w:val="TableText1"/>
            </w:pPr>
            <w:r>
              <w:t>0.32</w:t>
            </w:r>
          </w:p>
        </w:tc>
        <w:tc>
          <w:tcPr>
            <w:tcW w:w="992" w:type="dxa"/>
          </w:tcPr>
          <w:p w:rsidR="002724DF" w:rsidRPr="00A36FF9" w:rsidRDefault="002724DF" w:rsidP="00430306">
            <w:pPr>
              <w:pStyle w:val="TableText1"/>
            </w:pPr>
            <w:r>
              <w:t>-</w:t>
            </w:r>
          </w:p>
        </w:tc>
        <w:tc>
          <w:tcPr>
            <w:tcW w:w="1621" w:type="dxa"/>
          </w:tcPr>
          <w:p w:rsidR="002724DF" w:rsidRDefault="002724DF" w:rsidP="00430306">
            <w:pPr>
              <w:pStyle w:val="TableText1"/>
            </w:pPr>
            <w:r>
              <w:t>AUD49,016/QALY</w:t>
            </w:r>
          </w:p>
        </w:tc>
      </w:tr>
      <w:tr w:rsidR="002724DF" w:rsidRPr="00A36FF9" w:rsidTr="00601D4B">
        <w:trPr>
          <w:trHeight w:val="20"/>
        </w:trPr>
        <w:tc>
          <w:tcPr>
            <w:tcW w:w="959" w:type="dxa"/>
          </w:tcPr>
          <w:p w:rsidR="002724DF" w:rsidRPr="00A36FF9" w:rsidRDefault="002724DF" w:rsidP="00430306">
            <w:pPr>
              <w:pStyle w:val="TableText1"/>
            </w:pPr>
            <w:r>
              <w:t>NICE</w:t>
            </w:r>
            <w:r w:rsidR="00521AE9">
              <w:t>, 2013</w:t>
            </w:r>
          </w:p>
        </w:tc>
        <w:tc>
          <w:tcPr>
            <w:tcW w:w="1984" w:type="dxa"/>
          </w:tcPr>
          <w:p w:rsidR="002724DF" w:rsidRPr="00A36FF9" w:rsidRDefault="002724DF" w:rsidP="00430306">
            <w:pPr>
              <w:pStyle w:val="TableText1"/>
            </w:pPr>
            <w:r>
              <w:t>A</w:t>
            </w:r>
            <w:r w:rsidRPr="00A36FF9">
              <w:t>ffected individuals</w:t>
            </w:r>
            <w:r>
              <w:t xml:space="preserve">, </w:t>
            </w:r>
            <w:r w:rsidR="00601D4B">
              <w:t>40-49 years old</w:t>
            </w:r>
          </w:p>
        </w:tc>
        <w:tc>
          <w:tcPr>
            <w:tcW w:w="1276" w:type="dxa"/>
          </w:tcPr>
          <w:p w:rsidR="002724DF" w:rsidRPr="00A36FF9" w:rsidRDefault="002724DF" w:rsidP="00430306">
            <w:pPr>
              <w:pStyle w:val="TableText1"/>
            </w:pPr>
            <w:r>
              <w:t>United Kingdom</w:t>
            </w:r>
          </w:p>
        </w:tc>
        <w:tc>
          <w:tcPr>
            <w:tcW w:w="1559" w:type="dxa"/>
          </w:tcPr>
          <w:p w:rsidR="002724DF" w:rsidRDefault="002724DF" w:rsidP="00430306">
            <w:pPr>
              <w:pStyle w:val="TableText1"/>
            </w:pPr>
            <w:r>
              <w:t>GBP</w:t>
            </w:r>
            <w:r w:rsidRPr="00A36FF9">
              <w:t>1,086</w:t>
            </w:r>
          </w:p>
          <w:p w:rsidR="002724DF" w:rsidRPr="00A36FF9" w:rsidRDefault="002724DF" w:rsidP="00430306">
            <w:pPr>
              <w:pStyle w:val="TableText1"/>
            </w:pPr>
            <w:r w:rsidRPr="002C2463">
              <w:t>(AUD 2,</w:t>
            </w:r>
            <w:r>
              <w:t>580</w:t>
            </w:r>
            <w:r w:rsidRPr="002C2463">
              <w:t>)</w:t>
            </w:r>
          </w:p>
        </w:tc>
        <w:tc>
          <w:tcPr>
            <w:tcW w:w="851" w:type="dxa"/>
          </w:tcPr>
          <w:p w:rsidR="002724DF" w:rsidRPr="00A36FF9" w:rsidRDefault="002724DF" w:rsidP="00430306">
            <w:pPr>
              <w:pStyle w:val="TableText1"/>
            </w:pPr>
            <w:r w:rsidRPr="00A36FF9">
              <w:t>0.062</w:t>
            </w:r>
          </w:p>
        </w:tc>
        <w:tc>
          <w:tcPr>
            <w:tcW w:w="992" w:type="dxa"/>
          </w:tcPr>
          <w:p w:rsidR="002724DF" w:rsidRPr="00A36FF9" w:rsidRDefault="002724DF" w:rsidP="00430306">
            <w:pPr>
              <w:pStyle w:val="TableText1"/>
            </w:pPr>
            <w:r w:rsidRPr="00A36FF9">
              <w:t>0.09</w:t>
            </w:r>
          </w:p>
        </w:tc>
        <w:tc>
          <w:tcPr>
            <w:tcW w:w="1621" w:type="dxa"/>
          </w:tcPr>
          <w:p w:rsidR="002724DF" w:rsidRPr="00A36FF9" w:rsidRDefault="002724DF" w:rsidP="00430306">
            <w:pPr>
              <w:pStyle w:val="TableText1"/>
            </w:pPr>
            <w:r>
              <w:t>AUD43</w:t>
            </w:r>
            <w:r w:rsidRPr="00A36FF9">
              <w:t>,</w:t>
            </w:r>
            <w:r>
              <w:t>000/QALY</w:t>
            </w:r>
          </w:p>
        </w:tc>
      </w:tr>
      <w:tr w:rsidR="002724DF" w:rsidRPr="00A36FF9" w:rsidTr="00601D4B">
        <w:trPr>
          <w:trHeight w:val="20"/>
        </w:trPr>
        <w:tc>
          <w:tcPr>
            <w:tcW w:w="959" w:type="dxa"/>
          </w:tcPr>
          <w:p w:rsidR="002724DF" w:rsidRPr="00A36FF9" w:rsidRDefault="002724DF" w:rsidP="00430306">
            <w:pPr>
              <w:pStyle w:val="TableText1"/>
            </w:pPr>
            <w:r>
              <w:t>NICE</w:t>
            </w:r>
            <w:r w:rsidR="006F04DC">
              <w:t>, 2013</w:t>
            </w:r>
          </w:p>
        </w:tc>
        <w:tc>
          <w:tcPr>
            <w:tcW w:w="1984" w:type="dxa"/>
          </w:tcPr>
          <w:p w:rsidR="002724DF" w:rsidRPr="00A36FF9" w:rsidRDefault="002724DF" w:rsidP="00430306">
            <w:pPr>
              <w:pStyle w:val="TableText1"/>
            </w:pPr>
            <w:r w:rsidRPr="00A36FF9">
              <w:t>Women with relatives who tested positive</w:t>
            </w:r>
            <w:r>
              <w:t xml:space="preserve">, </w:t>
            </w:r>
            <w:r w:rsidRPr="00A36FF9">
              <w:t>40-49</w:t>
            </w:r>
            <w:r>
              <w:t xml:space="preserve"> years old</w:t>
            </w:r>
          </w:p>
        </w:tc>
        <w:tc>
          <w:tcPr>
            <w:tcW w:w="1276" w:type="dxa"/>
          </w:tcPr>
          <w:p w:rsidR="002724DF" w:rsidRPr="00A36FF9" w:rsidRDefault="002724DF" w:rsidP="00430306">
            <w:pPr>
              <w:pStyle w:val="TableText1"/>
            </w:pPr>
            <w:r>
              <w:t>United Kingdom</w:t>
            </w:r>
          </w:p>
        </w:tc>
        <w:tc>
          <w:tcPr>
            <w:tcW w:w="1559" w:type="dxa"/>
          </w:tcPr>
          <w:p w:rsidR="002724DF" w:rsidRDefault="002724DF" w:rsidP="00430306">
            <w:pPr>
              <w:pStyle w:val="TableText1"/>
            </w:pPr>
            <w:r>
              <w:t>GBP</w:t>
            </w:r>
            <w:r w:rsidRPr="00A36FF9">
              <w:t>1,108</w:t>
            </w:r>
          </w:p>
          <w:p w:rsidR="002724DF" w:rsidRPr="00A36FF9" w:rsidRDefault="002724DF" w:rsidP="00430306">
            <w:pPr>
              <w:pStyle w:val="TableText1"/>
            </w:pPr>
            <w:r w:rsidRPr="002C2463">
              <w:t>(AUD 2,625)</w:t>
            </w:r>
          </w:p>
        </w:tc>
        <w:tc>
          <w:tcPr>
            <w:tcW w:w="851" w:type="dxa"/>
          </w:tcPr>
          <w:p w:rsidR="002724DF" w:rsidRPr="00A36FF9" w:rsidRDefault="002724DF" w:rsidP="00430306">
            <w:pPr>
              <w:pStyle w:val="TableText1"/>
            </w:pPr>
            <w:r w:rsidRPr="00A36FF9">
              <w:t>0.1</w:t>
            </w:r>
          </w:p>
        </w:tc>
        <w:tc>
          <w:tcPr>
            <w:tcW w:w="992" w:type="dxa"/>
          </w:tcPr>
          <w:p w:rsidR="002724DF" w:rsidRPr="00A36FF9" w:rsidRDefault="002724DF" w:rsidP="00430306">
            <w:pPr>
              <w:pStyle w:val="TableText1"/>
            </w:pPr>
            <w:r w:rsidRPr="00A36FF9">
              <w:t>0.09</w:t>
            </w:r>
          </w:p>
        </w:tc>
        <w:tc>
          <w:tcPr>
            <w:tcW w:w="1621" w:type="dxa"/>
          </w:tcPr>
          <w:p w:rsidR="002724DF" w:rsidRPr="00A36FF9" w:rsidRDefault="002724DF" w:rsidP="00430306">
            <w:pPr>
              <w:pStyle w:val="TableText1"/>
            </w:pPr>
            <w:r>
              <w:t>AUD26,250/QALY</w:t>
            </w:r>
          </w:p>
        </w:tc>
      </w:tr>
    </w:tbl>
    <w:p w:rsidR="00351B14" w:rsidRPr="009108FA" w:rsidRDefault="002724DF" w:rsidP="00DD2858">
      <w:pPr>
        <w:rPr>
          <w:rFonts w:ascii="Arial Narrow" w:hAnsi="Arial Narrow" w:cs="Arial"/>
          <w:color w:val="000000"/>
          <w:sz w:val="20"/>
        </w:rPr>
      </w:pPr>
      <w:r w:rsidRPr="002C2463">
        <w:rPr>
          <w:rFonts w:ascii="Arial Narrow" w:hAnsi="Arial Narrow" w:cs="Arial"/>
          <w:color w:val="000000"/>
          <w:sz w:val="20"/>
        </w:rPr>
        <w:t xml:space="preserve">AUD = Australian </w:t>
      </w:r>
      <w:r>
        <w:rPr>
          <w:rFonts w:ascii="Arial Narrow" w:hAnsi="Arial Narrow" w:cs="Arial"/>
          <w:color w:val="000000"/>
          <w:sz w:val="20"/>
        </w:rPr>
        <w:t>D</w:t>
      </w:r>
      <w:r w:rsidRPr="002C2463">
        <w:rPr>
          <w:rFonts w:ascii="Arial Narrow" w:hAnsi="Arial Narrow" w:cs="Arial"/>
          <w:color w:val="000000"/>
          <w:sz w:val="20"/>
        </w:rPr>
        <w:t xml:space="preserve">ollar, USD = United States </w:t>
      </w:r>
      <w:r>
        <w:rPr>
          <w:rFonts w:ascii="Arial Narrow" w:hAnsi="Arial Narrow" w:cs="Arial"/>
          <w:color w:val="000000"/>
          <w:sz w:val="20"/>
        </w:rPr>
        <w:t>D</w:t>
      </w:r>
      <w:r w:rsidRPr="002C2463">
        <w:rPr>
          <w:rFonts w:ascii="Arial Narrow" w:hAnsi="Arial Narrow" w:cs="Arial"/>
          <w:color w:val="000000"/>
          <w:sz w:val="20"/>
        </w:rPr>
        <w:t xml:space="preserve">ollar, GBP = Great Britain </w:t>
      </w:r>
      <w:r>
        <w:rPr>
          <w:rFonts w:ascii="Arial Narrow" w:hAnsi="Arial Narrow" w:cs="Arial"/>
          <w:color w:val="000000"/>
          <w:sz w:val="20"/>
        </w:rPr>
        <w:t>P</w:t>
      </w:r>
      <w:r w:rsidRPr="002C2463">
        <w:rPr>
          <w:rFonts w:ascii="Arial Narrow" w:hAnsi="Arial Narrow" w:cs="Arial"/>
          <w:color w:val="000000"/>
          <w:sz w:val="20"/>
        </w:rPr>
        <w:t>ound, QALY = quality-adjusted life-year, ICER = incremental cost-effectiveness ratio</w:t>
      </w:r>
      <w:r>
        <w:rPr>
          <w:rFonts w:ascii="Arial Narrow" w:hAnsi="Arial Narrow" w:cs="Arial"/>
          <w:color w:val="000000"/>
          <w:sz w:val="20"/>
        </w:rPr>
        <w:t xml:space="preserve">, NICE = the National Institute for Health and Care Excellence </w:t>
      </w:r>
    </w:p>
    <w:p w:rsidR="00601D4B" w:rsidRDefault="00AA6825" w:rsidP="00601D4B">
      <w:pPr>
        <w:rPr>
          <w:szCs w:val="24"/>
        </w:rPr>
      </w:pPr>
      <w:r w:rsidRPr="009C5170">
        <w:rPr>
          <w:rFonts w:ascii="Arial" w:hAnsi="Arial" w:cs="Arial"/>
          <w:szCs w:val="24"/>
        </w:rPr>
        <w:t>F</w:t>
      </w:r>
      <w:r w:rsidRPr="004F50D3">
        <w:rPr>
          <w:szCs w:val="24"/>
        </w:rPr>
        <w:t xml:space="preserve">igure </w:t>
      </w:r>
      <w:r>
        <w:rPr>
          <w:szCs w:val="24"/>
        </w:rPr>
        <w:t>8</w:t>
      </w:r>
      <w:r w:rsidRPr="004F50D3">
        <w:rPr>
          <w:szCs w:val="24"/>
        </w:rPr>
        <w:t xml:space="preserve"> is a tornado diagram (one-way sensitivity analysis) illustrating the sensitivity of the model to the various model variables</w:t>
      </w:r>
      <w:r>
        <w:rPr>
          <w:szCs w:val="24"/>
        </w:rPr>
        <w:t xml:space="preserve"> for the base-</w:t>
      </w:r>
      <w:r w:rsidRPr="004F50D3">
        <w:rPr>
          <w:szCs w:val="24"/>
        </w:rPr>
        <w:t>case scenario.</w:t>
      </w:r>
    </w:p>
    <w:p w:rsidR="00AA6825" w:rsidRPr="009108FA" w:rsidRDefault="00AA6825" w:rsidP="009108FA">
      <w:pPr>
        <w:spacing w:after="120"/>
        <w:rPr>
          <w:b/>
        </w:rPr>
      </w:pPr>
      <w:r w:rsidRPr="009C5170">
        <w:rPr>
          <w:rFonts w:ascii="Arial Narrow" w:hAnsi="Arial Narrow" w:cs="Arial"/>
          <w:b/>
          <w:color w:val="000000"/>
          <w:sz w:val="20"/>
        </w:rPr>
        <w:lastRenderedPageBreak/>
        <w:t>Figure</w:t>
      </w:r>
      <w:r>
        <w:rPr>
          <w:rFonts w:ascii="Arial Narrow" w:hAnsi="Arial Narrow" w:cs="Arial"/>
          <w:b/>
          <w:color w:val="000000"/>
          <w:sz w:val="20"/>
        </w:rPr>
        <w:t xml:space="preserve"> 8</w:t>
      </w:r>
      <w:r w:rsidRPr="009C5170">
        <w:rPr>
          <w:rFonts w:ascii="Arial Narrow" w:hAnsi="Arial Narrow" w:cs="Arial"/>
          <w:b/>
          <w:color w:val="000000"/>
          <w:sz w:val="20"/>
        </w:rPr>
        <w:t>:</w:t>
      </w:r>
      <w:r>
        <w:rPr>
          <w:rFonts w:ascii="Arial Narrow" w:hAnsi="Arial Narrow" w:cs="Arial"/>
          <w:b/>
          <w:color w:val="000000"/>
          <w:sz w:val="20"/>
        </w:rPr>
        <w:t xml:space="preserve"> Tornado diagram of the results sensitivity to model variables </w:t>
      </w:r>
      <w:r>
        <w:rPr>
          <w:noProof/>
        </w:rPr>
        <w:drawing>
          <wp:inline distT="0" distB="0" distL="0" distR="0" wp14:anchorId="2329BF1A" wp14:editId="1394FC86">
            <wp:extent cx="5712977" cy="3010238"/>
            <wp:effectExtent l="0" t="0" r="2540" b="0"/>
            <wp:docPr id="305" name="Picture 305" descr="Figure 8: Tornado diagram of the results sensitivity to model variables. An overarching describing for Figure 8 has been provided prior to thi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2977" cy="3010238"/>
                    </a:xfrm>
                    <a:prstGeom prst="rect">
                      <a:avLst/>
                    </a:prstGeom>
                    <a:noFill/>
                    <a:ln>
                      <a:noFill/>
                    </a:ln>
                  </pic:spPr>
                </pic:pic>
              </a:graphicData>
            </a:graphic>
          </wp:inline>
        </w:drawing>
      </w:r>
    </w:p>
    <w:p w:rsidR="00AA6825" w:rsidRDefault="00AA6825" w:rsidP="00AA6825">
      <w:pPr>
        <w:rPr>
          <w:szCs w:val="24"/>
        </w:rPr>
      </w:pPr>
      <w:r w:rsidRPr="004F50D3">
        <w:rPr>
          <w:szCs w:val="24"/>
        </w:rPr>
        <w:t xml:space="preserve">From the tornado diagram, the ICER </w:t>
      </w:r>
      <w:r w:rsidR="009555E7">
        <w:rPr>
          <w:szCs w:val="24"/>
        </w:rPr>
        <w:t>wa</w:t>
      </w:r>
      <w:r w:rsidRPr="004F50D3">
        <w:rPr>
          <w:szCs w:val="24"/>
        </w:rPr>
        <w:t xml:space="preserve">s most sensitive to discount rate, cost of surveillance and the probability of BRCA mutation positive in affected individuals. Table </w:t>
      </w:r>
      <w:r>
        <w:rPr>
          <w:szCs w:val="24"/>
        </w:rPr>
        <w:t>11</w:t>
      </w:r>
      <w:r w:rsidRPr="004F50D3">
        <w:rPr>
          <w:szCs w:val="24"/>
        </w:rPr>
        <w:t xml:space="preserve"> presents a univariate sensitivity analysis of these key variables.</w:t>
      </w:r>
    </w:p>
    <w:p w:rsidR="00B44E0A" w:rsidRDefault="00B44E0A">
      <w:pPr>
        <w:rPr>
          <w:szCs w:val="24"/>
        </w:rPr>
      </w:pPr>
      <w:r>
        <w:rPr>
          <w:szCs w:val="24"/>
        </w:rPr>
        <w:br w:type="page"/>
      </w:r>
    </w:p>
    <w:p w:rsidR="00AA6825" w:rsidRPr="00DA2544" w:rsidRDefault="00AA6825" w:rsidP="00430306">
      <w:pPr>
        <w:spacing w:after="0"/>
        <w:rPr>
          <w:rFonts w:ascii="Arial Narrow" w:hAnsi="Arial Narrow" w:cs="Arial"/>
          <w:b/>
          <w:color w:val="000000"/>
          <w:sz w:val="20"/>
        </w:rPr>
      </w:pPr>
      <w:r w:rsidRPr="00DA2544">
        <w:rPr>
          <w:rFonts w:ascii="Arial Narrow" w:hAnsi="Arial Narrow" w:cs="Arial"/>
          <w:b/>
          <w:color w:val="000000"/>
          <w:sz w:val="20"/>
        </w:rPr>
        <w:lastRenderedPageBreak/>
        <w:t xml:space="preserve">Table </w:t>
      </w:r>
      <w:r>
        <w:rPr>
          <w:rFonts w:ascii="Arial Narrow" w:hAnsi="Arial Narrow" w:cs="Arial"/>
          <w:b/>
          <w:color w:val="000000"/>
          <w:sz w:val="20"/>
        </w:rPr>
        <w:t>11: U</w:t>
      </w:r>
      <w:r w:rsidRPr="00DA2544">
        <w:rPr>
          <w:rFonts w:ascii="Arial Narrow" w:hAnsi="Arial Narrow" w:cs="Arial"/>
          <w:b/>
          <w:color w:val="000000"/>
          <w:sz w:val="20"/>
        </w:rPr>
        <w:t>nivariate sensitivity analysis</w:t>
      </w:r>
    </w:p>
    <w:tbl>
      <w:tblPr>
        <w:tblStyle w:val="TableGrid"/>
        <w:tblW w:w="0" w:type="auto"/>
        <w:tblLook w:val="04A0" w:firstRow="1" w:lastRow="0" w:firstColumn="1" w:lastColumn="0" w:noHBand="0" w:noVBand="1"/>
        <w:tblDescription w:val="Table 11: Univariate sensitivity analysis"/>
      </w:tblPr>
      <w:tblGrid>
        <w:gridCol w:w="4786"/>
        <w:gridCol w:w="1559"/>
        <w:gridCol w:w="1788"/>
        <w:gridCol w:w="1109"/>
      </w:tblGrid>
      <w:tr w:rsidR="00AA6825" w:rsidRPr="00430306" w:rsidTr="000D2AE3">
        <w:trPr>
          <w:tblHeader/>
        </w:trPr>
        <w:tc>
          <w:tcPr>
            <w:tcW w:w="4786" w:type="dxa"/>
          </w:tcPr>
          <w:p w:rsidR="00AA6825" w:rsidRPr="001165A2" w:rsidRDefault="00AA6825" w:rsidP="00430306">
            <w:pPr>
              <w:pStyle w:val="TableText1"/>
            </w:pPr>
          </w:p>
        </w:tc>
        <w:tc>
          <w:tcPr>
            <w:tcW w:w="1559" w:type="dxa"/>
            <w:vAlign w:val="center"/>
          </w:tcPr>
          <w:p w:rsidR="00AA6825" w:rsidRPr="00430306" w:rsidRDefault="00AA6825" w:rsidP="00430306">
            <w:pPr>
              <w:pStyle w:val="TableText1"/>
              <w:rPr>
                <w:b/>
              </w:rPr>
            </w:pPr>
            <w:r w:rsidRPr="00430306">
              <w:rPr>
                <w:b/>
              </w:rPr>
              <w:t>Incremental cost</w:t>
            </w:r>
          </w:p>
        </w:tc>
        <w:tc>
          <w:tcPr>
            <w:tcW w:w="1788" w:type="dxa"/>
            <w:vAlign w:val="center"/>
          </w:tcPr>
          <w:p w:rsidR="00AA6825" w:rsidRPr="00430306" w:rsidRDefault="00AA6825" w:rsidP="00430306">
            <w:pPr>
              <w:pStyle w:val="TableText1"/>
              <w:rPr>
                <w:b/>
              </w:rPr>
            </w:pPr>
            <w:r w:rsidRPr="00430306">
              <w:rPr>
                <w:b/>
              </w:rPr>
              <w:t>Incremental QALY</w:t>
            </w:r>
          </w:p>
        </w:tc>
        <w:tc>
          <w:tcPr>
            <w:tcW w:w="1109" w:type="dxa"/>
            <w:vAlign w:val="center"/>
          </w:tcPr>
          <w:p w:rsidR="00AA6825" w:rsidRPr="00430306" w:rsidRDefault="00AA6825" w:rsidP="00430306">
            <w:pPr>
              <w:pStyle w:val="TableText1"/>
              <w:rPr>
                <w:b/>
              </w:rPr>
            </w:pPr>
            <w:r w:rsidRPr="00430306">
              <w:rPr>
                <w:b/>
              </w:rPr>
              <w:t>ICER/QALY</w:t>
            </w:r>
          </w:p>
        </w:tc>
      </w:tr>
      <w:tr w:rsidR="00AA6825" w:rsidRPr="00FF4F58" w:rsidTr="009555E7">
        <w:tc>
          <w:tcPr>
            <w:tcW w:w="4786" w:type="dxa"/>
          </w:tcPr>
          <w:p w:rsidR="00AA6825" w:rsidRPr="00ED6CB5" w:rsidRDefault="00AA6825" w:rsidP="00430306">
            <w:pPr>
              <w:pStyle w:val="TableText1"/>
            </w:pPr>
            <w:r w:rsidRPr="00ED6CB5">
              <w:t>Base case</w:t>
            </w:r>
          </w:p>
        </w:tc>
        <w:tc>
          <w:tcPr>
            <w:tcW w:w="1559" w:type="dxa"/>
          </w:tcPr>
          <w:p w:rsidR="00AA6825" w:rsidRPr="00FF4F58" w:rsidRDefault="00AA6825" w:rsidP="00430306">
            <w:pPr>
              <w:pStyle w:val="TableText1"/>
            </w:pPr>
            <w:r w:rsidRPr="00DA2544">
              <w:rPr>
                <w:color w:val="000000"/>
              </w:rPr>
              <w:t>$3,</w:t>
            </w:r>
            <w:r>
              <w:rPr>
                <w:color w:val="000000"/>
              </w:rPr>
              <w:t>470</w:t>
            </w:r>
          </w:p>
        </w:tc>
        <w:tc>
          <w:tcPr>
            <w:tcW w:w="1788" w:type="dxa"/>
          </w:tcPr>
          <w:p w:rsidR="00AA6825" w:rsidRPr="00FF4F58" w:rsidRDefault="00AA6825" w:rsidP="00430306">
            <w:pPr>
              <w:pStyle w:val="TableText1"/>
              <w:rPr>
                <w:color w:val="000000"/>
              </w:rPr>
            </w:pPr>
            <w:r w:rsidRPr="00FF4F58">
              <w:rPr>
                <w:color w:val="000000"/>
              </w:rPr>
              <w:t>0.19</w:t>
            </w:r>
          </w:p>
        </w:tc>
        <w:tc>
          <w:tcPr>
            <w:tcW w:w="1109" w:type="dxa"/>
          </w:tcPr>
          <w:p w:rsidR="00AA6825" w:rsidRPr="00FF4F58" w:rsidRDefault="00AA6825" w:rsidP="00430306">
            <w:pPr>
              <w:pStyle w:val="TableText1"/>
              <w:rPr>
                <w:color w:val="000000"/>
              </w:rPr>
            </w:pPr>
            <w:r>
              <w:rPr>
                <w:color w:val="000000"/>
              </w:rPr>
              <w:t>$18,283</w:t>
            </w:r>
          </w:p>
        </w:tc>
      </w:tr>
      <w:tr w:rsidR="00AA6825" w:rsidRPr="00FF4F58" w:rsidTr="009555E7">
        <w:tc>
          <w:tcPr>
            <w:tcW w:w="4786" w:type="dxa"/>
          </w:tcPr>
          <w:p w:rsidR="00AA6825" w:rsidRPr="00ED6CB5" w:rsidRDefault="00AA6825" w:rsidP="00430306">
            <w:pPr>
              <w:pStyle w:val="TableText1"/>
            </w:pPr>
            <w:r w:rsidRPr="00ED6CB5">
              <w:t>Discount rate 3%</w:t>
            </w:r>
          </w:p>
        </w:tc>
        <w:tc>
          <w:tcPr>
            <w:tcW w:w="1559" w:type="dxa"/>
          </w:tcPr>
          <w:p w:rsidR="00AA6825" w:rsidRPr="00FF4F58" w:rsidRDefault="00AA6825" w:rsidP="00430306">
            <w:pPr>
              <w:pStyle w:val="TableText1"/>
            </w:pPr>
            <w:r w:rsidRPr="00FF4F58">
              <w:t>$</w:t>
            </w:r>
            <w:r>
              <w:t>3,216</w:t>
            </w:r>
          </w:p>
        </w:tc>
        <w:tc>
          <w:tcPr>
            <w:tcW w:w="1788" w:type="dxa"/>
          </w:tcPr>
          <w:p w:rsidR="00AA6825" w:rsidRPr="00FF4F58" w:rsidRDefault="00AA6825" w:rsidP="00430306">
            <w:pPr>
              <w:pStyle w:val="TableText1"/>
            </w:pPr>
            <w:r w:rsidRPr="00FF4F58">
              <w:t>0.32</w:t>
            </w:r>
          </w:p>
        </w:tc>
        <w:tc>
          <w:tcPr>
            <w:tcW w:w="1109" w:type="dxa"/>
          </w:tcPr>
          <w:p w:rsidR="00AA6825" w:rsidRPr="00FF4F58" w:rsidRDefault="00AA6825" w:rsidP="00430306">
            <w:pPr>
              <w:pStyle w:val="TableText1"/>
            </w:pPr>
            <w:r w:rsidRPr="00FF4F58">
              <w:t>$</w:t>
            </w:r>
            <w:r>
              <w:t>10,192</w:t>
            </w:r>
          </w:p>
        </w:tc>
      </w:tr>
      <w:tr w:rsidR="00AA6825" w:rsidRPr="00FF4F58" w:rsidTr="009555E7">
        <w:tc>
          <w:tcPr>
            <w:tcW w:w="4786" w:type="dxa"/>
          </w:tcPr>
          <w:p w:rsidR="00AA6825" w:rsidRPr="00ED6CB5" w:rsidRDefault="00AA6825" w:rsidP="00430306">
            <w:pPr>
              <w:pStyle w:val="TableText1"/>
            </w:pPr>
            <w:r>
              <w:t>Applying s</w:t>
            </w:r>
            <w:r w:rsidRPr="00ED6CB5">
              <w:t xml:space="preserve">urveillance cost </w:t>
            </w:r>
            <w:r>
              <w:t xml:space="preserve">($90) </w:t>
            </w:r>
            <w:r w:rsidRPr="00ED6CB5">
              <w:t>to</w:t>
            </w:r>
            <w:r>
              <w:t xml:space="preserve"> </w:t>
            </w:r>
            <w:proofErr w:type="spellStart"/>
            <w:r>
              <w:t>proband’s</w:t>
            </w:r>
            <w:proofErr w:type="spellEnd"/>
            <w:r>
              <w:t xml:space="preserve"> children who test positive,</w:t>
            </w:r>
            <w:r w:rsidRPr="00ED6CB5">
              <w:t xml:space="preserve"> </w:t>
            </w:r>
            <w:r w:rsidR="00601D4B">
              <w:t xml:space="preserve">family members who opt for </w:t>
            </w:r>
            <w:r w:rsidRPr="00ED6CB5">
              <w:t>BSO only</w:t>
            </w:r>
            <w:r>
              <w:t xml:space="preserve"> </w:t>
            </w:r>
            <w:r w:rsidRPr="00ED6CB5">
              <w:t xml:space="preserve">in the </w:t>
            </w:r>
            <w:r w:rsidR="009555E7">
              <w:t>genetic t</w:t>
            </w:r>
            <w:r>
              <w:t xml:space="preserve">esting arm, </w:t>
            </w:r>
            <w:r w:rsidRPr="00ED6CB5">
              <w:t xml:space="preserve">and </w:t>
            </w:r>
            <w:r>
              <w:t xml:space="preserve">to family members in the </w:t>
            </w:r>
            <w:r w:rsidR="009555E7">
              <w:t>n</w:t>
            </w:r>
            <w:r>
              <w:t xml:space="preserve">o </w:t>
            </w:r>
            <w:r w:rsidR="009555E7">
              <w:t>t</w:t>
            </w:r>
            <w:r>
              <w:t>esting arm</w:t>
            </w:r>
          </w:p>
        </w:tc>
        <w:tc>
          <w:tcPr>
            <w:tcW w:w="1559" w:type="dxa"/>
          </w:tcPr>
          <w:p w:rsidR="00AA6825" w:rsidRPr="00FF4F58" w:rsidRDefault="00AA6825" w:rsidP="00430306">
            <w:pPr>
              <w:pStyle w:val="TableText1"/>
            </w:pPr>
            <w:r w:rsidRPr="00FF4F58">
              <w:t>$</w:t>
            </w:r>
            <w:r>
              <w:t>3,274</w:t>
            </w:r>
          </w:p>
        </w:tc>
        <w:tc>
          <w:tcPr>
            <w:tcW w:w="1788" w:type="dxa"/>
          </w:tcPr>
          <w:p w:rsidR="00AA6825" w:rsidRPr="00FF4F58" w:rsidRDefault="00AA6825" w:rsidP="00430306">
            <w:pPr>
              <w:pStyle w:val="TableText1"/>
            </w:pPr>
            <w:r w:rsidRPr="00FF4F58">
              <w:t>0.19</w:t>
            </w:r>
          </w:p>
        </w:tc>
        <w:tc>
          <w:tcPr>
            <w:tcW w:w="1109" w:type="dxa"/>
          </w:tcPr>
          <w:p w:rsidR="00AA6825" w:rsidRPr="00FF4F58" w:rsidRDefault="00AA6825" w:rsidP="00430306">
            <w:pPr>
              <w:pStyle w:val="TableText1"/>
            </w:pPr>
            <w:r w:rsidRPr="00FF4F58">
              <w:t>$</w:t>
            </w:r>
            <w:r>
              <w:t>17,253</w:t>
            </w:r>
          </w:p>
        </w:tc>
      </w:tr>
      <w:tr w:rsidR="00AA6825" w:rsidRPr="00FF4F58" w:rsidTr="009555E7">
        <w:tc>
          <w:tcPr>
            <w:tcW w:w="4786" w:type="dxa"/>
          </w:tcPr>
          <w:p w:rsidR="00AA6825" w:rsidRPr="00ED6CB5" w:rsidRDefault="00AA6825" w:rsidP="00430306">
            <w:pPr>
              <w:pStyle w:val="TableText1"/>
            </w:pPr>
            <w:r w:rsidRPr="00ED6CB5">
              <w:t xml:space="preserve">Probability </w:t>
            </w:r>
            <w:r w:rsidRPr="009555E7">
              <w:rPr>
                <w:i/>
              </w:rPr>
              <w:t>BRCA</w:t>
            </w:r>
            <w:r>
              <w:t xml:space="preserve"> mutation positive in affected individuals</w:t>
            </w:r>
            <w:r w:rsidRPr="00ED6CB5">
              <w:t xml:space="preserve"> 10%</w:t>
            </w:r>
          </w:p>
        </w:tc>
        <w:tc>
          <w:tcPr>
            <w:tcW w:w="1559" w:type="dxa"/>
          </w:tcPr>
          <w:p w:rsidR="00AA6825" w:rsidRPr="00FF4F58" w:rsidRDefault="00AA6825" w:rsidP="00430306">
            <w:pPr>
              <w:pStyle w:val="TableText1"/>
            </w:pPr>
            <w:r w:rsidRPr="00FF4F58">
              <w:t>$</w:t>
            </w:r>
            <w:r>
              <w:t>2,888</w:t>
            </w:r>
          </w:p>
        </w:tc>
        <w:tc>
          <w:tcPr>
            <w:tcW w:w="1788" w:type="dxa"/>
          </w:tcPr>
          <w:p w:rsidR="00AA6825" w:rsidRPr="00FF4F58" w:rsidRDefault="00AA6825" w:rsidP="00430306">
            <w:pPr>
              <w:pStyle w:val="TableText1"/>
            </w:pPr>
            <w:r w:rsidRPr="00FF4F58">
              <w:t>0.13</w:t>
            </w:r>
          </w:p>
        </w:tc>
        <w:tc>
          <w:tcPr>
            <w:tcW w:w="1109" w:type="dxa"/>
          </w:tcPr>
          <w:p w:rsidR="00AA6825" w:rsidRPr="00FF4F58" w:rsidRDefault="00AA6825" w:rsidP="00430306">
            <w:pPr>
              <w:pStyle w:val="TableText1"/>
            </w:pPr>
            <w:r w:rsidRPr="00FF4F58">
              <w:t>$</w:t>
            </w:r>
            <w:r>
              <w:t>22,828</w:t>
            </w:r>
          </w:p>
        </w:tc>
      </w:tr>
      <w:tr w:rsidR="00AA6825" w:rsidRPr="00FF4F58" w:rsidTr="009555E7">
        <w:tc>
          <w:tcPr>
            <w:tcW w:w="4786" w:type="dxa"/>
          </w:tcPr>
          <w:p w:rsidR="00AA6825" w:rsidRPr="00ED6CB5" w:rsidRDefault="00AA6825" w:rsidP="00430306">
            <w:pPr>
              <w:pStyle w:val="TableText1"/>
            </w:pPr>
            <w:r w:rsidRPr="00ED6CB5">
              <w:t xml:space="preserve">Probability </w:t>
            </w:r>
            <w:r w:rsidRPr="009555E7">
              <w:rPr>
                <w:i/>
              </w:rPr>
              <w:t>BRCA</w:t>
            </w:r>
            <w:r>
              <w:t xml:space="preserve"> mutation positive in affected individuals</w:t>
            </w:r>
            <w:r w:rsidRPr="00ED6CB5">
              <w:t xml:space="preserve"> </w:t>
            </w:r>
            <w:r>
              <w:t>2</w:t>
            </w:r>
            <w:r w:rsidRPr="00ED6CB5">
              <w:t>0%</w:t>
            </w:r>
          </w:p>
        </w:tc>
        <w:tc>
          <w:tcPr>
            <w:tcW w:w="1559" w:type="dxa"/>
          </w:tcPr>
          <w:p w:rsidR="00AA6825" w:rsidRPr="00FF4F58" w:rsidRDefault="00AA6825" w:rsidP="00430306">
            <w:pPr>
              <w:pStyle w:val="TableText1"/>
            </w:pPr>
            <w:r w:rsidRPr="00FF4F58">
              <w:t>$4,</w:t>
            </w:r>
            <w:r>
              <w:t>052</w:t>
            </w:r>
          </w:p>
        </w:tc>
        <w:tc>
          <w:tcPr>
            <w:tcW w:w="1788" w:type="dxa"/>
          </w:tcPr>
          <w:p w:rsidR="00AA6825" w:rsidRPr="00FF4F58" w:rsidRDefault="00AA6825" w:rsidP="00430306">
            <w:pPr>
              <w:pStyle w:val="TableText1"/>
            </w:pPr>
            <w:r w:rsidRPr="00FF4F58">
              <w:t>0.25</w:t>
            </w:r>
          </w:p>
        </w:tc>
        <w:tc>
          <w:tcPr>
            <w:tcW w:w="1109" w:type="dxa"/>
          </w:tcPr>
          <w:p w:rsidR="00AA6825" w:rsidRPr="00FF4F58" w:rsidRDefault="00AA6825" w:rsidP="00430306">
            <w:pPr>
              <w:pStyle w:val="TableText1"/>
            </w:pPr>
            <w:r>
              <w:t>$16,012</w:t>
            </w:r>
          </w:p>
        </w:tc>
      </w:tr>
    </w:tbl>
    <w:p w:rsidR="00601D4B" w:rsidRPr="009108FA" w:rsidRDefault="00AA6825" w:rsidP="009108FA">
      <w:pPr>
        <w:rPr>
          <w:rFonts w:ascii="Arial Narrow" w:hAnsi="Arial Narrow" w:cs="Arial"/>
          <w:sz w:val="20"/>
        </w:rPr>
      </w:pPr>
      <w:r w:rsidRPr="002C2463">
        <w:rPr>
          <w:rFonts w:ascii="Arial Narrow" w:hAnsi="Arial Narrow" w:cs="Arial"/>
          <w:color w:val="000000"/>
          <w:sz w:val="20"/>
        </w:rPr>
        <w:t>QALY = quality-adjusted life-year, ICER = incremental cost-effectiveness ratio</w:t>
      </w:r>
      <w:r>
        <w:rPr>
          <w:rFonts w:ascii="Arial Narrow" w:hAnsi="Arial Narrow" w:cs="Arial"/>
          <w:color w:val="000000"/>
          <w:sz w:val="20"/>
        </w:rPr>
        <w:t xml:space="preserve">, </w:t>
      </w:r>
      <w:r w:rsidRPr="002235BE">
        <w:rPr>
          <w:rFonts w:ascii="Arial Narrow" w:hAnsi="Arial Narrow" w:cs="Arial"/>
          <w:sz w:val="20"/>
        </w:rPr>
        <w:t xml:space="preserve">BSO = </w:t>
      </w:r>
      <w:proofErr w:type="spellStart"/>
      <w:r w:rsidRPr="002235BE">
        <w:rPr>
          <w:rFonts w:ascii="Arial Narrow" w:hAnsi="Arial Narrow" w:cs="Arial"/>
          <w:sz w:val="20"/>
        </w:rPr>
        <w:t>salpingo</w:t>
      </w:r>
      <w:proofErr w:type="spellEnd"/>
      <w:r w:rsidRPr="002235BE">
        <w:rPr>
          <w:rFonts w:ascii="Arial Narrow" w:hAnsi="Arial Narrow" w:cs="Arial"/>
          <w:sz w:val="20"/>
        </w:rPr>
        <w:t>-oophorectomy</w:t>
      </w:r>
    </w:p>
    <w:p w:rsidR="00351B14" w:rsidRPr="009108FA" w:rsidRDefault="00AA6825" w:rsidP="009108FA">
      <w:pPr>
        <w:pStyle w:val="Heading1"/>
        <w:keepNext w:val="0"/>
        <w:keepLines w:val="0"/>
        <w:rPr>
          <w:rFonts w:ascii="Times New Roman" w:eastAsiaTheme="minorHAnsi" w:hAnsi="Times New Roman"/>
          <w:b w:val="0"/>
          <w:szCs w:val="24"/>
        </w:rPr>
      </w:pPr>
      <w:r w:rsidRPr="00AA6825">
        <w:rPr>
          <w:rFonts w:ascii="Times New Roman" w:eastAsiaTheme="minorHAnsi" w:hAnsi="Times New Roman"/>
          <w:b w:val="0"/>
          <w:szCs w:val="24"/>
        </w:rPr>
        <w:t>The sensitivity analysis in</w:t>
      </w:r>
      <w:r w:rsidR="009555E7">
        <w:rPr>
          <w:rFonts w:ascii="Times New Roman" w:eastAsiaTheme="minorHAnsi" w:hAnsi="Times New Roman"/>
          <w:b w:val="0"/>
          <w:szCs w:val="24"/>
        </w:rPr>
        <w:t>dicated</w:t>
      </w:r>
      <w:r w:rsidRPr="00AA6825">
        <w:rPr>
          <w:rFonts w:ascii="Times New Roman" w:eastAsiaTheme="minorHAnsi" w:hAnsi="Times New Roman"/>
          <w:b w:val="0"/>
          <w:szCs w:val="24"/>
        </w:rPr>
        <w:t xml:space="preserve"> that genetic testing </w:t>
      </w:r>
      <w:r w:rsidR="009555E7">
        <w:rPr>
          <w:rFonts w:ascii="Times New Roman" w:eastAsiaTheme="minorHAnsi" w:hAnsi="Times New Roman"/>
          <w:b w:val="0"/>
          <w:szCs w:val="24"/>
        </w:rPr>
        <w:t>wa</w:t>
      </w:r>
      <w:r w:rsidRPr="00AA6825">
        <w:rPr>
          <w:rFonts w:ascii="Times New Roman" w:eastAsiaTheme="minorHAnsi" w:hAnsi="Times New Roman"/>
          <w:b w:val="0"/>
          <w:szCs w:val="24"/>
        </w:rPr>
        <w:t>s cost-effective compared with no testing with an ICER ranging from $10,000/QALY gained to $23,000/QALY gained.</w:t>
      </w:r>
    </w:p>
    <w:p w:rsidR="00BC1364" w:rsidRDefault="00BC1364" w:rsidP="00D340DE">
      <w:pPr>
        <w:pStyle w:val="Heading1"/>
        <w:numPr>
          <w:ilvl w:val="0"/>
          <w:numId w:val="23"/>
        </w:numPr>
        <w:ind w:hanging="720"/>
      </w:pPr>
      <w:r w:rsidRPr="008D5885">
        <w:t>Financial/budgetary impacts</w:t>
      </w:r>
    </w:p>
    <w:p w:rsidR="00BC1364" w:rsidRPr="009108FA" w:rsidRDefault="00AA6825" w:rsidP="00D340DE">
      <w:pPr>
        <w:rPr>
          <w:b/>
          <w:szCs w:val="24"/>
        </w:rPr>
      </w:pPr>
      <w:r w:rsidRPr="004F50D3">
        <w:rPr>
          <w:szCs w:val="24"/>
        </w:rPr>
        <w:t xml:space="preserve">An epidemiological approach was used to estimate the financial implications of testing </w:t>
      </w:r>
      <w:r>
        <w:rPr>
          <w:szCs w:val="24"/>
        </w:rPr>
        <w:t>affected individuals</w:t>
      </w:r>
      <w:r w:rsidRPr="004F50D3">
        <w:rPr>
          <w:szCs w:val="24"/>
        </w:rPr>
        <w:t xml:space="preserve"> who meet the eligibility criteria specified in Section 1.5 of the CUC and for family members of those </w:t>
      </w:r>
      <w:r w:rsidR="00CE72CC">
        <w:rPr>
          <w:szCs w:val="24"/>
        </w:rPr>
        <w:t xml:space="preserve">individuals </w:t>
      </w:r>
      <w:r w:rsidRPr="004F50D3">
        <w:rPr>
          <w:szCs w:val="24"/>
        </w:rPr>
        <w:t>who are positive for mutations</w:t>
      </w:r>
      <w:r>
        <w:rPr>
          <w:szCs w:val="24"/>
        </w:rPr>
        <w:t xml:space="preserve"> in </w:t>
      </w:r>
      <w:r w:rsidRPr="00E47311">
        <w:rPr>
          <w:i/>
          <w:szCs w:val="24"/>
        </w:rPr>
        <w:t>BRCA1</w:t>
      </w:r>
      <w:r w:rsidRPr="004F50D3">
        <w:rPr>
          <w:szCs w:val="24"/>
        </w:rPr>
        <w:t xml:space="preserve"> or </w:t>
      </w:r>
      <w:r w:rsidRPr="00E47311">
        <w:rPr>
          <w:i/>
          <w:szCs w:val="24"/>
        </w:rPr>
        <w:t>BRCA2</w:t>
      </w:r>
      <w:r w:rsidRPr="004F50D3">
        <w:rPr>
          <w:szCs w:val="24"/>
        </w:rPr>
        <w:t>.</w:t>
      </w:r>
    </w:p>
    <w:p w:rsidR="00E47311" w:rsidRPr="009108FA" w:rsidRDefault="00AA6825" w:rsidP="009108FA">
      <w:pPr>
        <w:tabs>
          <w:tab w:val="left" w:pos="284"/>
        </w:tabs>
        <w:rPr>
          <w:szCs w:val="24"/>
        </w:rPr>
      </w:pPr>
      <w:r>
        <w:rPr>
          <w:szCs w:val="24"/>
        </w:rPr>
        <w:t xml:space="preserve">A summary of the total costs of testing, counselling and preventive surgeries to affected individuals and siblings </w:t>
      </w:r>
      <w:r w:rsidR="009555E7">
        <w:rPr>
          <w:szCs w:val="24"/>
        </w:rPr>
        <w:t>is</w:t>
      </w:r>
      <w:r>
        <w:rPr>
          <w:szCs w:val="24"/>
        </w:rPr>
        <w:t xml:space="preserve"> presented in Table 12.</w:t>
      </w:r>
    </w:p>
    <w:p w:rsidR="00AA6825" w:rsidRDefault="00AA6825" w:rsidP="00430306">
      <w:pPr>
        <w:tabs>
          <w:tab w:val="left" w:pos="284"/>
        </w:tabs>
        <w:spacing w:after="0"/>
        <w:rPr>
          <w:rFonts w:ascii="Arial Narrow" w:hAnsi="Arial Narrow"/>
          <w:b/>
          <w:sz w:val="20"/>
        </w:rPr>
      </w:pPr>
      <w:r>
        <w:rPr>
          <w:rFonts w:ascii="Arial Narrow" w:hAnsi="Arial Narrow"/>
          <w:b/>
          <w:sz w:val="20"/>
        </w:rPr>
        <w:t>Table 12: Summary of net costs to Government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12: Summary of net costs to Government"/>
      </w:tblPr>
      <w:tblGrid>
        <w:gridCol w:w="3650"/>
        <w:gridCol w:w="1119"/>
        <w:gridCol w:w="1119"/>
        <w:gridCol w:w="1118"/>
        <w:gridCol w:w="1118"/>
        <w:gridCol w:w="1118"/>
      </w:tblGrid>
      <w:tr w:rsidR="00AA6825" w:rsidTr="00D1277F">
        <w:trPr>
          <w:trHeight w:val="315"/>
        </w:trPr>
        <w:tc>
          <w:tcPr>
            <w:tcW w:w="1973" w:type="pct"/>
            <w:tcBorders>
              <w:top w:val="single" w:sz="4" w:space="0" w:color="auto"/>
              <w:left w:val="single" w:sz="4" w:space="0" w:color="auto"/>
              <w:bottom w:val="single" w:sz="4" w:space="0" w:color="auto"/>
              <w:right w:val="single" w:sz="4" w:space="0" w:color="auto"/>
            </w:tcBorders>
            <w:vAlign w:val="center"/>
            <w:hideMark/>
          </w:tcPr>
          <w:p w:rsidR="00AA6825" w:rsidRDefault="00AA6825" w:rsidP="00430306">
            <w:pPr>
              <w:pStyle w:val="TableText1"/>
            </w:pPr>
          </w:p>
        </w:tc>
        <w:tc>
          <w:tcPr>
            <w:tcW w:w="605" w:type="pct"/>
            <w:tcBorders>
              <w:top w:val="single" w:sz="4" w:space="0" w:color="auto"/>
              <w:left w:val="single" w:sz="4" w:space="0" w:color="auto"/>
              <w:bottom w:val="single" w:sz="4" w:space="0" w:color="auto"/>
              <w:right w:val="single" w:sz="4" w:space="0" w:color="auto"/>
            </w:tcBorders>
            <w:vAlign w:val="center"/>
            <w:hideMark/>
          </w:tcPr>
          <w:p w:rsidR="00AA6825" w:rsidRDefault="00AA6825" w:rsidP="00430306">
            <w:pPr>
              <w:pStyle w:val="TableText1"/>
              <w:rPr>
                <w:b/>
                <w:bCs/>
                <w:color w:val="000000"/>
              </w:rPr>
            </w:pPr>
            <w:r>
              <w:rPr>
                <w:b/>
                <w:bCs/>
                <w:color w:val="000000"/>
              </w:rPr>
              <w:t>2016</w:t>
            </w:r>
          </w:p>
        </w:tc>
        <w:tc>
          <w:tcPr>
            <w:tcW w:w="605" w:type="pct"/>
            <w:tcBorders>
              <w:top w:val="single" w:sz="4" w:space="0" w:color="auto"/>
              <w:left w:val="single" w:sz="4" w:space="0" w:color="auto"/>
              <w:bottom w:val="single" w:sz="4" w:space="0" w:color="auto"/>
              <w:right w:val="single" w:sz="4" w:space="0" w:color="auto"/>
            </w:tcBorders>
            <w:vAlign w:val="center"/>
            <w:hideMark/>
          </w:tcPr>
          <w:p w:rsidR="00AA6825" w:rsidRDefault="00AA6825" w:rsidP="00430306">
            <w:pPr>
              <w:pStyle w:val="TableText1"/>
              <w:rPr>
                <w:b/>
                <w:bCs/>
                <w:color w:val="000000"/>
              </w:rPr>
            </w:pPr>
            <w:r>
              <w:rPr>
                <w:b/>
                <w:bCs/>
                <w:color w:val="000000"/>
              </w:rPr>
              <w:t>2017</w:t>
            </w:r>
          </w:p>
        </w:tc>
        <w:tc>
          <w:tcPr>
            <w:tcW w:w="605" w:type="pct"/>
            <w:tcBorders>
              <w:top w:val="single" w:sz="4" w:space="0" w:color="auto"/>
              <w:left w:val="single" w:sz="4" w:space="0" w:color="auto"/>
              <w:bottom w:val="single" w:sz="4" w:space="0" w:color="auto"/>
              <w:right w:val="single" w:sz="4" w:space="0" w:color="auto"/>
            </w:tcBorders>
            <w:vAlign w:val="center"/>
            <w:hideMark/>
          </w:tcPr>
          <w:p w:rsidR="00AA6825" w:rsidRDefault="00AA6825" w:rsidP="00430306">
            <w:pPr>
              <w:pStyle w:val="TableText1"/>
              <w:rPr>
                <w:b/>
                <w:bCs/>
                <w:color w:val="000000"/>
              </w:rPr>
            </w:pPr>
            <w:r>
              <w:rPr>
                <w:b/>
                <w:bCs/>
                <w:color w:val="000000"/>
              </w:rPr>
              <w:t>2018</w:t>
            </w:r>
          </w:p>
        </w:tc>
        <w:tc>
          <w:tcPr>
            <w:tcW w:w="605" w:type="pct"/>
            <w:tcBorders>
              <w:top w:val="single" w:sz="4" w:space="0" w:color="auto"/>
              <w:left w:val="single" w:sz="4" w:space="0" w:color="auto"/>
              <w:bottom w:val="single" w:sz="4" w:space="0" w:color="auto"/>
              <w:right w:val="single" w:sz="4" w:space="0" w:color="auto"/>
            </w:tcBorders>
            <w:vAlign w:val="center"/>
            <w:hideMark/>
          </w:tcPr>
          <w:p w:rsidR="00AA6825" w:rsidRDefault="00AA6825" w:rsidP="00430306">
            <w:pPr>
              <w:pStyle w:val="TableText1"/>
              <w:rPr>
                <w:b/>
                <w:bCs/>
                <w:color w:val="000000"/>
              </w:rPr>
            </w:pPr>
            <w:r>
              <w:rPr>
                <w:b/>
                <w:bCs/>
                <w:color w:val="000000"/>
              </w:rPr>
              <w:t>2019</w:t>
            </w:r>
          </w:p>
        </w:tc>
        <w:tc>
          <w:tcPr>
            <w:tcW w:w="605" w:type="pct"/>
            <w:tcBorders>
              <w:top w:val="single" w:sz="4" w:space="0" w:color="auto"/>
              <w:left w:val="single" w:sz="4" w:space="0" w:color="auto"/>
              <w:bottom w:val="single" w:sz="4" w:space="0" w:color="auto"/>
              <w:right w:val="single" w:sz="4" w:space="0" w:color="auto"/>
            </w:tcBorders>
            <w:vAlign w:val="center"/>
            <w:hideMark/>
          </w:tcPr>
          <w:p w:rsidR="00AA6825" w:rsidRDefault="00AA6825" w:rsidP="00430306">
            <w:pPr>
              <w:pStyle w:val="TableText1"/>
              <w:rPr>
                <w:b/>
                <w:bCs/>
                <w:color w:val="000000"/>
              </w:rPr>
            </w:pPr>
            <w:r>
              <w:rPr>
                <w:b/>
                <w:bCs/>
                <w:color w:val="000000"/>
              </w:rPr>
              <w:t>2020</w:t>
            </w:r>
          </w:p>
        </w:tc>
      </w:tr>
      <w:tr w:rsidR="00AA6825" w:rsidTr="00D1277F">
        <w:trPr>
          <w:trHeight w:val="315"/>
        </w:trPr>
        <w:tc>
          <w:tcPr>
            <w:tcW w:w="1973" w:type="pct"/>
            <w:tcBorders>
              <w:top w:val="single" w:sz="4" w:space="0" w:color="auto"/>
              <w:left w:val="single" w:sz="4" w:space="0" w:color="auto"/>
              <w:bottom w:val="single" w:sz="4" w:space="0" w:color="auto"/>
              <w:right w:val="single" w:sz="4" w:space="0" w:color="auto"/>
            </w:tcBorders>
            <w:vAlign w:val="center"/>
            <w:hideMark/>
          </w:tcPr>
          <w:p w:rsidR="00AA6825" w:rsidRDefault="00AA6825" w:rsidP="00430306">
            <w:pPr>
              <w:pStyle w:val="TableText1"/>
              <w:rPr>
                <w:color w:val="000000"/>
              </w:rPr>
            </w:pPr>
            <w:r>
              <w:rPr>
                <w:color w:val="000000"/>
              </w:rPr>
              <w:t xml:space="preserve">Cost </w:t>
            </w:r>
            <w:proofErr w:type="spellStart"/>
            <w:r>
              <w:rPr>
                <w:color w:val="000000"/>
              </w:rPr>
              <w:t>Govt</w:t>
            </w:r>
            <w:proofErr w:type="spellEnd"/>
            <w:r>
              <w:rPr>
                <w:color w:val="000000"/>
              </w:rPr>
              <w:t xml:space="preserve"> (net </w:t>
            </w:r>
            <w:r w:rsidR="009555E7">
              <w:rPr>
                <w:color w:val="000000"/>
              </w:rPr>
              <w:t>co-pay) for genetic counselling</w:t>
            </w:r>
          </w:p>
        </w:tc>
        <w:tc>
          <w:tcPr>
            <w:tcW w:w="605" w:type="pct"/>
            <w:tcBorders>
              <w:top w:val="single" w:sz="4" w:space="0" w:color="auto"/>
              <w:left w:val="single" w:sz="4" w:space="0" w:color="auto"/>
              <w:bottom w:val="single" w:sz="4" w:space="0" w:color="auto"/>
              <w:right w:val="single" w:sz="4" w:space="0" w:color="auto"/>
            </w:tcBorders>
            <w:vAlign w:val="center"/>
            <w:hideMark/>
          </w:tcPr>
          <w:p w:rsidR="00AA6825" w:rsidRDefault="00AA6825" w:rsidP="00430306">
            <w:pPr>
              <w:pStyle w:val="TableText1"/>
              <w:rPr>
                <w:bCs/>
                <w:color w:val="000000"/>
              </w:rPr>
            </w:pPr>
            <w:r>
              <w:rPr>
                <w:bCs/>
                <w:color w:val="000000"/>
              </w:rPr>
              <w:t>$57,540</w:t>
            </w:r>
          </w:p>
        </w:tc>
        <w:tc>
          <w:tcPr>
            <w:tcW w:w="605" w:type="pct"/>
            <w:tcBorders>
              <w:top w:val="single" w:sz="4" w:space="0" w:color="auto"/>
              <w:left w:val="single" w:sz="4" w:space="0" w:color="auto"/>
              <w:bottom w:val="single" w:sz="4" w:space="0" w:color="auto"/>
              <w:right w:val="single" w:sz="4" w:space="0" w:color="auto"/>
            </w:tcBorders>
            <w:vAlign w:val="center"/>
            <w:hideMark/>
          </w:tcPr>
          <w:p w:rsidR="00AA6825" w:rsidRDefault="00AA6825" w:rsidP="00430306">
            <w:pPr>
              <w:pStyle w:val="TableText1"/>
              <w:rPr>
                <w:bCs/>
                <w:color w:val="000000"/>
              </w:rPr>
            </w:pPr>
            <w:r>
              <w:rPr>
                <w:bCs/>
                <w:color w:val="000000"/>
              </w:rPr>
              <w:t>$58,694</w:t>
            </w:r>
          </w:p>
        </w:tc>
        <w:tc>
          <w:tcPr>
            <w:tcW w:w="605" w:type="pct"/>
            <w:tcBorders>
              <w:top w:val="single" w:sz="4" w:space="0" w:color="auto"/>
              <w:left w:val="single" w:sz="4" w:space="0" w:color="auto"/>
              <w:bottom w:val="single" w:sz="4" w:space="0" w:color="auto"/>
              <w:right w:val="single" w:sz="4" w:space="0" w:color="auto"/>
            </w:tcBorders>
            <w:vAlign w:val="center"/>
            <w:hideMark/>
          </w:tcPr>
          <w:p w:rsidR="00AA6825" w:rsidRDefault="00AA6825" w:rsidP="00430306">
            <w:pPr>
              <w:pStyle w:val="TableText1"/>
              <w:rPr>
                <w:bCs/>
                <w:color w:val="000000"/>
              </w:rPr>
            </w:pPr>
            <w:r>
              <w:rPr>
                <w:bCs/>
                <w:color w:val="000000"/>
              </w:rPr>
              <w:t>$68,398</w:t>
            </w:r>
          </w:p>
        </w:tc>
        <w:tc>
          <w:tcPr>
            <w:tcW w:w="605" w:type="pct"/>
            <w:tcBorders>
              <w:top w:val="single" w:sz="4" w:space="0" w:color="auto"/>
              <w:left w:val="single" w:sz="4" w:space="0" w:color="auto"/>
              <w:bottom w:val="single" w:sz="4" w:space="0" w:color="auto"/>
              <w:right w:val="single" w:sz="4" w:space="0" w:color="auto"/>
            </w:tcBorders>
            <w:vAlign w:val="center"/>
            <w:hideMark/>
          </w:tcPr>
          <w:p w:rsidR="00AA6825" w:rsidRDefault="00AA6825" w:rsidP="00430306">
            <w:pPr>
              <w:pStyle w:val="TableText1"/>
              <w:rPr>
                <w:bCs/>
                <w:color w:val="000000"/>
              </w:rPr>
            </w:pPr>
            <w:r>
              <w:rPr>
                <w:bCs/>
                <w:color w:val="000000"/>
              </w:rPr>
              <w:t>$78,432</w:t>
            </w:r>
          </w:p>
        </w:tc>
        <w:tc>
          <w:tcPr>
            <w:tcW w:w="605" w:type="pct"/>
            <w:tcBorders>
              <w:top w:val="single" w:sz="4" w:space="0" w:color="auto"/>
              <w:left w:val="single" w:sz="4" w:space="0" w:color="auto"/>
              <w:bottom w:val="single" w:sz="4" w:space="0" w:color="auto"/>
              <w:right w:val="single" w:sz="4" w:space="0" w:color="auto"/>
            </w:tcBorders>
            <w:vAlign w:val="center"/>
            <w:hideMark/>
          </w:tcPr>
          <w:p w:rsidR="00AA6825" w:rsidRDefault="00AA6825" w:rsidP="00430306">
            <w:pPr>
              <w:pStyle w:val="TableText1"/>
              <w:rPr>
                <w:bCs/>
                <w:color w:val="000000"/>
              </w:rPr>
            </w:pPr>
            <w:r>
              <w:rPr>
                <w:bCs/>
                <w:color w:val="000000"/>
              </w:rPr>
              <w:t>$79,916</w:t>
            </w:r>
          </w:p>
        </w:tc>
      </w:tr>
      <w:tr w:rsidR="00AA6825" w:rsidTr="00D1277F">
        <w:trPr>
          <w:trHeight w:val="315"/>
        </w:trPr>
        <w:tc>
          <w:tcPr>
            <w:tcW w:w="1973" w:type="pct"/>
            <w:tcBorders>
              <w:top w:val="single" w:sz="4" w:space="0" w:color="auto"/>
              <w:left w:val="single" w:sz="4" w:space="0" w:color="auto"/>
              <w:bottom w:val="single" w:sz="4" w:space="0" w:color="auto"/>
              <w:right w:val="single" w:sz="4" w:space="0" w:color="auto"/>
            </w:tcBorders>
            <w:vAlign w:val="center"/>
            <w:hideMark/>
          </w:tcPr>
          <w:p w:rsidR="00AA6825" w:rsidRDefault="00AA6825" w:rsidP="00430306">
            <w:pPr>
              <w:pStyle w:val="TableText1"/>
              <w:rPr>
                <w:bCs/>
                <w:color w:val="000000"/>
              </w:rPr>
            </w:pPr>
            <w:r>
              <w:rPr>
                <w:bCs/>
                <w:color w:val="000000"/>
              </w:rPr>
              <w:t>Total cos</w:t>
            </w:r>
            <w:r w:rsidR="009555E7">
              <w:rPr>
                <w:bCs/>
                <w:color w:val="000000"/>
              </w:rPr>
              <w:t xml:space="preserve">t </w:t>
            </w:r>
            <w:proofErr w:type="spellStart"/>
            <w:r w:rsidR="009555E7">
              <w:rPr>
                <w:bCs/>
                <w:color w:val="000000"/>
              </w:rPr>
              <w:t>Govt</w:t>
            </w:r>
            <w:proofErr w:type="spellEnd"/>
            <w:r w:rsidR="009555E7">
              <w:rPr>
                <w:bCs/>
                <w:color w:val="000000"/>
              </w:rPr>
              <w:t xml:space="preserve"> (net co-pay) for testing</w:t>
            </w:r>
          </w:p>
        </w:tc>
        <w:tc>
          <w:tcPr>
            <w:tcW w:w="605" w:type="pct"/>
            <w:tcBorders>
              <w:top w:val="single" w:sz="4" w:space="0" w:color="auto"/>
              <w:left w:val="single" w:sz="4" w:space="0" w:color="auto"/>
              <w:bottom w:val="single" w:sz="4" w:space="0" w:color="auto"/>
              <w:right w:val="single" w:sz="4" w:space="0" w:color="auto"/>
            </w:tcBorders>
            <w:vAlign w:val="center"/>
            <w:hideMark/>
          </w:tcPr>
          <w:p w:rsidR="00AA6825" w:rsidRDefault="00AA6825" w:rsidP="00430306">
            <w:pPr>
              <w:pStyle w:val="TableText1"/>
              <w:rPr>
                <w:bCs/>
                <w:color w:val="000000"/>
              </w:rPr>
            </w:pPr>
            <w:r>
              <w:rPr>
                <w:bCs/>
                <w:color w:val="000000"/>
              </w:rPr>
              <w:t>$2,149,229</w:t>
            </w:r>
          </w:p>
        </w:tc>
        <w:tc>
          <w:tcPr>
            <w:tcW w:w="605" w:type="pct"/>
            <w:tcBorders>
              <w:top w:val="single" w:sz="4" w:space="0" w:color="auto"/>
              <w:left w:val="single" w:sz="4" w:space="0" w:color="auto"/>
              <w:bottom w:val="single" w:sz="4" w:space="0" w:color="auto"/>
              <w:right w:val="single" w:sz="4" w:space="0" w:color="auto"/>
            </w:tcBorders>
            <w:vAlign w:val="center"/>
            <w:hideMark/>
          </w:tcPr>
          <w:p w:rsidR="00AA6825" w:rsidRDefault="00AA6825" w:rsidP="00430306">
            <w:pPr>
              <w:pStyle w:val="TableText1"/>
              <w:rPr>
                <w:bCs/>
                <w:color w:val="000000"/>
              </w:rPr>
            </w:pPr>
            <w:r>
              <w:rPr>
                <w:bCs/>
                <w:color w:val="000000"/>
              </w:rPr>
              <w:t>$2,192,337</w:t>
            </w:r>
          </w:p>
        </w:tc>
        <w:tc>
          <w:tcPr>
            <w:tcW w:w="605" w:type="pct"/>
            <w:tcBorders>
              <w:top w:val="single" w:sz="4" w:space="0" w:color="auto"/>
              <w:left w:val="single" w:sz="4" w:space="0" w:color="auto"/>
              <w:bottom w:val="single" w:sz="4" w:space="0" w:color="auto"/>
              <w:right w:val="single" w:sz="4" w:space="0" w:color="auto"/>
            </w:tcBorders>
            <w:vAlign w:val="center"/>
            <w:hideMark/>
          </w:tcPr>
          <w:p w:rsidR="00AA6825" w:rsidRDefault="00AA6825" w:rsidP="00430306">
            <w:pPr>
              <w:pStyle w:val="TableText1"/>
              <w:rPr>
                <w:bCs/>
                <w:color w:val="000000"/>
              </w:rPr>
            </w:pPr>
            <w:r>
              <w:rPr>
                <w:bCs/>
                <w:color w:val="000000"/>
              </w:rPr>
              <w:t>$2,554,793</w:t>
            </w:r>
          </w:p>
        </w:tc>
        <w:tc>
          <w:tcPr>
            <w:tcW w:w="605" w:type="pct"/>
            <w:tcBorders>
              <w:top w:val="single" w:sz="4" w:space="0" w:color="auto"/>
              <w:left w:val="single" w:sz="4" w:space="0" w:color="auto"/>
              <w:bottom w:val="single" w:sz="4" w:space="0" w:color="auto"/>
              <w:right w:val="single" w:sz="4" w:space="0" w:color="auto"/>
            </w:tcBorders>
            <w:vAlign w:val="center"/>
            <w:hideMark/>
          </w:tcPr>
          <w:p w:rsidR="00AA6825" w:rsidRDefault="00AA6825" w:rsidP="00430306">
            <w:pPr>
              <w:pStyle w:val="TableText1"/>
              <w:rPr>
                <w:bCs/>
                <w:color w:val="000000"/>
              </w:rPr>
            </w:pPr>
            <w:r>
              <w:rPr>
                <w:bCs/>
                <w:color w:val="000000"/>
              </w:rPr>
              <w:t>$2,929,567</w:t>
            </w:r>
          </w:p>
        </w:tc>
        <w:tc>
          <w:tcPr>
            <w:tcW w:w="605" w:type="pct"/>
            <w:tcBorders>
              <w:top w:val="single" w:sz="4" w:space="0" w:color="auto"/>
              <w:left w:val="single" w:sz="4" w:space="0" w:color="auto"/>
              <w:bottom w:val="single" w:sz="4" w:space="0" w:color="auto"/>
              <w:right w:val="single" w:sz="4" w:space="0" w:color="auto"/>
            </w:tcBorders>
            <w:vAlign w:val="center"/>
            <w:hideMark/>
          </w:tcPr>
          <w:p w:rsidR="00AA6825" w:rsidRDefault="00AA6825" w:rsidP="00430306">
            <w:pPr>
              <w:pStyle w:val="TableText1"/>
              <w:rPr>
                <w:bCs/>
                <w:color w:val="000000"/>
              </w:rPr>
            </w:pPr>
            <w:r>
              <w:rPr>
                <w:bCs/>
                <w:color w:val="000000"/>
              </w:rPr>
              <w:t>$2,984,991</w:t>
            </w:r>
          </w:p>
        </w:tc>
      </w:tr>
      <w:tr w:rsidR="00AA6825" w:rsidTr="00D1277F">
        <w:trPr>
          <w:trHeight w:val="315"/>
        </w:trPr>
        <w:tc>
          <w:tcPr>
            <w:tcW w:w="1973" w:type="pct"/>
            <w:tcBorders>
              <w:top w:val="single" w:sz="4" w:space="0" w:color="auto"/>
              <w:left w:val="single" w:sz="4" w:space="0" w:color="auto"/>
              <w:bottom w:val="single" w:sz="4" w:space="0" w:color="auto"/>
              <w:right w:val="single" w:sz="4" w:space="0" w:color="auto"/>
            </w:tcBorders>
            <w:vAlign w:val="center"/>
            <w:hideMark/>
          </w:tcPr>
          <w:p w:rsidR="00AA6825" w:rsidRDefault="00AA6825" w:rsidP="00430306">
            <w:pPr>
              <w:pStyle w:val="TableText1"/>
              <w:rPr>
                <w:color w:val="000000"/>
              </w:rPr>
            </w:pPr>
            <w:r>
              <w:rPr>
                <w:bCs/>
                <w:color w:val="000000"/>
              </w:rPr>
              <w:t>Total cost of proband surgery</w:t>
            </w:r>
          </w:p>
        </w:tc>
        <w:tc>
          <w:tcPr>
            <w:tcW w:w="605" w:type="pct"/>
            <w:tcBorders>
              <w:top w:val="single" w:sz="4" w:space="0" w:color="auto"/>
              <w:left w:val="single" w:sz="4" w:space="0" w:color="auto"/>
              <w:bottom w:val="single" w:sz="4" w:space="0" w:color="auto"/>
              <w:right w:val="single" w:sz="4" w:space="0" w:color="auto"/>
            </w:tcBorders>
            <w:vAlign w:val="center"/>
            <w:hideMark/>
          </w:tcPr>
          <w:p w:rsidR="00AA6825" w:rsidRDefault="00AA6825" w:rsidP="00430306">
            <w:pPr>
              <w:pStyle w:val="TableText1"/>
              <w:rPr>
                <w:color w:val="000000"/>
              </w:rPr>
            </w:pPr>
            <w:r>
              <w:rPr>
                <w:bCs/>
                <w:color w:val="000000"/>
              </w:rPr>
              <w:t>$1,878,349</w:t>
            </w:r>
          </w:p>
        </w:tc>
        <w:tc>
          <w:tcPr>
            <w:tcW w:w="605" w:type="pct"/>
            <w:tcBorders>
              <w:top w:val="single" w:sz="4" w:space="0" w:color="auto"/>
              <w:left w:val="single" w:sz="4" w:space="0" w:color="auto"/>
              <w:bottom w:val="single" w:sz="4" w:space="0" w:color="auto"/>
              <w:right w:val="single" w:sz="4" w:space="0" w:color="auto"/>
            </w:tcBorders>
            <w:vAlign w:val="center"/>
            <w:hideMark/>
          </w:tcPr>
          <w:p w:rsidR="00AA6825" w:rsidRDefault="00AA6825" w:rsidP="00430306">
            <w:pPr>
              <w:pStyle w:val="TableText1"/>
              <w:rPr>
                <w:color w:val="000000"/>
              </w:rPr>
            </w:pPr>
            <w:r>
              <w:rPr>
                <w:bCs/>
                <w:color w:val="000000"/>
              </w:rPr>
              <w:t>$1,916,024</w:t>
            </w:r>
          </w:p>
        </w:tc>
        <w:tc>
          <w:tcPr>
            <w:tcW w:w="605" w:type="pct"/>
            <w:tcBorders>
              <w:top w:val="single" w:sz="4" w:space="0" w:color="auto"/>
              <w:left w:val="single" w:sz="4" w:space="0" w:color="auto"/>
              <w:bottom w:val="single" w:sz="4" w:space="0" w:color="auto"/>
              <w:right w:val="single" w:sz="4" w:space="0" w:color="auto"/>
            </w:tcBorders>
            <w:vAlign w:val="center"/>
            <w:hideMark/>
          </w:tcPr>
          <w:p w:rsidR="00AA6825" w:rsidRDefault="00AA6825" w:rsidP="00430306">
            <w:pPr>
              <w:pStyle w:val="TableText1"/>
              <w:rPr>
                <w:color w:val="000000"/>
              </w:rPr>
            </w:pPr>
            <w:r>
              <w:rPr>
                <w:bCs/>
                <w:color w:val="000000"/>
              </w:rPr>
              <w:t>$2,232,798</w:t>
            </w:r>
          </w:p>
        </w:tc>
        <w:tc>
          <w:tcPr>
            <w:tcW w:w="605" w:type="pct"/>
            <w:tcBorders>
              <w:top w:val="single" w:sz="4" w:space="0" w:color="auto"/>
              <w:left w:val="single" w:sz="4" w:space="0" w:color="auto"/>
              <w:bottom w:val="single" w:sz="4" w:space="0" w:color="auto"/>
              <w:right w:val="single" w:sz="4" w:space="0" w:color="auto"/>
            </w:tcBorders>
            <w:vAlign w:val="center"/>
            <w:hideMark/>
          </w:tcPr>
          <w:p w:rsidR="00AA6825" w:rsidRDefault="00AA6825" w:rsidP="00430306">
            <w:pPr>
              <w:pStyle w:val="TableText1"/>
              <w:rPr>
                <w:color w:val="000000"/>
              </w:rPr>
            </w:pPr>
            <w:r>
              <w:rPr>
                <w:bCs/>
                <w:color w:val="000000"/>
              </w:rPr>
              <w:t>$2,560,337</w:t>
            </w:r>
          </w:p>
        </w:tc>
        <w:tc>
          <w:tcPr>
            <w:tcW w:w="605" w:type="pct"/>
            <w:tcBorders>
              <w:top w:val="single" w:sz="4" w:space="0" w:color="auto"/>
              <w:left w:val="single" w:sz="4" w:space="0" w:color="auto"/>
              <w:bottom w:val="single" w:sz="4" w:space="0" w:color="auto"/>
              <w:right w:val="single" w:sz="4" w:space="0" w:color="auto"/>
            </w:tcBorders>
            <w:vAlign w:val="center"/>
            <w:hideMark/>
          </w:tcPr>
          <w:p w:rsidR="00AA6825" w:rsidRDefault="00AA6825" w:rsidP="00430306">
            <w:pPr>
              <w:pStyle w:val="TableText1"/>
              <w:rPr>
                <w:color w:val="000000"/>
              </w:rPr>
            </w:pPr>
            <w:r>
              <w:rPr>
                <w:bCs/>
                <w:color w:val="000000"/>
              </w:rPr>
              <w:t>$2,608,776</w:t>
            </w:r>
          </w:p>
        </w:tc>
      </w:tr>
      <w:tr w:rsidR="00AA6825" w:rsidTr="00D1277F">
        <w:trPr>
          <w:trHeight w:val="315"/>
        </w:trPr>
        <w:tc>
          <w:tcPr>
            <w:tcW w:w="1973" w:type="pct"/>
            <w:tcBorders>
              <w:top w:val="single" w:sz="4" w:space="0" w:color="auto"/>
              <w:left w:val="single" w:sz="4" w:space="0" w:color="auto"/>
              <w:bottom w:val="single" w:sz="4" w:space="0" w:color="auto"/>
              <w:right w:val="single" w:sz="4" w:space="0" w:color="auto"/>
            </w:tcBorders>
            <w:vAlign w:val="center"/>
            <w:hideMark/>
          </w:tcPr>
          <w:p w:rsidR="00AA6825" w:rsidRDefault="009555E7" w:rsidP="00430306">
            <w:pPr>
              <w:pStyle w:val="TableText1"/>
              <w:rPr>
                <w:color w:val="000000"/>
              </w:rPr>
            </w:pPr>
            <w:r>
              <w:rPr>
                <w:bCs/>
                <w:color w:val="000000"/>
              </w:rPr>
              <w:t>Total cost of sibling surgery</w:t>
            </w:r>
          </w:p>
        </w:tc>
        <w:tc>
          <w:tcPr>
            <w:tcW w:w="605" w:type="pct"/>
            <w:tcBorders>
              <w:top w:val="single" w:sz="4" w:space="0" w:color="auto"/>
              <w:left w:val="single" w:sz="4" w:space="0" w:color="auto"/>
              <w:bottom w:val="single" w:sz="4" w:space="0" w:color="auto"/>
              <w:right w:val="single" w:sz="4" w:space="0" w:color="auto"/>
            </w:tcBorders>
            <w:vAlign w:val="center"/>
            <w:hideMark/>
          </w:tcPr>
          <w:p w:rsidR="00AA6825" w:rsidRDefault="00AA6825" w:rsidP="00430306">
            <w:pPr>
              <w:pStyle w:val="TableText1"/>
              <w:rPr>
                <w:color w:val="000000"/>
              </w:rPr>
            </w:pPr>
            <w:r>
              <w:rPr>
                <w:bCs/>
                <w:color w:val="000000"/>
              </w:rPr>
              <w:t>$962,386</w:t>
            </w:r>
          </w:p>
        </w:tc>
        <w:tc>
          <w:tcPr>
            <w:tcW w:w="605" w:type="pct"/>
            <w:tcBorders>
              <w:top w:val="single" w:sz="4" w:space="0" w:color="auto"/>
              <w:left w:val="single" w:sz="4" w:space="0" w:color="auto"/>
              <w:bottom w:val="single" w:sz="4" w:space="0" w:color="auto"/>
              <w:right w:val="single" w:sz="4" w:space="0" w:color="auto"/>
            </w:tcBorders>
            <w:vAlign w:val="center"/>
            <w:hideMark/>
          </w:tcPr>
          <w:p w:rsidR="00AA6825" w:rsidRDefault="00AA6825" w:rsidP="00430306">
            <w:pPr>
              <w:pStyle w:val="TableText1"/>
              <w:rPr>
                <w:color w:val="000000"/>
              </w:rPr>
            </w:pPr>
            <w:r>
              <w:rPr>
                <w:bCs/>
                <w:color w:val="000000"/>
              </w:rPr>
              <w:t>$981,689</w:t>
            </w:r>
          </w:p>
        </w:tc>
        <w:tc>
          <w:tcPr>
            <w:tcW w:w="605" w:type="pct"/>
            <w:tcBorders>
              <w:top w:val="single" w:sz="4" w:space="0" w:color="auto"/>
              <w:left w:val="single" w:sz="4" w:space="0" w:color="auto"/>
              <w:bottom w:val="single" w:sz="4" w:space="0" w:color="auto"/>
              <w:right w:val="single" w:sz="4" w:space="0" w:color="auto"/>
            </w:tcBorders>
            <w:vAlign w:val="center"/>
            <w:hideMark/>
          </w:tcPr>
          <w:p w:rsidR="00AA6825" w:rsidRDefault="00AA6825" w:rsidP="00430306">
            <w:pPr>
              <w:pStyle w:val="TableText1"/>
              <w:rPr>
                <w:color w:val="000000"/>
              </w:rPr>
            </w:pPr>
            <w:r>
              <w:rPr>
                <w:bCs/>
                <w:color w:val="000000"/>
              </w:rPr>
              <w:t>$1,143,990</w:t>
            </w:r>
          </w:p>
        </w:tc>
        <w:tc>
          <w:tcPr>
            <w:tcW w:w="605" w:type="pct"/>
            <w:tcBorders>
              <w:top w:val="single" w:sz="4" w:space="0" w:color="auto"/>
              <w:left w:val="single" w:sz="4" w:space="0" w:color="auto"/>
              <w:bottom w:val="single" w:sz="4" w:space="0" w:color="auto"/>
              <w:right w:val="single" w:sz="4" w:space="0" w:color="auto"/>
            </w:tcBorders>
            <w:vAlign w:val="center"/>
            <w:hideMark/>
          </w:tcPr>
          <w:p w:rsidR="00AA6825" w:rsidRDefault="00AA6825" w:rsidP="00430306">
            <w:pPr>
              <w:pStyle w:val="TableText1"/>
              <w:rPr>
                <w:color w:val="000000"/>
              </w:rPr>
            </w:pPr>
            <w:r>
              <w:rPr>
                <w:bCs/>
                <w:color w:val="000000"/>
              </w:rPr>
              <w:t>$1,311,807</w:t>
            </w:r>
          </w:p>
        </w:tc>
        <w:tc>
          <w:tcPr>
            <w:tcW w:w="605" w:type="pct"/>
            <w:tcBorders>
              <w:top w:val="single" w:sz="4" w:space="0" w:color="auto"/>
              <w:left w:val="single" w:sz="4" w:space="0" w:color="auto"/>
              <w:bottom w:val="single" w:sz="4" w:space="0" w:color="auto"/>
              <w:right w:val="single" w:sz="4" w:space="0" w:color="auto"/>
            </w:tcBorders>
            <w:vAlign w:val="center"/>
            <w:hideMark/>
          </w:tcPr>
          <w:p w:rsidR="00AA6825" w:rsidRDefault="00AA6825" w:rsidP="00430306">
            <w:pPr>
              <w:pStyle w:val="TableText1"/>
              <w:rPr>
                <w:color w:val="000000"/>
              </w:rPr>
            </w:pPr>
            <w:r>
              <w:rPr>
                <w:bCs/>
                <w:color w:val="000000"/>
              </w:rPr>
              <w:t>$1,336,625</w:t>
            </w:r>
          </w:p>
        </w:tc>
      </w:tr>
      <w:tr w:rsidR="00AA6825" w:rsidTr="00D1277F">
        <w:trPr>
          <w:trHeight w:val="315"/>
        </w:trPr>
        <w:tc>
          <w:tcPr>
            <w:tcW w:w="1973" w:type="pct"/>
            <w:tcBorders>
              <w:top w:val="single" w:sz="4" w:space="0" w:color="auto"/>
              <w:left w:val="single" w:sz="4" w:space="0" w:color="auto"/>
              <w:bottom w:val="single" w:sz="4" w:space="0" w:color="auto"/>
              <w:right w:val="single" w:sz="4" w:space="0" w:color="auto"/>
            </w:tcBorders>
            <w:vAlign w:val="center"/>
            <w:hideMark/>
          </w:tcPr>
          <w:p w:rsidR="00AA6825" w:rsidRDefault="00AA6825" w:rsidP="00430306">
            <w:pPr>
              <w:pStyle w:val="TableText1"/>
              <w:rPr>
                <w:b/>
                <w:color w:val="000000"/>
              </w:rPr>
            </w:pPr>
            <w:r>
              <w:rPr>
                <w:b/>
                <w:color w:val="000000"/>
              </w:rPr>
              <w:t xml:space="preserve">Total cost to </w:t>
            </w:r>
            <w:proofErr w:type="spellStart"/>
            <w:r>
              <w:rPr>
                <w:b/>
                <w:color w:val="000000"/>
              </w:rPr>
              <w:t>Govt</w:t>
            </w:r>
            <w:proofErr w:type="spellEnd"/>
            <w:r>
              <w:rPr>
                <w:b/>
                <w:color w:val="000000"/>
              </w:rPr>
              <w:t xml:space="preserve"> (net co-pay)</w:t>
            </w:r>
          </w:p>
        </w:tc>
        <w:tc>
          <w:tcPr>
            <w:tcW w:w="605" w:type="pct"/>
            <w:tcBorders>
              <w:top w:val="single" w:sz="4" w:space="0" w:color="auto"/>
              <w:left w:val="single" w:sz="4" w:space="0" w:color="auto"/>
              <w:bottom w:val="single" w:sz="4" w:space="0" w:color="auto"/>
              <w:right w:val="single" w:sz="4" w:space="0" w:color="auto"/>
            </w:tcBorders>
            <w:vAlign w:val="bottom"/>
            <w:hideMark/>
          </w:tcPr>
          <w:p w:rsidR="00AA6825" w:rsidRPr="00D95DDD" w:rsidRDefault="00AA6825" w:rsidP="00430306">
            <w:pPr>
              <w:pStyle w:val="TableText1"/>
              <w:rPr>
                <w:b/>
                <w:bCs/>
                <w:color w:val="000000"/>
              </w:rPr>
            </w:pPr>
            <w:r w:rsidRPr="00D95DDD">
              <w:rPr>
                <w:b/>
                <w:bCs/>
                <w:color w:val="000000"/>
              </w:rPr>
              <w:t xml:space="preserve">$5,047,513 </w:t>
            </w:r>
          </w:p>
        </w:tc>
        <w:tc>
          <w:tcPr>
            <w:tcW w:w="605" w:type="pct"/>
            <w:tcBorders>
              <w:top w:val="single" w:sz="4" w:space="0" w:color="auto"/>
              <w:left w:val="single" w:sz="4" w:space="0" w:color="auto"/>
              <w:bottom w:val="single" w:sz="4" w:space="0" w:color="auto"/>
              <w:right w:val="single" w:sz="4" w:space="0" w:color="auto"/>
            </w:tcBorders>
            <w:vAlign w:val="bottom"/>
            <w:hideMark/>
          </w:tcPr>
          <w:p w:rsidR="00AA6825" w:rsidRPr="00D95DDD" w:rsidRDefault="00AA6825" w:rsidP="00430306">
            <w:pPr>
              <w:pStyle w:val="TableText1"/>
              <w:rPr>
                <w:b/>
                <w:bCs/>
                <w:color w:val="000000"/>
              </w:rPr>
            </w:pPr>
            <w:r w:rsidRPr="00D95DDD">
              <w:rPr>
                <w:b/>
                <w:bCs/>
                <w:color w:val="000000"/>
              </w:rPr>
              <w:t xml:space="preserve">$5,148,752 </w:t>
            </w:r>
          </w:p>
        </w:tc>
        <w:tc>
          <w:tcPr>
            <w:tcW w:w="605" w:type="pct"/>
            <w:tcBorders>
              <w:top w:val="single" w:sz="4" w:space="0" w:color="auto"/>
              <w:left w:val="single" w:sz="4" w:space="0" w:color="auto"/>
              <w:bottom w:val="single" w:sz="4" w:space="0" w:color="auto"/>
              <w:right w:val="single" w:sz="4" w:space="0" w:color="auto"/>
            </w:tcBorders>
            <w:vAlign w:val="bottom"/>
            <w:hideMark/>
          </w:tcPr>
          <w:p w:rsidR="00AA6825" w:rsidRPr="00D95DDD" w:rsidRDefault="00AA6825" w:rsidP="00430306">
            <w:pPr>
              <w:pStyle w:val="TableText1"/>
              <w:rPr>
                <w:b/>
                <w:bCs/>
                <w:color w:val="000000"/>
              </w:rPr>
            </w:pPr>
            <w:r w:rsidRPr="00D95DDD">
              <w:rPr>
                <w:b/>
                <w:bCs/>
                <w:color w:val="000000"/>
              </w:rPr>
              <w:t xml:space="preserve">$5,999,991 </w:t>
            </w:r>
          </w:p>
        </w:tc>
        <w:tc>
          <w:tcPr>
            <w:tcW w:w="605" w:type="pct"/>
            <w:tcBorders>
              <w:top w:val="single" w:sz="4" w:space="0" w:color="auto"/>
              <w:left w:val="single" w:sz="4" w:space="0" w:color="auto"/>
              <w:bottom w:val="single" w:sz="4" w:space="0" w:color="auto"/>
              <w:right w:val="single" w:sz="4" w:space="0" w:color="auto"/>
            </w:tcBorders>
            <w:vAlign w:val="bottom"/>
            <w:hideMark/>
          </w:tcPr>
          <w:p w:rsidR="00AA6825" w:rsidRPr="00D95DDD" w:rsidRDefault="00AA6825" w:rsidP="00430306">
            <w:pPr>
              <w:pStyle w:val="TableText1"/>
              <w:rPr>
                <w:b/>
                <w:bCs/>
                <w:color w:val="000000"/>
              </w:rPr>
            </w:pPr>
            <w:r w:rsidRPr="00D95DDD">
              <w:rPr>
                <w:b/>
                <w:bCs/>
                <w:color w:val="000000"/>
              </w:rPr>
              <w:t xml:space="preserve">$6,880,155 </w:t>
            </w:r>
          </w:p>
        </w:tc>
        <w:tc>
          <w:tcPr>
            <w:tcW w:w="605" w:type="pct"/>
            <w:tcBorders>
              <w:top w:val="single" w:sz="4" w:space="0" w:color="auto"/>
              <w:left w:val="single" w:sz="4" w:space="0" w:color="auto"/>
              <w:bottom w:val="single" w:sz="4" w:space="0" w:color="auto"/>
              <w:right w:val="single" w:sz="4" w:space="0" w:color="auto"/>
            </w:tcBorders>
            <w:vAlign w:val="bottom"/>
            <w:hideMark/>
          </w:tcPr>
          <w:p w:rsidR="00AA6825" w:rsidRPr="00D95DDD" w:rsidRDefault="00AA6825" w:rsidP="00430306">
            <w:pPr>
              <w:pStyle w:val="TableText1"/>
              <w:rPr>
                <w:b/>
                <w:bCs/>
                <w:color w:val="000000"/>
              </w:rPr>
            </w:pPr>
            <w:r w:rsidRPr="00D95DDD">
              <w:rPr>
                <w:b/>
                <w:bCs/>
                <w:color w:val="000000"/>
              </w:rPr>
              <w:t xml:space="preserve">$7,010,320 </w:t>
            </w:r>
          </w:p>
        </w:tc>
      </w:tr>
    </w:tbl>
    <w:p w:rsidR="009555E7" w:rsidRDefault="009555E7" w:rsidP="00AA6825">
      <w:pPr>
        <w:tabs>
          <w:tab w:val="left" w:pos="284"/>
        </w:tabs>
        <w:rPr>
          <w:szCs w:val="24"/>
        </w:rPr>
      </w:pPr>
    </w:p>
    <w:p w:rsidR="00AA6825" w:rsidRPr="009555E7" w:rsidRDefault="00AA6825" w:rsidP="009108FA">
      <w:pPr>
        <w:tabs>
          <w:tab w:val="left" w:pos="284"/>
        </w:tabs>
        <w:rPr>
          <w:szCs w:val="24"/>
        </w:rPr>
      </w:pPr>
      <w:r>
        <w:rPr>
          <w:szCs w:val="24"/>
        </w:rPr>
        <w:t xml:space="preserve">The total expected costs to Government </w:t>
      </w:r>
      <w:r w:rsidR="009555E7">
        <w:rPr>
          <w:szCs w:val="24"/>
        </w:rPr>
        <w:t>we</w:t>
      </w:r>
      <w:r>
        <w:rPr>
          <w:szCs w:val="24"/>
        </w:rPr>
        <w:t>re $5.0 million in year 1 to $7.0 million in year 5.</w:t>
      </w:r>
    </w:p>
    <w:p w:rsidR="00AA6825" w:rsidRPr="00430306" w:rsidRDefault="00AA6825" w:rsidP="00430306">
      <w:pPr>
        <w:tabs>
          <w:tab w:val="left" w:pos="284"/>
        </w:tabs>
        <w:rPr>
          <w:color w:val="000000"/>
          <w:szCs w:val="24"/>
        </w:rPr>
      </w:pPr>
      <w:r>
        <w:rPr>
          <w:szCs w:val="24"/>
        </w:rPr>
        <w:t xml:space="preserve">Compared with the results in the base case, sensitivity analyses showed that the results </w:t>
      </w:r>
      <w:r w:rsidR="009555E7">
        <w:rPr>
          <w:szCs w:val="24"/>
        </w:rPr>
        <w:t>we</w:t>
      </w:r>
      <w:r>
        <w:rPr>
          <w:szCs w:val="24"/>
        </w:rPr>
        <w:t xml:space="preserve">re most sensitive to the proportion assumed to be eligible for testing at 5% (base </w:t>
      </w:r>
      <w:r w:rsidR="009555E7">
        <w:rPr>
          <w:szCs w:val="24"/>
        </w:rPr>
        <w:t xml:space="preserve">case: </w:t>
      </w:r>
      <w:r>
        <w:rPr>
          <w:szCs w:val="24"/>
        </w:rPr>
        <w:t>10%) which halve</w:t>
      </w:r>
      <w:r w:rsidR="009555E7">
        <w:rPr>
          <w:szCs w:val="24"/>
        </w:rPr>
        <w:t>d</w:t>
      </w:r>
      <w:r>
        <w:rPr>
          <w:szCs w:val="24"/>
        </w:rPr>
        <w:t xml:space="preserve"> the total cost, and the </w:t>
      </w:r>
      <w:r>
        <w:rPr>
          <w:color w:val="000000"/>
          <w:szCs w:val="24"/>
        </w:rPr>
        <w:t>proportion of affected women tested who are</w:t>
      </w:r>
      <w:r w:rsidR="00D75CD6">
        <w:rPr>
          <w:color w:val="000000"/>
          <w:szCs w:val="24"/>
        </w:rPr>
        <w:t xml:space="preserve"> </w:t>
      </w:r>
      <w:r w:rsidR="00D75CD6" w:rsidRPr="00E47311">
        <w:rPr>
          <w:i/>
          <w:color w:val="000000"/>
          <w:szCs w:val="24"/>
        </w:rPr>
        <w:t>B</w:t>
      </w:r>
      <w:r w:rsidRPr="00E47311">
        <w:rPr>
          <w:i/>
          <w:color w:val="000000"/>
          <w:szCs w:val="24"/>
        </w:rPr>
        <w:t>RCA1</w:t>
      </w:r>
      <w:r w:rsidRPr="00D95DDD">
        <w:rPr>
          <w:color w:val="000000"/>
          <w:szCs w:val="24"/>
        </w:rPr>
        <w:t xml:space="preserve"> or </w:t>
      </w:r>
      <w:r w:rsidRPr="00E47311">
        <w:rPr>
          <w:i/>
          <w:color w:val="000000"/>
          <w:szCs w:val="24"/>
        </w:rPr>
        <w:t>BRCA2</w:t>
      </w:r>
      <w:r w:rsidRPr="00D95DDD">
        <w:rPr>
          <w:color w:val="000000"/>
          <w:szCs w:val="24"/>
        </w:rPr>
        <w:t xml:space="preserve"> positive at 10% or 20% (base </w:t>
      </w:r>
      <w:r w:rsidR="009555E7">
        <w:rPr>
          <w:color w:val="000000"/>
          <w:szCs w:val="24"/>
        </w:rPr>
        <w:t xml:space="preserve">case: </w:t>
      </w:r>
      <w:r w:rsidRPr="00D95DDD">
        <w:rPr>
          <w:color w:val="000000"/>
          <w:szCs w:val="24"/>
        </w:rPr>
        <w:t xml:space="preserve">15%) ranging from $4.0 million to </w:t>
      </w:r>
      <w:r w:rsidR="00430306">
        <w:rPr>
          <w:color w:val="000000"/>
          <w:szCs w:val="24"/>
        </w:rPr>
        <w:t>$6.1 million in the first year.</w:t>
      </w:r>
    </w:p>
    <w:p w:rsidR="006A0D97" w:rsidRDefault="006A0D97" w:rsidP="006A0D97">
      <w:pPr>
        <w:pStyle w:val="Heading1"/>
        <w:numPr>
          <w:ilvl w:val="0"/>
          <w:numId w:val="23"/>
        </w:numPr>
        <w:ind w:hanging="720"/>
      </w:pPr>
      <w:r w:rsidRPr="006A0D97">
        <w:lastRenderedPageBreak/>
        <w:t>Key issues from ESC for MSAC</w:t>
      </w:r>
    </w:p>
    <w:p w:rsidR="006A0D97" w:rsidRPr="006A0D97" w:rsidRDefault="00FB7F6B" w:rsidP="006A0D97">
      <w:r>
        <w:t xml:space="preserve">To enable an expedited MSAC re-consideration, ESC members provided </w:t>
      </w:r>
      <w:r w:rsidR="00C918F9">
        <w:t>individual</w:t>
      </w:r>
      <w:r>
        <w:t xml:space="preserve"> comments which were consider</w:t>
      </w:r>
      <w:r w:rsidR="00C918F9">
        <w:t>ed</w:t>
      </w:r>
      <w:r>
        <w:t xml:space="preserve"> by MSAC.</w:t>
      </w:r>
    </w:p>
    <w:p w:rsidR="00D90A38" w:rsidRPr="009108FA" w:rsidRDefault="00BC1364" w:rsidP="00DD2858">
      <w:pPr>
        <w:pStyle w:val="Heading1"/>
        <w:numPr>
          <w:ilvl w:val="0"/>
          <w:numId w:val="23"/>
        </w:numPr>
        <w:ind w:hanging="720"/>
      </w:pPr>
      <w:r w:rsidRPr="008D5885">
        <w:t>Other significant factors</w:t>
      </w:r>
    </w:p>
    <w:p w:rsidR="00BC1364" w:rsidRPr="00A96619" w:rsidRDefault="00BC1364" w:rsidP="00DD2858">
      <w:pPr>
        <w:rPr>
          <w:szCs w:val="24"/>
        </w:rPr>
      </w:pPr>
      <w:proofErr w:type="gramStart"/>
      <w:r w:rsidRPr="00A96619">
        <w:rPr>
          <w:szCs w:val="24"/>
        </w:rPr>
        <w:t>Nil</w:t>
      </w:r>
      <w:r w:rsidR="009555E7">
        <w:rPr>
          <w:szCs w:val="24"/>
        </w:rPr>
        <w:t>.</w:t>
      </w:r>
      <w:proofErr w:type="gramEnd"/>
    </w:p>
    <w:p w:rsidR="00B44E0A" w:rsidRDefault="00B44E0A">
      <w:pPr>
        <w:rPr>
          <w:szCs w:val="24"/>
        </w:rPr>
      </w:pPr>
      <w:r>
        <w:rPr>
          <w:szCs w:val="24"/>
        </w:rPr>
        <w:br w:type="page"/>
      </w:r>
    </w:p>
    <w:p w:rsidR="00BC1364" w:rsidRPr="009108FA" w:rsidRDefault="00BC1364" w:rsidP="009108FA">
      <w:pPr>
        <w:pStyle w:val="Heading1"/>
        <w:numPr>
          <w:ilvl w:val="0"/>
          <w:numId w:val="23"/>
        </w:numPr>
        <w:ind w:hanging="720"/>
      </w:pPr>
      <w:r w:rsidRPr="008D5885">
        <w:lastRenderedPageBreak/>
        <w:t xml:space="preserve">Applicant’s comments on MSAC’s </w:t>
      </w:r>
      <w:r w:rsidR="00DA56AA">
        <w:t>Public Summary Document</w:t>
      </w:r>
    </w:p>
    <w:p w:rsidR="00BC1364" w:rsidRPr="009555E7" w:rsidRDefault="000330AA" w:rsidP="00230D6B">
      <w:pPr>
        <w:rPr>
          <w:szCs w:val="24"/>
        </w:rPr>
      </w:pPr>
      <w:r>
        <w:rPr>
          <w:szCs w:val="24"/>
        </w:rPr>
        <w:t>The a</w:t>
      </w:r>
      <w:r w:rsidRPr="000330AA">
        <w:rPr>
          <w:szCs w:val="24"/>
        </w:rPr>
        <w:t xml:space="preserve">pplicant </w:t>
      </w:r>
      <w:r w:rsidR="00563892">
        <w:rPr>
          <w:szCs w:val="24"/>
        </w:rPr>
        <w:t>had</w:t>
      </w:r>
      <w:r w:rsidRPr="000330AA">
        <w:rPr>
          <w:szCs w:val="24"/>
        </w:rPr>
        <w:t xml:space="preserve"> no comment</w:t>
      </w:r>
      <w:r w:rsidR="00563892">
        <w:rPr>
          <w:szCs w:val="24"/>
        </w:rPr>
        <w:t>s</w:t>
      </w:r>
      <w:r w:rsidRPr="000330AA">
        <w:rPr>
          <w:szCs w:val="24"/>
        </w:rPr>
        <w:t>.</w:t>
      </w:r>
    </w:p>
    <w:p w:rsidR="00BC1364" w:rsidRPr="009108FA" w:rsidRDefault="00271F18" w:rsidP="009108FA">
      <w:pPr>
        <w:pStyle w:val="Heading1"/>
        <w:numPr>
          <w:ilvl w:val="0"/>
          <w:numId w:val="23"/>
        </w:numPr>
        <w:ind w:hanging="720"/>
      </w:pPr>
      <w:r>
        <w:t>Further information on MSAC</w:t>
      </w:r>
    </w:p>
    <w:p w:rsidR="00BC1364" w:rsidRPr="00DD2858" w:rsidRDefault="00271F18" w:rsidP="00DD2858">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22" w:tooltip="This is a link to the MSAC website" w:history="1">
        <w:r w:rsidR="00BC1364" w:rsidRPr="00DD2858">
          <w:rPr>
            <w:rStyle w:val="Hyperlink"/>
            <w:color w:val="auto"/>
            <w:szCs w:val="24"/>
          </w:rPr>
          <w:t>www.msac.gov.au</w:t>
        </w:r>
      </w:hyperlink>
      <w:r w:rsidR="00BC1364" w:rsidRPr="00DD2858">
        <w:rPr>
          <w:szCs w:val="24"/>
        </w:rPr>
        <w:t>.</w:t>
      </w:r>
      <w:bookmarkStart w:id="0" w:name="_GoBack"/>
      <w:bookmarkEnd w:id="0"/>
    </w:p>
    <w:sectPr w:rsidR="00BC1364" w:rsidRPr="00DD2858" w:rsidSect="00271F18">
      <w:footerReference w:type="default" r:id="rId23"/>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8FA" w:rsidRDefault="009108FA" w:rsidP="00065623">
      <w:r>
        <w:separator/>
      </w:r>
    </w:p>
  </w:endnote>
  <w:endnote w:type="continuationSeparator" w:id="0">
    <w:p w:rsidR="009108FA" w:rsidRDefault="009108FA"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rsidR="009108FA" w:rsidRDefault="009108FA">
        <w:pPr>
          <w:pStyle w:val="Footer"/>
          <w:jc w:val="right"/>
        </w:pPr>
        <w:r>
          <w:fldChar w:fldCharType="begin"/>
        </w:r>
        <w:r>
          <w:instrText xml:space="preserve"> PAGE   \* MERGEFORMAT </w:instrText>
        </w:r>
        <w:r>
          <w:fldChar w:fldCharType="separate"/>
        </w:r>
        <w:r w:rsidR="00801E29">
          <w:rPr>
            <w:noProof/>
          </w:rPr>
          <w:t>1</w:t>
        </w:r>
        <w:r>
          <w:rPr>
            <w:noProof/>
          </w:rPr>
          <w:fldChar w:fldCharType="end"/>
        </w:r>
      </w:p>
    </w:sdtContent>
  </w:sdt>
  <w:p w:rsidR="009108FA" w:rsidRDefault="009108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8FA" w:rsidRDefault="009108FA" w:rsidP="00065623">
      <w:r>
        <w:separator/>
      </w:r>
    </w:p>
  </w:footnote>
  <w:footnote w:type="continuationSeparator" w:id="0">
    <w:p w:rsidR="009108FA" w:rsidRDefault="009108FA"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12E0"/>
    <w:multiLevelType w:val="hybridMultilevel"/>
    <w:tmpl w:val="79B46DA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1FC341A"/>
    <w:multiLevelType w:val="hybridMultilevel"/>
    <w:tmpl w:val="EE1E9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8558BE"/>
    <w:multiLevelType w:val="multilevel"/>
    <w:tmpl w:val="92624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18564AA1"/>
    <w:multiLevelType w:val="hybridMultilevel"/>
    <w:tmpl w:val="857ECDDE"/>
    <w:lvl w:ilvl="0" w:tplc="493835F6">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8">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E141A93"/>
    <w:multiLevelType w:val="multilevel"/>
    <w:tmpl w:val="4A1ECE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2CB784F"/>
    <w:multiLevelType w:val="hybridMultilevel"/>
    <w:tmpl w:val="9A7C0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1C11FC"/>
    <w:multiLevelType w:val="hybridMultilevel"/>
    <w:tmpl w:val="6F300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F632D8A"/>
    <w:multiLevelType w:val="hybridMultilevel"/>
    <w:tmpl w:val="D794EB9C"/>
    <w:lvl w:ilvl="0" w:tplc="28243B0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32E526CE"/>
    <w:multiLevelType w:val="hybridMultilevel"/>
    <w:tmpl w:val="98CA0E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95E7B24"/>
    <w:multiLevelType w:val="hybridMultilevel"/>
    <w:tmpl w:val="D736CD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9787AD4"/>
    <w:multiLevelType w:val="hybridMultilevel"/>
    <w:tmpl w:val="F2E842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37F3016"/>
    <w:multiLevelType w:val="hybridMultilevel"/>
    <w:tmpl w:val="06847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5CC6126"/>
    <w:multiLevelType w:val="hybridMultilevel"/>
    <w:tmpl w:val="588A41D6"/>
    <w:lvl w:ilvl="0" w:tplc="0C090001">
      <w:start w:val="1"/>
      <w:numFmt w:val="bullet"/>
      <w:lvlText w:val=""/>
      <w:lvlJc w:val="left"/>
      <w:pPr>
        <w:ind w:left="1134" w:hanging="360"/>
      </w:pPr>
      <w:rPr>
        <w:rFonts w:ascii="Symbol" w:hAnsi="Symbol" w:hint="default"/>
      </w:rPr>
    </w:lvl>
    <w:lvl w:ilvl="1" w:tplc="0C090003" w:tentative="1">
      <w:start w:val="1"/>
      <w:numFmt w:val="bullet"/>
      <w:lvlText w:val="o"/>
      <w:lvlJc w:val="left"/>
      <w:pPr>
        <w:ind w:left="1854" w:hanging="360"/>
      </w:pPr>
      <w:rPr>
        <w:rFonts w:ascii="Courier New" w:hAnsi="Courier New" w:cs="Courier New" w:hint="default"/>
      </w:rPr>
    </w:lvl>
    <w:lvl w:ilvl="2" w:tplc="0C090005" w:tentative="1">
      <w:start w:val="1"/>
      <w:numFmt w:val="bullet"/>
      <w:lvlText w:val=""/>
      <w:lvlJc w:val="left"/>
      <w:pPr>
        <w:ind w:left="2574" w:hanging="360"/>
      </w:pPr>
      <w:rPr>
        <w:rFonts w:ascii="Wingdings" w:hAnsi="Wingdings" w:hint="default"/>
      </w:rPr>
    </w:lvl>
    <w:lvl w:ilvl="3" w:tplc="0C090001" w:tentative="1">
      <w:start w:val="1"/>
      <w:numFmt w:val="bullet"/>
      <w:lvlText w:val=""/>
      <w:lvlJc w:val="left"/>
      <w:pPr>
        <w:ind w:left="3294" w:hanging="360"/>
      </w:pPr>
      <w:rPr>
        <w:rFonts w:ascii="Symbol" w:hAnsi="Symbol" w:hint="default"/>
      </w:rPr>
    </w:lvl>
    <w:lvl w:ilvl="4" w:tplc="0C090003" w:tentative="1">
      <w:start w:val="1"/>
      <w:numFmt w:val="bullet"/>
      <w:lvlText w:val="o"/>
      <w:lvlJc w:val="left"/>
      <w:pPr>
        <w:ind w:left="4014" w:hanging="360"/>
      </w:pPr>
      <w:rPr>
        <w:rFonts w:ascii="Courier New" w:hAnsi="Courier New" w:cs="Courier New" w:hint="default"/>
      </w:rPr>
    </w:lvl>
    <w:lvl w:ilvl="5" w:tplc="0C090005" w:tentative="1">
      <w:start w:val="1"/>
      <w:numFmt w:val="bullet"/>
      <w:lvlText w:val=""/>
      <w:lvlJc w:val="left"/>
      <w:pPr>
        <w:ind w:left="4734" w:hanging="360"/>
      </w:pPr>
      <w:rPr>
        <w:rFonts w:ascii="Wingdings" w:hAnsi="Wingdings" w:hint="default"/>
      </w:rPr>
    </w:lvl>
    <w:lvl w:ilvl="6" w:tplc="0C090001" w:tentative="1">
      <w:start w:val="1"/>
      <w:numFmt w:val="bullet"/>
      <w:lvlText w:val=""/>
      <w:lvlJc w:val="left"/>
      <w:pPr>
        <w:ind w:left="5454" w:hanging="360"/>
      </w:pPr>
      <w:rPr>
        <w:rFonts w:ascii="Symbol" w:hAnsi="Symbol" w:hint="default"/>
      </w:rPr>
    </w:lvl>
    <w:lvl w:ilvl="7" w:tplc="0C090003" w:tentative="1">
      <w:start w:val="1"/>
      <w:numFmt w:val="bullet"/>
      <w:lvlText w:val="o"/>
      <w:lvlJc w:val="left"/>
      <w:pPr>
        <w:ind w:left="6174" w:hanging="360"/>
      </w:pPr>
      <w:rPr>
        <w:rFonts w:ascii="Courier New" w:hAnsi="Courier New" w:cs="Courier New" w:hint="default"/>
      </w:rPr>
    </w:lvl>
    <w:lvl w:ilvl="8" w:tplc="0C090005" w:tentative="1">
      <w:start w:val="1"/>
      <w:numFmt w:val="bullet"/>
      <w:lvlText w:val=""/>
      <w:lvlJc w:val="left"/>
      <w:pPr>
        <w:ind w:left="6894" w:hanging="360"/>
      </w:pPr>
      <w:rPr>
        <w:rFonts w:ascii="Wingdings" w:hAnsi="Wingdings" w:hint="default"/>
      </w:rPr>
    </w:lvl>
  </w:abstractNum>
  <w:abstractNum w:abstractNumId="23">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8331EE4"/>
    <w:multiLevelType w:val="hybridMultilevel"/>
    <w:tmpl w:val="7AC8A5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E224703"/>
    <w:multiLevelType w:val="hybridMultilevel"/>
    <w:tmpl w:val="F702C7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2887C5C"/>
    <w:multiLevelType w:val="hybridMultilevel"/>
    <w:tmpl w:val="2DE4D6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54B27A70"/>
    <w:multiLevelType w:val="hybridMultilevel"/>
    <w:tmpl w:val="5BD09C8E"/>
    <w:lvl w:ilvl="0" w:tplc="7C0E9A0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7645CB9"/>
    <w:multiLevelType w:val="hybridMultilevel"/>
    <w:tmpl w:val="D9066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7BF0692"/>
    <w:multiLevelType w:val="hybridMultilevel"/>
    <w:tmpl w:val="D9066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5D9450A1"/>
    <w:multiLevelType w:val="hybridMultilevel"/>
    <w:tmpl w:val="E0025D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2">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4">
    <w:nsid w:val="6E4E6BA6"/>
    <w:multiLevelType w:val="hybridMultilevel"/>
    <w:tmpl w:val="D9066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0676C7E"/>
    <w:multiLevelType w:val="hybridMultilevel"/>
    <w:tmpl w:val="EFE827A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84D033C"/>
    <w:multiLevelType w:val="multilevel"/>
    <w:tmpl w:val="4C46A85E"/>
    <w:lvl w:ilvl="0">
      <w:start w:val="1"/>
      <w:numFmt w:val="decimal"/>
      <w:pStyle w:val="PBACHeading1"/>
      <w:lvlText w:val="%1"/>
      <w:lvlJc w:val="left"/>
      <w:pPr>
        <w:ind w:left="720" w:hanging="7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7">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FC04F5C"/>
    <w:multiLevelType w:val="hybridMultilevel"/>
    <w:tmpl w:val="8854A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9"/>
  </w:num>
  <w:num w:numId="3">
    <w:abstractNumId w:val="2"/>
  </w:num>
  <w:num w:numId="4">
    <w:abstractNumId w:val="34"/>
  </w:num>
  <w:num w:numId="5">
    <w:abstractNumId w:val="20"/>
  </w:num>
  <w:num w:numId="6">
    <w:abstractNumId w:val="31"/>
  </w:num>
  <w:num w:numId="7">
    <w:abstractNumId w:val="38"/>
  </w:num>
  <w:num w:numId="8">
    <w:abstractNumId w:val="23"/>
  </w:num>
  <w:num w:numId="9">
    <w:abstractNumId w:val="47"/>
  </w:num>
  <w:num w:numId="10">
    <w:abstractNumId w:val="1"/>
  </w:num>
  <w:num w:numId="11">
    <w:abstractNumId w:val="37"/>
  </w:num>
  <w:num w:numId="12">
    <w:abstractNumId w:val="39"/>
  </w:num>
  <w:num w:numId="13">
    <w:abstractNumId w:val="8"/>
  </w:num>
  <w:num w:numId="14">
    <w:abstractNumId w:val="43"/>
  </w:num>
  <w:num w:numId="15">
    <w:abstractNumId w:val="35"/>
  </w:num>
  <w:num w:numId="16">
    <w:abstractNumId w:val="40"/>
  </w:num>
  <w:num w:numId="17">
    <w:abstractNumId w:val="25"/>
  </w:num>
  <w:num w:numId="18">
    <w:abstractNumId w:val="27"/>
  </w:num>
  <w:num w:numId="19">
    <w:abstractNumId w:val="42"/>
  </w:num>
  <w:num w:numId="20">
    <w:abstractNumId w:val="41"/>
  </w:num>
  <w:num w:numId="21">
    <w:abstractNumId w:val="4"/>
  </w:num>
  <w:num w:numId="22">
    <w:abstractNumId w:val="17"/>
  </w:num>
  <w:num w:numId="23">
    <w:abstractNumId w:val="3"/>
  </w:num>
  <w:num w:numId="24">
    <w:abstractNumId w:val="15"/>
  </w:num>
  <w:num w:numId="25">
    <w:abstractNumId w:val="10"/>
  </w:num>
  <w:num w:numId="26">
    <w:abstractNumId w:val="6"/>
  </w:num>
  <w:num w:numId="27">
    <w:abstractNumId w:val="13"/>
  </w:num>
  <w:num w:numId="28">
    <w:abstractNumId w:val="24"/>
  </w:num>
  <w:num w:numId="29">
    <w:abstractNumId w:val="26"/>
  </w:num>
  <w:num w:numId="30">
    <w:abstractNumId w:val="45"/>
  </w:num>
  <w:num w:numId="31">
    <w:abstractNumId w:val="36"/>
  </w:num>
  <w:num w:numId="32">
    <w:abstractNumId w:val="19"/>
  </w:num>
  <w:num w:numId="33">
    <w:abstractNumId w:val="44"/>
  </w:num>
  <w:num w:numId="34">
    <w:abstractNumId w:val="33"/>
  </w:num>
  <w:num w:numId="35">
    <w:abstractNumId w:val="32"/>
  </w:num>
  <w:num w:numId="36">
    <w:abstractNumId w:val="9"/>
  </w:num>
  <w:num w:numId="37">
    <w:abstractNumId w:val="14"/>
  </w:num>
  <w:num w:numId="38">
    <w:abstractNumId w:val="7"/>
  </w:num>
  <w:num w:numId="39">
    <w:abstractNumId w:val="16"/>
  </w:num>
  <w:num w:numId="40">
    <w:abstractNumId w:val="18"/>
  </w:num>
  <w:num w:numId="41">
    <w:abstractNumId w:val="46"/>
  </w:num>
  <w:num w:numId="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11"/>
  </w:num>
  <w:num w:numId="45">
    <w:abstractNumId w:val="48"/>
  </w:num>
  <w:num w:numId="46">
    <w:abstractNumId w:val="0"/>
  </w:num>
  <w:num w:numId="47">
    <w:abstractNumId w:val="28"/>
  </w:num>
  <w:num w:numId="48">
    <w:abstractNumId w:val="5"/>
  </w:num>
  <w:num w:numId="49">
    <w:abstractNumId w:val="22"/>
  </w:num>
  <w:num w:numId="50">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eme Suthers">
    <w15:presenceInfo w15:providerId="None" w15:userId="Graeme Suth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B1691F8-3451-4C91-9BFD-8AC002876478}"/>
    <w:docVar w:name="dgnword-eventsink" w:val="284197556800"/>
  </w:docVars>
  <w:rsids>
    <w:rsidRoot w:val="00065623"/>
    <w:rsid w:val="00001481"/>
    <w:rsid w:val="00011A36"/>
    <w:rsid w:val="000330AA"/>
    <w:rsid w:val="0003449E"/>
    <w:rsid w:val="00037D6D"/>
    <w:rsid w:val="00047606"/>
    <w:rsid w:val="00065623"/>
    <w:rsid w:val="000661A0"/>
    <w:rsid w:val="000756B9"/>
    <w:rsid w:val="00096B67"/>
    <w:rsid w:val="00096DAF"/>
    <w:rsid w:val="000A0AD4"/>
    <w:rsid w:val="000C2F47"/>
    <w:rsid w:val="000D2AE3"/>
    <w:rsid w:val="000D6C00"/>
    <w:rsid w:val="000E4E04"/>
    <w:rsid w:val="000F14B4"/>
    <w:rsid w:val="000F75DF"/>
    <w:rsid w:val="001034B6"/>
    <w:rsid w:val="001328FA"/>
    <w:rsid w:val="00147AAF"/>
    <w:rsid w:val="001552C0"/>
    <w:rsid w:val="0015664C"/>
    <w:rsid w:val="001640B1"/>
    <w:rsid w:val="0018435E"/>
    <w:rsid w:val="001C372E"/>
    <w:rsid w:val="001F2FE2"/>
    <w:rsid w:val="002041A1"/>
    <w:rsid w:val="00205102"/>
    <w:rsid w:val="002054F0"/>
    <w:rsid w:val="00205906"/>
    <w:rsid w:val="00230D6B"/>
    <w:rsid w:val="00232068"/>
    <w:rsid w:val="002330F2"/>
    <w:rsid w:val="00243D9E"/>
    <w:rsid w:val="00253B66"/>
    <w:rsid w:val="00261DF1"/>
    <w:rsid w:val="00271F18"/>
    <w:rsid w:val="002724DF"/>
    <w:rsid w:val="00282779"/>
    <w:rsid w:val="0028334D"/>
    <w:rsid w:val="00293629"/>
    <w:rsid w:val="002B7FFA"/>
    <w:rsid w:val="002C2BCF"/>
    <w:rsid w:val="002C41C1"/>
    <w:rsid w:val="002E1AEB"/>
    <w:rsid w:val="002F279D"/>
    <w:rsid w:val="002F3F00"/>
    <w:rsid w:val="002F43B8"/>
    <w:rsid w:val="003133BA"/>
    <w:rsid w:val="00336856"/>
    <w:rsid w:val="0034554D"/>
    <w:rsid w:val="00351B14"/>
    <w:rsid w:val="00352224"/>
    <w:rsid w:val="003671E6"/>
    <w:rsid w:val="00384272"/>
    <w:rsid w:val="00386D67"/>
    <w:rsid w:val="003945B8"/>
    <w:rsid w:val="003B2A95"/>
    <w:rsid w:val="003D72AE"/>
    <w:rsid w:val="003D7F29"/>
    <w:rsid w:val="00405A6B"/>
    <w:rsid w:val="00407B1F"/>
    <w:rsid w:val="00414C57"/>
    <w:rsid w:val="0041758C"/>
    <w:rsid w:val="00420752"/>
    <w:rsid w:val="00430306"/>
    <w:rsid w:val="004539DE"/>
    <w:rsid w:val="004937A1"/>
    <w:rsid w:val="004951E8"/>
    <w:rsid w:val="004A2CF1"/>
    <w:rsid w:val="004C3035"/>
    <w:rsid w:val="004C307F"/>
    <w:rsid w:val="004E4BA8"/>
    <w:rsid w:val="004F340F"/>
    <w:rsid w:val="004F7B7C"/>
    <w:rsid w:val="00513264"/>
    <w:rsid w:val="00521AE9"/>
    <w:rsid w:val="0052243D"/>
    <w:rsid w:val="00532435"/>
    <w:rsid w:val="00550354"/>
    <w:rsid w:val="00554C8D"/>
    <w:rsid w:val="00563892"/>
    <w:rsid w:val="00571236"/>
    <w:rsid w:val="00583C5C"/>
    <w:rsid w:val="00587738"/>
    <w:rsid w:val="005953A1"/>
    <w:rsid w:val="005A3D47"/>
    <w:rsid w:val="005D0332"/>
    <w:rsid w:val="005D0D8C"/>
    <w:rsid w:val="005D4CEB"/>
    <w:rsid w:val="005E42B4"/>
    <w:rsid w:val="005F1B0E"/>
    <w:rsid w:val="005F34BC"/>
    <w:rsid w:val="00601D4B"/>
    <w:rsid w:val="00615821"/>
    <w:rsid w:val="0061765E"/>
    <w:rsid w:val="0063371D"/>
    <w:rsid w:val="00661630"/>
    <w:rsid w:val="00673860"/>
    <w:rsid w:val="00675D81"/>
    <w:rsid w:val="0067636A"/>
    <w:rsid w:val="006776AE"/>
    <w:rsid w:val="00683A28"/>
    <w:rsid w:val="006A0D97"/>
    <w:rsid w:val="006B1F86"/>
    <w:rsid w:val="006C0A91"/>
    <w:rsid w:val="006D1701"/>
    <w:rsid w:val="006F04DC"/>
    <w:rsid w:val="007054BB"/>
    <w:rsid w:val="00707064"/>
    <w:rsid w:val="007104B2"/>
    <w:rsid w:val="00722046"/>
    <w:rsid w:val="007248B3"/>
    <w:rsid w:val="00730683"/>
    <w:rsid w:val="0075261F"/>
    <w:rsid w:val="0075468E"/>
    <w:rsid w:val="00760376"/>
    <w:rsid w:val="007665D8"/>
    <w:rsid w:val="00766E36"/>
    <w:rsid w:val="007765F4"/>
    <w:rsid w:val="00776633"/>
    <w:rsid w:val="00784D53"/>
    <w:rsid w:val="00797797"/>
    <w:rsid w:val="007A5883"/>
    <w:rsid w:val="007A63C9"/>
    <w:rsid w:val="007B32D1"/>
    <w:rsid w:val="007B382D"/>
    <w:rsid w:val="007B5B41"/>
    <w:rsid w:val="007B7095"/>
    <w:rsid w:val="007D24E1"/>
    <w:rsid w:val="007F4CE9"/>
    <w:rsid w:val="007F4E20"/>
    <w:rsid w:val="00801E29"/>
    <w:rsid w:val="00822C7E"/>
    <w:rsid w:val="00847060"/>
    <w:rsid w:val="00852011"/>
    <w:rsid w:val="00856A33"/>
    <w:rsid w:val="008816B4"/>
    <w:rsid w:val="00892620"/>
    <w:rsid w:val="00896A97"/>
    <w:rsid w:val="008B3E87"/>
    <w:rsid w:val="008C7D37"/>
    <w:rsid w:val="008D5885"/>
    <w:rsid w:val="008E268B"/>
    <w:rsid w:val="009108FA"/>
    <w:rsid w:val="00923FA2"/>
    <w:rsid w:val="009550E1"/>
    <w:rsid w:val="009555E7"/>
    <w:rsid w:val="0096060D"/>
    <w:rsid w:val="00974A50"/>
    <w:rsid w:val="0097585A"/>
    <w:rsid w:val="00980073"/>
    <w:rsid w:val="009924B0"/>
    <w:rsid w:val="009942C9"/>
    <w:rsid w:val="009B35C4"/>
    <w:rsid w:val="009C630A"/>
    <w:rsid w:val="009E0D98"/>
    <w:rsid w:val="009F0399"/>
    <w:rsid w:val="00A068A1"/>
    <w:rsid w:val="00A06B95"/>
    <w:rsid w:val="00A1207D"/>
    <w:rsid w:val="00A12FD8"/>
    <w:rsid w:val="00A21D99"/>
    <w:rsid w:val="00A346FC"/>
    <w:rsid w:val="00A409FC"/>
    <w:rsid w:val="00A84F93"/>
    <w:rsid w:val="00A96619"/>
    <w:rsid w:val="00AA6825"/>
    <w:rsid w:val="00AB1AC5"/>
    <w:rsid w:val="00AB3BFC"/>
    <w:rsid w:val="00AC4F2E"/>
    <w:rsid w:val="00AC5F98"/>
    <w:rsid w:val="00AD0C37"/>
    <w:rsid w:val="00AD385F"/>
    <w:rsid w:val="00AD5948"/>
    <w:rsid w:val="00AE6E2A"/>
    <w:rsid w:val="00B07878"/>
    <w:rsid w:val="00B30C6F"/>
    <w:rsid w:val="00B31E9C"/>
    <w:rsid w:val="00B35595"/>
    <w:rsid w:val="00B44E0A"/>
    <w:rsid w:val="00B51C6D"/>
    <w:rsid w:val="00B53A93"/>
    <w:rsid w:val="00B86D64"/>
    <w:rsid w:val="00BA4AC5"/>
    <w:rsid w:val="00BC1364"/>
    <w:rsid w:val="00BC13DA"/>
    <w:rsid w:val="00BC7DE9"/>
    <w:rsid w:val="00BF479B"/>
    <w:rsid w:val="00C02577"/>
    <w:rsid w:val="00C17AAB"/>
    <w:rsid w:val="00C204FB"/>
    <w:rsid w:val="00C20BEE"/>
    <w:rsid w:val="00C2158D"/>
    <w:rsid w:val="00C67DD2"/>
    <w:rsid w:val="00C725CB"/>
    <w:rsid w:val="00C760D4"/>
    <w:rsid w:val="00C76F5C"/>
    <w:rsid w:val="00C814F8"/>
    <w:rsid w:val="00C835E7"/>
    <w:rsid w:val="00C918F9"/>
    <w:rsid w:val="00C956E2"/>
    <w:rsid w:val="00C96BAD"/>
    <w:rsid w:val="00CA6944"/>
    <w:rsid w:val="00CB0F8E"/>
    <w:rsid w:val="00CB7E7D"/>
    <w:rsid w:val="00CC2911"/>
    <w:rsid w:val="00CE72CC"/>
    <w:rsid w:val="00CF0C6D"/>
    <w:rsid w:val="00CF1F31"/>
    <w:rsid w:val="00CF7307"/>
    <w:rsid w:val="00CF7C68"/>
    <w:rsid w:val="00D124FA"/>
    <w:rsid w:val="00D1277F"/>
    <w:rsid w:val="00D264FB"/>
    <w:rsid w:val="00D340DE"/>
    <w:rsid w:val="00D55723"/>
    <w:rsid w:val="00D62FAD"/>
    <w:rsid w:val="00D70450"/>
    <w:rsid w:val="00D75CD6"/>
    <w:rsid w:val="00D812AD"/>
    <w:rsid w:val="00D83BFD"/>
    <w:rsid w:val="00D90A38"/>
    <w:rsid w:val="00D96EEE"/>
    <w:rsid w:val="00DA0515"/>
    <w:rsid w:val="00DA171E"/>
    <w:rsid w:val="00DA56AA"/>
    <w:rsid w:val="00DB5833"/>
    <w:rsid w:val="00DD2858"/>
    <w:rsid w:val="00DE553F"/>
    <w:rsid w:val="00DF35D4"/>
    <w:rsid w:val="00E03E33"/>
    <w:rsid w:val="00E321E9"/>
    <w:rsid w:val="00E3642A"/>
    <w:rsid w:val="00E415C4"/>
    <w:rsid w:val="00E47311"/>
    <w:rsid w:val="00E50016"/>
    <w:rsid w:val="00E50EAA"/>
    <w:rsid w:val="00E54EAE"/>
    <w:rsid w:val="00E61CC0"/>
    <w:rsid w:val="00E656D6"/>
    <w:rsid w:val="00E972B1"/>
    <w:rsid w:val="00E977EE"/>
    <w:rsid w:val="00EA67A2"/>
    <w:rsid w:val="00EC4F98"/>
    <w:rsid w:val="00ED0865"/>
    <w:rsid w:val="00ED7913"/>
    <w:rsid w:val="00F12F02"/>
    <w:rsid w:val="00F32E0D"/>
    <w:rsid w:val="00F35134"/>
    <w:rsid w:val="00F41812"/>
    <w:rsid w:val="00F73333"/>
    <w:rsid w:val="00F95D8F"/>
    <w:rsid w:val="00FB350A"/>
    <w:rsid w:val="00FB7F6B"/>
    <w:rsid w:val="00FC68CA"/>
    <w:rsid w:val="00FD0945"/>
    <w:rsid w:val="00FE73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qFormat="1"/>
    <w:lsdException w:name="heading 8" w:locked="1" w:qFormat="1"/>
    <w:lsdException w:name="heading 9" w:locked="1"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locked="1" w:semiHidden="0" w:unhideWhenUsed="0"/>
    <w:lsdException w:name="annotation text" w:uiPriority="0"/>
    <w:lsdException w:name="caption" w:locked="1" w:uiPriority="0" w:qFormat="1"/>
    <w:lsdException w:name="footnote reference" w:locked="1" w:semiHidden="0" w:uiPriority="0" w:unhideWhenUsed="0"/>
    <w:lsdException w:name="annotation reference" w:uiPriority="0" w:qFormat="1"/>
    <w:lsdException w:name="Title" w:locked="1" w:semiHidden="0" w:unhideWhenUsed="0" w:qFormat="1"/>
    <w:lsdException w:name="Default Paragraph Font" w:locked="1" w:semiHidden="0" w:uiPriority="0" w:unhideWhenUsed="0"/>
    <w:lsdException w:name="Body Text" w:qFormat="1"/>
    <w:lsdException w:name="Subtitle" w:locked="1" w:semiHidden="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8FA"/>
    <w:pPr>
      <w:spacing w:after="240"/>
    </w:pPr>
    <w:rPr>
      <w:rFonts w:eastAsia="Times New Roman"/>
      <w:sz w:val="24"/>
      <w:szCs w:val="20"/>
    </w:rPr>
  </w:style>
  <w:style w:type="paragraph" w:styleId="Heading1">
    <w:name w:val="heading 1"/>
    <w:basedOn w:val="Normal"/>
    <w:next w:val="Normal"/>
    <w:link w:val="Heading1Char"/>
    <w:qFormat/>
    <w:rsid w:val="008D5885"/>
    <w:pPr>
      <w:keepNext/>
      <w:keepLines/>
      <w:outlineLvl w:val="0"/>
    </w:pPr>
    <w:rPr>
      <w:rFonts w:ascii="Arial" w:hAnsi="Arial"/>
      <w:b/>
      <w:bCs/>
      <w:szCs w:val="28"/>
    </w:rPr>
  </w:style>
  <w:style w:type="paragraph" w:styleId="Heading2">
    <w:name w:val="heading 2"/>
    <w:basedOn w:val="Normal"/>
    <w:next w:val="Normal"/>
    <w:link w:val="Heading2Char"/>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locked/>
    <w:rsid w:val="002724DF"/>
    <w:pPr>
      <w:keepNext/>
      <w:widowControl w:val="0"/>
      <w:jc w:val="center"/>
      <w:outlineLvl w:val="2"/>
    </w:pPr>
    <w:rPr>
      <w:b/>
      <w:snapToGrid w:val="0"/>
      <w:lang w:val="en-GB" w:eastAsia="en-US"/>
    </w:rPr>
  </w:style>
  <w:style w:type="paragraph" w:styleId="Heading4">
    <w:name w:val="heading 4"/>
    <w:basedOn w:val="Normal"/>
    <w:next w:val="Normal"/>
    <w:link w:val="Heading4Char"/>
    <w:qFormat/>
    <w:locked/>
    <w:rsid w:val="002724DF"/>
    <w:pPr>
      <w:keepNext/>
      <w:widowControl w:val="0"/>
      <w:jc w:val="both"/>
      <w:outlineLvl w:val="3"/>
    </w:pPr>
    <w:rPr>
      <w:i/>
      <w:snapToGrid w:val="0"/>
      <w:lang w:val="en-GB" w:eastAsia="en-US"/>
    </w:rPr>
  </w:style>
  <w:style w:type="paragraph" w:styleId="Heading5">
    <w:name w:val="heading 5"/>
    <w:basedOn w:val="Normal"/>
    <w:next w:val="Normal"/>
    <w:link w:val="Heading5Char"/>
    <w:qFormat/>
    <w:locked/>
    <w:rsid w:val="002724DF"/>
    <w:pPr>
      <w:keepNext/>
      <w:widowControl w:val="0"/>
      <w:jc w:val="both"/>
      <w:outlineLvl w:val="4"/>
    </w:pPr>
    <w:rPr>
      <w:rFonts w:ascii="Arial" w:hAnsi="Arial"/>
      <w:b/>
      <w:snapToGrid w:val="0"/>
      <w:sz w:val="20"/>
      <w:lang w:val="en-GB" w:eastAsia="en-US"/>
    </w:rPr>
  </w:style>
  <w:style w:type="paragraph" w:styleId="Heading6">
    <w:name w:val="heading 6"/>
    <w:basedOn w:val="Normal"/>
    <w:next w:val="Normal"/>
    <w:link w:val="Heading6Char"/>
    <w:qFormat/>
    <w:locked/>
    <w:rsid w:val="002724DF"/>
    <w:pPr>
      <w:keepNext/>
      <w:widowControl w:val="0"/>
      <w:jc w:val="center"/>
      <w:outlineLvl w:val="5"/>
    </w:pPr>
    <w:rPr>
      <w:rFonts w:ascii="Arial" w:hAnsi="Arial"/>
      <w:snapToGrid w:val="0"/>
      <w:sz w:val="20"/>
      <w:lang w:val="en-GB" w:eastAsia="en-US"/>
    </w:rPr>
  </w:style>
  <w:style w:type="paragraph" w:styleId="Heading7">
    <w:name w:val="heading 7"/>
    <w:basedOn w:val="Normal"/>
    <w:next w:val="Normal"/>
    <w:link w:val="Heading7Char"/>
    <w:uiPriority w:val="99"/>
    <w:qFormat/>
    <w:locked/>
    <w:rsid w:val="002724DF"/>
    <w:pPr>
      <w:keepNext/>
      <w:widowControl w:val="0"/>
      <w:jc w:val="center"/>
      <w:outlineLvl w:val="6"/>
    </w:pPr>
    <w:rPr>
      <w:rFonts w:ascii="Arial" w:hAnsi="Arial"/>
      <w:b/>
      <w:snapToGrid w:val="0"/>
      <w:sz w:val="20"/>
      <w:lang w:val="en-GB" w:eastAsia="en-US"/>
    </w:rPr>
  </w:style>
  <w:style w:type="paragraph" w:styleId="Heading8">
    <w:name w:val="heading 8"/>
    <w:basedOn w:val="Normal"/>
    <w:next w:val="Normal"/>
    <w:link w:val="Heading8Char"/>
    <w:uiPriority w:val="99"/>
    <w:qFormat/>
    <w:locked/>
    <w:rsid w:val="002724DF"/>
    <w:pPr>
      <w:keepNext/>
      <w:widowControl w:val="0"/>
      <w:jc w:val="right"/>
      <w:outlineLvl w:val="7"/>
    </w:pPr>
    <w:rPr>
      <w:b/>
      <w:snapToGrid w:val="0"/>
      <w:lang w:val="en-GB" w:eastAsia="en-US"/>
    </w:rPr>
  </w:style>
  <w:style w:type="paragraph" w:styleId="Heading9">
    <w:name w:val="heading 9"/>
    <w:basedOn w:val="Normal"/>
    <w:next w:val="Normal"/>
    <w:link w:val="Heading9Char"/>
    <w:uiPriority w:val="99"/>
    <w:qFormat/>
    <w:locked/>
    <w:rsid w:val="002724DF"/>
    <w:pPr>
      <w:keepNext/>
      <w:widowControl w:val="0"/>
      <w:jc w:val="center"/>
      <w:outlineLvl w:val="8"/>
    </w:pPr>
    <w:rPr>
      <w:rFonts w:ascii="Arial" w:hAnsi="Arial"/>
      <w:b/>
      <w:snapToGrid w:val="0"/>
      <w:color w:val="000000"/>
      <w:sz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D5885"/>
    <w:rPr>
      <w:rFonts w:ascii="Arial" w:eastAsia="Times New Roman" w:hAnsi="Arial"/>
      <w:b/>
      <w:bCs/>
      <w:sz w:val="24"/>
      <w:szCs w:val="28"/>
    </w:rPr>
  </w:style>
  <w:style w:type="character" w:customStyle="1" w:styleId="Heading2Char">
    <w:name w:val="Heading 2 Char"/>
    <w:basedOn w:val="DefaultParagraphFont"/>
    <w:link w:val="Heading2"/>
    <w:rsid w:val="008D588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2724DF"/>
    <w:rPr>
      <w:rFonts w:eastAsia="Times New Roman"/>
      <w:b/>
      <w:snapToGrid w:val="0"/>
      <w:sz w:val="24"/>
      <w:szCs w:val="20"/>
      <w:lang w:val="en-GB" w:eastAsia="en-US"/>
    </w:rPr>
  </w:style>
  <w:style w:type="character" w:customStyle="1" w:styleId="Heading4Char">
    <w:name w:val="Heading 4 Char"/>
    <w:basedOn w:val="DefaultParagraphFont"/>
    <w:link w:val="Heading4"/>
    <w:rsid w:val="002724DF"/>
    <w:rPr>
      <w:rFonts w:eastAsia="Times New Roman"/>
      <w:i/>
      <w:snapToGrid w:val="0"/>
      <w:sz w:val="24"/>
      <w:szCs w:val="20"/>
      <w:lang w:val="en-GB" w:eastAsia="en-US"/>
    </w:rPr>
  </w:style>
  <w:style w:type="character" w:customStyle="1" w:styleId="Heading5Char">
    <w:name w:val="Heading 5 Char"/>
    <w:basedOn w:val="DefaultParagraphFont"/>
    <w:link w:val="Heading5"/>
    <w:rsid w:val="002724DF"/>
    <w:rPr>
      <w:rFonts w:ascii="Arial" w:eastAsia="Times New Roman" w:hAnsi="Arial"/>
      <w:b/>
      <w:snapToGrid w:val="0"/>
      <w:sz w:val="20"/>
      <w:szCs w:val="20"/>
      <w:lang w:val="en-GB" w:eastAsia="en-US"/>
    </w:rPr>
  </w:style>
  <w:style w:type="character" w:customStyle="1" w:styleId="Heading6Char">
    <w:name w:val="Heading 6 Char"/>
    <w:basedOn w:val="DefaultParagraphFont"/>
    <w:link w:val="Heading6"/>
    <w:rsid w:val="002724DF"/>
    <w:rPr>
      <w:rFonts w:ascii="Arial" w:eastAsia="Times New Roman" w:hAnsi="Arial"/>
      <w:snapToGrid w:val="0"/>
      <w:sz w:val="20"/>
      <w:szCs w:val="20"/>
      <w:lang w:val="en-GB" w:eastAsia="en-US"/>
    </w:rPr>
  </w:style>
  <w:style w:type="character" w:customStyle="1" w:styleId="Heading7Char">
    <w:name w:val="Heading 7 Char"/>
    <w:basedOn w:val="DefaultParagraphFont"/>
    <w:link w:val="Heading7"/>
    <w:uiPriority w:val="99"/>
    <w:rsid w:val="002724DF"/>
    <w:rPr>
      <w:rFonts w:ascii="Arial" w:eastAsia="Times New Roman" w:hAnsi="Arial"/>
      <w:b/>
      <w:snapToGrid w:val="0"/>
      <w:sz w:val="20"/>
      <w:szCs w:val="20"/>
      <w:lang w:val="en-GB" w:eastAsia="en-US"/>
    </w:rPr>
  </w:style>
  <w:style w:type="character" w:customStyle="1" w:styleId="Heading8Char">
    <w:name w:val="Heading 8 Char"/>
    <w:basedOn w:val="DefaultParagraphFont"/>
    <w:link w:val="Heading8"/>
    <w:uiPriority w:val="99"/>
    <w:rsid w:val="002724DF"/>
    <w:rPr>
      <w:rFonts w:eastAsia="Times New Roman"/>
      <w:b/>
      <w:snapToGrid w:val="0"/>
      <w:sz w:val="24"/>
      <w:szCs w:val="20"/>
      <w:lang w:val="en-GB" w:eastAsia="en-US"/>
    </w:rPr>
  </w:style>
  <w:style w:type="character" w:customStyle="1" w:styleId="Heading9Char">
    <w:name w:val="Heading 9 Char"/>
    <w:basedOn w:val="DefaultParagraphFont"/>
    <w:link w:val="Heading9"/>
    <w:uiPriority w:val="99"/>
    <w:rsid w:val="002724DF"/>
    <w:rPr>
      <w:rFonts w:ascii="Arial" w:eastAsia="Times New Roman" w:hAnsi="Arial"/>
      <w:b/>
      <w:snapToGrid w:val="0"/>
      <w:color w:val="000000"/>
      <w:sz w:val="20"/>
      <w:szCs w:val="20"/>
      <w:lang w:val="en-GB" w:eastAsia="en-US"/>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semiHidden/>
    <w:rsid w:val="00065623"/>
    <w:rPr>
      <w:rFonts w:cs="Times New Roman"/>
      <w:vertAlign w:val="superscript"/>
    </w:rPr>
  </w:style>
  <w:style w:type="paragraph" w:styleId="ListParagraph">
    <w:name w:val="List Paragraph"/>
    <w:basedOn w:val="Normal"/>
    <w:link w:val="ListParagraphChar"/>
    <w:uiPriority w:val="99"/>
    <w:qFormat/>
    <w:rsid w:val="00065623"/>
    <w:pPr>
      <w:ind w:left="720"/>
      <w:contextualSpacing/>
    </w:pPr>
  </w:style>
  <w:style w:type="character" w:customStyle="1" w:styleId="ListParagraphChar">
    <w:name w:val="List Paragraph Char"/>
    <w:basedOn w:val="DefaultParagraphFont"/>
    <w:link w:val="ListParagraph"/>
    <w:uiPriority w:val="99"/>
    <w:rsid w:val="00351B14"/>
    <w:rPr>
      <w:rFonts w:eastAsia="Times New Roman"/>
      <w:sz w:val="24"/>
      <w:szCs w:val="20"/>
    </w:r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aliases w:val="Page Header,Header title,he=header,cntr/bld"/>
    <w:basedOn w:val="Normal"/>
    <w:link w:val="HeaderChar"/>
    <w:uiPriority w:val="99"/>
    <w:rsid w:val="00707064"/>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aliases w:val="Table Title"/>
    <w:basedOn w:val="DefaultParagraphFont"/>
    <w:semiHidden/>
    <w:qFormat/>
    <w:rsid w:val="00974A50"/>
    <w:rPr>
      <w:rFonts w:cs="Times New Roman"/>
      <w:sz w:val="16"/>
      <w:szCs w:val="16"/>
    </w:rPr>
  </w:style>
  <w:style w:type="paragraph" w:styleId="CommentText">
    <w:name w:val="annotation text"/>
    <w:basedOn w:val="Normal"/>
    <w:link w:val="CommentTextChar"/>
    <w:semiHidden/>
    <w:rsid w:val="00974A50"/>
    <w:rPr>
      <w:sz w:val="20"/>
    </w:rPr>
  </w:style>
  <w:style w:type="character" w:customStyle="1" w:styleId="CommentTextChar">
    <w:name w:val="Comment Text Char"/>
    <w:basedOn w:val="DefaultParagraphFont"/>
    <w:link w:val="CommentText"/>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table" w:styleId="TableGrid">
    <w:name w:val="Table Grid"/>
    <w:basedOn w:val="TableNormal"/>
    <w:uiPriority w:val="59"/>
    <w:locked/>
    <w:rsid w:val="00351B14"/>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2724DF"/>
    <w:pPr>
      <w:spacing w:before="80" w:after="80"/>
    </w:pPr>
    <w:rPr>
      <w:rFonts w:ascii="Arial" w:hAnsi="Arial"/>
      <w:sz w:val="20"/>
      <w:szCs w:val="22"/>
      <w:lang w:val="en-GB"/>
    </w:rPr>
  </w:style>
  <w:style w:type="paragraph" w:styleId="Title">
    <w:name w:val="Title"/>
    <w:basedOn w:val="Normal"/>
    <w:next w:val="Normal"/>
    <w:link w:val="TitleChar"/>
    <w:uiPriority w:val="99"/>
    <w:qFormat/>
    <w:locked/>
    <w:rsid w:val="009108FA"/>
    <w:pPr>
      <w:jc w:val="center"/>
    </w:pPr>
    <w:rPr>
      <w:rFonts w:ascii="Arial" w:hAnsi="Arial" w:cs="Arial"/>
      <w:b/>
      <w:bCs/>
      <w:color w:val="000080"/>
      <w:sz w:val="36"/>
      <w:szCs w:val="36"/>
    </w:rPr>
  </w:style>
  <w:style w:type="character" w:customStyle="1" w:styleId="TitleChar">
    <w:name w:val="Title Char"/>
    <w:basedOn w:val="DefaultParagraphFont"/>
    <w:link w:val="Title"/>
    <w:uiPriority w:val="99"/>
    <w:rsid w:val="009108FA"/>
    <w:rPr>
      <w:rFonts w:ascii="Arial" w:eastAsia="Times New Roman" w:hAnsi="Arial" w:cs="Arial"/>
      <w:b/>
      <w:bCs/>
      <w:color w:val="000080"/>
      <w:sz w:val="36"/>
      <w:szCs w:val="36"/>
    </w:rPr>
  </w:style>
  <w:style w:type="paragraph" w:customStyle="1" w:styleId="authors">
    <w:name w:val="authors"/>
    <w:basedOn w:val="Normal"/>
    <w:rsid w:val="002724DF"/>
    <w:pPr>
      <w:spacing w:before="192" w:after="192"/>
    </w:pPr>
    <w:rPr>
      <w:szCs w:val="24"/>
      <w:lang w:val="en-GB" w:eastAsia="en-GB"/>
    </w:rPr>
  </w:style>
  <w:style w:type="paragraph" w:styleId="TOC1">
    <w:name w:val="toc 1"/>
    <w:basedOn w:val="Normal"/>
    <w:next w:val="Normal"/>
    <w:autoRedefine/>
    <w:uiPriority w:val="39"/>
    <w:unhideWhenUsed/>
    <w:locked/>
    <w:rsid w:val="002724DF"/>
    <w:pPr>
      <w:widowControl w:val="0"/>
      <w:snapToGrid w:val="0"/>
      <w:spacing w:before="240" w:after="120"/>
    </w:pPr>
    <w:rPr>
      <w:rFonts w:ascii="Arial" w:hAnsi="Arial" w:cs="Arial"/>
      <w:bCs/>
      <w:sz w:val="20"/>
      <w:lang w:eastAsia="en-US"/>
    </w:rPr>
  </w:style>
  <w:style w:type="paragraph" w:styleId="TOC2">
    <w:name w:val="toc 2"/>
    <w:basedOn w:val="Normal"/>
    <w:next w:val="Normal"/>
    <w:autoRedefine/>
    <w:uiPriority w:val="39"/>
    <w:unhideWhenUsed/>
    <w:locked/>
    <w:rsid w:val="002724DF"/>
    <w:pPr>
      <w:widowControl w:val="0"/>
      <w:tabs>
        <w:tab w:val="left" w:pos="880"/>
        <w:tab w:val="right" w:leader="dot" w:pos="9016"/>
      </w:tabs>
      <w:snapToGrid w:val="0"/>
      <w:spacing w:before="120"/>
      <w:ind w:left="220"/>
    </w:pPr>
    <w:rPr>
      <w:rFonts w:ascii="Arial" w:hAnsi="Arial" w:cs="Arial"/>
      <w:iCs/>
      <w:sz w:val="20"/>
      <w:lang w:eastAsia="en-US"/>
    </w:rPr>
  </w:style>
  <w:style w:type="paragraph" w:styleId="TOC3">
    <w:name w:val="toc 3"/>
    <w:basedOn w:val="Normal"/>
    <w:next w:val="Normal"/>
    <w:autoRedefine/>
    <w:uiPriority w:val="39"/>
    <w:unhideWhenUsed/>
    <w:locked/>
    <w:rsid w:val="002724DF"/>
    <w:pPr>
      <w:widowControl w:val="0"/>
      <w:snapToGrid w:val="0"/>
      <w:ind w:left="440"/>
    </w:pPr>
    <w:rPr>
      <w:rFonts w:asciiTheme="minorHAnsi" w:hAnsiTheme="minorHAnsi" w:cs="Arial"/>
      <w:sz w:val="20"/>
      <w:lang w:eastAsia="en-US"/>
    </w:rPr>
  </w:style>
  <w:style w:type="paragraph" w:styleId="TOC4">
    <w:name w:val="toc 4"/>
    <w:basedOn w:val="Normal"/>
    <w:next w:val="Normal"/>
    <w:autoRedefine/>
    <w:uiPriority w:val="99"/>
    <w:unhideWhenUsed/>
    <w:locked/>
    <w:rsid w:val="002724DF"/>
    <w:pPr>
      <w:widowControl w:val="0"/>
      <w:snapToGrid w:val="0"/>
      <w:ind w:left="660"/>
    </w:pPr>
    <w:rPr>
      <w:rFonts w:asciiTheme="minorHAnsi" w:hAnsiTheme="minorHAnsi" w:cs="Arial"/>
      <w:sz w:val="20"/>
      <w:lang w:eastAsia="en-US"/>
    </w:rPr>
  </w:style>
  <w:style w:type="paragraph" w:styleId="TOC5">
    <w:name w:val="toc 5"/>
    <w:basedOn w:val="Normal"/>
    <w:next w:val="Normal"/>
    <w:autoRedefine/>
    <w:uiPriority w:val="99"/>
    <w:unhideWhenUsed/>
    <w:locked/>
    <w:rsid w:val="002724DF"/>
    <w:pPr>
      <w:widowControl w:val="0"/>
      <w:snapToGrid w:val="0"/>
      <w:ind w:left="880"/>
    </w:pPr>
    <w:rPr>
      <w:rFonts w:asciiTheme="minorHAnsi" w:hAnsiTheme="minorHAnsi" w:cs="Arial"/>
      <w:sz w:val="20"/>
      <w:lang w:eastAsia="en-US"/>
    </w:rPr>
  </w:style>
  <w:style w:type="paragraph" w:styleId="TOC6">
    <w:name w:val="toc 6"/>
    <w:basedOn w:val="Normal"/>
    <w:next w:val="Normal"/>
    <w:autoRedefine/>
    <w:uiPriority w:val="99"/>
    <w:unhideWhenUsed/>
    <w:locked/>
    <w:rsid w:val="002724DF"/>
    <w:pPr>
      <w:widowControl w:val="0"/>
      <w:snapToGrid w:val="0"/>
      <w:ind w:left="1100"/>
    </w:pPr>
    <w:rPr>
      <w:rFonts w:asciiTheme="minorHAnsi" w:hAnsiTheme="minorHAnsi" w:cs="Arial"/>
      <w:sz w:val="20"/>
      <w:lang w:eastAsia="en-US"/>
    </w:rPr>
  </w:style>
  <w:style w:type="paragraph" w:styleId="TOC7">
    <w:name w:val="toc 7"/>
    <w:basedOn w:val="Normal"/>
    <w:next w:val="Normal"/>
    <w:autoRedefine/>
    <w:uiPriority w:val="99"/>
    <w:unhideWhenUsed/>
    <w:locked/>
    <w:rsid w:val="002724DF"/>
    <w:pPr>
      <w:widowControl w:val="0"/>
      <w:snapToGrid w:val="0"/>
      <w:ind w:left="1320"/>
    </w:pPr>
    <w:rPr>
      <w:rFonts w:asciiTheme="minorHAnsi" w:hAnsiTheme="minorHAnsi" w:cs="Arial"/>
      <w:sz w:val="20"/>
      <w:lang w:eastAsia="en-US"/>
    </w:rPr>
  </w:style>
  <w:style w:type="paragraph" w:styleId="TOC8">
    <w:name w:val="toc 8"/>
    <w:basedOn w:val="Normal"/>
    <w:next w:val="Normal"/>
    <w:autoRedefine/>
    <w:uiPriority w:val="99"/>
    <w:unhideWhenUsed/>
    <w:locked/>
    <w:rsid w:val="002724DF"/>
    <w:pPr>
      <w:widowControl w:val="0"/>
      <w:snapToGrid w:val="0"/>
      <w:ind w:left="1540"/>
    </w:pPr>
    <w:rPr>
      <w:rFonts w:asciiTheme="minorHAnsi" w:hAnsiTheme="minorHAnsi" w:cs="Arial"/>
      <w:sz w:val="20"/>
      <w:lang w:eastAsia="en-US"/>
    </w:rPr>
  </w:style>
  <w:style w:type="paragraph" w:styleId="TOC9">
    <w:name w:val="toc 9"/>
    <w:basedOn w:val="Normal"/>
    <w:next w:val="Normal"/>
    <w:autoRedefine/>
    <w:uiPriority w:val="99"/>
    <w:unhideWhenUsed/>
    <w:locked/>
    <w:rsid w:val="002724DF"/>
    <w:pPr>
      <w:widowControl w:val="0"/>
      <w:snapToGrid w:val="0"/>
      <w:ind w:left="1760"/>
    </w:pPr>
    <w:rPr>
      <w:rFonts w:asciiTheme="minorHAnsi" w:hAnsiTheme="minorHAnsi" w:cs="Arial"/>
      <w:sz w:val="20"/>
      <w:lang w:eastAsia="en-US"/>
    </w:rPr>
  </w:style>
  <w:style w:type="character" w:customStyle="1" w:styleId="CaptionChar">
    <w:name w:val="Caption Char"/>
    <w:link w:val="Caption"/>
    <w:semiHidden/>
    <w:locked/>
    <w:rsid w:val="002724DF"/>
    <w:rPr>
      <w:rFonts w:ascii="Arial" w:hAnsi="Arial" w:cs="Arial"/>
      <w:b/>
      <w:bCs/>
      <w:color w:val="4F81BD" w:themeColor="accent1"/>
      <w:sz w:val="18"/>
      <w:szCs w:val="18"/>
    </w:rPr>
  </w:style>
  <w:style w:type="paragraph" w:styleId="Caption">
    <w:name w:val="caption"/>
    <w:basedOn w:val="Normal"/>
    <w:next w:val="Normal"/>
    <w:link w:val="CaptionChar"/>
    <w:semiHidden/>
    <w:unhideWhenUsed/>
    <w:qFormat/>
    <w:locked/>
    <w:rsid w:val="002724DF"/>
    <w:pPr>
      <w:widowControl w:val="0"/>
      <w:snapToGrid w:val="0"/>
      <w:spacing w:after="200"/>
      <w:jc w:val="both"/>
    </w:pPr>
    <w:rPr>
      <w:rFonts w:ascii="Arial" w:eastAsia="Calibri" w:hAnsi="Arial" w:cs="Arial"/>
      <w:b/>
      <w:bCs/>
      <w:color w:val="4F81BD" w:themeColor="accent1"/>
      <w:sz w:val="18"/>
      <w:szCs w:val="18"/>
    </w:rPr>
  </w:style>
  <w:style w:type="paragraph" w:styleId="BodyText">
    <w:name w:val="Body Text"/>
    <w:basedOn w:val="Normal"/>
    <w:link w:val="BodyTextChar"/>
    <w:uiPriority w:val="99"/>
    <w:semiHidden/>
    <w:unhideWhenUsed/>
    <w:qFormat/>
    <w:rsid w:val="002724DF"/>
    <w:pPr>
      <w:widowControl w:val="0"/>
      <w:snapToGrid w:val="0"/>
    </w:pPr>
    <w:rPr>
      <w:rFonts w:ascii="Arial" w:hAnsi="Arial" w:cs="Arial"/>
      <w:sz w:val="22"/>
      <w:lang w:eastAsia="en-US"/>
    </w:rPr>
  </w:style>
  <w:style w:type="character" w:customStyle="1" w:styleId="BodyTextChar">
    <w:name w:val="Body Text Char"/>
    <w:basedOn w:val="DefaultParagraphFont"/>
    <w:link w:val="BodyText"/>
    <w:uiPriority w:val="99"/>
    <w:semiHidden/>
    <w:rsid w:val="002724DF"/>
    <w:rPr>
      <w:rFonts w:ascii="Arial" w:eastAsia="Times New Roman" w:hAnsi="Arial" w:cs="Arial"/>
      <w:szCs w:val="20"/>
      <w:lang w:eastAsia="en-US"/>
    </w:rPr>
  </w:style>
  <w:style w:type="character" w:customStyle="1" w:styleId="BodyTextIndentChar">
    <w:name w:val="Body Text Indent Char"/>
    <w:basedOn w:val="DefaultParagraphFont"/>
    <w:link w:val="BodyTextIndent"/>
    <w:uiPriority w:val="99"/>
    <w:semiHidden/>
    <w:rsid w:val="002724DF"/>
    <w:rPr>
      <w:rFonts w:ascii="Arial" w:eastAsia="Times New Roman" w:hAnsi="Arial" w:cs="Arial"/>
      <w:szCs w:val="20"/>
      <w:lang w:eastAsia="en-US"/>
    </w:rPr>
  </w:style>
  <w:style w:type="paragraph" w:styleId="BodyTextIndent">
    <w:name w:val="Body Text Indent"/>
    <w:basedOn w:val="Normal"/>
    <w:link w:val="BodyTextIndentChar"/>
    <w:uiPriority w:val="99"/>
    <w:semiHidden/>
    <w:unhideWhenUsed/>
    <w:rsid w:val="002724DF"/>
    <w:pPr>
      <w:widowControl w:val="0"/>
      <w:snapToGrid w:val="0"/>
      <w:spacing w:after="120"/>
      <w:ind w:left="283"/>
      <w:jc w:val="both"/>
    </w:pPr>
    <w:rPr>
      <w:rFonts w:ascii="Arial" w:hAnsi="Arial" w:cs="Arial"/>
      <w:sz w:val="22"/>
      <w:lang w:eastAsia="en-US"/>
    </w:rPr>
  </w:style>
  <w:style w:type="paragraph" w:styleId="Subtitle">
    <w:name w:val="Subtitle"/>
    <w:basedOn w:val="Normal"/>
    <w:link w:val="SubtitleChar"/>
    <w:uiPriority w:val="99"/>
    <w:qFormat/>
    <w:locked/>
    <w:rsid w:val="009108FA"/>
    <w:pPr>
      <w:jc w:val="center"/>
    </w:pPr>
    <w:rPr>
      <w:rFonts w:ascii="Arial" w:hAnsi="Arial" w:cs="Arial"/>
      <w:b/>
      <w:bCs/>
      <w:i/>
      <w:color w:val="000080"/>
      <w:sz w:val="28"/>
      <w:szCs w:val="28"/>
    </w:rPr>
  </w:style>
  <w:style w:type="character" w:customStyle="1" w:styleId="SubtitleChar">
    <w:name w:val="Subtitle Char"/>
    <w:basedOn w:val="DefaultParagraphFont"/>
    <w:link w:val="Subtitle"/>
    <w:uiPriority w:val="99"/>
    <w:rsid w:val="009108FA"/>
    <w:rPr>
      <w:rFonts w:ascii="Arial" w:eastAsia="Times New Roman" w:hAnsi="Arial" w:cs="Arial"/>
      <w:b/>
      <w:bCs/>
      <w:i/>
      <w:color w:val="000080"/>
      <w:sz w:val="28"/>
      <w:szCs w:val="28"/>
    </w:rPr>
  </w:style>
  <w:style w:type="character" w:customStyle="1" w:styleId="BodyText2Char">
    <w:name w:val="Body Text 2 Char"/>
    <w:basedOn w:val="DefaultParagraphFont"/>
    <w:link w:val="BodyText2"/>
    <w:uiPriority w:val="99"/>
    <w:semiHidden/>
    <w:rsid w:val="002724DF"/>
    <w:rPr>
      <w:rFonts w:ascii="Arial" w:eastAsia="Times New Roman" w:hAnsi="Arial" w:cs="Arial"/>
      <w:szCs w:val="20"/>
      <w:lang w:eastAsia="en-US"/>
    </w:rPr>
  </w:style>
  <w:style w:type="paragraph" w:styleId="BodyText2">
    <w:name w:val="Body Text 2"/>
    <w:basedOn w:val="Normal"/>
    <w:link w:val="BodyText2Char"/>
    <w:uiPriority w:val="99"/>
    <w:semiHidden/>
    <w:unhideWhenUsed/>
    <w:rsid w:val="002724DF"/>
    <w:pPr>
      <w:widowControl w:val="0"/>
      <w:snapToGrid w:val="0"/>
      <w:spacing w:after="120" w:line="480" w:lineRule="auto"/>
      <w:jc w:val="both"/>
    </w:pPr>
    <w:rPr>
      <w:rFonts w:ascii="Arial" w:hAnsi="Arial" w:cs="Arial"/>
      <w:sz w:val="22"/>
      <w:lang w:eastAsia="en-US"/>
    </w:rPr>
  </w:style>
  <w:style w:type="character" w:customStyle="1" w:styleId="BodyText3Char">
    <w:name w:val="Body Text 3 Char"/>
    <w:basedOn w:val="DefaultParagraphFont"/>
    <w:link w:val="BodyText3"/>
    <w:uiPriority w:val="99"/>
    <w:semiHidden/>
    <w:rsid w:val="002724DF"/>
    <w:rPr>
      <w:rFonts w:ascii="Arial" w:eastAsia="Times New Roman" w:hAnsi="Arial" w:cs="Arial"/>
      <w:sz w:val="16"/>
      <w:szCs w:val="16"/>
      <w:lang w:eastAsia="en-US"/>
    </w:rPr>
  </w:style>
  <w:style w:type="paragraph" w:styleId="BodyText3">
    <w:name w:val="Body Text 3"/>
    <w:basedOn w:val="Normal"/>
    <w:link w:val="BodyText3Char"/>
    <w:uiPriority w:val="99"/>
    <w:semiHidden/>
    <w:unhideWhenUsed/>
    <w:rsid w:val="002724DF"/>
    <w:pPr>
      <w:widowControl w:val="0"/>
      <w:snapToGrid w:val="0"/>
      <w:spacing w:after="120"/>
      <w:jc w:val="both"/>
    </w:pPr>
    <w:rPr>
      <w:rFonts w:ascii="Arial" w:hAnsi="Arial" w:cs="Arial"/>
      <w:sz w:val="16"/>
      <w:szCs w:val="16"/>
      <w:lang w:eastAsia="en-US"/>
    </w:rPr>
  </w:style>
  <w:style w:type="paragraph" w:styleId="NoSpacing">
    <w:name w:val="No Spacing"/>
    <w:uiPriority w:val="1"/>
    <w:qFormat/>
    <w:rsid w:val="002724DF"/>
    <w:pPr>
      <w:widowControl w:val="0"/>
      <w:snapToGrid w:val="0"/>
      <w:jc w:val="both"/>
    </w:pPr>
    <w:rPr>
      <w:rFonts w:ascii="Arial" w:eastAsia="Times New Roman" w:hAnsi="Arial" w:cs="Arial"/>
      <w:szCs w:val="20"/>
      <w:lang w:eastAsia="en-US"/>
    </w:rPr>
  </w:style>
  <w:style w:type="paragraph" w:customStyle="1" w:styleId="TableFooter">
    <w:name w:val="Table Footer"/>
    <w:basedOn w:val="Normal"/>
    <w:uiPriority w:val="99"/>
    <w:qFormat/>
    <w:rsid w:val="002724DF"/>
    <w:pPr>
      <w:widowControl w:val="0"/>
      <w:snapToGrid w:val="0"/>
      <w:jc w:val="both"/>
    </w:pPr>
    <w:rPr>
      <w:rFonts w:ascii="Arial Narrow" w:hAnsi="Arial Narrow" w:cs="Arial"/>
      <w:sz w:val="18"/>
      <w:lang w:eastAsia="en-US"/>
    </w:rPr>
  </w:style>
  <w:style w:type="paragraph" w:customStyle="1" w:styleId="TableHeader">
    <w:name w:val="Table Header"/>
    <w:basedOn w:val="Normal"/>
    <w:uiPriority w:val="99"/>
    <w:rsid w:val="002724DF"/>
    <w:pPr>
      <w:widowControl w:val="0"/>
      <w:snapToGrid w:val="0"/>
      <w:jc w:val="both"/>
    </w:pPr>
    <w:rPr>
      <w:rFonts w:ascii="Arial" w:hAnsi="Arial" w:cs="Arial"/>
      <w:b/>
      <w:sz w:val="20"/>
      <w:lang w:eastAsia="en-US"/>
    </w:rPr>
  </w:style>
  <w:style w:type="character" w:customStyle="1" w:styleId="RegularTextChar">
    <w:name w:val="Regular Text Char"/>
    <w:basedOn w:val="BodyTextChar"/>
    <w:link w:val="RegularText"/>
    <w:locked/>
    <w:rsid w:val="002724DF"/>
    <w:rPr>
      <w:rFonts w:ascii="Arial" w:eastAsia="Times New Roman" w:hAnsi="Arial" w:cs="Arial"/>
      <w:b/>
      <w:szCs w:val="20"/>
      <w:lang w:eastAsia="en-US"/>
    </w:rPr>
  </w:style>
  <w:style w:type="paragraph" w:customStyle="1" w:styleId="RegularText">
    <w:name w:val="Regular Text"/>
    <w:basedOn w:val="BodyText"/>
    <w:link w:val="RegularTextChar"/>
    <w:rsid w:val="002724DF"/>
    <w:rPr>
      <w:b/>
    </w:rPr>
  </w:style>
  <w:style w:type="character" w:customStyle="1" w:styleId="TabletextChar">
    <w:name w:val="Table text Char"/>
    <w:link w:val="Tabletext0"/>
    <w:locked/>
    <w:rsid w:val="002724DF"/>
    <w:rPr>
      <w:rFonts w:ascii="Arial" w:hAnsi="Arial" w:cs="Arial"/>
    </w:rPr>
  </w:style>
  <w:style w:type="paragraph" w:customStyle="1" w:styleId="Tabletext0">
    <w:name w:val="Table text"/>
    <w:basedOn w:val="Normal"/>
    <w:link w:val="TabletextChar"/>
    <w:rsid w:val="002724DF"/>
    <w:pPr>
      <w:spacing w:after="120"/>
    </w:pPr>
    <w:rPr>
      <w:rFonts w:ascii="Arial" w:eastAsia="Calibri" w:hAnsi="Arial" w:cs="Arial"/>
      <w:sz w:val="22"/>
      <w:szCs w:val="22"/>
    </w:rPr>
  </w:style>
  <w:style w:type="paragraph" w:customStyle="1" w:styleId="TableHeading">
    <w:name w:val="TableHeading"/>
    <w:basedOn w:val="Normal"/>
    <w:uiPriority w:val="99"/>
    <w:rsid w:val="002724DF"/>
    <w:pPr>
      <w:keepNext/>
      <w:spacing w:before="40" w:after="40"/>
    </w:pPr>
    <w:rPr>
      <w:rFonts w:ascii="Arial Narrow" w:hAnsi="Arial Narrow" w:cs="Arial Narrow"/>
      <w:b/>
      <w:bCs/>
      <w:sz w:val="20"/>
      <w:lang w:eastAsia="en-US"/>
    </w:rPr>
  </w:style>
  <w:style w:type="paragraph" w:customStyle="1" w:styleId="Corpsdetextemarge">
    <w:name w:val="Corps de texte marge"/>
    <w:basedOn w:val="BodyText"/>
    <w:uiPriority w:val="99"/>
    <w:rsid w:val="002724DF"/>
    <w:pPr>
      <w:widowControl/>
      <w:snapToGrid/>
      <w:jc w:val="both"/>
    </w:pPr>
    <w:rPr>
      <w:rFonts w:ascii="Times" w:hAnsi="Times" w:cs="Times New Roman"/>
      <w:sz w:val="24"/>
      <w:lang w:val="en-US"/>
    </w:rPr>
  </w:style>
  <w:style w:type="paragraph" w:customStyle="1" w:styleId="TableText1">
    <w:name w:val="TableText"/>
    <w:basedOn w:val="Normal"/>
    <w:uiPriority w:val="99"/>
    <w:rsid w:val="00852011"/>
    <w:pPr>
      <w:spacing w:after="0"/>
    </w:pPr>
    <w:rPr>
      <w:rFonts w:ascii="Arial Narrow" w:hAnsi="Arial Narrow" w:cs="Arial"/>
      <w:sz w:val="20"/>
    </w:rPr>
  </w:style>
  <w:style w:type="paragraph" w:customStyle="1" w:styleId="TableName">
    <w:name w:val="TableName"/>
    <w:basedOn w:val="Normal"/>
    <w:uiPriority w:val="99"/>
    <w:rsid w:val="002724DF"/>
    <w:pPr>
      <w:keepNext/>
      <w:spacing w:before="120" w:after="120"/>
      <w:ind w:left="1800" w:hanging="1080"/>
    </w:pPr>
    <w:rPr>
      <w:rFonts w:ascii="Arial Narrow" w:hAnsi="Arial Narrow" w:cs="Arial Narrow"/>
      <w:b/>
      <w:bCs/>
      <w:sz w:val="22"/>
      <w:szCs w:val="22"/>
      <w:lang w:eastAsia="en-US"/>
    </w:rPr>
  </w:style>
  <w:style w:type="paragraph" w:customStyle="1" w:styleId="TableNotes18">
    <w:name w:val="TableNotes+18"/>
    <w:basedOn w:val="TableText1"/>
    <w:uiPriority w:val="99"/>
    <w:rsid w:val="002724DF"/>
    <w:pPr>
      <w:keepLines/>
      <w:spacing w:after="360"/>
      <w:ind w:left="720"/>
    </w:pPr>
    <w:rPr>
      <w:sz w:val="18"/>
      <w:szCs w:val="18"/>
    </w:rPr>
  </w:style>
  <w:style w:type="paragraph" w:customStyle="1" w:styleId="TableNotes0">
    <w:name w:val="TableNotes+0"/>
    <w:basedOn w:val="TableNotes18"/>
    <w:uiPriority w:val="99"/>
    <w:rsid w:val="002724DF"/>
    <w:pPr>
      <w:keepNext/>
      <w:spacing w:after="0"/>
    </w:pPr>
  </w:style>
  <w:style w:type="paragraph" w:customStyle="1" w:styleId="Char1CharCharChar">
    <w:name w:val="Char1 Char Char Char"/>
    <w:basedOn w:val="Normal"/>
    <w:uiPriority w:val="99"/>
    <w:rsid w:val="002724DF"/>
    <w:pPr>
      <w:spacing w:after="160" w:line="240" w:lineRule="exact"/>
    </w:pPr>
    <w:rPr>
      <w:rFonts w:ascii="Verdana" w:eastAsia="MS Mincho" w:hAnsi="Verdana" w:cs="Verdana"/>
      <w:sz w:val="20"/>
      <w:lang w:val="en-US" w:eastAsia="en-US"/>
    </w:rPr>
  </w:style>
  <w:style w:type="paragraph" w:customStyle="1" w:styleId="PBACHeading1">
    <w:name w:val="PBAC Heading 1"/>
    <w:uiPriority w:val="99"/>
    <w:qFormat/>
    <w:rsid w:val="002724DF"/>
    <w:pPr>
      <w:numPr>
        <w:numId w:val="41"/>
      </w:numPr>
      <w:snapToGrid w:val="0"/>
    </w:pPr>
    <w:rPr>
      <w:rFonts w:ascii="Arial" w:eastAsia="Times New Roman" w:hAnsi="Arial" w:cs="Arial"/>
      <w:b/>
      <w:lang w:eastAsia="en-US"/>
    </w:rPr>
  </w:style>
  <w:style w:type="character" w:customStyle="1" w:styleId="SubtitleChar1">
    <w:name w:val="Subtitle Char1"/>
    <w:basedOn w:val="DefaultParagraphFont"/>
    <w:rsid w:val="002724DF"/>
    <w:rPr>
      <w:rFonts w:asciiTheme="majorHAnsi" w:eastAsiaTheme="majorEastAsia" w:hAnsiTheme="majorHAnsi" w:cstheme="majorBidi" w:hint="default"/>
      <w:i/>
      <w:iCs/>
      <w:snapToGrid/>
      <w:color w:val="4F81BD" w:themeColor="accent1"/>
      <w:spacing w:val="15"/>
      <w:sz w:val="24"/>
      <w:szCs w:val="24"/>
      <w:lang w:eastAsia="en-US"/>
    </w:rPr>
  </w:style>
  <w:style w:type="character" w:styleId="FollowedHyperlink">
    <w:name w:val="FollowedHyperlink"/>
    <w:basedOn w:val="DefaultParagraphFont"/>
    <w:uiPriority w:val="99"/>
    <w:semiHidden/>
    <w:unhideWhenUsed/>
    <w:rsid w:val="0067636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qFormat="1"/>
    <w:lsdException w:name="heading 8" w:locked="1" w:qFormat="1"/>
    <w:lsdException w:name="heading 9" w:locked="1"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locked="1" w:semiHidden="0" w:unhideWhenUsed="0"/>
    <w:lsdException w:name="annotation text" w:uiPriority="0"/>
    <w:lsdException w:name="caption" w:locked="1" w:uiPriority="0" w:qFormat="1"/>
    <w:lsdException w:name="footnote reference" w:locked="1" w:semiHidden="0" w:uiPriority="0" w:unhideWhenUsed="0"/>
    <w:lsdException w:name="annotation reference" w:uiPriority="0" w:qFormat="1"/>
    <w:lsdException w:name="Title" w:locked="1" w:semiHidden="0" w:unhideWhenUsed="0" w:qFormat="1"/>
    <w:lsdException w:name="Default Paragraph Font" w:locked="1" w:semiHidden="0" w:uiPriority="0" w:unhideWhenUsed="0"/>
    <w:lsdException w:name="Body Text" w:qFormat="1"/>
    <w:lsdException w:name="Subtitle" w:locked="1" w:semiHidden="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8FA"/>
    <w:pPr>
      <w:spacing w:after="240"/>
    </w:pPr>
    <w:rPr>
      <w:rFonts w:eastAsia="Times New Roman"/>
      <w:sz w:val="24"/>
      <w:szCs w:val="20"/>
    </w:rPr>
  </w:style>
  <w:style w:type="paragraph" w:styleId="Heading1">
    <w:name w:val="heading 1"/>
    <w:basedOn w:val="Normal"/>
    <w:next w:val="Normal"/>
    <w:link w:val="Heading1Char"/>
    <w:qFormat/>
    <w:rsid w:val="008D5885"/>
    <w:pPr>
      <w:keepNext/>
      <w:keepLines/>
      <w:outlineLvl w:val="0"/>
    </w:pPr>
    <w:rPr>
      <w:rFonts w:ascii="Arial" w:hAnsi="Arial"/>
      <w:b/>
      <w:bCs/>
      <w:szCs w:val="28"/>
    </w:rPr>
  </w:style>
  <w:style w:type="paragraph" w:styleId="Heading2">
    <w:name w:val="heading 2"/>
    <w:basedOn w:val="Normal"/>
    <w:next w:val="Normal"/>
    <w:link w:val="Heading2Char"/>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locked/>
    <w:rsid w:val="002724DF"/>
    <w:pPr>
      <w:keepNext/>
      <w:widowControl w:val="0"/>
      <w:jc w:val="center"/>
      <w:outlineLvl w:val="2"/>
    </w:pPr>
    <w:rPr>
      <w:b/>
      <w:snapToGrid w:val="0"/>
      <w:lang w:val="en-GB" w:eastAsia="en-US"/>
    </w:rPr>
  </w:style>
  <w:style w:type="paragraph" w:styleId="Heading4">
    <w:name w:val="heading 4"/>
    <w:basedOn w:val="Normal"/>
    <w:next w:val="Normal"/>
    <w:link w:val="Heading4Char"/>
    <w:qFormat/>
    <w:locked/>
    <w:rsid w:val="002724DF"/>
    <w:pPr>
      <w:keepNext/>
      <w:widowControl w:val="0"/>
      <w:jc w:val="both"/>
      <w:outlineLvl w:val="3"/>
    </w:pPr>
    <w:rPr>
      <w:i/>
      <w:snapToGrid w:val="0"/>
      <w:lang w:val="en-GB" w:eastAsia="en-US"/>
    </w:rPr>
  </w:style>
  <w:style w:type="paragraph" w:styleId="Heading5">
    <w:name w:val="heading 5"/>
    <w:basedOn w:val="Normal"/>
    <w:next w:val="Normal"/>
    <w:link w:val="Heading5Char"/>
    <w:qFormat/>
    <w:locked/>
    <w:rsid w:val="002724DF"/>
    <w:pPr>
      <w:keepNext/>
      <w:widowControl w:val="0"/>
      <w:jc w:val="both"/>
      <w:outlineLvl w:val="4"/>
    </w:pPr>
    <w:rPr>
      <w:rFonts w:ascii="Arial" w:hAnsi="Arial"/>
      <w:b/>
      <w:snapToGrid w:val="0"/>
      <w:sz w:val="20"/>
      <w:lang w:val="en-GB" w:eastAsia="en-US"/>
    </w:rPr>
  </w:style>
  <w:style w:type="paragraph" w:styleId="Heading6">
    <w:name w:val="heading 6"/>
    <w:basedOn w:val="Normal"/>
    <w:next w:val="Normal"/>
    <w:link w:val="Heading6Char"/>
    <w:qFormat/>
    <w:locked/>
    <w:rsid w:val="002724DF"/>
    <w:pPr>
      <w:keepNext/>
      <w:widowControl w:val="0"/>
      <w:jc w:val="center"/>
      <w:outlineLvl w:val="5"/>
    </w:pPr>
    <w:rPr>
      <w:rFonts w:ascii="Arial" w:hAnsi="Arial"/>
      <w:snapToGrid w:val="0"/>
      <w:sz w:val="20"/>
      <w:lang w:val="en-GB" w:eastAsia="en-US"/>
    </w:rPr>
  </w:style>
  <w:style w:type="paragraph" w:styleId="Heading7">
    <w:name w:val="heading 7"/>
    <w:basedOn w:val="Normal"/>
    <w:next w:val="Normal"/>
    <w:link w:val="Heading7Char"/>
    <w:uiPriority w:val="99"/>
    <w:qFormat/>
    <w:locked/>
    <w:rsid w:val="002724DF"/>
    <w:pPr>
      <w:keepNext/>
      <w:widowControl w:val="0"/>
      <w:jc w:val="center"/>
      <w:outlineLvl w:val="6"/>
    </w:pPr>
    <w:rPr>
      <w:rFonts w:ascii="Arial" w:hAnsi="Arial"/>
      <w:b/>
      <w:snapToGrid w:val="0"/>
      <w:sz w:val="20"/>
      <w:lang w:val="en-GB" w:eastAsia="en-US"/>
    </w:rPr>
  </w:style>
  <w:style w:type="paragraph" w:styleId="Heading8">
    <w:name w:val="heading 8"/>
    <w:basedOn w:val="Normal"/>
    <w:next w:val="Normal"/>
    <w:link w:val="Heading8Char"/>
    <w:uiPriority w:val="99"/>
    <w:qFormat/>
    <w:locked/>
    <w:rsid w:val="002724DF"/>
    <w:pPr>
      <w:keepNext/>
      <w:widowControl w:val="0"/>
      <w:jc w:val="right"/>
      <w:outlineLvl w:val="7"/>
    </w:pPr>
    <w:rPr>
      <w:b/>
      <w:snapToGrid w:val="0"/>
      <w:lang w:val="en-GB" w:eastAsia="en-US"/>
    </w:rPr>
  </w:style>
  <w:style w:type="paragraph" w:styleId="Heading9">
    <w:name w:val="heading 9"/>
    <w:basedOn w:val="Normal"/>
    <w:next w:val="Normal"/>
    <w:link w:val="Heading9Char"/>
    <w:uiPriority w:val="99"/>
    <w:qFormat/>
    <w:locked/>
    <w:rsid w:val="002724DF"/>
    <w:pPr>
      <w:keepNext/>
      <w:widowControl w:val="0"/>
      <w:jc w:val="center"/>
      <w:outlineLvl w:val="8"/>
    </w:pPr>
    <w:rPr>
      <w:rFonts w:ascii="Arial" w:hAnsi="Arial"/>
      <w:b/>
      <w:snapToGrid w:val="0"/>
      <w:color w:val="000000"/>
      <w:sz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D5885"/>
    <w:rPr>
      <w:rFonts w:ascii="Arial" w:eastAsia="Times New Roman" w:hAnsi="Arial"/>
      <w:b/>
      <w:bCs/>
      <w:sz w:val="24"/>
      <w:szCs w:val="28"/>
    </w:rPr>
  </w:style>
  <w:style w:type="character" w:customStyle="1" w:styleId="Heading2Char">
    <w:name w:val="Heading 2 Char"/>
    <w:basedOn w:val="DefaultParagraphFont"/>
    <w:link w:val="Heading2"/>
    <w:rsid w:val="008D588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2724DF"/>
    <w:rPr>
      <w:rFonts w:eastAsia="Times New Roman"/>
      <w:b/>
      <w:snapToGrid w:val="0"/>
      <w:sz w:val="24"/>
      <w:szCs w:val="20"/>
      <w:lang w:val="en-GB" w:eastAsia="en-US"/>
    </w:rPr>
  </w:style>
  <w:style w:type="character" w:customStyle="1" w:styleId="Heading4Char">
    <w:name w:val="Heading 4 Char"/>
    <w:basedOn w:val="DefaultParagraphFont"/>
    <w:link w:val="Heading4"/>
    <w:rsid w:val="002724DF"/>
    <w:rPr>
      <w:rFonts w:eastAsia="Times New Roman"/>
      <w:i/>
      <w:snapToGrid w:val="0"/>
      <w:sz w:val="24"/>
      <w:szCs w:val="20"/>
      <w:lang w:val="en-GB" w:eastAsia="en-US"/>
    </w:rPr>
  </w:style>
  <w:style w:type="character" w:customStyle="1" w:styleId="Heading5Char">
    <w:name w:val="Heading 5 Char"/>
    <w:basedOn w:val="DefaultParagraphFont"/>
    <w:link w:val="Heading5"/>
    <w:rsid w:val="002724DF"/>
    <w:rPr>
      <w:rFonts w:ascii="Arial" w:eastAsia="Times New Roman" w:hAnsi="Arial"/>
      <w:b/>
      <w:snapToGrid w:val="0"/>
      <w:sz w:val="20"/>
      <w:szCs w:val="20"/>
      <w:lang w:val="en-GB" w:eastAsia="en-US"/>
    </w:rPr>
  </w:style>
  <w:style w:type="character" w:customStyle="1" w:styleId="Heading6Char">
    <w:name w:val="Heading 6 Char"/>
    <w:basedOn w:val="DefaultParagraphFont"/>
    <w:link w:val="Heading6"/>
    <w:rsid w:val="002724DF"/>
    <w:rPr>
      <w:rFonts w:ascii="Arial" w:eastAsia="Times New Roman" w:hAnsi="Arial"/>
      <w:snapToGrid w:val="0"/>
      <w:sz w:val="20"/>
      <w:szCs w:val="20"/>
      <w:lang w:val="en-GB" w:eastAsia="en-US"/>
    </w:rPr>
  </w:style>
  <w:style w:type="character" w:customStyle="1" w:styleId="Heading7Char">
    <w:name w:val="Heading 7 Char"/>
    <w:basedOn w:val="DefaultParagraphFont"/>
    <w:link w:val="Heading7"/>
    <w:uiPriority w:val="99"/>
    <w:rsid w:val="002724DF"/>
    <w:rPr>
      <w:rFonts w:ascii="Arial" w:eastAsia="Times New Roman" w:hAnsi="Arial"/>
      <w:b/>
      <w:snapToGrid w:val="0"/>
      <w:sz w:val="20"/>
      <w:szCs w:val="20"/>
      <w:lang w:val="en-GB" w:eastAsia="en-US"/>
    </w:rPr>
  </w:style>
  <w:style w:type="character" w:customStyle="1" w:styleId="Heading8Char">
    <w:name w:val="Heading 8 Char"/>
    <w:basedOn w:val="DefaultParagraphFont"/>
    <w:link w:val="Heading8"/>
    <w:uiPriority w:val="99"/>
    <w:rsid w:val="002724DF"/>
    <w:rPr>
      <w:rFonts w:eastAsia="Times New Roman"/>
      <w:b/>
      <w:snapToGrid w:val="0"/>
      <w:sz w:val="24"/>
      <w:szCs w:val="20"/>
      <w:lang w:val="en-GB" w:eastAsia="en-US"/>
    </w:rPr>
  </w:style>
  <w:style w:type="character" w:customStyle="1" w:styleId="Heading9Char">
    <w:name w:val="Heading 9 Char"/>
    <w:basedOn w:val="DefaultParagraphFont"/>
    <w:link w:val="Heading9"/>
    <w:uiPriority w:val="99"/>
    <w:rsid w:val="002724DF"/>
    <w:rPr>
      <w:rFonts w:ascii="Arial" w:eastAsia="Times New Roman" w:hAnsi="Arial"/>
      <w:b/>
      <w:snapToGrid w:val="0"/>
      <w:color w:val="000000"/>
      <w:sz w:val="20"/>
      <w:szCs w:val="20"/>
      <w:lang w:val="en-GB" w:eastAsia="en-US"/>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semiHidden/>
    <w:rsid w:val="00065623"/>
    <w:rPr>
      <w:rFonts w:cs="Times New Roman"/>
      <w:vertAlign w:val="superscript"/>
    </w:rPr>
  </w:style>
  <w:style w:type="paragraph" w:styleId="ListParagraph">
    <w:name w:val="List Paragraph"/>
    <w:basedOn w:val="Normal"/>
    <w:link w:val="ListParagraphChar"/>
    <w:uiPriority w:val="99"/>
    <w:qFormat/>
    <w:rsid w:val="00065623"/>
    <w:pPr>
      <w:ind w:left="720"/>
      <w:contextualSpacing/>
    </w:pPr>
  </w:style>
  <w:style w:type="character" w:customStyle="1" w:styleId="ListParagraphChar">
    <w:name w:val="List Paragraph Char"/>
    <w:basedOn w:val="DefaultParagraphFont"/>
    <w:link w:val="ListParagraph"/>
    <w:uiPriority w:val="99"/>
    <w:rsid w:val="00351B14"/>
    <w:rPr>
      <w:rFonts w:eastAsia="Times New Roman"/>
      <w:sz w:val="24"/>
      <w:szCs w:val="20"/>
    </w:r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aliases w:val="Page Header,Header title,he=header,cntr/bld"/>
    <w:basedOn w:val="Normal"/>
    <w:link w:val="HeaderChar"/>
    <w:uiPriority w:val="99"/>
    <w:rsid w:val="00707064"/>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aliases w:val="Table Title"/>
    <w:basedOn w:val="DefaultParagraphFont"/>
    <w:semiHidden/>
    <w:qFormat/>
    <w:rsid w:val="00974A50"/>
    <w:rPr>
      <w:rFonts w:cs="Times New Roman"/>
      <w:sz w:val="16"/>
      <w:szCs w:val="16"/>
    </w:rPr>
  </w:style>
  <w:style w:type="paragraph" w:styleId="CommentText">
    <w:name w:val="annotation text"/>
    <w:basedOn w:val="Normal"/>
    <w:link w:val="CommentTextChar"/>
    <w:semiHidden/>
    <w:rsid w:val="00974A50"/>
    <w:rPr>
      <w:sz w:val="20"/>
    </w:rPr>
  </w:style>
  <w:style w:type="character" w:customStyle="1" w:styleId="CommentTextChar">
    <w:name w:val="Comment Text Char"/>
    <w:basedOn w:val="DefaultParagraphFont"/>
    <w:link w:val="CommentText"/>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table" w:styleId="TableGrid">
    <w:name w:val="Table Grid"/>
    <w:basedOn w:val="TableNormal"/>
    <w:uiPriority w:val="59"/>
    <w:locked/>
    <w:rsid w:val="00351B14"/>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2724DF"/>
    <w:pPr>
      <w:spacing w:before="80" w:after="80"/>
    </w:pPr>
    <w:rPr>
      <w:rFonts w:ascii="Arial" w:hAnsi="Arial"/>
      <w:sz w:val="20"/>
      <w:szCs w:val="22"/>
      <w:lang w:val="en-GB"/>
    </w:rPr>
  </w:style>
  <w:style w:type="paragraph" w:styleId="Title">
    <w:name w:val="Title"/>
    <w:basedOn w:val="Normal"/>
    <w:next w:val="Normal"/>
    <w:link w:val="TitleChar"/>
    <w:uiPriority w:val="99"/>
    <w:qFormat/>
    <w:locked/>
    <w:rsid w:val="009108FA"/>
    <w:pPr>
      <w:jc w:val="center"/>
    </w:pPr>
    <w:rPr>
      <w:rFonts w:ascii="Arial" w:hAnsi="Arial" w:cs="Arial"/>
      <w:b/>
      <w:bCs/>
      <w:color w:val="000080"/>
      <w:sz w:val="36"/>
      <w:szCs w:val="36"/>
    </w:rPr>
  </w:style>
  <w:style w:type="character" w:customStyle="1" w:styleId="TitleChar">
    <w:name w:val="Title Char"/>
    <w:basedOn w:val="DefaultParagraphFont"/>
    <w:link w:val="Title"/>
    <w:uiPriority w:val="99"/>
    <w:rsid w:val="009108FA"/>
    <w:rPr>
      <w:rFonts w:ascii="Arial" w:eastAsia="Times New Roman" w:hAnsi="Arial" w:cs="Arial"/>
      <w:b/>
      <w:bCs/>
      <w:color w:val="000080"/>
      <w:sz w:val="36"/>
      <w:szCs w:val="36"/>
    </w:rPr>
  </w:style>
  <w:style w:type="paragraph" w:customStyle="1" w:styleId="authors">
    <w:name w:val="authors"/>
    <w:basedOn w:val="Normal"/>
    <w:rsid w:val="002724DF"/>
    <w:pPr>
      <w:spacing w:before="192" w:after="192"/>
    </w:pPr>
    <w:rPr>
      <w:szCs w:val="24"/>
      <w:lang w:val="en-GB" w:eastAsia="en-GB"/>
    </w:rPr>
  </w:style>
  <w:style w:type="paragraph" w:styleId="TOC1">
    <w:name w:val="toc 1"/>
    <w:basedOn w:val="Normal"/>
    <w:next w:val="Normal"/>
    <w:autoRedefine/>
    <w:uiPriority w:val="39"/>
    <w:unhideWhenUsed/>
    <w:locked/>
    <w:rsid w:val="002724DF"/>
    <w:pPr>
      <w:widowControl w:val="0"/>
      <w:snapToGrid w:val="0"/>
      <w:spacing w:before="240" w:after="120"/>
    </w:pPr>
    <w:rPr>
      <w:rFonts w:ascii="Arial" w:hAnsi="Arial" w:cs="Arial"/>
      <w:bCs/>
      <w:sz w:val="20"/>
      <w:lang w:eastAsia="en-US"/>
    </w:rPr>
  </w:style>
  <w:style w:type="paragraph" w:styleId="TOC2">
    <w:name w:val="toc 2"/>
    <w:basedOn w:val="Normal"/>
    <w:next w:val="Normal"/>
    <w:autoRedefine/>
    <w:uiPriority w:val="39"/>
    <w:unhideWhenUsed/>
    <w:locked/>
    <w:rsid w:val="002724DF"/>
    <w:pPr>
      <w:widowControl w:val="0"/>
      <w:tabs>
        <w:tab w:val="left" w:pos="880"/>
        <w:tab w:val="right" w:leader="dot" w:pos="9016"/>
      </w:tabs>
      <w:snapToGrid w:val="0"/>
      <w:spacing w:before="120"/>
      <w:ind w:left="220"/>
    </w:pPr>
    <w:rPr>
      <w:rFonts w:ascii="Arial" w:hAnsi="Arial" w:cs="Arial"/>
      <w:iCs/>
      <w:sz w:val="20"/>
      <w:lang w:eastAsia="en-US"/>
    </w:rPr>
  </w:style>
  <w:style w:type="paragraph" w:styleId="TOC3">
    <w:name w:val="toc 3"/>
    <w:basedOn w:val="Normal"/>
    <w:next w:val="Normal"/>
    <w:autoRedefine/>
    <w:uiPriority w:val="39"/>
    <w:unhideWhenUsed/>
    <w:locked/>
    <w:rsid w:val="002724DF"/>
    <w:pPr>
      <w:widowControl w:val="0"/>
      <w:snapToGrid w:val="0"/>
      <w:ind w:left="440"/>
    </w:pPr>
    <w:rPr>
      <w:rFonts w:asciiTheme="minorHAnsi" w:hAnsiTheme="minorHAnsi" w:cs="Arial"/>
      <w:sz w:val="20"/>
      <w:lang w:eastAsia="en-US"/>
    </w:rPr>
  </w:style>
  <w:style w:type="paragraph" w:styleId="TOC4">
    <w:name w:val="toc 4"/>
    <w:basedOn w:val="Normal"/>
    <w:next w:val="Normal"/>
    <w:autoRedefine/>
    <w:uiPriority w:val="99"/>
    <w:unhideWhenUsed/>
    <w:locked/>
    <w:rsid w:val="002724DF"/>
    <w:pPr>
      <w:widowControl w:val="0"/>
      <w:snapToGrid w:val="0"/>
      <w:ind w:left="660"/>
    </w:pPr>
    <w:rPr>
      <w:rFonts w:asciiTheme="minorHAnsi" w:hAnsiTheme="minorHAnsi" w:cs="Arial"/>
      <w:sz w:val="20"/>
      <w:lang w:eastAsia="en-US"/>
    </w:rPr>
  </w:style>
  <w:style w:type="paragraph" w:styleId="TOC5">
    <w:name w:val="toc 5"/>
    <w:basedOn w:val="Normal"/>
    <w:next w:val="Normal"/>
    <w:autoRedefine/>
    <w:uiPriority w:val="99"/>
    <w:unhideWhenUsed/>
    <w:locked/>
    <w:rsid w:val="002724DF"/>
    <w:pPr>
      <w:widowControl w:val="0"/>
      <w:snapToGrid w:val="0"/>
      <w:ind w:left="880"/>
    </w:pPr>
    <w:rPr>
      <w:rFonts w:asciiTheme="minorHAnsi" w:hAnsiTheme="minorHAnsi" w:cs="Arial"/>
      <w:sz w:val="20"/>
      <w:lang w:eastAsia="en-US"/>
    </w:rPr>
  </w:style>
  <w:style w:type="paragraph" w:styleId="TOC6">
    <w:name w:val="toc 6"/>
    <w:basedOn w:val="Normal"/>
    <w:next w:val="Normal"/>
    <w:autoRedefine/>
    <w:uiPriority w:val="99"/>
    <w:unhideWhenUsed/>
    <w:locked/>
    <w:rsid w:val="002724DF"/>
    <w:pPr>
      <w:widowControl w:val="0"/>
      <w:snapToGrid w:val="0"/>
      <w:ind w:left="1100"/>
    </w:pPr>
    <w:rPr>
      <w:rFonts w:asciiTheme="minorHAnsi" w:hAnsiTheme="minorHAnsi" w:cs="Arial"/>
      <w:sz w:val="20"/>
      <w:lang w:eastAsia="en-US"/>
    </w:rPr>
  </w:style>
  <w:style w:type="paragraph" w:styleId="TOC7">
    <w:name w:val="toc 7"/>
    <w:basedOn w:val="Normal"/>
    <w:next w:val="Normal"/>
    <w:autoRedefine/>
    <w:uiPriority w:val="99"/>
    <w:unhideWhenUsed/>
    <w:locked/>
    <w:rsid w:val="002724DF"/>
    <w:pPr>
      <w:widowControl w:val="0"/>
      <w:snapToGrid w:val="0"/>
      <w:ind w:left="1320"/>
    </w:pPr>
    <w:rPr>
      <w:rFonts w:asciiTheme="minorHAnsi" w:hAnsiTheme="minorHAnsi" w:cs="Arial"/>
      <w:sz w:val="20"/>
      <w:lang w:eastAsia="en-US"/>
    </w:rPr>
  </w:style>
  <w:style w:type="paragraph" w:styleId="TOC8">
    <w:name w:val="toc 8"/>
    <w:basedOn w:val="Normal"/>
    <w:next w:val="Normal"/>
    <w:autoRedefine/>
    <w:uiPriority w:val="99"/>
    <w:unhideWhenUsed/>
    <w:locked/>
    <w:rsid w:val="002724DF"/>
    <w:pPr>
      <w:widowControl w:val="0"/>
      <w:snapToGrid w:val="0"/>
      <w:ind w:left="1540"/>
    </w:pPr>
    <w:rPr>
      <w:rFonts w:asciiTheme="minorHAnsi" w:hAnsiTheme="minorHAnsi" w:cs="Arial"/>
      <w:sz w:val="20"/>
      <w:lang w:eastAsia="en-US"/>
    </w:rPr>
  </w:style>
  <w:style w:type="paragraph" w:styleId="TOC9">
    <w:name w:val="toc 9"/>
    <w:basedOn w:val="Normal"/>
    <w:next w:val="Normal"/>
    <w:autoRedefine/>
    <w:uiPriority w:val="99"/>
    <w:unhideWhenUsed/>
    <w:locked/>
    <w:rsid w:val="002724DF"/>
    <w:pPr>
      <w:widowControl w:val="0"/>
      <w:snapToGrid w:val="0"/>
      <w:ind w:left="1760"/>
    </w:pPr>
    <w:rPr>
      <w:rFonts w:asciiTheme="minorHAnsi" w:hAnsiTheme="minorHAnsi" w:cs="Arial"/>
      <w:sz w:val="20"/>
      <w:lang w:eastAsia="en-US"/>
    </w:rPr>
  </w:style>
  <w:style w:type="character" w:customStyle="1" w:styleId="CaptionChar">
    <w:name w:val="Caption Char"/>
    <w:link w:val="Caption"/>
    <w:semiHidden/>
    <w:locked/>
    <w:rsid w:val="002724DF"/>
    <w:rPr>
      <w:rFonts w:ascii="Arial" w:hAnsi="Arial" w:cs="Arial"/>
      <w:b/>
      <w:bCs/>
      <w:color w:val="4F81BD" w:themeColor="accent1"/>
      <w:sz w:val="18"/>
      <w:szCs w:val="18"/>
    </w:rPr>
  </w:style>
  <w:style w:type="paragraph" w:styleId="Caption">
    <w:name w:val="caption"/>
    <w:basedOn w:val="Normal"/>
    <w:next w:val="Normal"/>
    <w:link w:val="CaptionChar"/>
    <w:semiHidden/>
    <w:unhideWhenUsed/>
    <w:qFormat/>
    <w:locked/>
    <w:rsid w:val="002724DF"/>
    <w:pPr>
      <w:widowControl w:val="0"/>
      <w:snapToGrid w:val="0"/>
      <w:spacing w:after="200"/>
      <w:jc w:val="both"/>
    </w:pPr>
    <w:rPr>
      <w:rFonts w:ascii="Arial" w:eastAsia="Calibri" w:hAnsi="Arial" w:cs="Arial"/>
      <w:b/>
      <w:bCs/>
      <w:color w:val="4F81BD" w:themeColor="accent1"/>
      <w:sz w:val="18"/>
      <w:szCs w:val="18"/>
    </w:rPr>
  </w:style>
  <w:style w:type="paragraph" w:styleId="BodyText">
    <w:name w:val="Body Text"/>
    <w:basedOn w:val="Normal"/>
    <w:link w:val="BodyTextChar"/>
    <w:uiPriority w:val="99"/>
    <w:semiHidden/>
    <w:unhideWhenUsed/>
    <w:qFormat/>
    <w:rsid w:val="002724DF"/>
    <w:pPr>
      <w:widowControl w:val="0"/>
      <w:snapToGrid w:val="0"/>
    </w:pPr>
    <w:rPr>
      <w:rFonts w:ascii="Arial" w:hAnsi="Arial" w:cs="Arial"/>
      <w:sz w:val="22"/>
      <w:lang w:eastAsia="en-US"/>
    </w:rPr>
  </w:style>
  <w:style w:type="character" w:customStyle="1" w:styleId="BodyTextChar">
    <w:name w:val="Body Text Char"/>
    <w:basedOn w:val="DefaultParagraphFont"/>
    <w:link w:val="BodyText"/>
    <w:uiPriority w:val="99"/>
    <w:semiHidden/>
    <w:rsid w:val="002724DF"/>
    <w:rPr>
      <w:rFonts w:ascii="Arial" w:eastAsia="Times New Roman" w:hAnsi="Arial" w:cs="Arial"/>
      <w:szCs w:val="20"/>
      <w:lang w:eastAsia="en-US"/>
    </w:rPr>
  </w:style>
  <w:style w:type="character" w:customStyle="1" w:styleId="BodyTextIndentChar">
    <w:name w:val="Body Text Indent Char"/>
    <w:basedOn w:val="DefaultParagraphFont"/>
    <w:link w:val="BodyTextIndent"/>
    <w:uiPriority w:val="99"/>
    <w:semiHidden/>
    <w:rsid w:val="002724DF"/>
    <w:rPr>
      <w:rFonts w:ascii="Arial" w:eastAsia="Times New Roman" w:hAnsi="Arial" w:cs="Arial"/>
      <w:szCs w:val="20"/>
      <w:lang w:eastAsia="en-US"/>
    </w:rPr>
  </w:style>
  <w:style w:type="paragraph" w:styleId="BodyTextIndent">
    <w:name w:val="Body Text Indent"/>
    <w:basedOn w:val="Normal"/>
    <w:link w:val="BodyTextIndentChar"/>
    <w:uiPriority w:val="99"/>
    <w:semiHidden/>
    <w:unhideWhenUsed/>
    <w:rsid w:val="002724DF"/>
    <w:pPr>
      <w:widowControl w:val="0"/>
      <w:snapToGrid w:val="0"/>
      <w:spacing w:after="120"/>
      <w:ind w:left="283"/>
      <w:jc w:val="both"/>
    </w:pPr>
    <w:rPr>
      <w:rFonts w:ascii="Arial" w:hAnsi="Arial" w:cs="Arial"/>
      <w:sz w:val="22"/>
      <w:lang w:eastAsia="en-US"/>
    </w:rPr>
  </w:style>
  <w:style w:type="paragraph" w:styleId="Subtitle">
    <w:name w:val="Subtitle"/>
    <w:basedOn w:val="Normal"/>
    <w:link w:val="SubtitleChar"/>
    <w:uiPriority w:val="99"/>
    <w:qFormat/>
    <w:locked/>
    <w:rsid w:val="009108FA"/>
    <w:pPr>
      <w:jc w:val="center"/>
    </w:pPr>
    <w:rPr>
      <w:rFonts w:ascii="Arial" w:hAnsi="Arial" w:cs="Arial"/>
      <w:b/>
      <w:bCs/>
      <w:i/>
      <w:color w:val="000080"/>
      <w:sz w:val="28"/>
      <w:szCs w:val="28"/>
    </w:rPr>
  </w:style>
  <w:style w:type="character" w:customStyle="1" w:styleId="SubtitleChar">
    <w:name w:val="Subtitle Char"/>
    <w:basedOn w:val="DefaultParagraphFont"/>
    <w:link w:val="Subtitle"/>
    <w:uiPriority w:val="99"/>
    <w:rsid w:val="009108FA"/>
    <w:rPr>
      <w:rFonts w:ascii="Arial" w:eastAsia="Times New Roman" w:hAnsi="Arial" w:cs="Arial"/>
      <w:b/>
      <w:bCs/>
      <w:i/>
      <w:color w:val="000080"/>
      <w:sz w:val="28"/>
      <w:szCs w:val="28"/>
    </w:rPr>
  </w:style>
  <w:style w:type="character" w:customStyle="1" w:styleId="BodyText2Char">
    <w:name w:val="Body Text 2 Char"/>
    <w:basedOn w:val="DefaultParagraphFont"/>
    <w:link w:val="BodyText2"/>
    <w:uiPriority w:val="99"/>
    <w:semiHidden/>
    <w:rsid w:val="002724DF"/>
    <w:rPr>
      <w:rFonts w:ascii="Arial" w:eastAsia="Times New Roman" w:hAnsi="Arial" w:cs="Arial"/>
      <w:szCs w:val="20"/>
      <w:lang w:eastAsia="en-US"/>
    </w:rPr>
  </w:style>
  <w:style w:type="paragraph" w:styleId="BodyText2">
    <w:name w:val="Body Text 2"/>
    <w:basedOn w:val="Normal"/>
    <w:link w:val="BodyText2Char"/>
    <w:uiPriority w:val="99"/>
    <w:semiHidden/>
    <w:unhideWhenUsed/>
    <w:rsid w:val="002724DF"/>
    <w:pPr>
      <w:widowControl w:val="0"/>
      <w:snapToGrid w:val="0"/>
      <w:spacing w:after="120" w:line="480" w:lineRule="auto"/>
      <w:jc w:val="both"/>
    </w:pPr>
    <w:rPr>
      <w:rFonts w:ascii="Arial" w:hAnsi="Arial" w:cs="Arial"/>
      <w:sz w:val="22"/>
      <w:lang w:eastAsia="en-US"/>
    </w:rPr>
  </w:style>
  <w:style w:type="character" w:customStyle="1" w:styleId="BodyText3Char">
    <w:name w:val="Body Text 3 Char"/>
    <w:basedOn w:val="DefaultParagraphFont"/>
    <w:link w:val="BodyText3"/>
    <w:uiPriority w:val="99"/>
    <w:semiHidden/>
    <w:rsid w:val="002724DF"/>
    <w:rPr>
      <w:rFonts w:ascii="Arial" w:eastAsia="Times New Roman" w:hAnsi="Arial" w:cs="Arial"/>
      <w:sz w:val="16"/>
      <w:szCs w:val="16"/>
      <w:lang w:eastAsia="en-US"/>
    </w:rPr>
  </w:style>
  <w:style w:type="paragraph" w:styleId="BodyText3">
    <w:name w:val="Body Text 3"/>
    <w:basedOn w:val="Normal"/>
    <w:link w:val="BodyText3Char"/>
    <w:uiPriority w:val="99"/>
    <w:semiHidden/>
    <w:unhideWhenUsed/>
    <w:rsid w:val="002724DF"/>
    <w:pPr>
      <w:widowControl w:val="0"/>
      <w:snapToGrid w:val="0"/>
      <w:spacing w:after="120"/>
      <w:jc w:val="both"/>
    </w:pPr>
    <w:rPr>
      <w:rFonts w:ascii="Arial" w:hAnsi="Arial" w:cs="Arial"/>
      <w:sz w:val="16"/>
      <w:szCs w:val="16"/>
      <w:lang w:eastAsia="en-US"/>
    </w:rPr>
  </w:style>
  <w:style w:type="paragraph" w:styleId="NoSpacing">
    <w:name w:val="No Spacing"/>
    <w:uiPriority w:val="1"/>
    <w:qFormat/>
    <w:rsid w:val="002724DF"/>
    <w:pPr>
      <w:widowControl w:val="0"/>
      <w:snapToGrid w:val="0"/>
      <w:jc w:val="both"/>
    </w:pPr>
    <w:rPr>
      <w:rFonts w:ascii="Arial" w:eastAsia="Times New Roman" w:hAnsi="Arial" w:cs="Arial"/>
      <w:szCs w:val="20"/>
      <w:lang w:eastAsia="en-US"/>
    </w:rPr>
  </w:style>
  <w:style w:type="paragraph" w:customStyle="1" w:styleId="TableFooter">
    <w:name w:val="Table Footer"/>
    <w:basedOn w:val="Normal"/>
    <w:uiPriority w:val="99"/>
    <w:qFormat/>
    <w:rsid w:val="002724DF"/>
    <w:pPr>
      <w:widowControl w:val="0"/>
      <w:snapToGrid w:val="0"/>
      <w:jc w:val="both"/>
    </w:pPr>
    <w:rPr>
      <w:rFonts w:ascii="Arial Narrow" w:hAnsi="Arial Narrow" w:cs="Arial"/>
      <w:sz w:val="18"/>
      <w:lang w:eastAsia="en-US"/>
    </w:rPr>
  </w:style>
  <w:style w:type="paragraph" w:customStyle="1" w:styleId="TableHeader">
    <w:name w:val="Table Header"/>
    <w:basedOn w:val="Normal"/>
    <w:uiPriority w:val="99"/>
    <w:rsid w:val="002724DF"/>
    <w:pPr>
      <w:widowControl w:val="0"/>
      <w:snapToGrid w:val="0"/>
      <w:jc w:val="both"/>
    </w:pPr>
    <w:rPr>
      <w:rFonts w:ascii="Arial" w:hAnsi="Arial" w:cs="Arial"/>
      <w:b/>
      <w:sz w:val="20"/>
      <w:lang w:eastAsia="en-US"/>
    </w:rPr>
  </w:style>
  <w:style w:type="character" w:customStyle="1" w:styleId="RegularTextChar">
    <w:name w:val="Regular Text Char"/>
    <w:basedOn w:val="BodyTextChar"/>
    <w:link w:val="RegularText"/>
    <w:locked/>
    <w:rsid w:val="002724DF"/>
    <w:rPr>
      <w:rFonts w:ascii="Arial" w:eastAsia="Times New Roman" w:hAnsi="Arial" w:cs="Arial"/>
      <w:b/>
      <w:szCs w:val="20"/>
      <w:lang w:eastAsia="en-US"/>
    </w:rPr>
  </w:style>
  <w:style w:type="paragraph" w:customStyle="1" w:styleId="RegularText">
    <w:name w:val="Regular Text"/>
    <w:basedOn w:val="BodyText"/>
    <w:link w:val="RegularTextChar"/>
    <w:rsid w:val="002724DF"/>
    <w:rPr>
      <w:b/>
    </w:rPr>
  </w:style>
  <w:style w:type="character" w:customStyle="1" w:styleId="TabletextChar">
    <w:name w:val="Table text Char"/>
    <w:link w:val="Tabletext0"/>
    <w:locked/>
    <w:rsid w:val="002724DF"/>
    <w:rPr>
      <w:rFonts w:ascii="Arial" w:hAnsi="Arial" w:cs="Arial"/>
    </w:rPr>
  </w:style>
  <w:style w:type="paragraph" w:customStyle="1" w:styleId="Tabletext0">
    <w:name w:val="Table text"/>
    <w:basedOn w:val="Normal"/>
    <w:link w:val="TabletextChar"/>
    <w:rsid w:val="002724DF"/>
    <w:pPr>
      <w:spacing w:after="120"/>
    </w:pPr>
    <w:rPr>
      <w:rFonts w:ascii="Arial" w:eastAsia="Calibri" w:hAnsi="Arial" w:cs="Arial"/>
      <w:sz w:val="22"/>
      <w:szCs w:val="22"/>
    </w:rPr>
  </w:style>
  <w:style w:type="paragraph" w:customStyle="1" w:styleId="TableHeading">
    <w:name w:val="TableHeading"/>
    <w:basedOn w:val="Normal"/>
    <w:uiPriority w:val="99"/>
    <w:rsid w:val="002724DF"/>
    <w:pPr>
      <w:keepNext/>
      <w:spacing w:before="40" w:after="40"/>
    </w:pPr>
    <w:rPr>
      <w:rFonts w:ascii="Arial Narrow" w:hAnsi="Arial Narrow" w:cs="Arial Narrow"/>
      <w:b/>
      <w:bCs/>
      <w:sz w:val="20"/>
      <w:lang w:eastAsia="en-US"/>
    </w:rPr>
  </w:style>
  <w:style w:type="paragraph" w:customStyle="1" w:styleId="Corpsdetextemarge">
    <w:name w:val="Corps de texte marge"/>
    <w:basedOn w:val="BodyText"/>
    <w:uiPriority w:val="99"/>
    <w:rsid w:val="002724DF"/>
    <w:pPr>
      <w:widowControl/>
      <w:snapToGrid/>
      <w:jc w:val="both"/>
    </w:pPr>
    <w:rPr>
      <w:rFonts w:ascii="Times" w:hAnsi="Times" w:cs="Times New Roman"/>
      <w:sz w:val="24"/>
      <w:lang w:val="en-US"/>
    </w:rPr>
  </w:style>
  <w:style w:type="paragraph" w:customStyle="1" w:styleId="TableText1">
    <w:name w:val="TableText"/>
    <w:basedOn w:val="Normal"/>
    <w:uiPriority w:val="99"/>
    <w:rsid w:val="00852011"/>
    <w:pPr>
      <w:spacing w:after="0"/>
    </w:pPr>
    <w:rPr>
      <w:rFonts w:ascii="Arial Narrow" w:hAnsi="Arial Narrow" w:cs="Arial"/>
      <w:sz w:val="20"/>
    </w:rPr>
  </w:style>
  <w:style w:type="paragraph" w:customStyle="1" w:styleId="TableName">
    <w:name w:val="TableName"/>
    <w:basedOn w:val="Normal"/>
    <w:uiPriority w:val="99"/>
    <w:rsid w:val="002724DF"/>
    <w:pPr>
      <w:keepNext/>
      <w:spacing w:before="120" w:after="120"/>
      <w:ind w:left="1800" w:hanging="1080"/>
    </w:pPr>
    <w:rPr>
      <w:rFonts w:ascii="Arial Narrow" w:hAnsi="Arial Narrow" w:cs="Arial Narrow"/>
      <w:b/>
      <w:bCs/>
      <w:sz w:val="22"/>
      <w:szCs w:val="22"/>
      <w:lang w:eastAsia="en-US"/>
    </w:rPr>
  </w:style>
  <w:style w:type="paragraph" w:customStyle="1" w:styleId="TableNotes18">
    <w:name w:val="TableNotes+18"/>
    <w:basedOn w:val="TableText1"/>
    <w:uiPriority w:val="99"/>
    <w:rsid w:val="002724DF"/>
    <w:pPr>
      <w:keepLines/>
      <w:spacing w:after="360"/>
      <w:ind w:left="720"/>
    </w:pPr>
    <w:rPr>
      <w:sz w:val="18"/>
      <w:szCs w:val="18"/>
    </w:rPr>
  </w:style>
  <w:style w:type="paragraph" w:customStyle="1" w:styleId="TableNotes0">
    <w:name w:val="TableNotes+0"/>
    <w:basedOn w:val="TableNotes18"/>
    <w:uiPriority w:val="99"/>
    <w:rsid w:val="002724DF"/>
    <w:pPr>
      <w:keepNext/>
      <w:spacing w:after="0"/>
    </w:pPr>
  </w:style>
  <w:style w:type="paragraph" w:customStyle="1" w:styleId="Char1CharCharChar">
    <w:name w:val="Char1 Char Char Char"/>
    <w:basedOn w:val="Normal"/>
    <w:uiPriority w:val="99"/>
    <w:rsid w:val="002724DF"/>
    <w:pPr>
      <w:spacing w:after="160" w:line="240" w:lineRule="exact"/>
    </w:pPr>
    <w:rPr>
      <w:rFonts w:ascii="Verdana" w:eastAsia="MS Mincho" w:hAnsi="Verdana" w:cs="Verdana"/>
      <w:sz w:val="20"/>
      <w:lang w:val="en-US" w:eastAsia="en-US"/>
    </w:rPr>
  </w:style>
  <w:style w:type="paragraph" w:customStyle="1" w:styleId="PBACHeading1">
    <w:name w:val="PBAC Heading 1"/>
    <w:uiPriority w:val="99"/>
    <w:qFormat/>
    <w:rsid w:val="002724DF"/>
    <w:pPr>
      <w:numPr>
        <w:numId w:val="41"/>
      </w:numPr>
      <w:snapToGrid w:val="0"/>
    </w:pPr>
    <w:rPr>
      <w:rFonts w:ascii="Arial" w:eastAsia="Times New Roman" w:hAnsi="Arial" w:cs="Arial"/>
      <w:b/>
      <w:lang w:eastAsia="en-US"/>
    </w:rPr>
  </w:style>
  <w:style w:type="character" w:customStyle="1" w:styleId="SubtitleChar1">
    <w:name w:val="Subtitle Char1"/>
    <w:basedOn w:val="DefaultParagraphFont"/>
    <w:rsid w:val="002724DF"/>
    <w:rPr>
      <w:rFonts w:asciiTheme="majorHAnsi" w:eastAsiaTheme="majorEastAsia" w:hAnsiTheme="majorHAnsi" w:cstheme="majorBidi" w:hint="default"/>
      <w:i/>
      <w:iCs/>
      <w:snapToGrid/>
      <w:color w:val="4F81BD" w:themeColor="accent1"/>
      <w:spacing w:val="15"/>
      <w:sz w:val="24"/>
      <w:szCs w:val="24"/>
      <w:lang w:eastAsia="en-US"/>
    </w:rPr>
  </w:style>
  <w:style w:type="character" w:styleId="FollowedHyperlink">
    <w:name w:val="FollowedHyperlink"/>
    <w:basedOn w:val="DefaultParagraphFont"/>
    <w:uiPriority w:val="99"/>
    <w:semiHidden/>
    <w:unhideWhenUsed/>
    <w:rsid w:val="006763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ac.gov.au/internet/msac/publishing.nsf/Content/1411-public" TargetMode="External"/><Relationship Id="rId18" Type="http://schemas.openxmlformats.org/officeDocument/2006/relationships/image" Target="media/image6.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yperlink" Target="http://www.msac.gov.au/internet/msac/publishing.nsf/Content/1411-public"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internet/msac/publishing.nsf/Content/1411-public"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yperlink" Target="http://www.msac.gov.au/"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yperlink" Target="http://www.msa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07C02-DEB2-4742-898D-B9760F3D0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7115</Words>
  <Characters>40806</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1411.1 PSD</vt:lpstr>
    </vt:vector>
  </TitlesOfParts>
  <Company/>
  <LinksUpToDate>false</LinksUpToDate>
  <CharactersWithSpaces>47826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1411.1 PSD</dc:title>
  <dc:creator/>
  <cp:lastModifiedBy/>
  <cp:revision>1</cp:revision>
  <dcterms:created xsi:type="dcterms:W3CDTF">2017-01-10T22:19:00Z</dcterms:created>
  <dcterms:modified xsi:type="dcterms:W3CDTF">2017-01-11T03:01:00Z</dcterms:modified>
</cp:coreProperties>
</file>