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11E4A" w14:textId="77777777"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17C78A33" wp14:editId="2DA6068B">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DB0550A" w14:textId="77777777" w:rsidR="00BC1364" w:rsidRPr="007B32D1" w:rsidRDefault="00BF479B" w:rsidP="006E4A48">
      <w:pPr>
        <w:spacing w:before="720" w:after="360"/>
        <w:jc w:val="center"/>
        <w:rPr>
          <w:rFonts w:ascii="Arial" w:hAnsi="Arial" w:cs="Arial"/>
          <w:b/>
          <w:bCs/>
          <w:color w:val="000080"/>
          <w:sz w:val="36"/>
          <w:szCs w:val="36"/>
        </w:rPr>
      </w:pPr>
      <w:r>
        <w:rPr>
          <w:rFonts w:ascii="Arial" w:hAnsi="Arial" w:cs="Arial"/>
          <w:b/>
          <w:bCs/>
          <w:color w:val="000080"/>
          <w:sz w:val="36"/>
          <w:szCs w:val="36"/>
        </w:rPr>
        <w:t>Public Summary Document</w:t>
      </w:r>
    </w:p>
    <w:p w14:paraId="4096F15A" w14:textId="58709329" w:rsidR="00BC1364" w:rsidRPr="00F3088E" w:rsidRDefault="003F5DD6" w:rsidP="00F3088E">
      <w:pPr>
        <w:pStyle w:val="Heading1"/>
      </w:pPr>
      <w:r w:rsidRPr="003F5DD6">
        <w:rPr>
          <w:rStyle w:val="IntenseReference"/>
          <w:b/>
          <w:bCs/>
          <w:i w:val="0"/>
          <w:smallCaps w:val="0"/>
          <w:color w:val="auto"/>
          <w:spacing w:val="0"/>
        </w:rPr>
        <w:t xml:space="preserve">Report to the Medical Services Advisory Committee on </w:t>
      </w:r>
      <w:r w:rsidR="00AA1584" w:rsidRPr="00AA1584">
        <w:t>utilisation of MBS items 57360 and 57361</w:t>
      </w:r>
      <w:r w:rsidR="00464960" w:rsidRPr="00464960">
        <w:t xml:space="preserve"> following </w:t>
      </w:r>
      <w:r w:rsidR="00AA1584">
        <w:t xml:space="preserve">Application </w:t>
      </w:r>
      <w:r w:rsidR="00AA1584" w:rsidRPr="00AA1584">
        <w:t>1105 - Computed Tomography Coronary Angiogram - Multi-slice computed tomography coronary angiography in the visualisation of coronary arteries</w:t>
      </w:r>
    </w:p>
    <w:p w14:paraId="50BBDDE4" w14:textId="427F5A93" w:rsidR="00BC1364" w:rsidRPr="00D90A38" w:rsidRDefault="003F5DD6" w:rsidP="004617ED">
      <w:pPr>
        <w:spacing w:before="360"/>
        <w:ind w:left="3600" w:hanging="3600"/>
        <w:rPr>
          <w:rFonts w:ascii="Arial" w:hAnsi="Arial" w:cs="Arial"/>
          <w:b/>
          <w:szCs w:val="24"/>
        </w:rPr>
      </w:pPr>
      <w:r>
        <w:rPr>
          <w:rFonts w:ascii="Arial" w:hAnsi="Arial" w:cs="Arial"/>
          <w:b/>
          <w:szCs w:val="24"/>
        </w:rPr>
        <w:t>Medicare Benefits Schedule</w:t>
      </w:r>
      <w:r w:rsidR="001C1BE6">
        <w:rPr>
          <w:rFonts w:ascii="Arial" w:hAnsi="Arial" w:cs="Arial"/>
          <w:b/>
          <w:szCs w:val="24"/>
        </w:rPr>
        <w:t xml:space="preserve"> </w:t>
      </w:r>
      <w:r>
        <w:rPr>
          <w:rFonts w:ascii="Arial" w:hAnsi="Arial" w:cs="Arial"/>
          <w:b/>
          <w:szCs w:val="24"/>
        </w:rPr>
        <w:t>(MBS) item considered</w:t>
      </w:r>
      <w:r w:rsidR="00BC1364" w:rsidRPr="00D90A38">
        <w:rPr>
          <w:rFonts w:ascii="Arial" w:hAnsi="Arial" w:cs="Arial"/>
          <w:b/>
          <w:szCs w:val="24"/>
        </w:rPr>
        <w:t>:</w:t>
      </w:r>
      <w:r w:rsidR="00AA1584" w:rsidRPr="00AA1584">
        <w:t xml:space="preserve"> </w:t>
      </w:r>
      <w:r w:rsidR="00AA1584" w:rsidRPr="00AA1584">
        <w:rPr>
          <w:rFonts w:ascii="Arial" w:hAnsi="Arial" w:cs="Arial"/>
          <w:b/>
          <w:szCs w:val="24"/>
        </w:rPr>
        <w:t>57360 and 57361</w:t>
      </w:r>
    </w:p>
    <w:p w14:paraId="6F6DDFED" w14:textId="6C90F849" w:rsidR="00BC1364" w:rsidRPr="00D90A38" w:rsidRDefault="004617ED" w:rsidP="004617ED">
      <w:pPr>
        <w:spacing w:before="360"/>
        <w:ind w:left="3600" w:hanging="3600"/>
        <w:rPr>
          <w:rFonts w:ascii="Arial" w:hAnsi="Arial" w:cs="Arial"/>
          <w:b/>
          <w:szCs w:val="24"/>
        </w:rPr>
      </w:pPr>
      <w:r>
        <w:rPr>
          <w:rFonts w:ascii="Arial" w:hAnsi="Arial" w:cs="Arial"/>
          <w:b/>
          <w:szCs w:val="24"/>
        </w:rPr>
        <w:t>D</w:t>
      </w:r>
      <w:r w:rsidR="00BC1364" w:rsidRPr="00D90A38">
        <w:rPr>
          <w:rFonts w:ascii="Arial" w:hAnsi="Arial" w:cs="Arial"/>
          <w:b/>
          <w:szCs w:val="24"/>
        </w:rPr>
        <w:t>ate of MSAC consideration:</w:t>
      </w:r>
      <w:r w:rsidR="00BC1364" w:rsidRPr="00D90A38">
        <w:rPr>
          <w:rFonts w:ascii="Arial" w:hAnsi="Arial" w:cs="Arial"/>
          <w:b/>
          <w:szCs w:val="24"/>
        </w:rPr>
        <w:tab/>
      </w:r>
      <w:r w:rsidR="00AA1584" w:rsidRPr="00AA1584">
        <w:rPr>
          <w:rFonts w:ascii="Arial" w:hAnsi="Arial" w:cs="Arial"/>
          <w:b/>
          <w:szCs w:val="24"/>
        </w:rPr>
        <w:t>28-29 March 2018</w:t>
      </w:r>
    </w:p>
    <w:p w14:paraId="46790F2B" w14:textId="15C90D6A" w:rsidR="0041758C" w:rsidRDefault="006A0D97" w:rsidP="00065623">
      <w:pPr>
        <w:rPr>
          <w:szCs w:val="24"/>
        </w:rPr>
      </w:pPr>
      <w:r>
        <w:rPr>
          <w:szCs w:val="24"/>
        </w:rPr>
        <w:t xml:space="preserve">Context for decision: MSAC makes its advice in accordance with its Terms of Reference, see </w:t>
      </w:r>
      <w:r w:rsidR="009B433F">
        <w:rPr>
          <w:szCs w:val="24"/>
        </w:rPr>
        <w:t xml:space="preserve">the </w:t>
      </w:r>
      <w:hyperlink r:id="rId10" w:tooltip="Link to MSAC website" w:history="1">
        <w:r w:rsidR="009B433F" w:rsidRPr="009B433F">
          <w:rPr>
            <w:rStyle w:val="Hyperlink"/>
            <w:szCs w:val="24"/>
          </w:rPr>
          <w:t xml:space="preserve">MSAC </w:t>
        </w:r>
        <w:r w:rsidR="0048056B">
          <w:rPr>
            <w:rStyle w:val="Hyperlink"/>
            <w:szCs w:val="24"/>
          </w:rPr>
          <w:t>W</w:t>
        </w:r>
        <w:r w:rsidR="009B433F" w:rsidRPr="009B433F">
          <w:rPr>
            <w:rStyle w:val="Hyperlink"/>
            <w:szCs w:val="24"/>
          </w:rPr>
          <w:t>ebsite</w:t>
        </w:r>
      </w:hyperlink>
      <w:r w:rsidR="009B433F">
        <w:t>.</w:t>
      </w:r>
    </w:p>
    <w:p w14:paraId="52C2A008" w14:textId="6B815BB5" w:rsidR="003F5DD6" w:rsidRPr="003F5DD6" w:rsidRDefault="003D7F29" w:rsidP="00BB46EB">
      <w:pPr>
        <w:pStyle w:val="Heading1"/>
        <w:numPr>
          <w:ilvl w:val="0"/>
          <w:numId w:val="1"/>
        </w:numPr>
        <w:tabs>
          <w:tab w:val="left" w:pos="720"/>
          <w:tab w:val="left" w:pos="1140"/>
        </w:tabs>
        <w:spacing w:before="360"/>
        <w:ind w:hanging="720"/>
      </w:pPr>
      <w:r w:rsidRPr="00D90A38">
        <w:t xml:space="preserve">Purpose </w:t>
      </w:r>
    </w:p>
    <w:p w14:paraId="088AE43C" w14:textId="401E1088" w:rsidR="003F5DD6" w:rsidRDefault="003F5DD6" w:rsidP="00DF2AD8">
      <w:pPr>
        <w:spacing w:before="120"/>
      </w:pPr>
      <w:r>
        <w:t xml:space="preserve">The purpose of the report presented to the Medical Services Advisory Committee (MSAC) was to inform MSAC of the real world impacts on the outcomes of </w:t>
      </w:r>
      <w:r w:rsidR="00DB1FC4">
        <w:t>A</w:t>
      </w:r>
      <w:r w:rsidR="00AA1584">
        <w:t>pplication 11</w:t>
      </w:r>
      <w:r w:rsidR="000E155F">
        <w:t>0</w:t>
      </w:r>
      <w:r w:rsidR="00AA1584">
        <w:t>5</w:t>
      </w:r>
      <w:r>
        <w:t>. The MSAC uses this information to ensure that</w:t>
      </w:r>
      <w:r w:rsidR="00A91AFD">
        <w:t xml:space="preserve"> the new item</w:t>
      </w:r>
      <w:r w:rsidR="00DB1FC4">
        <w:t>/s</w:t>
      </w:r>
      <w:r w:rsidR="00A91AFD">
        <w:t xml:space="preserve"> resulting from this application</w:t>
      </w:r>
      <w:r w:rsidR="00DB1FC4">
        <w:t>/s</w:t>
      </w:r>
      <w:r w:rsidR="00A91AFD">
        <w:t xml:space="preserve"> is being used as intended.</w:t>
      </w:r>
    </w:p>
    <w:p w14:paraId="53627D54" w14:textId="77777777" w:rsidR="003F5DD6" w:rsidRPr="00DB1935" w:rsidRDefault="003F5DD6" w:rsidP="004617ED">
      <w:pPr>
        <w:spacing w:before="240"/>
      </w:pPr>
      <w:r w:rsidRPr="00341476">
        <w:t xml:space="preserve">The </w:t>
      </w:r>
      <w:r>
        <w:t>report</w:t>
      </w:r>
      <w:r w:rsidRPr="00341476">
        <w:t xml:space="preserve"> is not intended to be a review of the clinical information covered during the application process.</w:t>
      </w:r>
    </w:p>
    <w:p w14:paraId="27459AA3" w14:textId="67CD699D" w:rsidR="007F35C8" w:rsidRPr="00F3088E" w:rsidRDefault="00E977EE" w:rsidP="00BB46EB">
      <w:pPr>
        <w:pStyle w:val="Heading1"/>
        <w:numPr>
          <w:ilvl w:val="0"/>
          <w:numId w:val="1"/>
        </w:numPr>
        <w:tabs>
          <w:tab w:val="left" w:pos="720"/>
          <w:tab w:val="left" w:pos="1140"/>
        </w:tabs>
        <w:spacing w:before="360"/>
        <w:ind w:hanging="720"/>
      </w:pPr>
      <w:r w:rsidRPr="008D5885">
        <w:t xml:space="preserve">MSAC’s advice </w:t>
      </w:r>
    </w:p>
    <w:p w14:paraId="27702C21" w14:textId="4C3FAC96" w:rsidR="00AA1584" w:rsidRPr="00AA1584" w:rsidRDefault="00AA1584" w:rsidP="00DF2AD8">
      <w:pPr>
        <w:spacing w:before="120"/>
      </w:pPr>
      <w:r w:rsidRPr="00042DD9">
        <w:rPr>
          <w:szCs w:val="24"/>
        </w:rPr>
        <w:t xml:space="preserve">After consideration of the real world </w:t>
      </w:r>
      <w:r>
        <w:rPr>
          <w:szCs w:val="24"/>
        </w:rPr>
        <w:t>data for</w:t>
      </w:r>
      <w:r w:rsidRPr="00042DD9">
        <w:rPr>
          <w:szCs w:val="24"/>
        </w:rPr>
        <w:t xml:space="preserve"> multi-slice computed tomography coronary angiography (CTCA) in the visualisation of coronary arteries (MBS items 57360 and 57361)</w:t>
      </w:r>
      <w:r>
        <w:rPr>
          <w:szCs w:val="24"/>
        </w:rPr>
        <w:t xml:space="preserve"> - </w:t>
      </w:r>
      <w:r w:rsidRPr="00042DD9">
        <w:rPr>
          <w:szCs w:val="24"/>
        </w:rPr>
        <w:t>MSAC A</w:t>
      </w:r>
      <w:r>
        <w:rPr>
          <w:szCs w:val="24"/>
        </w:rPr>
        <w:t>pplication 1105</w:t>
      </w:r>
      <w:r w:rsidRPr="00042DD9">
        <w:rPr>
          <w:szCs w:val="24"/>
        </w:rPr>
        <w:t xml:space="preserve">, MSAC recommended continued monitoring and review </w:t>
      </w:r>
      <w:r>
        <w:rPr>
          <w:szCs w:val="24"/>
        </w:rPr>
        <w:t xml:space="preserve">by the Department </w:t>
      </w:r>
      <w:r w:rsidRPr="00042DD9">
        <w:rPr>
          <w:szCs w:val="24"/>
        </w:rPr>
        <w:t>whilst awaiting any relevant outcome fro</w:t>
      </w:r>
      <w:r w:rsidR="003F645E">
        <w:rPr>
          <w:szCs w:val="24"/>
        </w:rPr>
        <w:t>m the MBS</w:t>
      </w:r>
      <w:r w:rsidRPr="00042DD9">
        <w:rPr>
          <w:szCs w:val="24"/>
        </w:rPr>
        <w:t xml:space="preserve"> Review Cardiac Services </w:t>
      </w:r>
      <w:r w:rsidRPr="00AA1584">
        <w:t xml:space="preserve">Clinical Committee. </w:t>
      </w:r>
    </w:p>
    <w:p w14:paraId="1559A3A4" w14:textId="77777777" w:rsidR="00AA1584" w:rsidRPr="00AA1584" w:rsidRDefault="00AA1584" w:rsidP="00AA1584">
      <w:pPr>
        <w:spacing w:before="240"/>
      </w:pPr>
      <w:r w:rsidRPr="00AA1584">
        <w:t>MSAC also recommended that the Department review whether the claimed cost-offset of coronary angiography (CA) replacement by CTCA has actually been realised, impact on the sequence of tests for cardiovascular diseases and any changes in practitioner referral patterns.</w:t>
      </w:r>
    </w:p>
    <w:p w14:paraId="1D480D99" w14:textId="77777777" w:rsidR="007F35C8" w:rsidRPr="00E35CDB" w:rsidRDefault="007F35C8" w:rsidP="00BB46EB">
      <w:pPr>
        <w:pStyle w:val="Heading1"/>
        <w:numPr>
          <w:ilvl w:val="0"/>
          <w:numId w:val="1"/>
        </w:numPr>
        <w:tabs>
          <w:tab w:val="left" w:pos="720"/>
          <w:tab w:val="left" w:pos="1140"/>
        </w:tabs>
        <w:spacing w:before="360"/>
        <w:ind w:hanging="720"/>
      </w:pPr>
      <w:r w:rsidRPr="00E35CDB">
        <w:t>Summary of consideration and rationale for MSAC’s advice</w:t>
      </w:r>
    </w:p>
    <w:p w14:paraId="60FC868C" w14:textId="2156CBC2" w:rsidR="00AA1584" w:rsidRDefault="00AA1584" w:rsidP="003848BB">
      <w:pPr>
        <w:spacing w:before="120" w:after="240"/>
        <w:rPr>
          <w:szCs w:val="24"/>
        </w:rPr>
      </w:pPr>
      <w:r w:rsidRPr="00042DD9">
        <w:rPr>
          <w:szCs w:val="24"/>
        </w:rPr>
        <w:t>MSAC considered the real world impacts of the outcome of MSAC Application 1105 for multi-slice computed tomography coronary angiography (CTCA) in the visualisation of coronary arteries (MBS items 57360 and 57361) by examining real world data.</w:t>
      </w:r>
    </w:p>
    <w:p w14:paraId="52C299DA" w14:textId="2A95C3A2" w:rsidR="00AA1584" w:rsidRDefault="00AA1584" w:rsidP="003848BB">
      <w:pPr>
        <w:spacing w:after="240"/>
        <w:rPr>
          <w:szCs w:val="24"/>
        </w:rPr>
      </w:pPr>
      <w:r w:rsidRPr="00042DD9">
        <w:rPr>
          <w:szCs w:val="24"/>
        </w:rPr>
        <w:t xml:space="preserve">Patients who have a 10% to 90% risk of having coronary artery disease (CAD) and those who have a greater than 90% risk of having CAD are classified as low-intermediate risk and high </w:t>
      </w:r>
      <w:r w:rsidRPr="00042DD9">
        <w:rPr>
          <w:szCs w:val="24"/>
        </w:rPr>
        <w:lastRenderedPageBreak/>
        <w:t xml:space="preserve">risk, respectively. MSAC noted that CTCA would most likely </w:t>
      </w:r>
      <w:r>
        <w:rPr>
          <w:szCs w:val="24"/>
        </w:rPr>
        <w:t xml:space="preserve">at least partially </w:t>
      </w:r>
      <w:r w:rsidRPr="00042DD9">
        <w:rPr>
          <w:szCs w:val="24"/>
        </w:rPr>
        <w:t>replace the use of elective CA for patients who were classified as low-intermediate risk of having CAD and that elective CA would most likely be used for patients with a high risk of having CAD.</w:t>
      </w:r>
    </w:p>
    <w:p w14:paraId="0E9516BE" w14:textId="208B991D" w:rsidR="00AA1584" w:rsidRDefault="00AA1584" w:rsidP="003848BB">
      <w:pPr>
        <w:spacing w:after="240"/>
        <w:rPr>
          <w:szCs w:val="24"/>
        </w:rPr>
      </w:pPr>
      <w:r w:rsidRPr="00042DD9">
        <w:rPr>
          <w:szCs w:val="24"/>
        </w:rPr>
        <w:t>MSAC recalled that the MSAC Application 1105 assessment report (dated April 2007) included an estimated 30,000 patients with a low-intermediate risk of having CAD receiving elective CA in 2007. It was also estimated that there would be a small amount of additional leakage from patients who would receive CTCA but would not have otherwise been referred to elective CA. Thus, MSAC recalled that it had been predicted that there would be 33,000 low-intermediate risk patients per year who would receive CTCA.</w:t>
      </w:r>
    </w:p>
    <w:p w14:paraId="089622A3" w14:textId="36186E88" w:rsidR="00AA1584" w:rsidRDefault="00AA1584" w:rsidP="003848BB">
      <w:pPr>
        <w:spacing w:after="240"/>
        <w:rPr>
          <w:szCs w:val="24"/>
        </w:rPr>
      </w:pPr>
      <w:r w:rsidRPr="00042DD9">
        <w:rPr>
          <w:szCs w:val="24"/>
        </w:rPr>
        <w:t>MSAC noted that there were 25,301 actual CTCA services for MBS item 57360 for the financial year 2011–12, rising to 43,796 actual services for the financial year 2016–17. MSAC noted that there were 237,516 services in total for MBS item 57360 for the review period (financial years 2011–17). MSAC noted that New South Wales had the highest utilisation at 116,400 services for the review period. The majority of claims for MBS item 57360 were for patients aged 55–74 years.</w:t>
      </w:r>
    </w:p>
    <w:p w14:paraId="158D2A19" w14:textId="77777777" w:rsidR="00AA1584" w:rsidRPr="00042DD9" w:rsidRDefault="00AA1584" w:rsidP="00AA1584">
      <w:pPr>
        <w:rPr>
          <w:szCs w:val="24"/>
        </w:rPr>
      </w:pPr>
      <w:r w:rsidRPr="00042DD9">
        <w:rPr>
          <w:szCs w:val="24"/>
        </w:rPr>
        <w:t>Since there were only 70 services for MBS item 57361 (the NK counterpart [</w:t>
      </w:r>
      <w:hyperlink r:id="rId11" w:history="1">
        <w:r w:rsidRPr="00042DD9">
          <w:rPr>
            <w:rStyle w:val="Hyperlink"/>
            <w:szCs w:val="24"/>
          </w:rPr>
          <w:t>classification of diagnostic imaging machines on the ‘</w:t>
        </w:r>
        <w:r w:rsidRPr="00042DD9">
          <w:rPr>
            <w:rStyle w:val="Hyperlink"/>
            <w:i/>
            <w:szCs w:val="24"/>
          </w:rPr>
          <w:t xml:space="preserve">capital sensitivity’ </w:t>
        </w:r>
        <w:r w:rsidRPr="00042DD9">
          <w:rPr>
            <w:rStyle w:val="Hyperlink"/>
            <w:szCs w:val="24"/>
          </w:rPr>
          <w:t>measure</w:t>
        </w:r>
      </w:hyperlink>
      <w:r w:rsidRPr="00042DD9">
        <w:rPr>
          <w:szCs w:val="24"/>
        </w:rPr>
        <w:t>] to MBS item 57360), MSAC noted that a detailed analysis for MBS item 57361 was not undertaken.</w:t>
      </w:r>
    </w:p>
    <w:p w14:paraId="02BB6FC1" w14:textId="19B96E74" w:rsidR="00AA1584" w:rsidRDefault="00AA1584" w:rsidP="003848BB">
      <w:pPr>
        <w:spacing w:after="240"/>
        <w:rPr>
          <w:szCs w:val="24"/>
        </w:rPr>
      </w:pPr>
      <w:r w:rsidRPr="00042DD9">
        <w:rPr>
          <w:szCs w:val="24"/>
        </w:rPr>
        <w:t xml:space="preserve">MSAC noted that CTCA services had increased by an average of 16% per year since implementation and that services for MBS item 57360 had doubled over the review period of July 2011 to June 2017. </w:t>
      </w:r>
    </w:p>
    <w:p w14:paraId="6BBAFCDA" w14:textId="1DA3F8B8" w:rsidR="00AA1584" w:rsidRDefault="00AA1584" w:rsidP="003848BB">
      <w:pPr>
        <w:spacing w:after="240"/>
        <w:rPr>
          <w:szCs w:val="24"/>
        </w:rPr>
      </w:pPr>
      <w:r w:rsidRPr="00042DD9">
        <w:rPr>
          <w:szCs w:val="24"/>
        </w:rPr>
        <w:t>MSAC queried the extent of replacement of other CAD diagnostic items (MBS items 38215, 38218, 59912 and 59925) with CTCA services, noting services for CAD diagnostic items had only slightly decreased or plateaued over the review period.</w:t>
      </w:r>
    </w:p>
    <w:p w14:paraId="3ACF4BB3" w14:textId="77777777" w:rsidR="00AA1584" w:rsidRPr="00042DD9" w:rsidRDefault="00AA1584" w:rsidP="00AA1584">
      <w:pPr>
        <w:rPr>
          <w:szCs w:val="24"/>
        </w:rPr>
      </w:pPr>
      <w:r w:rsidRPr="00042DD9">
        <w:rPr>
          <w:szCs w:val="24"/>
        </w:rPr>
        <w:t xml:space="preserve">MSAC noted that during the review period of July 2011 to June 2017, 97% of patients had received the service only once. In the 2015–16 period, only 0.5% of patients had received at least two services. MSAC considered that this number was very small and of little concern. </w:t>
      </w:r>
    </w:p>
    <w:p w14:paraId="7F832ACF" w14:textId="03FC39E8" w:rsidR="00AA1584" w:rsidRDefault="00AA1584" w:rsidP="003848BB">
      <w:pPr>
        <w:spacing w:after="240"/>
        <w:rPr>
          <w:szCs w:val="24"/>
        </w:rPr>
      </w:pPr>
      <w:r w:rsidRPr="00042DD9">
        <w:rPr>
          <w:szCs w:val="24"/>
        </w:rPr>
        <w:t>MSAC noted that the average fee charged for MBS item 57360 in 2011–12 was $787.48. This gradually increased to $813.50 in 2016–17. MSAC also noted that there was an unusually high fee of $1176 for MBS item 57360 in the Northern Territory for 2014–15 when compared with other states.</w:t>
      </w:r>
    </w:p>
    <w:p w14:paraId="660E4274" w14:textId="243D0909" w:rsidR="00AA1584" w:rsidRDefault="00AA1584" w:rsidP="003848BB">
      <w:pPr>
        <w:spacing w:after="240"/>
        <w:rPr>
          <w:szCs w:val="24"/>
        </w:rPr>
      </w:pPr>
      <w:r w:rsidRPr="00042DD9">
        <w:rPr>
          <w:szCs w:val="24"/>
        </w:rPr>
        <w:t>The number of practitioners providing services for MBS item 57360 increased from 285 practitioners in 2011–12 to 453 practitioners in 2015–16. MSAC noted that 84% of services for MBS item 57360 were provided by 25% of the practitioners registered to provide this service.</w:t>
      </w:r>
    </w:p>
    <w:p w14:paraId="4C1854B3" w14:textId="601C2088" w:rsidR="00AA1584" w:rsidRDefault="00AA1584" w:rsidP="003848BB">
      <w:pPr>
        <w:spacing w:after="240"/>
        <w:rPr>
          <w:szCs w:val="24"/>
        </w:rPr>
      </w:pPr>
      <w:r w:rsidRPr="00042DD9">
        <w:rPr>
          <w:szCs w:val="24"/>
        </w:rPr>
        <w:t xml:space="preserve">MSAC noted that 80% of services for MBS item 57360 were provided by specialist diagnostic radiologists. MSAC also noted that MBS item 57360 is restricted to requesting by cardiologists and specialist physicians and performed by specialists recognised by the Conjoint Committee for the Recognition of Training in CT Coronary Angiography. </w:t>
      </w:r>
    </w:p>
    <w:p w14:paraId="58202352" w14:textId="77777777" w:rsidR="00AA1584" w:rsidRPr="00042DD9" w:rsidRDefault="00AA1584" w:rsidP="00AA1584">
      <w:pPr>
        <w:rPr>
          <w:szCs w:val="24"/>
        </w:rPr>
      </w:pPr>
      <w:r w:rsidRPr="00042DD9">
        <w:rPr>
          <w:szCs w:val="24"/>
        </w:rPr>
        <w:t xml:space="preserve">MSAC noted that 84% of services for MBS item 57360 were claimed alone and that incidences of co-claiming were typically for items related to consultant attendance (MBS items 105, 116 and 119). MSAC considered that the data showed co-claiming rates are small and were of no particular concern as they are likely to be clinically appropriate. MSAC noted that, as of 1st November 2017, MBS items 105, 116 and 119 can no longer be claimed on the same day as a group T8 item with a schedule fee of $300 or more. </w:t>
      </w:r>
    </w:p>
    <w:p w14:paraId="5C763AD5" w14:textId="542F743A" w:rsidR="00AA1584" w:rsidRDefault="00AA1584" w:rsidP="003848BB">
      <w:pPr>
        <w:spacing w:after="240"/>
        <w:rPr>
          <w:szCs w:val="24"/>
        </w:rPr>
      </w:pPr>
      <w:r w:rsidRPr="00042DD9">
        <w:rPr>
          <w:szCs w:val="24"/>
        </w:rPr>
        <w:lastRenderedPageBreak/>
        <w:t>MSAC noted that the items for CTCA (MBS items 57360 and 57361) are part of a larger ongoing MBS review by the Cardiac Services Clinical Committee. MSAC advised continued monitoring and review of MBS items 57360 and 57361 whilst awaiting any relevant outcome from the MBS Review Cardiac Services Clinical Committee.</w:t>
      </w:r>
    </w:p>
    <w:p w14:paraId="3B08F06E" w14:textId="77777777" w:rsidR="00AA1584" w:rsidRPr="00042DD9" w:rsidRDefault="00AA1584" w:rsidP="00AA1584">
      <w:pPr>
        <w:rPr>
          <w:szCs w:val="24"/>
        </w:rPr>
      </w:pPr>
      <w:r w:rsidRPr="00042DD9">
        <w:rPr>
          <w:szCs w:val="24"/>
        </w:rPr>
        <w:t>MSAC recommended to continue monitoring MBS items 57360 and 57361 due to the ongoing average growth of 11–12% in utilisation. MSAC recommended further investigation into whether the cost offset of CTCA replacement of CA has been realised. MSAC recommended also investigating if the introduction of CTCA has had any impact on the sequence of tests for cardiovascular diseases or changes in referral patterns.</w:t>
      </w:r>
    </w:p>
    <w:p w14:paraId="08E2832D" w14:textId="24E7A918" w:rsidR="00550354" w:rsidRDefault="003F5DD6" w:rsidP="00BB46EB">
      <w:pPr>
        <w:pStyle w:val="Heading1"/>
        <w:numPr>
          <w:ilvl w:val="0"/>
          <w:numId w:val="1"/>
        </w:numPr>
        <w:tabs>
          <w:tab w:val="left" w:pos="720"/>
          <w:tab w:val="left" w:pos="1140"/>
        </w:tabs>
        <w:spacing w:before="360"/>
        <w:ind w:hanging="720"/>
      </w:pPr>
      <w:r>
        <w:t>Methodology</w:t>
      </w:r>
    </w:p>
    <w:p w14:paraId="420601C9" w14:textId="297A7CBA" w:rsidR="001C1BE6" w:rsidRDefault="001C1BE6" w:rsidP="00BB46EB">
      <w:pPr>
        <w:spacing w:before="120"/>
        <w:rPr>
          <w:szCs w:val="24"/>
        </w:rPr>
      </w:pPr>
      <w:r>
        <w:rPr>
          <w:szCs w:val="24"/>
        </w:rPr>
        <w:t xml:space="preserve">An application is selected for consideration if the resulting new item(s) </w:t>
      </w:r>
      <w:r w:rsidR="00026E58">
        <w:rPr>
          <w:szCs w:val="24"/>
        </w:rPr>
        <w:t>and/</w:t>
      </w:r>
      <w:r>
        <w:rPr>
          <w:szCs w:val="24"/>
        </w:rPr>
        <w:t xml:space="preserve">or item amendment(s) have been on the MBS for approximately 24 months or longer or if there were particular concerns about utilisation such that MSAC requested to consider it earlier. The specific applications for each MSAC meeting are selected by the MSAC Executive which is composed of the </w:t>
      </w:r>
      <w:r w:rsidR="00F3088E">
        <w:rPr>
          <w:szCs w:val="24"/>
        </w:rPr>
        <w:t>c</w:t>
      </w:r>
      <w:r>
        <w:rPr>
          <w:szCs w:val="24"/>
        </w:rPr>
        <w:t>hairs of MSAC and its sub-committees.</w:t>
      </w:r>
    </w:p>
    <w:p w14:paraId="5EF0EBE3" w14:textId="508C17D1" w:rsidR="001C1BE6" w:rsidRDefault="001C1BE6" w:rsidP="004617ED">
      <w:pPr>
        <w:spacing w:before="240"/>
        <w:rPr>
          <w:szCs w:val="24"/>
        </w:rPr>
      </w:pPr>
      <w:r>
        <w:rPr>
          <w:szCs w:val="24"/>
        </w:rPr>
        <w:t xml:space="preserve">A report on the utilisation is developed by the </w:t>
      </w:r>
      <w:r w:rsidR="00F3088E">
        <w:rPr>
          <w:szCs w:val="24"/>
        </w:rPr>
        <w:t>department</w:t>
      </w:r>
      <w:r>
        <w:rPr>
          <w:szCs w:val="24"/>
        </w:rPr>
        <w:t xml:space="preserve"> with information on a number of metrics including</w:t>
      </w:r>
      <w:r w:rsidR="00F3088E">
        <w:rPr>
          <w:szCs w:val="24"/>
        </w:rPr>
        <w:t>;</w:t>
      </w:r>
      <w:r>
        <w:rPr>
          <w:szCs w:val="24"/>
        </w:rPr>
        <w:t xml:space="preserve"> state variation, patient demographics, services per patient, practitioner’s providing the service, data on fees and co-claiming of services. The number of metrics included in a report is dependent on the annual service volume for the MBS item(s) under consideration i.e. an item with very low utilisation will have less data to analyse. Where service volumes are too low, information is suppressed to protect patient privacy.</w:t>
      </w:r>
    </w:p>
    <w:p w14:paraId="2DF32FA0" w14:textId="7FBEA9FC" w:rsidR="001C1BE6" w:rsidRDefault="001C1BE6" w:rsidP="004617ED">
      <w:pPr>
        <w:spacing w:before="240"/>
        <w:rPr>
          <w:szCs w:val="24"/>
        </w:rPr>
      </w:pPr>
      <w:r>
        <w:rPr>
          <w:szCs w:val="24"/>
        </w:rPr>
        <w:t>Where possible the report compares data on real world utilisation to the assumptions made during the MSAC assessment. Most of these assumptions are drawn from the assessment report.</w:t>
      </w:r>
    </w:p>
    <w:p w14:paraId="26E62F08" w14:textId="6CEDF436" w:rsidR="00B11472" w:rsidRDefault="001C1BE6" w:rsidP="004617ED">
      <w:pPr>
        <w:spacing w:before="240"/>
        <w:rPr>
          <w:szCs w:val="24"/>
        </w:rPr>
      </w:pPr>
      <w:r>
        <w:rPr>
          <w:szCs w:val="24"/>
        </w:rPr>
        <w:t>Relevant stakeholders are provided an opportunity to comment on the findings in the report before it is presented to the MSAC. It is intended that stakeholders are given at least three weeks to consider the reports.</w:t>
      </w:r>
    </w:p>
    <w:p w14:paraId="40C0C81F" w14:textId="4670B574" w:rsidR="001C1BE6" w:rsidRDefault="001C1BE6" w:rsidP="004617ED">
      <w:pPr>
        <w:spacing w:before="240"/>
        <w:rPr>
          <w:szCs w:val="24"/>
        </w:rPr>
      </w:pPr>
      <w:r>
        <w:rPr>
          <w:szCs w:val="24"/>
        </w:rPr>
        <w:t xml:space="preserve">The stakeholder version of the report does not contain information </w:t>
      </w:r>
      <w:r w:rsidR="00B11472">
        <w:rPr>
          <w:szCs w:val="24"/>
        </w:rPr>
        <w:t>on assumptions from the MSAC consideration if this information is not already publicly available. This is to protect the commercial in confidence of the original applicants. The same principle is applied to this document.</w:t>
      </w:r>
    </w:p>
    <w:p w14:paraId="604337F3" w14:textId="7312FDF6" w:rsidR="00D14EAB" w:rsidRPr="004617ED" w:rsidRDefault="00B11472" w:rsidP="004617ED">
      <w:pPr>
        <w:spacing w:before="240"/>
        <w:rPr>
          <w:szCs w:val="24"/>
        </w:rPr>
      </w:pPr>
      <w:r>
        <w:rPr>
          <w:szCs w:val="24"/>
        </w:rPr>
        <w:t>Once MSAC has considered the report</w:t>
      </w:r>
      <w:r w:rsidR="002D73A2">
        <w:rPr>
          <w:szCs w:val="24"/>
        </w:rPr>
        <w:t>,</w:t>
      </w:r>
      <w:r w:rsidR="00A91AFD">
        <w:rPr>
          <w:szCs w:val="24"/>
        </w:rPr>
        <w:t xml:space="preserve"> its advice is made available online </w:t>
      </w:r>
      <w:r w:rsidR="009B433F">
        <w:rPr>
          <w:szCs w:val="24"/>
        </w:rPr>
        <w:t>at the</w:t>
      </w:r>
      <w:r w:rsidR="00583363">
        <w:rPr>
          <w:szCs w:val="24"/>
        </w:rPr>
        <w:br/>
      </w:r>
      <w:r w:rsidR="009B433F">
        <w:rPr>
          <w:szCs w:val="24"/>
        </w:rPr>
        <w:t xml:space="preserve"> </w:t>
      </w:r>
      <w:hyperlink r:id="rId12" w:history="1">
        <w:r w:rsidR="009B433F" w:rsidRPr="009B433F">
          <w:rPr>
            <w:rStyle w:val="Hyperlink"/>
            <w:szCs w:val="24"/>
          </w:rPr>
          <w:t xml:space="preserve">MSAC </w:t>
        </w:r>
        <w:r w:rsidR="0048056B">
          <w:rPr>
            <w:rStyle w:val="Hyperlink"/>
            <w:szCs w:val="24"/>
          </w:rPr>
          <w:t>W</w:t>
        </w:r>
        <w:r w:rsidR="009B433F" w:rsidRPr="009B433F">
          <w:rPr>
            <w:rStyle w:val="Hyperlink"/>
            <w:szCs w:val="24"/>
          </w:rPr>
          <w:t>ebsite</w:t>
        </w:r>
      </w:hyperlink>
      <w:r w:rsidR="00A91AFD">
        <w:rPr>
          <w:szCs w:val="24"/>
        </w:rPr>
        <w:t>.</w:t>
      </w:r>
    </w:p>
    <w:p w14:paraId="09E8EE24" w14:textId="79069D80" w:rsidR="00BC1364" w:rsidRPr="00A91AFD" w:rsidRDefault="003F5DD6" w:rsidP="00BB46EB">
      <w:pPr>
        <w:pStyle w:val="Heading1"/>
        <w:numPr>
          <w:ilvl w:val="0"/>
          <w:numId w:val="1"/>
        </w:numPr>
        <w:tabs>
          <w:tab w:val="left" w:pos="720"/>
          <w:tab w:val="left" w:pos="1140"/>
        </w:tabs>
        <w:spacing w:before="360"/>
        <w:ind w:hanging="720"/>
      </w:pPr>
      <w:r>
        <w:t>Results</w:t>
      </w:r>
    </w:p>
    <w:p w14:paraId="2F52BD55" w14:textId="77777777" w:rsidR="00BB46EB" w:rsidRPr="00727166" w:rsidRDefault="00BB46EB" w:rsidP="00BB46EB">
      <w:pPr>
        <w:pStyle w:val="Heading2"/>
      </w:pPr>
      <w:bookmarkStart w:id="1" w:name="_Toc461539944"/>
      <w:bookmarkStart w:id="2" w:name="_Toc503955768"/>
      <w:r w:rsidRPr="00727166">
        <w:t>Utilisation</w:t>
      </w:r>
      <w:bookmarkEnd w:id="1"/>
      <w:bookmarkEnd w:id="2"/>
    </w:p>
    <w:p w14:paraId="0045A6E0" w14:textId="18455071" w:rsidR="00BB46EB" w:rsidRDefault="00BB46EB" w:rsidP="00BB46EB">
      <w:pPr>
        <w:spacing w:before="120"/>
      </w:pPr>
      <w:r>
        <w:t xml:space="preserve">Based on MBS items processed from July 2011 to June 2017, the service volume for CA items overall (MBS items 38215, 38218, 38220, 38222, 38225, 38228, 38231, 38234, 38237, 38240, 38243, 38246, 59903, 59912, 59925, 59970, 59971, 59972, 59973) (see </w:t>
      </w:r>
      <w:r w:rsidRPr="00F733AF">
        <w:t xml:space="preserve">Appendix </w:t>
      </w:r>
      <w:r w:rsidRPr="00314988">
        <w:t>A</w:t>
      </w:r>
      <w:r>
        <w:t xml:space="preserve"> for data and item descriptors</w:t>
      </w:r>
      <w:r w:rsidRPr="00314988">
        <w:t xml:space="preserve">), appear to not have decreased since the implementation of item 57360.  However in relation to the most relevant ‘diagnostic’ CA items that are utilised by patients presenting with stable angina (38218, 38215, 59925 and 59912), the utilisation has either slightly decreased (38218) or plateaued (59925). </w:t>
      </w:r>
      <w:r>
        <w:t xml:space="preserve"> </w:t>
      </w:r>
      <w:r w:rsidRPr="00314988">
        <w:t xml:space="preserve">This suggests that some replacement of CA with CTCA may have occurred. </w:t>
      </w:r>
      <w:r>
        <w:t xml:space="preserve"> </w:t>
      </w:r>
      <w:r w:rsidRPr="00314988">
        <w:t xml:space="preserve">However given these CA items are generic in </w:t>
      </w:r>
      <w:r w:rsidRPr="00314988">
        <w:lastRenderedPageBreak/>
        <w:t xml:space="preserve">wording and used for a number of clinical indications (one of which is investigation of stable angina), it is difficult to reliably infer whether replacement has actually occurred. </w:t>
      </w:r>
      <w:r>
        <w:t xml:space="preserve"> </w:t>
      </w:r>
      <w:r w:rsidRPr="00314988">
        <w:t>Trends in CA utilisation will continue to be monitored.</w:t>
      </w:r>
      <w:r w:rsidR="00D06438">
        <w:t xml:space="preserve"> </w:t>
      </w:r>
    </w:p>
    <w:p w14:paraId="5229CB35" w14:textId="47C47CDC" w:rsidR="00BB46EB" w:rsidRDefault="00BB46EB" w:rsidP="003848BB">
      <w:pPr>
        <w:spacing w:before="120" w:after="240"/>
      </w:pPr>
      <w:r>
        <w:t>Over the review period of 2011–2017 the utilisation of</w:t>
      </w:r>
      <w:r w:rsidRPr="007E6D4B">
        <w:t xml:space="preserve"> item 57360 has </w:t>
      </w:r>
      <w:r>
        <w:t xml:space="preserve">doubled </w:t>
      </w:r>
      <w:r>
        <w:br/>
        <w:t>(see</w:t>
      </w:r>
      <w:r>
        <w:rPr>
          <w:b/>
        </w:rPr>
        <w:t xml:space="preserve"> </w:t>
      </w:r>
      <w:r>
        <w:rPr>
          <w:b/>
        </w:rPr>
        <w:fldChar w:fldCharType="begin"/>
      </w:r>
      <w:r>
        <w:rPr>
          <w:b/>
        </w:rPr>
        <w:instrText xml:space="preserve"> REF _Ref502755854 \h </w:instrText>
      </w:r>
      <w:r>
        <w:rPr>
          <w:b/>
        </w:rPr>
      </w:r>
      <w:r>
        <w:rPr>
          <w:b/>
        </w:rPr>
        <w:fldChar w:fldCharType="separate"/>
      </w:r>
      <w:r>
        <w:t xml:space="preserve">Table </w:t>
      </w:r>
      <w:r>
        <w:rPr>
          <w:noProof/>
        </w:rPr>
        <w:t>1</w:t>
      </w:r>
      <w:r>
        <w:rPr>
          <w:b/>
        </w:rPr>
        <w:fldChar w:fldCharType="end"/>
      </w:r>
      <w:r>
        <w:t xml:space="preserve">).  </w:t>
      </w:r>
      <w:r w:rsidRPr="00C322CB">
        <w:t>Item 57361</w:t>
      </w:r>
      <w:r>
        <w:t xml:space="preserve"> is</w:t>
      </w:r>
      <w:r w:rsidRPr="00C322CB">
        <w:t xml:space="preserve"> equivalent to Item 57360, but is only applicable when the service is rendered on older equipment.</w:t>
      </w:r>
      <w:r>
        <w:t xml:space="preserve"> There were less than 70 of these services claimed in the review period. Therefore, detailed analysis of </w:t>
      </w:r>
      <w:r w:rsidRPr="00C322CB">
        <w:t>Item 57361</w:t>
      </w:r>
      <w:r>
        <w:t xml:space="preserve"> has not been undertaken.</w:t>
      </w:r>
      <w:r w:rsidR="00D06438">
        <w:t xml:space="preserve"> </w:t>
      </w:r>
    </w:p>
    <w:p w14:paraId="5D96EC09" w14:textId="3142DA44" w:rsidR="00BB46EB" w:rsidRPr="003848BB" w:rsidRDefault="00BB46EB" w:rsidP="003848BB">
      <w:pPr>
        <w:spacing w:after="240"/>
      </w:pPr>
      <w:r w:rsidRPr="000529EC">
        <w:t>CTCA has had an a</w:t>
      </w:r>
      <w:r>
        <w:t>verage service growth rate of 16</w:t>
      </w:r>
      <w:r w:rsidRPr="000529EC">
        <w:t xml:space="preserve">% per year since implementation.  The largest spike in growth was in 2011-12 to 2012-13 at 22%, whilst the lowest growth occurred in </w:t>
      </w:r>
      <w:r>
        <w:t>the FY period 2013-14 to 2014-15 at 11</w:t>
      </w:r>
      <w:r w:rsidRPr="000529EC">
        <w:t>% (</w:t>
      </w:r>
      <w:r>
        <w:rPr>
          <w:b/>
        </w:rPr>
        <w:fldChar w:fldCharType="begin"/>
      </w:r>
      <w:r>
        <w:instrText xml:space="preserve"> REF _Ref502755854 \h </w:instrText>
      </w:r>
      <w:r>
        <w:rPr>
          <w:b/>
        </w:rPr>
      </w:r>
      <w:r>
        <w:rPr>
          <w:b/>
        </w:rPr>
        <w:fldChar w:fldCharType="separate"/>
      </w:r>
      <w:r>
        <w:t xml:space="preserve">Table </w:t>
      </w:r>
      <w:r>
        <w:rPr>
          <w:noProof/>
        </w:rPr>
        <w:t>1</w:t>
      </w:r>
      <w:r>
        <w:rPr>
          <w:b/>
        </w:rPr>
        <w:fldChar w:fldCharType="end"/>
      </w:r>
      <w:r w:rsidRPr="000529EC">
        <w:t>).</w:t>
      </w:r>
    </w:p>
    <w:p w14:paraId="01EA0BCF" w14:textId="7F3BF383" w:rsidR="00BB46EB" w:rsidRPr="006B60E7" w:rsidRDefault="00BB46EB" w:rsidP="006B60E7">
      <w:pPr>
        <w:rPr>
          <w:rFonts w:ascii="Arial Narrow" w:hAnsi="Arial Narrow"/>
          <w:b/>
          <w:sz w:val="20"/>
        </w:rPr>
      </w:pPr>
      <w:bookmarkStart w:id="3" w:name="_Ref502755854"/>
      <w:bookmarkStart w:id="4" w:name="_Toc503955777"/>
      <w:r w:rsidRPr="006B60E7">
        <w:rPr>
          <w:rFonts w:ascii="Arial Narrow" w:hAnsi="Arial Narrow"/>
          <w:b/>
          <w:sz w:val="20"/>
        </w:rPr>
        <w:t xml:space="preserve">Table </w:t>
      </w:r>
      <w:r w:rsidR="00D05628" w:rsidRPr="006B60E7">
        <w:rPr>
          <w:rFonts w:ascii="Arial Narrow" w:hAnsi="Arial Narrow"/>
          <w:b/>
          <w:sz w:val="20"/>
        </w:rPr>
        <w:fldChar w:fldCharType="begin"/>
      </w:r>
      <w:r w:rsidR="00D05628" w:rsidRPr="006B60E7">
        <w:rPr>
          <w:rFonts w:ascii="Arial Narrow" w:hAnsi="Arial Narrow"/>
          <w:b/>
          <w:sz w:val="20"/>
        </w:rPr>
        <w:instrText xml:space="preserve"> SEQ Table \* ARABIC </w:instrText>
      </w:r>
      <w:r w:rsidR="00D05628" w:rsidRPr="006B60E7">
        <w:rPr>
          <w:rFonts w:ascii="Arial Narrow" w:hAnsi="Arial Narrow"/>
          <w:b/>
          <w:sz w:val="20"/>
        </w:rPr>
        <w:fldChar w:fldCharType="separate"/>
      </w:r>
      <w:r w:rsidRPr="006B60E7">
        <w:rPr>
          <w:rFonts w:ascii="Arial Narrow" w:hAnsi="Arial Narrow"/>
          <w:b/>
          <w:sz w:val="20"/>
        </w:rPr>
        <w:t>1</w:t>
      </w:r>
      <w:r w:rsidR="00D05628" w:rsidRPr="006B60E7">
        <w:rPr>
          <w:rFonts w:ascii="Arial Narrow" w:hAnsi="Arial Narrow"/>
          <w:b/>
          <w:sz w:val="20"/>
        </w:rPr>
        <w:fldChar w:fldCharType="end"/>
      </w:r>
      <w:bookmarkEnd w:id="3"/>
      <w:r w:rsidR="00592EF6" w:rsidRPr="006B60E7">
        <w:rPr>
          <w:rFonts w:ascii="Arial Narrow" w:hAnsi="Arial Narrow"/>
          <w:b/>
          <w:sz w:val="20"/>
        </w:rPr>
        <w:t>:</w:t>
      </w:r>
      <w:r w:rsidRPr="006B60E7">
        <w:rPr>
          <w:rFonts w:ascii="Arial Narrow" w:hAnsi="Arial Narrow"/>
          <w:b/>
          <w:sz w:val="20"/>
        </w:rPr>
        <w:t xml:space="preserve"> Service volume of MBS item 57360 between 2011-12 and 2016-17 </w:t>
      </w:r>
      <w:r w:rsidR="006B60E7" w:rsidRPr="006B60E7">
        <w:rPr>
          <w:rFonts w:ascii="Arial Narrow" w:hAnsi="Arial Narrow"/>
          <w:b/>
          <w:sz w:val="20"/>
        </w:rPr>
        <w:t>(</w:t>
      </w:r>
      <w:r w:rsidRPr="006B60E7">
        <w:rPr>
          <w:rFonts w:ascii="Arial Narrow" w:hAnsi="Arial Narrow"/>
          <w:b/>
          <w:sz w:val="20"/>
        </w:rPr>
        <w:t>date of service)</w:t>
      </w:r>
      <w:bookmarkEnd w:id="4"/>
    </w:p>
    <w:tbl>
      <w:tblPr>
        <w:tblW w:w="9546" w:type="dxa"/>
        <w:tblInd w:w="108" w:type="dxa"/>
        <w:tblLook w:val="04A0" w:firstRow="1" w:lastRow="0" w:firstColumn="1" w:lastColumn="0" w:noHBand="0" w:noVBand="1"/>
        <w:tblCaption w:val="Table 1 service volume of MBS item 57360 between 2011 and 2017"/>
        <w:tblDescription w:val="This table provides data on service volumes for MBS item 57360 from 2012 until 2017. Data is divided by state and australian total and includes service growth rate from pervious years. "/>
      </w:tblPr>
      <w:tblGrid>
        <w:gridCol w:w="1161"/>
        <w:gridCol w:w="1134"/>
        <w:gridCol w:w="972"/>
        <w:gridCol w:w="767"/>
        <w:gridCol w:w="838"/>
        <w:gridCol w:w="767"/>
        <w:gridCol w:w="838"/>
        <w:gridCol w:w="698"/>
        <w:gridCol w:w="697"/>
        <w:gridCol w:w="823"/>
        <w:gridCol w:w="851"/>
      </w:tblGrid>
      <w:tr w:rsidR="00BB46EB" w:rsidRPr="008E4B7F" w14:paraId="1134166B" w14:textId="77777777" w:rsidTr="00592EF6">
        <w:trPr>
          <w:trHeight w:val="255"/>
        </w:trPr>
        <w:tc>
          <w:tcPr>
            <w:tcW w:w="11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AD3C551" w14:textId="77777777" w:rsidR="00BB46EB" w:rsidRPr="008E4B7F" w:rsidRDefault="00BB46EB" w:rsidP="008E4B7F">
            <w:pPr>
              <w:pStyle w:val="Tabletext0"/>
            </w:pPr>
            <w:r w:rsidRPr="008E4B7F">
              <w:t>Year</w:t>
            </w:r>
          </w:p>
        </w:tc>
        <w:tc>
          <w:tcPr>
            <w:tcW w:w="671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794561FB" w14:textId="77777777" w:rsidR="00BB46EB" w:rsidRPr="008E4B7F" w:rsidRDefault="00BB46EB" w:rsidP="008E4B7F">
            <w:pPr>
              <w:pStyle w:val="Tabletext0"/>
            </w:pPr>
            <w:r w:rsidRPr="008E4B7F">
              <w:t>State/Territory</w:t>
            </w:r>
          </w:p>
        </w:tc>
        <w:tc>
          <w:tcPr>
            <w:tcW w:w="8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CCDBCC" w14:textId="77777777" w:rsidR="00BB46EB" w:rsidRPr="008E4B7F" w:rsidRDefault="00BB46EB" w:rsidP="008E4B7F">
            <w:pPr>
              <w:pStyle w:val="Tabletext0"/>
            </w:pPr>
            <w:r w:rsidRPr="008E4B7F">
              <w:t>AUS Total</w:t>
            </w:r>
          </w:p>
        </w:tc>
        <w:tc>
          <w:tcPr>
            <w:tcW w:w="851" w:type="dxa"/>
            <w:vMerge w:val="restart"/>
            <w:tcBorders>
              <w:top w:val="single" w:sz="4" w:space="0" w:color="auto"/>
              <w:left w:val="single" w:sz="4" w:space="0" w:color="auto"/>
              <w:right w:val="single" w:sz="4" w:space="0" w:color="auto"/>
            </w:tcBorders>
          </w:tcPr>
          <w:p w14:paraId="4F191B2B" w14:textId="77777777" w:rsidR="00BB46EB" w:rsidRPr="008E4B7F" w:rsidRDefault="00BB46EB" w:rsidP="008E4B7F">
            <w:pPr>
              <w:pStyle w:val="Tabletext0"/>
            </w:pPr>
            <w:r w:rsidRPr="008E4B7F">
              <w:t>Service growth rate from previous year (%)</w:t>
            </w:r>
          </w:p>
        </w:tc>
      </w:tr>
      <w:tr w:rsidR="00BB46EB" w:rsidRPr="008E4B7F" w14:paraId="2259B5A8" w14:textId="77777777" w:rsidTr="00592EF6">
        <w:trPr>
          <w:trHeight w:val="255"/>
        </w:trPr>
        <w:tc>
          <w:tcPr>
            <w:tcW w:w="1161" w:type="dxa"/>
            <w:vMerge/>
            <w:tcBorders>
              <w:top w:val="single" w:sz="4" w:space="0" w:color="auto"/>
              <w:left w:val="single" w:sz="4" w:space="0" w:color="auto"/>
              <w:bottom w:val="single" w:sz="4" w:space="0" w:color="auto"/>
              <w:right w:val="single" w:sz="4" w:space="0" w:color="auto"/>
            </w:tcBorders>
            <w:vAlign w:val="center"/>
          </w:tcPr>
          <w:p w14:paraId="164CB987" w14:textId="77777777" w:rsidR="00BB46EB" w:rsidRPr="008E4B7F" w:rsidRDefault="00BB46EB" w:rsidP="008E4B7F">
            <w:pPr>
              <w:pStyle w:val="Tabletext0"/>
            </w:pPr>
          </w:p>
        </w:tc>
        <w:tc>
          <w:tcPr>
            <w:tcW w:w="1134" w:type="dxa"/>
            <w:tcBorders>
              <w:top w:val="nil"/>
              <w:left w:val="nil"/>
              <w:bottom w:val="single" w:sz="4" w:space="0" w:color="auto"/>
              <w:right w:val="single" w:sz="4" w:space="0" w:color="auto"/>
            </w:tcBorders>
            <w:shd w:val="clear" w:color="auto" w:fill="548DD4" w:themeFill="text2" w:themeFillTint="99"/>
            <w:noWrap/>
            <w:vAlign w:val="center"/>
          </w:tcPr>
          <w:p w14:paraId="18761B6E" w14:textId="77777777" w:rsidR="00BB46EB" w:rsidRPr="008E4B7F" w:rsidRDefault="00BB46EB" w:rsidP="008E4B7F">
            <w:pPr>
              <w:pStyle w:val="Tabletext0"/>
            </w:pPr>
            <w:r w:rsidRPr="008E4B7F">
              <w:t>NSW</w:t>
            </w:r>
          </w:p>
        </w:tc>
        <w:tc>
          <w:tcPr>
            <w:tcW w:w="97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14:paraId="060704F6" w14:textId="77777777" w:rsidR="00BB46EB" w:rsidRPr="008E4B7F" w:rsidRDefault="00BB46EB" w:rsidP="008E4B7F">
            <w:pPr>
              <w:pStyle w:val="Tabletext0"/>
            </w:pPr>
            <w:r w:rsidRPr="008E4B7F">
              <w:t>VIC</w:t>
            </w:r>
          </w:p>
        </w:tc>
        <w:tc>
          <w:tcPr>
            <w:tcW w:w="767"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14:paraId="5655F51B" w14:textId="77777777" w:rsidR="00BB46EB" w:rsidRPr="008E4B7F" w:rsidRDefault="00BB46EB" w:rsidP="008E4B7F">
            <w:pPr>
              <w:pStyle w:val="Tabletext0"/>
            </w:pPr>
            <w:r w:rsidRPr="008E4B7F">
              <w:t>QLD</w:t>
            </w:r>
          </w:p>
        </w:tc>
        <w:tc>
          <w:tcPr>
            <w:tcW w:w="838"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14:paraId="3AA8FF4D" w14:textId="77777777" w:rsidR="00BB46EB" w:rsidRPr="008E4B7F" w:rsidRDefault="00BB46EB" w:rsidP="008E4B7F">
            <w:pPr>
              <w:pStyle w:val="Tabletext0"/>
            </w:pPr>
            <w:r w:rsidRPr="008E4B7F">
              <w:t>SA</w:t>
            </w:r>
          </w:p>
        </w:tc>
        <w:tc>
          <w:tcPr>
            <w:tcW w:w="767"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14:paraId="0056F56F" w14:textId="77777777" w:rsidR="00BB46EB" w:rsidRPr="008E4B7F" w:rsidRDefault="00BB46EB" w:rsidP="008E4B7F">
            <w:pPr>
              <w:pStyle w:val="Tabletext0"/>
            </w:pPr>
            <w:r w:rsidRPr="008E4B7F">
              <w:t>WA</w:t>
            </w:r>
          </w:p>
        </w:tc>
        <w:tc>
          <w:tcPr>
            <w:tcW w:w="838"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14:paraId="2312493D" w14:textId="77777777" w:rsidR="00BB46EB" w:rsidRPr="008E4B7F" w:rsidRDefault="00BB46EB" w:rsidP="008E4B7F">
            <w:pPr>
              <w:pStyle w:val="Tabletext0"/>
            </w:pPr>
            <w:r w:rsidRPr="008E4B7F">
              <w:t>TAS</w:t>
            </w:r>
          </w:p>
        </w:tc>
        <w:tc>
          <w:tcPr>
            <w:tcW w:w="698"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14:paraId="0F907F8F" w14:textId="77777777" w:rsidR="00BB46EB" w:rsidRPr="008E4B7F" w:rsidRDefault="00BB46EB" w:rsidP="008E4B7F">
            <w:pPr>
              <w:pStyle w:val="Tabletext0"/>
            </w:pPr>
            <w:r w:rsidRPr="008E4B7F">
              <w:t>NT</w:t>
            </w:r>
          </w:p>
        </w:tc>
        <w:tc>
          <w:tcPr>
            <w:tcW w:w="697"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14:paraId="357A3D02" w14:textId="77777777" w:rsidR="00BB46EB" w:rsidRPr="008E4B7F" w:rsidRDefault="00BB46EB" w:rsidP="008E4B7F">
            <w:pPr>
              <w:pStyle w:val="Tabletext0"/>
            </w:pPr>
            <w:r w:rsidRPr="008E4B7F">
              <w:t>ACT</w:t>
            </w:r>
          </w:p>
        </w:tc>
        <w:tc>
          <w:tcPr>
            <w:tcW w:w="823" w:type="dxa"/>
            <w:vMerge/>
            <w:tcBorders>
              <w:top w:val="single" w:sz="4" w:space="0" w:color="auto"/>
              <w:left w:val="single" w:sz="4" w:space="0" w:color="auto"/>
              <w:bottom w:val="single" w:sz="4" w:space="0" w:color="auto"/>
              <w:right w:val="single" w:sz="4" w:space="0" w:color="auto"/>
            </w:tcBorders>
            <w:vAlign w:val="center"/>
          </w:tcPr>
          <w:p w14:paraId="2D834813" w14:textId="77777777" w:rsidR="00BB46EB" w:rsidRPr="008E4B7F" w:rsidRDefault="00BB46EB" w:rsidP="008E4B7F">
            <w:pPr>
              <w:pStyle w:val="Tabletext0"/>
            </w:pPr>
          </w:p>
        </w:tc>
        <w:tc>
          <w:tcPr>
            <w:tcW w:w="851" w:type="dxa"/>
            <w:vMerge/>
            <w:tcBorders>
              <w:left w:val="single" w:sz="4" w:space="0" w:color="auto"/>
              <w:bottom w:val="single" w:sz="4" w:space="0" w:color="auto"/>
              <w:right w:val="single" w:sz="4" w:space="0" w:color="auto"/>
            </w:tcBorders>
          </w:tcPr>
          <w:p w14:paraId="2070CC48" w14:textId="77777777" w:rsidR="00BB46EB" w:rsidRPr="008E4B7F" w:rsidRDefault="00BB46EB" w:rsidP="008E4B7F">
            <w:pPr>
              <w:pStyle w:val="Tabletext0"/>
            </w:pPr>
          </w:p>
        </w:tc>
      </w:tr>
      <w:tr w:rsidR="00BB46EB" w:rsidRPr="008E4B7F" w14:paraId="177E0716" w14:textId="77777777" w:rsidTr="00592EF6">
        <w:trPr>
          <w:trHeight w:val="255"/>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ABD27" w14:textId="77777777" w:rsidR="00BB46EB" w:rsidRPr="008E4B7F" w:rsidRDefault="00BB46EB" w:rsidP="008E4B7F">
            <w:pPr>
              <w:pStyle w:val="Tabletext0"/>
            </w:pPr>
            <w:r w:rsidRPr="008E4B7F">
              <w:t>2011-2012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77A2D" w14:textId="77777777" w:rsidR="00BB46EB" w:rsidRPr="008E4B7F" w:rsidRDefault="00BB46EB" w:rsidP="008E4B7F">
            <w:pPr>
              <w:pStyle w:val="Tabletext0"/>
            </w:pPr>
            <w:r w:rsidRPr="008E4B7F">
              <w:t>12,833</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6F79A" w14:textId="77777777" w:rsidR="00BB46EB" w:rsidRPr="008E4B7F" w:rsidRDefault="00BB46EB" w:rsidP="008E4B7F">
            <w:pPr>
              <w:pStyle w:val="Tabletext0"/>
            </w:pPr>
            <w:r w:rsidRPr="008E4B7F">
              <w:t>4,652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58DF6" w14:textId="77777777" w:rsidR="00BB46EB" w:rsidRPr="008E4B7F" w:rsidRDefault="00BB46EB" w:rsidP="008E4B7F">
            <w:pPr>
              <w:pStyle w:val="Tabletext0"/>
            </w:pPr>
            <w:r w:rsidRPr="008E4B7F">
              <w:t>4,904</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3E6FD" w14:textId="77777777" w:rsidR="00BB46EB" w:rsidRPr="008E4B7F" w:rsidRDefault="00BB46EB" w:rsidP="008E4B7F">
            <w:pPr>
              <w:pStyle w:val="Tabletext0"/>
            </w:pPr>
            <w:r w:rsidRPr="008E4B7F">
              <w:t>792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162D6" w14:textId="77777777" w:rsidR="00BB46EB" w:rsidRPr="008E4B7F" w:rsidRDefault="00BB46EB" w:rsidP="008E4B7F">
            <w:pPr>
              <w:pStyle w:val="Tabletext0"/>
            </w:pPr>
            <w:r w:rsidRPr="008E4B7F">
              <w:t>1,600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966F0" w14:textId="77777777" w:rsidR="00BB46EB" w:rsidRPr="008E4B7F" w:rsidRDefault="00BB46EB" w:rsidP="008E4B7F">
            <w:pPr>
              <w:pStyle w:val="Tabletext0"/>
            </w:pPr>
            <w:r w:rsidRPr="008E4B7F">
              <w:t>294</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ECBB2" w14:textId="77777777" w:rsidR="00BB46EB" w:rsidRPr="008E4B7F" w:rsidRDefault="00BB46EB" w:rsidP="008E4B7F">
            <w:pPr>
              <w:pStyle w:val="Tabletext0"/>
            </w:pPr>
            <w:r w:rsidRPr="008E4B7F">
              <w:t>-</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94294" w14:textId="77777777" w:rsidR="00BB46EB" w:rsidRPr="008E4B7F" w:rsidRDefault="00BB46EB" w:rsidP="008E4B7F">
            <w:pPr>
              <w:pStyle w:val="Tabletext0"/>
            </w:pPr>
            <w:r w:rsidRPr="008E4B7F">
              <w:t>226</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C1C94" w14:textId="77777777" w:rsidR="00BB46EB" w:rsidRPr="008E4B7F" w:rsidRDefault="00BB46EB" w:rsidP="008E4B7F">
            <w:pPr>
              <w:pStyle w:val="Tabletext0"/>
            </w:pPr>
            <w:r w:rsidRPr="008E4B7F">
              <w:t>25,301</w:t>
            </w:r>
          </w:p>
        </w:tc>
        <w:tc>
          <w:tcPr>
            <w:tcW w:w="851" w:type="dxa"/>
            <w:tcBorders>
              <w:top w:val="single" w:sz="4" w:space="0" w:color="auto"/>
              <w:left w:val="single" w:sz="4" w:space="0" w:color="auto"/>
              <w:bottom w:val="single" w:sz="4" w:space="0" w:color="auto"/>
              <w:right w:val="single" w:sz="4" w:space="0" w:color="auto"/>
            </w:tcBorders>
          </w:tcPr>
          <w:p w14:paraId="0D913A80" w14:textId="77777777" w:rsidR="00BB46EB" w:rsidRPr="008E4B7F" w:rsidRDefault="00BB46EB" w:rsidP="008E4B7F">
            <w:pPr>
              <w:pStyle w:val="Tabletext0"/>
            </w:pPr>
            <w:r w:rsidRPr="008E4B7F">
              <w:t>n/a</w:t>
            </w:r>
          </w:p>
        </w:tc>
      </w:tr>
      <w:tr w:rsidR="00BB46EB" w:rsidRPr="008E4B7F" w14:paraId="386A592E" w14:textId="77777777" w:rsidTr="00592EF6">
        <w:trPr>
          <w:trHeight w:val="255"/>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28E83" w14:textId="77777777" w:rsidR="00BB46EB" w:rsidRPr="008E4B7F" w:rsidRDefault="00BB46EB" w:rsidP="008E4B7F">
            <w:pPr>
              <w:pStyle w:val="Tabletext0"/>
            </w:pPr>
            <w:r w:rsidRPr="008E4B7F">
              <w:t>2012-2013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22849" w14:textId="45CDAF34" w:rsidR="00BB46EB" w:rsidRPr="008E4B7F" w:rsidRDefault="00BB46EB" w:rsidP="008E4B7F">
            <w:pPr>
              <w:pStyle w:val="Tabletext0"/>
            </w:pPr>
            <w:r w:rsidRPr="008E4B7F">
              <w:t>16,509</w:t>
            </w:r>
            <w:r w:rsidRPr="008E4B7F">
              <w:tab/>
              <w:t xml:space="preserve"> </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03330" w14:textId="77777777" w:rsidR="00BB46EB" w:rsidRPr="008E4B7F" w:rsidRDefault="00BB46EB" w:rsidP="008E4B7F">
            <w:pPr>
              <w:pStyle w:val="Tabletext0"/>
            </w:pPr>
            <w:r w:rsidRPr="008E4B7F">
              <w:t xml:space="preserve">5,610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89AE6" w14:textId="77777777" w:rsidR="00BB46EB" w:rsidRPr="008E4B7F" w:rsidRDefault="00BB46EB" w:rsidP="008E4B7F">
            <w:pPr>
              <w:pStyle w:val="Tabletext0"/>
            </w:pPr>
            <w:r w:rsidRPr="008E4B7F">
              <w:t xml:space="preserve"> 6,493</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B1099" w14:textId="77777777" w:rsidR="00BB46EB" w:rsidRPr="008E4B7F" w:rsidRDefault="00BB46EB" w:rsidP="008E4B7F">
            <w:pPr>
              <w:pStyle w:val="Tabletext0"/>
            </w:pPr>
            <w:r w:rsidRPr="008E4B7F">
              <w:t xml:space="preserve">982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8630C" w14:textId="77777777" w:rsidR="00BB46EB" w:rsidRPr="008E4B7F" w:rsidRDefault="00BB46EB" w:rsidP="008E4B7F">
            <w:pPr>
              <w:pStyle w:val="Tabletext0"/>
            </w:pPr>
            <w:r w:rsidRPr="008E4B7F">
              <w:t xml:space="preserve">2,160  </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CAD4C" w14:textId="77777777" w:rsidR="00BB46EB" w:rsidRPr="008E4B7F" w:rsidRDefault="00BB46EB" w:rsidP="008E4B7F">
            <w:pPr>
              <w:pStyle w:val="Tabletext0"/>
            </w:pPr>
            <w:r w:rsidRPr="008E4B7F">
              <w:t>360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12762" w14:textId="77777777" w:rsidR="00BB46EB" w:rsidRPr="008E4B7F" w:rsidRDefault="00BB46EB" w:rsidP="008E4B7F">
            <w:pPr>
              <w:pStyle w:val="Tabletext0"/>
            </w:pPr>
            <w:r w:rsidRPr="008E4B7F">
              <w:t>-</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0AE4B" w14:textId="77777777" w:rsidR="00BB46EB" w:rsidRPr="008E4B7F" w:rsidRDefault="00BB46EB" w:rsidP="008E4B7F">
            <w:pPr>
              <w:pStyle w:val="Tabletext0"/>
            </w:pPr>
            <w:r w:rsidRPr="008E4B7F">
              <w:t>354</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B6F54" w14:textId="77777777" w:rsidR="00BB46EB" w:rsidRPr="008E4B7F" w:rsidRDefault="00BB46EB" w:rsidP="008E4B7F">
            <w:pPr>
              <w:pStyle w:val="Tabletext0"/>
            </w:pPr>
            <w:r w:rsidRPr="008E4B7F">
              <w:t>32,468</w:t>
            </w:r>
          </w:p>
        </w:tc>
        <w:tc>
          <w:tcPr>
            <w:tcW w:w="851" w:type="dxa"/>
            <w:tcBorders>
              <w:top w:val="single" w:sz="4" w:space="0" w:color="auto"/>
              <w:left w:val="single" w:sz="4" w:space="0" w:color="auto"/>
              <w:bottom w:val="single" w:sz="4" w:space="0" w:color="auto"/>
              <w:right w:val="single" w:sz="4" w:space="0" w:color="auto"/>
            </w:tcBorders>
          </w:tcPr>
          <w:p w14:paraId="2E2ABB90" w14:textId="77777777" w:rsidR="00BB46EB" w:rsidRPr="008E4B7F" w:rsidRDefault="00BB46EB" w:rsidP="008E4B7F">
            <w:pPr>
              <w:pStyle w:val="Tabletext0"/>
            </w:pPr>
            <w:r w:rsidRPr="008E4B7F">
              <w:t>22%</w:t>
            </w:r>
          </w:p>
        </w:tc>
      </w:tr>
      <w:tr w:rsidR="00BB46EB" w:rsidRPr="008E4B7F" w14:paraId="5851DCCE" w14:textId="77777777" w:rsidTr="00592EF6">
        <w:trPr>
          <w:trHeight w:val="255"/>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C19B1" w14:textId="77777777" w:rsidR="00BB46EB" w:rsidRPr="008E4B7F" w:rsidRDefault="00BB46EB" w:rsidP="008E4B7F">
            <w:pPr>
              <w:pStyle w:val="Tabletext0"/>
            </w:pPr>
            <w:r w:rsidRPr="008E4B7F">
              <w:t>2013-2014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28F4B" w14:textId="77777777" w:rsidR="00BB46EB" w:rsidRPr="008E4B7F" w:rsidRDefault="00BB46EB" w:rsidP="008E4B7F">
            <w:pPr>
              <w:pStyle w:val="Tabletext0"/>
            </w:pPr>
            <w:r w:rsidRPr="008E4B7F">
              <w:t xml:space="preserve">19,702  </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FEA9D" w14:textId="77777777" w:rsidR="00BB46EB" w:rsidRPr="008E4B7F" w:rsidRDefault="00BB46EB" w:rsidP="008E4B7F">
            <w:pPr>
              <w:pStyle w:val="Tabletext0"/>
            </w:pPr>
            <w:r w:rsidRPr="008E4B7F">
              <w:t>6,596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875FA" w14:textId="77777777" w:rsidR="00BB46EB" w:rsidRPr="008E4B7F" w:rsidRDefault="00BB46EB" w:rsidP="008E4B7F">
            <w:pPr>
              <w:pStyle w:val="Tabletext0"/>
            </w:pPr>
            <w:r w:rsidRPr="008E4B7F">
              <w:t xml:space="preserve">8,550  </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2FC11" w14:textId="77777777" w:rsidR="00BB46EB" w:rsidRPr="008E4B7F" w:rsidRDefault="00BB46EB" w:rsidP="008E4B7F">
            <w:pPr>
              <w:pStyle w:val="Tabletext0"/>
            </w:pPr>
            <w:r w:rsidRPr="008E4B7F">
              <w:t xml:space="preserve">1,167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D08F2" w14:textId="77777777" w:rsidR="00BB46EB" w:rsidRPr="008E4B7F" w:rsidRDefault="00BB46EB" w:rsidP="008E4B7F">
            <w:pPr>
              <w:pStyle w:val="Tabletext0"/>
            </w:pPr>
            <w:r w:rsidRPr="008E4B7F">
              <w:t xml:space="preserve">2,740  </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CEDA1" w14:textId="77777777" w:rsidR="00BB46EB" w:rsidRPr="008E4B7F" w:rsidRDefault="00BB46EB" w:rsidP="008E4B7F">
            <w:pPr>
              <w:pStyle w:val="Tabletext0"/>
            </w:pPr>
            <w:r w:rsidRPr="008E4B7F">
              <w:t>493</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4F86E" w14:textId="77777777" w:rsidR="00BB46EB" w:rsidRPr="008E4B7F" w:rsidRDefault="00BB46EB" w:rsidP="008E4B7F">
            <w:pPr>
              <w:pStyle w:val="Tabletext0"/>
            </w:pPr>
            <w:r w:rsidRPr="008E4B7F">
              <w:t>360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B5D9D" w14:textId="77777777" w:rsidR="00BB46EB" w:rsidRPr="008E4B7F" w:rsidRDefault="00BB46EB" w:rsidP="008E4B7F">
            <w:pPr>
              <w:pStyle w:val="Tabletext0"/>
            </w:pPr>
            <w:r w:rsidRPr="008E4B7F">
              <w:t>379</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33F15" w14:textId="77777777" w:rsidR="00BB46EB" w:rsidRPr="008E4B7F" w:rsidRDefault="00BB46EB" w:rsidP="008E4B7F">
            <w:pPr>
              <w:pStyle w:val="Tabletext0"/>
            </w:pPr>
            <w:r w:rsidRPr="008E4B7F">
              <w:t>39,987</w:t>
            </w:r>
          </w:p>
        </w:tc>
        <w:tc>
          <w:tcPr>
            <w:tcW w:w="851" w:type="dxa"/>
            <w:tcBorders>
              <w:top w:val="single" w:sz="4" w:space="0" w:color="auto"/>
              <w:left w:val="single" w:sz="4" w:space="0" w:color="auto"/>
              <w:bottom w:val="single" w:sz="4" w:space="0" w:color="auto"/>
              <w:right w:val="single" w:sz="4" w:space="0" w:color="auto"/>
            </w:tcBorders>
          </w:tcPr>
          <w:p w14:paraId="4A37C373" w14:textId="77777777" w:rsidR="00BB46EB" w:rsidRPr="008E4B7F" w:rsidRDefault="00BB46EB" w:rsidP="008E4B7F">
            <w:pPr>
              <w:pStyle w:val="Tabletext0"/>
            </w:pPr>
            <w:r w:rsidRPr="008E4B7F">
              <w:t>19%</w:t>
            </w:r>
          </w:p>
        </w:tc>
      </w:tr>
      <w:tr w:rsidR="00BB46EB" w:rsidRPr="008E4B7F" w14:paraId="5EF15E62" w14:textId="77777777" w:rsidTr="00592EF6">
        <w:trPr>
          <w:trHeight w:val="255"/>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0B65B" w14:textId="77777777" w:rsidR="00BB46EB" w:rsidRPr="008E4B7F" w:rsidRDefault="00BB46EB" w:rsidP="008E4B7F">
            <w:pPr>
              <w:pStyle w:val="Tabletext0"/>
            </w:pPr>
            <w:r w:rsidRPr="008E4B7F">
              <w:t>2014-2015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0B3FF" w14:textId="77777777" w:rsidR="00BB46EB" w:rsidRPr="008E4B7F" w:rsidRDefault="00BB46EB" w:rsidP="008E4B7F">
            <w:pPr>
              <w:pStyle w:val="Tabletext0"/>
            </w:pPr>
            <w:r w:rsidRPr="008E4B7F">
              <w:t>22,313</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62FE7" w14:textId="77777777" w:rsidR="00BB46EB" w:rsidRPr="008E4B7F" w:rsidRDefault="00BB46EB" w:rsidP="008E4B7F">
            <w:pPr>
              <w:pStyle w:val="Tabletext0"/>
            </w:pPr>
            <w:r w:rsidRPr="008E4B7F">
              <w:t xml:space="preserve">7,689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88AD4" w14:textId="77777777" w:rsidR="00BB46EB" w:rsidRPr="008E4B7F" w:rsidRDefault="00BB46EB" w:rsidP="008E4B7F">
            <w:pPr>
              <w:pStyle w:val="Tabletext0"/>
            </w:pPr>
            <w:r w:rsidRPr="008E4B7F">
              <w:t xml:space="preserve">9,032  </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2E606" w14:textId="77777777" w:rsidR="00BB46EB" w:rsidRPr="008E4B7F" w:rsidRDefault="00BB46EB" w:rsidP="008E4B7F">
            <w:pPr>
              <w:pStyle w:val="Tabletext0"/>
            </w:pPr>
            <w:r w:rsidRPr="008E4B7F">
              <w:t>1,389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F2329" w14:textId="77777777" w:rsidR="00BB46EB" w:rsidRPr="008E4B7F" w:rsidRDefault="00BB46EB" w:rsidP="008E4B7F">
            <w:pPr>
              <w:pStyle w:val="Tabletext0"/>
            </w:pPr>
            <w:r w:rsidRPr="008E4B7F">
              <w:t xml:space="preserve">3,147  </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4B177" w14:textId="77777777" w:rsidR="00BB46EB" w:rsidRPr="008E4B7F" w:rsidRDefault="00BB46EB" w:rsidP="008E4B7F">
            <w:pPr>
              <w:pStyle w:val="Tabletext0"/>
            </w:pPr>
            <w:r w:rsidRPr="008E4B7F">
              <w:t>619</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8E657" w14:textId="77777777" w:rsidR="00BB46EB" w:rsidRPr="008E4B7F" w:rsidRDefault="00BB46EB" w:rsidP="008E4B7F">
            <w:pPr>
              <w:pStyle w:val="Tabletext0"/>
            </w:pPr>
            <w:r w:rsidRPr="008E4B7F">
              <w:t>283</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975B7" w14:textId="77777777" w:rsidR="00BB46EB" w:rsidRPr="008E4B7F" w:rsidRDefault="00BB46EB" w:rsidP="008E4B7F">
            <w:pPr>
              <w:pStyle w:val="Tabletext0"/>
            </w:pPr>
            <w:r w:rsidRPr="008E4B7F">
              <w:t>468</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5CCB8" w14:textId="77777777" w:rsidR="00BB46EB" w:rsidRPr="008E4B7F" w:rsidRDefault="00BB46EB" w:rsidP="008E4B7F">
            <w:pPr>
              <w:pStyle w:val="Tabletext0"/>
            </w:pPr>
            <w:r w:rsidRPr="008E4B7F">
              <w:t>44,940</w:t>
            </w:r>
          </w:p>
        </w:tc>
        <w:tc>
          <w:tcPr>
            <w:tcW w:w="851" w:type="dxa"/>
            <w:tcBorders>
              <w:top w:val="single" w:sz="4" w:space="0" w:color="auto"/>
              <w:left w:val="single" w:sz="4" w:space="0" w:color="auto"/>
              <w:bottom w:val="single" w:sz="4" w:space="0" w:color="auto"/>
              <w:right w:val="single" w:sz="4" w:space="0" w:color="auto"/>
            </w:tcBorders>
          </w:tcPr>
          <w:p w14:paraId="70BB5D26" w14:textId="77777777" w:rsidR="00BB46EB" w:rsidRPr="008E4B7F" w:rsidRDefault="00BB46EB" w:rsidP="008E4B7F">
            <w:pPr>
              <w:pStyle w:val="Tabletext0"/>
            </w:pPr>
            <w:r w:rsidRPr="008E4B7F">
              <w:t>11%</w:t>
            </w:r>
          </w:p>
        </w:tc>
      </w:tr>
      <w:tr w:rsidR="00BB46EB" w:rsidRPr="008E4B7F" w14:paraId="6BE09F0F" w14:textId="77777777" w:rsidTr="00592EF6">
        <w:trPr>
          <w:trHeight w:val="255"/>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ECA43" w14:textId="77777777" w:rsidR="00BB46EB" w:rsidRPr="008E4B7F" w:rsidRDefault="00BB46EB" w:rsidP="008E4B7F">
            <w:pPr>
              <w:pStyle w:val="Tabletext0"/>
            </w:pPr>
            <w:r w:rsidRPr="008E4B7F">
              <w:t>2015-2016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2656C" w14:textId="77777777" w:rsidR="00BB46EB" w:rsidRPr="008E4B7F" w:rsidRDefault="00BB46EB" w:rsidP="008E4B7F">
            <w:pPr>
              <w:pStyle w:val="Tabletext0"/>
            </w:pPr>
            <w:r w:rsidRPr="008E4B7F">
              <w:t xml:space="preserve">24,356  </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9CE74" w14:textId="77777777" w:rsidR="00BB46EB" w:rsidRPr="008E4B7F" w:rsidRDefault="00BB46EB" w:rsidP="008E4B7F">
            <w:pPr>
              <w:pStyle w:val="Tabletext0"/>
            </w:pPr>
            <w:r w:rsidRPr="008E4B7F">
              <w:t>9,038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21978" w14:textId="77777777" w:rsidR="00BB46EB" w:rsidRPr="008E4B7F" w:rsidRDefault="00BB46EB" w:rsidP="008E4B7F">
            <w:pPr>
              <w:pStyle w:val="Tabletext0"/>
            </w:pPr>
            <w:r w:rsidRPr="008E4B7F">
              <w:t xml:space="preserve">10,527  </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80EED" w14:textId="77777777" w:rsidR="00BB46EB" w:rsidRPr="008E4B7F" w:rsidRDefault="00BB46EB" w:rsidP="008E4B7F">
            <w:pPr>
              <w:pStyle w:val="Tabletext0"/>
            </w:pPr>
            <w:r w:rsidRPr="008E4B7F">
              <w:t>1,689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15704" w14:textId="77777777" w:rsidR="00BB46EB" w:rsidRPr="008E4B7F" w:rsidRDefault="00BB46EB" w:rsidP="008E4B7F">
            <w:pPr>
              <w:pStyle w:val="Tabletext0"/>
            </w:pPr>
            <w:r w:rsidRPr="008E4B7F">
              <w:t xml:space="preserve">3,760  </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401C8" w14:textId="77777777" w:rsidR="00BB46EB" w:rsidRPr="008E4B7F" w:rsidRDefault="00BB46EB" w:rsidP="008E4B7F">
            <w:pPr>
              <w:pStyle w:val="Tabletext0"/>
            </w:pPr>
            <w:r w:rsidRPr="008E4B7F">
              <w:t>681</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51A83" w14:textId="77777777" w:rsidR="00BB46EB" w:rsidRPr="008E4B7F" w:rsidRDefault="00BB46EB" w:rsidP="008E4B7F">
            <w:pPr>
              <w:pStyle w:val="Tabletext0"/>
            </w:pPr>
            <w:r w:rsidRPr="008E4B7F">
              <w:t>271</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71105" w14:textId="77777777" w:rsidR="00BB46EB" w:rsidRPr="008E4B7F" w:rsidRDefault="00BB46EB" w:rsidP="008E4B7F">
            <w:pPr>
              <w:pStyle w:val="Tabletext0"/>
            </w:pPr>
            <w:r w:rsidRPr="008E4B7F">
              <w:t>702</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4C933" w14:textId="77777777" w:rsidR="00BB46EB" w:rsidRPr="008E4B7F" w:rsidRDefault="00BB46EB" w:rsidP="008E4B7F">
            <w:pPr>
              <w:pStyle w:val="Tabletext0"/>
            </w:pPr>
            <w:r w:rsidRPr="008E4B7F">
              <w:t>51,024</w:t>
            </w:r>
          </w:p>
        </w:tc>
        <w:tc>
          <w:tcPr>
            <w:tcW w:w="851" w:type="dxa"/>
            <w:tcBorders>
              <w:top w:val="single" w:sz="4" w:space="0" w:color="auto"/>
              <w:left w:val="single" w:sz="4" w:space="0" w:color="auto"/>
              <w:bottom w:val="single" w:sz="4" w:space="0" w:color="auto"/>
              <w:right w:val="single" w:sz="4" w:space="0" w:color="auto"/>
            </w:tcBorders>
          </w:tcPr>
          <w:p w14:paraId="0657A84F" w14:textId="77777777" w:rsidR="00BB46EB" w:rsidRPr="008E4B7F" w:rsidRDefault="00BB46EB" w:rsidP="008E4B7F">
            <w:pPr>
              <w:pStyle w:val="Tabletext0"/>
            </w:pPr>
            <w:r w:rsidRPr="008E4B7F">
              <w:t>12%</w:t>
            </w:r>
          </w:p>
        </w:tc>
      </w:tr>
      <w:tr w:rsidR="00BB46EB" w:rsidRPr="008E4B7F" w14:paraId="344BAE3F" w14:textId="77777777" w:rsidTr="00592EF6">
        <w:trPr>
          <w:trHeight w:val="255"/>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303C7" w14:textId="77777777" w:rsidR="00BB46EB" w:rsidRPr="008E4B7F" w:rsidRDefault="00BB46EB" w:rsidP="008E4B7F">
            <w:pPr>
              <w:pStyle w:val="Tabletext0"/>
            </w:pPr>
            <w:r w:rsidRPr="008E4B7F">
              <w:t>2016-2017*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4B066" w14:textId="77777777" w:rsidR="00BB46EB" w:rsidRPr="008E4B7F" w:rsidRDefault="00BB46EB" w:rsidP="008E4B7F">
            <w:pPr>
              <w:pStyle w:val="Tabletext0"/>
            </w:pPr>
            <w:r w:rsidRPr="008E4B7F">
              <w:t xml:space="preserve">20,687  </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0215B" w14:textId="77777777" w:rsidR="00BB46EB" w:rsidRPr="008E4B7F" w:rsidRDefault="00BB46EB" w:rsidP="008E4B7F">
            <w:pPr>
              <w:pStyle w:val="Tabletext0"/>
            </w:pPr>
            <w:r w:rsidRPr="008E4B7F">
              <w:t xml:space="preserve">7,884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C73E8" w14:textId="77777777" w:rsidR="00BB46EB" w:rsidRPr="008E4B7F" w:rsidRDefault="00BB46EB" w:rsidP="008E4B7F">
            <w:pPr>
              <w:pStyle w:val="Tabletext0"/>
            </w:pPr>
            <w:r w:rsidRPr="008E4B7F">
              <w:t xml:space="preserve">8,650  </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74893" w14:textId="77777777" w:rsidR="00BB46EB" w:rsidRPr="008E4B7F" w:rsidRDefault="00BB46EB" w:rsidP="008E4B7F">
            <w:pPr>
              <w:pStyle w:val="Tabletext0"/>
            </w:pPr>
            <w:r w:rsidRPr="008E4B7F">
              <w:t>1,620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7F935" w14:textId="77777777" w:rsidR="00BB46EB" w:rsidRPr="008E4B7F" w:rsidRDefault="00BB46EB" w:rsidP="008E4B7F">
            <w:pPr>
              <w:pStyle w:val="Tabletext0"/>
            </w:pPr>
            <w:r w:rsidRPr="008E4B7F">
              <w:t xml:space="preserve">3,284  </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03CDF" w14:textId="77777777" w:rsidR="00BB46EB" w:rsidRPr="008E4B7F" w:rsidRDefault="00BB46EB" w:rsidP="008E4B7F">
            <w:pPr>
              <w:pStyle w:val="Tabletext0"/>
            </w:pPr>
            <w:r w:rsidRPr="008E4B7F">
              <w:t>512</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C0FF3" w14:textId="77777777" w:rsidR="00BB46EB" w:rsidRPr="008E4B7F" w:rsidRDefault="00BB46EB" w:rsidP="008E4B7F">
            <w:pPr>
              <w:pStyle w:val="Tabletext0"/>
            </w:pPr>
            <w:r w:rsidRPr="008E4B7F">
              <w:t>232</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CCE6B" w14:textId="77777777" w:rsidR="00BB46EB" w:rsidRPr="008E4B7F" w:rsidRDefault="00BB46EB" w:rsidP="008E4B7F">
            <w:pPr>
              <w:pStyle w:val="Tabletext0"/>
            </w:pPr>
            <w:r w:rsidRPr="008E4B7F">
              <w:t>530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7C35A" w14:textId="77777777" w:rsidR="00BB46EB" w:rsidRPr="008E4B7F" w:rsidRDefault="00BB46EB" w:rsidP="008E4B7F">
            <w:pPr>
              <w:pStyle w:val="Tabletext0"/>
            </w:pPr>
            <w:r w:rsidRPr="008E4B7F">
              <w:t>43,796</w:t>
            </w:r>
          </w:p>
        </w:tc>
        <w:tc>
          <w:tcPr>
            <w:tcW w:w="851" w:type="dxa"/>
            <w:tcBorders>
              <w:top w:val="single" w:sz="4" w:space="0" w:color="auto"/>
              <w:left w:val="single" w:sz="4" w:space="0" w:color="auto"/>
              <w:bottom w:val="single" w:sz="4" w:space="0" w:color="auto"/>
              <w:right w:val="single" w:sz="4" w:space="0" w:color="auto"/>
            </w:tcBorders>
          </w:tcPr>
          <w:p w14:paraId="2ECE1D6D" w14:textId="77777777" w:rsidR="00BB46EB" w:rsidRPr="008E4B7F" w:rsidRDefault="00BB46EB" w:rsidP="008E4B7F">
            <w:pPr>
              <w:pStyle w:val="Tabletext0"/>
            </w:pPr>
            <w:r w:rsidRPr="008E4B7F">
              <w:t>n/a</w:t>
            </w:r>
          </w:p>
        </w:tc>
      </w:tr>
      <w:tr w:rsidR="00BB46EB" w:rsidRPr="008E4B7F" w14:paraId="23668739" w14:textId="77777777" w:rsidTr="00592EF6">
        <w:trPr>
          <w:trHeight w:val="255"/>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883F2" w14:textId="77777777" w:rsidR="00BB46EB" w:rsidRPr="008E4B7F" w:rsidRDefault="00BB46EB" w:rsidP="008E4B7F">
            <w:pPr>
              <w:pStyle w:val="Tabletext0"/>
            </w:pPr>
            <w:r w:rsidRPr="008E4B7F">
              <w:t>All years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ACBAF" w14:textId="77777777" w:rsidR="00BB46EB" w:rsidRPr="008E4B7F" w:rsidRDefault="00BB46EB" w:rsidP="008E4B7F">
            <w:pPr>
              <w:pStyle w:val="Tabletext0"/>
            </w:pPr>
            <w:r w:rsidRPr="008E4B7F">
              <w:t>116,400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4BA37" w14:textId="77777777" w:rsidR="00BB46EB" w:rsidRPr="008E4B7F" w:rsidRDefault="00BB46EB" w:rsidP="008E4B7F">
            <w:pPr>
              <w:pStyle w:val="Tabletext0"/>
            </w:pPr>
            <w:r w:rsidRPr="008E4B7F">
              <w:t>41,469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887F5" w14:textId="77777777" w:rsidR="00BB46EB" w:rsidRPr="008E4B7F" w:rsidRDefault="00BB46EB" w:rsidP="008E4B7F">
            <w:pPr>
              <w:pStyle w:val="Tabletext0"/>
            </w:pPr>
            <w:r w:rsidRPr="008E4B7F">
              <w:t>48,156</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48069" w14:textId="77777777" w:rsidR="00BB46EB" w:rsidRPr="008E4B7F" w:rsidRDefault="00BB46EB" w:rsidP="008E4B7F">
            <w:pPr>
              <w:pStyle w:val="Tabletext0"/>
            </w:pPr>
            <w:r w:rsidRPr="008E4B7F">
              <w:t>7,639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F127D" w14:textId="77777777" w:rsidR="00BB46EB" w:rsidRPr="008E4B7F" w:rsidRDefault="00BB46EB" w:rsidP="008E4B7F">
            <w:pPr>
              <w:pStyle w:val="Tabletext0"/>
            </w:pPr>
            <w:r w:rsidRPr="008E4B7F">
              <w:t>16,691</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53041" w14:textId="77777777" w:rsidR="00BB46EB" w:rsidRPr="008E4B7F" w:rsidRDefault="00BB46EB" w:rsidP="008E4B7F">
            <w:pPr>
              <w:pStyle w:val="Tabletext0"/>
            </w:pPr>
            <w:r w:rsidRPr="008E4B7F">
              <w:t>2,959</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2E91" w14:textId="77777777" w:rsidR="00BB46EB" w:rsidRPr="008E4B7F" w:rsidRDefault="00BB46EB" w:rsidP="008E4B7F">
            <w:pPr>
              <w:pStyle w:val="Tabletext0"/>
            </w:pPr>
            <w:r w:rsidRPr="008E4B7F">
              <w:t>1,146</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C3B60" w14:textId="77777777" w:rsidR="00BB46EB" w:rsidRPr="008E4B7F" w:rsidRDefault="00BB46EB" w:rsidP="008E4B7F">
            <w:pPr>
              <w:pStyle w:val="Tabletext0"/>
            </w:pPr>
            <w:r w:rsidRPr="008E4B7F">
              <w:t>2,659</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ED5BF" w14:textId="77777777" w:rsidR="00BB46EB" w:rsidRPr="008E4B7F" w:rsidRDefault="00BB46EB" w:rsidP="008E4B7F">
            <w:pPr>
              <w:pStyle w:val="Tabletext0"/>
            </w:pPr>
            <w:r w:rsidRPr="008E4B7F">
              <w:t>237,516</w:t>
            </w:r>
          </w:p>
        </w:tc>
        <w:tc>
          <w:tcPr>
            <w:tcW w:w="851" w:type="dxa"/>
            <w:tcBorders>
              <w:top w:val="single" w:sz="4" w:space="0" w:color="auto"/>
              <w:left w:val="single" w:sz="4" w:space="0" w:color="auto"/>
              <w:bottom w:val="single" w:sz="4" w:space="0" w:color="auto"/>
              <w:right w:val="single" w:sz="4" w:space="0" w:color="auto"/>
            </w:tcBorders>
          </w:tcPr>
          <w:p w14:paraId="135AF49B" w14:textId="77777777" w:rsidR="00BB46EB" w:rsidRPr="008E4B7F" w:rsidRDefault="00BB46EB" w:rsidP="008E4B7F">
            <w:pPr>
              <w:pStyle w:val="Tabletext0"/>
            </w:pPr>
            <w:r w:rsidRPr="008E4B7F">
              <w:t>16%</w:t>
            </w:r>
          </w:p>
        </w:tc>
      </w:tr>
    </w:tbl>
    <w:p w14:paraId="2F5E4FED" w14:textId="77777777" w:rsidR="00BB46EB" w:rsidRPr="00B80C88" w:rsidRDefault="00BB46EB" w:rsidP="00070DE9">
      <w:pPr>
        <w:pStyle w:val="TableNotes"/>
      </w:pPr>
      <w:r w:rsidRPr="00B80C88">
        <w:t xml:space="preserve">Source: MBS Analytics Section – May 2017 </w:t>
      </w:r>
    </w:p>
    <w:p w14:paraId="502D161B" w14:textId="77777777" w:rsidR="00BB46EB" w:rsidRDefault="00BB46EB" w:rsidP="00070DE9">
      <w:pPr>
        <w:pStyle w:val="TableNotes"/>
      </w:pPr>
      <w:r w:rsidRPr="00B80C88">
        <w:t>*2016-17 financial year includes data to 31 March 2017</w:t>
      </w:r>
    </w:p>
    <w:p w14:paraId="6CB5EFEF" w14:textId="77777777" w:rsidR="00BB46EB" w:rsidRPr="00A73A16" w:rsidRDefault="00BB46EB" w:rsidP="004A34F7">
      <w:pPr>
        <w:pStyle w:val="Heading3"/>
        <w:rPr>
          <w:sz w:val="24"/>
          <w:szCs w:val="24"/>
        </w:rPr>
      </w:pPr>
      <w:bookmarkStart w:id="5" w:name="_Toc503955769"/>
      <w:r w:rsidRPr="00A73A16">
        <w:rPr>
          <w:sz w:val="24"/>
          <w:szCs w:val="24"/>
        </w:rPr>
        <w:t>Data on fee charged</w:t>
      </w:r>
      <w:bookmarkEnd w:id="5"/>
      <w:r w:rsidRPr="00A73A16">
        <w:rPr>
          <w:sz w:val="24"/>
          <w:szCs w:val="24"/>
        </w:rPr>
        <w:t xml:space="preserve"> </w:t>
      </w:r>
    </w:p>
    <w:p w14:paraId="35ABAE48" w14:textId="58970629" w:rsidR="00BB46EB" w:rsidRPr="003848BB" w:rsidRDefault="00BB46EB" w:rsidP="003848BB">
      <w:pPr>
        <w:spacing w:before="120" w:after="240"/>
      </w:pPr>
      <w:r>
        <w:t>The information provided on fees below (Table 2) is a snapshot of how item 57360 is being claimed in practice.</w:t>
      </w:r>
    </w:p>
    <w:p w14:paraId="2634EBBD" w14:textId="2473F3BC" w:rsidR="00BB46EB" w:rsidRDefault="00BB46EB" w:rsidP="003848BB">
      <w:pPr>
        <w:spacing w:after="240"/>
        <w:rPr>
          <w:color w:val="000000" w:themeColor="text1"/>
        </w:rPr>
      </w:pPr>
      <w:r w:rsidRPr="386B7B45">
        <w:rPr>
          <w:color w:val="000000" w:themeColor="text1"/>
        </w:rPr>
        <w:t>The average fee charged for item 57360 has increased from $787.48 in 2011-1</w:t>
      </w:r>
      <w:r>
        <w:rPr>
          <w:color w:val="000000" w:themeColor="text1"/>
        </w:rPr>
        <w:t>2 to $813.50 in 2016-17.  The average fee for p</w:t>
      </w:r>
      <w:r w:rsidRPr="00235597">
        <w:rPr>
          <w:color w:val="000000" w:themeColor="text1"/>
        </w:rPr>
        <w:t>atient-billed services</w:t>
      </w:r>
      <w:r>
        <w:rPr>
          <w:color w:val="000000" w:themeColor="text1"/>
        </w:rPr>
        <w:t xml:space="preserve"> is steady across states (Ta</w:t>
      </w:r>
      <w:r w:rsidR="00B3783E">
        <w:rPr>
          <w:color w:val="000000" w:themeColor="text1"/>
        </w:rPr>
        <w:t>ble 2 and Figure 1).  T</w:t>
      </w:r>
      <w:r>
        <w:rPr>
          <w:color w:val="000000" w:themeColor="text1"/>
        </w:rPr>
        <w:t>here is an anomaly for 2014-15 in the NT, where the average fee charged of $1176 is significantly higher than other states</w:t>
      </w:r>
      <w:r w:rsidR="00B3783E">
        <w:rPr>
          <w:color w:val="000000" w:themeColor="text1"/>
        </w:rPr>
        <w:t>.  This is because NT has a significantly high bulk billing rate of 98.9%, which means only a few services (of the 283 provided) a</w:t>
      </w:r>
      <w:r w:rsidR="003848BB">
        <w:rPr>
          <w:color w:val="000000" w:themeColor="text1"/>
        </w:rPr>
        <w:t>ttracted an out-of-pocket cost.</w:t>
      </w:r>
    </w:p>
    <w:p w14:paraId="7BDBB3B8" w14:textId="3156B0E2" w:rsidR="00BB46EB" w:rsidRDefault="00BB46EB" w:rsidP="00BB46EB">
      <w:pPr>
        <w:rPr>
          <w:color w:val="000000" w:themeColor="text1"/>
        </w:rPr>
      </w:pPr>
      <w:r>
        <w:rPr>
          <w:color w:val="000000" w:themeColor="text1"/>
        </w:rPr>
        <w:t>Significantly, the bulk billing rate almost doubled in Western Australia from 2015-16 to 2016-17 (43.9% to 76%).  While in the ACT, bulk billing rates have substantially increased over the review period from 2011-12</w:t>
      </w:r>
      <w:r w:rsidR="00B23FA2">
        <w:rPr>
          <w:color w:val="000000" w:themeColor="text1"/>
        </w:rPr>
        <w:t xml:space="preserve"> rates of 16% to almost 87% in </w:t>
      </w:r>
      <w:r>
        <w:rPr>
          <w:color w:val="000000" w:themeColor="text1"/>
        </w:rPr>
        <w:t xml:space="preserve">2015-16 (Table 2). </w:t>
      </w:r>
      <w:r w:rsidR="00B23FA2">
        <w:rPr>
          <w:color w:val="000000" w:themeColor="text1"/>
        </w:rPr>
        <w:br w:type="page"/>
      </w:r>
    </w:p>
    <w:p w14:paraId="6526DB69" w14:textId="37238F98" w:rsidR="00BB46EB" w:rsidRPr="006B60E7" w:rsidRDefault="00BB46EB" w:rsidP="006B60E7">
      <w:pPr>
        <w:rPr>
          <w:rFonts w:ascii="Arial Narrow" w:hAnsi="Arial Narrow"/>
          <w:b/>
          <w:sz w:val="20"/>
        </w:rPr>
      </w:pPr>
      <w:bookmarkStart w:id="6" w:name="_Ref502756003"/>
      <w:bookmarkStart w:id="7" w:name="_Toc503955778"/>
      <w:r w:rsidRPr="006B60E7">
        <w:rPr>
          <w:rFonts w:ascii="Arial Narrow" w:hAnsi="Arial Narrow"/>
          <w:b/>
          <w:sz w:val="20"/>
        </w:rPr>
        <w:lastRenderedPageBreak/>
        <w:t xml:space="preserve">Table </w:t>
      </w:r>
      <w:r w:rsidR="00D05628" w:rsidRPr="006B60E7">
        <w:rPr>
          <w:rFonts w:ascii="Arial Narrow" w:hAnsi="Arial Narrow"/>
          <w:b/>
          <w:sz w:val="20"/>
        </w:rPr>
        <w:fldChar w:fldCharType="begin"/>
      </w:r>
      <w:r w:rsidR="00D05628" w:rsidRPr="006B60E7">
        <w:rPr>
          <w:rFonts w:ascii="Arial Narrow" w:hAnsi="Arial Narrow"/>
          <w:b/>
          <w:sz w:val="20"/>
        </w:rPr>
        <w:instrText xml:space="preserve"> SEQ Table \* ARABIC </w:instrText>
      </w:r>
      <w:r w:rsidR="00D05628" w:rsidRPr="006B60E7">
        <w:rPr>
          <w:rFonts w:ascii="Arial Narrow" w:hAnsi="Arial Narrow"/>
          <w:b/>
          <w:sz w:val="20"/>
        </w:rPr>
        <w:fldChar w:fldCharType="separate"/>
      </w:r>
      <w:r w:rsidRPr="006B60E7">
        <w:rPr>
          <w:rFonts w:ascii="Arial Narrow" w:hAnsi="Arial Narrow"/>
          <w:b/>
          <w:sz w:val="20"/>
        </w:rPr>
        <w:t>2</w:t>
      </w:r>
      <w:r w:rsidR="00D05628" w:rsidRPr="006B60E7">
        <w:rPr>
          <w:rFonts w:ascii="Arial Narrow" w:hAnsi="Arial Narrow"/>
          <w:b/>
          <w:sz w:val="20"/>
        </w:rPr>
        <w:fldChar w:fldCharType="end"/>
      </w:r>
      <w:bookmarkEnd w:id="6"/>
      <w:r w:rsidR="00617640" w:rsidRPr="006B60E7">
        <w:rPr>
          <w:rFonts w:ascii="Arial Narrow" w:hAnsi="Arial Narrow"/>
          <w:b/>
          <w:sz w:val="20"/>
        </w:rPr>
        <w:t>:</w:t>
      </w:r>
      <w:r w:rsidR="00B96359" w:rsidRPr="006B60E7">
        <w:rPr>
          <w:rFonts w:ascii="Arial Narrow" w:hAnsi="Arial Narrow"/>
          <w:b/>
          <w:sz w:val="20"/>
        </w:rPr>
        <w:t xml:space="preserve"> </w:t>
      </w:r>
      <w:r w:rsidRPr="006B60E7">
        <w:rPr>
          <w:rFonts w:ascii="Arial Narrow" w:hAnsi="Arial Narrow"/>
          <w:b/>
          <w:sz w:val="20"/>
        </w:rPr>
        <w:t>Statistics on fees charged for MBS item 57360 for 2011 to 2016-17 (date of service)</w:t>
      </w:r>
      <w:bookmarkEnd w:id="7"/>
    </w:p>
    <w:tbl>
      <w:tblPr>
        <w:tblW w:w="9214" w:type="dxa"/>
        <w:tblInd w:w="108" w:type="dxa"/>
        <w:tblLayout w:type="fixed"/>
        <w:tblLook w:val="04A0" w:firstRow="1" w:lastRow="0" w:firstColumn="1" w:lastColumn="0" w:noHBand="0" w:noVBand="1"/>
        <w:tblCaption w:val="Table 2 Statistics on fees charged "/>
        <w:tblDescription w:val="This table presents fees charged for MBS item 57360 by state and in Australia from 2011 until 2017. It includes the average fee charged and the bulk billed rate."/>
      </w:tblPr>
      <w:tblGrid>
        <w:gridCol w:w="852"/>
        <w:gridCol w:w="1253"/>
        <w:gridCol w:w="872"/>
        <w:gridCol w:w="709"/>
        <w:gridCol w:w="851"/>
        <w:gridCol w:w="850"/>
        <w:gridCol w:w="709"/>
        <w:gridCol w:w="709"/>
        <w:gridCol w:w="850"/>
        <w:gridCol w:w="851"/>
        <w:gridCol w:w="708"/>
      </w:tblGrid>
      <w:tr w:rsidR="00BB46EB" w:rsidRPr="008E4B7F" w14:paraId="0BC940EF" w14:textId="77777777" w:rsidTr="00AF04E1">
        <w:trPr>
          <w:trHeight w:val="255"/>
          <w:tblHeader/>
        </w:trPr>
        <w:tc>
          <w:tcPr>
            <w:tcW w:w="2105" w:type="dxa"/>
            <w:gridSpan w:val="2"/>
            <w:vMerge w:val="restart"/>
            <w:tcBorders>
              <w:top w:val="nil"/>
              <w:left w:val="nil"/>
              <w:bottom w:val="nil"/>
              <w:right w:val="single" w:sz="4" w:space="0" w:color="auto"/>
            </w:tcBorders>
            <w:shd w:val="clear" w:color="auto" w:fill="auto"/>
            <w:noWrap/>
            <w:vAlign w:val="bottom"/>
          </w:tcPr>
          <w:p w14:paraId="1EBC36AB" w14:textId="77777777" w:rsidR="00BB46EB" w:rsidRPr="008E4B7F" w:rsidRDefault="00BB46EB" w:rsidP="008E4B7F">
            <w:pPr>
              <w:pStyle w:val="Tabletext0"/>
            </w:pPr>
          </w:p>
        </w:tc>
        <w:tc>
          <w:tcPr>
            <w:tcW w:w="7109" w:type="dxa"/>
            <w:gridSpan w:val="9"/>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58A0AB3" w14:textId="77777777" w:rsidR="00BB46EB" w:rsidRPr="008E4B7F" w:rsidRDefault="00BB46EB" w:rsidP="008E4B7F">
            <w:pPr>
              <w:pStyle w:val="Tabletext0"/>
            </w:pPr>
            <w:r w:rsidRPr="008E4B7F">
              <w:t>Provider State/Territory</w:t>
            </w:r>
          </w:p>
        </w:tc>
      </w:tr>
      <w:tr w:rsidR="00BB46EB" w:rsidRPr="008E4B7F" w14:paraId="678115CB" w14:textId="77777777" w:rsidTr="00AF04E1">
        <w:trPr>
          <w:trHeight w:val="255"/>
          <w:tblHeader/>
        </w:trPr>
        <w:tc>
          <w:tcPr>
            <w:tcW w:w="2105" w:type="dxa"/>
            <w:gridSpan w:val="2"/>
            <w:vMerge/>
            <w:tcBorders>
              <w:top w:val="nil"/>
              <w:left w:val="nil"/>
              <w:bottom w:val="single" w:sz="4" w:space="0" w:color="auto"/>
              <w:right w:val="single" w:sz="4" w:space="0" w:color="auto"/>
            </w:tcBorders>
            <w:vAlign w:val="center"/>
          </w:tcPr>
          <w:p w14:paraId="42CCC460" w14:textId="77777777" w:rsidR="00BB46EB" w:rsidRPr="008E4B7F" w:rsidRDefault="00BB46EB" w:rsidP="008E4B7F">
            <w:pPr>
              <w:pStyle w:val="Tabletext0"/>
            </w:pPr>
          </w:p>
        </w:tc>
        <w:tc>
          <w:tcPr>
            <w:tcW w:w="872"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4966F84" w14:textId="77777777" w:rsidR="00BB46EB" w:rsidRPr="008E4B7F" w:rsidRDefault="00BB46EB" w:rsidP="008E4B7F">
            <w:pPr>
              <w:pStyle w:val="Tabletext0"/>
            </w:pPr>
            <w:r w:rsidRPr="008E4B7F">
              <w:t>NSW</w:t>
            </w:r>
          </w:p>
        </w:tc>
        <w:tc>
          <w:tcPr>
            <w:tcW w:w="70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A40F038" w14:textId="77777777" w:rsidR="00BB46EB" w:rsidRPr="008E4B7F" w:rsidRDefault="00BB46EB" w:rsidP="008E4B7F">
            <w:pPr>
              <w:pStyle w:val="Tabletext0"/>
            </w:pPr>
            <w:r w:rsidRPr="008E4B7F">
              <w:t>Vic</w:t>
            </w:r>
          </w:p>
        </w:tc>
        <w:tc>
          <w:tcPr>
            <w:tcW w:w="8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84C894F" w14:textId="77777777" w:rsidR="00BB46EB" w:rsidRPr="008E4B7F" w:rsidRDefault="00BB46EB" w:rsidP="008E4B7F">
            <w:pPr>
              <w:pStyle w:val="Tabletext0"/>
            </w:pPr>
            <w:r w:rsidRPr="008E4B7F">
              <w:t>Qld</w:t>
            </w:r>
          </w:p>
        </w:tc>
        <w:tc>
          <w:tcPr>
            <w:tcW w:w="85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B3C63ED" w14:textId="77777777" w:rsidR="00BB46EB" w:rsidRPr="008E4B7F" w:rsidRDefault="00BB46EB" w:rsidP="008E4B7F">
            <w:pPr>
              <w:pStyle w:val="Tabletext0"/>
            </w:pPr>
            <w:r w:rsidRPr="008E4B7F">
              <w:t>SA</w:t>
            </w:r>
          </w:p>
        </w:tc>
        <w:tc>
          <w:tcPr>
            <w:tcW w:w="70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6D27F32" w14:textId="77777777" w:rsidR="00BB46EB" w:rsidRPr="008E4B7F" w:rsidRDefault="00BB46EB" w:rsidP="008E4B7F">
            <w:pPr>
              <w:pStyle w:val="Tabletext0"/>
            </w:pPr>
            <w:r w:rsidRPr="008E4B7F">
              <w:t>WA</w:t>
            </w:r>
          </w:p>
        </w:tc>
        <w:tc>
          <w:tcPr>
            <w:tcW w:w="70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46683FE" w14:textId="77777777" w:rsidR="00BB46EB" w:rsidRPr="008E4B7F" w:rsidRDefault="00BB46EB" w:rsidP="008E4B7F">
            <w:pPr>
              <w:pStyle w:val="Tabletext0"/>
            </w:pPr>
            <w:r w:rsidRPr="008E4B7F">
              <w:t>TAS</w:t>
            </w:r>
          </w:p>
        </w:tc>
        <w:tc>
          <w:tcPr>
            <w:tcW w:w="85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BE29784" w14:textId="77777777" w:rsidR="00BB46EB" w:rsidRPr="008E4B7F" w:rsidRDefault="00BB46EB" w:rsidP="008E4B7F">
            <w:pPr>
              <w:pStyle w:val="Tabletext0"/>
            </w:pPr>
            <w:r w:rsidRPr="008E4B7F">
              <w:t>NT</w:t>
            </w:r>
          </w:p>
        </w:tc>
        <w:tc>
          <w:tcPr>
            <w:tcW w:w="8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EDB808A" w14:textId="77777777" w:rsidR="00BB46EB" w:rsidRPr="008E4B7F" w:rsidRDefault="00BB46EB" w:rsidP="008E4B7F">
            <w:pPr>
              <w:pStyle w:val="Tabletext0"/>
            </w:pPr>
            <w:r w:rsidRPr="008E4B7F">
              <w:t>ACT</w:t>
            </w:r>
          </w:p>
        </w:tc>
        <w:tc>
          <w:tcPr>
            <w:tcW w:w="70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5DF02F3" w14:textId="77777777" w:rsidR="00BB46EB" w:rsidRPr="008E4B7F" w:rsidRDefault="00BB46EB" w:rsidP="008E4B7F">
            <w:pPr>
              <w:pStyle w:val="Tabletext0"/>
            </w:pPr>
            <w:r w:rsidRPr="008E4B7F">
              <w:t>AUS</w:t>
            </w:r>
          </w:p>
        </w:tc>
      </w:tr>
      <w:tr w:rsidR="00BB46EB" w:rsidRPr="008E4B7F" w14:paraId="3455D62C" w14:textId="77777777" w:rsidTr="00AF04E1">
        <w:trPr>
          <w:trHeight w:val="255"/>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14:paraId="5E2DEDB4" w14:textId="77777777" w:rsidR="00BB46EB" w:rsidRPr="008E4B7F" w:rsidRDefault="00BB46EB" w:rsidP="008E4B7F">
            <w:pPr>
              <w:pStyle w:val="Tabletext0"/>
              <w:rPr>
                <w:highlight w:val="yellow"/>
              </w:rPr>
            </w:pPr>
            <w:r w:rsidRPr="008E4B7F">
              <w:t>2011-12</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2304EDE1" w14:textId="77777777" w:rsidR="00BB46EB" w:rsidRPr="008E4B7F" w:rsidRDefault="00BB46EB" w:rsidP="008E4B7F">
            <w:pPr>
              <w:pStyle w:val="Tabletext0"/>
            </w:pPr>
            <w:r w:rsidRPr="008E4B7F">
              <w:t>Average Fee Charged ¹</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26A243" w14:textId="77777777" w:rsidR="00BB46EB" w:rsidRPr="008E4B7F" w:rsidRDefault="00BB46EB" w:rsidP="008E4B7F">
            <w:pPr>
              <w:pStyle w:val="Tabletext0"/>
              <w:rPr>
                <w:highlight w:val="yellow"/>
              </w:rPr>
            </w:pPr>
            <w:r w:rsidRPr="008E4B7F">
              <w:t>$777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2BAFCB" w14:textId="77777777" w:rsidR="00BB46EB" w:rsidRPr="008E4B7F" w:rsidRDefault="00BB46EB" w:rsidP="008E4B7F">
            <w:pPr>
              <w:pStyle w:val="Tabletext0"/>
              <w:rPr>
                <w:highlight w:val="yellow"/>
              </w:rPr>
            </w:pPr>
            <w:r w:rsidRPr="008E4B7F">
              <w:t>$795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03D537" w14:textId="77777777" w:rsidR="00BB46EB" w:rsidRPr="008E4B7F" w:rsidRDefault="00BB46EB" w:rsidP="008E4B7F">
            <w:pPr>
              <w:pStyle w:val="Tabletext0"/>
              <w:rPr>
                <w:highlight w:val="yellow"/>
              </w:rPr>
            </w:pPr>
            <w:r w:rsidRPr="008E4B7F">
              <w:t>$762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1769FB" w14:textId="77777777" w:rsidR="00BB46EB" w:rsidRPr="008E4B7F" w:rsidRDefault="00BB46EB" w:rsidP="008E4B7F">
            <w:pPr>
              <w:pStyle w:val="Tabletext0"/>
              <w:rPr>
                <w:highlight w:val="yellow"/>
              </w:rPr>
            </w:pPr>
            <w:r w:rsidRPr="008E4B7F">
              <w:t>$799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49BB92" w14:textId="77777777" w:rsidR="00BB46EB" w:rsidRPr="008E4B7F" w:rsidRDefault="00BB46EB" w:rsidP="008E4B7F">
            <w:pPr>
              <w:pStyle w:val="Tabletext0"/>
              <w:rPr>
                <w:highlight w:val="yellow"/>
              </w:rPr>
            </w:pPr>
            <w:r w:rsidRPr="008E4B7F">
              <w:t>$832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D8D67" w14:textId="77777777" w:rsidR="00BB46EB" w:rsidRPr="008E4B7F" w:rsidRDefault="00BB46EB" w:rsidP="008E4B7F">
            <w:pPr>
              <w:pStyle w:val="Tabletext0"/>
              <w:rPr>
                <w:highlight w:val="yellow"/>
              </w:rPr>
            </w:pPr>
            <w:r w:rsidRPr="008E4B7F">
              <w:t>$826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69F8E" w14:textId="77777777" w:rsidR="00BB46EB" w:rsidRPr="008E4B7F" w:rsidRDefault="00BB46EB" w:rsidP="008E4B7F">
            <w:pPr>
              <w:pStyle w:val="Tabletext0"/>
              <w:rPr>
                <w:highlight w:val="yellow"/>
              </w:rPr>
            </w:pPr>
            <w:r w:rsidRPr="008E4B7F">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3DD14" w14:textId="77777777" w:rsidR="00BB46EB" w:rsidRPr="008E4B7F" w:rsidRDefault="00BB46EB" w:rsidP="008E4B7F">
            <w:pPr>
              <w:pStyle w:val="Tabletext0"/>
              <w:rPr>
                <w:highlight w:val="yellow"/>
              </w:rPr>
            </w:pPr>
            <w:r w:rsidRPr="008E4B7F">
              <w:t>$751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7547F2" w14:textId="77777777" w:rsidR="00BB46EB" w:rsidRPr="008E4B7F" w:rsidRDefault="00BB46EB" w:rsidP="008E4B7F">
            <w:pPr>
              <w:pStyle w:val="Tabletext0"/>
              <w:rPr>
                <w:highlight w:val="yellow"/>
              </w:rPr>
            </w:pPr>
            <w:r w:rsidRPr="008E4B7F">
              <w:t>$788</w:t>
            </w:r>
          </w:p>
        </w:tc>
      </w:tr>
      <w:tr w:rsidR="00BB46EB" w:rsidRPr="008E4B7F" w14:paraId="3AEEF98F" w14:textId="77777777" w:rsidTr="00AF04E1">
        <w:trPr>
          <w:trHeight w:val="255"/>
        </w:trPr>
        <w:tc>
          <w:tcPr>
            <w:tcW w:w="852" w:type="dxa"/>
            <w:vMerge/>
            <w:tcBorders>
              <w:top w:val="single" w:sz="4" w:space="0" w:color="auto"/>
              <w:left w:val="single" w:sz="4" w:space="0" w:color="auto"/>
              <w:bottom w:val="single" w:sz="4" w:space="0" w:color="auto"/>
              <w:right w:val="single" w:sz="4" w:space="0" w:color="auto"/>
            </w:tcBorders>
            <w:vAlign w:val="center"/>
          </w:tcPr>
          <w:p w14:paraId="5C0625DB" w14:textId="77777777" w:rsidR="00BB46EB" w:rsidRPr="008E4B7F" w:rsidRDefault="00BB46EB" w:rsidP="008E4B7F">
            <w:pPr>
              <w:pStyle w:val="Tabletext0"/>
              <w:rPr>
                <w:highlight w:val="yellow"/>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72E73486" w14:textId="77777777" w:rsidR="00BB46EB" w:rsidRPr="008E4B7F" w:rsidRDefault="00BB46EB" w:rsidP="008E4B7F">
            <w:pPr>
              <w:pStyle w:val="Tabletext0"/>
            </w:pPr>
            <w:r w:rsidRPr="008E4B7F">
              <w:t>Bulk Billed</w:t>
            </w:r>
            <w:r w:rsidRPr="008E4B7F">
              <w:br/>
              <w:t>Rate</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D6DD16" w14:textId="77777777" w:rsidR="00BB46EB" w:rsidRPr="008E4B7F" w:rsidRDefault="00BB46EB" w:rsidP="008E4B7F">
            <w:pPr>
              <w:pStyle w:val="Tabletext0"/>
              <w:rPr>
                <w:highlight w:val="yellow"/>
              </w:rPr>
            </w:pPr>
            <w:r w:rsidRPr="008E4B7F">
              <w:t>80.8%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EC57C2" w14:textId="77777777" w:rsidR="00BB46EB" w:rsidRPr="008E4B7F" w:rsidRDefault="00BB46EB" w:rsidP="008E4B7F">
            <w:pPr>
              <w:pStyle w:val="Tabletext0"/>
              <w:rPr>
                <w:highlight w:val="yellow"/>
              </w:rPr>
            </w:pPr>
            <w:r w:rsidRPr="008E4B7F">
              <w:t>84.0%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EF5AE1" w14:textId="77777777" w:rsidR="00BB46EB" w:rsidRPr="008E4B7F" w:rsidRDefault="00BB46EB" w:rsidP="008E4B7F">
            <w:pPr>
              <w:pStyle w:val="Tabletext0"/>
              <w:rPr>
                <w:highlight w:val="yellow"/>
              </w:rPr>
            </w:pPr>
            <w:r w:rsidRPr="008E4B7F">
              <w:t>77.5%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7E6CCB" w14:textId="77777777" w:rsidR="00BB46EB" w:rsidRPr="008E4B7F" w:rsidRDefault="00BB46EB" w:rsidP="008E4B7F">
            <w:pPr>
              <w:pStyle w:val="Tabletext0"/>
              <w:rPr>
                <w:highlight w:val="yellow"/>
              </w:rPr>
            </w:pPr>
            <w:r w:rsidRPr="008E4B7F">
              <w:t>55.4%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204F62" w14:textId="77777777" w:rsidR="00BB46EB" w:rsidRPr="008E4B7F" w:rsidRDefault="00BB46EB" w:rsidP="008E4B7F">
            <w:pPr>
              <w:pStyle w:val="Tabletext0"/>
              <w:rPr>
                <w:highlight w:val="yellow"/>
              </w:rPr>
            </w:pPr>
            <w:r w:rsidRPr="008E4B7F">
              <w:t>37.6%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23FD1" w14:textId="77777777" w:rsidR="00BB46EB" w:rsidRPr="008E4B7F" w:rsidRDefault="00BB46EB" w:rsidP="008E4B7F">
            <w:pPr>
              <w:pStyle w:val="Tabletext0"/>
              <w:rPr>
                <w:highlight w:val="yellow"/>
              </w:rPr>
            </w:pPr>
            <w:r w:rsidRPr="008E4B7F">
              <w:t>45.2%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6E6E6" w14:textId="77777777" w:rsidR="00BB46EB" w:rsidRPr="008E4B7F" w:rsidRDefault="00BB46EB" w:rsidP="008E4B7F">
            <w:pPr>
              <w:pStyle w:val="Tabletext0"/>
            </w:pPr>
            <w:r w:rsidRPr="008E4B7F">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50BAE" w14:textId="77777777" w:rsidR="00BB46EB" w:rsidRPr="008E4B7F" w:rsidRDefault="00BB46EB" w:rsidP="008E4B7F">
            <w:pPr>
              <w:pStyle w:val="Tabletext0"/>
            </w:pPr>
            <w:r w:rsidRPr="008E4B7F">
              <w:t>15.9%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CDCAEE" w14:textId="1FF1637D" w:rsidR="00BB46EB" w:rsidRPr="008E4B7F" w:rsidRDefault="00AF04E1" w:rsidP="008E4B7F">
            <w:pPr>
              <w:pStyle w:val="Tabletext0"/>
            </w:pPr>
            <w:r>
              <w:t>76.2%</w:t>
            </w:r>
          </w:p>
        </w:tc>
      </w:tr>
      <w:tr w:rsidR="00BB46EB" w:rsidRPr="008E4B7F" w14:paraId="5C5E1453" w14:textId="77777777" w:rsidTr="00AF04E1">
        <w:trPr>
          <w:trHeight w:val="255"/>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14:paraId="7CE8A868" w14:textId="77777777" w:rsidR="00BB46EB" w:rsidRPr="008E4B7F" w:rsidRDefault="00BB46EB" w:rsidP="008E4B7F">
            <w:pPr>
              <w:pStyle w:val="Tabletext0"/>
            </w:pPr>
            <w:r w:rsidRPr="008E4B7F">
              <w:t>2012-13</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491863C" w14:textId="77777777" w:rsidR="00BB46EB" w:rsidRPr="008E4B7F" w:rsidRDefault="00BB46EB" w:rsidP="008E4B7F">
            <w:pPr>
              <w:pStyle w:val="Tabletext0"/>
            </w:pPr>
            <w:r w:rsidRPr="008E4B7F">
              <w:t xml:space="preserve">Average Fee Charged </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D76737" w14:textId="77777777" w:rsidR="00BB46EB" w:rsidRPr="008E4B7F" w:rsidRDefault="00BB46EB" w:rsidP="008E4B7F">
            <w:pPr>
              <w:pStyle w:val="Tabletext0"/>
              <w:rPr>
                <w:highlight w:val="yellow"/>
              </w:rPr>
            </w:pPr>
            <w:r w:rsidRPr="008E4B7F">
              <w:t xml:space="preserve">$781 </w:t>
            </w:r>
            <w:r w:rsidRPr="008E4B7F">
              <w:rPr>
                <w:highlight w:val="yellow"/>
              </w:rPr>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9F8465" w14:textId="77777777" w:rsidR="00BB46EB" w:rsidRPr="008E4B7F" w:rsidRDefault="00BB46EB" w:rsidP="008E4B7F">
            <w:pPr>
              <w:pStyle w:val="Tabletext0"/>
              <w:rPr>
                <w:highlight w:val="yellow"/>
              </w:rPr>
            </w:pPr>
            <w:r w:rsidRPr="008E4B7F">
              <w:t>$798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6E13F" w14:textId="77777777" w:rsidR="00BB46EB" w:rsidRPr="008E4B7F" w:rsidRDefault="00BB46EB" w:rsidP="008E4B7F">
            <w:pPr>
              <w:pStyle w:val="Tabletext0"/>
              <w:rPr>
                <w:highlight w:val="yellow"/>
              </w:rPr>
            </w:pPr>
            <w:r w:rsidRPr="008E4B7F">
              <w:t>$769</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1BFD77" w14:textId="77777777" w:rsidR="00BB46EB" w:rsidRPr="008E4B7F" w:rsidRDefault="00BB46EB" w:rsidP="008E4B7F">
            <w:pPr>
              <w:pStyle w:val="Tabletext0"/>
              <w:rPr>
                <w:highlight w:val="yellow"/>
              </w:rPr>
            </w:pPr>
            <w:r w:rsidRPr="008E4B7F">
              <w:t>$804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D76DF6" w14:textId="7CB8D40A" w:rsidR="00BB46EB" w:rsidRPr="008E4B7F" w:rsidRDefault="00AF04E1" w:rsidP="008E4B7F">
            <w:pPr>
              <w:pStyle w:val="Tabletext0"/>
            </w:pPr>
            <w:r>
              <w:t>$871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244E4" w14:textId="77777777" w:rsidR="00BB46EB" w:rsidRPr="008E4B7F" w:rsidRDefault="00BB46EB" w:rsidP="008E4B7F">
            <w:pPr>
              <w:pStyle w:val="Tabletext0"/>
            </w:pPr>
            <w:r w:rsidRPr="008E4B7F">
              <w:t>$823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9C675" w14:textId="77777777" w:rsidR="00BB46EB" w:rsidRPr="008E4B7F" w:rsidRDefault="00BB46EB" w:rsidP="008E4B7F">
            <w:pPr>
              <w:pStyle w:val="Tabletext0"/>
            </w:pPr>
            <w:r w:rsidRPr="008E4B7F">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F31FF" w14:textId="77777777" w:rsidR="00BB46EB" w:rsidRPr="008E4B7F" w:rsidRDefault="00BB46EB" w:rsidP="008E4B7F">
            <w:pPr>
              <w:pStyle w:val="Tabletext0"/>
            </w:pPr>
            <w:r w:rsidRPr="008E4B7F">
              <w:t>$755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ADE604" w14:textId="77777777" w:rsidR="00BB46EB" w:rsidRPr="008E4B7F" w:rsidRDefault="00BB46EB" w:rsidP="008E4B7F">
            <w:pPr>
              <w:pStyle w:val="Tabletext0"/>
            </w:pPr>
            <w:r w:rsidRPr="008E4B7F">
              <w:t xml:space="preserve">$796 </w:t>
            </w:r>
          </w:p>
        </w:tc>
      </w:tr>
      <w:tr w:rsidR="00BB46EB" w:rsidRPr="008E4B7F" w14:paraId="1155853F" w14:textId="77777777" w:rsidTr="00AF04E1">
        <w:trPr>
          <w:trHeight w:val="255"/>
        </w:trPr>
        <w:tc>
          <w:tcPr>
            <w:tcW w:w="852" w:type="dxa"/>
            <w:vMerge/>
            <w:tcBorders>
              <w:top w:val="single" w:sz="4" w:space="0" w:color="auto"/>
              <w:left w:val="single" w:sz="4" w:space="0" w:color="auto"/>
              <w:bottom w:val="single" w:sz="4" w:space="0" w:color="auto"/>
              <w:right w:val="single" w:sz="4" w:space="0" w:color="auto"/>
            </w:tcBorders>
            <w:vAlign w:val="center"/>
          </w:tcPr>
          <w:p w14:paraId="203E8B12" w14:textId="77777777" w:rsidR="00BB46EB" w:rsidRPr="008E4B7F" w:rsidRDefault="00BB46EB" w:rsidP="008E4B7F">
            <w:pPr>
              <w:pStyle w:val="Tabletext0"/>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1A69FFFE" w14:textId="77777777" w:rsidR="00BB46EB" w:rsidRPr="008E4B7F" w:rsidRDefault="00BB46EB" w:rsidP="008E4B7F">
            <w:pPr>
              <w:pStyle w:val="Tabletext0"/>
            </w:pPr>
            <w:r w:rsidRPr="008E4B7F">
              <w:t>Bulk Billed</w:t>
            </w:r>
            <w:r w:rsidRPr="008E4B7F">
              <w:br/>
              <w:t>Rate</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8E6D91" w14:textId="583CA748" w:rsidR="00BB46EB" w:rsidRPr="008E4B7F" w:rsidRDefault="00AF04E1" w:rsidP="008E4B7F">
            <w:pPr>
              <w:pStyle w:val="Tabletext0"/>
              <w:rPr>
                <w:highlight w:val="yellow"/>
              </w:rPr>
            </w:pPr>
            <w:r>
              <w:t>79.5%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0E39A7" w14:textId="77777777" w:rsidR="00BB46EB" w:rsidRPr="008E4B7F" w:rsidRDefault="00BB46EB" w:rsidP="008E4B7F">
            <w:pPr>
              <w:pStyle w:val="Tabletext0"/>
              <w:rPr>
                <w:highlight w:val="yellow"/>
              </w:rPr>
            </w:pPr>
            <w:r w:rsidRPr="008E4B7F">
              <w:t xml:space="preserve">84.0% </w:t>
            </w:r>
            <w:r w:rsidRPr="008E4B7F">
              <w:rPr>
                <w:highlight w:val="yellow"/>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C69DC0" w14:textId="77777777" w:rsidR="00BB46EB" w:rsidRPr="008E4B7F" w:rsidRDefault="00BB46EB" w:rsidP="008E4B7F">
            <w:pPr>
              <w:pStyle w:val="Tabletext0"/>
              <w:rPr>
                <w:highlight w:val="yellow"/>
              </w:rPr>
            </w:pPr>
            <w:r w:rsidRPr="008E4B7F">
              <w:t>77.5%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9E9FAD" w14:textId="77777777" w:rsidR="00BB46EB" w:rsidRPr="008E4B7F" w:rsidRDefault="00BB46EB" w:rsidP="008E4B7F">
            <w:pPr>
              <w:pStyle w:val="Tabletext0"/>
              <w:rPr>
                <w:highlight w:val="yellow"/>
              </w:rPr>
            </w:pPr>
            <w:r w:rsidRPr="008E4B7F">
              <w:t>55.4%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6069EC" w14:textId="77777777" w:rsidR="00BB46EB" w:rsidRPr="008E4B7F" w:rsidRDefault="00BB46EB" w:rsidP="008E4B7F">
            <w:pPr>
              <w:pStyle w:val="Tabletext0"/>
            </w:pPr>
            <w:r w:rsidRPr="008E4B7F">
              <w:t>41.9%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C2D72" w14:textId="77777777" w:rsidR="00BB46EB" w:rsidRPr="008E4B7F" w:rsidRDefault="00BB46EB" w:rsidP="008E4B7F">
            <w:pPr>
              <w:pStyle w:val="Tabletext0"/>
            </w:pPr>
            <w:r w:rsidRPr="008E4B7F">
              <w:t>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8366B" w14:textId="77777777" w:rsidR="00BB46EB" w:rsidRPr="008E4B7F" w:rsidRDefault="00BB46EB" w:rsidP="008E4B7F">
            <w:pPr>
              <w:pStyle w:val="Tabletext0"/>
            </w:pPr>
            <w:r w:rsidRPr="008E4B7F">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CA470" w14:textId="77777777" w:rsidR="00BB46EB" w:rsidRPr="008E4B7F" w:rsidRDefault="00BB46EB" w:rsidP="008E4B7F">
            <w:pPr>
              <w:pStyle w:val="Tabletext0"/>
            </w:pPr>
            <w:r w:rsidRPr="008E4B7F">
              <w:t>19.5%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4D0213" w14:textId="77777777" w:rsidR="00BB46EB" w:rsidRPr="008E4B7F" w:rsidRDefault="00BB46EB" w:rsidP="008E4B7F">
            <w:pPr>
              <w:pStyle w:val="Tabletext0"/>
            </w:pPr>
            <w:r w:rsidRPr="008E4B7F">
              <w:t>75.6%</w:t>
            </w:r>
          </w:p>
        </w:tc>
      </w:tr>
      <w:tr w:rsidR="00BB46EB" w:rsidRPr="008E4B7F" w14:paraId="0B0A3C9E" w14:textId="77777777" w:rsidTr="00AF04E1">
        <w:trPr>
          <w:trHeight w:val="255"/>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14:paraId="18E57C69" w14:textId="77777777" w:rsidR="00BB46EB" w:rsidRPr="008E4B7F" w:rsidRDefault="00BB46EB" w:rsidP="008E4B7F">
            <w:pPr>
              <w:pStyle w:val="Tabletext0"/>
            </w:pPr>
            <w:r w:rsidRPr="008E4B7F">
              <w:t>2013-14</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6E2764D" w14:textId="77777777" w:rsidR="00BB46EB" w:rsidRPr="008E4B7F" w:rsidRDefault="00BB46EB" w:rsidP="008E4B7F">
            <w:pPr>
              <w:pStyle w:val="Tabletext0"/>
            </w:pPr>
            <w:r w:rsidRPr="008E4B7F">
              <w:t xml:space="preserve">Average Fee Charged </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E13D9E" w14:textId="77777777" w:rsidR="00BB46EB" w:rsidRPr="008E4B7F" w:rsidRDefault="00BB46EB" w:rsidP="008E4B7F">
            <w:pPr>
              <w:pStyle w:val="Tabletext0"/>
              <w:rPr>
                <w:highlight w:val="yellow"/>
              </w:rPr>
            </w:pPr>
            <w:r w:rsidRPr="008E4B7F">
              <w:t>$793</w:t>
            </w:r>
            <w:r w:rsidRPr="008E4B7F">
              <w:rPr>
                <w:highlight w:val="yellow"/>
              </w:rPr>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05A17A" w14:textId="77777777" w:rsidR="00BB46EB" w:rsidRPr="008E4B7F" w:rsidRDefault="00BB46EB" w:rsidP="008E4B7F">
            <w:pPr>
              <w:pStyle w:val="Tabletext0"/>
              <w:rPr>
                <w:highlight w:val="yellow"/>
              </w:rPr>
            </w:pPr>
            <w:r w:rsidRPr="008E4B7F">
              <w:t>$799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109F4F" w14:textId="77777777" w:rsidR="00BB46EB" w:rsidRPr="008E4B7F" w:rsidRDefault="00BB46EB" w:rsidP="008E4B7F">
            <w:pPr>
              <w:pStyle w:val="Tabletext0"/>
              <w:rPr>
                <w:highlight w:val="yellow"/>
              </w:rPr>
            </w:pPr>
            <w:r w:rsidRPr="008E4B7F">
              <w:t>$770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BC794E" w14:textId="77777777" w:rsidR="00BB46EB" w:rsidRPr="008E4B7F" w:rsidRDefault="00BB46EB" w:rsidP="008E4B7F">
            <w:pPr>
              <w:pStyle w:val="Tabletext0"/>
              <w:rPr>
                <w:highlight w:val="yellow"/>
              </w:rPr>
            </w:pPr>
            <w:r w:rsidRPr="008E4B7F">
              <w:t>$812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869CD9" w14:textId="0E57727B" w:rsidR="00BB46EB" w:rsidRPr="008E4B7F" w:rsidRDefault="00AF04E1" w:rsidP="008E4B7F">
            <w:pPr>
              <w:pStyle w:val="Tabletext0"/>
              <w:rPr>
                <w:highlight w:val="yellow"/>
              </w:rPr>
            </w:pPr>
            <w:r>
              <w:t>$878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BFFCE" w14:textId="77777777" w:rsidR="00BB46EB" w:rsidRPr="008E4B7F" w:rsidRDefault="00BB46EB" w:rsidP="008E4B7F">
            <w:pPr>
              <w:pStyle w:val="Tabletext0"/>
              <w:rPr>
                <w:highlight w:val="yellow"/>
              </w:rPr>
            </w:pPr>
            <w:r w:rsidRPr="008E4B7F">
              <w:t>$821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16CE9" w14:textId="6FD75BF5" w:rsidR="00BB46EB" w:rsidRPr="008E4B7F" w:rsidRDefault="00617640" w:rsidP="008E4B7F">
            <w:pPr>
              <w:pStyle w:val="Tabletext0"/>
              <w:rPr>
                <w:highlight w:val="yellow"/>
              </w:rPr>
            </w:pPr>
            <w:r>
              <w:t>$700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BEFC7" w14:textId="77777777" w:rsidR="00BB46EB" w:rsidRPr="008E4B7F" w:rsidRDefault="00BB46EB" w:rsidP="008E4B7F">
            <w:pPr>
              <w:pStyle w:val="Tabletext0"/>
              <w:rPr>
                <w:highlight w:val="yellow"/>
              </w:rPr>
            </w:pPr>
            <w:r w:rsidRPr="008E4B7F">
              <w:t>$765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3A638E" w14:textId="36F38F49" w:rsidR="00BB46EB" w:rsidRPr="008E4B7F" w:rsidRDefault="00AF04E1" w:rsidP="008E4B7F">
            <w:pPr>
              <w:pStyle w:val="Tabletext0"/>
              <w:rPr>
                <w:highlight w:val="yellow"/>
              </w:rPr>
            </w:pPr>
            <w:r>
              <w:t>$806</w:t>
            </w:r>
          </w:p>
        </w:tc>
      </w:tr>
      <w:tr w:rsidR="00BB46EB" w:rsidRPr="008E4B7F" w14:paraId="4454EE1E" w14:textId="77777777" w:rsidTr="00AF04E1">
        <w:trPr>
          <w:trHeight w:val="255"/>
        </w:trPr>
        <w:tc>
          <w:tcPr>
            <w:tcW w:w="852" w:type="dxa"/>
            <w:vMerge/>
            <w:tcBorders>
              <w:top w:val="single" w:sz="4" w:space="0" w:color="auto"/>
              <w:left w:val="single" w:sz="4" w:space="0" w:color="auto"/>
              <w:bottom w:val="single" w:sz="4" w:space="0" w:color="auto"/>
              <w:right w:val="single" w:sz="4" w:space="0" w:color="auto"/>
            </w:tcBorders>
            <w:vAlign w:val="center"/>
          </w:tcPr>
          <w:p w14:paraId="22C440CF" w14:textId="77777777" w:rsidR="00BB46EB" w:rsidRPr="008E4B7F" w:rsidRDefault="00BB46EB" w:rsidP="008E4B7F">
            <w:pPr>
              <w:pStyle w:val="Tabletext0"/>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DF6FCA5" w14:textId="77777777" w:rsidR="00BB46EB" w:rsidRPr="008E4B7F" w:rsidRDefault="00BB46EB" w:rsidP="008E4B7F">
            <w:pPr>
              <w:pStyle w:val="Tabletext0"/>
            </w:pPr>
            <w:r w:rsidRPr="008E4B7F">
              <w:t>Bulk Billed</w:t>
            </w:r>
            <w:r w:rsidRPr="008E4B7F">
              <w:br/>
              <w:t>Rate</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472FAA" w14:textId="77777777" w:rsidR="00BB46EB" w:rsidRPr="008E4B7F" w:rsidRDefault="00BB46EB" w:rsidP="008E4B7F">
            <w:pPr>
              <w:pStyle w:val="Tabletext0"/>
            </w:pPr>
            <w:r w:rsidRPr="008E4B7F">
              <w:t xml:space="preserve">83.1%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FC71EA" w14:textId="77777777" w:rsidR="00BB46EB" w:rsidRPr="008E4B7F" w:rsidRDefault="00BB46EB" w:rsidP="008E4B7F">
            <w:pPr>
              <w:pStyle w:val="Tabletext0"/>
            </w:pPr>
            <w:r w:rsidRPr="008E4B7F">
              <w:t xml:space="preserve">83.6%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AAD9B9" w14:textId="77777777" w:rsidR="00BB46EB" w:rsidRPr="008E4B7F" w:rsidRDefault="00BB46EB" w:rsidP="008E4B7F">
            <w:pPr>
              <w:pStyle w:val="Tabletext0"/>
            </w:pPr>
            <w:r w:rsidRPr="008E4B7F">
              <w:t>78.8%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6F857E" w14:textId="77777777" w:rsidR="00BB46EB" w:rsidRPr="008E4B7F" w:rsidRDefault="00BB46EB" w:rsidP="008E4B7F">
            <w:pPr>
              <w:pStyle w:val="Tabletext0"/>
            </w:pPr>
            <w:r w:rsidRPr="008E4B7F">
              <w:t>51.5%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611335" w14:textId="77777777" w:rsidR="00BB46EB" w:rsidRPr="008E4B7F" w:rsidRDefault="00BB46EB" w:rsidP="008E4B7F">
            <w:pPr>
              <w:pStyle w:val="Tabletext0"/>
            </w:pPr>
            <w:r w:rsidRPr="008E4B7F">
              <w:t>40.2%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AA954" w14:textId="77777777" w:rsidR="00BB46EB" w:rsidRPr="008E4B7F" w:rsidRDefault="00BB46EB" w:rsidP="008E4B7F">
            <w:pPr>
              <w:pStyle w:val="Tabletext0"/>
            </w:pPr>
            <w:r w:rsidRPr="008E4B7F">
              <w:t>51.3%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EC385" w14:textId="77777777" w:rsidR="00BB46EB" w:rsidRPr="008E4B7F" w:rsidRDefault="00BB46EB" w:rsidP="008E4B7F">
            <w:pPr>
              <w:pStyle w:val="Tabletext0"/>
            </w:pPr>
            <w:r w:rsidRPr="008E4B7F">
              <w:t>99.4%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FB482" w14:textId="77777777" w:rsidR="00BB46EB" w:rsidRPr="008E4B7F" w:rsidRDefault="00BB46EB" w:rsidP="008E4B7F">
            <w:pPr>
              <w:pStyle w:val="Tabletext0"/>
            </w:pPr>
            <w:r w:rsidRPr="008E4B7F">
              <w:t>24.3%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0CCE58" w14:textId="1DEF8160" w:rsidR="00BB46EB" w:rsidRPr="008E4B7F" w:rsidRDefault="00AF04E1" w:rsidP="008E4B7F">
            <w:pPr>
              <w:pStyle w:val="Tabletext0"/>
            </w:pPr>
            <w:r>
              <w:t>77.6%</w:t>
            </w:r>
          </w:p>
        </w:tc>
      </w:tr>
      <w:tr w:rsidR="00BB46EB" w:rsidRPr="008E4B7F" w14:paraId="77D07583" w14:textId="77777777" w:rsidTr="00AF04E1">
        <w:trPr>
          <w:trHeight w:val="255"/>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14:paraId="093FE12C" w14:textId="77777777" w:rsidR="00BB46EB" w:rsidRPr="008E4B7F" w:rsidRDefault="00BB46EB" w:rsidP="008E4B7F">
            <w:pPr>
              <w:pStyle w:val="Tabletext0"/>
            </w:pPr>
            <w:r w:rsidRPr="008E4B7F">
              <w:t>2014-15</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72AE1A84" w14:textId="77777777" w:rsidR="00BB46EB" w:rsidRPr="008E4B7F" w:rsidRDefault="00BB46EB" w:rsidP="008E4B7F">
            <w:pPr>
              <w:pStyle w:val="Tabletext0"/>
            </w:pPr>
            <w:r w:rsidRPr="008E4B7F">
              <w:t xml:space="preserve">Average Fee Charged </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3C2960" w14:textId="77777777" w:rsidR="00BB46EB" w:rsidRPr="008E4B7F" w:rsidRDefault="00BB46EB" w:rsidP="008E4B7F">
            <w:pPr>
              <w:pStyle w:val="Tabletext0"/>
              <w:rPr>
                <w:highlight w:val="yellow"/>
              </w:rPr>
            </w:pPr>
            <w:r w:rsidRPr="008E4B7F">
              <w:t>$794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0BFF3F" w14:textId="77777777" w:rsidR="00BB46EB" w:rsidRPr="008E4B7F" w:rsidRDefault="00BB46EB" w:rsidP="008E4B7F">
            <w:pPr>
              <w:pStyle w:val="Tabletext0"/>
              <w:rPr>
                <w:highlight w:val="yellow"/>
              </w:rPr>
            </w:pPr>
            <w:r w:rsidRPr="008E4B7F">
              <w:t xml:space="preserve">$792 </w:t>
            </w:r>
            <w:r w:rsidRPr="008E4B7F">
              <w:rPr>
                <w:highlight w:val="yellow"/>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4BF6A5" w14:textId="77777777" w:rsidR="00BB46EB" w:rsidRPr="008E4B7F" w:rsidRDefault="00BB46EB" w:rsidP="008E4B7F">
            <w:pPr>
              <w:pStyle w:val="Tabletext0"/>
              <w:rPr>
                <w:highlight w:val="yellow"/>
              </w:rPr>
            </w:pPr>
            <w:r w:rsidRPr="008E4B7F">
              <w:t>$766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41DADA" w14:textId="77777777" w:rsidR="00BB46EB" w:rsidRPr="008E4B7F" w:rsidRDefault="00BB46EB" w:rsidP="008E4B7F">
            <w:pPr>
              <w:pStyle w:val="Tabletext0"/>
              <w:rPr>
                <w:highlight w:val="yellow"/>
              </w:rPr>
            </w:pPr>
            <w:r w:rsidRPr="008E4B7F">
              <w:t>$843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75BEE7" w14:textId="63C3F0A2" w:rsidR="00BB46EB" w:rsidRPr="008E4B7F" w:rsidRDefault="00AF04E1" w:rsidP="008E4B7F">
            <w:pPr>
              <w:pStyle w:val="Tabletext0"/>
              <w:rPr>
                <w:highlight w:val="yellow"/>
              </w:rPr>
            </w:pPr>
            <w:r>
              <w:t>$879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9785D" w14:textId="77777777" w:rsidR="00BB46EB" w:rsidRPr="008E4B7F" w:rsidRDefault="00BB46EB" w:rsidP="008E4B7F">
            <w:pPr>
              <w:pStyle w:val="Tabletext0"/>
              <w:rPr>
                <w:highlight w:val="yellow"/>
              </w:rPr>
            </w:pPr>
            <w:r w:rsidRPr="008E4B7F">
              <w:t>$806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B5677" w14:textId="6C4DA5C5" w:rsidR="00BB46EB" w:rsidRPr="008E4B7F" w:rsidRDefault="00617640" w:rsidP="008E4B7F">
            <w:pPr>
              <w:pStyle w:val="Tabletext0"/>
              <w:rPr>
                <w:highlight w:val="yellow"/>
              </w:rPr>
            </w:pPr>
            <w:r>
              <w:t>$1,176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0BC12" w14:textId="77777777" w:rsidR="00BB46EB" w:rsidRPr="008E4B7F" w:rsidRDefault="00BB46EB" w:rsidP="008E4B7F">
            <w:pPr>
              <w:pStyle w:val="Tabletext0"/>
              <w:rPr>
                <w:highlight w:val="yellow"/>
              </w:rPr>
            </w:pPr>
            <w:r w:rsidRPr="008E4B7F">
              <w:t>$735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ABB1CB" w14:textId="7AD4A52F" w:rsidR="00BB46EB" w:rsidRPr="008E4B7F" w:rsidRDefault="00AF04E1" w:rsidP="008E4B7F">
            <w:pPr>
              <w:pStyle w:val="Tabletext0"/>
              <w:rPr>
                <w:highlight w:val="yellow"/>
              </w:rPr>
            </w:pPr>
            <w:r>
              <w:t>$806</w:t>
            </w:r>
          </w:p>
        </w:tc>
      </w:tr>
      <w:tr w:rsidR="00BB46EB" w:rsidRPr="008E4B7F" w14:paraId="0CF1620D" w14:textId="77777777" w:rsidTr="00AF04E1">
        <w:trPr>
          <w:trHeight w:val="255"/>
        </w:trPr>
        <w:tc>
          <w:tcPr>
            <w:tcW w:w="852" w:type="dxa"/>
            <w:vMerge/>
            <w:tcBorders>
              <w:top w:val="single" w:sz="4" w:space="0" w:color="auto"/>
              <w:left w:val="single" w:sz="4" w:space="0" w:color="auto"/>
              <w:bottom w:val="single" w:sz="4" w:space="0" w:color="auto"/>
              <w:right w:val="single" w:sz="4" w:space="0" w:color="auto"/>
            </w:tcBorders>
            <w:vAlign w:val="center"/>
          </w:tcPr>
          <w:p w14:paraId="13390858" w14:textId="77777777" w:rsidR="00BB46EB" w:rsidRPr="008E4B7F" w:rsidRDefault="00BB46EB" w:rsidP="008E4B7F">
            <w:pPr>
              <w:pStyle w:val="Tabletext0"/>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E01E513" w14:textId="77777777" w:rsidR="00BB46EB" w:rsidRPr="008E4B7F" w:rsidRDefault="00BB46EB" w:rsidP="008E4B7F">
            <w:pPr>
              <w:pStyle w:val="Tabletext0"/>
            </w:pPr>
            <w:r w:rsidRPr="008E4B7F">
              <w:t>Bulk Billed</w:t>
            </w:r>
            <w:r w:rsidRPr="008E4B7F">
              <w:br/>
              <w:t>Rate</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BDB9DA" w14:textId="77777777" w:rsidR="00BB46EB" w:rsidRPr="008E4B7F" w:rsidRDefault="00BB46EB" w:rsidP="008E4B7F">
            <w:pPr>
              <w:pStyle w:val="Tabletext0"/>
              <w:rPr>
                <w:highlight w:val="yellow"/>
              </w:rPr>
            </w:pPr>
            <w:r w:rsidRPr="008E4B7F">
              <w:t>83.3%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8FE9FC" w14:textId="77777777" w:rsidR="00BB46EB" w:rsidRPr="008E4B7F" w:rsidRDefault="00BB46EB" w:rsidP="008E4B7F">
            <w:pPr>
              <w:pStyle w:val="Tabletext0"/>
              <w:rPr>
                <w:highlight w:val="yellow"/>
              </w:rPr>
            </w:pPr>
            <w:r w:rsidRPr="008E4B7F">
              <w:t>83.9%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106A3F" w14:textId="77777777" w:rsidR="00BB46EB" w:rsidRPr="008E4B7F" w:rsidRDefault="00BB46EB" w:rsidP="008E4B7F">
            <w:pPr>
              <w:pStyle w:val="Tabletext0"/>
              <w:rPr>
                <w:highlight w:val="yellow"/>
              </w:rPr>
            </w:pPr>
            <w:r w:rsidRPr="008E4B7F">
              <w:t>77.4%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C8DCE8" w14:textId="77777777" w:rsidR="00BB46EB" w:rsidRPr="008E4B7F" w:rsidRDefault="00BB46EB" w:rsidP="008E4B7F">
            <w:pPr>
              <w:pStyle w:val="Tabletext0"/>
              <w:rPr>
                <w:highlight w:val="yellow"/>
              </w:rPr>
            </w:pPr>
            <w:r w:rsidRPr="008E4B7F">
              <w:t>52.3%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CFB163" w14:textId="77777777" w:rsidR="00BB46EB" w:rsidRPr="008E4B7F" w:rsidRDefault="00BB46EB" w:rsidP="008E4B7F">
            <w:pPr>
              <w:pStyle w:val="Tabletext0"/>
              <w:rPr>
                <w:highlight w:val="yellow"/>
              </w:rPr>
            </w:pPr>
            <w:r w:rsidRPr="008E4B7F">
              <w:t>42.5%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4D53D" w14:textId="77777777" w:rsidR="00BB46EB" w:rsidRPr="008E4B7F" w:rsidRDefault="00BB46EB" w:rsidP="008E4B7F">
            <w:pPr>
              <w:pStyle w:val="Tabletext0"/>
              <w:rPr>
                <w:highlight w:val="yellow"/>
              </w:rPr>
            </w:pPr>
            <w:r w:rsidRPr="008E4B7F">
              <w:t>52.8%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580CB" w14:textId="77777777" w:rsidR="00BB46EB" w:rsidRPr="008E4B7F" w:rsidRDefault="00BB46EB" w:rsidP="008E4B7F">
            <w:pPr>
              <w:pStyle w:val="Tabletext0"/>
              <w:rPr>
                <w:highlight w:val="yellow"/>
              </w:rPr>
            </w:pPr>
            <w:r w:rsidRPr="008E4B7F">
              <w:t>98.9%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ABA59" w14:textId="77777777" w:rsidR="00BB46EB" w:rsidRPr="008E4B7F" w:rsidRDefault="00BB46EB" w:rsidP="008E4B7F">
            <w:pPr>
              <w:pStyle w:val="Tabletext0"/>
              <w:rPr>
                <w:highlight w:val="yellow"/>
              </w:rPr>
            </w:pPr>
            <w:r w:rsidRPr="008E4B7F">
              <w:t>70.3%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3BB091" w14:textId="77777777" w:rsidR="00BB46EB" w:rsidRPr="008E4B7F" w:rsidRDefault="00BB46EB" w:rsidP="008E4B7F">
            <w:pPr>
              <w:pStyle w:val="Tabletext0"/>
              <w:rPr>
                <w:highlight w:val="yellow"/>
              </w:rPr>
            </w:pPr>
            <w:r w:rsidRPr="008E4B7F">
              <w:t>78.0%</w:t>
            </w:r>
          </w:p>
        </w:tc>
      </w:tr>
      <w:tr w:rsidR="00BB46EB" w:rsidRPr="008E4B7F" w14:paraId="3DD0BDEC" w14:textId="77777777" w:rsidTr="00AF04E1">
        <w:trPr>
          <w:trHeight w:val="255"/>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14:paraId="234B491E" w14:textId="77777777" w:rsidR="00BB46EB" w:rsidRPr="008E4B7F" w:rsidRDefault="00BB46EB" w:rsidP="008E4B7F">
            <w:pPr>
              <w:pStyle w:val="Tabletext0"/>
            </w:pPr>
            <w:r w:rsidRPr="008E4B7F">
              <w:t>2015-16</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1A40D530" w14:textId="77777777" w:rsidR="00BB46EB" w:rsidRPr="008E4B7F" w:rsidRDefault="00BB46EB" w:rsidP="008E4B7F">
            <w:pPr>
              <w:pStyle w:val="Tabletext0"/>
            </w:pPr>
            <w:r w:rsidRPr="008E4B7F">
              <w:t xml:space="preserve">Average Fee Charged </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3F601A" w14:textId="77777777" w:rsidR="00BB46EB" w:rsidRPr="008E4B7F" w:rsidRDefault="00BB46EB" w:rsidP="008E4B7F">
            <w:pPr>
              <w:pStyle w:val="Tabletext0"/>
              <w:rPr>
                <w:highlight w:val="yellow"/>
              </w:rPr>
            </w:pPr>
            <w:r w:rsidRPr="008E4B7F">
              <w:t>$792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56967B" w14:textId="77777777" w:rsidR="00BB46EB" w:rsidRPr="008E4B7F" w:rsidRDefault="00BB46EB" w:rsidP="008E4B7F">
            <w:pPr>
              <w:pStyle w:val="Tabletext0"/>
              <w:rPr>
                <w:highlight w:val="yellow"/>
              </w:rPr>
            </w:pPr>
            <w:r w:rsidRPr="008E4B7F">
              <w:t>$794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D7C46C" w14:textId="77777777" w:rsidR="00BB46EB" w:rsidRPr="008E4B7F" w:rsidRDefault="00BB46EB" w:rsidP="008E4B7F">
            <w:pPr>
              <w:pStyle w:val="Tabletext0"/>
              <w:rPr>
                <w:highlight w:val="yellow"/>
              </w:rPr>
            </w:pPr>
            <w:r w:rsidRPr="008E4B7F">
              <w:t>$777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9757F8" w14:textId="77777777" w:rsidR="00BB46EB" w:rsidRPr="008E4B7F" w:rsidRDefault="00BB46EB" w:rsidP="008E4B7F">
            <w:pPr>
              <w:pStyle w:val="Tabletext0"/>
              <w:rPr>
                <w:highlight w:val="yellow"/>
              </w:rPr>
            </w:pPr>
            <w:r w:rsidRPr="008E4B7F">
              <w:t>$850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16C526" w14:textId="77777777" w:rsidR="00BB46EB" w:rsidRPr="008E4B7F" w:rsidRDefault="00BB46EB" w:rsidP="008E4B7F">
            <w:pPr>
              <w:pStyle w:val="Tabletext0"/>
              <w:rPr>
                <w:highlight w:val="yellow"/>
              </w:rPr>
            </w:pPr>
            <w:r w:rsidRPr="008E4B7F">
              <w:t>$886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6069E" w14:textId="77777777" w:rsidR="00BB46EB" w:rsidRPr="008E4B7F" w:rsidRDefault="00BB46EB" w:rsidP="008E4B7F">
            <w:pPr>
              <w:pStyle w:val="Tabletext0"/>
              <w:rPr>
                <w:highlight w:val="yellow"/>
              </w:rPr>
            </w:pPr>
            <w:r w:rsidRPr="008E4B7F">
              <w:t>$821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89DA3" w14:textId="020A60E3" w:rsidR="00BB46EB" w:rsidRPr="008E4B7F" w:rsidRDefault="00617640" w:rsidP="008E4B7F">
            <w:pPr>
              <w:pStyle w:val="Tabletext0"/>
              <w:rPr>
                <w:highlight w:val="yellow"/>
              </w:rPr>
            </w:pPr>
            <w:r>
              <w:t>$700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43F92" w14:textId="77777777" w:rsidR="00BB46EB" w:rsidRPr="008E4B7F" w:rsidRDefault="00BB46EB" w:rsidP="008E4B7F">
            <w:pPr>
              <w:pStyle w:val="Tabletext0"/>
              <w:rPr>
                <w:highlight w:val="yellow"/>
              </w:rPr>
            </w:pPr>
            <w:r w:rsidRPr="008E4B7F">
              <w:t>$798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D79735" w14:textId="77777777" w:rsidR="00BB46EB" w:rsidRPr="008E4B7F" w:rsidRDefault="00BB46EB" w:rsidP="008E4B7F">
            <w:pPr>
              <w:pStyle w:val="Tabletext0"/>
              <w:rPr>
                <w:highlight w:val="yellow"/>
              </w:rPr>
            </w:pPr>
            <w:r w:rsidRPr="008E4B7F">
              <w:t>$811</w:t>
            </w:r>
          </w:p>
        </w:tc>
      </w:tr>
      <w:tr w:rsidR="00BB46EB" w:rsidRPr="008E4B7F" w14:paraId="666B3182" w14:textId="77777777" w:rsidTr="00AF04E1">
        <w:trPr>
          <w:trHeight w:val="255"/>
        </w:trPr>
        <w:tc>
          <w:tcPr>
            <w:tcW w:w="852" w:type="dxa"/>
            <w:vMerge/>
            <w:tcBorders>
              <w:top w:val="single" w:sz="4" w:space="0" w:color="auto"/>
              <w:left w:val="single" w:sz="4" w:space="0" w:color="auto"/>
              <w:bottom w:val="single" w:sz="4" w:space="0" w:color="auto"/>
              <w:right w:val="single" w:sz="4" w:space="0" w:color="auto"/>
            </w:tcBorders>
            <w:vAlign w:val="center"/>
          </w:tcPr>
          <w:p w14:paraId="0C12CF45" w14:textId="77777777" w:rsidR="00BB46EB" w:rsidRPr="008E4B7F" w:rsidRDefault="00BB46EB" w:rsidP="008E4B7F">
            <w:pPr>
              <w:pStyle w:val="Tabletext0"/>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48A636F3" w14:textId="77777777" w:rsidR="00BB46EB" w:rsidRPr="008E4B7F" w:rsidRDefault="00BB46EB" w:rsidP="008E4B7F">
            <w:pPr>
              <w:pStyle w:val="Tabletext0"/>
            </w:pPr>
            <w:r w:rsidRPr="008E4B7F">
              <w:t>Bulk Billed</w:t>
            </w:r>
            <w:r w:rsidRPr="008E4B7F">
              <w:br/>
              <w:t>Rate</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96DA8D" w14:textId="5A9BC0F4" w:rsidR="00BB46EB" w:rsidRPr="008E4B7F" w:rsidRDefault="00AF04E1" w:rsidP="008E4B7F">
            <w:pPr>
              <w:pStyle w:val="Tabletext0"/>
              <w:rPr>
                <w:highlight w:val="yellow"/>
              </w:rPr>
            </w:pPr>
            <w:r>
              <w:t>83.6%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4B17A2" w14:textId="00DE7685" w:rsidR="00BB46EB" w:rsidRPr="008E4B7F" w:rsidRDefault="00AF04E1" w:rsidP="008E4B7F">
            <w:pPr>
              <w:pStyle w:val="Tabletext0"/>
              <w:rPr>
                <w:highlight w:val="yellow"/>
              </w:rPr>
            </w:pPr>
            <w:r>
              <w:t>82.0%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D67579" w14:textId="77777777" w:rsidR="00BB46EB" w:rsidRPr="008E4B7F" w:rsidRDefault="00BB46EB" w:rsidP="008E4B7F">
            <w:pPr>
              <w:pStyle w:val="Tabletext0"/>
              <w:rPr>
                <w:highlight w:val="yellow"/>
              </w:rPr>
            </w:pPr>
            <w:r w:rsidRPr="008E4B7F">
              <w:t>76.5%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6571B6" w14:textId="77777777" w:rsidR="00BB46EB" w:rsidRPr="008E4B7F" w:rsidRDefault="00BB46EB" w:rsidP="008E4B7F">
            <w:pPr>
              <w:pStyle w:val="Tabletext0"/>
              <w:rPr>
                <w:highlight w:val="yellow"/>
              </w:rPr>
            </w:pPr>
            <w:r w:rsidRPr="008E4B7F">
              <w:t>55.2%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C802EB" w14:textId="77777777" w:rsidR="00BB46EB" w:rsidRPr="008E4B7F" w:rsidRDefault="00BB46EB" w:rsidP="008E4B7F">
            <w:pPr>
              <w:pStyle w:val="Tabletext0"/>
              <w:rPr>
                <w:highlight w:val="yellow"/>
              </w:rPr>
            </w:pPr>
            <w:r w:rsidRPr="008E4B7F">
              <w:t>43.9%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4ED3A" w14:textId="77777777" w:rsidR="00BB46EB" w:rsidRPr="008E4B7F" w:rsidRDefault="00BB46EB" w:rsidP="008E4B7F">
            <w:pPr>
              <w:pStyle w:val="Tabletext0"/>
              <w:rPr>
                <w:highlight w:val="yellow"/>
              </w:rPr>
            </w:pPr>
            <w:r w:rsidRPr="008E4B7F">
              <w:t>58.0%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DADA6" w14:textId="77777777" w:rsidR="00BB46EB" w:rsidRPr="008E4B7F" w:rsidRDefault="00BB46EB" w:rsidP="008E4B7F">
            <w:pPr>
              <w:pStyle w:val="Tabletext0"/>
              <w:rPr>
                <w:highlight w:val="yellow"/>
              </w:rPr>
            </w:pPr>
            <w:r w:rsidRPr="008E4B7F">
              <w:t>98.9%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BA281" w14:textId="77777777" w:rsidR="00BB46EB" w:rsidRPr="008E4B7F" w:rsidRDefault="00BB46EB" w:rsidP="008E4B7F">
            <w:pPr>
              <w:pStyle w:val="Tabletext0"/>
              <w:rPr>
                <w:highlight w:val="yellow"/>
              </w:rPr>
            </w:pPr>
            <w:r w:rsidRPr="008E4B7F">
              <w:t>86.6%</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C6099A" w14:textId="42E6564B" w:rsidR="00BB46EB" w:rsidRPr="008E4B7F" w:rsidRDefault="00AF04E1" w:rsidP="008E4B7F">
            <w:pPr>
              <w:pStyle w:val="Tabletext0"/>
              <w:rPr>
                <w:highlight w:val="yellow"/>
              </w:rPr>
            </w:pPr>
            <w:r>
              <w:t>77.8%</w:t>
            </w:r>
          </w:p>
        </w:tc>
      </w:tr>
      <w:tr w:rsidR="00BB46EB" w:rsidRPr="008E4B7F" w14:paraId="6C1EC984" w14:textId="77777777" w:rsidTr="00AF04E1">
        <w:trPr>
          <w:trHeight w:val="442"/>
        </w:trPr>
        <w:tc>
          <w:tcPr>
            <w:tcW w:w="852" w:type="dxa"/>
            <w:vMerge w:val="restart"/>
            <w:tcBorders>
              <w:top w:val="single" w:sz="4" w:space="0" w:color="auto"/>
              <w:left w:val="single" w:sz="4" w:space="0" w:color="auto"/>
              <w:right w:val="single" w:sz="4" w:space="0" w:color="auto"/>
            </w:tcBorders>
            <w:vAlign w:val="center"/>
          </w:tcPr>
          <w:p w14:paraId="39573CE4" w14:textId="77777777" w:rsidR="00BB46EB" w:rsidRPr="008E4B7F" w:rsidRDefault="00BB46EB" w:rsidP="008E4B7F">
            <w:pPr>
              <w:pStyle w:val="Tabletext0"/>
            </w:pPr>
            <w:r w:rsidRPr="008E4B7F">
              <w:t xml:space="preserve"> 2016-17 </w:t>
            </w:r>
          </w:p>
          <w:p w14:paraId="258BEE15" w14:textId="7E3F27D6" w:rsidR="00BB46EB" w:rsidRPr="008E4B7F" w:rsidRDefault="00D06438" w:rsidP="008E4B7F">
            <w:pPr>
              <w:pStyle w:val="Tabletext0"/>
            </w:pPr>
            <w:r w:rsidRPr="008E4B7F">
              <w:t xml:space="preserve"> (to 31 </w:t>
            </w:r>
            <w:r w:rsidR="00BB46EB" w:rsidRPr="008E4B7F">
              <w:t>Mar</w:t>
            </w:r>
            <w:r w:rsidRPr="008E4B7F">
              <w:t>ch</w:t>
            </w:r>
            <w:r w:rsidR="00BB46EB" w:rsidRPr="008E4B7F">
              <w:t xml:space="preserve"> 17)</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4395687" w14:textId="77777777" w:rsidR="00BB46EB" w:rsidRPr="008E4B7F" w:rsidRDefault="00BB46EB" w:rsidP="008E4B7F">
            <w:pPr>
              <w:pStyle w:val="Tabletext0"/>
            </w:pPr>
            <w:r w:rsidRPr="008E4B7F">
              <w:t xml:space="preserve">Average Fee Charged </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B923AE" w14:textId="77777777" w:rsidR="00BB46EB" w:rsidRPr="008E4B7F" w:rsidRDefault="00BB46EB" w:rsidP="008E4B7F">
            <w:pPr>
              <w:pStyle w:val="Tabletext0"/>
            </w:pPr>
            <w:r w:rsidRPr="008E4B7F">
              <w:t>$791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9A8B40" w14:textId="77777777" w:rsidR="00BB46EB" w:rsidRPr="008E4B7F" w:rsidRDefault="00BB46EB" w:rsidP="008E4B7F">
            <w:pPr>
              <w:pStyle w:val="Tabletext0"/>
            </w:pPr>
            <w:r w:rsidRPr="008E4B7F">
              <w:t>$793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DCE333" w14:textId="77777777" w:rsidR="00BB46EB" w:rsidRPr="008E4B7F" w:rsidRDefault="00BB46EB" w:rsidP="008E4B7F">
            <w:pPr>
              <w:pStyle w:val="Tabletext0"/>
            </w:pPr>
            <w:r w:rsidRPr="008E4B7F">
              <w:t>$785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050A46" w14:textId="77777777" w:rsidR="00BB46EB" w:rsidRPr="008E4B7F" w:rsidRDefault="00BB46EB" w:rsidP="008E4B7F">
            <w:pPr>
              <w:pStyle w:val="Tabletext0"/>
            </w:pPr>
            <w:r w:rsidRPr="008E4B7F">
              <w:t>$847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67E4BC" w14:textId="77777777" w:rsidR="00BB46EB" w:rsidRPr="008E4B7F" w:rsidRDefault="00BB46EB" w:rsidP="008E4B7F">
            <w:pPr>
              <w:pStyle w:val="Tabletext0"/>
            </w:pPr>
            <w:r w:rsidRPr="008E4B7F">
              <w:t>$888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F012C" w14:textId="77777777" w:rsidR="00BB46EB" w:rsidRPr="008E4B7F" w:rsidRDefault="00BB46EB" w:rsidP="008E4B7F">
            <w:pPr>
              <w:pStyle w:val="Tabletext0"/>
            </w:pPr>
            <w:r w:rsidRPr="008E4B7F">
              <w:t>$825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CDF02" w14:textId="77777777" w:rsidR="00BB46EB" w:rsidRPr="008E4B7F" w:rsidRDefault="00BB46EB" w:rsidP="008E4B7F">
            <w:pPr>
              <w:pStyle w:val="Tabletext0"/>
            </w:pPr>
            <w:r w:rsidRPr="008E4B7F">
              <w:t>$732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42A64" w14:textId="77777777" w:rsidR="00BB46EB" w:rsidRPr="008E4B7F" w:rsidRDefault="00BB46EB" w:rsidP="008E4B7F">
            <w:pPr>
              <w:pStyle w:val="Tabletext0"/>
            </w:pPr>
            <w:r w:rsidRPr="008E4B7F">
              <w:t>$887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7B0FEC" w14:textId="77777777" w:rsidR="00BB46EB" w:rsidRPr="008E4B7F" w:rsidRDefault="00BB46EB" w:rsidP="008E4B7F">
            <w:pPr>
              <w:pStyle w:val="Tabletext0"/>
            </w:pPr>
            <w:r w:rsidRPr="008E4B7F">
              <w:t>$814</w:t>
            </w:r>
          </w:p>
        </w:tc>
      </w:tr>
      <w:tr w:rsidR="00BB46EB" w:rsidRPr="008E4B7F" w14:paraId="34299BD3" w14:textId="77777777" w:rsidTr="00AF04E1">
        <w:trPr>
          <w:trHeight w:val="255"/>
        </w:trPr>
        <w:tc>
          <w:tcPr>
            <w:tcW w:w="852" w:type="dxa"/>
            <w:vMerge/>
            <w:tcBorders>
              <w:left w:val="single" w:sz="4" w:space="0" w:color="auto"/>
              <w:bottom w:val="single" w:sz="4" w:space="0" w:color="auto"/>
              <w:right w:val="single" w:sz="4" w:space="0" w:color="auto"/>
            </w:tcBorders>
            <w:vAlign w:val="center"/>
          </w:tcPr>
          <w:p w14:paraId="7425C5A9" w14:textId="77777777" w:rsidR="00BB46EB" w:rsidRPr="008E4B7F" w:rsidRDefault="00BB46EB" w:rsidP="008E4B7F">
            <w:pPr>
              <w:pStyle w:val="Tabletext0"/>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681CD635" w14:textId="77777777" w:rsidR="00BB46EB" w:rsidRPr="008E4B7F" w:rsidRDefault="00BB46EB" w:rsidP="008E4B7F">
            <w:pPr>
              <w:pStyle w:val="Tabletext0"/>
            </w:pPr>
            <w:r w:rsidRPr="008E4B7F">
              <w:t>Bulk Billed</w:t>
            </w:r>
            <w:r w:rsidRPr="008E4B7F">
              <w:br/>
              <w:t>Rate</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52AC29" w14:textId="77777777" w:rsidR="00BB46EB" w:rsidRPr="008E4B7F" w:rsidRDefault="00BB46EB" w:rsidP="008E4B7F">
            <w:pPr>
              <w:pStyle w:val="Tabletext0"/>
              <w:rPr>
                <w:highlight w:val="yellow"/>
              </w:rPr>
            </w:pPr>
            <w:r w:rsidRPr="008E4B7F">
              <w:t>84.6%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A372DE" w14:textId="77777777" w:rsidR="00BB46EB" w:rsidRPr="008E4B7F" w:rsidRDefault="00BB46EB" w:rsidP="008E4B7F">
            <w:pPr>
              <w:pStyle w:val="Tabletext0"/>
              <w:rPr>
                <w:highlight w:val="yellow"/>
              </w:rPr>
            </w:pPr>
            <w:r w:rsidRPr="008E4B7F">
              <w:t>82.1%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7A7D8B" w14:textId="77777777" w:rsidR="00BB46EB" w:rsidRPr="008E4B7F" w:rsidRDefault="00BB46EB" w:rsidP="008E4B7F">
            <w:pPr>
              <w:pStyle w:val="Tabletext0"/>
              <w:rPr>
                <w:highlight w:val="yellow"/>
              </w:rPr>
            </w:pPr>
            <w:r w:rsidRPr="008E4B7F">
              <w:t>76.0%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2F47F8" w14:textId="77777777" w:rsidR="00BB46EB" w:rsidRPr="008E4B7F" w:rsidRDefault="00BB46EB" w:rsidP="008E4B7F">
            <w:pPr>
              <w:pStyle w:val="Tabletext0"/>
              <w:rPr>
                <w:highlight w:val="yellow"/>
              </w:rPr>
            </w:pPr>
            <w:r w:rsidRPr="008E4B7F">
              <w:t>58.1%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E89BFB" w14:textId="77777777" w:rsidR="00BB46EB" w:rsidRPr="008E4B7F" w:rsidRDefault="00BB46EB" w:rsidP="008E4B7F">
            <w:pPr>
              <w:pStyle w:val="Tabletext0"/>
              <w:rPr>
                <w:highlight w:val="yellow"/>
              </w:rPr>
            </w:pPr>
            <w:r w:rsidRPr="008E4B7F">
              <w:t>76.0%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4D070" w14:textId="77777777" w:rsidR="00BB46EB" w:rsidRPr="008E4B7F" w:rsidRDefault="00BB46EB" w:rsidP="008E4B7F">
            <w:pPr>
              <w:pStyle w:val="Tabletext0"/>
              <w:rPr>
                <w:highlight w:val="yellow"/>
              </w:rPr>
            </w:pPr>
            <w:r w:rsidRPr="008E4B7F">
              <w:t>56.3%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D4ACE" w14:textId="77777777" w:rsidR="00BB46EB" w:rsidRPr="008E4B7F" w:rsidRDefault="00BB46EB" w:rsidP="008E4B7F">
            <w:pPr>
              <w:pStyle w:val="Tabletext0"/>
            </w:pPr>
            <w:r w:rsidRPr="008E4B7F">
              <w:t>98.3%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B8CE3" w14:textId="77777777" w:rsidR="00BB46EB" w:rsidRPr="008E4B7F" w:rsidRDefault="00BB46EB" w:rsidP="008E4B7F">
            <w:pPr>
              <w:pStyle w:val="Tabletext0"/>
            </w:pPr>
            <w:r w:rsidRPr="008E4B7F">
              <w:t>99.6%</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F8C852" w14:textId="2FC47C0B" w:rsidR="00BB46EB" w:rsidRPr="008E4B7F" w:rsidRDefault="00AF04E1" w:rsidP="008E4B7F">
            <w:pPr>
              <w:pStyle w:val="Tabletext0"/>
              <w:rPr>
                <w:highlight w:val="yellow"/>
              </w:rPr>
            </w:pPr>
            <w:r>
              <w:t>78.4%</w:t>
            </w:r>
          </w:p>
        </w:tc>
      </w:tr>
    </w:tbl>
    <w:p w14:paraId="3B4BC3AC" w14:textId="77777777" w:rsidR="00BB46EB" w:rsidRPr="00235597" w:rsidRDefault="00BB46EB" w:rsidP="00070DE9">
      <w:pPr>
        <w:pStyle w:val="TableNotes"/>
      </w:pPr>
      <w:r w:rsidRPr="00235597">
        <w:t>Source: Department of Health, File: Q20801a: Standard Post Implementation Review of Items 57360 57361</w:t>
      </w:r>
    </w:p>
    <w:p w14:paraId="649E650A" w14:textId="77777777" w:rsidR="00BB46EB" w:rsidRPr="00235597" w:rsidRDefault="00BB46EB" w:rsidP="00070DE9">
      <w:pPr>
        <w:pStyle w:val="TableNotes"/>
        <w:rPr>
          <w:color w:val="000000" w:themeColor="text1"/>
        </w:rPr>
      </w:pPr>
      <w:r w:rsidRPr="00235597">
        <w:rPr>
          <w:color w:val="000000" w:themeColor="text1"/>
        </w:rPr>
        <w:t>NP = not printed</w:t>
      </w:r>
    </w:p>
    <w:p w14:paraId="2B971C62" w14:textId="602A5C25" w:rsidR="00BB46EB" w:rsidRPr="00235597" w:rsidRDefault="00BB46EB" w:rsidP="00070DE9">
      <w:pPr>
        <w:pStyle w:val="TableNotes"/>
      </w:pPr>
      <w:r w:rsidRPr="00235597">
        <w:t>Notes:</w:t>
      </w:r>
    </w:p>
    <w:p w14:paraId="5F2896B8" w14:textId="541DE61C" w:rsidR="00BB46EB" w:rsidRPr="00235597" w:rsidRDefault="00BB46EB" w:rsidP="00070DE9">
      <w:pPr>
        <w:pStyle w:val="TableNotes"/>
      </w:pPr>
      <w:r w:rsidRPr="00235597">
        <w:t>(1) Statistics for Fees Charged are calculated for Patient-billed services only.</w:t>
      </w:r>
    </w:p>
    <w:p w14:paraId="332AF6BF" w14:textId="77777777" w:rsidR="00BB46EB" w:rsidRDefault="00BB46EB" w:rsidP="00070DE9">
      <w:pPr>
        <w:pStyle w:val="TableNotes"/>
      </w:pPr>
      <w:r w:rsidRPr="00235597">
        <w:t>(2) Providers are counted if they have provided at least one service in the time period/jurisdiction.  They will be counted in each state/territory in which they provided at least one service.  Therefore pro</w:t>
      </w:r>
      <w:r>
        <w:t>vider counts are not additive.</w:t>
      </w:r>
    </w:p>
    <w:p w14:paraId="1248D86D" w14:textId="77777777" w:rsidR="00BB46EB" w:rsidRPr="00235597" w:rsidRDefault="00BB46EB" w:rsidP="00070DE9">
      <w:pPr>
        <w:pStyle w:val="TableNotes"/>
      </w:pPr>
      <w:r w:rsidRPr="00235597">
        <w:t>(3) Patients are counted if they have received at least one service in the time period/jurisdiction.  They will be counted in each state/territory in which they received at least one service.  Therefore patient counts are not additive.</w:t>
      </w:r>
    </w:p>
    <w:p w14:paraId="121285B8" w14:textId="7370DA36" w:rsidR="00DF2AD8" w:rsidRPr="00AF04E1" w:rsidRDefault="00BB46EB" w:rsidP="00DF2AD8">
      <w:pPr>
        <w:pStyle w:val="TableNotes"/>
      </w:pPr>
      <w:r w:rsidRPr="00235597">
        <w:t>(4) Descriptive statistics for Fees Charged are only calculated when there are sufficient services for a valid result.</w:t>
      </w:r>
    </w:p>
    <w:p w14:paraId="1297F9AB" w14:textId="0C4F26DE" w:rsidR="00BB46EB" w:rsidRPr="006B60E7" w:rsidRDefault="00BB46EB" w:rsidP="006B60E7">
      <w:pPr>
        <w:rPr>
          <w:rFonts w:ascii="Arial Narrow" w:hAnsi="Arial Narrow"/>
          <w:b/>
          <w:sz w:val="20"/>
          <w:highlight w:val="yellow"/>
        </w:rPr>
      </w:pPr>
      <w:bookmarkStart w:id="8" w:name="_Toc503945835"/>
      <w:r w:rsidRPr="006B60E7">
        <w:rPr>
          <w:rFonts w:ascii="Arial Narrow" w:hAnsi="Arial Narrow"/>
          <w:b/>
          <w:sz w:val="20"/>
        </w:rPr>
        <w:t xml:space="preserve">Figure </w:t>
      </w:r>
      <w:r w:rsidR="00D05628" w:rsidRPr="006B60E7">
        <w:rPr>
          <w:rFonts w:ascii="Arial Narrow" w:hAnsi="Arial Narrow"/>
          <w:b/>
          <w:sz w:val="20"/>
        </w:rPr>
        <w:fldChar w:fldCharType="begin"/>
      </w:r>
      <w:r w:rsidR="00D05628" w:rsidRPr="006B60E7">
        <w:rPr>
          <w:rFonts w:ascii="Arial Narrow" w:hAnsi="Arial Narrow"/>
          <w:b/>
          <w:sz w:val="20"/>
        </w:rPr>
        <w:instrText xml:space="preserve"> SEQ Figure \* ARABIC </w:instrText>
      </w:r>
      <w:r w:rsidR="00D05628" w:rsidRPr="006B60E7">
        <w:rPr>
          <w:rFonts w:ascii="Arial Narrow" w:hAnsi="Arial Narrow"/>
          <w:b/>
          <w:sz w:val="20"/>
        </w:rPr>
        <w:fldChar w:fldCharType="separate"/>
      </w:r>
      <w:r w:rsidRPr="006B60E7">
        <w:rPr>
          <w:rFonts w:ascii="Arial Narrow" w:hAnsi="Arial Narrow"/>
          <w:b/>
          <w:sz w:val="20"/>
        </w:rPr>
        <w:t>1</w:t>
      </w:r>
      <w:r w:rsidR="00D05628" w:rsidRPr="006B60E7">
        <w:rPr>
          <w:rFonts w:ascii="Arial Narrow" w:hAnsi="Arial Narrow"/>
          <w:b/>
          <w:sz w:val="20"/>
        </w:rPr>
        <w:fldChar w:fldCharType="end"/>
      </w:r>
      <w:r w:rsidRPr="006B60E7">
        <w:rPr>
          <w:rFonts w:ascii="Arial Narrow" w:hAnsi="Arial Narrow"/>
          <w:b/>
          <w:sz w:val="20"/>
        </w:rPr>
        <w:t>: Average fee charged by state for MBS item 57360 between 2011-12 and 2016-17</w:t>
      </w:r>
      <w:bookmarkEnd w:id="8"/>
    </w:p>
    <w:p w14:paraId="6B51C2FA" w14:textId="77777777" w:rsidR="00BB46EB" w:rsidRDefault="00BB46EB" w:rsidP="00BB46EB">
      <w:pPr>
        <w:rPr>
          <w:color w:val="000000" w:themeColor="text1"/>
          <w:highlight w:val="yellow"/>
        </w:rPr>
      </w:pPr>
      <w:r>
        <w:rPr>
          <w:noProof/>
        </w:rPr>
        <w:drawing>
          <wp:inline distT="0" distB="0" distL="0" distR="0" wp14:anchorId="67593116" wp14:editId="3E164385">
            <wp:extent cx="4284133" cy="2175933"/>
            <wp:effectExtent l="0" t="0" r="21590" b="15240"/>
            <wp:docPr id="1" name="Chart 1" descr="This table shows avergae fees charged by australian states over the years 2011 until 2017." title="Figure 1 average fee charged by state for MBS item 573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A9FC47" w14:textId="4B70301E" w:rsidR="00BB46EB" w:rsidRPr="005D7ED9" w:rsidRDefault="00BB46EB" w:rsidP="005D7ED9">
      <w:pPr>
        <w:pStyle w:val="TableNotes"/>
      </w:pPr>
      <w:r w:rsidRPr="00FE4CCB">
        <w:t>S</w:t>
      </w:r>
      <w:r w:rsidRPr="00FE4CCB">
        <w:rPr>
          <w:rStyle w:val="TableNotesChar"/>
        </w:rPr>
        <w:t>ource: Department of Health, File: Q20801a: Standard Post Implementation Review of Items 57360 57361</w:t>
      </w:r>
    </w:p>
    <w:p w14:paraId="5E400F40" w14:textId="77777777" w:rsidR="00BB46EB" w:rsidRPr="00A73A16" w:rsidRDefault="00BB46EB" w:rsidP="004A34F7">
      <w:pPr>
        <w:pStyle w:val="Heading3"/>
        <w:rPr>
          <w:sz w:val="24"/>
          <w:szCs w:val="24"/>
        </w:rPr>
      </w:pPr>
      <w:bookmarkStart w:id="9" w:name="_Toc503955770"/>
      <w:r w:rsidRPr="00A73A16">
        <w:rPr>
          <w:sz w:val="24"/>
          <w:szCs w:val="24"/>
        </w:rPr>
        <w:lastRenderedPageBreak/>
        <w:t>Patient breakdown</w:t>
      </w:r>
      <w:bookmarkEnd w:id="9"/>
    </w:p>
    <w:p w14:paraId="53C5D86C" w14:textId="57261226" w:rsidR="00FE4CCB" w:rsidRPr="00FE4CCB" w:rsidRDefault="00BB46EB" w:rsidP="006B60E7">
      <w:pPr>
        <w:spacing w:before="120" w:after="240"/>
        <w:ind w:right="-198"/>
      </w:pPr>
      <w:r w:rsidRPr="003137CB">
        <w:t>There were 50,785 patients who claimed MBS item 57360 in 2015-16</w:t>
      </w:r>
      <w:r>
        <w:t>, an increase from 25,194 in 2011-12</w:t>
      </w:r>
      <w:r w:rsidRPr="003137CB">
        <w:t>.  Of these, 48,678 were new patients and 2,107 were continuing patients f</w:t>
      </w:r>
      <w:r>
        <w:t>rom the previous financial year.  Since 2013, a small number of patients continued to utilise CTCA every year (Table 3).</w:t>
      </w:r>
    </w:p>
    <w:p w14:paraId="34D57AF9" w14:textId="51EE921E" w:rsidR="00BB46EB" w:rsidRPr="006B60E7" w:rsidRDefault="00BB46EB" w:rsidP="006B60E7">
      <w:pPr>
        <w:rPr>
          <w:rFonts w:ascii="Arial Narrow" w:hAnsi="Arial Narrow"/>
          <w:b/>
          <w:sz w:val="20"/>
        </w:rPr>
      </w:pPr>
      <w:bookmarkStart w:id="10" w:name="_Toc503955779"/>
      <w:r w:rsidRPr="006B60E7">
        <w:rPr>
          <w:rFonts w:ascii="Arial Narrow" w:hAnsi="Arial Narrow"/>
          <w:b/>
          <w:sz w:val="20"/>
        </w:rPr>
        <w:t xml:space="preserve">Table </w:t>
      </w:r>
      <w:r w:rsidR="00D05628" w:rsidRPr="006B60E7">
        <w:rPr>
          <w:rFonts w:ascii="Arial Narrow" w:hAnsi="Arial Narrow"/>
          <w:b/>
          <w:sz w:val="20"/>
        </w:rPr>
        <w:fldChar w:fldCharType="begin"/>
      </w:r>
      <w:r w:rsidR="00D05628" w:rsidRPr="006B60E7">
        <w:rPr>
          <w:rFonts w:ascii="Arial Narrow" w:hAnsi="Arial Narrow"/>
          <w:b/>
          <w:sz w:val="20"/>
        </w:rPr>
        <w:instrText xml:space="preserve"> SEQ Table \* ARABIC </w:instrText>
      </w:r>
      <w:r w:rsidR="00D05628" w:rsidRPr="006B60E7">
        <w:rPr>
          <w:rFonts w:ascii="Arial Narrow" w:hAnsi="Arial Narrow"/>
          <w:b/>
          <w:sz w:val="20"/>
        </w:rPr>
        <w:fldChar w:fldCharType="separate"/>
      </w:r>
      <w:r w:rsidRPr="006B60E7">
        <w:rPr>
          <w:rFonts w:ascii="Arial Narrow" w:hAnsi="Arial Narrow"/>
          <w:b/>
          <w:sz w:val="20"/>
        </w:rPr>
        <w:t>3</w:t>
      </w:r>
      <w:r w:rsidR="00D05628" w:rsidRPr="006B60E7">
        <w:rPr>
          <w:rFonts w:ascii="Arial Narrow" w:hAnsi="Arial Narrow"/>
          <w:b/>
          <w:sz w:val="20"/>
        </w:rPr>
        <w:fldChar w:fldCharType="end"/>
      </w:r>
      <w:r w:rsidR="00D05628" w:rsidRPr="006B60E7">
        <w:rPr>
          <w:rFonts w:ascii="Arial Narrow" w:hAnsi="Arial Narrow"/>
          <w:b/>
          <w:sz w:val="20"/>
        </w:rPr>
        <w:t>:</w:t>
      </w:r>
      <w:r w:rsidR="00B96359" w:rsidRPr="006B60E7">
        <w:rPr>
          <w:rFonts w:ascii="Arial Narrow" w:hAnsi="Arial Narrow"/>
          <w:b/>
          <w:sz w:val="20"/>
        </w:rPr>
        <w:t xml:space="preserve"> </w:t>
      </w:r>
      <w:r w:rsidRPr="006B60E7">
        <w:rPr>
          <w:rFonts w:ascii="Arial Narrow" w:hAnsi="Arial Narrow"/>
          <w:b/>
          <w:sz w:val="20"/>
        </w:rPr>
        <w:t>Number of new and continuing patients who received MBS item 57360 by financial year</w:t>
      </w:r>
      <w:bookmarkEnd w:id="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number of new and continuing patients "/>
        <w:tblDescription w:val="This table outlines by year from 2011 until 2017 the number of new, contining and total patients who received MBS item 57360 by financila year. "/>
      </w:tblPr>
      <w:tblGrid>
        <w:gridCol w:w="2116"/>
        <w:gridCol w:w="917"/>
        <w:gridCol w:w="957"/>
        <w:gridCol w:w="917"/>
        <w:gridCol w:w="957"/>
        <w:gridCol w:w="940"/>
        <w:gridCol w:w="1166"/>
      </w:tblGrid>
      <w:tr w:rsidR="00BB46EB" w:rsidRPr="008E4B7F" w14:paraId="45414009" w14:textId="77777777" w:rsidTr="006A3194">
        <w:trPr>
          <w:trHeight w:val="240"/>
        </w:trPr>
        <w:tc>
          <w:tcPr>
            <w:tcW w:w="2116" w:type="dxa"/>
            <w:shd w:val="clear" w:color="auto" w:fill="548DD4" w:themeFill="text2" w:themeFillTint="99"/>
            <w:vAlign w:val="center"/>
          </w:tcPr>
          <w:p w14:paraId="7CDB72A0" w14:textId="77777777" w:rsidR="00BB46EB" w:rsidRPr="008E4B7F" w:rsidRDefault="00BB46EB" w:rsidP="008E4B7F">
            <w:pPr>
              <w:pStyle w:val="Tabletext0"/>
            </w:pPr>
            <w:r w:rsidRPr="008E4B7F">
              <w:t>Financial</w:t>
            </w:r>
          </w:p>
        </w:tc>
        <w:tc>
          <w:tcPr>
            <w:tcW w:w="1874" w:type="dxa"/>
            <w:gridSpan w:val="2"/>
            <w:shd w:val="clear" w:color="auto" w:fill="548DD4" w:themeFill="text2" w:themeFillTint="99"/>
            <w:vAlign w:val="center"/>
          </w:tcPr>
          <w:p w14:paraId="09C971F8" w14:textId="77777777" w:rsidR="00BB46EB" w:rsidRPr="008E4B7F" w:rsidRDefault="00BB46EB" w:rsidP="008E4B7F">
            <w:pPr>
              <w:pStyle w:val="Tabletext0"/>
            </w:pPr>
            <w:r w:rsidRPr="008E4B7F">
              <w:t>Total</w:t>
            </w:r>
          </w:p>
        </w:tc>
        <w:tc>
          <w:tcPr>
            <w:tcW w:w="1874" w:type="dxa"/>
            <w:gridSpan w:val="2"/>
            <w:shd w:val="clear" w:color="auto" w:fill="548DD4" w:themeFill="text2" w:themeFillTint="99"/>
            <w:vAlign w:val="center"/>
          </w:tcPr>
          <w:p w14:paraId="1025E4BA" w14:textId="77777777" w:rsidR="00BB46EB" w:rsidRPr="008E4B7F" w:rsidRDefault="00BB46EB" w:rsidP="008E4B7F">
            <w:pPr>
              <w:pStyle w:val="Tabletext0"/>
            </w:pPr>
            <w:r w:rsidRPr="008E4B7F">
              <w:t>New</w:t>
            </w:r>
          </w:p>
        </w:tc>
        <w:tc>
          <w:tcPr>
            <w:tcW w:w="2106" w:type="dxa"/>
            <w:gridSpan w:val="2"/>
            <w:shd w:val="clear" w:color="auto" w:fill="548DD4" w:themeFill="text2" w:themeFillTint="99"/>
            <w:vAlign w:val="center"/>
          </w:tcPr>
          <w:p w14:paraId="18C47ECD" w14:textId="77777777" w:rsidR="00BB46EB" w:rsidRPr="008E4B7F" w:rsidRDefault="00BB46EB" w:rsidP="008E4B7F">
            <w:pPr>
              <w:pStyle w:val="Tabletext0"/>
            </w:pPr>
            <w:r w:rsidRPr="008E4B7F">
              <w:t>Continuing</w:t>
            </w:r>
          </w:p>
        </w:tc>
      </w:tr>
      <w:tr w:rsidR="00BB46EB" w:rsidRPr="008E4B7F" w14:paraId="754A3B25" w14:textId="77777777" w:rsidTr="006A3194">
        <w:trPr>
          <w:trHeight w:val="240"/>
        </w:trPr>
        <w:tc>
          <w:tcPr>
            <w:tcW w:w="2116" w:type="dxa"/>
            <w:shd w:val="clear" w:color="auto" w:fill="548DD4" w:themeFill="text2" w:themeFillTint="99"/>
            <w:vAlign w:val="center"/>
          </w:tcPr>
          <w:p w14:paraId="734270A2" w14:textId="77777777" w:rsidR="00BB46EB" w:rsidRPr="008E4B7F" w:rsidRDefault="00BB46EB" w:rsidP="008E4B7F">
            <w:pPr>
              <w:pStyle w:val="Tabletext0"/>
            </w:pPr>
            <w:r w:rsidRPr="008E4B7F">
              <w:t>Year</w:t>
            </w:r>
          </w:p>
        </w:tc>
        <w:tc>
          <w:tcPr>
            <w:tcW w:w="917" w:type="dxa"/>
            <w:shd w:val="clear" w:color="auto" w:fill="548DD4" w:themeFill="text2" w:themeFillTint="99"/>
            <w:vAlign w:val="center"/>
          </w:tcPr>
          <w:p w14:paraId="56E7EF1C" w14:textId="77777777" w:rsidR="00BB46EB" w:rsidRPr="008E4B7F" w:rsidRDefault="00BB46EB" w:rsidP="008E4B7F">
            <w:pPr>
              <w:pStyle w:val="Tabletext0"/>
            </w:pPr>
            <w:r w:rsidRPr="008E4B7F">
              <w:t>Patients</w:t>
            </w:r>
          </w:p>
        </w:tc>
        <w:tc>
          <w:tcPr>
            <w:tcW w:w="957" w:type="dxa"/>
            <w:shd w:val="clear" w:color="auto" w:fill="548DD4" w:themeFill="text2" w:themeFillTint="99"/>
            <w:vAlign w:val="center"/>
          </w:tcPr>
          <w:p w14:paraId="1ACCF38B" w14:textId="77777777" w:rsidR="00BB46EB" w:rsidRPr="008E4B7F" w:rsidRDefault="00BB46EB" w:rsidP="008E4B7F">
            <w:pPr>
              <w:pStyle w:val="Tabletext0"/>
            </w:pPr>
            <w:r w:rsidRPr="008E4B7F">
              <w:t>Services</w:t>
            </w:r>
          </w:p>
        </w:tc>
        <w:tc>
          <w:tcPr>
            <w:tcW w:w="917" w:type="dxa"/>
            <w:shd w:val="clear" w:color="auto" w:fill="548DD4" w:themeFill="text2" w:themeFillTint="99"/>
            <w:vAlign w:val="center"/>
          </w:tcPr>
          <w:p w14:paraId="43A7E454" w14:textId="77777777" w:rsidR="00BB46EB" w:rsidRPr="008E4B7F" w:rsidRDefault="00BB46EB" w:rsidP="008E4B7F">
            <w:pPr>
              <w:pStyle w:val="Tabletext0"/>
            </w:pPr>
            <w:r w:rsidRPr="008E4B7F">
              <w:t>Patients</w:t>
            </w:r>
          </w:p>
        </w:tc>
        <w:tc>
          <w:tcPr>
            <w:tcW w:w="957" w:type="dxa"/>
            <w:shd w:val="clear" w:color="auto" w:fill="548DD4" w:themeFill="text2" w:themeFillTint="99"/>
            <w:vAlign w:val="center"/>
          </w:tcPr>
          <w:p w14:paraId="1AEF3346" w14:textId="77777777" w:rsidR="00BB46EB" w:rsidRPr="008E4B7F" w:rsidRDefault="00BB46EB" w:rsidP="008E4B7F">
            <w:pPr>
              <w:pStyle w:val="Tabletext0"/>
            </w:pPr>
            <w:r w:rsidRPr="008E4B7F">
              <w:t>Services</w:t>
            </w:r>
          </w:p>
        </w:tc>
        <w:tc>
          <w:tcPr>
            <w:tcW w:w="940" w:type="dxa"/>
            <w:shd w:val="clear" w:color="auto" w:fill="548DD4" w:themeFill="text2" w:themeFillTint="99"/>
            <w:vAlign w:val="center"/>
          </w:tcPr>
          <w:p w14:paraId="658EC637" w14:textId="77777777" w:rsidR="00BB46EB" w:rsidRPr="008E4B7F" w:rsidRDefault="00BB46EB" w:rsidP="008E4B7F">
            <w:pPr>
              <w:pStyle w:val="Tabletext0"/>
            </w:pPr>
            <w:r w:rsidRPr="008E4B7F">
              <w:t>Patients</w:t>
            </w:r>
          </w:p>
        </w:tc>
        <w:tc>
          <w:tcPr>
            <w:tcW w:w="1166" w:type="dxa"/>
            <w:shd w:val="clear" w:color="auto" w:fill="548DD4" w:themeFill="text2" w:themeFillTint="99"/>
          </w:tcPr>
          <w:p w14:paraId="31571841" w14:textId="77777777" w:rsidR="00BB46EB" w:rsidRPr="008E4B7F" w:rsidRDefault="00BB46EB" w:rsidP="008E4B7F">
            <w:pPr>
              <w:pStyle w:val="Tabletext0"/>
            </w:pPr>
            <w:r w:rsidRPr="008E4B7F">
              <w:t>Services</w:t>
            </w:r>
          </w:p>
        </w:tc>
      </w:tr>
      <w:tr w:rsidR="00BB46EB" w:rsidRPr="008E4B7F" w14:paraId="40E21952" w14:textId="77777777" w:rsidTr="006A3194">
        <w:trPr>
          <w:trHeight w:val="240"/>
        </w:trPr>
        <w:tc>
          <w:tcPr>
            <w:tcW w:w="2116" w:type="dxa"/>
            <w:shd w:val="clear" w:color="000000" w:fill="FFFFFF"/>
            <w:noWrap/>
            <w:vAlign w:val="center"/>
          </w:tcPr>
          <w:p w14:paraId="3BCBE9DC" w14:textId="77777777" w:rsidR="00BB46EB" w:rsidRPr="008E4B7F" w:rsidRDefault="00BB46EB" w:rsidP="008E4B7F">
            <w:pPr>
              <w:pStyle w:val="Tabletext0"/>
            </w:pPr>
            <w:r w:rsidRPr="008E4B7F">
              <w:t>Total</w:t>
            </w:r>
          </w:p>
        </w:tc>
        <w:tc>
          <w:tcPr>
            <w:tcW w:w="917" w:type="dxa"/>
            <w:shd w:val="clear" w:color="000000" w:fill="FFFFFF"/>
            <w:noWrap/>
            <w:vAlign w:val="center"/>
          </w:tcPr>
          <w:p w14:paraId="18D77AA9" w14:textId="77777777" w:rsidR="00BB46EB" w:rsidRPr="008E4B7F" w:rsidRDefault="00BB46EB" w:rsidP="008E4B7F">
            <w:pPr>
              <w:pStyle w:val="Tabletext0"/>
            </w:pPr>
            <w:r w:rsidRPr="008E4B7F">
              <w:t xml:space="preserve">229,899 </w:t>
            </w:r>
          </w:p>
        </w:tc>
        <w:tc>
          <w:tcPr>
            <w:tcW w:w="957" w:type="dxa"/>
            <w:shd w:val="clear" w:color="000000" w:fill="FFFFFF"/>
            <w:noWrap/>
            <w:vAlign w:val="center"/>
          </w:tcPr>
          <w:p w14:paraId="1D8961CA" w14:textId="77777777" w:rsidR="00BB46EB" w:rsidRPr="008E4B7F" w:rsidRDefault="00BB46EB" w:rsidP="008E4B7F">
            <w:pPr>
              <w:pStyle w:val="Tabletext0"/>
            </w:pPr>
            <w:r w:rsidRPr="008E4B7F">
              <w:t xml:space="preserve">237,516 </w:t>
            </w:r>
          </w:p>
        </w:tc>
        <w:tc>
          <w:tcPr>
            <w:tcW w:w="917" w:type="dxa"/>
            <w:shd w:val="clear" w:color="000000" w:fill="FFFFFF"/>
            <w:noWrap/>
            <w:vAlign w:val="center"/>
          </w:tcPr>
          <w:p w14:paraId="3A79454B" w14:textId="77777777" w:rsidR="00BB46EB" w:rsidRPr="008E4B7F" w:rsidRDefault="00BB46EB" w:rsidP="008E4B7F">
            <w:pPr>
              <w:pStyle w:val="Tabletext0"/>
            </w:pPr>
            <w:r w:rsidRPr="008E4B7F">
              <w:t>-</w:t>
            </w:r>
          </w:p>
        </w:tc>
        <w:tc>
          <w:tcPr>
            <w:tcW w:w="957" w:type="dxa"/>
            <w:shd w:val="clear" w:color="000000" w:fill="FFFFFF"/>
            <w:noWrap/>
            <w:vAlign w:val="center"/>
          </w:tcPr>
          <w:p w14:paraId="59642FF4" w14:textId="77777777" w:rsidR="00BB46EB" w:rsidRPr="008E4B7F" w:rsidRDefault="00BB46EB" w:rsidP="008E4B7F">
            <w:pPr>
              <w:pStyle w:val="Tabletext0"/>
            </w:pPr>
            <w:r w:rsidRPr="008E4B7F">
              <w:t>-</w:t>
            </w:r>
          </w:p>
        </w:tc>
        <w:tc>
          <w:tcPr>
            <w:tcW w:w="940" w:type="dxa"/>
            <w:shd w:val="clear" w:color="000000" w:fill="FFFFFF"/>
            <w:noWrap/>
            <w:vAlign w:val="center"/>
          </w:tcPr>
          <w:p w14:paraId="73907815" w14:textId="77777777" w:rsidR="00BB46EB" w:rsidRPr="008E4B7F" w:rsidRDefault="00BB46EB" w:rsidP="008E4B7F">
            <w:pPr>
              <w:pStyle w:val="Tabletext0"/>
            </w:pPr>
            <w:r w:rsidRPr="008E4B7F">
              <w:t>-</w:t>
            </w:r>
          </w:p>
        </w:tc>
        <w:tc>
          <w:tcPr>
            <w:tcW w:w="1166" w:type="dxa"/>
            <w:shd w:val="clear" w:color="000000" w:fill="FFFFFF"/>
            <w:vAlign w:val="center"/>
          </w:tcPr>
          <w:p w14:paraId="085BB2AC" w14:textId="77777777" w:rsidR="00BB46EB" w:rsidRPr="008E4B7F" w:rsidRDefault="00BB46EB" w:rsidP="008E4B7F">
            <w:pPr>
              <w:pStyle w:val="Tabletext0"/>
            </w:pPr>
            <w:r w:rsidRPr="008E4B7F">
              <w:t>-</w:t>
            </w:r>
          </w:p>
        </w:tc>
      </w:tr>
      <w:tr w:rsidR="00BB46EB" w:rsidRPr="008E4B7F" w14:paraId="51997AD8" w14:textId="77777777" w:rsidTr="006A3194">
        <w:trPr>
          <w:trHeight w:val="240"/>
        </w:trPr>
        <w:tc>
          <w:tcPr>
            <w:tcW w:w="2116" w:type="dxa"/>
            <w:shd w:val="clear" w:color="000000" w:fill="FFFFFF"/>
            <w:noWrap/>
            <w:vAlign w:val="center"/>
          </w:tcPr>
          <w:p w14:paraId="3CF23867" w14:textId="77777777" w:rsidR="00BB46EB" w:rsidRPr="008E4B7F" w:rsidRDefault="00BB46EB" w:rsidP="008E4B7F">
            <w:pPr>
              <w:pStyle w:val="Tabletext0"/>
            </w:pPr>
            <w:r w:rsidRPr="008E4B7F">
              <w:t>2011-12</w:t>
            </w:r>
          </w:p>
        </w:tc>
        <w:tc>
          <w:tcPr>
            <w:tcW w:w="917" w:type="dxa"/>
            <w:shd w:val="clear" w:color="000000" w:fill="FFFFFF"/>
            <w:noWrap/>
            <w:vAlign w:val="center"/>
          </w:tcPr>
          <w:p w14:paraId="336AAA8D" w14:textId="77777777" w:rsidR="00BB46EB" w:rsidRPr="008E4B7F" w:rsidRDefault="00BB46EB" w:rsidP="008E4B7F">
            <w:pPr>
              <w:pStyle w:val="Tabletext0"/>
            </w:pPr>
            <w:r w:rsidRPr="008E4B7F">
              <w:t xml:space="preserve">25,194 </w:t>
            </w:r>
          </w:p>
        </w:tc>
        <w:tc>
          <w:tcPr>
            <w:tcW w:w="957" w:type="dxa"/>
            <w:shd w:val="clear" w:color="000000" w:fill="FFFFFF"/>
            <w:noWrap/>
            <w:vAlign w:val="center"/>
          </w:tcPr>
          <w:p w14:paraId="1E1DA29D" w14:textId="77777777" w:rsidR="00BB46EB" w:rsidRPr="008E4B7F" w:rsidRDefault="00BB46EB" w:rsidP="008E4B7F">
            <w:pPr>
              <w:pStyle w:val="Tabletext0"/>
            </w:pPr>
            <w:r w:rsidRPr="008E4B7F">
              <w:t xml:space="preserve">25,301 </w:t>
            </w:r>
          </w:p>
        </w:tc>
        <w:tc>
          <w:tcPr>
            <w:tcW w:w="917" w:type="dxa"/>
            <w:shd w:val="clear" w:color="000000" w:fill="FFFFFF"/>
            <w:noWrap/>
            <w:vAlign w:val="center"/>
          </w:tcPr>
          <w:p w14:paraId="71F42E22" w14:textId="77777777" w:rsidR="00BB46EB" w:rsidRPr="008E4B7F" w:rsidRDefault="00BB46EB" w:rsidP="008E4B7F">
            <w:pPr>
              <w:pStyle w:val="Tabletext0"/>
            </w:pPr>
            <w:r w:rsidRPr="008E4B7F">
              <w:t xml:space="preserve">25,194 </w:t>
            </w:r>
          </w:p>
        </w:tc>
        <w:tc>
          <w:tcPr>
            <w:tcW w:w="957" w:type="dxa"/>
            <w:shd w:val="clear" w:color="000000" w:fill="FFFFFF"/>
            <w:noWrap/>
            <w:vAlign w:val="center"/>
          </w:tcPr>
          <w:p w14:paraId="3F9ACB08" w14:textId="77777777" w:rsidR="00BB46EB" w:rsidRPr="008E4B7F" w:rsidRDefault="00BB46EB" w:rsidP="008E4B7F">
            <w:pPr>
              <w:pStyle w:val="Tabletext0"/>
            </w:pPr>
            <w:r w:rsidRPr="008E4B7F">
              <w:t xml:space="preserve">25,301 </w:t>
            </w:r>
          </w:p>
        </w:tc>
        <w:tc>
          <w:tcPr>
            <w:tcW w:w="940" w:type="dxa"/>
            <w:shd w:val="clear" w:color="000000" w:fill="FFFFFF"/>
            <w:noWrap/>
            <w:vAlign w:val="center"/>
          </w:tcPr>
          <w:p w14:paraId="306BD556" w14:textId="77777777" w:rsidR="00BB46EB" w:rsidRPr="008E4B7F" w:rsidRDefault="00BB46EB" w:rsidP="008E4B7F">
            <w:pPr>
              <w:pStyle w:val="Tabletext0"/>
            </w:pPr>
            <w:r w:rsidRPr="008E4B7F">
              <w:t>-</w:t>
            </w:r>
          </w:p>
        </w:tc>
        <w:tc>
          <w:tcPr>
            <w:tcW w:w="1166" w:type="dxa"/>
            <w:shd w:val="clear" w:color="000000" w:fill="FFFFFF"/>
            <w:vAlign w:val="center"/>
          </w:tcPr>
          <w:p w14:paraId="33E41F82" w14:textId="77777777" w:rsidR="00BB46EB" w:rsidRPr="008E4B7F" w:rsidRDefault="00BB46EB" w:rsidP="008E4B7F">
            <w:pPr>
              <w:pStyle w:val="Tabletext0"/>
            </w:pPr>
            <w:r w:rsidRPr="008E4B7F">
              <w:t>-</w:t>
            </w:r>
          </w:p>
        </w:tc>
      </w:tr>
      <w:tr w:rsidR="00BB46EB" w:rsidRPr="008E4B7F" w14:paraId="2754A9F7" w14:textId="77777777" w:rsidTr="006A3194">
        <w:trPr>
          <w:trHeight w:val="240"/>
        </w:trPr>
        <w:tc>
          <w:tcPr>
            <w:tcW w:w="2116" w:type="dxa"/>
            <w:shd w:val="clear" w:color="000000" w:fill="FFFFFF"/>
            <w:noWrap/>
            <w:vAlign w:val="center"/>
          </w:tcPr>
          <w:p w14:paraId="080A884A" w14:textId="77777777" w:rsidR="00BB46EB" w:rsidRPr="008E4B7F" w:rsidRDefault="00BB46EB" w:rsidP="008E4B7F">
            <w:pPr>
              <w:pStyle w:val="Tabletext0"/>
            </w:pPr>
            <w:r w:rsidRPr="008E4B7F">
              <w:t>2012-13</w:t>
            </w:r>
          </w:p>
        </w:tc>
        <w:tc>
          <w:tcPr>
            <w:tcW w:w="917" w:type="dxa"/>
            <w:shd w:val="clear" w:color="000000" w:fill="FFFFFF"/>
            <w:noWrap/>
            <w:vAlign w:val="center"/>
          </w:tcPr>
          <w:p w14:paraId="171B2DDE" w14:textId="77777777" w:rsidR="00BB46EB" w:rsidRPr="008E4B7F" w:rsidRDefault="00BB46EB" w:rsidP="008E4B7F">
            <w:pPr>
              <w:pStyle w:val="Tabletext0"/>
            </w:pPr>
            <w:r w:rsidRPr="008E4B7F">
              <w:t xml:space="preserve">32,323 </w:t>
            </w:r>
          </w:p>
        </w:tc>
        <w:tc>
          <w:tcPr>
            <w:tcW w:w="957" w:type="dxa"/>
            <w:shd w:val="clear" w:color="000000" w:fill="FFFFFF"/>
            <w:noWrap/>
            <w:vAlign w:val="center"/>
          </w:tcPr>
          <w:p w14:paraId="08BB4CDB" w14:textId="77777777" w:rsidR="00BB46EB" w:rsidRPr="008E4B7F" w:rsidRDefault="00BB46EB" w:rsidP="008E4B7F">
            <w:pPr>
              <w:pStyle w:val="Tabletext0"/>
            </w:pPr>
            <w:r w:rsidRPr="008E4B7F">
              <w:t xml:space="preserve">32,468 </w:t>
            </w:r>
          </w:p>
        </w:tc>
        <w:tc>
          <w:tcPr>
            <w:tcW w:w="917" w:type="dxa"/>
            <w:shd w:val="clear" w:color="000000" w:fill="FFFFFF"/>
            <w:noWrap/>
            <w:vAlign w:val="center"/>
          </w:tcPr>
          <w:p w14:paraId="148031AC" w14:textId="77777777" w:rsidR="00BB46EB" w:rsidRPr="008E4B7F" w:rsidRDefault="00BB46EB" w:rsidP="008E4B7F">
            <w:pPr>
              <w:pStyle w:val="Tabletext0"/>
            </w:pPr>
            <w:r w:rsidRPr="008E4B7F">
              <w:t xml:space="preserve">32,116 </w:t>
            </w:r>
          </w:p>
        </w:tc>
        <w:tc>
          <w:tcPr>
            <w:tcW w:w="957" w:type="dxa"/>
            <w:shd w:val="clear" w:color="000000" w:fill="FFFFFF"/>
            <w:noWrap/>
            <w:vAlign w:val="center"/>
          </w:tcPr>
          <w:p w14:paraId="14FE4B3C" w14:textId="77777777" w:rsidR="00BB46EB" w:rsidRPr="008E4B7F" w:rsidRDefault="00BB46EB" w:rsidP="008E4B7F">
            <w:pPr>
              <w:pStyle w:val="Tabletext0"/>
            </w:pPr>
            <w:r w:rsidRPr="008E4B7F">
              <w:t xml:space="preserve">32,260 </w:t>
            </w:r>
          </w:p>
        </w:tc>
        <w:tc>
          <w:tcPr>
            <w:tcW w:w="940" w:type="dxa"/>
            <w:shd w:val="clear" w:color="000000" w:fill="FFFFFF"/>
            <w:noWrap/>
            <w:vAlign w:val="center"/>
          </w:tcPr>
          <w:p w14:paraId="7A98F5AA" w14:textId="77777777" w:rsidR="00BB46EB" w:rsidRPr="008E4B7F" w:rsidRDefault="00BB46EB" w:rsidP="008E4B7F">
            <w:pPr>
              <w:pStyle w:val="Tabletext0"/>
            </w:pPr>
            <w:r w:rsidRPr="008E4B7F">
              <w:t xml:space="preserve">207 </w:t>
            </w:r>
          </w:p>
        </w:tc>
        <w:tc>
          <w:tcPr>
            <w:tcW w:w="1166" w:type="dxa"/>
            <w:shd w:val="clear" w:color="000000" w:fill="FFFFFF"/>
            <w:vAlign w:val="center"/>
          </w:tcPr>
          <w:p w14:paraId="591575CA" w14:textId="77777777" w:rsidR="00BB46EB" w:rsidRPr="008E4B7F" w:rsidRDefault="00BB46EB" w:rsidP="008E4B7F">
            <w:pPr>
              <w:pStyle w:val="Tabletext0"/>
            </w:pPr>
            <w:r w:rsidRPr="008E4B7F">
              <w:t xml:space="preserve">208 </w:t>
            </w:r>
          </w:p>
        </w:tc>
      </w:tr>
      <w:tr w:rsidR="00BB46EB" w:rsidRPr="008E4B7F" w14:paraId="53D794F8" w14:textId="77777777" w:rsidTr="006A3194">
        <w:trPr>
          <w:trHeight w:val="240"/>
        </w:trPr>
        <w:tc>
          <w:tcPr>
            <w:tcW w:w="2116" w:type="dxa"/>
            <w:shd w:val="clear" w:color="000000" w:fill="FFFFFF"/>
            <w:noWrap/>
            <w:vAlign w:val="center"/>
          </w:tcPr>
          <w:p w14:paraId="76092B90" w14:textId="77777777" w:rsidR="00BB46EB" w:rsidRPr="008E4B7F" w:rsidRDefault="00BB46EB" w:rsidP="008E4B7F">
            <w:pPr>
              <w:pStyle w:val="Tabletext0"/>
            </w:pPr>
            <w:r w:rsidRPr="008E4B7F">
              <w:t>2013-14</w:t>
            </w:r>
          </w:p>
        </w:tc>
        <w:tc>
          <w:tcPr>
            <w:tcW w:w="917" w:type="dxa"/>
            <w:shd w:val="clear" w:color="000000" w:fill="FFFFFF"/>
            <w:noWrap/>
            <w:vAlign w:val="center"/>
          </w:tcPr>
          <w:p w14:paraId="58D9346A" w14:textId="77777777" w:rsidR="00BB46EB" w:rsidRPr="008E4B7F" w:rsidRDefault="00BB46EB" w:rsidP="008E4B7F">
            <w:pPr>
              <w:pStyle w:val="Tabletext0"/>
            </w:pPr>
            <w:r w:rsidRPr="008E4B7F">
              <w:t xml:space="preserve">39,789 </w:t>
            </w:r>
          </w:p>
        </w:tc>
        <w:tc>
          <w:tcPr>
            <w:tcW w:w="957" w:type="dxa"/>
            <w:shd w:val="clear" w:color="000000" w:fill="FFFFFF"/>
            <w:noWrap/>
            <w:vAlign w:val="center"/>
          </w:tcPr>
          <w:p w14:paraId="1FBC9F26" w14:textId="77777777" w:rsidR="00BB46EB" w:rsidRPr="008E4B7F" w:rsidRDefault="00BB46EB" w:rsidP="008E4B7F">
            <w:pPr>
              <w:pStyle w:val="Tabletext0"/>
            </w:pPr>
            <w:r w:rsidRPr="008E4B7F">
              <w:t xml:space="preserve">39,987 </w:t>
            </w:r>
          </w:p>
        </w:tc>
        <w:tc>
          <w:tcPr>
            <w:tcW w:w="917" w:type="dxa"/>
            <w:shd w:val="clear" w:color="000000" w:fill="FFFFFF"/>
            <w:noWrap/>
            <w:vAlign w:val="center"/>
          </w:tcPr>
          <w:p w14:paraId="22324A13" w14:textId="77777777" w:rsidR="00BB46EB" w:rsidRPr="008E4B7F" w:rsidRDefault="00BB46EB" w:rsidP="008E4B7F">
            <w:pPr>
              <w:pStyle w:val="Tabletext0"/>
            </w:pPr>
            <w:r w:rsidRPr="008E4B7F">
              <w:t xml:space="preserve">39,114 </w:t>
            </w:r>
          </w:p>
        </w:tc>
        <w:tc>
          <w:tcPr>
            <w:tcW w:w="957" w:type="dxa"/>
            <w:shd w:val="clear" w:color="000000" w:fill="FFFFFF"/>
            <w:noWrap/>
            <w:vAlign w:val="center"/>
          </w:tcPr>
          <w:p w14:paraId="7E508980" w14:textId="77777777" w:rsidR="00BB46EB" w:rsidRPr="008E4B7F" w:rsidRDefault="00BB46EB" w:rsidP="008E4B7F">
            <w:pPr>
              <w:pStyle w:val="Tabletext0"/>
            </w:pPr>
            <w:r w:rsidRPr="008E4B7F">
              <w:t xml:space="preserve">39,305 </w:t>
            </w:r>
          </w:p>
        </w:tc>
        <w:tc>
          <w:tcPr>
            <w:tcW w:w="940" w:type="dxa"/>
            <w:shd w:val="clear" w:color="000000" w:fill="FFFFFF"/>
            <w:noWrap/>
            <w:vAlign w:val="center"/>
          </w:tcPr>
          <w:p w14:paraId="72B7E217" w14:textId="77777777" w:rsidR="00BB46EB" w:rsidRPr="008E4B7F" w:rsidRDefault="00BB46EB" w:rsidP="008E4B7F">
            <w:pPr>
              <w:pStyle w:val="Tabletext0"/>
            </w:pPr>
            <w:r w:rsidRPr="008E4B7F">
              <w:t xml:space="preserve">675 </w:t>
            </w:r>
          </w:p>
        </w:tc>
        <w:tc>
          <w:tcPr>
            <w:tcW w:w="1166" w:type="dxa"/>
            <w:shd w:val="clear" w:color="000000" w:fill="FFFFFF"/>
            <w:vAlign w:val="center"/>
          </w:tcPr>
          <w:p w14:paraId="13699075" w14:textId="77777777" w:rsidR="00BB46EB" w:rsidRPr="008E4B7F" w:rsidRDefault="00BB46EB" w:rsidP="008E4B7F">
            <w:pPr>
              <w:pStyle w:val="Tabletext0"/>
            </w:pPr>
            <w:r w:rsidRPr="008E4B7F">
              <w:t xml:space="preserve">682 </w:t>
            </w:r>
          </w:p>
        </w:tc>
      </w:tr>
      <w:tr w:rsidR="00BB46EB" w:rsidRPr="008E4B7F" w14:paraId="01844D06" w14:textId="77777777" w:rsidTr="006A3194">
        <w:trPr>
          <w:trHeight w:val="240"/>
        </w:trPr>
        <w:tc>
          <w:tcPr>
            <w:tcW w:w="2116" w:type="dxa"/>
            <w:shd w:val="clear" w:color="000000" w:fill="FFFFFF"/>
            <w:noWrap/>
            <w:vAlign w:val="center"/>
          </w:tcPr>
          <w:p w14:paraId="107ADE57" w14:textId="77777777" w:rsidR="00BB46EB" w:rsidRPr="008E4B7F" w:rsidRDefault="00BB46EB" w:rsidP="008E4B7F">
            <w:pPr>
              <w:pStyle w:val="Tabletext0"/>
            </w:pPr>
            <w:r w:rsidRPr="008E4B7F">
              <w:t>2014-15</w:t>
            </w:r>
          </w:p>
        </w:tc>
        <w:tc>
          <w:tcPr>
            <w:tcW w:w="917" w:type="dxa"/>
            <w:shd w:val="clear" w:color="000000" w:fill="FFFFFF"/>
            <w:noWrap/>
            <w:vAlign w:val="center"/>
          </w:tcPr>
          <w:p w14:paraId="54B066D4" w14:textId="77777777" w:rsidR="00BB46EB" w:rsidRPr="008E4B7F" w:rsidRDefault="00BB46EB" w:rsidP="008E4B7F">
            <w:pPr>
              <w:pStyle w:val="Tabletext0"/>
            </w:pPr>
            <w:r w:rsidRPr="008E4B7F">
              <w:t xml:space="preserve">44,736 </w:t>
            </w:r>
          </w:p>
        </w:tc>
        <w:tc>
          <w:tcPr>
            <w:tcW w:w="957" w:type="dxa"/>
            <w:shd w:val="clear" w:color="000000" w:fill="FFFFFF"/>
            <w:noWrap/>
            <w:vAlign w:val="center"/>
          </w:tcPr>
          <w:p w14:paraId="0E65A7D6" w14:textId="77777777" w:rsidR="00BB46EB" w:rsidRPr="008E4B7F" w:rsidRDefault="00BB46EB" w:rsidP="008E4B7F">
            <w:pPr>
              <w:pStyle w:val="Tabletext0"/>
            </w:pPr>
            <w:r w:rsidRPr="008E4B7F">
              <w:t xml:space="preserve">44,940 </w:t>
            </w:r>
          </w:p>
        </w:tc>
        <w:tc>
          <w:tcPr>
            <w:tcW w:w="917" w:type="dxa"/>
            <w:shd w:val="clear" w:color="000000" w:fill="FFFFFF"/>
            <w:noWrap/>
            <w:vAlign w:val="center"/>
          </w:tcPr>
          <w:p w14:paraId="6CE487E5" w14:textId="77777777" w:rsidR="00BB46EB" w:rsidRPr="008E4B7F" w:rsidRDefault="00BB46EB" w:rsidP="008E4B7F">
            <w:pPr>
              <w:pStyle w:val="Tabletext0"/>
            </w:pPr>
            <w:r w:rsidRPr="008E4B7F">
              <w:t xml:space="preserve">43,448 </w:t>
            </w:r>
          </w:p>
        </w:tc>
        <w:tc>
          <w:tcPr>
            <w:tcW w:w="957" w:type="dxa"/>
            <w:shd w:val="clear" w:color="000000" w:fill="FFFFFF"/>
            <w:noWrap/>
            <w:vAlign w:val="center"/>
          </w:tcPr>
          <w:p w14:paraId="163E3D27" w14:textId="77777777" w:rsidR="00BB46EB" w:rsidRPr="008E4B7F" w:rsidRDefault="00BB46EB" w:rsidP="008E4B7F">
            <w:pPr>
              <w:pStyle w:val="Tabletext0"/>
            </w:pPr>
            <w:r w:rsidRPr="008E4B7F">
              <w:t xml:space="preserve">43,638 </w:t>
            </w:r>
          </w:p>
        </w:tc>
        <w:tc>
          <w:tcPr>
            <w:tcW w:w="940" w:type="dxa"/>
            <w:shd w:val="clear" w:color="000000" w:fill="FFFFFF"/>
            <w:noWrap/>
            <w:vAlign w:val="center"/>
          </w:tcPr>
          <w:p w14:paraId="6CBCB64A" w14:textId="77777777" w:rsidR="00BB46EB" w:rsidRPr="008E4B7F" w:rsidRDefault="00BB46EB" w:rsidP="008E4B7F">
            <w:pPr>
              <w:pStyle w:val="Tabletext0"/>
            </w:pPr>
            <w:r w:rsidRPr="008E4B7F">
              <w:t xml:space="preserve">1,288 </w:t>
            </w:r>
          </w:p>
        </w:tc>
        <w:tc>
          <w:tcPr>
            <w:tcW w:w="1166" w:type="dxa"/>
            <w:shd w:val="clear" w:color="000000" w:fill="FFFFFF"/>
            <w:vAlign w:val="center"/>
          </w:tcPr>
          <w:p w14:paraId="1EAA2CC5" w14:textId="77777777" w:rsidR="00BB46EB" w:rsidRPr="008E4B7F" w:rsidRDefault="00BB46EB" w:rsidP="008E4B7F">
            <w:pPr>
              <w:pStyle w:val="Tabletext0"/>
            </w:pPr>
            <w:r w:rsidRPr="008E4B7F">
              <w:t xml:space="preserve">1,302 </w:t>
            </w:r>
          </w:p>
        </w:tc>
      </w:tr>
      <w:tr w:rsidR="00BB46EB" w:rsidRPr="008E4B7F" w14:paraId="1EAA2F8E" w14:textId="77777777" w:rsidTr="006A3194">
        <w:trPr>
          <w:trHeight w:val="240"/>
        </w:trPr>
        <w:tc>
          <w:tcPr>
            <w:tcW w:w="2116" w:type="dxa"/>
            <w:shd w:val="clear" w:color="000000" w:fill="FFFFFF"/>
            <w:noWrap/>
            <w:vAlign w:val="center"/>
          </w:tcPr>
          <w:p w14:paraId="4B8B8F49" w14:textId="77777777" w:rsidR="00BB46EB" w:rsidRPr="008E4B7F" w:rsidRDefault="00BB46EB" w:rsidP="008E4B7F">
            <w:pPr>
              <w:pStyle w:val="Tabletext0"/>
            </w:pPr>
            <w:r w:rsidRPr="008E4B7F">
              <w:t>2015-16</w:t>
            </w:r>
          </w:p>
        </w:tc>
        <w:tc>
          <w:tcPr>
            <w:tcW w:w="917" w:type="dxa"/>
            <w:shd w:val="clear" w:color="000000" w:fill="FFFFFF"/>
            <w:noWrap/>
            <w:vAlign w:val="center"/>
          </w:tcPr>
          <w:p w14:paraId="4404AE86" w14:textId="77777777" w:rsidR="00BB46EB" w:rsidRPr="008E4B7F" w:rsidRDefault="00BB46EB" w:rsidP="008E4B7F">
            <w:pPr>
              <w:pStyle w:val="Tabletext0"/>
            </w:pPr>
            <w:r w:rsidRPr="008E4B7F">
              <w:t xml:space="preserve">50,785 </w:t>
            </w:r>
          </w:p>
        </w:tc>
        <w:tc>
          <w:tcPr>
            <w:tcW w:w="957" w:type="dxa"/>
            <w:shd w:val="clear" w:color="000000" w:fill="FFFFFF"/>
            <w:noWrap/>
            <w:vAlign w:val="center"/>
          </w:tcPr>
          <w:p w14:paraId="02A8292B" w14:textId="77777777" w:rsidR="00BB46EB" w:rsidRPr="008E4B7F" w:rsidRDefault="00BB46EB" w:rsidP="008E4B7F">
            <w:pPr>
              <w:pStyle w:val="Tabletext0"/>
            </w:pPr>
            <w:r w:rsidRPr="008E4B7F">
              <w:t xml:space="preserve">51,024 </w:t>
            </w:r>
          </w:p>
        </w:tc>
        <w:tc>
          <w:tcPr>
            <w:tcW w:w="917" w:type="dxa"/>
            <w:shd w:val="clear" w:color="000000" w:fill="FFFFFF"/>
            <w:noWrap/>
            <w:vAlign w:val="center"/>
          </w:tcPr>
          <w:p w14:paraId="08400BF9" w14:textId="77777777" w:rsidR="00BB46EB" w:rsidRPr="008E4B7F" w:rsidRDefault="00BB46EB" w:rsidP="008E4B7F">
            <w:pPr>
              <w:pStyle w:val="Tabletext0"/>
            </w:pPr>
            <w:r w:rsidRPr="008E4B7F">
              <w:t xml:space="preserve">48,678 </w:t>
            </w:r>
          </w:p>
        </w:tc>
        <w:tc>
          <w:tcPr>
            <w:tcW w:w="957" w:type="dxa"/>
            <w:shd w:val="clear" w:color="000000" w:fill="FFFFFF"/>
            <w:noWrap/>
            <w:vAlign w:val="center"/>
          </w:tcPr>
          <w:p w14:paraId="1C180F87" w14:textId="77777777" w:rsidR="00BB46EB" w:rsidRPr="008E4B7F" w:rsidRDefault="00BB46EB" w:rsidP="008E4B7F">
            <w:pPr>
              <w:pStyle w:val="Tabletext0"/>
            </w:pPr>
            <w:r w:rsidRPr="008E4B7F">
              <w:t xml:space="preserve">48,897 </w:t>
            </w:r>
          </w:p>
        </w:tc>
        <w:tc>
          <w:tcPr>
            <w:tcW w:w="940" w:type="dxa"/>
            <w:shd w:val="clear" w:color="000000" w:fill="FFFFFF"/>
            <w:noWrap/>
            <w:vAlign w:val="center"/>
          </w:tcPr>
          <w:p w14:paraId="62185DC3" w14:textId="77777777" w:rsidR="00BB46EB" w:rsidRPr="008E4B7F" w:rsidRDefault="00BB46EB" w:rsidP="008E4B7F">
            <w:pPr>
              <w:pStyle w:val="Tabletext0"/>
            </w:pPr>
            <w:r w:rsidRPr="008E4B7F">
              <w:t xml:space="preserve">2,107 </w:t>
            </w:r>
          </w:p>
        </w:tc>
        <w:tc>
          <w:tcPr>
            <w:tcW w:w="1166" w:type="dxa"/>
            <w:shd w:val="clear" w:color="000000" w:fill="FFFFFF"/>
            <w:vAlign w:val="center"/>
          </w:tcPr>
          <w:p w14:paraId="5BD1E77B" w14:textId="77777777" w:rsidR="00BB46EB" w:rsidRPr="008E4B7F" w:rsidRDefault="00BB46EB" w:rsidP="008E4B7F">
            <w:pPr>
              <w:pStyle w:val="Tabletext0"/>
            </w:pPr>
            <w:r w:rsidRPr="008E4B7F">
              <w:t xml:space="preserve">2,127 </w:t>
            </w:r>
          </w:p>
        </w:tc>
      </w:tr>
      <w:tr w:rsidR="00BB46EB" w:rsidRPr="008E4B7F" w14:paraId="61173EE5" w14:textId="77777777" w:rsidTr="006A3194">
        <w:trPr>
          <w:trHeight w:val="240"/>
        </w:trPr>
        <w:tc>
          <w:tcPr>
            <w:tcW w:w="2116" w:type="dxa"/>
            <w:shd w:val="clear" w:color="000000" w:fill="FFFFFF"/>
            <w:noWrap/>
            <w:vAlign w:val="center"/>
          </w:tcPr>
          <w:p w14:paraId="01EF1436" w14:textId="77777777" w:rsidR="00BB46EB" w:rsidRPr="008E4B7F" w:rsidRDefault="00BB46EB" w:rsidP="008E4B7F">
            <w:pPr>
              <w:pStyle w:val="Tabletext0"/>
            </w:pPr>
            <w:r w:rsidRPr="008E4B7F">
              <w:t>2016-17*</w:t>
            </w:r>
          </w:p>
        </w:tc>
        <w:tc>
          <w:tcPr>
            <w:tcW w:w="917" w:type="dxa"/>
            <w:shd w:val="clear" w:color="000000" w:fill="FFFFFF"/>
            <w:noWrap/>
            <w:vAlign w:val="center"/>
          </w:tcPr>
          <w:p w14:paraId="4BE702E1" w14:textId="77777777" w:rsidR="00BB46EB" w:rsidRPr="008E4B7F" w:rsidRDefault="00BB46EB" w:rsidP="008E4B7F">
            <w:pPr>
              <w:pStyle w:val="Tabletext0"/>
            </w:pPr>
            <w:r w:rsidRPr="008E4B7F">
              <w:t xml:space="preserve">43,640 </w:t>
            </w:r>
          </w:p>
        </w:tc>
        <w:tc>
          <w:tcPr>
            <w:tcW w:w="957" w:type="dxa"/>
            <w:shd w:val="clear" w:color="000000" w:fill="FFFFFF"/>
            <w:noWrap/>
            <w:vAlign w:val="center"/>
          </w:tcPr>
          <w:p w14:paraId="78665278" w14:textId="77777777" w:rsidR="00BB46EB" w:rsidRPr="008E4B7F" w:rsidRDefault="00BB46EB" w:rsidP="008E4B7F">
            <w:pPr>
              <w:pStyle w:val="Tabletext0"/>
            </w:pPr>
            <w:r w:rsidRPr="008E4B7F">
              <w:t xml:space="preserve">43,796 </w:t>
            </w:r>
          </w:p>
        </w:tc>
        <w:tc>
          <w:tcPr>
            <w:tcW w:w="917" w:type="dxa"/>
            <w:shd w:val="clear" w:color="000000" w:fill="FFFFFF"/>
            <w:noWrap/>
            <w:vAlign w:val="center"/>
          </w:tcPr>
          <w:p w14:paraId="0876C98C" w14:textId="77777777" w:rsidR="00BB46EB" w:rsidRPr="008E4B7F" w:rsidRDefault="00BB46EB" w:rsidP="008E4B7F">
            <w:pPr>
              <w:pStyle w:val="Tabletext0"/>
            </w:pPr>
            <w:r w:rsidRPr="008E4B7F">
              <w:t xml:space="preserve">41,349 </w:t>
            </w:r>
          </w:p>
        </w:tc>
        <w:tc>
          <w:tcPr>
            <w:tcW w:w="957" w:type="dxa"/>
            <w:shd w:val="clear" w:color="000000" w:fill="FFFFFF"/>
            <w:noWrap/>
            <w:vAlign w:val="center"/>
          </w:tcPr>
          <w:p w14:paraId="501EAE64" w14:textId="77777777" w:rsidR="00BB46EB" w:rsidRPr="008E4B7F" w:rsidRDefault="00BB46EB" w:rsidP="008E4B7F">
            <w:pPr>
              <w:pStyle w:val="Tabletext0"/>
            </w:pPr>
            <w:r w:rsidRPr="008E4B7F">
              <w:t xml:space="preserve">41,493 </w:t>
            </w:r>
          </w:p>
        </w:tc>
        <w:tc>
          <w:tcPr>
            <w:tcW w:w="940" w:type="dxa"/>
            <w:shd w:val="clear" w:color="000000" w:fill="FFFFFF"/>
            <w:noWrap/>
            <w:vAlign w:val="center"/>
          </w:tcPr>
          <w:p w14:paraId="44150473" w14:textId="77777777" w:rsidR="00BB46EB" w:rsidRPr="008E4B7F" w:rsidRDefault="00BB46EB" w:rsidP="008E4B7F">
            <w:pPr>
              <w:pStyle w:val="Tabletext0"/>
            </w:pPr>
            <w:r w:rsidRPr="008E4B7F">
              <w:t xml:space="preserve">2,291 </w:t>
            </w:r>
          </w:p>
        </w:tc>
        <w:tc>
          <w:tcPr>
            <w:tcW w:w="1166" w:type="dxa"/>
            <w:shd w:val="clear" w:color="000000" w:fill="FFFFFF"/>
            <w:vAlign w:val="center"/>
          </w:tcPr>
          <w:p w14:paraId="75588C9C" w14:textId="77777777" w:rsidR="00BB46EB" w:rsidRPr="008E4B7F" w:rsidRDefault="00BB46EB" w:rsidP="008E4B7F">
            <w:pPr>
              <w:pStyle w:val="Tabletext0"/>
            </w:pPr>
            <w:r w:rsidRPr="008E4B7F">
              <w:t xml:space="preserve">2,303 </w:t>
            </w:r>
          </w:p>
        </w:tc>
      </w:tr>
    </w:tbl>
    <w:p w14:paraId="3474BE30" w14:textId="65CCA577" w:rsidR="00FE4CCB" w:rsidRPr="003848BB" w:rsidRDefault="00BB46EB" w:rsidP="003848BB">
      <w:pPr>
        <w:pStyle w:val="TableNotes"/>
        <w:rPr>
          <w:b/>
        </w:rPr>
      </w:pPr>
      <w:r w:rsidRPr="00344F2E">
        <w:t>*2016-17 data until 31 March 2017, and does not constitute a complete financial year</w:t>
      </w:r>
    </w:p>
    <w:p w14:paraId="68DCE173" w14:textId="432AE9C3" w:rsidR="00BB46EB" w:rsidRPr="00FE4CCB" w:rsidRDefault="00BB46EB" w:rsidP="00FE4CCB">
      <w:pPr>
        <w:ind w:right="-199"/>
      </w:pPr>
      <w:r>
        <w:t xml:space="preserve">From </w:t>
      </w:r>
      <w:r w:rsidRPr="000941F4">
        <w:t xml:space="preserve">2015-16, </w:t>
      </w:r>
      <w:r>
        <w:t>0.5</w:t>
      </w:r>
      <w:r w:rsidRPr="000941F4">
        <w:t xml:space="preserve">% of patients received two or more services </w:t>
      </w:r>
      <w:r>
        <w:t>u</w:t>
      </w:r>
      <w:r w:rsidRPr="000941F4">
        <w:t>nder item 57360</w:t>
      </w:r>
      <w:r>
        <w:br/>
      </w:r>
      <w:r w:rsidRPr="000941F4">
        <w:t>(</w:t>
      </w:r>
      <w:r>
        <w:fldChar w:fldCharType="begin"/>
      </w:r>
      <w:r>
        <w:instrText xml:space="preserve"> REF _Ref503188916 \h </w:instrText>
      </w:r>
      <w:r>
        <w:fldChar w:fldCharType="separate"/>
      </w:r>
      <w:r>
        <w:t xml:space="preserve">Table </w:t>
      </w:r>
      <w:r>
        <w:rPr>
          <w:noProof/>
        </w:rPr>
        <w:t>4</w:t>
      </w:r>
      <w:r>
        <w:fldChar w:fldCharType="end"/>
      </w:r>
      <w:r w:rsidR="00FE4CCB">
        <w:t>).</w:t>
      </w:r>
    </w:p>
    <w:p w14:paraId="7CC1D888" w14:textId="619E768E" w:rsidR="00BB46EB" w:rsidRPr="006B60E7" w:rsidRDefault="00BB46EB" w:rsidP="006B60E7">
      <w:pPr>
        <w:spacing w:before="240"/>
        <w:rPr>
          <w:rFonts w:ascii="Arial Narrow" w:hAnsi="Arial Narrow"/>
          <w:b/>
          <w:sz w:val="20"/>
        </w:rPr>
      </w:pPr>
      <w:bookmarkStart w:id="11" w:name="_Ref503188916"/>
      <w:bookmarkStart w:id="12" w:name="_Toc503955780"/>
      <w:r w:rsidRPr="006B60E7">
        <w:rPr>
          <w:rFonts w:ascii="Arial Narrow" w:hAnsi="Arial Narrow"/>
          <w:b/>
          <w:sz w:val="20"/>
        </w:rPr>
        <w:t xml:space="preserve">Table </w:t>
      </w:r>
      <w:r w:rsidR="00D05628" w:rsidRPr="006B60E7">
        <w:rPr>
          <w:rFonts w:ascii="Arial Narrow" w:hAnsi="Arial Narrow"/>
          <w:b/>
          <w:sz w:val="20"/>
        </w:rPr>
        <w:fldChar w:fldCharType="begin"/>
      </w:r>
      <w:r w:rsidR="00D05628" w:rsidRPr="006B60E7">
        <w:rPr>
          <w:rFonts w:ascii="Arial Narrow" w:hAnsi="Arial Narrow"/>
          <w:b/>
          <w:sz w:val="20"/>
        </w:rPr>
        <w:instrText xml:space="preserve"> SEQ Table \* ARABIC </w:instrText>
      </w:r>
      <w:r w:rsidR="00D05628" w:rsidRPr="006B60E7">
        <w:rPr>
          <w:rFonts w:ascii="Arial Narrow" w:hAnsi="Arial Narrow"/>
          <w:b/>
          <w:sz w:val="20"/>
        </w:rPr>
        <w:fldChar w:fldCharType="separate"/>
      </w:r>
      <w:r w:rsidRPr="006B60E7">
        <w:rPr>
          <w:rFonts w:ascii="Arial Narrow" w:hAnsi="Arial Narrow"/>
          <w:b/>
          <w:sz w:val="20"/>
        </w:rPr>
        <w:t>4</w:t>
      </w:r>
      <w:r w:rsidR="00D05628" w:rsidRPr="006B60E7">
        <w:rPr>
          <w:rFonts w:ascii="Arial Narrow" w:hAnsi="Arial Narrow"/>
          <w:b/>
          <w:sz w:val="20"/>
        </w:rPr>
        <w:fldChar w:fldCharType="end"/>
      </w:r>
      <w:bookmarkEnd w:id="11"/>
      <w:r w:rsidR="00617640" w:rsidRPr="006B60E7">
        <w:rPr>
          <w:rFonts w:ascii="Arial Narrow" w:hAnsi="Arial Narrow"/>
          <w:b/>
          <w:sz w:val="20"/>
        </w:rPr>
        <w:t>:</w:t>
      </w:r>
      <w:r w:rsidRPr="006B60E7">
        <w:rPr>
          <w:rFonts w:ascii="Arial Narrow" w:hAnsi="Arial Narrow"/>
          <w:b/>
          <w:sz w:val="20"/>
        </w:rPr>
        <w:t xml:space="preserve"> Number of services per patient who received MBS item 57360 in 2015-16 and 2016-17</w:t>
      </w:r>
      <w:bookmarkEnd w:id="12"/>
    </w:p>
    <w:tbl>
      <w:tblPr>
        <w:tblW w:w="4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number of services per patient"/>
        <w:tblDescription w:val="This table provides information on the number of patients who received MBS item 57360 in 2015-2016 and 2016-2017. "/>
      </w:tblPr>
      <w:tblGrid>
        <w:gridCol w:w="1371"/>
        <w:gridCol w:w="960"/>
        <w:gridCol w:w="960"/>
        <w:gridCol w:w="1187"/>
      </w:tblGrid>
      <w:tr w:rsidR="00BB46EB" w:rsidRPr="008E4B7F" w14:paraId="53B6EF17" w14:textId="77777777" w:rsidTr="006A3194">
        <w:trPr>
          <w:trHeight w:val="305"/>
        </w:trPr>
        <w:tc>
          <w:tcPr>
            <w:tcW w:w="1371" w:type="dxa"/>
            <w:shd w:val="clear" w:color="auto" w:fill="548DD4" w:themeFill="text2" w:themeFillTint="99"/>
            <w:vAlign w:val="center"/>
          </w:tcPr>
          <w:p w14:paraId="339CDEDB" w14:textId="77777777" w:rsidR="00BB46EB" w:rsidRPr="008E4B7F" w:rsidRDefault="00BB46EB" w:rsidP="008E4B7F">
            <w:pPr>
              <w:pStyle w:val="Tabletext0"/>
            </w:pPr>
            <w:r w:rsidRPr="008E4B7F">
              <w:t>Financial</w:t>
            </w:r>
          </w:p>
        </w:tc>
        <w:tc>
          <w:tcPr>
            <w:tcW w:w="960" w:type="dxa"/>
            <w:shd w:val="clear" w:color="auto" w:fill="548DD4" w:themeFill="text2" w:themeFillTint="99"/>
            <w:vAlign w:val="center"/>
          </w:tcPr>
          <w:p w14:paraId="241E3E5E" w14:textId="77777777" w:rsidR="00BB46EB" w:rsidRPr="008E4B7F" w:rsidRDefault="00BB46EB" w:rsidP="008E4B7F">
            <w:pPr>
              <w:pStyle w:val="Tabletext0"/>
            </w:pPr>
            <w:r w:rsidRPr="008E4B7F">
              <w:t>Services</w:t>
            </w:r>
          </w:p>
        </w:tc>
        <w:tc>
          <w:tcPr>
            <w:tcW w:w="960" w:type="dxa"/>
            <w:shd w:val="clear" w:color="auto" w:fill="548DD4" w:themeFill="text2" w:themeFillTint="99"/>
            <w:vAlign w:val="center"/>
          </w:tcPr>
          <w:p w14:paraId="374B6893" w14:textId="77777777" w:rsidR="00BB46EB" w:rsidRPr="008E4B7F" w:rsidRDefault="00BB46EB" w:rsidP="008E4B7F">
            <w:pPr>
              <w:pStyle w:val="Tabletext0"/>
            </w:pPr>
            <w:r w:rsidRPr="008E4B7F">
              <w:t>Count</w:t>
            </w:r>
          </w:p>
        </w:tc>
        <w:tc>
          <w:tcPr>
            <w:tcW w:w="1187" w:type="dxa"/>
            <w:shd w:val="clear" w:color="auto" w:fill="548DD4" w:themeFill="text2" w:themeFillTint="99"/>
            <w:vAlign w:val="center"/>
          </w:tcPr>
          <w:p w14:paraId="62F7B3BB" w14:textId="77777777" w:rsidR="00BB46EB" w:rsidRPr="008E4B7F" w:rsidRDefault="00BB46EB" w:rsidP="008E4B7F">
            <w:pPr>
              <w:pStyle w:val="Tabletext0"/>
            </w:pPr>
            <w:r w:rsidRPr="008E4B7F">
              <w:t>Percentage</w:t>
            </w:r>
          </w:p>
        </w:tc>
      </w:tr>
      <w:tr w:rsidR="00BB46EB" w:rsidRPr="008E4B7F" w14:paraId="3416E4CC" w14:textId="77777777" w:rsidTr="006A3194">
        <w:trPr>
          <w:trHeight w:val="238"/>
        </w:trPr>
        <w:tc>
          <w:tcPr>
            <w:tcW w:w="1371" w:type="dxa"/>
            <w:vMerge w:val="restart"/>
            <w:shd w:val="clear" w:color="000000" w:fill="FFFFFF"/>
            <w:noWrap/>
            <w:vAlign w:val="center"/>
          </w:tcPr>
          <w:p w14:paraId="2BFF1D3F" w14:textId="77777777" w:rsidR="00BB46EB" w:rsidRPr="008E4B7F" w:rsidRDefault="00BB46EB" w:rsidP="008E4B7F">
            <w:pPr>
              <w:pStyle w:val="Tabletext0"/>
            </w:pPr>
            <w:r w:rsidRPr="008E4B7F">
              <w:t>2015-16</w:t>
            </w:r>
          </w:p>
        </w:tc>
        <w:tc>
          <w:tcPr>
            <w:tcW w:w="960" w:type="dxa"/>
            <w:shd w:val="clear" w:color="000000" w:fill="FFFFFF"/>
            <w:noWrap/>
            <w:vAlign w:val="center"/>
          </w:tcPr>
          <w:p w14:paraId="7511D632" w14:textId="77777777" w:rsidR="00BB46EB" w:rsidRPr="008E4B7F" w:rsidRDefault="00BB46EB" w:rsidP="008E4B7F">
            <w:pPr>
              <w:pStyle w:val="Tabletext0"/>
            </w:pPr>
            <w:r w:rsidRPr="008E4B7F">
              <w:t>1</w:t>
            </w:r>
          </w:p>
        </w:tc>
        <w:tc>
          <w:tcPr>
            <w:tcW w:w="960" w:type="dxa"/>
            <w:shd w:val="clear" w:color="000000" w:fill="FFFFFF"/>
            <w:noWrap/>
            <w:vAlign w:val="center"/>
          </w:tcPr>
          <w:p w14:paraId="485333F9" w14:textId="77777777" w:rsidR="00BB46EB" w:rsidRPr="008E4B7F" w:rsidRDefault="00BB46EB" w:rsidP="008E4B7F">
            <w:pPr>
              <w:pStyle w:val="Tabletext0"/>
            </w:pPr>
            <w:r w:rsidRPr="008E4B7F">
              <w:t>50,550</w:t>
            </w:r>
          </w:p>
        </w:tc>
        <w:tc>
          <w:tcPr>
            <w:tcW w:w="1187" w:type="dxa"/>
            <w:shd w:val="clear" w:color="000000" w:fill="FFFFFF"/>
            <w:noWrap/>
            <w:vAlign w:val="center"/>
          </w:tcPr>
          <w:p w14:paraId="3AFDC261" w14:textId="77777777" w:rsidR="00BB46EB" w:rsidRPr="008E4B7F" w:rsidRDefault="00BB46EB" w:rsidP="008E4B7F">
            <w:pPr>
              <w:pStyle w:val="Tabletext0"/>
            </w:pPr>
            <w:r w:rsidRPr="008E4B7F">
              <w:t>99.5%</w:t>
            </w:r>
          </w:p>
        </w:tc>
      </w:tr>
      <w:tr w:rsidR="00BB46EB" w:rsidRPr="008E4B7F" w14:paraId="599E3BE2" w14:textId="77777777" w:rsidTr="006A3194">
        <w:trPr>
          <w:trHeight w:val="238"/>
        </w:trPr>
        <w:tc>
          <w:tcPr>
            <w:tcW w:w="1371" w:type="dxa"/>
            <w:vMerge/>
            <w:vAlign w:val="center"/>
          </w:tcPr>
          <w:p w14:paraId="6D542C9D" w14:textId="77777777" w:rsidR="00BB46EB" w:rsidRPr="008E4B7F" w:rsidRDefault="00BB46EB" w:rsidP="008E4B7F">
            <w:pPr>
              <w:pStyle w:val="Tabletext0"/>
            </w:pPr>
          </w:p>
        </w:tc>
        <w:tc>
          <w:tcPr>
            <w:tcW w:w="960" w:type="dxa"/>
            <w:shd w:val="clear" w:color="000000" w:fill="FFFFFF"/>
            <w:noWrap/>
            <w:vAlign w:val="center"/>
          </w:tcPr>
          <w:p w14:paraId="51408051" w14:textId="77777777" w:rsidR="00BB46EB" w:rsidRPr="008E4B7F" w:rsidRDefault="00BB46EB" w:rsidP="008E4B7F">
            <w:pPr>
              <w:pStyle w:val="Tabletext0"/>
            </w:pPr>
            <w:r w:rsidRPr="008E4B7F">
              <w:t>2 or more</w:t>
            </w:r>
          </w:p>
        </w:tc>
        <w:tc>
          <w:tcPr>
            <w:tcW w:w="960" w:type="dxa"/>
            <w:shd w:val="clear" w:color="000000" w:fill="FFFFFF"/>
            <w:noWrap/>
            <w:vAlign w:val="center"/>
          </w:tcPr>
          <w:p w14:paraId="328771E0" w14:textId="77777777" w:rsidR="00BB46EB" w:rsidRPr="008E4B7F" w:rsidRDefault="00BB46EB" w:rsidP="008E4B7F">
            <w:pPr>
              <w:pStyle w:val="Tabletext0"/>
            </w:pPr>
            <w:r w:rsidRPr="008E4B7F">
              <w:t>235</w:t>
            </w:r>
          </w:p>
        </w:tc>
        <w:tc>
          <w:tcPr>
            <w:tcW w:w="1187" w:type="dxa"/>
            <w:shd w:val="clear" w:color="000000" w:fill="FFFFFF"/>
            <w:noWrap/>
            <w:vAlign w:val="center"/>
          </w:tcPr>
          <w:p w14:paraId="11287F09" w14:textId="77777777" w:rsidR="00BB46EB" w:rsidRPr="008E4B7F" w:rsidRDefault="00BB46EB" w:rsidP="008E4B7F">
            <w:pPr>
              <w:pStyle w:val="Tabletext0"/>
            </w:pPr>
            <w:r w:rsidRPr="008E4B7F">
              <w:t>0.5%</w:t>
            </w:r>
          </w:p>
        </w:tc>
      </w:tr>
      <w:tr w:rsidR="00BB46EB" w:rsidRPr="008E4B7F" w14:paraId="4366C3AC" w14:textId="77777777" w:rsidTr="006A3194">
        <w:trPr>
          <w:trHeight w:val="238"/>
        </w:trPr>
        <w:tc>
          <w:tcPr>
            <w:tcW w:w="1371" w:type="dxa"/>
            <w:vMerge w:val="restart"/>
            <w:shd w:val="clear" w:color="000000" w:fill="FFFFFF"/>
            <w:noWrap/>
            <w:vAlign w:val="center"/>
          </w:tcPr>
          <w:p w14:paraId="266C2F1C" w14:textId="77777777" w:rsidR="00BB46EB" w:rsidRPr="008E4B7F" w:rsidRDefault="00BB46EB" w:rsidP="008E4B7F">
            <w:pPr>
              <w:pStyle w:val="Tabletext0"/>
            </w:pPr>
            <w:r w:rsidRPr="008E4B7F">
              <w:t>2016-17*</w:t>
            </w:r>
          </w:p>
        </w:tc>
        <w:tc>
          <w:tcPr>
            <w:tcW w:w="960" w:type="dxa"/>
            <w:shd w:val="clear" w:color="000000" w:fill="FFFFFF"/>
            <w:noWrap/>
            <w:vAlign w:val="center"/>
          </w:tcPr>
          <w:p w14:paraId="1F580F21" w14:textId="77777777" w:rsidR="00BB46EB" w:rsidRPr="008E4B7F" w:rsidRDefault="00BB46EB" w:rsidP="008E4B7F">
            <w:pPr>
              <w:pStyle w:val="Tabletext0"/>
            </w:pPr>
            <w:r w:rsidRPr="008E4B7F">
              <w:t>1</w:t>
            </w:r>
          </w:p>
        </w:tc>
        <w:tc>
          <w:tcPr>
            <w:tcW w:w="960" w:type="dxa"/>
            <w:shd w:val="clear" w:color="000000" w:fill="FFFFFF"/>
            <w:noWrap/>
            <w:vAlign w:val="center"/>
          </w:tcPr>
          <w:p w14:paraId="1049232F" w14:textId="77777777" w:rsidR="00BB46EB" w:rsidRPr="008E4B7F" w:rsidRDefault="00BB46EB" w:rsidP="008E4B7F">
            <w:pPr>
              <w:pStyle w:val="Tabletext0"/>
            </w:pPr>
            <w:r w:rsidRPr="008E4B7F">
              <w:t>43,486</w:t>
            </w:r>
          </w:p>
        </w:tc>
        <w:tc>
          <w:tcPr>
            <w:tcW w:w="1187" w:type="dxa"/>
            <w:shd w:val="clear" w:color="000000" w:fill="FFFFFF"/>
            <w:noWrap/>
            <w:vAlign w:val="center"/>
          </w:tcPr>
          <w:p w14:paraId="60D76C68" w14:textId="77777777" w:rsidR="00BB46EB" w:rsidRPr="008E4B7F" w:rsidRDefault="00BB46EB" w:rsidP="008E4B7F">
            <w:pPr>
              <w:pStyle w:val="Tabletext0"/>
            </w:pPr>
            <w:r w:rsidRPr="008E4B7F">
              <w:t>99.6%</w:t>
            </w:r>
          </w:p>
        </w:tc>
      </w:tr>
      <w:tr w:rsidR="00BB46EB" w:rsidRPr="008E4B7F" w14:paraId="76C0600A" w14:textId="77777777" w:rsidTr="006A3194">
        <w:trPr>
          <w:trHeight w:val="238"/>
        </w:trPr>
        <w:tc>
          <w:tcPr>
            <w:tcW w:w="1371" w:type="dxa"/>
            <w:vMerge/>
            <w:vAlign w:val="center"/>
          </w:tcPr>
          <w:p w14:paraId="586D7AEB" w14:textId="77777777" w:rsidR="00BB46EB" w:rsidRPr="008E4B7F" w:rsidRDefault="00BB46EB" w:rsidP="008E4B7F">
            <w:pPr>
              <w:pStyle w:val="Tabletext0"/>
            </w:pPr>
          </w:p>
        </w:tc>
        <w:tc>
          <w:tcPr>
            <w:tcW w:w="960" w:type="dxa"/>
            <w:shd w:val="clear" w:color="000000" w:fill="FFFFFF"/>
            <w:noWrap/>
            <w:vAlign w:val="center"/>
          </w:tcPr>
          <w:p w14:paraId="7B11769D" w14:textId="77777777" w:rsidR="00BB46EB" w:rsidRPr="008E4B7F" w:rsidRDefault="00BB46EB" w:rsidP="008E4B7F">
            <w:pPr>
              <w:pStyle w:val="Tabletext0"/>
            </w:pPr>
            <w:r w:rsidRPr="008E4B7F">
              <w:t>2 or more</w:t>
            </w:r>
          </w:p>
        </w:tc>
        <w:tc>
          <w:tcPr>
            <w:tcW w:w="960" w:type="dxa"/>
            <w:shd w:val="clear" w:color="000000" w:fill="FFFFFF"/>
            <w:noWrap/>
            <w:vAlign w:val="center"/>
          </w:tcPr>
          <w:p w14:paraId="68005ECB" w14:textId="77777777" w:rsidR="00BB46EB" w:rsidRPr="008E4B7F" w:rsidRDefault="00BB46EB" w:rsidP="008E4B7F">
            <w:pPr>
              <w:pStyle w:val="Tabletext0"/>
            </w:pPr>
            <w:r w:rsidRPr="008E4B7F">
              <w:t>154</w:t>
            </w:r>
          </w:p>
        </w:tc>
        <w:tc>
          <w:tcPr>
            <w:tcW w:w="1187" w:type="dxa"/>
            <w:shd w:val="clear" w:color="000000" w:fill="FFFFFF"/>
            <w:noWrap/>
            <w:vAlign w:val="center"/>
          </w:tcPr>
          <w:p w14:paraId="71417207" w14:textId="77777777" w:rsidR="00BB46EB" w:rsidRPr="008E4B7F" w:rsidRDefault="00BB46EB" w:rsidP="008E4B7F">
            <w:pPr>
              <w:pStyle w:val="Tabletext0"/>
            </w:pPr>
            <w:r w:rsidRPr="008E4B7F">
              <w:t>0.4%</w:t>
            </w:r>
          </w:p>
        </w:tc>
      </w:tr>
    </w:tbl>
    <w:p w14:paraId="7DB109A1" w14:textId="76F4BE7D" w:rsidR="00FE4CCB" w:rsidRPr="000C4D8C" w:rsidRDefault="00BB46EB" w:rsidP="003848BB">
      <w:pPr>
        <w:pStyle w:val="TableNotes"/>
        <w:spacing w:after="0"/>
      </w:pPr>
      <w:r w:rsidRPr="000C4D8C">
        <w:t>*2016-17 data until 31 March 2017, and does not constitute a complete financial year</w:t>
      </w:r>
    </w:p>
    <w:p w14:paraId="70D1B7C3" w14:textId="19259C15" w:rsidR="00BB46EB" w:rsidRDefault="00BB46EB" w:rsidP="003848BB">
      <w:pPr>
        <w:spacing w:before="240"/>
      </w:pPr>
      <w:r>
        <w:t>Of the 229,899 patients who accessed the service in the review period, 97% received th</w:t>
      </w:r>
      <w:r w:rsidR="00FE4CCB">
        <w:t xml:space="preserve">e service only once (Table 5). </w:t>
      </w:r>
    </w:p>
    <w:p w14:paraId="38839AB8" w14:textId="17370832" w:rsidR="00BB46EB" w:rsidRPr="006B60E7" w:rsidRDefault="00BB46EB" w:rsidP="006B60E7">
      <w:pPr>
        <w:spacing w:before="240"/>
        <w:rPr>
          <w:rFonts w:ascii="Arial Narrow" w:hAnsi="Arial Narrow"/>
          <w:b/>
          <w:sz w:val="20"/>
        </w:rPr>
      </w:pPr>
      <w:bookmarkStart w:id="13" w:name="_Toc503955781"/>
      <w:r w:rsidRPr="006B60E7">
        <w:rPr>
          <w:rFonts w:ascii="Arial Narrow" w:hAnsi="Arial Narrow"/>
          <w:b/>
          <w:sz w:val="20"/>
        </w:rPr>
        <w:t xml:space="preserve">Table </w:t>
      </w:r>
      <w:r w:rsidR="00D05628" w:rsidRPr="006B60E7">
        <w:rPr>
          <w:rFonts w:ascii="Arial Narrow" w:hAnsi="Arial Narrow"/>
          <w:b/>
          <w:sz w:val="20"/>
        </w:rPr>
        <w:fldChar w:fldCharType="begin"/>
      </w:r>
      <w:r w:rsidR="00D05628" w:rsidRPr="006B60E7">
        <w:rPr>
          <w:rFonts w:ascii="Arial Narrow" w:hAnsi="Arial Narrow"/>
          <w:b/>
          <w:sz w:val="20"/>
        </w:rPr>
        <w:instrText xml:space="preserve"> SEQ Table \* ARABIC </w:instrText>
      </w:r>
      <w:r w:rsidR="00D05628" w:rsidRPr="006B60E7">
        <w:rPr>
          <w:rFonts w:ascii="Arial Narrow" w:hAnsi="Arial Narrow"/>
          <w:b/>
          <w:sz w:val="20"/>
        </w:rPr>
        <w:fldChar w:fldCharType="separate"/>
      </w:r>
      <w:r w:rsidRPr="006B60E7">
        <w:rPr>
          <w:rFonts w:ascii="Arial Narrow" w:hAnsi="Arial Narrow"/>
          <w:b/>
          <w:sz w:val="20"/>
        </w:rPr>
        <w:t>5</w:t>
      </w:r>
      <w:r w:rsidR="00D05628" w:rsidRPr="006B60E7">
        <w:rPr>
          <w:rFonts w:ascii="Arial Narrow" w:hAnsi="Arial Narrow"/>
          <w:b/>
          <w:sz w:val="20"/>
        </w:rPr>
        <w:fldChar w:fldCharType="end"/>
      </w:r>
      <w:r w:rsidR="00617640" w:rsidRPr="006B60E7">
        <w:rPr>
          <w:rFonts w:ascii="Arial Narrow" w:hAnsi="Arial Narrow"/>
          <w:b/>
          <w:sz w:val="20"/>
        </w:rPr>
        <w:t>:</w:t>
      </w:r>
      <w:r w:rsidRPr="006B60E7">
        <w:rPr>
          <w:rFonts w:ascii="Arial Narrow" w:hAnsi="Arial Narrow"/>
          <w:b/>
          <w:sz w:val="20"/>
        </w:rPr>
        <w:t xml:space="preserve"> Number of services per patient who received MBS item 57360 since service listed 1 July 2011 to 31 March 2017</w:t>
      </w:r>
      <w:bookmarkEnd w:id="13"/>
    </w:p>
    <w:tbl>
      <w:tblPr>
        <w:tblW w:w="4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number of services per patient since service was listed"/>
        <w:tblDescription w:val="This table provides information on the number of services per patient who received MBS item 57360 since service listed 1 July 2011 to 31 March 2017. "/>
      </w:tblPr>
      <w:tblGrid>
        <w:gridCol w:w="1360"/>
        <w:gridCol w:w="1360"/>
        <w:gridCol w:w="1360"/>
      </w:tblGrid>
      <w:tr w:rsidR="00BB46EB" w:rsidRPr="008E4B7F" w14:paraId="131AAE2A" w14:textId="77777777" w:rsidTr="006A3194">
        <w:trPr>
          <w:trHeight w:val="240"/>
        </w:trPr>
        <w:tc>
          <w:tcPr>
            <w:tcW w:w="1360" w:type="dxa"/>
            <w:shd w:val="clear" w:color="auto" w:fill="548DD4" w:themeFill="text2" w:themeFillTint="99"/>
            <w:vAlign w:val="center"/>
          </w:tcPr>
          <w:p w14:paraId="2BD34775" w14:textId="77777777" w:rsidR="00BB46EB" w:rsidRPr="008E4B7F" w:rsidRDefault="00BB46EB" w:rsidP="008E4B7F">
            <w:pPr>
              <w:pStyle w:val="Tabletext0"/>
            </w:pPr>
            <w:r w:rsidRPr="008E4B7F">
              <w:t>Services per Patient</w:t>
            </w:r>
          </w:p>
        </w:tc>
        <w:tc>
          <w:tcPr>
            <w:tcW w:w="1360" w:type="dxa"/>
            <w:shd w:val="clear" w:color="auto" w:fill="548DD4" w:themeFill="text2" w:themeFillTint="99"/>
            <w:vAlign w:val="center"/>
          </w:tcPr>
          <w:p w14:paraId="63691956" w14:textId="77777777" w:rsidR="00BB46EB" w:rsidRPr="008E4B7F" w:rsidRDefault="00BB46EB" w:rsidP="008E4B7F">
            <w:pPr>
              <w:pStyle w:val="Tabletext0"/>
            </w:pPr>
            <w:r w:rsidRPr="008E4B7F">
              <w:t>Count</w:t>
            </w:r>
          </w:p>
        </w:tc>
        <w:tc>
          <w:tcPr>
            <w:tcW w:w="1360" w:type="dxa"/>
            <w:shd w:val="clear" w:color="auto" w:fill="548DD4" w:themeFill="text2" w:themeFillTint="99"/>
            <w:vAlign w:val="center"/>
          </w:tcPr>
          <w:p w14:paraId="51FDDD2B" w14:textId="77777777" w:rsidR="00BB46EB" w:rsidRPr="008E4B7F" w:rsidRDefault="00BB46EB" w:rsidP="008E4B7F">
            <w:pPr>
              <w:pStyle w:val="Tabletext0"/>
            </w:pPr>
            <w:r w:rsidRPr="008E4B7F">
              <w:t>Percentage</w:t>
            </w:r>
          </w:p>
        </w:tc>
      </w:tr>
      <w:tr w:rsidR="00BB46EB" w:rsidRPr="008E4B7F" w14:paraId="26039811" w14:textId="77777777" w:rsidTr="006A3194">
        <w:trPr>
          <w:trHeight w:val="317"/>
        </w:trPr>
        <w:tc>
          <w:tcPr>
            <w:tcW w:w="1360" w:type="dxa"/>
            <w:shd w:val="clear" w:color="000000" w:fill="FFFFFF"/>
            <w:noWrap/>
            <w:vAlign w:val="center"/>
          </w:tcPr>
          <w:p w14:paraId="0198382F" w14:textId="77777777" w:rsidR="00BB46EB" w:rsidRPr="008E4B7F" w:rsidRDefault="00BB46EB" w:rsidP="008E4B7F">
            <w:pPr>
              <w:pStyle w:val="Tabletext0"/>
            </w:pPr>
            <w:r w:rsidRPr="008E4B7F">
              <w:t>Total</w:t>
            </w:r>
          </w:p>
        </w:tc>
        <w:tc>
          <w:tcPr>
            <w:tcW w:w="1360" w:type="dxa"/>
            <w:shd w:val="clear" w:color="000000" w:fill="FFFFFF"/>
            <w:noWrap/>
            <w:vAlign w:val="center"/>
          </w:tcPr>
          <w:p w14:paraId="47B01C05" w14:textId="77777777" w:rsidR="00BB46EB" w:rsidRPr="008E4B7F" w:rsidRDefault="00BB46EB" w:rsidP="008E4B7F">
            <w:pPr>
              <w:pStyle w:val="Tabletext0"/>
            </w:pPr>
            <w:r w:rsidRPr="008E4B7F">
              <w:t xml:space="preserve">229,899 </w:t>
            </w:r>
          </w:p>
        </w:tc>
        <w:tc>
          <w:tcPr>
            <w:tcW w:w="1360" w:type="dxa"/>
            <w:shd w:val="clear" w:color="000000" w:fill="FFFFFF"/>
            <w:noWrap/>
            <w:vAlign w:val="center"/>
          </w:tcPr>
          <w:p w14:paraId="4A2FC774" w14:textId="77777777" w:rsidR="00BB46EB" w:rsidRPr="008E4B7F" w:rsidRDefault="00BB46EB" w:rsidP="008E4B7F">
            <w:pPr>
              <w:pStyle w:val="Tabletext0"/>
            </w:pPr>
            <w:r w:rsidRPr="008E4B7F">
              <w:t xml:space="preserve">100% </w:t>
            </w:r>
          </w:p>
        </w:tc>
      </w:tr>
      <w:tr w:rsidR="00BB46EB" w:rsidRPr="008E4B7F" w14:paraId="60A72E9E" w14:textId="77777777" w:rsidTr="006A3194">
        <w:trPr>
          <w:trHeight w:val="278"/>
        </w:trPr>
        <w:tc>
          <w:tcPr>
            <w:tcW w:w="1360" w:type="dxa"/>
            <w:shd w:val="clear" w:color="000000" w:fill="FFFFFF"/>
            <w:noWrap/>
            <w:vAlign w:val="center"/>
          </w:tcPr>
          <w:p w14:paraId="72ED7F5E" w14:textId="77777777" w:rsidR="00BB46EB" w:rsidRPr="008E4B7F" w:rsidRDefault="00BB46EB" w:rsidP="008E4B7F">
            <w:pPr>
              <w:pStyle w:val="Tabletext0"/>
            </w:pPr>
            <w:r w:rsidRPr="008E4B7F">
              <w:t>1</w:t>
            </w:r>
          </w:p>
        </w:tc>
        <w:tc>
          <w:tcPr>
            <w:tcW w:w="1360" w:type="dxa"/>
            <w:shd w:val="clear" w:color="000000" w:fill="FFFFFF"/>
            <w:noWrap/>
            <w:vAlign w:val="center"/>
          </w:tcPr>
          <w:p w14:paraId="1C3C2606" w14:textId="77777777" w:rsidR="00BB46EB" w:rsidRPr="008E4B7F" w:rsidRDefault="00BB46EB" w:rsidP="008E4B7F">
            <w:pPr>
              <w:pStyle w:val="Tabletext0"/>
            </w:pPr>
            <w:r w:rsidRPr="008E4B7F">
              <w:t xml:space="preserve">222,699 </w:t>
            </w:r>
          </w:p>
        </w:tc>
        <w:tc>
          <w:tcPr>
            <w:tcW w:w="1360" w:type="dxa"/>
            <w:shd w:val="clear" w:color="000000" w:fill="FFFFFF"/>
            <w:noWrap/>
            <w:vAlign w:val="center"/>
          </w:tcPr>
          <w:p w14:paraId="4A8B64CF" w14:textId="77777777" w:rsidR="00BB46EB" w:rsidRPr="008E4B7F" w:rsidRDefault="00BB46EB" w:rsidP="008E4B7F">
            <w:pPr>
              <w:pStyle w:val="Tabletext0"/>
            </w:pPr>
            <w:r w:rsidRPr="008E4B7F">
              <w:t xml:space="preserve">97% </w:t>
            </w:r>
          </w:p>
        </w:tc>
      </w:tr>
      <w:tr w:rsidR="00BB46EB" w:rsidRPr="008E4B7F" w14:paraId="1D8C5D18" w14:textId="77777777" w:rsidTr="006A3194">
        <w:trPr>
          <w:trHeight w:val="240"/>
        </w:trPr>
        <w:tc>
          <w:tcPr>
            <w:tcW w:w="1360" w:type="dxa"/>
            <w:shd w:val="clear" w:color="000000" w:fill="FFFFFF"/>
            <w:noWrap/>
            <w:vAlign w:val="center"/>
          </w:tcPr>
          <w:p w14:paraId="08B43FF0" w14:textId="77777777" w:rsidR="00BB46EB" w:rsidRPr="008E4B7F" w:rsidRDefault="00BB46EB" w:rsidP="008E4B7F">
            <w:pPr>
              <w:pStyle w:val="Tabletext0"/>
            </w:pPr>
            <w:r w:rsidRPr="008E4B7F">
              <w:t>2</w:t>
            </w:r>
          </w:p>
        </w:tc>
        <w:tc>
          <w:tcPr>
            <w:tcW w:w="1360" w:type="dxa"/>
            <w:shd w:val="clear" w:color="000000" w:fill="FFFFFF"/>
            <w:noWrap/>
            <w:vAlign w:val="center"/>
          </w:tcPr>
          <w:p w14:paraId="06059A2E" w14:textId="77777777" w:rsidR="00BB46EB" w:rsidRPr="008E4B7F" w:rsidRDefault="00BB46EB" w:rsidP="008E4B7F">
            <w:pPr>
              <w:pStyle w:val="Tabletext0"/>
            </w:pPr>
            <w:r w:rsidRPr="008E4B7F">
              <w:t xml:space="preserve">6,821 </w:t>
            </w:r>
          </w:p>
        </w:tc>
        <w:tc>
          <w:tcPr>
            <w:tcW w:w="1360" w:type="dxa"/>
            <w:shd w:val="clear" w:color="000000" w:fill="FFFFFF"/>
            <w:noWrap/>
            <w:vAlign w:val="center"/>
          </w:tcPr>
          <w:p w14:paraId="1FF88ED6" w14:textId="77777777" w:rsidR="00BB46EB" w:rsidRPr="008E4B7F" w:rsidRDefault="00BB46EB" w:rsidP="008E4B7F">
            <w:pPr>
              <w:pStyle w:val="Tabletext0"/>
            </w:pPr>
            <w:r w:rsidRPr="008E4B7F">
              <w:t xml:space="preserve">3% </w:t>
            </w:r>
          </w:p>
        </w:tc>
      </w:tr>
      <w:tr w:rsidR="00BB46EB" w:rsidRPr="008E4B7F" w14:paraId="215357A5" w14:textId="77777777" w:rsidTr="006A3194">
        <w:trPr>
          <w:trHeight w:val="314"/>
        </w:trPr>
        <w:tc>
          <w:tcPr>
            <w:tcW w:w="1360" w:type="dxa"/>
            <w:shd w:val="clear" w:color="000000" w:fill="FFFFFF"/>
            <w:noWrap/>
            <w:vAlign w:val="center"/>
          </w:tcPr>
          <w:p w14:paraId="2CDC21C9" w14:textId="77777777" w:rsidR="00BB46EB" w:rsidRPr="008E4B7F" w:rsidRDefault="00BB46EB" w:rsidP="008E4B7F">
            <w:pPr>
              <w:pStyle w:val="Tabletext0"/>
            </w:pPr>
            <w:r w:rsidRPr="008E4B7F">
              <w:t>3-6</w:t>
            </w:r>
          </w:p>
        </w:tc>
        <w:tc>
          <w:tcPr>
            <w:tcW w:w="1360" w:type="dxa"/>
            <w:shd w:val="clear" w:color="000000" w:fill="FFFFFF"/>
            <w:noWrap/>
            <w:vAlign w:val="center"/>
          </w:tcPr>
          <w:p w14:paraId="1408DB1D" w14:textId="77777777" w:rsidR="00BB46EB" w:rsidRPr="008E4B7F" w:rsidRDefault="00BB46EB" w:rsidP="008E4B7F">
            <w:pPr>
              <w:pStyle w:val="Tabletext0"/>
            </w:pPr>
            <w:r w:rsidRPr="008E4B7F">
              <w:t xml:space="preserve">379 </w:t>
            </w:r>
          </w:p>
        </w:tc>
        <w:tc>
          <w:tcPr>
            <w:tcW w:w="1360" w:type="dxa"/>
            <w:shd w:val="clear" w:color="000000" w:fill="FFFFFF"/>
            <w:noWrap/>
            <w:vAlign w:val="center"/>
          </w:tcPr>
          <w:p w14:paraId="32CA98C4" w14:textId="77777777" w:rsidR="00BB46EB" w:rsidRPr="008E4B7F" w:rsidRDefault="00BB46EB" w:rsidP="008E4B7F">
            <w:pPr>
              <w:pStyle w:val="Tabletext0"/>
            </w:pPr>
            <w:r w:rsidRPr="008E4B7F">
              <w:t>-</w:t>
            </w:r>
          </w:p>
        </w:tc>
      </w:tr>
    </w:tbl>
    <w:p w14:paraId="21C43494" w14:textId="47982DF0" w:rsidR="00BB46EB" w:rsidRDefault="00BB46EB" w:rsidP="003848BB">
      <w:pPr>
        <w:pStyle w:val="TableNotes"/>
      </w:pPr>
      <w:r w:rsidRPr="0031246A">
        <w:t xml:space="preserve">Source for tables </w:t>
      </w:r>
      <w:r>
        <w:t>3-5</w:t>
      </w:r>
      <w:r w:rsidRPr="0031246A">
        <w:t xml:space="preserve">: Department of Health, File: </w:t>
      </w:r>
      <w:r w:rsidRPr="006265FD">
        <w:t>Q20801a Item 57360 and 57361</w:t>
      </w:r>
      <w:r w:rsidRPr="0031246A">
        <w:t xml:space="preserve"> utilisation.xlsx</w:t>
      </w:r>
    </w:p>
    <w:p w14:paraId="168757C6" w14:textId="34272D66" w:rsidR="00BB46EB" w:rsidRPr="00D05628" w:rsidRDefault="00BB46EB" w:rsidP="00BB46EB">
      <w:r w:rsidRPr="003137CB">
        <w:t>The service is predominantly claimed by patients aged 55-74</w:t>
      </w:r>
      <w:r>
        <w:t xml:space="preserve"> (see </w:t>
      </w:r>
      <w:r w:rsidRPr="00C64697">
        <w:t>Appendix B</w:t>
      </w:r>
      <w:r>
        <w:t>)</w:t>
      </w:r>
      <w:r w:rsidRPr="003137CB">
        <w:t xml:space="preserve">. </w:t>
      </w:r>
      <w:r>
        <w:br/>
      </w:r>
      <w:r w:rsidRPr="003137CB">
        <w:t xml:space="preserve">A small number of services have been provided to adults aged </w:t>
      </w:r>
      <w:r>
        <w:t>3</w:t>
      </w:r>
      <w:r w:rsidRPr="003137CB">
        <w:t>4 or below</w:t>
      </w:r>
      <w:r>
        <w:t xml:space="preserve">, or those aged over 85 </w:t>
      </w:r>
      <w:r w:rsidRPr="003137CB">
        <w:t>(</w:t>
      </w:r>
      <w:r w:rsidRPr="00D479DD">
        <w:t>Figure 2</w:t>
      </w:r>
      <w:r w:rsidRPr="003137CB">
        <w:t>).</w:t>
      </w:r>
    </w:p>
    <w:p w14:paraId="3FAF16E8" w14:textId="4A03E6A7" w:rsidR="00BB46EB" w:rsidRPr="006B60E7" w:rsidRDefault="00BB46EB" w:rsidP="006B60E7">
      <w:pPr>
        <w:keepNext/>
        <w:keepLines/>
        <w:spacing w:before="240"/>
        <w:rPr>
          <w:rFonts w:ascii="Arial Narrow" w:hAnsi="Arial Narrow"/>
          <w:b/>
          <w:sz w:val="20"/>
        </w:rPr>
      </w:pPr>
      <w:bookmarkStart w:id="14" w:name="_Toc503945836"/>
      <w:r w:rsidRPr="006B60E7">
        <w:rPr>
          <w:rFonts w:ascii="Arial Narrow" w:hAnsi="Arial Narrow"/>
          <w:b/>
          <w:sz w:val="20"/>
        </w:rPr>
        <w:lastRenderedPageBreak/>
        <w:t xml:space="preserve">Figure </w:t>
      </w:r>
      <w:r w:rsidR="00D05628" w:rsidRPr="006B60E7">
        <w:rPr>
          <w:rFonts w:ascii="Arial Narrow" w:hAnsi="Arial Narrow"/>
          <w:b/>
          <w:sz w:val="20"/>
        </w:rPr>
        <w:fldChar w:fldCharType="begin"/>
      </w:r>
      <w:r w:rsidR="00D05628" w:rsidRPr="006B60E7">
        <w:rPr>
          <w:rFonts w:ascii="Arial Narrow" w:hAnsi="Arial Narrow"/>
          <w:b/>
          <w:sz w:val="20"/>
        </w:rPr>
        <w:instrText xml:space="preserve"> SEQ Figure \* ARABIC </w:instrText>
      </w:r>
      <w:r w:rsidR="00D05628" w:rsidRPr="006B60E7">
        <w:rPr>
          <w:rFonts w:ascii="Arial Narrow" w:hAnsi="Arial Narrow"/>
          <w:b/>
          <w:sz w:val="20"/>
        </w:rPr>
        <w:fldChar w:fldCharType="separate"/>
      </w:r>
      <w:r w:rsidRPr="006B60E7">
        <w:rPr>
          <w:rFonts w:ascii="Arial Narrow" w:hAnsi="Arial Narrow"/>
          <w:b/>
          <w:sz w:val="20"/>
        </w:rPr>
        <w:t>2</w:t>
      </w:r>
      <w:r w:rsidR="00D05628" w:rsidRPr="006B60E7">
        <w:rPr>
          <w:rFonts w:ascii="Arial Narrow" w:hAnsi="Arial Narrow"/>
          <w:b/>
          <w:sz w:val="20"/>
        </w:rPr>
        <w:fldChar w:fldCharType="end"/>
      </w:r>
      <w:r w:rsidR="00D05628" w:rsidRPr="006B60E7">
        <w:rPr>
          <w:rFonts w:ascii="Arial Narrow" w:hAnsi="Arial Narrow"/>
          <w:b/>
          <w:sz w:val="20"/>
        </w:rPr>
        <w:t>:</w:t>
      </w:r>
      <w:r w:rsidRPr="006B60E7">
        <w:rPr>
          <w:rFonts w:ascii="Arial Narrow" w:hAnsi="Arial Narrow"/>
          <w:b/>
          <w:sz w:val="20"/>
        </w:rPr>
        <w:t xml:space="preserve"> Total demographic profile for MBS item 57360 from July 2011 to June 2017</w:t>
      </w:r>
      <w:bookmarkEnd w:id="14"/>
    </w:p>
    <w:p w14:paraId="3B0E8DF6" w14:textId="77777777" w:rsidR="00BB46EB" w:rsidRDefault="00BB46EB" w:rsidP="006B60E7">
      <w:pPr>
        <w:keepNext/>
        <w:keepLines/>
        <w:rPr>
          <w:i/>
          <w:sz w:val="20"/>
        </w:rPr>
      </w:pPr>
      <w:r w:rsidRPr="00F771AD">
        <w:rPr>
          <w:noProof/>
          <w:bdr w:val="single" w:sz="4" w:space="0" w:color="auto"/>
        </w:rPr>
        <w:drawing>
          <wp:inline distT="0" distB="0" distL="0" distR="0" wp14:anchorId="66182061" wp14:editId="4BBB669F">
            <wp:extent cx="3826933" cy="2397149"/>
            <wp:effectExtent l="0" t="0" r="2540" b="3175"/>
            <wp:docPr id="4" name="Picture 4" descr="This figure shows total demographic profile for MBS item 57360 from July 2011 to June 2017." title="Figure 2 total demographic profile for MBS item 5736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831692" cy="2400130"/>
                    </a:xfrm>
                    <a:prstGeom prst="rect">
                      <a:avLst/>
                    </a:prstGeom>
                  </pic:spPr>
                </pic:pic>
              </a:graphicData>
            </a:graphic>
          </wp:inline>
        </w:drawing>
      </w:r>
    </w:p>
    <w:p w14:paraId="29B4D6E1" w14:textId="4C212B06" w:rsidR="00BB46EB" w:rsidRPr="00FE4CCB" w:rsidRDefault="00BB46EB" w:rsidP="00BB46EB">
      <w:pPr>
        <w:rPr>
          <w:i/>
          <w:sz w:val="16"/>
          <w:szCs w:val="16"/>
        </w:rPr>
      </w:pPr>
      <w:r w:rsidRPr="0084687C">
        <w:rPr>
          <w:i/>
          <w:sz w:val="16"/>
          <w:szCs w:val="16"/>
        </w:rPr>
        <w:t>Source: DHS Medicare Statistics Online; http://medicarestatistics.humanservices</w:t>
      </w:r>
      <w:r w:rsidR="00FE4CCB">
        <w:rPr>
          <w:i/>
          <w:sz w:val="16"/>
          <w:szCs w:val="16"/>
        </w:rPr>
        <w:t>.gov.au/statistics/mbs_item.jsp</w:t>
      </w:r>
    </w:p>
    <w:p w14:paraId="19A449E3" w14:textId="77777777" w:rsidR="00BB46EB" w:rsidRPr="00A73A16" w:rsidRDefault="00BB46EB" w:rsidP="004A34F7">
      <w:pPr>
        <w:pStyle w:val="Heading3"/>
        <w:rPr>
          <w:sz w:val="24"/>
          <w:szCs w:val="24"/>
        </w:rPr>
      </w:pPr>
      <w:bookmarkStart w:id="15" w:name="_Toc461539948"/>
      <w:bookmarkStart w:id="16" w:name="_Toc503955771"/>
      <w:r w:rsidRPr="00A73A16">
        <w:rPr>
          <w:sz w:val="24"/>
          <w:szCs w:val="24"/>
        </w:rPr>
        <w:t>Provider breakdown</w:t>
      </w:r>
      <w:bookmarkEnd w:id="15"/>
      <w:bookmarkEnd w:id="16"/>
    </w:p>
    <w:p w14:paraId="4D1BDC63" w14:textId="4DE14727" w:rsidR="00BB46EB" w:rsidRDefault="00BB46EB" w:rsidP="00B96359">
      <w:pPr>
        <w:spacing w:before="120"/>
      </w:pPr>
      <w:r w:rsidRPr="008E016C">
        <w:t xml:space="preserve">There has been a gradual increase in the number of practitioners providing services under item </w:t>
      </w:r>
      <w:r>
        <w:t>57360</w:t>
      </w:r>
      <w:r w:rsidRPr="008E016C">
        <w:t>.  T</w:t>
      </w:r>
      <w:r w:rsidRPr="00806AB9">
        <w:t>here were 285 practitioners in 2011-12, increasing to 453 practitioners in 201</w:t>
      </w:r>
      <w:r w:rsidRPr="00D479DD">
        <w:t>5-16 (Table 6)</w:t>
      </w:r>
      <w:r w:rsidRPr="00806AB9">
        <w:t>.</w:t>
      </w:r>
    </w:p>
    <w:p w14:paraId="40E29A15" w14:textId="76CB4C4D" w:rsidR="00BB46EB" w:rsidRPr="006B60E7" w:rsidRDefault="00BB46EB" w:rsidP="006B60E7">
      <w:pPr>
        <w:spacing w:before="240"/>
        <w:rPr>
          <w:rFonts w:ascii="Arial Narrow" w:hAnsi="Arial Narrow"/>
          <w:b/>
          <w:sz w:val="20"/>
        </w:rPr>
      </w:pPr>
      <w:bookmarkStart w:id="17" w:name="_Toc503955782"/>
      <w:r w:rsidRPr="006B60E7">
        <w:rPr>
          <w:rFonts w:ascii="Arial Narrow" w:hAnsi="Arial Narrow"/>
          <w:b/>
          <w:sz w:val="20"/>
        </w:rPr>
        <w:t xml:space="preserve">Table </w:t>
      </w:r>
      <w:r w:rsidR="00D05628" w:rsidRPr="006B60E7">
        <w:rPr>
          <w:rFonts w:ascii="Arial Narrow" w:hAnsi="Arial Narrow"/>
          <w:b/>
          <w:sz w:val="20"/>
        </w:rPr>
        <w:fldChar w:fldCharType="begin"/>
      </w:r>
      <w:r w:rsidR="00D05628" w:rsidRPr="006B60E7">
        <w:rPr>
          <w:rFonts w:ascii="Arial Narrow" w:hAnsi="Arial Narrow"/>
          <w:b/>
          <w:sz w:val="20"/>
        </w:rPr>
        <w:instrText xml:space="preserve"> SEQ Table \* ARABIC </w:instrText>
      </w:r>
      <w:r w:rsidR="00D05628" w:rsidRPr="006B60E7">
        <w:rPr>
          <w:rFonts w:ascii="Arial Narrow" w:hAnsi="Arial Narrow"/>
          <w:b/>
          <w:sz w:val="20"/>
        </w:rPr>
        <w:fldChar w:fldCharType="separate"/>
      </w:r>
      <w:r w:rsidRPr="006B60E7">
        <w:rPr>
          <w:rFonts w:ascii="Arial Narrow" w:hAnsi="Arial Narrow"/>
          <w:b/>
          <w:sz w:val="20"/>
        </w:rPr>
        <w:t>6</w:t>
      </w:r>
      <w:r w:rsidR="00D05628" w:rsidRPr="006B60E7">
        <w:rPr>
          <w:rFonts w:ascii="Arial Narrow" w:hAnsi="Arial Narrow"/>
          <w:b/>
          <w:sz w:val="20"/>
        </w:rPr>
        <w:fldChar w:fldCharType="end"/>
      </w:r>
      <w:r w:rsidR="00D05628" w:rsidRPr="006B60E7">
        <w:rPr>
          <w:rFonts w:ascii="Arial Narrow" w:hAnsi="Arial Narrow"/>
          <w:b/>
          <w:sz w:val="20"/>
        </w:rPr>
        <w:t>:</w:t>
      </w:r>
      <w:r w:rsidRPr="006B60E7">
        <w:rPr>
          <w:rFonts w:ascii="Arial Narrow" w:hAnsi="Arial Narrow"/>
          <w:b/>
          <w:sz w:val="20"/>
        </w:rPr>
        <w:t xml:space="preserve"> Number of practitioners providing services under items 57360 in 2012-13 to 2016-17</w:t>
      </w:r>
      <w:bookmarkEnd w:id="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6 number of practininers providing services "/>
        <w:tblDescription w:val="This table provides information on the number of practioners providing services under item 57360 in 2012 to 2017. it includes information on services and the average number of services. "/>
      </w:tblPr>
      <w:tblGrid>
        <w:gridCol w:w="2127"/>
        <w:gridCol w:w="1417"/>
        <w:gridCol w:w="1134"/>
        <w:gridCol w:w="1134"/>
      </w:tblGrid>
      <w:tr w:rsidR="00BB46EB" w:rsidRPr="008E4B7F" w14:paraId="0C6857D1" w14:textId="77777777" w:rsidTr="006A3194">
        <w:trPr>
          <w:trHeight w:val="325"/>
        </w:trPr>
        <w:tc>
          <w:tcPr>
            <w:tcW w:w="2127" w:type="dxa"/>
            <w:shd w:val="clear" w:color="auto" w:fill="548DD4" w:themeFill="text2" w:themeFillTint="99"/>
            <w:vAlign w:val="center"/>
          </w:tcPr>
          <w:p w14:paraId="503DE27B" w14:textId="77777777" w:rsidR="00BB46EB" w:rsidRPr="008E4B7F" w:rsidRDefault="00BB46EB" w:rsidP="008E4B7F">
            <w:pPr>
              <w:pStyle w:val="Tabletext0"/>
            </w:pPr>
            <w:r w:rsidRPr="008E4B7F">
              <w:t>Financial year</w:t>
            </w:r>
          </w:p>
        </w:tc>
        <w:tc>
          <w:tcPr>
            <w:tcW w:w="1417" w:type="dxa"/>
            <w:shd w:val="clear" w:color="auto" w:fill="548DD4" w:themeFill="text2" w:themeFillTint="99"/>
            <w:vAlign w:val="center"/>
          </w:tcPr>
          <w:p w14:paraId="71267421" w14:textId="77777777" w:rsidR="00BB46EB" w:rsidRPr="008E4B7F" w:rsidRDefault="00BB46EB" w:rsidP="008E4B7F">
            <w:pPr>
              <w:pStyle w:val="Tabletext0"/>
            </w:pPr>
            <w:r w:rsidRPr="008E4B7F">
              <w:t>Practitioners</w:t>
            </w:r>
          </w:p>
        </w:tc>
        <w:tc>
          <w:tcPr>
            <w:tcW w:w="1134" w:type="dxa"/>
            <w:shd w:val="clear" w:color="auto" w:fill="548DD4" w:themeFill="text2" w:themeFillTint="99"/>
            <w:vAlign w:val="center"/>
          </w:tcPr>
          <w:p w14:paraId="6B4201F5" w14:textId="77777777" w:rsidR="00BB46EB" w:rsidRPr="008E4B7F" w:rsidRDefault="00BB46EB" w:rsidP="008E4B7F">
            <w:pPr>
              <w:pStyle w:val="Tabletext0"/>
            </w:pPr>
            <w:r w:rsidRPr="008E4B7F">
              <w:t>Services</w:t>
            </w:r>
          </w:p>
        </w:tc>
        <w:tc>
          <w:tcPr>
            <w:tcW w:w="1134" w:type="dxa"/>
            <w:shd w:val="clear" w:color="auto" w:fill="548DD4" w:themeFill="text2" w:themeFillTint="99"/>
            <w:vAlign w:val="center"/>
          </w:tcPr>
          <w:p w14:paraId="5E520A77" w14:textId="77777777" w:rsidR="00BB46EB" w:rsidRPr="008E4B7F" w:rsidRDefault="00BB46EB" w:rsidP="008E4B7F">
            <w:pPr>
              <w:pStyle w:val="Tabletext0"/>
            </w:pPr>
            <w:r w:rsidRPr="008E4B7F">
              <w:t>Average</w:t>
            </w:r>
          </w:p>
        </w:tc>
      </w:tr>
      <w:tr w:rsidR="00BB46EB" w:rsidRPr="008E4B7F" w14:paraId="15A7C040" w14:textId="77777777" w:rsidTr="006A3194">
        <w:trPr>
          <w:trHeight w:val="193"/>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19FDA593" w14:textId="77777777" w:rsidR="00BB46EB" w:rsidRPr="008E4B7F" w:rsidRDefault="00BB46EB" w:rsidP="008E4B7F">
            <w:pPr>
              <w:pStyle w:val="Tabletext0"/>
            </w:pPr>
            <w:r w:rsidRPr="008E4B7F">
              <w:t>2011-12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2C5B82B" w14:textId="77777777" w:rsidR="00BB46EB" w:rsidRPr="008E4B7F" w:rsidRDefault="00BB46EB" w:rsidP="008E4B7F">
            <w:pPr>
              <w:pStyle w:val="Tabletext0"/>
            </w:pPr>
            <w:r w:rsidRPr="008E4B7F">
              <w:t>285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6371333" w14:textId="77777777" w:rsidR="00BB46EB" w:rsidRPr="008E4B7F" w:rsidRDefault="00BB46EB" w:rsidP="008E4B7F">
            <w:pPr>
              <w:pStyle w:val="Tabletext0"/>
            </w:pPr>
            <w:r w:rsidRPr="008E4B7F">
              <w:t>25,301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9E8739A" w14:textId="77777777" w:rsidR="00BB46EB" w:rsidRPr="008E4B7F" w:rsidRDefault="00BB46EB" w:rsidP="008E4B7F">
            <w:pPr>
              <w:pStyle w:val="Tabletext0"/>
            </w:pPr>
            <w:r w:rsidRPr="008E4B7F">
              <w:t>88.8</w:t>
            </w:r>
          </w:p>
        </w:tc>
      </w:tr>
      <w:tr w:rsidR="00BB46EB" w:rsidRPr="008E4B7F" w14:paraId="411DEBC6" w14:textId="77777777" w:rsidTr="006A3194">
        <w:trPr>
          <w:trHeight w:val="193"/>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5F8720E7" w14:textId="77777777" w:rsidR="00BB46EB" w:rsidRPr="008E4B7F" w:rsidRDefault="00BB46EB" w:rsidP="008E4B7F">
            <w:pPr>
              <w:pStyle w:val="Tabletext0"/>
            </w:pPr>
            <w:r w:rsidRPr="008E4B7F">
              <w:t>2012-13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E062CF6" w14:textId="77777777" w:rsidR="00BB46EB" w:rsidRPr="008E4B7F" w:rsidRDefault="00BB46EB" w:rsidP="008E4B7F">
            <w:pPr>
              <w:pStyle w:val="Tabletext0"/>
            </w:pPr>
            <w:r w:rsidRPr="008E4B7F">
              <w:t>344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DF7BA8D" w14:textId="77777777" w:rsidR="00BB46EB" w:rsidRPr="008E4B7F" w:rsidRDefault="00BB46EB" w:rsidP="008E4B7F">
            <w:pPr>
              <w:pStyle w:val="Tabletext0"/>
            </w:pPr>
            <w:r w:rsidRPr="008E4B7F">
              <w:t>32,468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3BC7D41" w14:textId="77777777" w:rsidR="00BB46EB" w:rsidRPr="008E4B7F" w:rsidRDefault="00BB46EB" w:rsidP="008E4B7F">
            <w:pPr>
              <w:pStyle w:val="Tabletext0"/>
            </w:pPr>
            <w:r w:rsidRPr="008E4B7F">
              <w:t>94.4</w:t>
            </w:r>
          </w:p>
        </w:tc>
      </w:tr>
      <w:tr w:rsidR="00BB46EB" w:rsidRPr="008E4B7F" w14:paraId="630F6E37" w14:textId="77777777" w:rsidTr="006A3194">
        <w:trPr>
          <w:trHeight w:val="193"/>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33EAD782" w14:textId="77777777" w:rsidR="00BB46EB" w:rsidRPr="008E4B7F" w:rsidRDefault="00BB46EB" w:rsidP="008E4B7F">
            <w:pPr>
              <w:pStyle w:val="Tabletext0"/>
            </w:pPr>
            <w:r w:rsidRPr="008E4B7F">
              <w:t>2013-14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35A6221" w14:textId="77777777" w:rsidR="00BB46EB" w:rsidRPr="008E4B7F" w:rsidRDefault="00BB46EB" w:rsidP="008E4B7F">
            <w:pPr>
              <w:pStyle w:val="Tabletext0"/>
            </w:pPr>
            <w:r w:rsidRPr="008E4B7F">
              <w:t>388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D7365E7" w14:textId="77777777" w:rsidR="00BB46EB" w:rsidRPr="008E4B7F" w:rsidRDefault="00BB46EB" w:rsidP="008E4B7F">
            <w:pPr>
              <w:pStyle w:val="Tabletext0"/>
            </w:pPr>
            <w:r w:rsidRPr="008E4B7F">
              <w:t>39,987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F19278E" w14:textId="77777777" w:rsidR="00BB46EB" w:rsidRPr="008E4B7F" w:rsidRDefault="00BB46EB" w:rsidP="008E4B7F">
            <w:pPr>
              <w:pStyle w:val="Tabletext0"/>
            </w:pPr>
            <w:r w:rsidRPr="008E4B7F">
              <w:t>103.1</w:t>
            </w:r>
          </w:p>
        </w:tc>
      </w:tr>
      <w:tr w:rsidR="00BB46EB" w:rsidRPr="008E4B7F" w14:paraId="79E3A0B7" w14:textId="77777777" w:rsidTr="006A3194">
        <w:trPr>
          <w:trHeight w:val="193"/>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620428F1" w14:textId="77777777" w:rsidR="00BB46EB" w:rsidRPr="008E4B7F" w:rsidRDefault="00BB46EB" w:rsidP="008E4B7F">
            <w:pPr>
              <w:pStyle w:val="Tabletext0"/>
            </w:pPr>
            <w:r w:rsidRPr="008E4B7F">
              <w:t>2014-15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4A39425" w14:textId="77777777" w:rsidR="00BB46EB" w:rsidRPr="008E4B7F" w:rsidRDefault="00BB46EB" w:rsidP="008E4B7F">
            <w:pPr>
              <w:pStyle w:val="Tabletext0"/>
            </w:pPr>
            <w:r w:rsidRPr="008E4B7F">
              <w:t>438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2772D2E" w14:textId="77777777" w:rsidR="00BB46EB" w:rsidRPr="008E4B7F" w:rsidRDefault="00BB46EB" w:rsidP="008E4B7F">
            <w:pPr>
              <w:pStyle w:val="Tabletext0"/>
            </w:pPr>
            <w:r w:rsidRPr="008E4B7F">
              <w:t>44,940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10CFA1A" w14:textId="77777777" w:rsidR="00BB46EB" w:rsidRPr="008E4B7F" w:rsidRDefault="00BB46EB" w:rsidP="008E4B7F">
            <w:pPr>
              <w:pStyle w:val="Tabletext0"/>
            </w:pPr>
            <w:r w:rsidRPr="008E4B7F">
              <w:t>102.6</w:t>
            </w:r>
          </w:p>
        </w:tc>
      </w:tr>
      <w:tr w:rsidR="00BB46EB" w:rsidRPr="008E4B7F" w14:paraId="5EA2E850" w14:textId="77777777" w:rsidTr="006A3194">
        <w:trPr>
          <w:trHeight w:val="193"/>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2C99948D" w14:textId="77777777" w:rsidR="00BB46EB" w:rsidRPr="008E4B7F" w:rsidRDefault="00BB46EB" w:rsidP="008E4B7F">
            <w:pPr>
              <w:pStyle w:val="Tabletext0"/>
            </w:pPr>
            <w:r w:rsidRPr="008E4B7F">
              <w:t>2015-16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AE4B9AB" w14:textId="77777777" w:rsidR="00BB46EB" w:rsidRPr="008E4B7F" w:rsidRDefault="00BB46EB" w:rsidP="008E4B7F">
            <w:pPr>
              <w:pStyle w:val="Tabletext0"/>
            </w:pPr>
            <w:r w:rsidRPr="008E4B7F">
              <w:t>453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3B3A3CC" w14:textId="77777777" w:rsidR="00BB46EB" w:rsidRPr="008E4B7F" w:rsidRDefault="00BB46EB" w:rsidP="008E4B7F">
            <w:pPr>
              <w:pStyle w:val="Tabletext0"/>
            </w:pPr>
            <w:r w:rsidRPr="008E4B7F">
              <w:t>51,024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D9F984F" w14:textId="77777777" w:rsidR="00BB46EB" w:rsidRPr="008E4B7F" w:rsidRDefault="00BB46EB" w:rsidP="008E4B7F">
            <w:pPr>
              <w:pStyle w:val="Tabletext0"/>
            </w:pPr>
            <w:r w:rsidRPr="008E4B7F">
              <w:t>112.6</w:t>
            </w:r>
          </w:p>
        </w:tc>
      </w:tr>
      <w:tr w:rsidR="00BB46EB" w:rsidRPr="008E4B7F" w14:paraId="5B8BCC0B" w14:textId="77777777" w:rsidTr="006A3194">
        <w:trPr>
          <w:trHeight w:val="193"/>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2AB72832" w14:textId="77777777" w:rsidR="00BB46EB" w:rsidRPr="008E4B7F" w:rsidRDefault="00BB46EB" w:rsidP="008E4B7F">
            <w:pPr>
              <w:pStyle w:val="Tabletext0"/>
            </w:pPr>
            <w:r w:rsidRPr="008E4B7F">
              <w:t>2016-17*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F8DC58E" w14:textId="77777777" w:rsidR="00BB46EB" w:rsidRPr="008E4B7F" w:rsidRDefault="00BB46EB" w:rsidP="008E4B7F">
            <w:pPr>
              <w:pStyle w:val="Tabletext0"/>
            </w:pPr>
            <w:r w:rsidRPr="008E4B7F">
              <w:t>437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CE0A5B1" w14:textId="77777777" w:rsidR="00BB46EB" w:rsidRPr="008E4B7F" w:rsidRDefault="00BB46EB" w:rsidP="008E4B7F">
            <w:pPr>
              <w:pStyle w:val="Tabletext0"/>
            </w:pPr>
            <w:r w:rsidRPr="008E4B7F">
              <w:t>43,796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1412742" w14:textId="77777777" w:rsidR="00BB46EB" w:rsidRPr="008E4B7F" w:rsidRDefault="00BB46EB" w:rsidP="008E4B7F">
            <w:pPr>
              <w:pStyle w:val="Tabletext0"/>
            </w:pPr>
            <w:r w:rsidRPr="008E4B7F">
              <w:t>100.2</w:t>
            </w:r>
          </w:p>
        </w:tc>
      </w:tr>
      <w:tr w:rsidR="00BB46EB" w:rsidRPr="008E4B7F" w14:paraId="12859E6C" w14:textId="77777777" w:rsidTr="006A3194">
        <w:trPr>
          <w:trHeight w:val="253"/>
        </w:trPr>
        <w:tc>
          <w:tcPr>
            <w:tcW w:w="2127" w:type="dxa"/>
            <w:tcBorders>
              <w:left w:val="single" w:sz="4" w:space="0" w:color="auto"/>
            </w:tcBorders>
            <w:shd w:val="clear" w:color="000000" w:fill="FFFFFF"/>
            <w:vAlign w:val="center"/>
          </w:tcPr>
          <w:p w14:paraId="1D1F9D43" w14:textId="77777777" w:rsidR="00BB46EB" w:rsidRPr="008E4B7F" w:rsidRDefault="00BB46EB" w:rsidP="008E4B7F">
            <w:pPr>
              <w:pStyle w:val="Tabletext0"/>
            </w:pPr>
            <w:r w:rsidRPr="008E4B7F">
              <w:t>All Years</w:t>
            </w:r>
          </w:p>
        </w:tc>
        <w:tc>
          <w:tcPr>
            <w:tcW w:w="1417" w:type="dxa"/>
            <w:shd w:val="clear" w:color="000000" w:fill="FFFFFF"/>
            <w:vAlign w:val="center"/>
          </w:tcPr>
          <w:p w14:paraId="60E0CFF5" w14:textId="77777777" w:rsidR="00BB46EB" w:rsidRPr="008E4B7F" w:rsidRDefault="00BB46EB" w:rsidP="008E4B7F">
            <w:pPr>
              <w:pStyle w:val="Tabletext0"/>
            </w:pPr>
            <w:r w:rsidRPr="008E4B7F">
              <w:t>638</w:t>
            </w:r>
          </w:p>
        </w:tc>
        <w:tc>
          <w:tcPr>
            <w:tcW w:w="1134" w:type="dxa"/>
            <w:shd w:val="clear" w:color="000000" w:fill="FFFFFF"/>
            <w:vAlign w:val="center"/>
          </w:tcPr>
          <w:p w14:paraId="2B96C1D2" w14:textId="77777777" w:rsidR="00BB46EB" w:rsidRPr="008E4B7F" w:rsidRDefault="00BB46EB" w:rsidP="008E4B7F">
            <w:pPr>
              <w:pStyle w:val="Tabletext0"/>
            </w:pPr>
            <w:r w:rsidRPr="008E4B7F">
              <w:t>237,516</w:t>
            </w:r>
          </w:p>
        </w:tc>
        <w:tc>
          <w:tcPr>
            <w:tcW w:w="1134" w:type="dxa"/>
            <w:shd w:val="clear" w:color="000000" w:fill="FFFFFF"/>
            <w:vAlign w:val="center"/>
          </w:tcPr>
          <w:p w14:paraId="51966AA2" w14:textId="77777777" w:rsidR="00BB46EB" w:rsidRPr="008E4B7F" w:rsidRDefault="00BB46EB" w:rsidP="008E4B7F">
            <w:pPr>
              <w:pStyle w:val="Tabletext0"/>
            </w:pPr>
            <w:r w:rsidRPr="008E4B7F">
              <w:t>372.3</w:t>
            </w:r>
          </w:p>
        </w:tc>
      </w:tr>
    </w:tbl>
    <w:p w14:paraId="2B1B5959" w14:textId="77777777" w:rsidR="00BB46EB" w:rsidRPr="00AC3ECB" w:rsidRDefault="00BB46EB" w:rsidP="00492555">
      <w:pPr>
        <w:pStyle w:val="TableNotes"/>
      </w:pPr>
      <w:r w:rsidRPr="00344F2E">
        <w:t>*2016-17 data until 31 March 2017, and does not constitute a complete financial year</w:t>
      </w:r>
    </w:p>
    <w:p w14:paraId="41C8D580" w14:textId="64D4AC42" w:rsidR="00BB46EB" w:rsidRDefault="00BB46EB" w:rsidP="00492555">
      <w:r>
        <w:t>For item 57360, a</w:t>
      </w:r>
      <w:r w:rsidRPr="00C02F9D">
        <w:t xml:space="preserve">bout 25% of practitioners have provided </w:t>
      </w:r>
      <w:r>
        <w:t>approximately 84</w:t>
      </w:r>
      <w:r w:rsidRPr="00C02F9D">
        <w:t>% of al</w:t>
      </w:r>
      <w:r w:rsidRPr="00D479DD">
        <w:t>l services (Table 7).</w:t>
      </w:r>
    </w:p>
    <w:p w14:paraId="50B3642B" w14:textId="703B2EDD" w:rsidR="00BB46EB" w:rsidRPr="006B60E7" w:rsidRDefault="00BB46EB" w:rsidP="006B60E7">
      <w:pPr>
        <w:spacing w:before="240"/>
        <w:rPr>
          <w:rFonts w:ascii="Arial Narrow" w:hAnsi="Arial Narrow"/>
          <w:b/>
          <w:sz w:val="20"/>
        </w:rPr>
      </w:pPr>
      <w:bookmarkStart w:id="18" w:name="_Toc503955783"/>
      <w:r w:rsidRPr="006B60E7">
        <w:rPr>
          <w:rFonts w:ascii="Arial Narrow" w:hAnsi="Arial Narrow"/>
          <w:b/>
          <w:sz w:val="20"/>
        </w:rPr>
        <w:t xml:space="preserve">Table </w:t>
      </w:r>
      <w:r w:rsidR="00D05628" w:rsidRPr="006B60E7">
        <w:rPr>
          <w:rFonts w:ascii="Arial Narrow" w:hAnsi="Arial Narrow"/>
          <w:b/>
          <w:sz w:val="20"/>
        </w:rPr>
        <w:fldChar w:fldCharType="begin"/>
      </w:r>
      <w:r w:rsidR="00D05628" w:rsidRPr="006B60E7">
        <w:rPr>
          <w:rFonts w:ascii="Arial Narrow" w:hAnsi="Arial Narrow"/>
          <w:b/>
          <w:sz w:val="20"/>
        </w:rPr>
        <w:instrText xml:space="preserve"> SEQ Table \* ARABIC </w:instrText>
      </w:r>
      <w:r w:rsidR="00D05628" w:rsidRPr="006B60E7">
        <w:rPr>
          <w:rFonts w:ascii="Arial Narrow" w:hAnsi="Arial Narrow"/>
          <w:b/>
          <w:sz w:val="20"/>
        </w:rPr>
        <w:fldChar w:fldCharType="separate"/>
      </w:r>
      <w:r w:rsidRPr="006B60E7">
        <w:rPr>
          <w:rFonts w:ascii="Arial Narrow" w:hAnsi="Arial Narrow"/>
          <w:b/>
          <w:sz w:val="20"/>
        </w:rPr>
        <w:t>7</w:t>
      </w:r>
      <w:r w:rsidR="00D05628" w:rsidRPr="006B60E7">
        <w:rPr>
          <w:rFonts w:ascii="Arial Narrow" w:hAnsi="Arial Narrow"/>
          <w:b/>
          <w:sz w:val="20"/>
        </w:rPr>
        <w:fldChar w:fldCharType="end"/>
      </w:r>
      <w:r w:rsidR="00D05628" w:rsidRPr="006B60E7">
        <w:rPr>
          <w:rFonts w:ascii="Arial Narrow" w:hAnsi="Arial Narrow"/>
          <w:b/>
          <w:sz w:val="20"/>
        </w:rPr>
        <w:t>:</w:t>
      </w:r>
      <w:r w:rsidRPr="006B60E7">
        <w:rPr>
          <w:rFonts w:ascii="Arial Narrow" w:hAnsi="Arial Narrow"/>
          <w:b/>
          <w:sz w:val="20"/>
        </w:rPr>
        <w:t xml:space="preserve"> Cumulative percentage of medic</w:t>
      </w:r>
      <w:r w:rsidR="00774C0E" w:rsidRPr="006B60E7">
        <w:rPr>
          <w:rFonts w:ascii="Arial Narrow" w:hAnsi="Arial Narrow"/>
          <w:b/>
          <w:sz w:val="20"/>
        </w:rPr>
        <w:t>al practitioners providing item</w:t>
      </w:r>
      <w:r w:rsidRPr="006B60E7">
        <w:rPr>
          <w:rFonts w:ascii="Arial Narrow" w:hAnsi="Arial Narrow"/>
          <w:b/>
          <w:sz w:val="20"/>
        </w:rPr>
        <w:t xml:space="preserve"> 57360 and how many services each percentile accounts for in 2011-12 to 2016-17</w:t>
      </w:r>
      <w:bookmarkEnd w:id="18"/>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7 comulative percentage of medical practitioners providing items 57360"/>
        <w:tblDescription w:val="This table provides data on the cumulative percentage of medical practioners providing item 57360 and the number of services each percentile accounts for from 2011 to 2017."/>
      </w:tblPr>
      <w:tblGrid>
        <w:gridCol w:w="1187"/>
        <w:gridCol w:w="1088"/>
        <w:gridCol w:w="1088"/>
        <w:gridCol w:w="1088"/>
        <w:gridCol w:w="1088"/>
        <w:gridCol w:w="1088"/>
        <w:gridCol w:w="1088"/>
        <w:gridCol w:w="1089"/>
      </w:tblGrid>
      <w:tr w:rsidR="00BB46EB" w:rsidRPr="006D4BAF" w14:paraId="0E420540" w14:textId="77777777" w:rsidTr="006A3194">
        <w:trPr>
          <w:trHeight w:val="675"/>
        </w:trPr>
        <w:tc>
          <w:tcPr>
            <w:tcW w:w="1187" w:type="dxa"/>
            <w:shd w:val="clear" w:color="auto" w:fill="548DD4" w:themeFill="text2" w:themeFillTint="99"/>
            <w:vAlign w:val="center"/>
          </w:tcPr>
          <w:p w14:paraId="0D16A934" w14:textId="77777777" w:rsidR="00BB46EB" w:rsidRPr="006D4BAF" w:rsidRDefault="00BB46EB" w:rsidP="008E4B7F">
            <w:pPr>
              <w:pStyle w:val="Tabletext0"/>
            </w:pPr>
            <w:r w:rsidRPr="006D4BAF">
              <w:t>Provider Cumulative %</w:t>
            </w:r>
          </w:p>
        </w:tc>
        <w:tc>
          <w:tcPr>
            <w:tcW w:w="1088" w:type="dxa"/>
            <w:shd w:val="clear" w:color="auto" w:fill="548DD4" w:themeFill="text2" w:themeFillTint="99"/>
          </w:tcPr>
          <w:p w14:paraId="3965F2BA" w14:textId="77777777" w:rsidR="00BB46EB" w:rsidRDefault="00BB46EB" w:rsidP="008E4B7F">
            <w:pPr>
              <w:pStyle w:val="Tabletext0"/>
            </w:pPr>
          </w:p>
          <w:p w14:paraId="171DA450" w14:textId="77777777" w:rsidR="00BB46EB" w:rsidRPr="006D4BAF" w:rsidRDefault="00BB46EB" w:rsidP="008E4B7F">
            <w:pPr>
              <w:pStyle w:val="Tabletext0"/>
            </w:pPr>
            <w:r>
              <w:t>2011</w:t>
            </w:r>
            <w:r w:rsidRPr="006D4BAF">
              <w:t>-1</w:t>
            </w:r>
            <w:r>
              <w:t>2</w:t>
            </w:r>
          </w:p>
        </w:tc>
        <w:tc>
          <w:tcPr>
            <w:tcW w:w="1088" w:type="dxa"/>
            <w:shd w:val="clear" w:color="auto" w:fill="548DD4" w:themeFill="text2" w:themeFillTint="99"/>
            <w:vAlign w:val="center"/>
          </w:tcPr>
          <w:p w14:paraId="67354343" w14:textId="77777777" w:rsidR="00BB46EB" w:rsidRPr="006D4BAF" w:rsidRDefault="00BB46EB" w:rsidP="008E4B7F">
            <w:pPr>
              <w:pStyle w:val="Tabletext0"/>
            </w:pPr>
            <w:r w:rsidRPr="006D4BAF">
              <w:t>2012-13</w:t>
            </w:r>
          </w:p>
        </w:tc>
        <w:tc>
          <w:tcPr>
            <w:tcW w:w="1088" w:type="dxa"/>
            <w:shd w:val="clear" w:color="auto" w:fill="548DD4" w:themeFill="text2" w:themeFillTint="99"/>
            <w:vAlign w:val="center"/>
          </w:tcPr>
          <w:p w14:paraId="01625602" w14:textId="77777777" w:rsidR="00BB46EB" w:rsidRPr="006D4BAF" w:rsidRDefault="00BB46EB" w:rsidP="008E4B7F">
            <w:pPr>
              <w:pStyle w:val="Tabletext0"/>
            </w:pPr>
            <w:r w:rsidRPr="006D4BAF">
              <w:t>2013-14</w:t>
            </w:r>
          </w:p>
        </w:tc>
        <w:tc>
          <w:tcPr>
            <w:tcW w:w="1088" w:type="dxa"/>
            <w:shd w:val="clear" w:color="auto" w:fill="548DD4" w:themeFill="text2" w:themeFillTint="99"/>
            <w:vAlign w:val="center"/>
          </w:tcPr>
          <w:p w14:paraId="348A3716" w14:textId="77777777" w:rsidR="00BB46EB" w:rsidRPr="006D4BAF" w:rsidRDefault="00BB46EB" w:rsidP="008E4B7F">
            <w:pPr>
              <w:pStyle w:val="Tabletext0"/>
            </w:pPr>
            <w:r w:rsidRPr="006D4BAF">
              <w:t>2014-15</w:t>
            </w:r>
          </w:p>
        </w:tc>
        <w:tc>
          <w:tcPr>
            <w:tcW w:w="1088" w:type="dxa"/>
            <w:shd w:val="clear" w:color="auto" w:fill="548DD4" w:themeFill="text2" w:themeFillTint="99"/>
            <w:vAlign w:val="center"/>
          </w:tcPr>
          <w:p w14:paraId="35700EDA" w14:textId="77777777" w:rsidR="00BB46EB" w:rsidRPr="006D4BAF" w:rsidRDefault="00BB46EB" w:rsidP="008E4B7F">
            <w:pPr>
              <w:pStyle w:val="Tabletext0"/>
            </w:pPr>
            <w:r w:rsidRPr="006D4BAF">
              <w:t>2015-16</w:t>
            </w:r>
          </w:p>
        </w:tc>
        <w:tc>
          <w:tcPr>
            <w:tcW w:w="1088" w:type="dxa"/>
            <w:shd w:val="clear" w:color="auto" w:fill="548DD4" w:themeFill="text2" w:themeFillTint="99"/>
            <w:vAlign w:val="center"/>
          </w:tcPr>
          <w:p w14:paraId="26F68798" w14:textId="77777777" w:rsidR="00BB46EB" w:rsidRPr="00545E6E" w:rsidRDefault="00BB46EB" w:rsidP="008E4B7F">
            <w:pPr>
              <w:pStyle w:val="Tabletext0"/>
              <w:rPr>
                <w:sz w:val="16"/>
                <w:szCs w:val="16"/>
              </w:rPr>
            </w:pPr>
            <w:r w:rsidRPr="00545E6E">
              <w:rPr>
                <w:sz w:val="16"/>
                <w:szCs w:val="16"/>
              </w:rPr>
              <w:t>2016-17 (to 31 Mar 17)</w:t>
            </w:r>
          </w:p>
        </w:tc>
        <w:tc>
          <w:tcPr>
            <w:tcW w:w="1089" w:type="dxa"/>
            <w:shd w:val="clear" w:color="auto" w:fill="548DD4" w:themeFill="text2" w:themeFillTint="99"/>
            <w:vAlign w:val="center"/>
          </w:tcPr>
          <w:p w14:paraId="5ABC8B8A" w14:textId="77777777" w:rsidR="00BB46EB" w:rsidRPr="006D4BAF" w:rsidRDefault="00BB46EB" w:rsidP="008E4B7F">
            <w:pPr>
              <w:pStyle w:val="Tabletext0"/>
            </w:pPr>
            <w:r w:rsidRPr="006D4BAF">
              <w:t>All Years</w:t>
            </w:r>
          </w:p>
        </w:tc>
      </w:tr>
      <w:tr w:rsidR="00BB46EB" w:rsidRPr="006D4BAF" w14:paraId="640BF086" w14:textId="77777777" w:rsidTr="006A3194">
        <w:trPr>
          <w:trHeight w:val="300"/>
        </w:trPr>
        <w:tc>
          <w:tcPr>
            <w:tcW w:w="1187" w:type="dxa"/>
            <w:shd w:val="clear" w:color="000000" w:fill="FFFFFF"/>
            <w:noWrap/>
            <w:vAlign w:val="bottom"/>
          </w:tcPr>
          <w:p w14:paraId="15D0331B" w14:textId="77777777" w:rsidR="00BB46EB" w:rsidRPr="00F771AD" w:rsidRDefault="00BB46EB" w:rsidP="008E4B7F">
            <w:pPr>
              <w:pStyle w:val="Tabletext0"/>
              <w:rPr>
                <w:color w:val="000000"/>
              </w:rPr>
            </w:pPr>
            <w:r w:rsidRPr="00F771AD">
              <w:rPr>
                <w:color w:val="000000"/>
              </w:rPr>
              <w:t>5%</w:t>
            </w:r>
          </w:p>
        </w:tc>
        <w:tc>
          <w:tcPr>
            <w:tcW w:w="1088" w:type="dxa"/>
            <w:shd w:val="clear" w:color="000000" w:fill="FFFFFF"/>
            <w:vAlign w:val="center"/>
          </w:tcPr>
          <w:p w14:paraId="6F4557E4" w14:textId="77777777" w:rsidR="00BB46EB" w:rsidRPr="00F771AD" w:rsidRDefault="00BB46EB" w:rsidP="008E4B7F">
            <w:pPr>
              <w:pStyle w:val="Tabletext0"/>
            </w:pPr>
            <w:r w:rsidRPr="00F771AD">
              <w:t>34.7</w:t>
            </w:r>
          </w:p>
        </w:tc>
        <w:tc>
          <w:tcPr>
            <w:tcW w:w="1088" w:type="dxa"/>
            <w:shd w:val="clear" w:color="000000" w:fill="FFFFFF"/>
            <w:noWrap/>
            <w:vAlign w:val="center"/>
          </w:tcPr>
          <w:p w14:paraId="5249B1CD" w14:textId="77777777" w:rsidR="00BB46EB" w:rsidRPr="00F771AD" w:rsidRDefault="00BB46EB" w:rsidP="008E4B7F">
            <w:pPr>
              <w:pStyle w:val="Tabletext0"/>
            </w:pPr>
            <w:r w:rsidRPr="00F771AD">
              <w:t>34.2</w:t>
            </w:r>
          </w:p>
        </w:tc>
        <w:tc>
          <w:tcPr>
            <w:tcW w:w="1088" w:type="dxa"/>
            <w:shd w:val="clear" w:color="000000" w:fill="FFFFFF"/>
            <w:noWrap/>
            <w:vAlign w:val="center"/>
          </w:tcPr>
          <w:p w14:paraId="7036D592" w14:textId="77777777" w:rsidR="00BB46EB" w:rsidRPr="00F771AD" w:rsidRDefault="00BB46EB" w:rsidP="008E4B7F">
            <w:pPr>
              <w:pStyle w:val="Tabletext0"/>
            </w:pPr>
            <w:r w:rsidRPr="00F771AD">
              <w:t>35.4</w:t>
            </w:r>
          </w:p>
        </w:tc>
        <w:tc>
          <w:tcPr>
            <w:tcW w:w="1088" w:type="dxa"/>
            <w:shd w:val="clear" w:color="000000" w:fill="FFFFFF"/>
            <w:vAlign w:val="center"/>
          </w:tcPr>
          <w:p w14:paraId="02AC228D" w14:textId="77777777" w:rsidR="00BB46EB" w:rsidRPr="00F771AD" w:rsidRDefault="00BB46EB" w:rsidP="008E4B7F">
            <w:pPr>
              <w:pStyle w:val="Tabletext0"/>
            </w:pPr>
            <w:r w:rsidRPr="00F771AD">
              <w:t>34.3</w:t>
            </w:r>
          </w:p>
        </w:tc>
        <w:tc>
          <w:tcPr>
            <w:tcW w:w="1088" w:type="dxa"/>
            <w:shd w:val="clear" w:color="000000" w:fill="FFFFFF"/>
            <w:vAlign w:val="center"/>
          </w:tcPr>
          <w:p w14:paraId="20B62CE7" w14:textId="77777777" w:rsidR="00BB46EB" w:rsidRPr="00F771AD" w:rsidRDefault="00BB46EB" w:rsidP="008E4B7F">
            <w:pPr>
              <w:pStyle w:val="Tabletext0"/>
            </w:pPr>
            <w:r w:rsidRPr="00F771AD">
              <w:t>33.9</w:t>
            </w:r>
          </w:p>
        </w:tc>
        <w:tc>
          <w:tcPr>
            <w:tcW w:w="1088" w:type="dxa"/>
            <w:shd w:val="clear" w:color="000000" w:fill="FFFFFF"/>
            <w:noWrap/>
            <w:vAlign w:val="center"/>
          </w:tcPr>
          <w:p w14:paraId="07E55DCF" w14:textId="77777777" w:rsidR="00BB46EB" w:rsidRPr="00F771AD" w:rsidRDefault="00BB46EB" w:rsidP="008E4B7F">
            <w:pPr>
              <w:pStyle w:val="Tabletext0"/>
            </w:pPr>
            <w:r w:rsidRPr="00F771AD">
              <w:t>33.0</w:t>
            </w:r>
          </w:p>
        </w:tc>
        <w:tc>
          <w:tcPr>
            <w:tcW w:w="1089" w:type="dxa"/>
            <w:shd w:val="clear" w:color="000000" w:fill="FFFFFF"/>
            <w:noWrap/>
            <w:vAlign w:val="center"/>
          </w:tcPr>
          <w:p w14:paraId="054C880C" w14:textId="77777777" w:rsidR="00BB46EB" w:rsidRPr="00545E6E" w:rsidRDefault="00BB46EB" w:rsidP="008E4B7F">
            <w:pPr>
              <w:pStyle w:val="Tabletext0"/>
            </w:pPr>
            <w:r w:rsidRPr="00545E6E">
              <w:t>41.4</w:t>
            </w:r>
          </w:p>
        </w:tc>
      </w:tr>
      <w:tr w:rsidR="00BB46EB" w:rsidRPr="006D4BAF" w14:paraId="4426A935" w14:textId="77777777" w:rsidTr="006A3194">
        <w:trPr>
          <w:trHeight w:val="300"/>
        </w:trPr>
        <w:tc>
          <w:tcPr>
            <w:tcW w:w="1187" w:type="dxa"/>
            <w:shd w:val="clear" w:color="000000" w:fill="FFFFFF"/>
            <w:noWrap/>
            <w:vAlign w:val="bottom"/>
          </w:tcPr>
          <w:p w14:paraId="39173F6A" w14:textId="77777777" w:rsidR="00BB46EB" w:rsidRPr="00F771AD" w:rsidRDefault="00BB46EB" w:rsidP="008E4B7F">
            <w:pPr>
              <w:pStyle w:val="Tabletext0"/>
              <w:rPr>
                <w:color w:val="000000"/>
              </w:rPr>
            </w:pPr>
            <w:r w:rsidRPr="00F771AD">
              <w:rPr>
                <w:color w:val="000000"/>
              </w:rPr>
              <w:t>10%</w:t>
            </w:r>
          </w:p>
        </w:tc>
        <w:tc>
          <w:tcPr>
            <w:tcW w:w="1088" w:type="dxa"/>
            <w:shd w:val="clear" w:color="000000" w:fill="FFFFFF"/>
            <w:vAlign w:val="center"/>
          </w:tcPr>
          <w:p w14:paraId="4BE88D37" w14:textId="77777777" w:rsidR="00BB46EB" w:rsidRPr="00F771AD" w:rsidRDefault="00BB46EB" w:rsidP="008E4B7F">
            <w:pPr>
              <w:pStyle w:val="Tabletext0"/>
            </w:pPr>
            <w:r w:rsidRPr="00F771AD">
              <w:t>51.7</w:t>
            </w:r>
          </w:p>
        </w:tc>
        <w:tc>
          <w:tcPr>
            <w:tcW w:w="1088" w:type="dxa"/>
            <w:shd w:val="clear" w:color="000000" w:fill="FFFFFF"/>
            <w:noWrap/>
            <w:vAlign w:val="center"/>
          </w:tcPr>
          <w:p w14:paraId="337E4A4D" w14:textId="77777777" w:rsidR="00BB46EB" w:rsidRPr="00F771AD" w:rsidRDefault="00BB46EB" w:rsidP="008E4B7F">
            <w:pPr>
              <w:pStyle w:val="Tabletext0"/>
            </w:pPr>
            <w:r w:rsidRPr="00F771AD">
              <w:t>51.2</w:t>
            </w:r>
          </w:p>
        </w:tc>
        <w:tc>
          <w:tcPr>
            <w:tcW w:w="1088" w:type="dxa"/>
            <w:shd w:val="clear" w:color="000000" w:fill="FFFFFF"/>
            <w:noWrap/>
            <w:vAlign w:val="center"/>
          </w:tcPr>
          <w:p w14:paraId="0EF54537" w14:textId="77777777" w:rsidR="00BB46EB" w:rsidRPr="00F771AD" w:rsidRDefault="00BB46EB" w:rsidP="008E4B7F">
            <w:pPr>
              <w:pStyle w:val="Tabletext0"/>
            </w:pPr>
            <w:r w:rsidRPr="00F771AD">
              <w:t>51.0</w:t>
            </w:r>
          </w:p>
        </w:tc>
        <w:tc>
          <w:tcPr>
            <w:tcW w:w="1088" w:type="dxa"/>
            <w:shd w:val="clear" w:color="000000" w:fill="FFFFFF"/>
            <w:vAlign w:val="center"/>
          </w:tcPr>
          <w:p w14:paraId="726D0F44" w14:textId="77777777" w:rsidR="00BB46EB" w:rsidRPr="00F771AD" w:rsidRDefault="00BB46EB" w:rsidP="008E4B7F">
            <w:pPr>
              <w:pStyle w:val="Tabletext0"/>
            </w:pPr>
            <w:r w:rsidRPr="00F771AD">
              <w:t>49.7</w:t>
            </w:r>
          </w:p>
        </w:tc>
        <w:tc>
          <w:tcPr>
            <w:tcW w:w="1088" w:type="dxa"/>
            <w:shd w:val="clear" w:color="000000" w:fill="FFFFFF"/>
            <w:vAlign w:val="center"/>
          </w:tcPr>
          <w:p w14:paraId="5CEF9E0F" w14:textId="77777777" w:rsidR="00BB46EB" w:rsidRPr="00F771AD" w:rsidRDefault="00BB46EB" w:rsidP="008E4B7F">
            <w:pPr>
              <w:pStyle w:val="Tabletext0"/>
            </w:pPr>
            <w:r w:rsidRPr="00F771AD">
              <w:t>50.1</w:t>
            </w:r>
          </w:p>
        </w:tc>
        <w:tc>
          <w:tcPr>
            <w:tcW w:w="1088" w:type="dxa"/>
            <w:shd w:val="clear" w:color="000000" w:fill="FFFFFF"/>
            <w:noWrap/>
            <w:vAlign w:val="center"/>
          </w:tcPr>
          <w:p w14:paraId="6F8F971D" w14:textId="77777777" w:rsidR="00BB46EB" w:rsidRPr="00F771AD" w:rsidRDefault="00BB46EB" w:rsidP="008E4B7F">
            <w:pPr>
              <w:pStyle w:val="Tabletext0"/>
            </w:pPr>
            <w:r w:rsidRPr="00F771AD">
              <w:t>48.5</w:t>
            </w:r>
          </w:p>
        </w:tc>
        <w:tc>
          <w:tcPr>
            <w:tcW w:w="1089" w:type="dxa"/>
            <w:shd w:val="clear" w:color="000000" w:fill="FFFFFF"/>
            <w:noWrap/>
            <w:vAlign w:val="center"/>
          </w:tcPr>
          <w:p w14:paraId="72A5226D" w14:textId="77777777" w:rsidR="00BB46EB" w:rsidRPr="00545E6E" w:rsidRDefault="00BB46EB" w:rsidP="008E4B7F">
            <w:pPr>
              <w:pStyle w:val="Tabletext0"/>
            </w:pPr>
            <w:r w:rsidRPr="00545E6E">
              <w:t>58.3</w:t>
            </w:r>
          </w:p>
        </w:tc>
      </w:tr>
      <w:tr w:rsidR="00BB46EB" w:rsidRPr="006D4BAF" w14:paraId="3EC45F9B" w14:textId="77777777" w:rsidTr="006A3194">
        <w:trPr>
          <w:trHeight w:val="300"/>
        </w:trPr>
        <w:tc>
          <w:tcPr>
            <w:tcW w:w="1187" w:type="dxa"/>
            <w:shd w:val="clear" w:color="000000" w:fill="FFFFFF"/>
            <w:noWrap/>
            <w:vAlign w:val="bottom"/>
          </w:tcPr>
          <w:p w14:paraId="1A36289A" w14:textId="77777777" w:rsidR="00BB46EB" w:rsidRPr="00F771AD" w:rsidRDefault="00BB46EB" w:rsidP="008E4B7F">
            <w:pPr>
              <w:pStyle w:val="Tabletext0"/>
              <w:rPr>
                <w:color w:val="000000"/>
              </w:rPr>
            </w:pPr>
            <w:r w:rsidRPr="00F771AD">
              <w:rPr>
                <w:color w:val="000000"/>
              </w:rPr>
              <w:t>25%</w:t>
            </w:r>
          </w:p>
        </w:tc>
        <w:tc>
          <w:tcPr>
            <w:tcW w:w="1088" w:type="dxa"/>
            <w:shd w:val="clear" w:color="000000" w:fill="FFFFFF"/>
            <w:vAlign w:val="center"/>
          </w:tcPr>
          <w:p w14:paraId="2AC06753" w14:textId="77777777" w:rsidR="00BB46EB" w:rsidRPr="00F771AD" w:rsidRDefault="00BB46EB" w:rsidP="008E4B7F">
            <w:pPr>
              <w:pStyle w:val="Tabletext0"/>
            </w:pPr>
            <w:r w:rsidRPr="00F771AD">
              <w:t>77.6</w:t>
            </w:r>
          </w:p>
        </w:tc>
        <w:tc>
          <w:tcPr>
            <w:tcW w:w="1088" w:type="dxa"/>
            <w:shd w:val="clear" w:color="000000" w:fill="FFFFFF"/>
            <w:noWrap/>
            <w:vAlign w:val="center"/>
          </w:tcPr>
          <w:p w14:paraId="3248AAA7" w14:textId="77777777" w:rsidR="00BB46EB" w:rsidRPr="00F771AD" w:rsidRDefault="00BB46EB" w:rsidP="008E4B7F">
            <w:pPr>
              <w:pStyle w:val="Tabletext0"/>
            </w:pPr>
            <w:r w:rsidRPr="00F771AD">
              <w:t>77.1</w:t>
            </w:r>
          </w:p>
        </w:tc>
        <w:tc>
          <w:tcPr>
            <w:tcW w:w="1088" w:type="dxa"/>
            <w:shd w:val="clear" w:color="000000" w:fill="FFFFFF"/>
            <w:noWrap/>
            <w:vAlign w:val="center"/>
          </w:tcPr>
          <w:p w14:paraId="28C797CB" w14:textId="77777777" w:rsidR="00BB46EB" w:rsidRPr="00F771AD" w:rsidRDefault="00BB46EB" w:rsidP="008E4B7F">
            <w:pPr>
              <w:pStyle w:val="Tabletext0"/>
            </w:pPr>
            <w:r w:rsidRPr="00F771AD">
              <w:t>76.9</w:t>
            </w:r>
          </w:p>
        </w:tc>
        <w:tc>
          <w:tcPr>
            <w:tcW w:w="1088" w:type="dxa"/>
            <w:shd w:val="clear" w:color="000000" w:fill="FFFFFF"/>
            <w:vAlign w:val="center"/>
          </w:tcPr>
          <w:p w14:paraId="0C171965" w14:textId="77777777" w:rsidR="00BB46EB" w:rsidRPr="00F771AD" w:rsidRDefault="00BB46EB" w:rsidP="008E4B7F">
            <w:pPr>
              <w:pStyle w:val="Tabletext0"/>
            </w:pPr>
            <w:r w:rsidRPr="00F771AD">
              <w:t>76.6</w:t>
            </w:r>
          </w:p>
        </w:tc>
        <w:tc>
          <w:tcPr>
            <w:tcW w:w="1088" w:type="dxa"/>
            <w:shd w:val="clear" w:color="000000" w:fill="FFFFFF"/>
            <w:vAlign w:val="center"/>
          </w:tcPr>
          <w:p w14:paraId="6D35F894" w14:textId="77777777" w:rsidR="00BB46EB" w:rsidRPr="00F771AD" w:rsidRDefault="00BB46EB" w:rsidP="008E4B7F">
            <w:pPr>
              <w:pStyle w:val="Tabletext0"/>
            </w:pPr>
            <w:r w:rsidRPr="00F771AD">
              <w:t>76.3</w:t>
            </w:r>
          </w:p>
        </w:tc>
        <w:tc>
          <w:tcPr>
            <w:tcW w:w="1088" w:type="dxa"/>
            <w:shd w:val="clear" w:color="000000" w:fill="FFFFFF"/>
            <w:noWrap/>
            <w:vAlign w:val="center"/>
          </w:tcPr>
          <w:p w14:paraId="4A8E2B25" w14:textId="77777777" w:rsidR="00BB46EB" w:rsidRPr="00F771AD" w:rsidRDefault="00BB46EB" w:rsidP="008E4B7F">
            <w:pPr>
              <w:pStyle w:val="Tabletext0"/>
            </w:pPr>
            <w:r w:rsidRPr="00F771AD">
              <w:t>74.5</w:t>
            </w:r>
          </w:p>
        </w:tc>
        <w:tc>
          <w:tcPr>
            <w:tcW w:w="1089" w:type="dxa"/>
            <w:shd w:val="clear" w:color="000000" w:fill="FFFFFF"/>
            <w:noWrap/>
            <w:vAlign w:val="center"/>
          </w:tcPr>
          <w:p w14:paraId="4B19FB24" w14:textId="77777777" w:rsidR="00BB46EB" w:rsidRPr="00545E6E" w:rsidRDefault="00BB46EB" w:rsidP="008E4B7F">
            <w:pPr>
              <w:pStyle w:val="Tabletext0"/>
            </w:pPr>
            <w:r w:rsidRPr="00545E6E">
              <w:t>83.6</w:t>
            </w:r>
          </w:p>
        </w:tc>
      </w:tr>
      <w:tr w:rsidR="00BB46EB" w:rsidRPr="006D4BAF" w14:paraId="790D3C86" w14:textId="77777777" w:rsidTr="006A3194">
        <w:trPr>
          <w:trHeight w:val="300"/>
        </w:trPr>
        <w:tc>
          <w:tcPr>
            <w:tcW w:w="1187" w:type="dxa"/>
            <w:shd w:val="clear" w:color="000000" w:fill="FFFFFF"/>
            <w:noWrap/>
            <w:vAlign w:val="bottom"/>
          </w:tcPr>
          <w:p w14:paraId="0E949ABF" w14:textId="77777777" w:rsidR="00BB46EB" w:rsidRPr="00F771AD" w:rsidRDefault="00BB46EB" w:rsidP="008E4B7F">
            <w:pPr>
              <w:pStyle w:val="Tabletext0"/>
              <w:rPr>
                <w:color w:val="000000"/>
              </w:rPr>
            </w:pPr>
            <w:r w:rsidRPr="00F771AD">
              <w:rPr>
                <w:color w:val="000000"/>
              </w:rPr>
              <w:t>50%</w:t>
            </w:r>
          </w:p>
        </w:tc>
        <w:tc>
          <w:tcPr>
            <w:tcW w:w="1088" w:type="dxa"/>
            <w:shd w:val="clear" w:color="000000" w:fill="FFFFFF"/>
            <w:vAlign w:val="center"/>
          </w:tcPr>
          <w:p w14:paraId="76015844" w14:textId="77777777" w:rsidR="00BB46EB" w:rsidRPr="00F771AD" w:rsidRDefault="00BB46EB" w:rsidP="008E4B7F">
            <w:pPr>
              <w:pStyle w:val="Tabletext0"/>
            </w:pPr>
            <w:r w:rsidRPr="00F771AD">
              <w:t>94.6</w:t>
            </w:r>
          </w:p>
        </w:tc>
        <w:tc>
          <w:tcPr>
            <w:tcW w:w="1088" w:type="dxa"/>
            <w:shd w:val="clear" w:color="000000" w:fill="FFFFFF"/>
            <w:noWrap/>
            <w:vAlign w:val="center"/>
          </w:tcPr>
          <w:p w14:paraId="2CA42277" w14:textId="77777777" w:rsidR="00BB46EB" w:rsidRPr="00F771AD" w:rsidRDefault="00BB46EB" w:rsidP="008E4B7F">
            <w:pPr>
              <w:pStyle w:val="Tabletext0"/>
            </w:pPr>
            <w:r w:rsidRPr="00F771AD">
              <w:t>94.1</w:t>
            </w:r>
          </w:p>
        </w:tc>
        <w:tc>
          <w:tcPr>
            <w:tcW w:w="1088" w:type="dxa"/>
            <w:shd w:val="clear" w:color="000000" w:fill="FFFFFF"/>
            <w:noWrap/>
            <w:vAlign w:val="center"/>
          </w:tcPr>
          <w:p w14:paraId="2FCAE927" w14:textId="77777777" w:rsidR="00BB46EB" w:rsidRPr="00F771AD" w:rsidRDefault="00BB46EB" w:rsidP="008E4B7F">
            <w:pPr>
              <w:pStyle w:val="Tabletext0"/>
            </w:pPr>
            <w:r w:rsidRPr="00F771AD">
              <w:t>94.6</w:t>
            </w:r>
          </w:p>
        </w:tc>
        <w:tc>
          <w:tcPr>
            <w:tcW w:w="1088" w:type="dxa"/>
            <w:shd w:val="clear" w:color="000000" w:fill="FFFFFF"/>
            <w:vAlign w:val="center"/>
          </w:tcPr>
          <w:p w14:paraId="165F404E" w14:textId="77777777" w:rsidR="00BB46EB" w:rsidRPr="00F771AD" w:rsidRDefault="00BB46EB" w:rsidP="008E4B7F">
            <w:pPr>
              <w:pStyle w:val="Tabletext0"/>
            </w:pPr>
            <w:r w:rsidRPr="00F771AD">
              <w:t>94.2</w:t>
            </w:r>
          </w:p>
        </w:tc>
        <w:tc>
          <w:tcPr>
            <w:tcW w:w="1088" w:type="dxa"/>
            <w:shd w:val="clear" w:color="000000" w:fill="FFFFFF"/>
            <w:vAlign w:val="center"/>
          </w:tcPr>
          <w:p w14:paraId="5F32C095" w14:textId="77777777" w:rsidR="00BB46EB" w:rsidRPr="00F771AD" w:rsidRDefault="00BB46EB" w:rsidP="008E4B7F">
            <w:pPr>
              <w:pStyle w:val="Tabletext0"/>
            </w:pPr>
            <w:r w:rsidRPr="00F771AD">
              <w:t>94.3</w:t>
            </w:r>
          </w:p>
        </w:tc>
        <w:tc>
          <w:tcPr>
            <w:tcW w:w="1088" w:type="dxa"/>
            <w:shd w:val="clear" w:color="000000" w:fill="FFFFFF"/>
            <w:noWrap/>
            <w:vAlign w:val="center"/>
          </w:tcPr>
          <w:p w14:paraId="39130293" w14:textId="77777777" w:rsidR="00BB46EB" w:rsidRPr="00F771AD" w:rsidRDefault="00BB46EB" w:rsidP="008E4B7F">
            <w:pPr>
              <w:pStyle w:val="Tabletext0"/>
            </w:pPr>
            <w:r w:rsidRPr="00F771AD">
              <w:t>94.0</w:t>
            </w:r>
          </w:p>
        </w:tc>
        <w:tc>
          <w:tcPr>
            <w:tcW w:w="1089" w:type="dxa"/>
            <w:shd w:val="clear" w:color="000000" w:fill="FFFFFF"/>
            <w:noWrap/>
            <w:vAlign w:val="center"/>
          </w:tcPr>
          <w:p w14:paraId="29569134" w14:textId="77777777" w:rsidR="00BB46EB" w:rsidRPr="00545E6E" w:rsidRDefault="00BB46EB" w:rsidP="008E4B7F">
            <w:pPr>
              <w:pStyle w:val="Tabletext0"/>
            </w:pPr>
            <w:r w:rsidRPr="00545E6E">
              <w:t>97.1</w:t>
            </w:r>
          </w:p>
        </w:tc>
      </w:tr>
      <w:tr w:rsidR="00BB46EB" w:rsidRPr="006D4BAF" w14:paraId="4B83E75E" w14:textId="77777777" w:rsidTr="006A3194">
        <w:trPr>
          <w:trHeight w:val="300"/>
        </w:trPr>
        <w:tc>
          <w:tcPr>
            <w:tcW w:w="1187" w:type="dxa"/>
            <w:shd w:val="clear" w:color="000000" w:fill="FFFFFF"/>
            <w:noWrap/>
            <w:vAlign w:val="bottom"/>
          </w:tcPr>
          <w:p w14:paraId="0BD7C935" w14:textId="77777777" w:rsidR="00BB46EB" w:rsidRPr="00F771AD" w:rsidRDefault="00BB46EB" w:rsidP="008E4B7F">
            <w:pPr>
              <w:pStyle w:val="Tabletext0"/>
              <w:rPr>
                <w:color w:val="000000"/>
              </w:rPr>
            </w:pPr>
            <w:r w:rsidRPr="00F771AD">
              <w:rPr>
                <w:color w:val="000000"/>
              </w:rPr>
              <w:t>75%</w:t>
            </w:r>
          </w:p>
        </w:tc>
        <w:tc>
          <w:tcPr>
            <w:tcW w:w="1088" w:type="dxa"/>
            <w:shd w:val="clear" w:color="000000" w:fill="FFFFFF"/>
            <w:vAlign w:val="center"/>
          </w:tcPr>
          <w:p w14:paraId="704EB8B6" w14:textId="77777777" w:rsidR="00BB46EB" w:rsidRPr="00F771AD" w:rsidRDefault="00BB46EB" w:rsidP="008E4B7F">
            <w:pPr>
              <w:pStyle w:val="Tabletext0"/>
            </w:pPr>
            <w:r w:rsidRPr="00F771AD">
              <w:t>99.3</w:t>
            </w:r>
          </w:p>
        </w:tc>
        <w:tc>
          <w:tcPr>
            <w:tcW w:w="1088" w:type="dxa"/>
            <w:shd w:val="clear" w:color="000000" w:fill="FFFFFF"/>
            <w:noWrap/>
            <w:vAlign w:val="center"/>
          </w:tcPr>
          <w:p w14:paraId="171122BE" w14:textId="77777777" w:rsidR="00BB46EB" w:rsidRPr="00F771AD" w:rsidRDefault="00BB46EB" w:rsidP="008E4B7F">
            <w:pPr>
              <w:pStyle w:val="Tabletext0"/>
            </w:pPr>
            <w:r w:rsidRPr="00F771AD">
              <w:t>99.2</w:t>
            </w:r>
          </w:p>
        </w:tc>
        <w:tc>
          <w:tcPr>
            <w:tcW w:w="1088" w:type="dxa"/>
            <w:shd w:val="clear" w:color="000000" w:fill="FFFFFF"/>
            <w:noWrap/>
            <w:vAlign w:val="center"/>
          </w:tcPr>
          <w:p w14:paraId="076E99D6" w14:textId="77777777" w:rsidR="00BB46EB" w:rsidRPr="00F771AD" w:rsidRDefault="00BB46EB" w:rsidP="008E4B7F">
            <w:pPr>
              <w:pStyle w:val="Tabletext0"/>
            </w:pPr>
            <w:r w:rsidRPr="00F771AD">
              <w:t>99.3</w:t>
            </w:r>
          </w:p>
        </w:tc>
        <w:tc>
          <w:tcPr>
            <w:tcW w:w="1088" w:type="dxa"/>
            <w:shd w:val="clear" w:color="000000" w:fill="FFFFFF"/>
            <w:vAlign w:val="center"/>
          </w:tcPr>
          <w:p w14:paraId="39104CCE" w14:textId="77777777" w:rsidR="00BB46EB" w:rsidRPr="00F771AD" w:rsidRDefault="00BB46EB" w:rsidP="008E4B7F">
            <w:pPr>
              <w:pStyle w:val="Tabletext0"/>
            </w:pPr>
            <w:r w:rsidRPr="00F771AD">
              <w:t>99.3</w:t>
            </w:r>
          </w:p>
        </w:tc>
        <w:tc>
          <w:tcPr>
            <w:tcW w:w="1088" w:type="dxa"/>
            <w:shd w:val="clear" w:color="000000" w:fill="FFFFFF"/>
            <w:vAlign w:val="center"/>
          </w:tcPr>
          <w:p w14:paraId="415F5F2A" w14:textId="77777777" w:rsidR="00BB46EB" w:rsidRPr="00F771AD" w:rsidRDefault="00BB46EB" w:rsidP="008E4B7F">
            <w:pPr>
              <w:pStyle w:val="Tabletext0"/>
            </w:pPr>
            <w:r w:rsidRPr="00F771AD">
              <w:t>99.3</w:t>
            </w:r>
          </w:p>
        </w:tc>
        <w:tc>
          <w:tcPr>
            <w:tcW w:w="1088" w:type="dxa"/>
            <w:shd w:val="clear" w:color="000000" w:fill="FFFFFF"/>
            <w:noWrap/>
            <w:vAlign w:val="center"/>
          </w:tcPr>
          <w:p w14:paraId="02D2B06B" w14:textId="77777777" w:rsidR="00BB46EB" w:rsidRPr="00F771AD" w:rsidRDefault="00BB46EB" w:rsidP="008E4B7F">
            <w:pPr>
              <w:pStyle w:val="Tabletext0"/>
            </w:pPr>
            <w:r w:rsidRPr="00F771AD">
              <w:t>99.3</w:t>
            </w:r>
          </w:p>
        </w:tc>
        <w:tc>
          <w:tcPr>
            <w:tcW w:w="1089" w:type="dxa"/>
            <w:shd w:val="clear" w:color="000000" w:fill="FFFFFF"/>
            <w:noWrap/>
            <w:vAlign w:val="center"/>
          </w:tcPr>
          <w:p w14:paraId="67C6AA66" w14:textId="77777777" w:rsidR="00BB46EB" w:rsidRPr="00545E6E" w:rsidRDefault="00BB46EB" w:rsidP="008E4B7F">
            <w:pPr>
              <w:pStyle w:val="Tabletext0"/>
            </w:pPr>
            <w:r w:rsidRPr="00545E6E">
              <w:t>99.7</w:t>
            </w:r>
          </w:p>
        </w:tc>
      </w:tr>
      <w:tr w:rsidR="00BB46EB" w:rsidRPr="006D4BAF" w14:paraId="32C1001E" w14:textId="77777777" w:rsidTr="006A3194">
        <w:trPr>
          <w:trHeight w:val="300"/>
        </w:trPr>
        <w:tc>
          <w:tcPr>
            <w:tcW w:w="1187" w:type="dxa"/>
            <w:shd w:val="clear" w:color="000000" w:fill="FFFFFF"/>
            <w:noWrap/>
            <w:vAlign w:val="bottom"/>
          </w:tcPr>
          <w:p w14:paraId="1E4FE99A" w14:textId="77777777" w:rsidR="00BB46EB" w:rsidRPr="00F771AD" w:rsidRDefault="00BB46EB" w:rsidP="008E4B7F">
            <w:pPr>
              <w:pStyle w:val="Tabletext0"/>
              <w:rPr>
                <w:color w:val="000000"/>
              </w:rPr>
            </w:pPr>
            <w:r w:rsidRPr="00F771AD">
              <w:rPr>
                <w:color w:val="000000"/>
              </w:rPr>
              <w:t>95%</w:t>
            </w:r>
          </w:p>
        </w:tc>
        <w:tc>
          <w:tcPr>
            <w:tcW w:w="1088" w:type="dxa"/>
            <w:shd w:val="clear" w:color="000000" w:fill="FFFFFF"/>
            <w:vAlign w:val="center"/>
          </w:tcPr>
          <w:p w14:paraId="7AC1745C" w14:textId="77777777" w:rsidR="00BB46EB" w:rsidRPr="00F771AD" w:rsidRDefault="00BB46EB" w:rsidP="008E4B7F">
            <w:pPr>
              <w:pStyle w:val="Tabletext0"/>
            </w:pPr>
            <w:r w:rsidRPr="00F771AD">
              <w:t>99.9</w:t>
            </w:r>
          </w:p>
        </w:tc>
        <w:tc>
          <w:tcPr>
            <w:tcW w:w="1088" w:type="dxa"/>
            <w:shd w:val="clear" w:color="000000" w:fill="FFFFFF"/>
            <w:noWrap/>
            <w:vAlign w:val="center"/>
          </w:tcPr>
          <w:p w14:paraId="6A99EF32" w14:textId="77777777" w:rsidR="00BB46EB" w:rsidRPr="00F771AD" w:rsidRDefault="00BB46EB" w:rsidP="008E4B7F">
            <w:pPr>
              <w:pStyle w:val="Tabletext0"/>
            </w:pPr>
            <w:r w:rsidRPr="00F771AD">
              <w:t>99.9</w:t>
            </w:r>
          </w:p>
        </w:tc>
        <w:tc>
          <w:tcPr>
            <w:tcW w:w="1088" w:type="dxa"/>
            <w:shd w:val="clear" w:color="000000" w:fill="FFFFFF"/>
            <w:noWrap/>
            <w:vAlign w:val="center"/>
          </w:tcPr>
          <w:p w14:paraId="2E7A4215" w14:textId="77777777" w:rsidR="00BB46EB" w:rsidRPr="00F771AD" w:rsidRDefault="00BB46EB" w:rsidP="008E4B7F">
            <w:pPr>
              <w:pStyle w:val="Tabletext0"/>
            </w:pPr>
            <w:r w:rsidRPr="00F771AD">
              <w:t>100.0</w:t>
            </w:r>
          </w:p>
        </w:tc>
        <w:tc>
          <w:tcPr>
            <w:tcW w:w="1088" w:type="dxa"/>
            <w:shd w:val="clear" w:color="000000" w:fill="FFFFFF"/>
            <w:vAlign w:val="center"/>
          </w:tcPr>
          <w:p w14:paraId="2345EF34" w14:textId="77777777" w:rsidR="00BB46EB" w:rsidRPr="00F771AD" w:rsidRDefault="00BB46EB" w:rsidP="008E4B7F">
            <w:pPr>
              <w:pStyle w:val="Tabletext0"/>
            </w:pPr>
            <w:r w:rsidRPr="00F771AD">
              <w:t>100.0</w:t>
            </w:r>
          </w:p>
        </w:tc>
        <w:tc>
          <w:tcPr>
            <w:tcW w:w="1088" w:type="dxa"/>
            <w:shd w:val="clear" w:color="000000" w:fill="FFFFFF"/>
            <w:vAlign w:val="center"/>
          </w:tcPr>
          <w:p w14:paraId="4CF673FC" w14:textId="77777777" w:rsidR="00BB46EB" w:rsidRPr="00F771AD" w:rsidRDefault="00BB46EB" w:rsidP="008E4B7F">
            <w:pPr>
              <w:pStyle w:val="Tabletext0"/>
            </w:pPr>
            <w:r w:rsidRPr="00F771AD">
              <w:t>100.0</w:t>
            </w:r>
          </w:p>
        </w:tc>
        <w:tc>
          <w:tcPr>
            <w:tcW w:w="1088" w:type="dxa"/>
            <w:shd w:val="clear" w:color="000000" w:fill="FFFFFF"/>
            <w:noWrap/>
            <w:vAlign w:val="center"/>
          </w:tcPr>
          <w:p w14:paraId="25CC5913" w14:textId="77777777" w:rsidR="00BB46EB" w:rsidRPr="00F771AD" w:rsidRDefault="00BB46EB" w:rsidP="008E4B7F">
            <w:pPr>
              <w:pStyle w:val="Tabletext0"/>
            </w:pPr>
            <w:r w:rsidRPr="00F771AD">
              <w:t>100.0</w:t>
            </w:r>
          </w:p>
        </w:tc>
        <w:tc>
          <w:tcPr>
            <w:tcW w:w="1089" w:type="dxa"/>
            <w:shd w:val="clear" w:color="000000" w:fill="FFFFFF"/>
            <w:noWrap/>
            <w:vAlign w:val="center"/>
          </w:tcPr>
          <w:p w14:paraId="2B81EF2B" w14:textId="77777777" w:rsidR="00BB46EB" w:rsidRPr="00545E6E" w:rsidRDefault="00BB46EB" w:rsidP="008E4B7F">
            <w:pPr>
              <w:pStyle w:val="Tabletext0"/>
            </w:pPr>
            <w:r w:rsidRPr="00545E6E">
              <w:t>100.0</w:t>
            </w:r>
          </w:p>
        </w:tc>
      </w:tr>
    </w:tbl>
    <w:p w14:paraId="55970FCD" w14:textId="5E057A65" w:rsidR="00BB46EB" w:rsidRPr="008E016C" w:rsidRDefault="00BB46EB" w:rsidP="003848BB">
      <w:pPr>
        <w:pStyle w:val="TableNotes"/>
      </w:pPr>
      <w:r w:rsidRPr="006D4BAF">
        <w:t xml:space="preserve">Source for tables </w:t>
      </w:r>
      <w:r>
        <w:t>6-7</w:t>
      </w:r>
      <w:r w:rsidRPr="006D4BAF">
        <w:t>: Department of Health, File: Q</w:t>
      </w:r>
      <w:r>
        <w:t>20801a</w:t>
      </w:r>
      <w:r w:rsidRPr="006D4BAF">
        <w:t xml:space="preserve"> Item </w:t>
      </w:r>
      <w:r w:rsidRPr="006D5BF8">
        <w:t xml:space="preserve">57360 and 57361 </w:t>
      </w:r>
      <w:r w:rsidRPr="006D4BAF">
        <w:t>provider concentration.xlsx</w:t>
      </w:r>
      <w:bookmarkStart w:id="19" w:name="_Toc461539949"/>
    </w:p>
    <w:p w14:paraId="608AEE97" w14:textId="5D4B7F22" w:rsidR="00BB46EB" w:rsidRDefault="00BB46EB" w:rsidP="005D7ED9">
      <w:r w:rsidRPr="008E016C">
        <w:t xml:space="preserve">The item is restricted to </w:t>
      </w:r>
      <w:r>
        <w:t>requesting by cardiologists and specialist physicians</w:t>
      </w:r>
      <w:r w:rsidRPr="008E016C">
        <w:t xml:space="preserve">, </w:t>
      </w:r>
      <w:r>
        <w:t xml:space="preserve">and performance by appropriately credentialed specialists.  </w:t>
      </w:r>
      <w:r w:rsidRPr="008E016C">
        <w:t>Data indicate</w:t>
      </w:r>
      <w:r>
        <w:t>s</w:t>
      </w:r>
      <w:r w:rsidRPr="008E016C">
        <w:t xml:space="preserve"> </w:t>
      </w:r>
      <w:r>
        <w:t>that</w:t>
      </w:r>
      <w:r w:rsidRPr="008E016C">
        <w:t xml:space="preserve"> services are </w:t>
      </w:r>
      <w:r>
        <w:t xml:space="preserve">mostly </w:t>
      </w:r>
      <w:r w:rsidRPr="008E016C">
        <w:t xml:space="preserve">being </w:t>
      </w:r>
      <w:r>
        <w:t>performed by diagnostic radiologists, cardiologists and nuclear specialists</w:t>
      </w:r>
      <w:r w:rsidRPr="008E016C">
        <w:t xml:space="preserve">. </w:t>
      </w:r>
      <w:r>
        <w:t xml:space="preserve"> Eighty per cent</w:t>
      </w:r>
      <w:r w:rsidRPr="00C02F9D">
        <w:t xml:space="preserve"> of servic</w:t>
      </w:r>
      <w:r>
        <w:t xml:space="preserve">es were provided by specialist diagnostic </w:t>
      </w:r>
      <w:r w:rsidRPr="00D479DD">
        <w:t>radiologists (Table 8).</w:t>
      </w:r>
    </w:p>
    <w:p w14:paraId="4CEFF723" w14:textId="6FCE1926" w:rsidR="00BB46EB" w:rsidRPr="006B60E7" w:rsidRDefault="00BB46EB" w:rsidP="006B60E7">
      <w:pPr>
        <w:rPr>
          <w:rFonts w:ascii="Arial Narrow" w:hAnsi="Arial Narrow"/>
          <w:b/>
          <w:sz w:val="20"/>
        </w:rPr>
      </w:pPr>
      <w:bookmarkStart w:id="20" w:name="_Toc503955784"/>
      <w:r w:rsidRPr="006B60E7">
        <w:rPr>
          <w:rFonts w:ascii="Arial Narrow" w:hAnsi="Arial Narrow"/>
          <w:b/>
          <w:sz w:val="20"/>
        </w:rPr>
        <w:lastRenderedPageBreak/>
        <w:t xml:space="preserve">Table </w:t>
      </w:r>
      <w:r w:rsidR="00D05628" w:rsidRPr="006B60E7">
        <w:rPr>
          <w:rFonts w:ascii="Arial Narrow" w:hAnsi="Arial Narrow"/>
          <w:b/>
          <w:sz w:val="20"/>
        </w:rPr>
        <w:fldChar w:fldCharType="begin"/>
      </w:r>
      <w:r w:rsidR="00D05628" w:rsidRPr="006B60E7">
        <w:rPr>
          <w:rFonts w:ascii="Arial Narrow" w:hAnsi="Arial Narrow"/>
          <w:b/>
          <w:sz w:val="20"/>
        </w:rPr>
        <w:instrText xml:space="preserve"> SEQ Table \* ARABIC </w:instrText>
      </w:r>
      <w:r w:rsidR="00D05628" w:rsidRPr="006B60E7">
        <w:rPr>
          <w:rFonts w:ascii="Arial Narrow" w:hAnsi="Arial Narrow"/>
          <w:b/>
          <w:sz w:val="20"/>
        </w:rPr>
        <w:fldChar w:fldCharType="separate"/>
      </w:r>
      <w:r w:rsidRPr="006B60E7">
        <w:rPr>
          <w:rFonts w:ascii="Arial Narrow" w:hAnsi="Arial Narrow"/>
          <w:b/>
          <w:sz w:val="20"/>
        </w:rPr>
        <w:t>8</w:t>
      </w:r>
      <w:r w:rsidR="00D05628" w:rsidRPr="006B60E7">
        <w:rPr>
          <w:rFonts w:ascii="Arial Narrow" w:hAnsi="Arial Narrow"/>
          <w:b/>
          <w:sz w:val="20"/>
        </w:rPr>
        <w:fldChar w:fldCharType="end"/>
      </w:r>
      <w:r w:rsidR="00D05628" w:rsidRPr="006B60E7">
        <w:rPr>
          <w:rFonts w:ascii="Arial Narrow" w:hAnsi="Arial Narrow"/>
          <w:b/>
          <w:sz w:val="20"/>
        </w:rPr>
        <w:t>:</w:t>
      </w:r>
      <w:r w:rsidR="00B96359" w:rsidRPr="006B60E7">
        <w:rPr>
          <w:rFonts w:ascii="Arial Narrow" w:hAnsi="Arial Narrow"/>
          <w:b/>
          <w:sz w:val="20"/>
        </w:rPr>
        <w:t xml:space="preserve"> </w:t>
      </w:r>
      <w:r w:rsidRPr="006B60E7">
        <w:rPr>
          <w:rFonts w:ascii="Arial Narrow" w:hAnsi="Arial Narrow"/>
          <w:b/>
          <w:sz w:val="20"/>
        </w:rPr>
        <w:t>Number of services by provider specialty under i</w:t>
      </w:r>
      <w:r w:rsidR="00AF04E1" w:rsidRPr="006B60E7">
        <w:rPr>
          <w:rFonts w:ascii="Arial Narrow" w:hAnsi="Arial Narrow"/>
          <w:b/>
          <w:sz w:val="20"/>
        </w:rPr>
        <w:t xml:space="preserve">tems 57360 between 2011-12 and </w:t>
      </w:r>
      <w:r w:rsidRPr="006B60E7">
        <w:rPr>
          <w:rFonts w:ascii="Arial Narrow" w:hAnsi="Arial Narrow"/>
          <w:b/>
          <w:sz w:val="20"/>
        </w:rPr>
        <w:t>2016-17 (to 31 Mar 17)</w:t>
      </w:r>
      <w:bookmarkEnd w:id="20"/>
    </w:p>
    <w:tbl>
      <w:tblPr>
        <w:tblW w:w="7610" w:type="dxa"/>
        <w:tblInd w:w="93" w:type="dxa"/>
        <w:tblLook w:val="04A0" w:firstRow="1" w:lastRow="0" w:firstColumn="1" w:lastColumn="0" w:noHBand="0" w:noVBand="1"/>
        <w:tblCaption w:val="Table 8 number of services by provider speciality "/>
        <w:tblDescription w:val="This table outlines the number of services provided for MBS item 57360 between 2012 and 2017, by derived major speciality and percetage of the services the speciality provides. "/>
      </w:tblPr>
      <w:tblGrid>
        <w:gridCol w:w="4977"/>
        <w:gridCol w:w="1417"/>
        <w:gridCol w:w="1216"/>
      </w:tblGrid>
      <w:tr w:rsidR="00BB46EB" w:rsidRPr="008E4B7F" w14:paraId="5357C7C0" w14:textId="77777777" w:rsidTr="006A319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14:paraId="2CE8E337" w14:textId="77777777" w:rsidR="00BB46EB" w:rsidRPr="008E4B7F" w:rsidRDefault="00BB46EB" w:rsidP="008E4B7F">
            <w:pPr>
              <w:pStyle w:val="Tabletext0"/>
            </w:pPr>
            <w:r w:rsidRPr="008E4B7F">
              <w:t>Derived Major Specialty</w:t>
            </w:r>
          </w:p>
        </w:tc>
        <w:tc>
          <w:tcPr>
            <w:tcW w:w="1417" w:type="dxa"/>
            <w:tcBorders>
              <w:top w:val="single" w:sz="4" w:space="0" w:color="auto"/>
              <w:left w:val="nil"/>
              <w:bottom w:val="single" w:sz="4" w:space="0" w:color="auto"/>
              <w:right w:val="single" w:sz="4" w:space="0" w:color="auto"/>
            </w:tcBorders>
            <w:shd w:val="clear" w:color="auto" w:fill="548DD4" w:themeFill="text2" w:themeFillTint="99"/>
            <w:vAlign w:val="center"/>
          </w:tcPr>
          <w:p w14:paraId="7D61853A" w14:textId="77777777" w:rsidR="00BB46EB" w:rsidRPr="008E4B7F" w:rsidRDefault="00BB46EB" w:rsidP="008E4B7F">
            <w:pPr>
              <w:pStyle w:val="Tabletext0"/>
            </w:pPr>
            <w:r w:rsidRPr="008E4B7F">
              <w:t>Number of services</w:t>
            </w:r>
          </w:p>
        </w:tc>
        <w:tc>
          <w:tcPr>
            <w:tcW w:w="1216" w:type="dxa"/>
            <w:tcBorders>
              <w:top w:val="single" w:sz="4" w:space="0" w:color="auto"/>
              <w:left w:val="nil"/>
              <w:bottom w:val="single" w:sz="4" w:space="0" w:color="auto"/>
              <w:right w:val="single" w:sz="4" w:space="0" w:color="auto"/>
            </w:tcBorders>
            <w:shd w:val="clear" w:color="auto" w:fill="548DD4" w:themeFill="text2" w:themeFillTint="99"/>
            <w:vAlign w:val="center"/>
          </w:tcPr>
          <w:p w14:paraId="2140F084" w14:textId="77777777" w:rsidR="00BB46EB" w:rsidRPr="008E4B7F" w:rsidRDefault="00BB46EB" w:rsidP="008E4B7F">
            <w:pPr>
              <w:pStyle w:val="Tabletext0"/>
            </w:pPr>
            <w:r w:rsidRPr="008E4B7F">
              <w:t>Percentage</w:t>
            </w:r>
          </w:p>
        </w:tc>
      </w:tr>
      <w:tr w:rsidR="00BB46EB" w:rsidRPr="008E4B7F" w14:paraId="2F1E86FC" w14:textId="77777777" w:rsidTr="006A3194">
        <w:trPr>
          <w:trHeight w:val="300"/>
        </w:trPr>
        <w:tc>
          <w:tcPr>
            <w:tcW w:w="4977" w:type="dxa"/>
            <w:tcBorders>
              <w:top w:val="nil"/>
              <w:left w:val="single" w:sz="4" w:space="0" w:color="auto"/>
              <w:bottom w:val="single" w:sz="4" w:space="0" w:color="auto"/>
              <w:right w:val="single" w:sz="4" w:space="0" w:color="auto"/>
            </w:tcBorders>
            <w:shd w:val="clear" w:color="000000" w:fill="FFFFFF"/>
            <w:noWrap/>
            <w:vAlign w:val="center"/>
          </w:tcPr>
          <w:p w14:paraId="6996FBBF" w14:textId="77777777" w:rsidR="00BB46EB" w:rsidRPr="008E4B7F" w:rsidRDefault="00BB46EB" w:rsidP="008E4B7F">
            <w:pPr>
              <w:pStyle w:val="Tabletext0"/>
            </w:pPr>
            <w:r w:rsidRPr="008E4B7F">
              <w:t>Specialist  - Diagnostic Radiology</w:t>
            </w:r>
          </w:p>
        </w:tc>
        <w:tc>
          <w:tcPr>
            <w:tcW w:w="1417" w:type="dxa"/>
            <w:tcBorders>
              <w:top w:val="nil"/>
              <w:left w:val="nil"/>
              <w:bottom w:val="single" w:sz="4" w:space="0" w:color="auto"/>
              <w:right w:val="single" w:sz="4" w:space="0" w:color="auto"/>
            </w:tcBorders>
            <w:shd w:val="clear" w:color="000000" w:fill="FFFFFF"/>
            <w:noWrap/>
            <w:vAlign w:val="center"/>
          </w:tcPr>
          <w:p w14:paraId="6044B6E9" w14:textId="77777777" w:rsidR="00BB46EB" w:rsidRPr="008E4B7F" w:rsidRDefault="00BB46EB" w:rsidP="008E4B7F">
            <w:pPr>
              <w:pStyle w:val="Tabletext0"/>
            </w:pPr>
            <w:r w:rsidRPr="008E4B7F">
              <w:t xml:space="preserve">190,660 </w:t>
            </w:r>
          </w:p>
        </w:tc>
        <w:tc>
          <w:tcPr>
            <w:tcW w:w="1216" w:type="dxa"/>
            <w:tcBorders>
              <w:top w:val="nil"/>
              <w:left w:val="nil"/>
              <w:bottom w:val="single" w:sz="4" w:space="0" w:color="auto"/>
              <w:right w:val="single" w:sz="4" w:space="0" w:color="auto"/>
            </w:tcBorders>
            <w:shd w:val="clear" w:color="000000" w:fill="FFFFFF"/>
            <w:vAlign w:val="center"/>
          </w:tcPr>
          <w:p w14:paraId="4729F165" w14:textId="77777777" w:rsidR="00BB46EB" w:rsidRPr="008E4B7F" w:rsidRDefault="00BB46EB" w:rsidP="008E4B7F">
            <w:pPr>
              <w:pStyle w:val="Tabletext0"/>
            </w:pPr>
            <w:r w:rsidRPr="008E4B7F">
              <w:t>80.3%</w:t>
            </w:r>
          </w:p>
        </w:tc>
      </w:tr>
      <w:tr w:rsidR="00BB46EB" w:rsidRPr="008E4B7F" w14:paraId="353BB42F" w14:textId="77777777" w:rsidTr="006A3194">
        <w:trPr>
          <w:trHeight w:val="300"/>
        </w:trPr>
        <w:tc>
          <w:tcPr>
            <w:tcW w:w="4977" w:type="dxa"/>
            <w:tcBorders>
              <w:top w:val="nil"/>
              <w:left w:val="single" w:sz="4" w:space="0" w:color="auto"/>
              <w:bottom w:val="single" w:sz="4" w:space="0" w:color="auto"/>
              <w:right w:val="single" w:sz="4" w:space="0" w:color="auto"/>
            </w:tcBorders>
            <w:shd w:val="clear" w:color="000000" w:fill="FFFFFF"/>
            <w:noWrap/>
            <w:vAlign w:val="center"/>
          </w:tcPr>
          <w:p w14:paraId="412D3C7A" w14:textId="77777777" w:rsidR="00BB46EB" w:rsidRPr="008E4B7F" w:rsidRDefault="00BB46EB" w:rsidP="008E4B7F">
            <w:pPr>
              <w:pStyle w:val="Tabletext0"/>
            </w:pPr>
            <w:r w:rsidRPr="008E4B7F">
              <w:t>Specialist  - Cardiology</w:t>
            </w:r>
          </w:p>
        </w:tc>
        <w:tc>
          <w:tcPr>
            <w:tcW w:w="1417" w:type="dxa"/>
            <w:tcBorders>
              <w:top w:val="nil"/>
              <w:left w:val="nil"/>
              <w:bottom w:val="single" w:sz="4" w:space="0" w:color="auto"/>
              <w:right w:val="single" w:sz="4" w:space="0" w:color="auto"/>
            </w:tcBorders>
            <w:shd w:val="clear" w:color="000000" w:fill="FFFFFF"/>
            <w:noWrap/>
            <w:vAlign w:val="center"/>
          </w:tcPr>
          <w:p w14:paraId="7F75E05E" w14:textId="77777777" w:rsidR="00BB46EB" w:rsidRPr="008E4B7F" w:rsidRDefault="00BB46EB" w:rsidP="008E4B7F">
            <w:pPr>
              <w:pStyle w:val="Tabletext0"/>
            </w:pPr>
            <w:r w:rsidRPr="008E4B7F">
              <w:t xml:space="preserve">34,083 </w:t>
            </w:r>
          </w:p>
        </w:tc>
        <w:tc>
          <w:tcPr>
            <w:tcW w:w="1216" w:type="dxa"/>
            <w:tcBorders>
              <w:top w:val="nil"/>
              <w:left w:val="nil"/>
              <w:bottom w:val="single" w:sz="4" w:space="0" w:color="auto"/>
              <w:right w:val="single" w:sz="4" w:space="0" w:color="auto"/>
            </w:tcBorders>
            <w:shd w:val="clear" w:color="000000" w:fill="FFFFFF"/>
            <w:vAlign w:val="center"/>
          </w:tcPr>
          <w:p w14:paraId="682D845C" w14:textId="77777777" w:rsidR="00BB46EB" w:rsidRPr="008E4B7F" w:rsidRDefault="00BB46EB" w:rsidP="008E4B7F">
            <w:pPr>
              <w:pStyle w:val="Tabletext0"/>
            </w:pPr>
            <w:r w:rsidRPr="008E4B7F">
              <w:t>14.3%</w:t>
            </w:r>
          </w:p>
        </w:tc>
      </w:tr>
      <w:tr w:rsidR="00BB46EB" w:rsidRPr="008E4B7F" w14:paraId="603B7DD4" w14:textId="77777777" w:rsidTr="006A3194">
        <w:trPr>
          <w:trHeight w:val="300"/>
        </w:trPr>
        <w:tc>
          <w:tcPr>
            <w:tcW w:w="4977" w:type="dxa"/>
            <w:tcBorders>
              <w:top w:val="nil"/>
              <w:left w:val="single" w:sz="4" w:space="0" w:color="auto"/>
              <w:bottom w:val="single" w:sz="4" w:space="0" w:color="auto"/>
              <w:right w:val="single" w:sz="4" w:space="0" w:color="auto"/>
            </w:tcBorders>
            <w:shd w:val="clear" w:color="000000" w:fill="FFFFFF"/>
            <w:noWrap/>
            <w:vAlign w:val="center"/>
          </w:tcPr>
          <w:p w14:paraId="4E7C4517" w14:textId="77777777" w:rsidR="00BB46EB" w:rsidRPr="008E4B7F" w:rsidRDefault="00BB46EB" w:rsidP="008E4B7F">
            <w:pPr>
              <w:pStyle w:val="Tabletext0"/>
            </w:pPr>
            <w:r w:rsidRPr="008E4B7F">
              <w:t>Specialist - Nuclear Medicine</w:t>
            </w:r>
          </w:p>
        </w:tc>
        <w:tc>
          <w:tcPr>
            <w:tcW w:w="1417" w:type="dxa"/>
            <w:tcBorders>
              <w:top w:val="nil"/>
              <w:left w:val="nil"/>
              <w:bottom w:val="single" w:sz="4" w:space="0" w:color="auto"/>
              <w:right w:val="single" w:sz="4" w:space="0" w:color="auto"/>
            </w:tcBorders>
            <w:shd w:val="clear" w:color="000000" w:fill="FFFFFF"/>
            <w:noWrap/>
            <w:vAlign w:val="center"/>
          </w:tcPr>
          <w:p w14:paraId="10737147" w14:textId="77777777" w:rsidR="00BB46EB" w:rsidRPr="008E4B7F" w:rsidRDefault="00BB46EB" w:rsidP="008E4B7F">
            <w:pPr>
              <w:pStyle w:val="Tabletext0"/>
            </w:pPr>
            <w:r w:rsidRPr="008E4B7F">
              <w:t>12,260</w:t>
            </w:r>
          </w:p>
        </w:tc>
        <w:tc>
          <w:tcPr>
            <w:tcW w:w="1216" w:type="dxa"/>
            <w:tcBorders>
              <w:top w:val="nil"/>
              <w:left w:val="nil"/>
              <w:bottom w:val="single" w:sz="4" w:space="0" w:color="auto"/>
              <w:right w:val="single" w:sz="4" w:space="0" w:color="auto"/>
            </w:tcBorders>
            <w:shd w:val="clear" w:color="000000" w:fill="FFFFFF"/>
            <w:vAlign w:val="center"/>
          </w:tcPr>
          <w:p w14:paraId="37CD762D" w14:textId="77777777" w:rsidR="00BB46EB" w:rsidRPr="008E4B7F" w:rsidRDefault="00BB46EB" w:rsidP="008E4B7F">
            <w:pPr>
              <w:pStyle w:val="Tabletext0"/>
            </w:pPr>
            <w:r w:rsidRPr="008E4B7F">
              <w:t>5.2%</w:t>
            </w:r>
          </w:p>
        </w:tc>
      </w:tr>
      <w:tr w:rsidR="00BB46EB" w:rsidRPr="008E4B7F" w14:paraId="1F82EB86" w14:textId="77777777" w:rsidTr="006A3194">
        <w:trPr>
          <w:trHeight w:val="300"/>
        </w:trPr>
        <w:tc>
          <w:tcPr>
            <w:tcW w:w="4977" w:type="dxa"/>
            <w:tcBorders>
              <w:top w:val="nil"/>
              <w:left w:val="single" w:sz="4" w:space="0" w:color="auto"/>
              <w:bottom w:val="single" w:sz="4" w:space="0" w:color="auto"/>
              <w:right w:val="single" w:sz="4" w:space="0" w:color="auto"/>
            </w:tcBorders>
            <w:shd w:val="clear" w:color="000000" w:fill="FFFFFF"/>
            <w:noWrap/>
            <w:vAlign w:val="center"/>
          </w:tcPr>
          <w:p w14:paraId="655713EB" w14:textId="77777777" w:rsidR="00BB46EB" w:rsidRPr="008E4B7F" w:rsidRDefault="00BB46EB" w:rsidP="008E4B7F">
            <w:pPr>
              <w:pStyle w:val="Tabletext0"/>
            </w:pPr>
            <w:r w:rsidRPr="008E4B7F">
              <w:t>Specialist - Internal Medicine</w:t>
            </w:r>
          </w:p>
        </w:tc>
        <w:tc>
          <w:tcPr>
            <w:tcW w:w="1417" w:type="dxa"/>
            <w:tcBorders>
              <w:top w:val="nil"/>
              <w:left w:val="nil"/>
              <w:bottom w:val="single" w:sz="4" w:space="0" w:color="auto"/>
              <w:right w:val="single" w:sz="4" w:space="0" w:color="auto"/>
            </w:tcBorders>
            <w:shd w:val="clear" w:color="000000" w:fill="FFFFFF"/>
            <w:noWrap/>
            <w:vAlign w:val="center"/>
          </w:tcPr>
          <w:p w14:paraId="58A3F968" w14:textId="77777777" w:rsidR="00BB46EB" w:rsidRPr="008E4B7F" w:rsidRDefault="00BB46EB" w:rsidP="008E4B7F">
            <w:pPr>
              <w:pStyle w:val="Tabletext0"/>
            </w:pPr>
            <w:r w:rsidRPr="008E4B7F">
              <w:t xml:space="preserve">513  </w:t>
            </w:r>
          </w:p>
        </w:tc>
        <w:tc>
          <w:tcPr>
            <w:tcW w:w="1216" w:type="dxa"/>
            <w:tcBorders>
              <w:top w:val="nil"/>
              <w:left w:val="nil"/>
              <w:bottom w:val="single" w:sz="4" w:space="0" w:color="auto"/>
              <w:right w:val="single" w:sz="4" w:space="0" w:color="auto"/>
            </w:tcBorders>
            <w:shd w:val="clear" w:color="000000" w:fill="FFFFFF"/>
            <w:vAlign w:val="center"/>
          </w:tcPr>
          <w:p w14:paraId="25A3FF39" w14:textId="77777777" w:rsidR="00BB46EB" w:rsidRPr="008E4B7F" w:rsidRDefault="00BB46EB" w:rsidP="008E4B7F">
            <w:pPr>
              <w:pStyle w:val="Tabletext0"/>
            </w:pPr>
            <w:r w:rsidRPr="008E4B7F">
              <w:t>0.22%</w:t>
            </w:r>
          </w:p>
        </w:tc>
      </w:tr>
      <w:tr w:rsidR="00BB46EB" w:rsidRPr="008E4B7F" w14:paraId="3ADF07DD" w14:textId="77777777" w:rsidTr="006A3194">
        <w:trPr>
          <w:trHeight w:val="300"/>
        </w:trPr>
        <w:tc>
          <w:tcPr>
            <w:tcW w:w="4977" w:type="dxa"/>
            <w:tcBorders>
              <w:top w:val="nil"/>
              <w:left w:val="single" w:sz="4" w:space="0" w:color="auto"/>
              <w:bottom w:val="single" w:sz="4" w:space="0" w:color="auto"/>
              <w:right w:val="single" w:sz="4" w:space="0" w:color="auto"/>
            </w:tcBorders>
            <w:shd w:val="clear" w:color="000000" w:fill="FFFFFF"/>
            <w:noWrap/>
            <w:vAlign w:val="center"/>
          </w:tcPr>
          <w:p w14:paraId="7C9247E5" w14:textId="77777777" w:rsidR="00BB46EB" w:rsidRPr="008E4B7F" w:rsidRDefault="00BB46EB" w:rsidP="008E4B7F">
            <w:pPr>
              <w:pStyle w:val="Tabletext0"/>
            </w:pPr>
            <w:r w:rsidRPr="008E4B7F">
              <w:t>Total</w:t>
            </w:r>
          </w:p>
        </w:tc>
        <w:tc>
          <w:tcPr>
            <w:tcW w:w="1417" w:type="dxa"/>
            <w:tcBorders>
              <w:top w:val="nil"/>
              <w:left w:val="nil"/>
              <w:bottom w:val="single" w:sz="4" w:space="0" w:color="auto"/>
              <w:right w:val="single" w:sz="4" w:space="0" w:color="auto"/>
            </w:tcBorders>
            <w:shd w:val="clear" w:color="000000" w:fill="FFFFFF"/>
            <w:noWrap/>
            <w:vAlign w:val="center"/>
          </w:tcPr>
          <w:p w14:paraId="12DD22B1" w14:textId="77777777" w:rsidR="00BB46EB" w:rsidRPr="008E4B7F" w:rsidRDefault="00BB46EB" w:rsidP="008E4B7F">
            <w:pPr>
              <w:pStyle w:val="Tabletext0"/>
            </w:pPr>
            <w:r w:rsidRPr="008E4B7F">
              <w:t xml:space="preserve">237,516 </w:t>
            </w:r>
          </w:p>
        </w:tc>
        <w:tc>
          <w:tcPr>
            <w:tcW w:w="1216" w:type="dxa"/>
            <w:tcBorders>
              <w:top w:val="nil"/>
              <w:left w:val="nil"/>
              <w:bottom w:val="single" w:sz="4" w:space="0" w:color="auto"/>
              <w:right w:val="single" w:sz="4" w:space="0" w:color="auto"/>
            </w:tcBorders>
            <w:shd w:val="clear" w:color="000000" w:fill="FFFFFF"/>
            <w:vAlign w:val="center"/>
          </w:tcPr>
          <w:p w14:paraId="48889593" w14:textId="77777777" w:rsidR="00BB46EB" w:rsidRPr="008E4B7F" w:rsidRDefault="00BB46EB" w:rsidP="008E4B7F">
            <w:pPr>
              <w:pStyle w:val="Tabletext0"/>
            </w:pPr>
            <w:r w:rsidRPr="008E4B7F">
              <w:t>100%</w:t>
            </w:r>
          </w:p>
        </w:tc>
      </w:tr>
    </w:tbl>
    <w:p w14:paraId="193D6C80" w14:textId="77777777" w:rsidR="00BB46EB" w:rsidRPr="00180A9F" w:rsidRDefault="00BB46EB" w:rsidP="00492555">
      <w:pPr>
        <w:pStyle w:val="TableNotes"/>
      </w:pPr>
      <w:r w:rsidRPr="00180A9F">
        <w:t xml:space="preserve">Source: Department of Health, File: </w:t>
      </w:r>
      <w:r w:rsidRPr="00DD5692">
        <w:t>Q20801a: Standard Post Implementation Review of Items 57360 57361</w:t>
      </w:r>
      <w:r w:rsidRPr="00180A9F">
        <w:t>.xlsx</w:t>
      </w:r>
    </w:p>
    <w:p w14:paraId="64781B5A" w14:textId="77777777" w:rsidR="00BB46EB" w:rsidRPr="00A73A16" w:rsidRDefault="00BB46EB" w:rsidP="004A34F7">
      <w:pPr>
        <w:pStyle w:val="Heading3"/>
        <w:rPr>
          <w:sz w:val="24"/>
          <w:szCs w:val="24"/>
          <w:highlight w:val="yellow"/>
        </w:rPr>
      </w:pPr>
      <w:bookmarkStart w:id="21" w:name="_Toc503955772"/>
      <w:r w:rsidRPr="00A73A16">
        <w:rPr>
          <w:sz w:val="24"/>
          <w:szCs w:val="24"/>
        </w:rPr>
        <w:t>Co-claiming</w:t>
      </w:r>
      <w:bookmarkEnd w:id="19"/>
      <w:bookmarkEnd w:id="21"/>
      <w:r w:rsidRPr="00A73A16">
        <w:rPr>
          <w:sz w:val="24"/>
          <w:szCs w:val="24"/>
        </w:rPr>
        <w:t xml:space="preserve"> </w:t>
      </w:r>
    </w:p>
    <w:p w14:paraId="122B2DFE" w14:textId="7A36C446" w:rsidR="00BB46EB" w:rsidRPr="003848BB" w:rsidRDefault="00BB46EB" w:rsidP="003848BB">
      <w:pPr>
        <w:spacing w:before="120" w:after="240"/>
      </w:pPr>
      <w:r>
        <w:t>Over the review period, item 57360</w:t>
      </w:r>
      <w:r w:rsidRPr="00FA0F13">
        <w:t xml:space="preserve"> </w:t>
      </w:r>
      <w:r>
        <w:t xml:space="preserve">was </w:t>
      </w:r>
      <w:r w:rsidRPr="00FA0F13">
        <w:t xml:space="preserve">generally claimed on </w:t>
      </w:r>
      <w:r>
        <w:t>its</w:t>
      </w:r>
      <w:r w:rsidRPr="00FA0F13">
        <w:t xml:space="preserve"> own</w:t>
      </w:r>
      <w:r>
        <w:t xml:space="preserve"> in 84% of episodes</w:t>
      </w:r>
      <w:r w:rsidRPr="00FA0F13">
        <w:t>.  The specialist consultation items which have been</w:t>
      </w:r>
      <w:r>
        <w:t xml:space="preserve"> predominantly</w:t>
      </w:r>
      <w:r w:rsidRPr="00FA0F13">
        <w:t xml:space="preserve"> claimed </w:t>
      </w:r>
      <w:r>
        <w:t xml:space="preserve">against </w:t>
      </w:r>
      <w:r w:rsidRPr="00FA0F13">
        <w:t>item 57360</w:t>
      </w:r>
      <w:r>
        <w:t xml:space="preserve"> are</w:t>
      </w:r>
      <w:r w:rsidRPr="00FA0F13">
        <w:t xml:space="preserve"> </w:t>
      </w:r>
      <w:r>
        <w:t xml:space="preserve">54, </w:t>
      </w:r>
      <w:r w:rsidRPr="00FA0F13">
        <w:t>104,</w:t>
      </w:r>
      <w:r>
        <w:t xml:space="preserve"> </w:t>
      </w:r>
      <w:r w:rsidRPr="00FA0F13">
        <w:t>110,</w:t>
      </w:r>
      <w:r>
        <w:t xml:space="preserve"> 116 and 11700 (Tables 9 - 14).</w:t>
      </w:r>
    </w:p>
    <w:p w14:paraId="3EB6EBE3" w14:textId="48A4101A" w:rsidR="00BB46EB" w:rsidRPr="00C91F4C" w:rsidRDefault="00BB46EB" w:rsidP="003848BB">
      <w:pPr>
        <w:spacing w:after="240"/>
      </w:pPr>
      <w:r w:rsidRPr="00C91F4C">
        <w:t xml:space="preserve">As of </w:t>
      </w:r>
      <w:r>
        <w:t xml:space="preserve">1 </w:t>
      </w:r>
      <w:r w:rsidRPr="00C91F4C">
        <w:t xml:space="preserve">November 2017, </w:t>
      </w:r>
      <w:r>
        <w:t>m</w:t>
      </w:r>
      <w:r w:rsidRPr="00C91F4C">
        <w:t xml:space="preserve">edical practitioners </w:t>
      </w:r>
      <w:r>
        <w:t>are</w:t>
      </w:r>
      <w:r w:rsidRPr="00C91F4C">
        <w:t xml:space="preserve"> </w:t>
      </w:r>
      <w:r>
        <w:t xml:space="preserve">no longer </w:t>
      </w:r>
      <w:r w:rsidRPr="00C91F4C">
        <w:t xml:space="preserve">able to claim MBS benefits for subsequent attendance items 105, 116, and 119 if they are claiming any Group T8 items with a schedule fee of equal to or greater than $300 on the same day.  Medical practitioners who are not claiming subsequent attendance items with Group T8 items will not be affected. </w:t>
      </w:r>
      <w:r>
        <w:t xml:space="preserve"> </w:t>
      </w:r>
      <w:r w:rsidRPr="00C91F4C">
        <w:t xml:space="preserve">Three new items </w:t>
      </w:r>
      <w:r>
        <w:t>were</w:t>
      </w:r>
      <w:r w:rsidRPr="00C91F4C">
        <w:t xml:space="preserve"> introduced for subsequent attendances that are urgent and not able to be predicted.  These new items can be claimed on the same day as Group T8 items with schedule fees of equal to or greater than $300.</w:t>
      </w:r>
    </w:p>
    <w:p w14:paraId="0AF4D042" w14:textId="3FB222DB" w:rsidR="00BB46EB" w:rsidRPr="005845AC" w:rsidRDefault="00BB46EB" w:rsidP="00BB46EB">
      <w:r w:rsidRPr="00C91F4C">
        <w:t>Departmental medical advice noted there was no concern from a clinical perspective as to the other MBS items that were co-claimed in this dataset.</w:t>
      </w:r>
      <w:r>
        <w:t xml:space="preserve"> </w:t>
      </w:r>
      <w:r w:rsidRPr="00C91F4C">
        <w:t xml:space="preserve"> The numbers were small and there are likely to be legitimate reasons for the MBS items when only utilised occasionally.</w:t>
      </w:r>
    </w:p>
    <w:p w14:paraId="6CE6249A" w14:textId="3294D804" w:rsidR="00BB46EB" w:rsidRPr="006B60E7" w:rsidRDefault="00BB46EB" w:rsidP="006B60E7">
      <w:pPr>
        <w:spacing w:before="240"/>
        <w:rPr>
          <w:rFonts w:ascii="Arial Narrow" w:hAnsi="Arial Narrow"/>
          <w:b/>
          <w:sz w:val="20"/>
        </w:rPr>
      </w:pPr>
      <w:bookmarkStart w:id="22" w:name="_Toc503955785"/>
      <w:r w:rsidRPr="006B60E7">
        <w:rPr>
          <w:rFonts w:ascii="Arial Narrow" w:hAnsi="Arial Narrow"/>
          <w:b/>
          <w:sz w:val="20"/>
        </w:rPr>
        <w:t xml:space="preserve">Table </w:t>
      </w:r>
      <w:r w:rsidR="00D05628" w:rsidRPr="006B60E7">
        <w:rPr>
          <w:rFonts w:ascii="Arial Narrow" w:hAnsi="Arial Narrow"/>
          <w:b/>
          <w:sz w:val="20"/>
        </w:rPr>
        <w:fldChar w:fldCharType="begin"/>
      </w:r>
      <w:r w:rsidR="00D05628" w:rsidRPr="006B60E7">
        <w:rPr>
          <w:rFonts w:ascii="Arial Narrow" w:hAnsi="Arial Narrow"/>
          <w:b/>
          <w:sz w:val="20"/>
        </w:rPr>
        <w:instrText xml:space="preserve"> SEQ Table \* ARABIC </w:instrText>
      </w:r>
      <w:r w:rsidR="00D05628" w:rsidRPr="006B60E7">
        <w:rPr>
          <w:rFonts w:ascii="Arial Narrow" w:hAnsi="Arial Narrow"/>
          <w:b/>
          <w:sz w:val="20"/>
        </w:rPr>
        <w:fldChar w:fldCharType="separate"/>
      </w:r>
      <w:r w:rsidRPr="006B60E7">
        <w:rPr>
          <w:rFonts w:ascii="Arial Narrow" w:hAnsi="Arial Narrow"/>
          <w:b/>
          <w:sz w:val="20"/>
        </w:rPr>
        <w:t>9</w:t>
      </w:r>
      <w:r w:rsidR="00D05628" w:rsidRPr="006B60E7">
        <w:rPr>
          <w:rFonts w:ascii="Arial Narrow" w:hAnsi="Arial Narrow"/>
          <w:b/>
          <w:sz w:val="20"/>
        </w:rPr>
        <w:fldChar w:fldCharType="end"/>
      </w:r>
      <w:r w:rsidR="00D05628" w:rsidRPr="006B60E7">
        <w:rPr>
          <w:rFonts w:ascii="Arial Narrow" w:hAnsi="Arial Narrow"/>
          <w:b/>
          <w:sz w:val="20"/>
        </w:rPr>
        <w:t>:</w:t>
      </w:r>
      <w:r w:rsidR="00B96359" w:rsidRPr="006B60E7">
        <w:rPr>
          <w:rFonts w:ascii="Arial Narrow" w:hAnsi="Arial Narrow"/>
          <w:b/>
          <w:sz w:val="20"/>
        </w:rPr>
        <w:t xml:space="preserve"> </w:t>
      </w:r>
      <w:r w:rsidRPr="006B60E7">
        <w:rPr>
          <w:rFonts w:ascii="Arial Narrow" w:hAnsi="Arial Narrow"/>
          <w:b/>
          <w:sz w:val="20"/>
        </w:rPr>
        <w:t>Majority instances of co-claiming with MBS item 57360 in 2011-12</w:t>
      </w:r>
      <w:bookmarkEnd w:id="22"/>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9 Majority instances of co-claiming with MBS item 57360 in 2011 to 2012"/>
        <w:tblDescription w:val="This table provides data on the instances of co-claiming with MBS item 57360 in 2011 to 2012, and provides the number of provides, number of patients and percentage of episodes."/>
      </w:tblPr>
      <w:tblGrid>
        <w:gridCol w:w="567"/>
        <w:gridCol w:w="2740"/>
        <w:gridCol w:w="1017"/>
        <w:gridCol w:w="960"/>
        <w:gridCol w:w="1416"/>
        <w:gridCol w:w="1037"/>
        <w:gridCol w:w="960"/>
        <w:gridCol w:w="801"/>
      </w:tblGrid>
      <w:tr w:rsidR="00BB46EB" w:rsidRPr="00755AFF" w14:paraId="4C481E53" w14:textId="77777777" w:rsidTr="00045FA0">
        <w:trPr>
          <w:trHeight w:val="721"/>
        </w:trPr>
        <w:tc>
          <w:tcPr>
            <w:tcW w:w="567" w:type="dxa"/>
            <w:shd w:val="clear" w:color="auto" w:fill="548DD4" w:themeFill="text2" w:themeFillTint="99"/>
            <w:vAlign w:val="center"/>
          </w:tcPr>
          <w:p w14:paraId="541723BA" w14:textId="77777777" w:rsidR="00BB46EB" w:rsidRPr="00755AFF" w:rsidRDefault="00BB46EB" w:rsidP="008E4B7F">
            <w:pPr>
              <w:pStyle w:val="Tabletext0"/>
            </w:pPr>
            <w:r w:rsidRPr="00755AFF">
              <w:t>#</w:t>
            </w:r>
          </w:p>
        </w:tc>
        <w:tc>
          <w:tcPr>
            <w:tcW w:w="2740" w:type="dxa"/>
            <w:shd w:val="clear" w:color="auto" w:fill="548DD4" w:themeFill="text2" w:themeFillTint="99"/>
            <w:vAlign w:val="center"/>
          </w:tcPr>
          <w:p w14:paraId="16C2731C" w14:textId="77777777" w:rsidR="00BB46EB" w:rsidRPr="00755AFF" w:rsidRDefault="00BB46EB" w:rsidP="008E4B7F">
            <w:pPr>
              <w:pStyle w:val="Tabletext0"/>
            </w:pPr>
            <w:r w:rsidRPr="00755AFF">
              <w:t>Items</w:t>
            </w:r>
          </w:p>
        </w:tc>
        <w:tc>
          <w:tcPr>
            <w:tcW w:w="1017" w:type="dxa"/>
            <w:shd w:val="clear" w:color="auto" w:fill="548DD4" w:themeFill="text2" w:themeFillTint="99"/>
            <w:vAlign w:val="center"/>
          </w:tcPr>
          <w:p w14:paraId="3CC6B929" w14:textId="77777777" w:rsidR="00BB46EB" w:rsidRPr="00755AFF" w:rsidRDefault="00BB46EB" w:rsidP="008E4B7F">
            <w:pPr>
              <w:pStyle w:val="Tabletext0"/>
            </w:pPr>
            <w:r w:rsidRPr="00755AFF">
              <w:t>Episodes</w:t>
            </w:r>
          </w:p>
        </w:tc>
        <w:tc>
          <w:tcPr>
            <w:tcW w:w="960" w:type="dxa"/>
            <w:shd w:val="clear" w:color="auto" w:fill="548DD4" w:themeFill="text2" w:themeFillTint="99"/>
            <w:vAlign w:val="center"/>
          </w:tcPr>
          <w:p w14:paraId="2EBA3861" w14:textId="77777777" w:rsidR="00BB46EB" w:rsidRPr="00755AFF" w:rsidRDefault="00BB46EB" w:rsidP="008E4B7F">
            <w:pPr>
              <w:pStyle w:val="Tabletext0"/>
            </w:pPr>
            <w:r w:rsidRPr="00755AFF">
              <w:t>Services</w:t>
            </w:r>
          </w:p>
        </w:tc>
        <w:tc>
          <w:tcPr>
            <w:tcW w:w="1416" w:type="dxa"/>
            <w:shd w:val="clear" w:color="auto" w:fill="548DD4" w:themeFill="text2" w:themeFillTint="99"/>
            <w:vAlign w:val="center"/>
          </w:tcPr>
          <w:p w14:paraId="3911BCF4" w14:textId="77777777" w:rsidR="00BB46EB" w:rsidRPr="00755AFF" w:rsidRDefault="00BB46EB" w:rsidP="008E4B7F">
            <w:pPr>
              <w:pStyle w:val="Tabletext0"/>
            </w:pPr>
            <w:r w:rsidRPr="00755AFF">
              <w:t>Schedule Fee for combination</w:t>
            </w:r>
          </w:p>
        </w:tc>
        <w:tc>
          <w:tcPr>
            <w:tcW w:w="1037" w:type="dxa"/>
            <w:shd w:val="clear" w:color="auto" w:fill="548DD4" w:themeFill="text2" w:themeFillTint="99"/>
            <w:vAlign w:val="center"/>
          </w:tcPr>
          <w:p w14:paraId="788A9CB4" w14:textId="77777777" w:rsidR="00BB46EB" w:rsidRPr="00755AFF" w:rsidRDefault="00BB46EB" w:rsidP="008E4B7F">
            <w:pPr>
              <w:pStyle w:val="Tabletext0"/>
            </w:pPr>
            <w:r w:rsidRPr="00755AFF">
              <w:t>Number of providers</w:t>
            </w:r>
          </w:p>
        </w:tc>
        <w:tc>
          <w:tcPr>
            <w:tcW w:w="960" w:type="dxa"/>
            <w:shd w:val="clear" w:color="auto" w:fill="548DD4" w:themeFill="text2" w:themeFillTint="99"/>
            <w:vAlign w:val="center"/>
          </w:tcPr>
          <w:p w14:paraId="78AA8AD7" w14:textId="77777777" w:rsidR="00BB46EB" w:rsidRPr="00755AFF" w:rsidRDefault="00BB46EB" w:rsidP="008E4B7F">
            <w:pPr>
              <w:pStyle w:val="Tabletext0"/>
            </w:pPr>
            <w:r w:rsidRPr="00755AFF">
              <w:t>Number of patients</w:t>
            </w:r>
          </w:p>
        </w:tc>
        <w:tc>
          <w:tcPr>
            <w:tcW w:w="801" w:type="dxa"/>
            <w:shd w:val="clear" w:color="auto" w:fill="548DD4" w:themeFill="text2" w:themeFillTint="99"/>
            <w:vAlign w:val="center"/>
          </w:tcPr>
          <w:p w14:paraId="419D580F" w14:textId="77777777" w:rsidR="00BB46EB" w:rsidRPr="00755AFF" w:rsidRDefault="00BB46EB" w:rsidP="008E4B7F">
            <w:pPr>
              <w:pStyle w:val="Tabletext0"/>
            </w:pPr>
            <w:r w:rsidRPr="00755AFF">
              <w:t>% of episodes</w:t>
            </w:r>
          </w:p>
        </w:tc>
      </w:tr>
      <w:tr w:rsidR="00BB46EB" w:rsidRPr="00755AFF" w14:paraId="46A5B088" w14:textId="77777777" w:rsidTr="00045FA0">
        <w:trPr>
          <w:trHeight w:val="300"/>
        </w:trPr>
        <w:tc>
          <w:tcPr>
            <w:tcW w:w="567" w:type="dxa"/>
            <w:shd w:val="clear" w:color="000000" w:fill="FFFFFF"/>
            <w:noWrap/>
            <w:vAlign w:val="center"/>
          </w:tcPr>
          <w:p w14:paraId="05C03F0E" w14:textId="77777777" w:rsidR="00BB46EB" w:rsidRPr="001048E0" w:rsidRDefault="00BB46EB" w:rsidP="008E4B7F">
            <w:pPr>
              <w:pStyle w:val="Tabletext0"/>
              <w:rPr>
                <w:color w:val="000000"/>
              </w:rPr>
            </w:pPr>
            <w:r w:rsidRPr="001048E0">
              <w:rPr>
                <w:color w:val="000000"/>
              </w:rPr>
              <w:t>1</w:t>
            </w:r>
          </w:p>
        </w:tc>
        <w:tc>
          <w:tcPr>
            <w:tcW w:w="2740" w:type="dxa"/>
            <w:shd w:val="clear" w:color="000000" w:fill="FFFFFF"/>
            <w:noWrap/>
            <w:vAlign w:val="center"/>
          </w:tcPr>
          <w:p w14:paraId="3B3FBAF4" w14:textId="77777777" w:rsidR="00BB46EB" w:rsidRPr="001048E0" w:rsidRDefault="00BB46EB" w:rsidP="008E4B7F">
            <w:pPr>
              <w:pStyle w:val="Tabletext0"/>
              <w:rPr>
                <w:color w:val="000000"/>
              </w:rPr>
            </w:pPr>
            <w:r w:rsidRPr="001048E0">
              <w:t>57360</w:t>
            </w:r>
          </w:p>
        </w:tc>
        <w:tc>
          <w:tcPr>
            <w:tcW w:w="1017" w:type="dxa"/>
            <w:shd w:val="clear" w:color="000000" w:fill="FFFFFF"/>
            <w:noWrap/>
            <w:vAlign w:val="center"/>
          </w:tcPr>
          <w:p w14:paraId="16F3E554" w14:textId="77777777" w:rsidR="00BB46EB" w:rsidRPr="001048E0" w:rsidRDefault="00BB46EB" w:rsidP="008E4B7F">
            <w:pPr>
              <w:pStyle w:val="Tabletext0"/>
            </w:pPr>
            <w:r w:rsidRPr="001048E0">
              <w:t>22,968</w:t>
            </w:r>
          </w:p>
        </w:tc>
        <w:tc>
          <w:tcPr>
            <w:tcW w:w="960" w:type="dxa"/>
            <w:shd w:val="clear" w:color="000000" w:fill="FFFFFF"/>
            <w:noWrap/>
            <w:vAlign w:val="center"/>
          </w:tcPr>
          <w:p w14:paraId="25B19452" w14:textId="77777777" w:rsidR="00BB46EB" w:rsidRPr="001048E0" w:rsidRDefault="00BB46EB" w:rsidP="008E4B7F">
            <w:pPr>
              <w:pStyle w:val="Tabletext0"/>
            </w:pPr>
            <w:r w:rsidRPr="001048E0">
              <w:t>22,974</w:t>
            </w:r>
          </w:p>
        </w:tc>
        <w:tc>
          <w:tcPr>
            <w:tcW w:w="1416" w:type="dxa"/>
            <w:shd w:val="clear" w:color="000000" w:fill="FFFFFF"/>
            <w:noWrap/>
            <w:vAlign w:val="center"/>
          </w:tcPr>
          <w:p w14:paraId="2893C83C" w14:textId="77777777" w:rsidR="00BB46EB" w:rsidRPr="001048E0" w:rsidRDefault="00BB46EB" w:rsidP="008E4B7F">
            <w:pPr>
              <w:pStyle w:val="Tabletext0"/>
            </w:pPr>
            <w:r w:rsidRPr="001048E0">
              <w:t>$16,081,770</w:t>
            </w:r>
          </w:p>
        </w:tc>
        <w:tc>
          <w:tcPr>
            <w:tcW w:w="1037" w:type="dxa"/>
            <w:shd w:val="clear" w:color="000000" w:fill="FFFFFF"/>
            <w:noWrap/>
            <w:vAlign w:val="center"/>
          </w:tcPr>
          <w:p w14:paraId="48757359" w14:textId="77777777" w:rsidR="00BB46EB" w:rsidRPr="001048E0" w:rsidRDefault="00BB46EB" w:rsidP="008E4B7F">
            <w:pPr>
              <w:pStyle w:val="Tabletext0"/>
            </w:pPr>
            <w:r w:rsidRPr="001048E0">
              <w:t>283</w:t>
            </w:r>
          </w:p>
        </w:tc>
        <w:tc>
          <w:tcPr>
            <w:tcW w:w="960" w:type="dxa"/>
            <w:shd w:val="clear" w:color="000000" w:fill="FFFFFF"/>
            <w:noWrap/>
            <w:vAlign w:val="center"/>
          </w:tcPr>
          <w:p w14:paraId="5CD6F718" w14:textId="77777777" w:rsidR="00BB46EB" w:rsidRPr="001048E0" w:rsidRDefault="00BB46EB" w:rsidP="008E4B7F">
            <w:pPr>
              <w:pStyle w:val="Tabletext0"/>
            </w:pPr>
            <w:r w:rsidRPr="001048E0">
              <w:t>22,883</w:t>
            </w:r>
          </w:p>
        </w:tc>
        <w:tc>
          <w:tcPr>
            <w:tcW w:w="801" w:type="dxa"/>
            <w:shd w:val="clear" w:color="000000" w:fill="FFFFFF"/>
            <w:noWrap/>
            <w:vAlign w:val="center"/>
          </w:tcPr>
          <w:p w14:paraId="3DD244C9" w14:textId="77777777" w:rsidR="00BB46EB" w:rsidRPr="001048E0" w:rsidRDefault="00BB46EB" w:rsidP="008E4B7F">
            <w:pPr>
              <w:pStyle w:val="Tabletext0"/>
            </w:pPr>
            <w:r>
              <w:t>90.8</w:t>
            </w:r>
            <w:r w:rsidRPr="001048E0">
              <w:t>%</w:t>
            </w:r>
          </w:p>
        </w:tc>
      </w:tr>
      <w:tr w:rsidR="00BB46EB" w:rsidRPr="00755AFF" w14:paraId="3F92C24D" w14:textId="77777777" w:rsidTr="00045FA0">
        <w:trPr>
          <w:trHeight w:val="300"/>
        </w:trPr>
        <w:tc>
          <w:tcPr>
            <w:tcW w:w="567" w:type="dxa"/>
            <w:shd w:val="clear" w:color="000000" w:fill="FFFFFF"/>
            <w:noWrap/>
            <w:vAlign w:val="center"/>
          </w:tcPr>
          <w:p w14:paraId="5D721F41" w14:textId="77777777" w:rsidR="00BB46EB" w:rsidRPr="001048E0" w:rsidRDefault="00BB46EB" w:rsidP="008E4B7F">
            <w:pPr>
              <w:pStyle w:val="Tabletext0"/>
              <w:rPr>
                <w:color w:val="000000"/>
              </w:rPr>
            </w:pPr>
            <w:r w:rsidRPr="001048E0">
              <w:rPr>
                <w:color w:val="000000"/>
              </w:rPr>
              <w:t>2</w:t>
            </w:r>
          </w:p>
        </w:tc>
        <w:tc>
          <w:tcPr>
            <w:tcW w:w="2740" w:type="dxa"/>
            <w:shd w:val="clear" w:color="000000" w:fill="FFFFFF"/>
            <w:noWrap/>
            <w:vAlign w:val="center"/>
          </w:tcPr>
          <w:p w14:paraId="7E25F63F" w14:textId="77777777" w:rsidR="00BB46EB" w:rsidRPr="001048E0" w:rsidRDefault="00BB46EB" w:rsidP="008E4B7F">
            <w:pPr>
              <w:pStyle w:val="Tabletext0"/>
              <w:rPr>
                <w:color w:val="000000"/>
              </w:rPr>
            </w:pPr>
            <w:r w:rsidRPr="001048E0">
              <w:rPr>
                <w:color w:val="000000"/>
              </w:rPr>
              <w:t>57360, 104</w:t>
            </w:r>
          </w:p>
        </w:tc>
        <w:tc>
          <w:tcPr>
            <w:tcW w:w="1017" w:type="dxa"/>
            <w:shd w:val="clear" w:color="000000" w:fill="FFFFFF"/>
            <w:noWrap/>
            <w:vAlign w:val="center"/>
          </w:tcPr>
          <w:p w14:paraId="1164D5D6" w14:textId="77777777" w:rsidR="00BB46EB" w:rsidRPr="007C76F8" w:rsidRDefault="00BB46EB" w:rsidP="008E4B7F">
            <w:pPr>
              <w:pStyle w:val="Tabletext0"/>
            </w:pPr>
            <w:r w:rsidRPr="007C76F8">
              <w:t>716</w:t>
            </w:r>
          </w:p>
        </w:tc>
        <w:tc>
          <w:tcPr>
            <w:tcW w:w="960" w:type="dxa"/>
            <w:shd w:val="clear" w:color="000000" w:fill="FFFFFF"/>
            <w:noWrap/>
            <w:vAlign w:val="center"/>
          </w:tcPr>
          <w:p w14:paraId="646C2B76" w14:textId="77777777" w:rsidR="00BB46EB" w:rsidRPr="007C76F8" w:rsidRDefault="00BB46EB" w:rsidP="008E4B7F">
            <w:pPr>
              <w:pStyle w:val="Tabletext0"/>
            </w:pPr>
            <w:r w:rsidRPr="007C76F8">
              <w:t>1,432</w:t>
            </w:r>
          </w:p>
        </w:tc>
        <w:tc>
          <w:tcPr>
            <w:tcW w:w="1416" w:type="dxa"/>
            <w:shd w:val="clear" w:color="000000" w:fill="FFFFFF"/>
            <w:noWrap/>
            <w:vAlign w:val="center"/>
          </w:tcPr>
          <w:p w14:paraId="24CC3AF7" w14:textId="77777777" w:rsidR="00BB46EB" w:rsidRPr="007C76F8" w:rsidRDefault="00BB46EB" w:rsidP="008E4B7F">
            <w:pPr>
              <w:pStyle w:val="Tabletext0"/>
            </w:pPr>
            <w:r w:rsidRPr="007C76F8">
              <w:t>$523,791</w:t>
            </w:r>
          </w:p>
        </w:tc>
        <w:tc>
          <w:tcPr>
            <w:tcW w:w="1037" w:type="dxa"/>
            <w:shd w:val="clear" w:color="000000" w:fill="FFFFFF"/>
            <w:noWrap/>
            <w:vAlign w:val="center"/>
          </w:tcPr>
          <w:p w14:paraId="49FEDB30" w14:textId="77777777" w:rsidR="00BB46EB" w:rsidRPr="007C76F8" w:rsidRDefault="00BB46EB" w:rsidP="008E4B7F">
            <w:pPr>
              <w:pStyle w:val="Tabletext0"/>
            </w:pPr>
            <w:r w:rsidRPr="007C76F8">
              <w:t>13</w:t>
            </w:r>
          </w:p>
        </w:tc>
        <w:tc>
          <w:tcPr>
            <w:tcW w:w="960" w:type="dxa"/>
            <w:shd w:val="clear" w:color="000000" w:fill="FFFFFF"/>
            <w:noWrap/>
            <w:vAlign w:val="center"/>
          </w:tcPr>
          <w:p w14:paraId="512BA8E3" w14:textId="77777777" w:rsidR="00BB46EB" w:rsidRPr="007C76F8" w:rsidRDefault="00BB46EB" w:rsidP="008E4B7F">
            <w:pPr>
              <w:pStyle w:val="Tabletext0"/>
            </w:pPr>
            <w:r w:rsidRPr="007C76F8">
              <w:t>712</w:t>
            </w:r>
          </w:p>
        </w:tc>
        <w:tc>
          <w:tcPr>
            <w:tcW w:w="801" w:type="dxa"/>
            <w:shd w:val="clear" w:color="000000" w:fill="FFFFFF"/>
            <w:noWrap/>
            <w:vAlign w:val="center"/>
          </w:tcPr>
          <w:p w14:paraId="12FAEE40" w14:textId="77777777" w:rsidR="00BB46EB" w:rsidRPr="007C76F8" w:rsidRDefault="00BB46EB" w:rsidP="008E4B7F">
            <w:pPr>
              <w:pStyle w:val="Tabletext0"/>
            </w:pPr>
            <w:r>
              <w:t>2.9</w:t>
            </w:r>
            <w:r w:rsidRPr="007C76F8">
              <w:t>%</w:t>
            </w:r>
          </w:p>
        </w:tc>
      </w:tr>
      <w:tr w:rsidR="00BB46EB" w:rsidRPr="00755AFF" w14:paraId="482BA1EA" w14:textId="77777777" w:rsidTr="00045FA0">
        <w:trPr>
          <w:trHeight w:val="300"/>
        </w:trPr>
        <w:tc>
          <w:tcPr>
            <w:tcW w:w="567" w:type="dxa"/>
            <w:shd w:val="clear" w:color="000000" w:fill="FFFFFF"/>
            <w:noWrap/>
            <w:vAlign w:val="center"/>
          </w:tcPr>
          <w:p w14:paraId="7C34CE86" w14:textId="77777777" w:rsidR="00BB46EB" w:rsidRPr="001048E0" w:rsidRDefault="00BB46EB" w:rsidP="008E4B7F">
            <w:pPr>
              <w:pStyle w:val="Tabletext0"/>
              <w:rPr>
                <w:color w:val="000000"/>
              </w:rPr>
            </w:pPr>
            <w:r w:rsidRPr="001048E0">
              <w:rPr>
                <w:color w:val="000000"/>
              </w:rPr>
              <w:t>3</w:t>
            </w:r>
          </w:p>
        </w:tc>
        <w:tc>
          <w:tcPr>
            <w:tcW w:w="2740" w:type="dxa"/>
            <w:shd w:val="clear" w:color="000000" w:fill="FFFFFF"/>
            <w:noWrap/>
            <w:vAlign w:val="center"/>
          </w:tcPr>
          <w:p w14:paraId="10E3E09F" w14:textId="77777777" w:rsidR="00BB46EB" w:rsidRPr="001048E0" w:rsidRDefault="00BB46EB" w:rsidP="008E4B7F">
            <w:pPr>
              <w:pStyle w:val="Tabletext0"/>
              <w:rPr>
                <w:color w:val="000000"/>
              </w:rPr>
            </w:pPr>
            <w:r w:rsidRPr="001048E0">
              <w:rPr>
                <w:color w:val="000000"/>
              </w:rPr>
              <w:t>57360, 110</w:t>
            </w:r>
          </w:p>
        </w:tc>
        <w:tc>
          <w:tcPr>
            <w:tcW w:w="1017" w:type="dxa"/>
            <w:shd w:val="clear" w:color="000000" w:fill="FFFFFF"/>
            <w:noWrap/>
            <w:vAlign w:val="center"/>
          </w:tcPr>
          <w:p w14:paraId="112CE37F" w14:textId="77777777" w:rsidR="00BB46EB" w:rsidRPr="007C76F8" w:rsidRDefault="00BB46EB" w:rsidP="008E4B7F">
            <w:pPr>
              <w:pStyle w:val="Tabletext0"/>
            </w:pPr>
            <w:r w:rsidRPr="007C76F8">
              <w:t>525</w:t>
            </w:r>
          </w:p>
        </w:tc>
        <w:tc>
          <w:tcPr>
            <w:tcW w:w="960" w:type="dxa"/>
            <w:shd w:val="clear" w:color="000000" w:fill="FFFFFF"/>
            <w:noWrap/>
            <w:vAlign w:val="center"/>
          </w:tcPr>
          <w:p w14:paraId="0220274D" w14:textId="77777777" w:rsidR="00BB46EB" w:rsidRPr="007C76F8" w:rsidRDefault="00BB46EB" w:rsidP="008E4B7F">
            <w:pPr>
              <w:pStyle w:val="Tabletext0"/>
            </w:pPr>
            <w:r w:rsidRPr="007C76F8">
              <w:t>1,050</w:t>
            </w:r>
          </w:p>
        </w:tc>
        <w:tc>
          <w:tcPr>
            <w:tcW w:w="1416" w:type="dxa"/>
            <w:shd w:val="clear" w:color="000000" w:fill="FFFFFF"/>
            <w:noWrap/>
            <w:vAlign w:val="center"/>
          </w:tcPr>
          <w:p w14:paraId="2690763D" w14:textId="77777777" w:rsidR="00BB46EB" w:rsidRPr="007C76F8" w:rsidRDefault="00BB46EB" w:rsidP="008E4B7F">
            <w:pPr>
              <w:pStyle w:val="Tabletext0"/>
            </w:pPr>
            <w:r w:rsidRPr="007C76F8">
              <w:t>$426,534</w:t>
            </w:r>
          </w:p>
        </w:tc>
        <w:tc>
          <w:tcPr>
            <w:tcW w:w="1037" w:type="dxa"/>
            <w:shd w:val="clear" w:color="000000" w:fill="FFFFFF"/>
            <w:noWrap/>
            <w:vAlign w:val="center"/>
          </w:tcPr>
          <w:p w14:paraId="0F14BDA9" w14:textId="77777777" w:rsidR="00BB46EB" w:rsidRPr="007C76F8" w:rsidRDefault="00BB46EB" w:rsidP="008E4B7F">
            <w:pPr>
              <w:pStyle w:val="Tabletext0"/>
            </w:pPr>
            <w:r w:rsidRPr="007C76F8">
              <w:t>9</w:t>
            </w:r>
          </w:p>
        </w:tc>
        <w:tc>
          <w:tcPr>
            <w:tcW w:w="960" w:type="dxa"/>
            <w:shd w:val="clear" w:color="000000" w:fill="FFFFFF"/>
            <w:noWrap/>
            <w:vAlign w:val="center"/>
          </w:tcPr>
          <w:p w14:paraId="29BCA90E" w14:textId="77777777" w:rsidR="00BB46EB" w:rsidRPr="007C76F8" w:rsidRDefault="00BB46EB" w:rsidP="008E4B7F">
            <w:pPr>
              <w:pStyle w:val="Tabletext0"/>
            </w:pPr>
            <w:r w:rsidRPr="007C76F8">
              <w:t>524</w:t>
            </w:r>
          </w:p>
        </w:tc>
        <w:tc>
          <w:tcPr>
            <w:tcW w:w="801" w:type="dxa"/>
            <w:shd w:val="clear" w:color="000000" w:fill="FFFFFF"/>
            <w:noWrap/>
            <w:vAlign w:val="center"/>
          </w:tcPr>
          <w:p w14:paraId="45AE3B74" w14:textId="77777777" w:rsidR="00BB46EB" w:rsidRPr="007C76F8" w:rsidRDefault="00BB46EB" w:rsidP="008E4B7F">
            <w:pPr>
              <w:pStyle w:val="Tabletext0"/>
            </w:pPr>
            <w:r>
              <w:t>2.2</w:t>
            </w:r>
            <w:r w:rsidRPr="007C76F8">
              <w:t>%</w:t>
            </w:r>
          </w:p>
        </w:tc>
      </w:tr>
      <w:tr w:rsidR="00BB46EB" w:rsidRPr="00755AFF" w14:paraId="5E1B33B5" w14:textId="77777777" w:rsidTr="00045FA0">
        <w:trPr>
          <w:trHeight w:val="300"/>
        </w:trPr>
        <w:tc>
          <w:tcPr>
            <w:tcW w:w="567" w:type="dxa"/>
            <w:shd w:val="clear" w:color="000000" w:fill="FFFFFF"/>
            <w:noWrap/>
            <w:vAlign w:val="center"/>
          </w:tcPr>
          <w:p w14:paraId="4CEF6081" w14:textId="77777777" w:rsidR="00BB46EB" w:rsidRPr="001048E0" w:rsidRDefault="00BB46EB" w:rsidP="008E4B7F">
            <w:pPr>
              <w:pStyle w:val="Tabletext0"/>
              <w:rPr>
                <w:color w:val="000000"/>
              </w:rPr>
            </w:pPr>
            <w:r w:rsidRPr="001048E0">
              <w:rPr>
                <w:color w:val="000000"/>
              </w:rPr>
              <w:t>4</w:t>
            </w:r>
          </w:p>
        </w:tc>
        <w:tc>
          <w:tcPr>
            <w:tcW w:w="2740" w:type="dxa"/>
            <w:shd w:val="clear" w:color="000000" w:fill="FFFFFF"/>
            <w:noWrap/>
            <w:vAlign w:val="center"/>
          </w:tcPr>
          <w:p w14:paraId="16560E2E" w14:textId="77777777" w:rsidR="00BB46EB" w:rsidRPr="001048E0" w:rsidRDefault="00BB46EB" w:rsidP="008E4B7F">
            <w:pPr>
              <w:pStyle w:val="Tabletext0"/>
              <w:rPr>
                <w:color w:val="000000"/>
              </w:rPr>
            </w:pPr>
            <w:r w:rsidRPr="001048E0">
              <w:rPr>
                <w:color w:val="000000"/>
              </w:rPr>
              <w:t>57360, 11700</w:t>
            </w:r>
          </w:p>
        </w:tc>
        <w:tc>
          <w:tcPr>
            <w:tcW w:w="1017" w:type="dxa"/>
            <w:shd w:val="clear" w:color="000000" w:fill="FFFFFF"/>
            <w:noWrap/>
            <w:vAlign w:val="center"/>
          </w:tcPr>
          <w:p w14:paraId="7E6AC1F7" w14:textId="77777777" w:rsidR="00BB46EB" w:rsidRPr="007C76F8" w:rsidRDefault="00BB46EB" w:rsidP="008E4B7F">
            <w:pPr>
              <w:pStyle w:val="Tabletext0"/>
            </w:pPr>
            <w:r w:rsidRPr="007C76F8">
              <w:t>259</w:t>
            </w:r>
          </w:p>
        </w:tc>
        <w:tc>
          <w:tcPr>
            <w:tcW w:w="960" w:type="dxa"/>
            <w:shd w:val="clear" w:color="000000" w:fill="FFFFFF"/>
            <w:noWrap/>
            <w:vAlign w:val="center"/>
          </w:tcPr>
          <w:p w14:paraId="60A016F7" w14:textId="77777777" w:rsidR="00BB46EB" w:rsidRPr="007C76F8" w:rsidRDefault="00BB46EB" w:rsidP="008E4B7F">
            <w:pPr>
              <w:pStyle w:val="Tabletext0"/>
            </w:pPr>
            <w:r w:rsidRPr="007C76F8">
              <w:t>519</w:t>
            </w:r>
          </w:p>
        </w:tc>
        <w:tc>
          <w:tcPr>
            <w:tcW w:w="1416" w:type="dxa"/>
            <w:shd w:val="clear" w:color="000000" w:fill="FFFFFF"/>
            <w:noWrap/>
            <w:vAlign w:val="center"/>
          </w:tcPr>
          <w:p w14:paraId="789DF3B1" w14:textId="77777777" w:rsidR="00BB46EB" w:rsidRPr="007C76F8" w:rsidRDefault="00BB46EB" w:rsidP="008E4B7F">
            <w:pPr>
              <w:pStyle w:val="Tabletext0"/>
            </w:pPr>
            <w:r w:rsidRPr="007C76F8">
              <w:t>$188,605</w:t>
            </w:r>
          </w:p>
        </w:tc>
        <w:tc>
          <w:tcPr>
            <w:tcW w:w="1037" w:type="dxa"/>
            <w:shd w:val="clear" w:color="000000" w:fill="FFFFFF"/>
            <w:noWrap/>
            <w:vAlign w:val="center"/>
          </w:tcPr>
          <w:p w14:paraId="5E9AD811" w14:textId="77777777" w:rsidR="00BB46EB" w:rsidRPr="007C76F8" w:rsidRDefault="00BB46EB" w:rsidP="008E4B7F">
            <w:pPr>
              <w:pStyle w:val="Tabletext0"/>
            </w:pPr>
            <w:r w:rsidRPr="007C76F8">
              <w:t>8</w:t>
            </w:r>
          </w:p>
        </w:tc>
        <w:tc>
          <w:tcPr>
            <w:tcW w:w="960" w:type="dxa"/>
            <w:shd w:val="clear" w:color="000000" w:fill="FFFFFF"/>
            <w:noWrap/>
            <w:vAlign w:val="center"/>
          </w:tcPr>
          <w:p w14:paraId="755FED4C" w14:textId="77777777" w:rsidR="00BB46EB" w:rsidRPr="007C76F8" w:rsidRDefault="00BB46EB" w:rsidP="008E4B7F">
            <w:pPr>
              <w:pStyle w:val="Tabletext0"/>
            </w:pPr>
            <w:r w:rsidRPr="007C76F8">
              <w:t>258</w:t>
            </w:r>
          </w:p>
        </w:tc>
        <w:tc>
          <w:tcPr>
            <w:tcW w:w="801" w:type="dxa"/>
            <w:shd w:val="clear" w:color="000000" w:fill="FFFFFF"/>
            <w:noWrap/>
            <w:vAlign w:val="center"/>
          </w:tcPr>
          <w:p w14:paraId="7C1F76BD" w14:textId="77777777" w:rsidR="00BB46EB" w:rsidRPr="007C76F8" w:rsidRDefault="00BB46EB" w:rsidP="008E4B7F">
            <w:pPr>
              <w:pStyle w:val="Tabletext0"/>
            </w:pPr>
            <w:r>
              <w:t>1.4</w:t>
            </w:r>
            <w:r w:rsidRPr="007C76F8">
              <w:t>%</w:t>
            </w:r>
          </w:p>
        </w:tc>
      </w:tr>
      <w:tr w:rsidR="00BB46EB" w:rsidRPr="00755AFF" w14:paraId="74AEA298" w14:textId="77777777" w:rsidTr="00045FA0">
        <w:trPr>
          <w:trHeight w:val="300"/>
        </w:trPr>
        <w:tc>
          <w:tcPr>
            <w:tcW w:w="567" w:type="dxa"/>
            <w:shd w:val="clear" w:color="000000" w:fill="FFFFFF"/>
            <w:noWrap/>
            <w:vAlign w:val="center"/>
          </w:tcPr>
          <w:p w14:paraId="549B9B1E" w14:textId="77777777" w:rsidR="00BB46EB" w:rsidRPr="001048E0" w:rsidRDefault="00BB46EB" w:rsidP="008E4B7F">
            <w:pPr>
              <w:pStyle w:val="Tabletext0"/>
              <w:rPr>
                <w:color w:val="000000"/>
              </w:rPr>
            </w:pPr>
            <w:r w:rsidRPr="001048E0">
              <w:rPr>
                <w:color w:val="000000"/>
              </w:rPr>
              <w:t>5</w:t>
            </w:r>
          </w:p>
        </w:tc>
        <w:tc>
          <w:tcPr>
            <w:tcW w:w="2740" w:type="dxa"/>
            <w:shd w:val="clear" w:color="000000" w:fill="FFFFFF"/>
            <w:noWrap/>
            <w:vAlign w:val="center"/>
          </w:tcPr>
          <w:p w14:paraId="709AAB1B" w14:textId="77777777" w:rsidR="00BB46EB" w:rsidRPr="001E3859" w:rsidRDefault="00BB46EB" w:rsidP="008E4B7F">
            <w:pPr>
              <w:pStyle w:val="Tabletext0"/>
              <w:rPr>
                <w:color w:val="000000"/>
              </w:rPr>
            </w:pPr>
            <w:r>
              <w:rPr>
                <w:color w:val="000000"/>
              </w:rPr>
              <w:t xml:space="preserve">Other co-claiming </w:t>
            </w:r>
          </w:p>
        </w:tc>
        <w:tc>
          <w:tcPr>
            <w:tcW w:w="1017" w:type="dxa"/>
            <w:shd w:val="clear" w:color="000000" w:fill="FFFFFF"/>
            <w:noWrap/>
            <w:vAlign w:val="center"/>
          </w:tcPr>
          <w:p w14:paraId="78A32982" w14:textId="77777777" w:rsidR="00BB46EB" w:rsidRPr="001048E0" w:rsidRDefault="00BB46EB" w:rsidP="008E4B7F">
            <w:pPr>
              <w:pStyle w:val="Tabletext0"/>
            </w:pPr>
            <w:r>
              <w:t>448</w:t>
            </w:r>
          </w:p>
        </w:tc>
        <w:tc>
          <w:tcPr>
            <w:tcW w:w="960" w:type="dxa"/>
            <w:shd w:val="clear" w:color="000000" w:fill="FFFFFF"/>
            <w:noWrap/>
            <w:vAlign w:val="center"/>
          </w:tcPr>
          <w:p w14:paraId="267C666D" w14:textId="77777777" w:rsidR="00BB46EB" w:rsidRPr="001048E0" w:rsidRDefault="00BB46EB" w:rsidP="008E4B7F">
            <w:pPr>
              <w:pStyle w:val="Tabletext0"/>
            </w:pPr>
            <w:r>
              <w:t>1315</w:t>
            </w:r>
          </w:p>
        </w:tc>
        <w:tc>
          <w:tcPr>
            <w:tcW w:w="1416" w:type="dxa"/>
            <w:shd w:val="clear" w:color="000000" w:fill="FFFFFF"/>
            <w:noWrap/>
            <w:vAlign w:val="center"/>
          </w:tcPr>
          <w:p w14:paraId="0D72235D" w14:textId="77777777" w:rsidR="00BB46EB" w:rsidRPr="001048E0" w:rsidRDefault="00BB46EB" w:rsidP="008E4B7F">
            <w:pPr>
              <w:pStyle w:val="Tabletext0"/>
            </w:pPr>
            <w:r>
              <w:t>$521,777</w:t>
            </w:r>
          </w:p>
        </w:tc>
        <w:tc>
          <w:tcPr>
            <w:tcW w:w="1037" w:type="dxa"/>
            <w:shd w:val="clear" w:color="000000" w:fill="FFFFFF"/>
            <w:noWrap/>
            <w:vAlign w:val="center"/>
          </w:tcPr>
          <w:p w14:paraId="6EC3705D" w14:textId="77777777" w:rsidR="00BB46EB" w:rsidRPr="001048E0" w:rsidRDefault="00BB46EB" w:rsidP="008E4B7F">
            <w:pPr>
              <w:pStyle w:val="Tabletext0"/>
            </w:pPr>
            <w:r>
              <w:t>99</w:t>
            </w:r>
          </w:p>
        </w:tc>
        <w:tc>
          <w:tcPr>
            <w:tcW w:w="960" w:type="dxa"/>
            <w:shd w:val="clear" w:color="000000" w:fill="FFFFFF"/>
            <w:noWrap/>
            <w:vAlign w:val="center"/>
          </w:tcPr>
          <w:p w14:paraId="5ABA87DC" w14:textId="77777777" w:rsidR="00BB46EB" w:rsidRPr="001048E0" w:rsidRDefault="00BB46EB" w:rsidP="008E4B7F">
            <w:pPr>
              <w:pStyle w:val="Tabletext0"/>
            </w:pPr>
            <w:r>
              <w:t>447</w:t>
            </w:r>
          </w:p>
        </w:tc>
        <w:tc>
          <w:tcPr>
            <w:tcW w:w="801" w:type="dxa"/>
            <w:shd w:val="clear" w:color="000000" w:fill="FFFFFF"/>
            <w:noWrap/>
            <w:vAlign w:val="center"/>
          </w:tcPr>
          <w:p w14:paraId="40FAE84D" w14:textId="77777777" w:rsidR="00BB46EB" w:rsidRPr="001048E0" w:rsidRDefault="00BB46EB" w:rsidP="008E4B7F">
            <w:pPr>
              <w:pStyle w:val="Tabletext0"/>
            </w:pPr>
            <w:r>
              <w:t>2.7%</w:t>
            </w:r>
          </w:p>
        </w:tc>
      </w:tr>
    </w:tbl>
    <w:p w14:paraId="48909009" w14:textId="77777777" w:rsidR="00F7130D" w:rsidRDefault="00F7130D">
      <w:pPr>
        <w:rPr>
          <w:b/>
          <w:bCs/>
          <w:iCs/>
          <w:szCs w:val="24"/>
          <w:lang w:eastAsia="en-US"/>
        </w:rPr>
      </w:pPr>
      <w:bookmarkStart w:id="23" w:name="_Toc503955786"/>
      <w:r>
        <w:rPr>
          <w:szCs w:val="24"/>
        </w:rPr>
        <w:br w:type="page"/>
      </w:r>
    </w:p>
    <w:p w14:paraId="5A996D97" w14:textId="684C0CB6" w:rsidR="00BB46EB" w:rsidRPr="006B60E7" w:rsidRDefault="00BB46EB" w:rsidP="006B60E7">
      <w:pPr>
        <w:rPr>
          <w:rFonts w:ascii="Arial Narrow" w:hAnsi="Arial Narrow"/>
          <w:b/>
          <w:sz w:val="20"/>
        </w:rPr>
      </w:pPr>
      <w:r w:rsidRPr="006B60E7">
        <w:rPr>
          <w:rFonts w:ascii="Arial Narrow" w:hAnsi="Arial Narrow"/>
          <w:b/>
          <w:sz w:val="20"/>
        </w:rPr>
        <w:lastRenderedPageBreak/>
        <w:t xml:space="preserve">Table </w:t>
      </w:r>
      <w:r w:rsidR="00D05628" w:rsidRPr="006B60E7">
        <w:rPr>
          <w:rFonts w:ascii="Arial Narrow" w:hAnsi="Arial Narrow"/>
          <w:b/>
          <w:sz w:val="20"/>
        </w:rPr>
        <w:fldChar w:fldCharType="begin"/>
      </w:r>
      <w:r w:rsidR="00D05628" w:rsidRPr="006B60E7">
        <w:rPr>
          <w:rFonts w:ascii="Arial Narrow" w:hAnsi="Arial Narrow"/>
          <w:b/>
          <w:sz w:val="20"/>
        </w:rPr>
        <w:instrText xml:space="preserve"> SEQ Table \* ARABIC </w:instrText>
      </w:r>
      <w:r w:rsidR="00D05628" w:rsidRPr="006B60E7">
        <w:rPr>
          <w:rFonts w:ascii="Arial Narrow" w:hAnsi="Arial Narrow"/>
          <w:b/>
          <w:sz w:val="20"/>
        </w:rPr>
        <w:fldChar w:fldCharType="separate"/>
      </w:r>
      <w:r w:rsidRPr="006B60E7">
        <w:rPr>
          <w:rFonts w:ascii="Arial Narrow" w:hAnsi="Arial Narrow"/>
          <w:b/>
          <w:sz w:val="20"/>
        </w:rPr>
        <w:t>10</w:t>
      </w:r>
      <w:r w:rsidR="00D05628" w:rsidRPr="006B60E7">
        <w:rPr>
          <w:rFonts w:ascii="Arial Narrow" w:hAnsi="Arial Narrow"/>
          <w:b/>
          <w:sz w:val="20"/>
        </w:rPr>
        <w:fldChar w:fldCharType="end"/>
      </w:r>
      <w:r w:rsidR="00D05628" w:rsidRPr="006B60E7">
        <w:rPr>
          <w:rFonts w:ascii="Arial Narrow" w:hAnsi="Arial Narrow"/>
          <w:b/>
          <w:sz w:val="20"/>
        </w:rPr>
        <w:t>:</w:t>
      </w:r>
      <w:r w:rsidRPr="006B60E7">
        <w:rPr>
          <w:rFonts w:ascii="Arial Narrow" w:hAnsi="Arial Narrow"/>
          <w:b/>
          <w:sz w:val="20"/>
        </w:rPr>
        <w:t xml:space="preserve"> Majority instances of co-claiming with MBS item 57360 in 2012-13</w:t>
      </w:r>
      <w:bookmarkEnd w:id="23"/>
    </w:p>
    <w:tbl>
      <w:tblPr>
        <w:tblW w:w="9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majority instances of co-claiming with MBS item 57360 in 2012 to 2013. "/>
        <w:tblDescription w:val="This table provides data on the instances of co-claiming with MBS item 57360 in 2012 to 2013, and provides the number of providers, number of patients and percentage of episodes."/>
      </w:tblPr>
      <w:tblGrid>
        <w:gridCol w:w="851"/>
        <w:gridCol w:w="2314"/>
        <w:gridCol w:w="1017"/>
        <w:gridCol w:w="960"/>
        <w:gridCol w:w="1521"/>
        <w:gridCol w:w="1092"/>
        <w:gridCol w:w="892"/>
        <w:gridCol w:w="905"/>
      </w:tblGrid>
      <w:tr w:rsidR="00BB46EB" w:rsidRPr="00755AFF" w14:paraId="797AD1D7" w14:textId="77777777" w:rsidTr="00F7130D">
        <w:trPr>
          <w:trHeight w:val="716"/>
        </w:trPr>
        <w:tc>
          <w:tcPr>
            <w:tcW w:w="851" w:type="dxa"/>
            <w:shd w:val="clear" w:color="auto" w:fill="548DD4" w:themeFill="text2" w:themeFillTint="99"/>
            <w:vAlign w:val="center"/>
          </w:tcPr>
          <w:p w14:paraId="4B0E3304" w14:textId="77777777" w:rsidR="00BB46EB" w:rsidRPr="00755AFF" w:rsidRDefault="00BB46EB" w:rsidP="008E4B7F">
            <w:pPr>
              <w:pStyle w:val="Tabletext0"/>
            </w:pPr>
            <w:r w:rsidRPr="00755AFF">
              <w:t>#</w:t>
            </w:r>
          </w:p>
        </w:tc>
        <w:tc>
          <w:tcPr>
            <w:tcW w:w="2314" w:type="dxa"/>
            <w:shd w:val="clear" w:color="auto" w:fill="548DD4" w:themeFill="text2" w:themeFillTint="99"/>
            <w:vAlign w:val="center"/>
          </w:tcPr>
          <w:p w14:paraId="7AC7EF46" w14:textId="77777777" w:rsidR="00BB46EB" w:rsidRPr="00755AFF" w:rsidRDefault="00BB46EB" w:rsidP="008E4B7F">
            <w:pPr>
              <w:pStyle w:val="Tabletext0"/>
            </w:pPr>
            <w:r w:rsidRPr="00755AFF">
              <w:t>Items</w:t>
            </w:r>
          </w:p>
        </w:tc>
        <w:tc>
          <w:tcPr>
            <w:tcW w:w="1017" w:type="dxa"/>
            <w:shd w:val="clear" w:color="auto" w:fill="548DD4" w:themeFill="text2" w:themeFillTint="99"/>
            <w:vAlign w:val="center"/>
          </w:tcPr>
          <w:p w14:paraId="633353ED" w14:textId="77777777" w:rsidR="00BB46EB" w:rsidRPr="00755AFF" w:rsidRDefault="00BB46EB" w:rsidP="008E4B7F">
            <w:pPr>
              <w:pStyle w:val="Tabletext0"/>
            </w:pPr>
            <w:r w:rsidRPr="00755AFF">
              <w:t>Episodes</w:t>
            </w:r>
          </w:p>
        </w:tc>
        <w:tc>
          <w:tcPr>
            <w:tcW w:w="960" w:type="dxa"/>
            <w:shd w:val="clear" w:color="auto" w:fill="548DD4" w:themeFill="text2" w:themeFillTint="99"/>
            <w:vAlign w:val="center"/>
          </w:tcPr>
          <w:p w14:paraId="4327A2E8" w14:textId="77777777" w:rsidR="00BB46EB" w:rsidRPr="00755AFF" w:rsidRDefault="00BB46EB" w:rsidP="008E4B7F">
            <w:pPr>
              <w:pStyle w:val="Tabletext0"/>
            </w:pPr>
            <w:r w:rsidRPr="00755AFF">
              <w:t>Services</w:t>
            </w:r>
          </w:p>
        </w:tc>
        <w:tc>
          <w:tcPr>
            <w:tcW w:w="1521" w:type="dxa"/>
            <w:shd w:val="clear" w:color="auto" w:fill="548DD4" w:themeFill="text2" w:themeFillTint="99"/>
            <w:vAlign w:val="center"/>
          </w:tcPr>
          <w:p w14:paraId="62A18921" w14:textId="77777777" w:rsidR="00BB46EB" w:rsidRPr="00755AFF" w:rsidRDefault="00BB46EB" w:rsidP="008E4B7F">
            <w:pPr>
              <w:pStyle w:val="Tabletext0"/>
            </w:pPr>
            <w:r w:rsidRPr="00755AFF">
              <w:t>Schedule Fee for combination</w:t>
            </w:r>
          </w:p>
        </w:tc>
        <w:tc>
          <w:tcPr>
            <w:tcW w:w="1092" w:type="dxa"/>
            <w:shd w:val="clear" w:color="auto" w:fill="548DD4" w:themeFill="text2" w:themeFillTint="99"/>
            <w:vAlign w:val="center"/>
          </w:tcPr>
          <w:p w14:paraId="6A169193" w14:textId="77777777" w:rsidR="00BB46EB" w:rsidRPr="00755AFF" w:rsidRDefault="00BB46EB" w:rsidP="008E4B7F">
            <w:pPr>
              <w:pStyle w:val="Tabletext0"/>
            </w:pPr>
            <w:r w:rsidRPr="00755AFF">
              <w:t>Number of providers</w:t>
            </w:r>
          </w:p>
        </w:tc>
        <w:tc>
          <w:tcPr>
            <w:tcW w:w="892" w:type="dxa"/>
            <w:shd w:val="clear" w:color="auto" w:fill="548DD4" w:themeFill="text2" w:themeFillTint="99"/>
            <w:vAlign w:val="center"/>
          </w:tcPr>
          <w:p w14:paraId="7EDBA564" w14:textId="77777777" w:rsidR="00BB46EB" w:rsidRPr="00755AFF" w:rsidRDefault="00BB46EB" w:rsidP="008E4B7F">
            <w:pPr>
              <w:pStyle w:val="Tabletext0"/>
            </w:pPr>
            <w:r w:rsidRPr="00755AFF">
              <w:t>Number of patients</w:t>
            </w:r>
          </w:p>
        </w:tc>
        <w:tc>
          <w:tcPr>
            <w:tcW w:w="905" w:type="dxa"/>
            <w:shd w:val="clear" w:color="auto" w:fill="548DD4" w:themeFill="text2" w:themeFillTint="99"/>
            <w:vAlign w:val="center"/>
          </w:tcPr>
          <w:p w14:paraId="4B64EA3C" w14:textId="77777777" w:rsidR="00BB46EB" w:rsidRPr="00755AFF" w:rsidRDefault="00BB46EB" w:rsidP="008E4B7F">
            <w:pPr>
              <w:pStyle w:val="Tabletext0"/>
            </w:pPr>
            <w:r w:rsidRPr="00755AFF">
              <w:t>% of episodes</w:t>
            </w:r>
          </w:p>
        </w:tc>
      </w:tr>
      <w:tr w:rsidR="00BB46EB" w:rsidRPr="00755AFF" w14:paraId="395E0FFA" w14:textId="77777777" w:rsidTr="00F7130D">
        <w:trPr>
          <w:trHeight w:val="300"/>
        </w:trPr>
        <w:tc>
          <w:tcPr>
            <w:tcW w:w="851" w:type="dxa"/>
            <w:shd w:val="clear" w:color="000000" w:fill="FFFFFF"/>
            <w:noWrap/>
            <w:vAlign w:val="center"/>
          </w:tcPr>
          <w:p w14:paraId="77D12155" w14:textId="77777777" w:rsidR="00BB46EB" w:rsidRPr="00B70872" w:rsidRDefault="00BB46EB" w:rsidP="008E4B7F">
            <w:pPr>
              <w:pStyle w:val="Tabletext0"/>
              <w:rPr>
                <w:color w:val="000000"/>
              </w:rPr>
            </w:pPr>
            <w:r w:rsidRPr="00B70872">
              <w:rPr>
                <w:color w:val="000000"/>
              </w:rPr>
              <w:t>1</w:t>
            </w:r>
          </w:p>
        </w:tc>
        <w:tc>
          <w:tcPr>
            <w:tcW w:w="2314" w:type="dxa"/>
            <w:shd w:val="clear" w:color="000000" w:fill="FFFFFF"/>
            <w:noWrap/>
            <w:vAlign w:val="center"/>
          </w:tcPr>
          <w:p w14:paraId="2CF8C03A" w14:textId="77777777" w:rsidR="00BB46EB" w:rsidRPr="00285008" w:rsidRDefault="00BB46EB" w:rsidP="008E4B7F">
            <w:pPr>
              <w:pStyle w:val="Tabletext0"/>
            </w:pPr>
            <w:r w:rsidRPr="00285008">
              <w:t>57360</w:t>
            </w:r>
          </w:p>
        </w:tc>
        <w:tc>
          <w:tcPr>
            <w:tcW w:w="1017" w:type="dxa"/>
            <w:shd w:val="clear" w:color="000000" w:fill="FFFFFF"/>
            <w:noWrap/>
            <w:vAlign w:val="center"/>
          </w:tcPr>
          <w:p w14:paraId="5DF33EC5" w14:textId="77777777" w:rsidR="00BB46EB" w:rsidRPr="00B70872" w:rsidRDefault="00BB46EB" w:rsidP="008E4B7F">
            <w:pPr>
              <w:pStyle w:val="Tabletext0"/>
            </w:pPr>
            <w:r w:rsidRPr="00B70872">
              <w:t>27,836</w:t>
            </w:r>
          </w:p>
        </w:tc>
        <w:tc>
          <w:tcPr>
            <w:tcW w:w="960" w:type="dxa"/>
            <w:shd w:val="clear" w:color="000000" w:fill="FFFFFF"/>
            <w:noWrap/>
            <w:vAlign w:val="center"/>
          </w:tcPr>
          <w:p w14:paraId="57BBF344" w14:textId="77777777" w:rsidR="00BB46EB" w:rsidRPr="00B70872" w:rsidRDefault="00BB46EB" w:rsidP="008E4B7F">
            <w:pPr>
              <w:pStyle w:val="Tabletext0"/>
            </w:pPr>
            <w:r w:rsidRPr="00B70872">
              <w:t>27,843</w:t>
            </w:r>
          </w:p>
        </w:tc>
        <w:tc>
          <w:tcPr>
            <w:tcW w:w="1521" w:type="dxa"/>
            <w:shd w:val="clear" w:color="000000" w:fill="FFFFFF"/>
            <w:noWrap/>
            <w:vAlign w:val="center"/>
          </w:tcPr>
          <w:p w14:paraId="60706087" w14:textId="77777777" w:rsidR="00BB46EB" w:rsidRPr="00B70872" w:rsidRDefault="00BB46EB" w:rsidP="008E4B7F">
            <w:pPr>
              <w:pStyle w:val="Tabletext0"/>
            </w:pPr>
            <w:r w:rsidRPr="00B70872">
              <w:t>$19,490,065</w:t>
            </w:r>
          </w:p>
        </w:tc>
        <w:tc>
          <w:tcPr>
            <w:tcW w:w="1092" w:type="dxa"/>
            <w:shd w:val="clear" w:color="000000" w:fill="FFFFFF"/>
            <w:noWrap/>
            <w:vAlign w:val="center"/>
          </w:tcPr>
          <w:p w14:paraId="5233F94D" w14:textId="77777777" w:rsidR="00BB46EB" w:rsidRPr="00B70872" w:rsidRDefault="00BB46EB" w:rsidP="008E4B7F">
            <w:pPr>
              <w:pStyle w:val="Tabletext0"/>
            </w:pPr>
            <w:r w:rsidRPr="00B70872">
              <w:t>337</w:t>
            </w:r>
          </w:p>
        </w:tc>
        <w:tc>
          <w:tcPr>
            <w:tcW w:w="892" w:type="dxa"/>
            <w:shd w:val="clear" w:color="000000" w:fill="FFFFFF"/>
            <w:noWrap/>
            <w:vAlign w:val="center"/>
          </w:tcPr>
          <w:p w14:paraId="2EEFEC25" w14:textId="77777777" w:rsidR="00BB46EB" w:rsidRPr="00B70872" w:rsidRDefault="00BB46EB" w:rsidP="008E4B7F">
            <w:pPr>
              <w:pStyle w:val="Tabletext0"/>
            </w:pPr>
            <w:r w:rsidRPr="00B70872">
              <w:t>27,719</w:t>
            </w:r>
          </w:p>
        </w:tc>
        <w:tc>
          <w:tcPr>
            <w:tcW w:w="905" w:type="dxa"/>
            <w:shd w:val="clear" w:color="000000" w:fill="FFFFFF"/>
            <w:noWrap/>
            <w:vAlign w:val="center"/>
          </w:tcPr>
          <w:p w14:paraId="454313DE" w14:textId="77777777" w:rsidR="00BB46EB" w:rsidRPr="00B70872" w:rsidRDefault="00BB46EB" w:rsidP="008E4B7F">
            <w:pPr>
              <w:pStyle w:val="Tabletext0"/>
            </w:pPr>
            <w:r>
              <w:t>85.8</w:t>
            </w:r>
            <w:r w:rsidRPr="00B70872">
              <w:t>%</w:t>
            </w:r>
          </w:p>
        </w:tc>
      </w:tr>
      <w:tr w:rsidR="00BB46EB" w:rsidRPr="00755AFF" w14:paraId="4F9C0D45" w14:textId="77777777" w:rsidTr="00F7130D">
        <w:trPr>
          <w:trHeight w:val="300"/>
        </w:trPr>
        <w:tc>
          <w:tcPr>
            <w:tcW w:w="851" w:type="dxa"/>
            <w:shd w:val="clear" w:color="000000" w:fill="FFFFFF"/>
            <w:noWrap/>
            <w:vAlign w:val="center"/>
          </w:tcPr>
          <w:p w14:paraId="6897CBF9" w14:textId="77777777" w:rsidR="00BB46EB" w:rsidRPr="00B70872" w:rsidRDefault="00BB46EB" w:rsidP="008E4B7F">
            <w:pPr>
              <w:pStyle w:val="Tabletext0"/>
              <w:rPr>
                <w:color w:val="000000"/>
              </w:rPr>
            </w:pPr>
            <w:r w:rsidRPr="00B70872">
              <w:rPr>
                <w:color w:val="000000"/>
              </w:rPr>
              <w:t>2</w:t>
            </w:r>
          </w:p>
        </w:tc>
        <w:tc>
          <w:tcPr>
            <w:tcW w:w="2314" w:type="dxa"/>
            <w:shd w:val="clear" w:color="000000" w:fill="FFFFFF"/>
            <w:noWrap/>
            <w:vAlign w:val="center"/>
          </w:tcPr>
          <w:p w14:paraId="22790DB7" w14:textId="77777777" w:rsidR="00BB46EB" w:rsidRPr="00B70872" w:rsidRDefault="00BB46EB" w:rsidP="008E4B7F">
            <w:pPr>
              <w:pStyle w:val="Tabletext0"/>
            </w:pPr>
            <w:r w:rsidRPr="00285008">
              <w:t>57360</w:t>
            </w:r>
            <w:r w:rsidRPr="00B70872">
              <w:t>, 104</w:t>
            </w:r>
          </w:p>
        </w:tc>
        <w:tc>
          <w:tcPr>
            <w:tcW w:w="1017" w:type="dxa"/>
            <w:shd w:val="clear" w:color="000000" w:fill="FFFFFF"/>
            <w:noWrap/>
            <w:vAlign w:val="center"/>
          </w:tcPr>
          <w:p w14:paraId="190FDB6E" w14:textId="77777777" w:rsidR="00BB46EB" w:rsidRPr="00B70872" w:rsidRDefault="00BB46EB" w:rsidP="008E4B7F">
            <w:pPr>
              <w:pStyle w:val="Tabletext0"/>
            </w:pPr>
            <w:r w:rsidRPr="00B70872">
              <w:t>1,815</w:t>
            </w:r>
          </w:p>
        </w:tc>
        <w:tc>
          <w:tcPr>
            <w:tcW w:w="960" w:type="dxa"/>
            <w:shd w:val="clear" w:color="000000" w:fill="FFFFFF"/>
            <w:noWrap/>
            <w:vAlign w:val="center"/>
          </w:tcPr>
          <w:p w14:paraId="1061DC69" w14:textId="77777777" w:rsidR="00BB46EB" w:rsidRPr="00B70872" w:rsidRDefault="00BB46EB" w:rsidP="008E4B7F">
            <w:pPr>
              <w:pStyle w:val="Tabletext0"/>
            </w:pPr>
            <w:r w:rsidRPr="00B70872">
              <w:t>3,630</w:t>
            </w:r>
          </w:p>
        </w:tc>
        <w:tc>
          <w:tcPr>
            <w:tcW w:w="1521" w:type="dxa"/>
            <w:shd w:val="clear" w:color="000000" w:fill="FFFFFF"/>
            <w:noWrap/>
            <w:vAlign w:val="center"/>
          </w:tcPr>
          <w:p w14:paraId="15516CA2" w14:textId="77777777" w:rsidR="00BB46EB" w:rsidRPr="00B70872" w:rsidRDefault="00BB46EB" w:rsidP="008E4B7F">
            <w:pPr>
              <w:pStyle w:val="Tabletext0"/>
            </w:pPr>
            <w:r w:rsidRPr="00B70872">
              <w:t>$1,363,421</w:t>
            </w:r>
          </w:p>
        </w:tc>
        <w:tc>
          <w:tcPr>
            <w:tcW w:w="1092" w:type="dxa"/>
            <w:shd w:val="clear" w:color="000000" w:fill="FFFFFF"/>
            <w:noWrap/>
            <w:vAlign w:val="center"/>
          </w:tcPr>
          <w:p w14:paraId="6FC13713" w14:textId="77777777" w:rsidR="00BB46EB" w:rsidRPr="00B70872" w:rsidRDefault="00BB46EB" w:rsidP="008E4B7F">
            <w:pPr>
              <w:pStyle w:val="Tabletext0"/>
            </w:pPr>
            <w:r>
              <w:t>20</w:t>
            </w:r>
          </w:p>
        </w:tc>
        <w:tc>
          <w:tcPr>
            <w:tcW w:w="892" w:type="dxa"/>
            <w:shd w:val="clear" w:color="000000" w:fill="FFFFFF"/>
            <w:noWrap/>
            <w:vAlign w:val="center"/>
          </w:tcPr>
          <w:p w14:paraId="626AC4E4" w14:textId="77777777" w:rsidR="00BB46EB" w:rsidRPr="00B70872" w:rsidRDefault="00BB46EB" w:rsidP="008E4B7F">
            <w:pPr>
              <w:pStyle w:val="Tabletext0"/>
            </w:pPr>
            <w:r w:rsidRPr="00B70872">
              <w:t>1,811</w:t>
            </w:r>
          </w:p>
        </w:tc>
        <w:tc>
          <w:tcPr>
            <w:tcW w:w="905" w:type="dxa"/>
            <w:shd w:val="clear" w:color="000000" w:fill="FFFFFF"/>
            <w:noWrap/>
            <w:vAlign w:val="center"/>
          </w:tcPr>
          <w:p w14:paraId="35105BBC" w14:textId="77777777" w:rsidR="00BB46EB" w:rsidRPr="00B70872" w:rsidRDefault="00BB46EB" w:rsidP="008E4B7F">
            <w:pPr>
              <w:pStyle w:val="Tabletext0"/>
            </w:pPr>
            <w:r>
              <w:t>5.6</w:t>
            </w:r>
            <w:r w:rsidRPr="00B70872">
              <w:t>%</w:t>
            </w:r>
          </w:p>
        </w:tc>
      </w:tr>
      <w:tr w:rsidR="00BB46EB" w:rsidRPr="00755AFF" w14:paraId="127B90DA" w14:textId="77777777" w:rsidTr="00F7130D">
        <w:trPr>
          <w:trHeight w:val="300"/>
        </w:trPr>
        <w:tc>
          <w:tcPr>
            <w:tcW w:w="851" w:type="dxa"/>
            <w:shd w:val="clear" w:color="000000" w:fill="FFFFFF"/>
            <w:noWrap/>
            <w:vAlign w:val="center"/>
          </w:tcPr>
          <w:p w14:paraId="30B5DEF8" w14:textId="77777777" w:rsidR="00BB46EB" w:rsidRPr="00B70872" w:rsidRDefault="00BB46EB" w:rsidP="008E4B7F">
            <w:pPr>
              <w:pStyle w:val="Tabletext0"/>
              <w:rPr>
                <w:color w:val="000000"/>
              </w:rPr>
            </w:pPr>
            <w:r w:rsidRPr="00B70872">
              <w:rPr>
                <w:color w:val="000000"/>
              </w:rPr>
              <w:t>3</w:t>
            </w:r>
          </w:p>
        </w:tc>
        <w:tc>
          <w:tcPr>
            <w:tcW w:w="2314" w:type="dxa"/>
            <w:shd w:val="clear" w:color="000000" w:fill="FFFFFF"/>
            <w:noWrap/>
            <w:vAlign w:val="center"/>
          </w:tcPr>
          <w:p w14:paraId="4C378DD6" w14:textId="77777777" w:rsidR="00BB46EB" w:rsidRPr="00B70872" w:rsidRDefault="00BB46EB" w:rsidP="008E4B7F">
            <w:pPr>
              <w:pStyle w:val="Tabletext0"/>
            </w:pPr>
            <w:r w:rsidRPr="00285008">
              <w:t>57360</w:t>
            </w:r>
            <w:r w:rsidRPr="00B70872">
              <w:t>, 116</w:t>
            </w:r>
          </w:p>
        </w:tc>
        <w:tc>
          <w:tcPr>
            <w:tcW w:w="1017" w:type="dxa"/>
            <w:shd w:val="clear" w:color="000000" w:fill="FFFFFF"/>
            <w:noWrap/>
            <w:vAlign w:val="center"/>
          </w:tcPr>
          <w:p w14:paraId="0A4917FF" w14:textId="77777777" w:rsidR="00BB46EB" w:rsidRPr="00B70872" w:rsidRDefault="00BB46EB" w:rsidP="008E4B7F">
            <w:pPr>
              <w:pStyle w:val="Tabletext0"/>
            </w:pPr>
            <w:r w:rsidRPr="00B70872">
              <w:t>740</w:t>
            </w:r>
          </w:p>
        </w:tc>
        <w:tc>
          <w:tcPr>
            <w:tcW w:w="960" w:type="dxa"/>
            <w:shd w:val="clear" w:color="000000" w:fill="FFFFFF"/>
            <w:noWrap/>
            <w:vAlign w:val="center"/>
          </w:tcPr>
          <w:p w14:paraId="312A4F87" w14:textId="77777777" w:rsidR="00BB46EB" w:rsidRPr="00B70872" w:rsidRDefault="00BB46EB" w:rsidP="008E4B7F">
            <w:pPr>
              <w:pStyle w:val="Tabletext0"/>
            </w:pPr>
            <w:r w:rsidRPr="00B70872">
              <w:t>1,480</w:t>
            </w:r>
          </w:p>
        </w:tc>
        <w:tc>
          <w:tcPr>
            <w:tcW w:w="1521" w:type="dxa"/>
            <w:shd w:val="clear" w:color="000000" w:fill="FFFFFF"/>
            <w:noWrap/>
            <w:vAlign w:val="center"/>
          </w:tcPr>
          <w:p w14:paraId="3F39C93B" w14:textId="77777777" w:rsidR="00BB46EB" w:rsidRPr="00B70872" w:rsidRDefault="00BB46EB" w:rsidP="008E4B7F">
            <w:pPr>
              <w:pStyle w:val="Tabletext0"/>
            </w:pPr>
            <w:r w:rsidRPr="00B70872">
              <w:t>$547,554</w:t>
            </w:r>
          </w:p>
        </w:tc>
        <w:tc>
          <w:tcPr>
            <w:tcW w:w="1092" w:type="dxa"/>
            <w:shd w:val="clear" w:color="000000" w:fill="FFFFFF"/>
            <w:noWrap/>
            <w:vAlign w:val="center"/>
          </w:tcPr>
          <w:p w14:paraId="26E9B873" w14:textId="77777777" w:rsidR="00BB46EB" w:rsidRPr="00B70872" w:rsidRDefault="00BB46EB" w:rsidP="008E4B7F">
            <w:pPr>
              <w:pStyle w:val="Tabletext0"/>
            </w:pPr>
            <w:r w:rsidRPr="00B70872">
              <w:t>13</w:t>
            </w:r>
          </w:p>
        </w:tc>
        <w:tc>
          <w:tcPr>
            <w:tcW w:w="892" w:type="dxa"/>
            <w:shd w:val="clear" w:color="000000" w:fill="FFFFFF"/>
            <w:noWrap/>
            <w:vAlign w:val="center"/>
          </w:tcPr>
          <w:p w14:paraId="6F55C959" w14:textId="77777777" w:rsidR="00BB46EB" w:rsidRPr="00B70872" w:rsidRDefault="00BB46EB" w:rsidP="008E4B7F">
            <w:pPr>
              <w:pStyle w:val="Tabletext0"/>
            </w:pPr>
            <w:r w:rsidRPr="00B70872">
              <w:t>737</w:t>
            </w:r>
          </w:p>
        </w:tc>
        <w:tc>
          <w:tcPr>
            <w:tcW w:w="905" w:type="dxa"/>
            <w:shd w:val="clear" w:color="000000" w:fill="FFFFFF"/>
            <w:noWrap/>
            <w:vAlign w:val="center"/>
          </w:tcPr>
          <w:p w14:paraId="491A56AA" w14:textId="77777777" w:rsidR="00BB46EB" w:rsidRPr="00B70872" w:rsidRDefault="00BB46EB" w:rsidP="008E4B7F">
            <w:pPr>
              <w:pStyle w:val="Tabletext0"/>
            </w:pPr>
            <w:r>
              <w:t>2.3</w:t>
            </w:r>
            <w:r w:rsidRPr="00B70872">
              <w:t>%</w:t>
            </w:r>
          </w:p>
        </w:tc>
      </w:tr>
      <w:tr w:rsidR="00BB46EB" w:rsidRPr="00755AFF" w14:paraId="31A447A1" w14:textId="77777777" w:rsidTr="00F7130D">
        <w:trPr>
          <w:trHeight w:val="300"/>
        </w:trPr>
        <w:tc>
          <w:tcPr>
            <w:tcW w:w="851" w:type="dxa"/>
            <w:shd w:val="clear" w:color="000000" w:fill="FFFFFF"/>
            <w:noWrap/>
            <w:vAlign w:val="center"/>
          </w:tcPr>
          <w:p w14:paraId="2970AD8D" w14:textId="77777777" w:rsidR="00BB46EB" w:rsidRPr="00B70872" w:rsidRDefault="00BB46EB" w:rsidP="008E4B7F">
            <w:pPr>
              <w:pStyle w:val="Tabletext0"/>
              <w:rPr>
                <w:color w:val="000000"/>
              </w:rPr>
            </w:pPr>
            <w:r w:rsidRPr="00B70872">
              <w:rPr>
                <w:color w:val="000000"/>
              </w:rPr>
              <w:t>4</w:t>
            </w:r>
          </w:p>
        </w:tc>
        <w:tc>
          <w:tcPr>
            <w:tcW w:w="2314" w:type="dxa"/>
            <w:shd w:val="clear" w:color="000000" w:fill="FFFFFF"/>
            <w:noWrap/>
            <w:vAlign w:val="center"/>
          </w:tcPr>
          <w:p w14:paraId="62BEB018" w14:textId="77777777" w:rsidR="00BB46EB" w:rsidRPr="00B70872" w:rsidRDefault="00BB46EB" w:rsidP="008E4B7F">
            <w:pPr>
              <w:pStyle w:val="Tabletext0"/>
            </w:pPr>
            <w:r w:rsidRPr="00285008">
              <w:t>57360</w:t>
            </w:r>
            <w:r w:rsidRPr="00B70872">
              <w:t>, 110</w:t>
            </w:r>
          </w:p>
        </w:tc>
        <w:tc>
          <w:tcPr>
            <w:tcW w:w="1017" w:type="dxa"/>
            <w:shd w:val="clear" w:color="000000" w:fill="FFFFFF"/>
            <w:noWrap/>
            <w:vAlign w:val="center"/>
          </w:tcPr>
          <w:p w14:paraId="48767990" w14:textId="77777777" w:rsidR="00BB46EB" w:rsidRPr="00B70872" w:rsidRDefault="00BB46EB" w:rsidP="008E4B7F">
            <w:pPr>
              <w:pStyle w:val="Tabletext0"/>
            </w:pPr>
            <w:r w:rsidRPr="00B70872">
              <w:t>570</w:t>
            </w:r>
          </w:p>
        </w:tc>
        <w:tc>
          <w:tcPr>
            <w:tcW w:w="960" w:type="dxa"/>
            <w:shd w:val="clear" w:color="000000" w:fill="FFFFFF"/>
            <w:noWrap/>
            <w:vAlign w:val="center"/>
          </w:tcPr>
          <w:p w14:paraId="042251EC" w14:textId="77777777" w:rsidR="00BB46EB" w:rsidRPr="00B70872" w:rsidRDefault="00BB46EB" w:rsidP="008E4B7F">
            <w:pPr>
              <w:pStyle w:val="Tabletext0"/>
            </w:pPr>
            <w:r w:rsidRPr="00B70872">
              <w:t>1,140</w:t>
            </w:r>
          </w:p>
        </w:tc>
        <w:tc>
          <w:tcPr>
            <w:tcW w:w="1521" w:type="dxa"/>
            <w:shd w:val="clear" w:color="000000" w:fill="FFFFFF"/>
            <w:noWrap/>
            <w:vAlign w:val="center"/>
          </w:tcPr>
          <w:p w14:paraId="33AD7E96" w14:textId="77777777" w:rsidR="00BB46EB" w:rsidRPr="00B70872" w:rsidRDefault="00BB46EB" w:rsidP="008E4B7F">
            <w:pPr>
              <w:pStyle w:val="Tabletext0"/>
            </w:pPr>
            <w:r w:rsidRPr="00B70872">
              <w:t>$464,600</w:t>
            </w:r>
          </w:p>
        </w:tc>
        <w:tc>
          <w:tcPr>
            <w:tcW w:w="1092" w:type="dxa"/>
            <w:shd w:val="clear" w:color="000000" w:fill="FFFFFF"/>
            <w:noWrap/>
            <w:vAlign w:val="center"/>
          </w:tcPr>
          <w:p w14:paraId="21DE0EA5" w14:textId="77777777" w:rsidR="00BB46EB" w:rsidRPr="00B70872" w:rsidRDefault="00BB46EB" w:rsidP="008E4B7F">
            <w:pPr>
              <w:pStyle w:val="Tabletext0"/>
            </w:pPr>
            <w:r>
              <w:t>14</w:t>
            </w:r>
          </w:p>
        </w:tc>
        <w:tc>
          <w:tcPr>
            <w:tcW w:w="892" w:type="dxa"/>
            <w:shd w:val="clear" w:color="000000" w:fill="FFFFFF"/>
            <w:noWrap/>
            <w:vAlign w:val="center"/>
          </w:tcPr>
          <w:p w14:paraId="5EE494B9" w14:textId="77777777" w:rsidR="00BB46EB" w:rsidRPr="00B70872" w:rsidRDefault="00BB46EB" w:rsidP="008E4B7F">
            <w:pPr>
              <w:pStyle w:val="Tabletext0"/>
            </w:pPr>
            <w:r w:rsidRPr="00B70872">
              <w:t>570</w:t>
            </w:r>
          </w:p>
        </w:tc>
        <w:tc>
          <w:tcPr>
            <w:tcW w:w="905" w:type="dxa"/>
            <w:shd w:val="clear" w:color="000000" w:fill="FFFFFF"/>
            <w:noWrap/>
            <w:vAlign w:val="center"/>
          </w:tcPr>
          <w:p w14:paraId="022A73AC" w14:textId="77777777" w:rsidR="00BB46EB" w:rsidRPr="00B70872" w:rsidRDefault="00BB46EB" w:rsidP="008E4B7F">
            <w:pPr>
              <w:pStyle w:val="Tabletext0"/>
            </w:pPr>
            <w:r>
              <w:t>1.8</w:t>
            </w:r>
            <w:r w:rsidRPr="00B70872">
              <w:t>%</w:t>
            </w:r>
          </w:p>
        </w:tc>
      </w:tr>
      <w:tr w:rsidR="00BB46EB" w:rsidRPr="00755AFF" w14:paraId="362C9280" w14:textId="77777777" w:rsidTr="00F7130D">
        <w:trPr>
          <w:trHeight w:val="300"/>
        </w:trPr>
        <w:tc>
          <w:tcPr>
            <w:tcW w:w="851" w:type="dxa"/>
            <w:shd w:val="clear" w:color="000000" w:fill="FFFFFF"/>
            <w:noWrap/>
            <w:vAlign w:val="center"/>
          </w:tcPr>
          <w:p w14:paraId="065CC389" w14:textId="77777777" w:rsidR="00BB46EB" w:rsidRPr="00B70872" w:rsidRDefault="00BB46EB" w:rsidP="008E4B7F">
            <w:pPr>
              <w:pStyle w:val="Tabletext0"/>
              <w:rPr>
                <w:color w:val="000000"/>
              </w:rPr>
            </w:pPr>
            <w:r w:rsidRPr="00B70872">
              <w:rPr>
                <w:color w:val="000000"/>
              </w:rPr>
              <w:t>5</w:t>
            </w:r>
          </w:p>
        </w:tc>
        <w:tc>
          <w:tcPr>
            <w:tcW w:w="2314" w:type="dxa"/>
            <w:shd w:val="clear" w:color="000000" w:fill="FFFFFF"/>
            <w:noWrap/>
            <w:vAlign w:val="center"/>
          </w:tcPr>
          <w:p w14:paraId="2FC6134C" w14:textId="77777777" w:rsidR="00BB46EB" w:rsidRPr="00A9511A" w:rsidRDefault="00BB46EB" w:rsidP="008E4B7F">
            <w:pPr>
              <w:pStyle w:val="Tabletext0"/>
            </w:pPr>
            <w:r>
              <w:t xml:space="preserve">Other co-claiming </w:t>
            </w:r>
          </w:p>
        </w:tc>
        <w:tc>
          <w:tcPr>
            <w:tcW w:w="1017" w:type="dxa"/>
            <w:shd w:val="clear" w:color="000000" w:fill="FFFFFF"/>
            <w:noWrap/>
            <w:vAlign w:val="center"/>
          </w:tcPr>
          <w:p w14:paraId="5CDF0ABF" w14:textId="77777777" w:rsidR="00BB46EB" w:rsidRPr="00B70872" w:rsidRDefault="00BB46EB" w:rsidP="008E4B7F">
            <w:pPr>
              <w:pStyle w:val="Tabletext0"/>
            </w:pPr>
            <w:r>
              <w:t>889</w:t>
            </w:r>
          </w:p>
        </w:tc>
        <w:tc>
          <w:tcPr>
            <w:tcW w:w="960" w:type="dxa"/>
            <w:shd w:val="clear" w:color="000000" w:fill="FFFFFF"/>
            <w:noWrap/>
            <w:vAlign w:val="center"/>
          </w:tcPr>
          <w:p w14:paraId="73AC2DCE" w14:textId="77777777" w:rsidR="00BB46EB" w:rsidRPr="00B70872" w:rsidRDefault="00BB46EB" w:rsidP="008E4B7F">
            <w:pPr>
              <w:pStyle w:val="Tabletext0"/>
            </w:pPr>
            <w:r>
              <w:t>1,984</w:t>
            </w:r>
          </w:p>
        </w:tc>
        <w:tc>
          <w:tcPr>
            <w:tcW w:w="1521" w:type="dxa"/>
            <w:shd w:val="clear" w:color="000000" w:fill="FFFFFF"/>
            <w:noWrap/>
            <w:vAlign w:val="center"/>
          </w:tcPr>
          <w:p w14:paraId="2F6631AC" w14:textId="77777777" w:rsidR="00BB46EB" w:rsidRPr="00B70872" w:rsidRDefault="00BB46EB" w:rsidP="008E4B7F">
            <w:pPr>
              <w:pStyle w:val="Tabletext0"/>
            </w:pPr>
            <w:r w:rsidRPr="00B70872">
              <w:t>$</w:t>
            </w:r>
            <w:r>
              <w:t>677,002</w:t>
            </w:r>
          </w:p>
        </w:tc>
        <w:tc>
          <w:tcPr>
            <w:tcW w:w="1092" w:type="dxa"/>
            <w:shd w:val="clear" w:color="000000" w:fill="FFFFFF"/>
            <w:noWrap/>
            <w:vAlign w:val="center"/>
          </w:tcPr>
          <w:p w14:paraId="7E8C544B" w14:textId="77777777" w:rsidR="00BB46EB" w:rsidRPr="00B70872" w:rsidRDefault="00BB46EB" w:rsidP="008E4B7F">
            <w:pPr>
              <w:pStyle w:val="Tabletext0"/>
            </w:pPr>
            <w:r>
              <w:t>137</w:t>
            </w:r>
          </w:p>
        </w:tc>
        <w:tc>
          <w:tcPr>
            <w:tcW w:w="892" w:type="dxa"/>
            <w:shd w:val="clear" w:color="000000" w:fill="FFFFFF"/>
            <w:noWrap/>
            <w:vAlign w:val="center"/>
          </w:tcPr>
          <w:p w14:paraId="688AC604" w14:textId="77777777" w:rsidR="00BB46EB" w:rsidRPr="00B70872" w:rsidRDefault="00BB46EB" w:rsidP="008E4B7F">
            <w:pPr>
              <w:pStyle w:val="Tabletext0"/>
            </w:pPr>
            <w:r>
              <w:t>889</w:t>
            </w:r>
          </w:p>
        </w:tc>
        <w:tc>
          <w:tcPr>
            <w:tcW w:w="905" w:type="dxa"/>
            <w:shd w:val="clear" w:color="000000" w:fill="FFFFFF"/>
            <w:noWrap/>
            <w:vAlign w:val="center"/>
          </w:tcPr>
          <w:p w14:paraId="2EDB8290" w14:textId="77777777" w:rsidR="00BB46EB" w:rsidRPr="00B70872" w:rsidRDefault="00BB46EB" w:rsidP="008E4B7F">
            <w:pPr>
              <w:pStyle w:val="Tabletext0"/>
            </w:pPr>
            <w:r>
              <w:t>1.8</w:t>
            </w:r>
            <w:r w:rsidRPr="00B70872">
              <w:t xml:space="preserve"> %</w:t>
            </w:r>
          </w:p>
        </w:tc>
      </w:tr>
    </w:tbl>
    <w:p w14:paraId="11A4D419" w14:textId="25F8EC61" w:rsidR="00BB46EB" w:rsidRPr="006B60E7" w:rsidRDefault="00BB46EB" w:rsidP="006B60E7">
      <w:pPr>
        <w:spacing w:before="240"/>
        <w:rPr>
          <w:rFonts w:ascii="Arial Narrow" w:hAnsi="Arial Narrow"/>
          <w:b/>
          <w:sz w:val="20"/>
        </w:rPr>
      </w:pPr>
      <w:bookmarkStart w:id="24" w:name="_Toc503955787"/>
      <w:r w:rsidRPr="006B60E7">
        <w:rPr>
          <w:rFonts w:ascii="Arial Narrow" w:hAnsi="Arial Narrow"/>
          <w:b/>
          <w:sz w:val="20"/>
        </w:rPr>
        <w:t xml:space="preserve">Table </w:t>
      </w:r>
      <w:r w:rsidR="00D05628" w:rsidRPr="006B60E7">
        <w:rPr>
          <w:rFonts w:ascii="Arial Narrow" w:hAnsi="Arial Narrow"/>
          <w:b/>
          <w:sz w:val="20"/>
        </w:rPr>
        <w:fldChar w:fldCharType="begin"/>
      </w:r>
      <w:r w:rsidR="00D05628" w:rsidRPr="006B60E7">
        <w:rPr>
          <w:rFonts w:ascii="Arial Narrow" w:hAnsi="Arial Narrow"/>
          <w:b/>
          <w:sz w:val="20"/>
        </w:rPr>
        <w:instrText xml:space="preserve"> SEQ Table \* ARABIC </w:instrText>
      </w:r>
      <w:r w:rsidR="00D05628" w:rsidRPr="006B60E7">
        <w:rPr>
          <w:rFonts w:ascii="Arial Narrow" w:hAnsi="Arial Narrow"/>
          <w:b/>
          <w:sz w:val="20"/>
        </w:rPr>
        <w:fldChar w:fldCharType="separate"/>
      </w:r>
      <w:r w:rsidRPr="006B60E7">
        <w:rPr>
          <w:rFonts w:ascii="Arial Narrow" w:hAnsi="Arial Narrow"/>
          <w:b/>
          <w:sz w:val="20"/>
        </w:rPr>
        <w:t>11</w:t>
      </w:r>
      <w:r w:rsidR="00D05628" w:rsidRPr="006B60E7">
        <w:rPr>
          <w:rFonts w:ascii="Arial Narrow" w:hAnsi="Arial Narrow"/>
          <w:b/>
          <w:sz w:val="20"/>
        </w:rPr>
        <w:fldChar w:fldCharType="end"/>
      </w:r>
      <w:r w:rsidR="00D05628" w:rsidRPr="006B60E7">
        <w:rPr>
          <w:rFonts w:ascii="Arial Narrow" w:hAnsi="Arial Narrow"/>
          <w:b/>
          <w:sz w:val="20"/>
        </w:rPr>
        <w:t>:</w:t>
      </w:r>
      <w:r w:rsidRPr="006B60E7">
        <w:rPr>
          <w:rFonts w:ascii="Arial Narrow" w:hAnsi="Arial Narrow"/>
          <w:b/>
          <w:sz w:val="20"/>
        </w:rPr>
        <w:t xml:space="preserve"> Majority instances of co-claiming with MBS item 57360 in 2013-14</w:t>
      </w:r>
      <w:bookmarkEnd w:id="24"/>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1 majority of instances of co-claiming with MBS item 57360 in 2013 to 2014"/>
        <w:tblDescription w:val="This table provides data on the instances of co-claiming with MBS item 57360 in 2013 to 2014, and provides the number of providers, number of patients and percentage of episodes."/>
      </w:tblPr>
      <w:tblGrid>
        <w:gridCol w:w="851"/>
        <w:gridCol w:w="2268"/>
        <w:gridCol w:w="1134"/>
        <w:gridCol w:w="850"/>
        <w:gridCol w:w="1560"/>
        <w:gridCol w:w="1134"/>
        <w:gridCol w:w="850"/>
        <w:gridCol w:w="851"/>
      </w:tblGrid>
      <w:tr w:rsidR="00BB46EB" w:rsidRPr="00755AFF" w14:paraId="78E4894B" w14:textId="77777777" w:rsidTr="00F7130D">
        <w:trPr>
          <w:trHeight w:val="615"/>
        </w:trPr>
        <w:tc>
          <w:tcPr>
            <w:tcW w:w="851" w:type="dxa"/>
            <w:shd w:val="clear" w:color="auto" w:fill="548DD4" w:themeFill="text2" w:themeFillTint="99"/>
            <w:vAlign w:val="center"/>
          </w:tcPr>
          <w:p w14:paraId="7B6971C2" w14:textId="77777777" w:rsidR="00BB46EB" w:rsidRPr="00B96359" w:rsidRDefault="00BB46EB" w:rsidP="00F7130D">
            <w:pPr>
              <w:pStyle w:val="Tabletext0"/>
              <w:ind w:left="241"/>
            </w:pPr>
            <w:r w:rsidRPr="00B96359">
              <w:t>#</w:t>
            </w:r>
          </w:p>
        </w:tc>
        <w:tc>
          <w:tcPr>
            <w:tcW w:w="2268" w:type="dxa"/>
            <w:shd w:val="clear" w:color="auto" w:fill="548DD4" w:themeFill="text2" w:themeFillTint="99"/>
            <w:vAlign w:val="center"/>
          </w:tcPr>
          <w:p w14:paraId="173E25E7" w14:textId="77777777" w:rsidR="00BB46EB" w:rsidRPr="00B96359" w:rsidRDefault="00BB46EB" w:rsidP="008E4B7F">
            <w:pPr>
              <w:pStyle w:val="Tabletext0"/>
            </w:pPr>
            <w:r w:rsidRPr="00B96359">
              <w:t>Items</w:t>
            </w:r>
          </w:p>
        </w:tc>
        <w:tc>
          <w:tcPr>
            <w:tcW w:w="1134" w:type="dxa"/>
            <w:shd w:val="clear" w:color="auto" w:fill="548DD4" w:themeFill="text2" w:themeFillTint="99"/>
            <w:vAlign w:val="center"/>
          </w:tcPr>
          <w:p w14:paraId="4640BD26" w14:textId="77777777" w:rsidR="00BB46EB" w:rsidRPr="00B96359" w:rsidRDefault="00BB46EB" w:rsidP="008E4B7F">
            <w:pPr>
              <w:pStyle w:val="Tabletext0"/>
            </w:pPr>
            <w:r w:rsidRPr="00B96359">
              <w:t>Episodes</w:t>
            </w:r>
          </w:p>
        </w:tc>
        <w:tc>
          <w:tcPr>
            <w:tcW w:w="850" w:type="dxa"/>
            <w:shd w:val="clear" w:color="auto" w:fill="548DD4" w:themeFill="text2" w:themeFillTint="99"/>
            <w:vAlign w:val="center"/>
          </w:tcPr>
          <w:p w14:paraId="3CA5376B" w14:textId="77777777" w:rsidR="00BB46EB" w:rsidRPr="00B96359" w:rsidRDefault="00BB46EB" w:rsidP="008E4B7F">
            <w:pPr>
              <w:pStyle w:val="Tabletext0"/>
            </w:pPr>
            <w:r w:rsidRPr="00B96359">
              <w:t>Services</w:t>
            </w:r>
          </w:p>
        </w:tc>
        <w:tc>
          <w:tcPr>
            <w:tcW w:w="1560" w:type="dxa"/>
            <w:shd w:val="clear" w:color="auto" w:fill="548DD4" w:themeFill="text2" w:themeFillTint="99"/>
            <w:vAlign w:val="center"/>
          </w:tcPr>
          <w:p w14:paraId="294BCAD4" w14:textId="77777777" w:rsidR="00BB46EB" w:rsidRPr="00B96359" w:rsidRDefault="00BB46EB" w:rsidP="008E4B7F">
            <w:pPr>
              <w:pStyle w:val="Tabletext0"/>
            </w:pPr>
            <w:r w:rsidRPr="00B96359">
              <w:t>Schedule Fee for combination</w:t>
            </w:r>
          </w:p>
        </w:tc>
        <w:tc>
          <w:tcPr>
            <w:tcW w:w="1134" w:type="dxa"/>
            <w:shd w:val="clear" w:color="auto" w:fill="548DD4" w:themeFill="text2" w:themeFillTint="99"/>
            <w:vAlign w:val="center"/>
          </w:tcPr>
          <w:p w14:paraId="5BB10161" w14:textId="77777777" w:rsidR="00BB46EB" w:rsidRPr="00B96359" w:rsidRDefault="00BB46EB" w:rsidP="008E4B7F">
            <w:pPr>
              <w:pStyle w:val="Tabletext0"/>
            </w:pPr>
            <w:r w:rsidRPr="00B96359">
              <w:t>Number of providers</w:t>
            </w:r>
          </w:p>
        </w:tc>
        <w:tc>
          <w:tcPr>
            <w:tcW w:w="850" w:type="dxa"/>
            <w:shd w:val="clear" w:color="auto" w:fill="548DD4" w:themeFill="text2" w:themeFillTint="99"/>
            <w:vAlign w:val="center"/>
          </w:tcPr>
          <w:p w14:paraId="308EC254" w14:textId="77777777" w:rsidR="00BB46EB" w:rsidRPr="00B96359" w:rsidRDefault="00BB46EB" w:rsidP="008E4B7F">
            <w:pPr>
              <w:pStyle w:val="Tabletext0"/>
            </w:pPr>
            <w:r w:rsidRPr="00B96359">
              <w:t>Number of patients</w:t>
            </w:r>
          </w:p>
        </w:tc>
        <w:tc>
          <w:tcPr>
            <w:tcW w:w="851" w:type="dxa"/>
            <w:shd w:val="clear" w:color="auto" w:fill="548DD4" w:themeFill="text2" w:themeFillTint="99"/>
            <w:vAlign w:val="center"/>
          </w:tcPr>
          <w:p w14:paraId="6FC1CD0E" w14:textId="77777777" w:rsidR="00BB46EB" w:rsidRPr="00B96359" w:rsidRDefault="00BB46EB" w:rsidP="008E4B7F">
            <w:pPr>
              <w:pStyle w:val="Tabletext0"/>
            </w:pPr>
            <w:r w:rsidRPr="00B96359">
              <w:t>% of episodes</w:t>
            </w:r>
          </w:p>
        </w:tc>
      </w:tr>
      <w:tr w:rsidR="00BB46EB" w:rsidRPr="00755AFF" w14:paraId="7A097CD6" w14:textId="77777777" w:rsidTr="00F7130D">
        <w:trPr>
          <w:trHeight w:val="300"/>
        </w:trPr>
        <w:tc>
          <w:tcPr>
            <w:tcW w:w="851" w:type="dxa"/>
            <w:shd w:val="clear" w:color="000000" w:fill="FFFFFF"/>
            <w:noWrap/>
            <w:vAlign w:val="center"/>
          </w:tcPr>
          <w:p w14:paraId="72740225" w14:textId="77777777" w:rsidR="00BB46EB" w:rsidRPr="00B96359" w:rsidRDefault="00BB46EB" w:rsidP="00F7130D">
            <w:pPr>
              <w:pStyle w:val="Tabletext0"/>
              <w:ind w:left="241"/>
            </w:pPr>
            <w:r w:rsidRPr="00B96359">
              <w:t>1</w:t>
            </w:r>
          </w:p>
        </w:tc>
        <w:tc>
          <w:tcPr>
            <w:tcW w:w="2268" w:type="dxa"/>
            <w:shd w:val="clear" w:color="000000" w:fill="FFFFFF"/>
            <w:noWrap/>
            <w:vAlign w:val="center"/>
          </w:tcPr>
          <w:p w14:paraId="6783480A" w14:textId="77777777" w:rsidR="00BB46EB" w:rsidRPr="00B96359" w:rsidRDefault="00BB46EB" w:rsidP="008E4B7F">
            <w:pPr>
              <w:pStyle w:val="Tabletext0"/>
            </w:pPr>
            <w:r w:rsidRPr="00B96359">
              <w:t>57360</w:t>
            </w:r>
          </w:p>
        </w:tc>
        <w:tc>
          <w:tcPr>
            <w:tcW w:w="1134" w:type="dxa"/>
            <w:shd w:val="clear" w:color="000000" w:fill="FFFFFF"/>
            <w:noWrap/>
            <w:vAlign w:val="center"/>
          </w:tcPr>
          <w:p w14:paraId="326F988D" w14:textId="77777777" w:rsidR="00BB46EB" w:rsidRPr="00B96359" w:rsidRDefault="00BB46EB" w:rsidP="008E4B7F">
            <w:pPr>
              <w:pStyle w:val="Tabletext0"/>
            </w:pPr>
            <w:r w:rsidRPr="00B96359">
              <w:t>32,938</w:t>
            </w:r>
          </w:p>
        </w:tc>
        <w:tc>
          <w:tcPr>
            <w:tcW w:w="850" w:type="dxa"/>
            <w:shd w:val="clear" w:color="000000" w:fill="FFFFFF"/>
            <w:noWrap/>
            <w:vAlign w:val="center"/>
          </w:tcPr>
          <w:p w14:paraId="7E3C28CB" w14:textId="77777777" w:rsidR="00BB46EB" w:rsidRPr="00B96359" w:rsidRDefault="00BB46EB" w:rsidP="008E4B7F">
            <w:pPr>
              <w:pStyle w:val="Tabletext0"/>
            </w:pPr>
            <w:r w:rsidRPr="00B96359">
              <w:t>32,951</w:t>
            </w:r>
          </w:p>
        </w:tc>
        <w:tc>
          <w:tcPr>
            <w:tcW w:w="1560" w:type="dxa"/>
            <w:shd w:val="clear" w:color="000000" w:fill="FFFFFF"/>
            <w:noWrap/>
            <w:vAlign w:val="center"/>
          </w:tcPr>
          <w:p w14:paraId="64F5F033" w14:textId="77777777" w:rsidR="00BB46EB" w:rsidRPr="00B96359" w:rsidRDefault="00BB46EB" w:rsidP="008E4B7F">
            <w:pPr>
              <w:pStyle w:val="Tabletext0"/>
            </w:pPr>
            <w:r w:rsidRPr="00B96359">
              <w:t>$23,065,555</w:t>
            </w:r>
          </w:p>
        </w:tc>
        <w:tc>
          <w:tcPr>
            <w:tcW w:w="1134" w:type="dxa"/>
            <w:shd w:val="clear" w:color="000000" w:fill="FFFFFF"/>
            <w:noWrap/>
            <w:vAlign w:val="center"/>
          </w:tcPr>
          <w:p w14:paraId="4A0CC97D" w14:textId="77777777" w:rsidR="00BB46EB" w:rsidRPr="00B96359" w:rsidRDefault="00BB46EB" w:rsidP="008E4B7F">
            <w:pPr>
              <w:pStyle w:val="Tabletext0"/>
            </w:pPr>
            <w:r w:rsidRPr="00B96359">
              <w:t>374</w:t>
            </w:r>
          </w:p>
        </w:tc>
        <w:tc>
          <w:tcPr>
            <w:tcW w:w="850" w:type="dxa"/>
            <w:shd w:val="clear" w:color="000000" w:fill="FFFFFF"/>
            <w:noWrap/>
            <w:vAlign w:val="center"/>
          </w:tcPr>
          <w:p w14:paraId="679AAF01" w14:textId="77777777" w:rsidR="00BB46EB" w:rsidRPr="00B96359" w:rsidRDefault="00BB46EB" w:rsidP="008E4B7F">
            <w:pPr>
              <w:pStyle w:val="Tabletext0"/>
            </w:pPr>
            <w:r w:rsidRPr="00B96359">
              <w:t>32,803</w:t>
            </w:r>
          </w:p>
        </w:tc>
        <w:tc>
          <w:tcPr>
            <w:tcW w:w="851" w:type="dxa"/>
            <w:shd w:val="clear" w:color="000000" w:fill="FFFFFF"/>
            <w:noWrap/>
            <w:vAlign w:val="center"/>
          </w:tcPr>
          <w:p w14:paraId="3438971A" w14:textId="77777777" w:rsidR="00BB46EB" w:rsidRPr="00B96359" w:rsidRDefault="00BB46EB" w:rsidP="008E4B7F">
            <w:pPr>
              <w:pStyle w:val="Tabletext0"/>
            </w:pPr>
            <w:r w:rsidRPr="00B96359">
              <w:t>82.4%</w:t>
            </w:r>
          </w:p>
        </w:tc>
      </w:tr>
      <w:tr w:rsidR="00BB46EB" w:rsidRPr="00755AFF" w14:paraId="4FEFC868" w14:textId="77777777" w:rsidTr="00F7130D">
        <w:trPr>
          <w:trHeight w:val="300"/>
        </w:trPr>
        <w:tc>
          <w:tcPr>
            <w:tcW w:w="851" w:type="dxa"/>
            <w:shd w:val="clear" w:color="000000" w:fill="FFFFFF"/>
            <w:noWrap/>
            <w:vAlign w:val="center"/>
          </w:tcPr>
          <w:p w14:paraId="59070704" w14:textId="77777777" w:rsidR="00BB46EB" w:rsidRPr="00B96359" w:rsidRDefault="00BB46EB" w:rsidP="00F7130D">
            <w:pPr>
              <w:pStyle w:val="Tabletext0"/>
              <w:ind w:left="241"/>
            </w:pPr>
            <w:r w:rsidRPr="00B96359">
              <w:t>2</w:t>
            </w:r>
          </w:p>
        </w:tc>
        <w:tc>
          <w:tcPr>
            <w:tcW w:w="2268" w:type="dxa"/>
            <w:shd w:val="clear" w:color="000000" w:fill="FFFFFF"/>
            <w:noWrap/>
            <w:vAlign w:val="center"/>
          </w:tcPr>
          <w:p w14:paraId="7DA5063B" w14:textId="77777777" w:rsidR="00BB46EB" w:rsidRPr="00B96359" w:rsidRDefault="00BB46EB" w:rsidP="008E4B7F">
            <w:pPr>
              <w:pStyle w:val="Tabletext0"/>
            </w:pPr>
            <w:r w:rsidRPr="00B96359">
              <w:t>57360, 104</w:t>
            </w:r>
          </w:p>
        </w:tc>
        <w:tc>
          <w:tcPr>
            <w:tcW w:w="1134" w:type="dxa"/>
            <w:shd w:val="clear" w:color="000000" w:fill="FFFFFF"/>
            <w:noWrap/>
            <w:vAlign w:val="center"/>
          </w:tcPr>
          <w:p w14:paraId="3EED0736" w14:textId="77777777" w:rsidR="00BB46EB" w:rsidRPr="00B96359" w:rsidRDefault="00BB46EB" w:rsidP="008E4B7F">
            <w:pPr>
              <w:pStyle w:val="Tabletext0"/>
            </w:pPr>
            <w:r w:rsidRPr="00B96359">
              <w:t>2,821</w:t>
            </w:r>
          </w:p>
        </w:tc>
        <w:tc>
          <w:tcPr>
            <w:tcW w:w="850" w:type="dxa"/>
            <w:shd w:val="clear" w:color="000000" w:fill="FFFFFF"/>
            <w:noWrap/>
            <w:vAlign w:val="center"/>
          </w:tcPr>
          <w:p w14:paraId="263A6D2C" w14:textId="77777777" w:rsidR="00BB46EB" w:rsidRPr="00B96359" w:rsidRDefault="00BB46EB" w:rsidP="008E4B7F">
            <w:pPr>
              <w:pStyle w:val="Tabletext0"/>
            </w:pPr>
            <w:r w:rsidRPr="00B96359">
              <w:t>5,643</w:t>
            </w:r>
          </w:p>
        </w:tc>
        <w:tc>
          <w:tcPr>
            <w:tcW w:w="1560" w:type="dxa"/>
            <w:shd w:val="clear" w:color="000000" w:fill="FFFFFF"/>
            <w:noWrap/>
            <w:vAlign w:val="center"/>
          </w:tcPr>
          <w:p w14:paraId="2A7B008F" w14:textId="77777777" w:rsidR="00BB46EB" w:rsidRPr="00B96359" w:rsidRDefault="00BB46EB" w:rsidP="008E4B7F">
            <w:pPr>
              <w:pStyle w:val="Tabletext0"/>
            </w:pPr>
            <w:r w:rsidRPr="00B96359">
              <w:t>$2,117,640</w:t>
            </w:r>
          </w:p>
        </w:tc>
        <w:tc>
          <w:tcPr>
            <w:tcW w:w="1134" w:type="dxa"/>
            <w:shd w:val="clear" w:color="000000" w:fill="FFFFFF"/>
            <w:noWrap/>
            <w:vAlign w:val="center"/>
          </w:tcPr>
          <w:p w14:paraId="4BD1440B" w14:textId="77777777" w:rsidR="00BB46EB" w:rsidRPr="00B96359" w:rsidRDefault="00BB46EB" w:rsidP="008E4B7F">
            <w:pPr>
              <w:pStyle w:val="Tabletext0"/>
            </w:pPr>
            <w:r w:rsidRPr="00B96359">
              <w:t>28</w:t>
            </w:r>
          </w:p>
        </w:tc>
        <w:tc>
          <w:tcPr>
            <w:tcW w:w="850" w:type="dxa"/>
            <w:shd w:val="clear" w:color="000000" w:fill="FFFFFF"/>
            <w:noWrap/>
            <w:vAlign w:val="center"/>
          </w:tcPr>
          <w:p w14:paraId="362C2886" w14:textId="77777777" w:rsidR="00BB46EB" w:rsidRPr="00B96359" w:rsidRDefault="00BB46EB" w:rsidP="008E4B7F">
            <w:pPr>
              <w:pStyle w:val="Tabletext0"/>
            </w:pPr>
            <w:r w:rsidRPr="00B96359">
              <w:t>2,812</w:t>
            </w:r>
          </w:p>
        </w:tc>
        <w:tc>
          <w:tcPr>
            <w:tcW w:w="851" w:type="dxa"/>
            <w:shd w:val="clear" w:color="000000" w:fill="FFFFFF"/>
            <w:noWrap/>
            <w:vAlign w:val="center"/>
          </w:tcPr>
          <w:p w14:paraId="571B5DF1" w14:textId="77777777" w:rsidR="00BB46EB" w:rsidRPr="00B96359" w:rsidRDefault="00BB46EB" w:rsidP="008E4B7F">
            <w:pPr>
              <w:pStyle w:val="Tabletext0"/>
            </w:pPr>
            <w:r w:rsidRPr="00B96359">
              <w:t>7.1%</w:t>
            </w:r>
          </w:p>
        </w:tc>
      </w:tr>
      <w:tr w:rsidR="00BB46EB" w:rsidRPr="00755AFF" w14:paraId="60951C5F" w14:textId="77777777" w:rsidTr="00F7130D">
        <w:trPr>
          <w:trHeight w:val="300"/>
        </w:trPr>
        <w:tc>
          <w:tcPr>
            <w:tcW w:w="851" w:type="dxa"/>
            <w:shd w:val="clear" w:color="000000" w:fill="FFFFFF"/>
            <w:noWrap/>
            <w:vAlign w:val="center"/>
          </w:tcPr>
          <w:p w14:paraId="3CE8202A" w14:textId="77777777" w:rsidR="00BB46EB" w:rsidRPr="00B96359" w:rsidRDefault="00BB46EB" w:rsidP="00F7130D">
            <w:pPr>
              <w:pStyle w:val="Tabletext0"/>
              <w:ind w:left="241"/>
            </w:pPr>
            <w:r w:rsidRPr="00B96359">
              <w:t>3</w:t>
            </w:r>
          </w:p>
        </w:tc>
        <w:tc>
          <w:tcPr>
            <w:tcW w:w="2268" w:type="dxa"/>
            <w:shd w:val="clear" w:color="000000" w:fill="FFFFFF"/>
            <w:noWrap/>
            <w:vAlign w:val="center"/>
          </w:tcPr>
          <w:p w14:paraId="3026B1B1" w14:textId="77777777" w:rsidR="00BB46EB" w:rsidRPr="00B96359" w:rsidRDefault="00BB46EB" w:rsidP="008E4B7F">
            <w:pPr>
              <w:pStyle w:val="Tabletext0"/>
            </w:pPr>
            <w:r w:rsidRPr="00B96359">
              <w:t>57360, 116</w:t>
            </w:r>
          </w:p>
        </w:tc>
        <w:tc>
          <w:tcPr>
            <w:tcW w:w="1134" w:type="dxa"/>
            <w:shd w:val="clear" w:color="000000" w:fill="FFFFFF"/>
            <w:noWrap/>
            <w:vAlign w:val="center"/>
          </w:tcPr>
          <w:p w14:paraId="577BA340" w14:textId="77777777" w:rsidR="00BB46EB" w:rsidRPr="00B96359" w:rsidRDefault="00BB46EB" w:rsidP="008E4B7F">
            <w:pPr>
              <w:pStyle w:val="Tabletext0"/>
            </w:pPr>
            <w:r w:rsidRPr="00B96359">
              <w:t>713</w:t>
            </w:r>
          </w:p>
        </w:tc>
        <w:tc>
          <w:tcPr>
            <w:tcW w:w="850" w:type="dxa"/>
            <w:shd w:val="clear" w:color="000000" w:fill="FFFFFF"/>
            <w:noWrap/>
            <w:vAlign w:val="center"/>
          </w:tcPr>
          <w:p w14:paraId="3D32A0D2" w14:textId="77777777" w:rsidR="00BB46EB" w:rsidRPr="00B96359" w:rsidRDefault="00BB46EB" w:rsidP="008E4B7F">
            <w:pPr>
              <w:pStyle w:val="Tabletext0"/>
            </w:pPr>
            <w:r w:rsidRPr="00B96359">
              <w:t>1,427</w:t>
            </w:r>
          </w:p>
        </w:tc>
        <w:tc>
          <w:tcPr>
            <w:tcW w:w="1560" w:type="dxa"/>
            <w:shd w:val="clear" w:color="000000" w:fill="FFFFFF"/>
            <w:noWrap/>
            <w:vAlign w:val="center"/>
          </w:tcPr>
          <w:p w14:paraId="5A507892" w14:textId="77777777" w:rsidR="00BB46EB" w:rsidRPr="00B96359" w:rsidRDefault="00BB46EB" w:rsidP="008E4B7F">
            <w:pPr>
              <w:pStyle w:val="Tabletext0"/>
            </w:pPr>
            <w:r w:rsidRPr="00B96359">
              <w:t>$528,087</w:t>
            </w:r>
          </w:p>
        </w:tc>
        <w:tc>
          <w:tcPr>
            <w:tcW w:w="1134" w:type="dxa"/>
            <w:shd w:val="clear" w:color="000000" w:fill="FFFFFF"/>
            <w:noWrap/>
            <w:vAlign w:val="center"/>
          </w:tcPr>
          <w:p w14:paraId="5C2E6289" w14:textId="77777777" w:rsidR="00BB46EB" w:rsidRPr="00B96359" w:rsidRDefault="00BB46EB" w:rsidP="008E4B7F">
            <w:pPr>
              <w:pStyle w:val="Tabletext0"/>
            </w:pPr>
            <w:r w:rsidRPr="00B96359">
              <w:t>16</w:t>
            </w:r>
          </w:p>
        </w:tc>
        <w:tc>
          <w:tcPr>
            <w:tcW w:w="850" w:type="dxa"/>
            <w:shd w:val="clear" w:color="000000" w:fill="FFFFFF"/>
            <w:noWrap/>
            <w:vAlign w:val="center"/>
          </w:tcPr>
          <w:p w14:paraId="7A871861" w14:textId="77777777" w:rsidR="00BB46EB" w:rsidRPr="00B96359" w:rsidRDefault="00BB46EB" w:rsidP="008E4B7F">
            <w:pPr>
              <w:pStyle w:val="Tabletext0"/>
            </w:pPr>
            <w:r w:rsidRPr="00B96359">
              <w:t>712</w:t>
            </w:r>
          </w:p>
        </w:tc>
        <w:tc>
          <w:tcPr>
            <w:tcW w:w="851" w:type="dxa"/>
            <w:shd w:val="clear" w:color="000000" w:fill="FFFFFF"/>
            <w:noWrap/>
            <w:vAlign w:val="center"/>
          </w:tcPr>
          <w:p w14:paraId="2BBF2FAF" w14:textId="77777777" w:rsidR="00BB46EB" w:rsidRPr="00B96359" w:rsidRDefault="00BB46EB" w:rsidP="008E4B7F">
            <w:pPr>
              <w:pStyle w:val="Tabletext0"/>
            </w:pPr>
            <w:r w:rsidRPr="00B96359">
              <w:t>1.8%</w:t>
            </w:r>
          </w:p>
        </w:tc>
      </w:tr>
      <w:tr w:rsidR="00BB46EB" w:rsidRPr="00755AFF" w14:paraId="1F08689F" w14:textId="77777777" w:rsidTr="00F7130D">
        <w:trPr>
          <w:trHeight w:val="300"/>
        </w:trPr>
        <w:tc>
          <w:tcPr>
            <w:tcW w:w="851" w:type="dxa"/>
            <w:shd w:val="clear" w:color="000000" w:fill="FFFFFF"/>
            <w:noWrap/>
            <w:vAlign w:val="center"/>
          </w:tcPr>
          <w:p w14:paraId="536E5382" w14:textId="77777777" w:rsidR="00BB46EB" w:rsidRPr="00B96359" w:rsidRDefault="00BB46EB" w:rsidP="00F7130D">
            <w:pPr>
              <w:pStyle w:val="Tabletext0"/>
              <w:ind w:left="241"/>
            </w:pPr>
            <w:r w:rsidRPr="00B96359">
              <w:t>4</w:t>
            </w:r>
          </w:p>
        </w:tc>
        <w:tc>
          <w:tcPr>
            <w:tcW w:w="2268" w:type="dxa"/>
            <w:shd w:val="clear" w:color="000000" w:fill="FFFFFF"/>
            <w:noWrap/>
            <w:vAlign w:val="center"/>
          </w:tcPr>
          <w:p w14:paraId="4A868AC0" w14:textId="77777777" w:rsidR="00BB46EB" w:rsidRPr="00B96359" w:rsidRDefault="00BB46EB" w:rsidP="008E4B7F">
            <w:pPr>
              <w:pStyle w:val="Tabletext0"/>
            </w:pPr>
            <w:r w:rsidRPr="00B96359">
              <w:t>57360, 110</w:t>
            </w:r>
          </w:p>
        </w:tc>
        <w:tc>
          <w:tcPr>
            <w:tcW w:w="1134" w:type="dxa"/>
            <w:shd w:val="clear" w:color="000000" w:fill="FFFFFF"/>
            <w:noWrap/>
            <w:vAlign w:val="center"/>
          </w:tcPr>
          <w:p w14:paraId="2685D080" w14:textId="77777777" w:rsidR="00BB46EB" w:rsidRPr="00B96359" w:rsidRDefault="00BB46EB" w:rsidP="008E4B7F">
            <w:pPr>
              <w:pStyle w:val="Tabletext0"/>
            </w:pPr>
            <w:r w:rsidRPr="00B96359">
              <w:t>553</w:t>
            </w:r>
          </w:p>
        </w:tc>
        <w:tc>
          <w:tcPr>
            <w:tcW w:w="850" w:type="dxa"/>
            <w:shd w:val="clear" w:color="000000" w:fill="FFFFFF"/>
            <w:noWrap/>
            <w:vAlign w:val="center"/>
          </w:tcPr>
          <w:p w14:paraId="769C95CA" w14:textId="77777777" w:rsidR="00BB46EB" w:rsidRPr="00B96359" w:rsidRDefault="00BB46EB" w:rsidP="008E4B7F">
            <w:pPr>
              <w:pStyle w:val="Tabletext0"/>
            </w:pPr>
            <w:r w:rsidRPr="00B96359">
              <w:t>1,106</w:t>
            </w:r>
          </w:p>
        </w:tc>
        <w:tc>
          <w:tcPr>
            <w:tcW w:w="1560" w:type="dxa"/>
            <w:shd w:val="clear" w:color="000000" w:fill="FFFFFF"/>
            <w:noWrap/>
            <w:vAlign w:val="center"/>
          </w:tcPr>
          <w:p w14:paraId="702B57AC" w14:textId="77777777" w:rsidR="00BB46EB" w:rsidRPr="00B96359" w:rsidRDefault="00BB46EB" w:rsidP="008E4B7F">
            <w:pPr>
              <w:pStyle w:val="Tabletext0"/>
            </w:pPr>
            <w:r w:rsidRPr="00B96359">
              <w:t>$451,219</w:t>
            </w:r>
          </w:p>
        </w:tc>
        <w:tc>
          <w:tcPr>
            <w:tcW w:w="1134" w:type="dxa"/>
            <w:shd w:val="clear" w:color="000000" w:fill="FFFFFF"/>
            <w:noWrap/>
            <w:vAlign w:val="center"/>
          </w:tcPr>
          <w:p w14:paraId="49CF53E6" w14:textId="77777777" w:rsidR="00BB46EB" w:rsidRPr="00B96359" w:rsidRDefault="00BB46EB" w:rsidP="008E4B7F">
            <w:pPr>
              <w:pStyle w:val="Tabletext0"/>
            </w:pPr>
            <w:r w:rsidRPr="00B96359">
              <w:t>18</w:t>
            </w:r>
          </w:p>
        </w:tc>
        <w:tc>
          <w:tcPr>
            <w:tcW w:w="850" w:type="dxa"/>
            <w:shd w:val="clear" w:color="000000" w:fill="FFFFFF"/>
            <w:noWrap/>
            <w:vAlign w:val="center"/>
          </w:tcPr>
          <w:p w14:paraId="31D2867B" w14:textId="77777777" w:rsidR="00BB46EB" w:rsidRPr="00B96359" w:rsidRDefault="00BB46EB" w:rsidP="008E4B7F">
            <w:pPr>
              <w:pStyle w:val="Tabletext0"/>
            </w:pPr>
            <w:r w:rsidRPr="00B96359">
              <w:t>553</w:t>
            </w:r>
          </w:p>
        </w:tc>
        <w:tc>
          <w:tcPr>
            <w:tcW w:w="851" w:type="dxa"/>
            <w:shd w:val="clear" w:color="000000" w:fill="FFFFFF"/>
            <w:noWrap/>
            <w:vAlign w:val="center"/>
          </w:tcPr>
          <w:p w14:paraId="747DF40C" w14:textId="77777777" w:rsidR="00BB46EB" w:rsidRPr="00B96359" w:rsidRDefault="00BB46EB" w:rsidP="008E4B7F">
            <w:pPr>
              <w:pStyle w:val="Tabletext0"/>
            </w:pPr>
            <w:r w:rsidRPr="00B96359">
              <w:t>1.4%</w:t>
            </w:r>
          </w:p>
        </w:tc>
      </w:tr>
      <w:tr w:rsidR="00BB46EB" w:rsidRPr="00755AFF" w14:paraId="6CE95698" w14:textId="77777777" w:rsidTr="00F7130D">
        <w:trPr>
          <w:trHeight w:val="300"/>
        </w:trPr>
        <w:tc>
          <w:tcPr>
            <w:tcW w:w="851" w:type="dxa"/>
            <w:shd w:val="clear" w:color="000000" w:fill="FFFFFF"/>
            <w:noWrap/>
            <w:vAlign w:val="center"/>
          </w:tcPr>
          <w:p w14:paraId="20A263C5" w14:textId="77777777" w:rsidR="00BB46EB" w:rsidRPr="00B96359" w:rsidRDefault="00BB46EB" w:rsidP="00F7130D">
            <w:pPr>
              <w:pStyle w:val="Tabletext0"/>
              <w:ind w:left="241"/>
            </w:pPr>
            <w:r w:rsidRPr="00B96359">
              <w:t>5</w:t>
            </w:r>
          </w:p>
        </w:tc>
        <w:tc>
          <w:tcPr>
            <w:tcW w:w="2268" w:type="dxa"/>
            <w:shd w:val="clear" w:color="000000" w:fill="FFFFFF"/>
            <w:noWrap/>
            <w:vAlign w:val="center"/>
          </w:tcPr>
          <w:p w14:paraId="10DA4566" w14:textId="77777777" w:rsidR="00BB46EB" w:rsidRPr="00B96359" w:rsidRDefault="00BB46EB" w:rsidP="008E4B7F">
            <w:pPr>
              <w:pStyle w:val="Tabletext0"/>
            </w:pPr>
            <w:r w:rsidRPr="00B96359">
              <w:t xml:space="preserve">Other co-claiming </w:t>
            </w:r>
          </w:p>
        </w:tc>
        <w:tc>
          <w:tcPr>
            <w:tcW w:w="1134" w:type="dxa"/>
            <w:shd w:val="clear" w:color="000000" w:fill="FFFFFF"/>
            <w:noWrap/>
            <w:vAlign w:val="center"/>
          </w:tcPr>
          <w:p w14:paraId="20A522D0" w14:textId="77777777" w:rsidR="00BB46EB" w:rsidRPr="00B96359" w:rsidRDefault="00BB46EB" w:rsidP="008E4B7F">
            <w:pPr>
              <w:pStyle w:val="Tabletext0"/>
            </w:pPr>
            <w:r w:rsidRPr="00B96359">
              <w:t>1,939</w:t>
            </w:r>
          </w:p>
        </w:tc>
        <w:tc>
          <w:tcPr>
            <w:tcW w:w="850" w:type="dxa"/>
            <w:shd w:val="clear" w:color="000000" w:fill="FFFFFF"/>
            <w:noWrap/>
            <w:vAlign w:val="center"/>
          </w:tcPr>
          <w:p w14:paraId="7A354759" w14:textId="77777777" w:rsidR="00BB46EB" w:rsidRPr="00B96359" w:rsidRDefault="00BB46EB" w:rsidP="008E4B7F">
            <w:pPr>
              <w:pStyle w:val="Tabletext0"/>
            </w:pPr>
            <w:r w:rsidRPr="00B96359">
              <w:t>1,011</w:t>
            </w:r>
          </w:p>
        </w:tc>
        <w:tc>
          <w:tcPr>
            <w:tcW w:w="1560" w:type="dxa"/>
            <w:shd w:val="clear" w:color="000000" w:fill="FFFFFF"/>
            <w:noWrap/>
            <w:vAlign w:val="center"/>
          </w:tcPr>
          <w:p w14:paraId="68FF0D9A" w14:textId="77777777" w:rsidR="00BB46EB" w:rsidRPr="00B96359" w:rsidRDefault="00BB46EB" w:rsidP="008E4B7F">
            <w:pPr>
              <w:pStyle w:val="Tabletext0"/>
            </w:pPr>
            <w:r w:rsidRPr="00B96359">
              <w:t>$1,453,309</w:t>
            </w:r>
          </w:p>
        </w:tc>
        <w:tc>
          <w:tcPr>
            <w:tcW w:w="1134" w:type="dxa"/>
            <w:shd w:val="clear" w:color="000000" w:fill="FFFFFF"/>
            <w:noWrap/>
            <w:vAlign w:val="center"/>
          </w:tcPr>
          <w:p w14:paraId="1BB9B8EB" w14:textId="77777777" w:rsidR="00BB46EB" w:rsidRPr="00B96359" w:rsidRDefault="00BB46EB" w:rsidP="008E4B7F">
            <w:pPr>
              <w:pStyle w:val="Tabletext0"/>
            </w:pPr>
            <w:r w:rsidRPr="00B96359">
              <w:t>113</w:t>
            </w:r>
          </w:p>
        </w:tc>
        <w:tc>
          <w:tcPr>
            <w:tcW w:w="850" w:type="dxa"/>
            <w:shd w:val="clear" w:color="000000" w:fill="FFFFFF"/>
            <w:noWrap/>
            <w:vAlign w:val="center"/>
          </w:tcPr>
          <w:p w14:paraId="3EF7DF65" w14:textId="77777777" w:rsidR="00BB46EB" w:rsidRPr="00B96359" w:rsidRDefault="00BB46EB" w:rsidP="008E4B7F">
            <w:pPr>
              <w:pStyle w:val="Tabletext0"/>
            </w:pPr>
            <w:r w:rsidRPr="00B96359">
              <w:t>1,432</w:t>
            </w:r>
          </w:p>
        </w:tc>
        <w:tc>
          <w:tcPr>
            <w:tcW w:w="851" w:type="dxa"/>
            <w:shd w:val="clear" w:color="000000" w:fill="FFFFFF"/>
            <w:noWrap/>
            <w:vAlign w:val="center"/>
          </w:tcPr>
          <w:p w14:paraId="4641FF3B" w14:textId="77777777" w:rsidR="00BB46EB" w:rsidRPr="00B96359" w:rsidRDefault="00BB46EB" w:rsidP="008E4B7F">
            <w:pPr>
              <w:pStyle w:val="Tabletext0"/>
            </w:pPr>
            <w:r w:rsidRPr="00B96359">
              <w:t>4.9%</w:t>
            </w:r>
          </w:p>
        </w:tc>
      </w:tr>
    </w:tbl>
    <w:p w14:paraId="35003885" w14:textId="756DFF80" w:rsidR="00BB46EB" w:rsidRPr="006B60E7" w:rsidRDefault="00BB46EB" w:rsidP="006B60E7">
      <w:pPr>
        <w:spacing w:before="240"/>
        <w:rPr>
          <w:rFonts w:ascii="Arial Narrow" w:hAnsi="Arial Narrow"/>
          <w:b/>
          <w:sz w:val="20"/>
        </w:rPr>
      </w:pPr>
      <w:bookmarkStart w:id="25" w:name="_Toc503955788"/>
      <w:r w:rsidRPr="006B60E7">
        <w:rPr>
          <w:rFonts w:ascii="Arial Narrow" w:hAnsi="Arial Narrow"/>
          <w:b/>
          <w:sz w:val="20"/>
        </w:rPr>
        <w:t xml:space="preserve">Table </w:t>
      </w:r>
      <w:r w:rsidR="00D05628" w:rsidRPr="006B60E7">
        <w:rPr>
          <w:rFonts w:ascii="Arial Narrow" w:hAnsi="Arial Narrow"/>
          <w:b/>
          <w:sz w:val="20"/>
        </w:rPr>
        <w:fldChar w:fldCharType="begin"/>
      </w:r>
      <w:r w:rsidR="00D05628" w:rsidRPr="006B60E7">
        <w:rPr>
          <w:rFonts w:ascii="Arial Narrow" w:hAnsi="Arial Narrow"/>
          <w:b/>
          <w:sz w:val="20"/>
        </w:rPr>
        <w:instrText xml:space="preserve"> SEQ Table \* ARABIC </w:instrText>
      </w:r>
      <w:r w:rsidR="00D05628" w:rsidRPr="006B60E7">
        <w:rPr>
          <w:rFonts w:ascii="Arial Narrow" w:hAnsi="Arial Narrow"/>
          <w:b/>
          <w:sz w:val="20"/>
        </w:rPr>
        <w:fldChar w:fldCharType="separate"/>
      </w:r>
      <w:r w:rsidRPr="006B60E7">
        <w:rPr>
          <w:rFonts w:ascii="Arial Narrow" w:hAnsi="Arial Narrow"/>
          <w:b/>
          <w:sz w:val="20"/>
        </w:rPr>
        <w:t>12</w:t>
      </w:r>
      <w:r w:rsidR="00D05628" w:rsidRPr="006B60E7">
        <w:rPr>
          <w:rFonts w:ascii="Arial Narrow" w:hAnsi="Arial Narrow"/>
          <w:b/>
          <w:sz w:val="20"/>
        </w:rPr>
        <w:fldChar w:fldCharType="end"/>
      </w:r>
      <w:r w:rsidR="00D05628" w:rsidRPr="006B60E7">
        <w:rPr>
          <w:rFonts w:ascii="Arial Narrow" w:hAnsi="Arial Narrow"/>
          <w:b/>
          <w:sz w:val="20"/>
        </w:rPr>
        <w:t>:</w:t>
      </w:r>
      <w:r w:rsidRPr="006B60E7">
        <w:rPr>
          <w:rFonts w:ascii="Arial Narrow" w:hAnsi="Arial Narrow"/>
          <w:b/>
          <w:sz w:val="20"/>
        </w:rPr>
        <w:t xml:space="preserve"> Majority instances of co-claiming with MBS item 57360 in 2014-15</w:t>
      </w:r>
      <w:bookmarkEnd w:id="25"/>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majority instances of co-claiming with MBS item 57360 in 2014 to 2015"/>
        <w:tblDescription w:val="This table provides data on the instances of co-claiming with MBS item 57360 in 2014 to 2015, and provides the number of providers, number of patients and percentage of episodes."/>
      </w:tblPr>
      <w:tblGrid>
        <w:gridCol w:w="851"/>
        <w:gridCol w:w="2314"/>
        <w:gridCol w:w="1017"/>
        <w:gridCol w:w="960"/>
        <w:gridCol w:w="1286"/>
        <w:gridCol w:w="1037"/>
        <w:gridCol w:w="960"/>
        <w:gridCol w:w="1073"/>
      </w:tblGrid>
      <w:tr w:rsidR="00BB46EB" w:rsidRPr="00755AFF" w14:paraId="5BFF7787" w14:textId="77777777" w:rsidTr="00F7130D">
        <w:trPr>
          <w:trHeight w:val="721"/>
        </w:trPr>
        <w:tc>
          <w:tcPr>
            <w:tcW w:w="851" w:type="dxa"/>
            <w:shd w:val="clear" w:color="auto" w:fill="548DD4" w:themeFill="text2" w:themeFillTint="99"/>
            <w:vAlign w:val="center"/>
          </w:tcPr>
          <w:p w14:paraId="6485271F" w14:textId="77777777" w:rsidR="00BB46EB" w:rsidRPr="00B96359" w:rsidRDefault="00BB46EB" w:rsidP="008E4B7F">
            <w:pPr>
              <w:pStyle w:val="Tabletext0"/>
            </w:pPr>
            <w:r w:rsidRPr="00B96359">
              <w:t>#</w:t>
            </w:r>
          </w:p>
        </w:tc>
        <w:tc>
          <w:tcPr>
            <w:tcW w:w="2314" w:type="dxa"/>
            <w:shd w:val="clear" w:color="auto" w:fill="548DD4" w:themeFill="text2" w:themeFillTint="99"/>
            <w:vAlign w:val="center"/>
          </w:tcPr>
          <w:p w14:paraId="633AC42D" w14:textId="77777777" w:rsidR="00BB46EB" w:rsidRPr="00B96359" w:rsidRDefault="00BB46EB" w:rsidP="008E4B7F">
            <w:pPr>
              <w:pStyle w:val="Tabletext0"/>
            </w:pPr>
            <w:r w:rsidRPr="00B96359">
              <w:t>Items</w:t>
            </w:r>
          </w:p>
        </w:tc>
        <w:tc>
          <w:tcPr>
            <w:tcW w:w="1017" w:type="dxa"/>
            <w:shd w:val="clear" w:color="auto" w:fill="548DD4" w:themeFill="text2" w:themeFillTint="99"/>
            <w:vAlign w:val="center"/>
          </w:tcPr>
          <w:p w14:paraId="6084CC1C" w14:textId="77777777" w:rsidR="00BB46EB" w:rsidRPr="00B96359" w:rsidRDefault="00BB46EB" w:rsidP="008E4B7F">
            <w:pPr>
              <w:pStyle w:val="Tabletext0"/>
            </w:pPr>
            <w:r w:rsidRPr="00B96359">
              <w:t>Episodes</w:t>
            </w:r>
          </w:p>
        </w:tc>
        <w:tc>
          <w:tcPr>
            <w:tcW w:w="960" w:type="dxa"/>
            <w:shd w:val="clear" w:color="auto" w:fill="548DD4" w:themeFill="text2" w:themeFillTint="99"/>
            <w:vAlign w:val="center"/>
          </w:tcPr>
          <w:p w14:paraId="61973F3D" w14:textId="77777777" w:rsidR="00BB46EB" w:rsidRPr="00B96359" w:rsidRDefault="00BB46EB" w:rsidP="008E4B7F">
            <w:pPr>
              <w:pStyle w:val="Tabletext0"/>
            </w:pPr>
            <w:r w:rsidRPr="00B96359">
              <w:t>Services</w:t>
            </w:r>
          </w:p>
        </w:tc>
        <w:tc>
          <w:tcPr>
            <w:tcW w:w="1286" w:type="dxa"/>
            <w:shd w:val="clear" w:color="auto" w:fill="548DD4" w:themeFill="text2" w:themeFillTint="99"/>
            <w:vAlign w:val="center"/>
          </w:tcPr>
          <w:p w14:paraId="0261E4AD" w14:textId="77777777" w:rsidR="00BB46EB" w:rsidRPr="00B96359" w:rsidRDefault="00BB46EB" w:rsidP="008E4B7F">
            <w:pPr>
              <w:pStyle w:val="Tabletext0"/>
            </w:pPr>
            <w:r w:rsidRPr="00B96359">
              <w:t>Schedule Fee for combination</w:t>
            </w:r>
          </w:p>
        </w:tc>
        <w:tc>
          <w:tcPr>
            <w:tcW w:w="1037" w:type="dxa"/>
            <w:shd w:val="clear" w:color="auto" w:fill="548DD4" w:themeFill="text2" w:themeFillTint="99"/>
            <w:vAlign w:val="center"/>
          </w:tcPr>
          <w:p w14:paraId="008E6857" w14:textId="77777777" w:rsidR="00BB46EB" w:rsidRPr="00B96359" w:rsidRDefault="00BB46EB" w:rsidP="008E4B7F">
            <w:pPr>
              <w:pStyle w:val="Tabletext0"/>
            </w:pPr>
            <w:r w:rsidRPr="00B96359">
              <w:t>Number of providers</w:t>
            </w:r>
          </w:p>
        </w:tc>
        <w:tc>
          <w:tcPr>
            <w:tcW w:w="960" w:type="dxa"/>
            <w:shd w:val="clear" w:color="auto" w:fill="548DD4" w:themeFill="text2" w:themeFillTint="99"/>
            <w:vAlign w:val="center"/>
          </w:tcPr>
          <w:p w14:paraId="72457A84" w14:textId="77777777" w:rsidR="00BB46EB" w:rsidRPr="00B96359" w:rsidRDefault="00BB46EB" w:rsidP="008E4B7F">
            <w:pPr>
              <w:pStyle w:val="Tabletext0"/>
            </w:pPr>
            <w:r w:rsidRPr="00B96359">
              <w:t>Number of patients</w:t>
            </w:r>
          </w:p>
        </w:tc>
        <w:tc>
          <w:tcPr>
            <w:tcW w:w="1073" w:type="dxa"/>
            <w:shd w:val="clear" w:color="auto" w:fill="548DD4" w:themeFill="text2" w:themeFillTint="99"/>
            <w:vAlign w:val="center"/>
          </w:tcPr>
          <w:p w14:paraId="6E7A1188" w14:textId="77777777" w:rsidR="00BB46EB" w:rsidRPr="00B96359" w:rsidRDefault="00BB46EB" w:rsidP="008E4B7F">
            <w:pPr>
              <w:pStyle w:val="Tabletext0"/>
            </w:pPr>
            <w:r w:rsidRPr="00B96359">
              <w:t>% of episodes</w:t>
            </w:r>
          </w:p>
        </w:tc>
      </w:tr>
      <w:tr w:rsidR="00BB46EB" w:rsidRPr="00755AFF" w14:paraId="1C327A39" w14:textId="77777777" w:rsidTr="00F7130D">
        <w:trPr>
          <w:trHeight w:val="300"/>
        </w:trPr>
        <w:tc>
          <w:tcPr>
            <w:tcW w:w="851" w:type="dxa"/>
            <w:shd w:val="clear" w:color="000000" w:fill="FFFFFF"/>
            <w:noWrap/>
            <w:vAlign w:val="center"/>
          </w:tcPr>
          <w:p w14:paraId="72997040" w14:textId="77777777" w:rsidR="00BB46EB" w:rsidRPr="00B96359" w:rsidRDefault="00BB46EB" w:rsidP="008E4B7F">
            <w:pPr>
              <w:pStyle w:val="Tabletext0"/>
            </w:pPr>
            <w:r w:rsidRPr="00B96359">
              <w:t>1</w:t>
            </w:r>
          </w:p>
        </w:tc>
        <w:tc>
          <w:tcPr>
            <w:tcW w:w="2314" w:type="dxa"/>
            <w:shd w:val="clear" w:color="000000" w:fill="FFFFFF"/>
            <w:noWrap/>
            <w:vAlign w:val="center"/>
          </w:tcPr>
          <w:p w14:paraId="03742AE9" w14:textId="77777777" w:rsidR="00BB46EB" w:rsidRPr="00B96359" w:rsidRDefault="00BB46EB" w:rsidP="008E4B7F">
            <w:pPr>
              <w:pStyle w:val="Tabletext0"/>
            </w:pPr>
            <w:r w:rsidRPr="00B96359">
              <w:t>57360</w:t>
            </w:r>
          </w:p>
        </w:tc>
        <w:tc>
          <w:tcPr>
            <w:tcW w:w="1017" w:type="dxa"/>
            <w:shd w:val="clear" w:color="000000" w:fill="FFFFFF"/>
            <w:noWrap/>
            <w:vAlign w:val="center"/>
          </w:tcPr>
          <w:p w14:paraId="1A9ED017" w14:textId="77777777" w:rsidR="00BB46EB" w:rsidRPr="00B96359" w:rsidRDefault="00BB46EB" w:rsidP="008E4B7F">
            <w:pPr>
              <w:pStyle w:val="Tabletext0"/>
            </w:pPr>
            <w:r w:rsidRPr="00B96359">
              <w:t>36,789</w:t>
            </w:r>
          </w:p>
        </w:tc>
        <w:tc>
          <w:tcPr>
            <w:tcW w:w="960" w:type="dxa"/>
            <w:shd w:val="clear" w:color="000000" w:fill="FFFFFF"/>
            <w:noWrap/>
            <w:vAlign w:val="center"/>
          </w:tcPr>
          <w:p w14:paraId="59A1B29C" w14:textId="77777777" w:rsidR="00BB46EB" w:rsidRPr="00B96359" w:rsidRDefault="00BB46EB" w:rsidP="008E4B7F">
            <w:pPr>
              <w:pStyle w:val="Tabletext0"/>
            </w:pPr>
            <w:r w:rsidRPr="00B96359">
              <w:t>36,797</w:t>
            </w:r>
          </w:p>
        </w:tc>
        <w:tc>
          <w:tcPr>
            <w:tcW w:w="1286" w:type="dxa"/>
            <w:shd w:val="clear" w:color="000000" w:fill="FFFFFF"/>
            <w:noWrap/>
            <w:vAlign w:val="center"/>
          </w:tcPr>
          <w:p w14:paraId="2B4DE39D" w14:textId="77777777" w:rsidR="00BB46EB" w:rsidRPr="00B96359" w:rsidRDefault="00BB46EB" w:rsidP="008E4B7F">
            <w:pPr>
              <w:pStyle w:val="Tabletext0"/>
            </w:pPr>
            <w:r w:rsidRPr="00B96359">
              <w:t>$25,757,735</w:t>
            </w:r>
          </w:p>
        </w:tc>
        <w:tc>
          <w:tcPr>
            <w:tcW w:w="1037" w:type="dxa"/>
            <w:shd w:val="clear" w:color="000000" w:fill="FFFFFF"/>
            <w:noWrap/>
            <w:vAlign w:val="center"/>
          </w:tcPr>
          <w:p w14:paraId="6621C8D0" w14:textId="77777777" w:rsidR="00BB46EB" w:rsidRPr="00B96359" w:rsidRDefault="00BB46EB" w:rsidP="008E4B7F">
            <w:pPr>
              <w:pStyle w:val="Tabletext0"/>
            </w:pPr>
            <w:r w:rsidRPr="00B96359">
              <w:t>427</w:t>
            </w:r>
          </w:p>
        </w:tc>
        <w:tc>
          <w:tcPr>
            <w:tcW w:w="960" w:type="dxa"/>
            <w:shd w:val="clear" w:color="000000" w:fill="FFFFFF"/>
            <w:noWrap/>
            <w:vAlign w:val="center"/>
          </w:tcPr>
          <w:p w14:paraId="3921B80B" w14:textId="77777777" w:rsidR="00BB46EB" w:rsidRPr="00B96359" w:rsidRDefault="00BB46EB" w:rsidP="008E4B7F">
            <w:pPr>
              <w:pStyle w:val="Tabletext0"/>
            </w:pPr>
            <w:r w:rsidRPr="00B96359">
              <w:t>36,631</w:t>
            </w:r>
          </w:p>
        </w:tc>
        <w:tc>
          <w:tcPr>
            <w:tcW w:w="1073" w:type="dxa"/>
            <w:shd w:val="clear" w:color="000000" w:fill="FFFFFF"/>
            <w:noWrap/>
            <w:vAlign w:val="center"/>
          </w:tcPr>
          <w:p w14:paraId="5D9E47B9" w14:textId="77777777" w:rsidR="00BB46EB" w:rsidRPr="00B96359" w:rsidRDefault="00BB46EB" w:rsidP="008E4B7F">
            <w:pPr>
              <w:pStyle w:val="Tabletext0"/>
            </w:pPr>
            <w:r w:rsidRPr="00B96359">
              <w:t>81.9%</w:t>
            </w:r>
          </w:p>
        </w:tc>
      </w:tr>
      <w:tr w:rsidR="00BB46EB" w:rsidRPr="00755AFF" w14:paraId="44E5B34A" w14:textId="77777777" w:rsidTr="00F7130D">
        <w:trPr>
          <w:trHeight w:val="300"/>
        </w:trPr>
        <w:tc>
          <w:tcPr>
            <w:tcW w:w="851" w:type="dxa"/>
            <w:shd w:val="clear" w:color="000000" w:fill="FFFFFF"/>
            <w:noWrap/>
            <w:vAlign w:val="center"/>
          </w:tcPr>
          <w:p w14:paraId="57879367" w14:textId="77777777" w:rsidR="00BB46EB" w:rsidRPr="00B96359" w:rsidRDefault="00BB46EB" w:rsidP="008E4B7F">
            <w:pPr>
              <w:pStyle w:val="Tabletext0"/>
            </w:pPr>
            <w:r w:rsidRPr="00B96359">
              <w:t>2</w:t>
            </w:r>
          </w:p>
        </w:tc>
        <w:tc>
          <w:tcPr>
            <w:tcW w:w="2314" w:type="dxa"/>
            <w:shd w:val="clear" w:color="000000" w:fill="FFFFFF"/>
            <w:noWrap/>
            <w:vAlign w:val="center"/>
          </w:tcPr>
          <w:p w14:paraId="072EC730" w14:textId="77777777" w:rsidR="00BB46EB" w:rsidRPr="00B96359" w:rsidRDefault="00BB46EB" w:rsidP="008E4B7F">
            <w:pPr>
              <w:pStyle w:val="Tabletext0"/>
            </w:pPr>
            <w:r w:rsidRPr="00B96359">
              <w:t>57360, 104</w:t>
            </w:r>
          </w:p>
        </w:tc>
        <w:tc>
          <w:tcPr>
            <w:tcW w:w="1017" w:type="dxa"/>
            <w:shd w:val="clear" w:color="000000" w:fill="FFFFFF"/>
            <w:noWrap/>
            <w:vAlign w:val="center"/>
          </w:tcPr>
          <w:p w14:paraId="289C3E14" w14:textId="77777777" w:rsidR="00BB46EB" w:rsidRPr="00B96359" w:rsidRDefault="00BB46EB" w:rsidP="008E4B7F">
            <w:pPr>
              <w:pStyle w:val="Tabletext0"/>
            </w:pPr>
            <w:r w:rsidRPr="00B96359">
              <w:t>2,880</w:t>
            </w:r>
          </w:p>
        </w:tc>
        <w:tc>
          <w:tcPr>
            <w:tcW w:w="960" w:type="dxa"/>
            <w:shd w:val="clear" w:color="000000" w:fill="FFFFFF"/>
            <w:noWrap/>
            <w:vAlign w:val="center"/>
          </w:tcPr>
          <w:p w14:paraId="0D063D3E" w14:textId="77777777" w:rsidR="00BB46EB" w:rsidRPr="00B96359" w:rsidRDefault="00BB46EB" w:rsidP="008E4B7F">
            <w:pPr>
              <w:pStyle w:val="Tabletext0"/>
            </w:pPr>
            <w:r w:rsidRPr="00B96359">
              <w:t>5,762</w:t>
            </w:r>
          </w:p>
        </w:tc>
        <w:tc>
          <w:tcPr>
            <w:tcW w:w="1286" w:type="dxa"/>
            <w:shd w:val="clear" w:color="000000" w:fill="FFFFFF"/>
            <w:noWrap/>
            <w:vAlign w:val="center"/>
          </w:tcPr>
          <w:p w14:paraId="43681AF0" w14:textId="77777777" w:rsidR="00BB46EB" w:rsidRPr="00B96359" w:rsidRDefault="00BB46EB" w:rsidP="008E4B7F">
            <w:pPr>
              <w:pStyle w:val="Tabletext0"/>
            </w:pPr>
            <w:r w:rsidRPr="00B96359">
              <w:t>$2,161,891</w:t>
            </w:r>
          </w:p>
        </w:tc>
        <w:tc>
          <w:tcPr>
            <w:tcW w:w="1037" w:type="dxa"/>
            <w:shd w:val="clear" w:color="000000" w:fill="FFFFFF"/>
            <w:noWrap/>
            <w:vAlign w:val="center"/>
          </w:tcPr>
          <w:p w14:paraId="0BDE317F" w14:textId="77777777" w:rsidR="00BB46EB" w:rsidRPr="00B96359" w:rsidRDefault="00BB46EB" w:rsidP="008E4B7F">
            <w:pPr>
              <w:pStyle w:val="Tabletext0"/>
            </w:pPr>
            <w:r w:rsidRPr="00B96359">
              <w:t>29</w:t>
            </w:r>
          </w:p>
        </w:tc>
        <w:tc>
          <w:tcPr>
            <w:tcW w:w="960" w:type="dxa"/>
            <w:shd w:val="clear" w:color="000000" w:fill="FFFFFF"/>
            <w:noWrap/>
            <w:vAlign w:val="center"/>
          </w:tcPr>
          <w:p w14:paraId="661D937A" w14:textId="77777777" w:rsidR="00BB46EB" w:rsidRPr="00B96359" w:rsidRDefault="00BB46EB" w:rsidP="008E4B7F">
            <w:pPr>
              <w:pStyle w:val="Tabletext0"/>
            </w:pPr>
            <w:r w:rsidRPr="00B96359">
              <w:t>2,877</w:t>
            </w:r>
          </w:p>
        </w:tc>
        <w:tc>
          <w:tcPr>
            <w:tcW w:w="1073" w:type="dxa"/>
            <w:shd w:val="clear" w:color="000000" w:fill="FFFFFF"/>
            <w:noWrap/>
            <w:vAlign w:val="center"/>
          </w:tcPr>
          <w:p w14:paraId="17AF8DF5" w14:textId="77777777" w:rsidR="00BB46EB" w:rsidRPr="00B96359" w:rsidRDefault="00BB46EB" w:rsidP="008E4B7F">
            <w:pPr>
              <w:pStyle w:val="Tabletext0"/>
            </w:pPr>
            <w:r w:rsidRPr="00B96359">
              <w:t>6.4%</w:t>
            </w:r>
          </w:p>
        </w:tc>
      </w:tr>
      <w:tr w:rsidR="00BB46EB" w:rsidRPr="00755AFF" w14:paraId="424F0840" w14:textId="77777777" w:rsidTr="00F7130D">
        <w:trPr>
          <w:trHeight w:val="300"/>
        </w:trPr>
        <w:tc>
          <w:tcPr>
            <w:tcW w:w="851" w:type="dxa"/>
            <w:shd w:val="clear" w:color="000000" w:fill="FFFFFF"/>
            <w:noWrap/>
            <w:vAlign w:val="center"/>
          </w:tcPr>
          <w:p w14:paraId="3B1BFC11" w14:textId="77777777" w:rsidR="00BB46EB" w:rsidRPr="00B96359" w:rsidRDefault="00BB46EB" w:rsidP="008E4B7F">
            <w:pPr>
              <w:pStyle w:val="Tabletext0"/>
            </w:pPr>
            <w:r w:rsidRPr="00B96359">
              <w:t>3</w:t>
            </w:r>
          </w:p>
        </w:tc>
        <w:tc>
          <w:tcPr>
            <w:tcW w:w="2314" w:type="dxa"/>
            <w:shd w:val="clear" w:color="000000" w:fill="FFFFFF"/>
            <w:noWrap/>
            <w:vAlign w:val="center"/>
          </w:tcPr>
          <w:p w14:paraId="3BA1FE61" w14:textId="77777777" w:rsidR="00BB46EB" w:rsidRPr="00B96359" w:rsidRDefault="00BB46EB" w:rsidP="008E4B7F">
            <w:pPr>
              <w:pStyle w:val="Tabletext0"/>
            </w:pPr>
            <w:r w:rsidRPr="00B96359">
              <w:t>57360, 11700</w:t>
            </w:r>
          </w:p>
        </w:tc>
        <w:tc>
          <w:tcPr>
            <w:tcW w:w="1017" w:type="dxa"/>
            <w:shd w:val="clear" w:color="000000" w:fill="FFFFFF"/>
            <w:noWrap/>
            <w:vAlign w:val="center"/>
          </w:tcPr>
          <w:p w14:paraId="50A89FC9" w14:textId="77777777" w:rsidR="00BB46EB" w:rsidRPr="00B96359" w:rsidRDefault="00BB46EB" w:rsidP="008E4B7F">
            <w:pPr>
              <w:pStyle w:val="Tabletext0"/>
            </w:pPr>
            <w:r w:rsidRPr="00B96359">
              <w:t>1,086</w:t>
            </w:r>
          </w:p>
        </w:tc>
        <w:tc>
          <w:tcPr>
            <w:tcW w:w="960" w:type="dxa"/>
            <w:shd w:val="clear" w:color="000000" w:fill="FFFFFF"/>
            <w:noWrap/>
            <w:vAlign w:val="center"/>
          </w:tcPr>
          <w:p w14:paraId="7006C5F9" w14:textId="77777777" w:rsidR="00BB46EB" w:rsidRPr="00B96359" w:rsidRDefault="00BB46EB" w:rsidP="008E4B7F">
            <w:pPr>
              <w:pStyle w:val="Tabletext0"/>
            </w:pPr>
            <w:r w:rsidRPr="00B96359">
              <w:t>2,176</w:t>
            </w:r>
          </w:p>
        </w:tc>
        <w:tc>
          <w:tcPr>
            <w:tcW w:w="1286" w:type="dxa"/>
            <w:shd w:val="clear" w:color="000000" w:fill="FFFFFF"/>
            <w:noWrap/>
            <w:vAlign w:val="center"/>
          </w:tcPr>
          <w:p w14:paraId="4EE5C722" w14:textId="77777777" w:rsidR="00BB46EB" w:rsidRPr="00B96359" w:rsidRDefault="00BB46EB" w:rsidP="008E4B7F">
            <w:pPr>
              <w:pStyle w:val="Tabletext0"/>
            </w:pPr>
            <w:r w:rsidRPr="00B96359">
              <w:t>$790,181</w:t>
            </w:r>
          </w:p>
        </w:tc>
        <w:tc>
          <w:tcPr>
            <w:tcW w:w="1037" w:type="dxa"/>
            <w:shd w:val="clear" w:color="000000" w:fill="FFFFFF"/>
            <w:noWrap/>
            <w:vAlign w:val="center"/>
          </w:tcPr>
          <w:p w14:paraId="60154FEC" w14:textId="77777777" w:rsidR="00BB46EB" w:rsidRPr="00B96359" w:rsidRDefault="00BB46EB" w:rsidP="008E4B7F">
            <w:pPr>
              <w:pStyle w:val="Tabletext0"/>
            </w:pPr>
            <w:r w:rsidRPr="00B96359">
              <w:t>27</w:t>
            </w:r>
          </w:p>
        </w:tc>
        <w:tc>
          <w:tcPr>
            <w:tcW w:w="960" w:type="dxa"/>
            <w:shd w:val="clear" w:color="000000" w:fill="FFFFFF"/>
            <w:noWrap/>
            <w:vAlign w:val="center"/>
          </w:tcPr>
          <w:p w14:paraId="2CA7F225" w14:textId="77777777" w:rsidR="00BB46EB" w:rsidRPr="00B96359" w:rsidRDefault="00BB46EB" w:rsidP="008E4B7F">
            <w:pPr>
              <w:pStyle w:val="Tabletext0"/>
            </w:pPr>
            <w:r w:rsidRPr="00B96359">
              <w:t>1,084</w:t>
            </w:r>
          </w:p>
        </w:tc>
        <w:tc>
          <w:tcPr>
            <w:tcW w:w="1073" w:type="dxa"/>
            <w:shd w:val="clear" w:color="000000" w:fill="FFFFFF"/>
            <w:noWrap/>
            <w:vAlign w:val="center"/>
          </w:tcPr>
          <w:p w14:paraId="42012E03" w14:textId="77777777" w:rsidR="00BB46EB" w:rsidRPr="00B96359" w:rsidRDefault="00BB46EB" w:rsidP="008E4B7F">
            <w:pPr>
              <w:pStyle w:val="Tabletext0"/>
            </w:pPr>
            <w:r w:rsidRPr="00B96359">
              <w:t>2.4%</w:t>
            </w:r>
          </w:p>
        </w:tc>
      </w:tr>
      <w:tr w:rsidR="00BB46EB" w:rsidRPr="00755AFF" w14:paraId="3B1FC8A4" w14:textId="77777777" w:rsidTr="00F7130D">
        <w:trPr>
          <w:trHeight w:val="300"/>
        </w:trPr>
        <w:tc>
          <w:tcPr>
            <w:tcW w:w="851" w:type="dxa"/>
            <w:shd w:val="clear" w:color="000000" w:fill="FFFFFF"/>
            <w:noWrap/>
            <w:vAlign w:val="center"/>
          </w:tcPr>
          <w:p w14:paraId="6CFC4CF3" w14:textId="77777777" w:rsidR="00BB46EB" w:rsidRPr="00B96359" w:rsidRDefault="00BB46EB" w:rsidP="008E4B7F">
            <w:pPr>
              <w:pStyle w:val="Tabletext0"/>
            </w:pPr>
            <w:r w:rsidRPr="00B96359">
              <w:t>4</w:t>
            </w:r>
          </w:p>
        </w:tc>
        <w:tc>
          <w:tcPr>
            <w:tcW w:w="2314" w:type="dxa"/>
            <w:shd w:val="clear" w:color="000000" w:fill="FFFFFF"/>
            <w:noWrap/>
            <w:vAlign w:val="center"/>
          </w:tcPr>
          <w:p w14:paraId="2620EDFB" w14:textId="77777777" w:rsidR="00BB46EB" w:rsidRPr="00B96359" w:rsidRDefault="00BB46EB" w:rsidP="008E4B7F">
            <w:pPr>
              <w:pStyle w:val="Tabletext0"/>
            </w:pPr>
            <w:r w:rsidRPr="00B96359">
              <w:t>57360, 54</w:t>
            </w:r>
          </w:p>
        </w:tc>
        <w:tc>
          <w:tcPr>
            <w:tcW w:w="1017" w:type="dxa"/>
            <w:shd w:val="clear" w:color="000000" w:fill="FFFFFF"/>
            <w:noWrap/>
            <w:vAlign w:val="center"/>
          </w:tcPr>
          <w:p w14:paraId="585678A5" w14:textId="77777777" w:rsidR="00BB46EB" w:rsidRPr="00B96359" w:rsidRDefault="00BB46EB" w:rsidP="008E4B7F">
            <w:pPr>
              <w:pStyle w:val="Tabletext0"/>
            </w:pPr>
            <w:r w:rsidRPr="00B96359">
              <w:t>857</w:t>
            </w:r>
          </w:p>
        </w:tc>
        <w:tc>
          <w:tcPr>
            <w:tcW w:w="960" w:type="dxa"/>
            <w:shd w:val="clear" w:color="000000" w:fill="FFFFFF"/>
            <w:noWrap/>
            <w:vAlign w:val="center"/>
          </w:tcPr>
          <w:p w14:paraId="085F3034" w14:textId="77777777" w:rsidR="00BB46EB" w:rsidRPr="00B96359" w:rsidRDefault="00BB46EB" w:rsidP="008E4B7F">
            <w:pPr>
              <w:pStyle w:val="Tabletext0"/>
            </w:pPr>
            <w:r w:rsidRPr="00B96359">
              <w:t>1,714</w:t>
            </w:r>
          </w:p>
        </w:tc>
        <w:tc>
          <w:tcPr>
            <w:tcW w:w="1286" w:type="dxa"/>
            <w:shd w:val="clear" w:color="000000" w:fill="FFFFFF"/>
            <w:noWrap/>
            <w:vAlign w:val="center"/>
          </w:tcPr>
          <w:p w14:paraId="46C901B3" w14:textId="77777777" w:rsidR="00BB46EB" w:rsidRPr="00B96359" w:rsidRDefault="00BB46EB" w:rsidP="008E4B7F">
            <w:pPr>
              <w:pStyle w:val="Tabletext0"/>
            </w:pPr>
            <w:r w:rsidRPr="00B96359">
              <w:t>$619,611</w:t>
            </w:r>
          </w:p>
        </w:tc>
        <w:tc>
          <w:tcPr>
            <w:tcW w:w="1037" w:type="dxa"/>
            <w:shd w:val="clear" w:color="000000" w:fill="FFFFFF"/>
            <w:noWrap/>
            <w:vAlign w:val="center"/>
          </w:tcPr>
          <w:p w14:paraId="2852FC75" w14:textId="77777777" w:rsidR="00BB46EB" w:rsidRPr="00B96359" w:rsidRDefault="00BB46EB" w:rsidP="008E4B7F">
            <w:pPr>
              <w:pStyle w:val="Tabletext0"/>
            </w:pPr>
            <w:r w:rsidRPr="00B96359">
              <w:t>np</w:t>
            </w:r>
          </w:p>
        </w:tc>
        <w:tc>
          <w:tcPr>
            <w:tcW w:w="960" w:type="dxa"/>
            <w:shd w:val="clear" w:color="000000" w:fill="FFFFFF"/>
            <w:noWrap/>
            <w:vAlign w:val="center"/>
          </w:tcPr>
          <w:p w14:paraId="12ABD279" w14:textId="77777777" w:rsidR="00BB46EB" w:rsidRPr="00B96359" w:rsidRDefault="00BB46EB" w:rsidP="008E4B7F">
            <w:pPr>
              <w:pStyle w:val="Tabletext0"/>
            </w:pPr>
            <w:r w:rsidRPr="00B96359">
              <w:t>856</w:t>
            </w:r>
          </w:p>
        </w:tc>
        <w:tc>
          <w:tcPr>
            <w:tcW w:w="1073" w:type="dxa"/>
            <w:shd w:val="clear" w:color="000000" w:fill="FFFFFF"/>
            <w:noWrap/>
            <w:vAlign w:val="center"/>
          </w:tcPr>
          <w:p w14:paraId="64B627BF" w14:textId="77777777" w:rsidR="00BB46EB" w:rsidRPr="00B96359" w:rsidRDefault="00BB46EB" w:rsidP="008E4B7F">
            <w:pPr>
              <w:pStyle w:val="Tabletext0"/>
            </w:pPr>
            <w:r w:rsidRPr="00B96359">
              <w:t>1.9%</w:t>
            </w:r>
          </w:p>
        </w:tc>
      </w:tr>
      <w:tr w:rsidR="00BB46EB" w:rsidRPr="00755AFF" w14:paraId="0D58240D" w14:textId="77777777" w:rsidTr="00F7130D">
        <w:trPr>
          <w:trHeight w:val="300"/>
        </w:trPr>
        <w:tc>
          <w:tcPr>
            <w:tcW w:w="851" w:type="dxa"/>
            <w:shd w:val="clear" w:color="000000" w:fill="FFFFFF"/>
            <w:noWrap/>
            <w:vAlign w:val="center"/>
          </w:tcPr>
          <w:p w14:paraId="4D6117E4" w14:textId="77777777" w:rsidR="00BB46EB" w:rsidRPr="00B96359" w:rsidRDefault="00BB46EB" w:rsidP="008E4B7F">
            <w:pPr>
              <w:pStyle w:val="Tabletext0"/>
            </w:pPr>
            <w:r w:rsidRPr="00B96359">
              <w:t>5</w:t>
            </w:r>
          </w:p>
        </w:tc>
        <w:tc>
          <w:tcPr>
            <w:tcW w:w="2314" w:type="dxa"/>
            <w:shd w:val="clear" w:color="000000" w:fill="FFFFFF"/>
            <w:noWrap/>
            <w:vAlign w:val="center"/>
          </w:tcPr>
          <w:p w14:paraId="20DE5747" w14:textId="77777777" w:rsidR="00BB46EB" w:rsidRPr="00B96359" w:rsidRDefault="00BB46EB" w:rsidP="008E4B7F">
            <w:pPr>
              <w:pStyle w:val="Tabletext0"/>
            </w:pPr>
            <w:r w:rsidRPr="00B96359">
              <w:t>Other co-claiming</w:t>
            </w:r>
          </w:p>
        </w:tc>
        <w:tc>
          <w:tcPr>
            <w:tcW w:w="1017" w:type="dxa"/>
            <w:shd w:val="clear" w:color="000000" w:fill="FFFFFF"/>
            <w:noWrap/>
            <w:vAlign w:val="center"/>
          </w:tcPr>
          <w:p w14:paraId="0CC70348" w14:textId="77777777" w:rsidR="00BB46EB" w:rsidRPr="00B96359" w:rsidRDefault="00BB46EB" w:rsidP="008E4B7F">
            <w:pPr>
              <w:pStyle w:val="Tabletext0"/>
            </w:pPr>
            <w:r w:rsidRPr="00B96359">
              <w:t>2,200</w:t>
            </w:r>
          </w:p>
        </w:tc>
        <w:tc>
          <w:tcPr>
            <w:tcW w:w="960" w:type="dxa"/>
            <w:shd w:val="clear" w:color="000000" w:fill="FFFFFF"/>
            <w:noWrap/>
            <w:vAlign w:val="center"/>
          </w:tcPr>
          <w:p w14:paraId="49D59562" w14:textId="77777777" w:rsidR="00BB46EB" w:rsidRPr="00B96359" w:rsidRDefault="00BB46EB" w:rsidP="008E4B7F">
            <w:pPr>
              <w:pStyle w:val="Tabletext0"/>
            </w:pPr>
            <w:r w:rsidRPr="00B96359">
              <w:t>1,666</w:t>
            </w:r>
          </w:p>
        </w:tc>
        <w:tc>
          <w:tcPr>
            <w:tcW w:w="1286" w:type="dxa"/>
            <w:shd w:val="clear" w:color="000000" w:fill="FFFFFF"/>
            <w:noWrap/>
            <w:vAlign w:val="center"/>
          </w:tcPr>
          <w:p w14:paraId="21D09B3B" w14:textId="77777777" w:rsidR="00BB46EB" w:rsidRPr="00B96359" w:rsidRDefault="00BB46EB" w:rsidP="008E4B7F">
            <w:pPr>
              <w:pStyle w:val="Tabletext0"/>
            </w:pPr>
            <w:r w:rsidRPr="00B96359">
              <w:t>$1,698,119</w:t>
            </w:r>
          </w:p>
        </w:tc>
        <w:tc>
          <w:tcPr>
            <w:tcW w:w="1037" w:type="dxa"/>
            <w:shd w:val="clear" w:color="000000" w:fill="FFFFFF"/>
            <w:noWrap/>
            <w:vAlign w:val="center"/>
          </w:tcPr>
          <w:p w14:paraId="5ADFFCF9" w14:textId="77777777" w:rsidR="00BB46EB" w:rsidRPr="00B96359" w:rsidRDefault="00BB46EB" w:rsidP="008E4B7F">
            <w:pPr>
              <w:pStyle w:val="Tabletext0"/>
            </w:pPr>
            <w:r w:rsidRPr="00B96359">
              <w:t>126</w:t>
            </w:r>
          </w:p>
        </w:tc>
        <w:tc>
          <w:tcPr>
            <w:tcW w:w="960" w:type="dxa"/>
            <w:shd w:val="clear" w:color="000000" w:fill="FFFFFF"/>
            <w:noWrap/>
            <w:vAlign w:val="center"/>
          </w:tcPr>
          <w:p w14:paraId="5DF8D4CA" w14:textId="77777777" w:rsidR="00BB46EB" w:rsidRPr="00B96359" w:rsidRDefault="00BB46EB" w:rsidP="008E4B7F">
            <w:pPr>
              <w:pStyle w:val="Tabletext0"/>
            </w:pPr>
            <w:r w:rsidRPr="00B96359">
              <w:t>2,200</w:t>
            </w:r>
          </w:p>
        </w:tc>
        <w:tc>
          <w:tcPr>
            <w:tcW w:w="1073" w:type="dxa"/>
            <w:shd w:val="clear" w:color="000000" w:fill="FFFFFF"/>
            <w:noWrap/>
            <w:vAlign w:val="center"/>
          </w:tcPr>
          <w:p w14:paraId="2E083EA6" w14:textId="77777777" w:rsidR="00BB46EB" w:rsidRPr="00B96359" w:rsidRDefault="00BB46EB" w:rsidP="008E4B7F">
            <w:pPr>
              <w:pStyle w:val="Tabletext0"/>
            </w:pPr>
            <w:r w:rsidRPr="00B96359">
              <w:t>4.9%</w:t>
            </w:r>
          </w:p>
        </w:tc>
      </w:tr>
    </w:tbl>
    <w:p w14:paraId="02F01DEE" w14:textId="2C0EBF34" w:rsidR="00BB46EB" w:rsidRPr="006B60E7" w:rsidRDefault="00BB46EB" w:rsidP="003848BB">
      <w:pPr>
        <w:spacing w:before="240"/>
        <w:rPr>
          <w:rFonts w:ascii="Arial Narrow" w:hAnsi="Arial Narrow"/>
          <w:b/>
          <w:sz w:val="20"/>
          <w:lang w:eastAsia="en-US"/>
        </w:rPr>
      </w:pPr>
      <w:bookmarkStart w:id="26" w:name="_Toc503955789"/>
      <w:r w:rsidRPr="006B60E7">
        <w:rPr>
          <w:rFonts w:ascii="Arial Narrow" w:hAnsi="Arial Narrow"/>
          <w:b/>
          <w:sz w:val="20"/>
          <w:lang w:eastAsia="en-US"/>
        </w:rPr>
        <w:t xml:space="preserve">Table </w:t>
      </w:r>
      <w:r w:rsidR="00D05628" w:rsidRPr="006B60E7">
        <w:rPr>
          <w:rFonts w:ascii="Arial Narrow" w:hAnsi="Arial Narrow"/>
          <w:b/>
          <w:sz w:val="20"/>
          <w:lang w:eastAsia="en-US"/>
        </w:rPr>
        <w:fldChar w:fldCharType="begin"/>
      </w:r>
      <w:r w:rsidR="00D05628" w:rsidRPr="006B60E7">
        <w:rPr>
          <w:rFonts w:ascii="Arial Narrow" w:hAnsi="Arial Narrow"/>
          <w:b/>
          <w:sz w:val="20"/>
          <w:lang w:eastAsia="en-US"/>
        </w:rPr>
        <w:instrText xml:space="preserve"> SEQ Table \* ARABIC </w:instrText>
      </w:r>
      <w:r w:rsidR="00D05628" w:rsidRPr="006B60E7">
        <w:rPr>
          <w:rFonts w:ascii="Arial Narrow" w:hAnsi="Arial Narrow"/>
          <w:b/>
          <w:sz w:val="20"/>
          <w:lang w:eastAsia="en-US"/>
        </w:rPr>
        <w:fldChar w:fldCharType="separate"/>
      </w:r>
      <w:r w:rsidRPr="006B60E7">
        <w:rPr>
          <w:rFonts w:ascii="Arial Narrow" w:hAnsi="Arial Narrow"/>
          <w:b/>
          <w:sz w:val="20"/>
          <w:lang w:eastAsia="en-US"/>
        </w:rPr>
        <w:t>13</w:t>
      </w:r>
      <w:r w:rsidR="00D05628" w:rsidRPr="006B60E7">
        <w:rPr>
          <w:rFonts w:ascii="Arial Narrow" w:hAnsi="Arial Narrow"/>
          <w:b/>
          <w:sz w:val="20"/>
          <w:lang w:eastAsia="en-US"/>
        </w:rPr>
        <w:fldChar w:fldCharType="end"/>
      </w:r>
      <w:r w:rsidR="00D05628" w:rsidRPr="006B60E7">
        <w:rPr>
          <w:rFonts w:ascii="Arial Narrow" w:hAnsi="Arial Narrow"/>
          <w:b/>
          <w:sz w:val="20"/>
          <w:lang w:eastAsia="en-US"/>
        </w:rPr>
        <w:t>:</w:t>
      </w:r>
      <w:r w:rsidRPr="006B60E7">
        <w:rPr>
          <w:rFonts w:ascii="Arial Narrow" w:hAnsi="Arial Narrow"/>
          <w:b/>
          <w:sz w:val="20"/>
          <w:lang w:eastAsia="en-US"/>
        </w:rPr>
        <w:t xml:space="preserve"> Majority instances of co-claiming with MBS item 57360 in 2015-16</w:t>
      </w:r>
      <w:bookmarkEnd w:id="2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majority instances of co-claiming with MBS item 57360 in 2015 to 2016. "/>
        <w:tblDescription w:val="This table provides data on the instances of co-claiming with MBS item 57360 in 2015 to 2016, and provides the number of providers, number of patients and percentage of episodes."/>
      </w:tblPr>
      <w:tblGrid>
        <w:gridCol w:w="851"/>
        <w:gridCol w:w="2314"/>
        <w:gridCol w:w="1017"/>
        <w:gridCol w:w="960"/>
        <w:gridCol w:w="1416"/>
        <w:gridCol w:w="1037"/>
        <w:gridCol w:w="960"/>
        <w:gridCol w:w="943"/>
      </w:tblGrid>
      <w:tr w:rsidR="00BB46EB" w:rsidRPr="00755AFF" w14:paraId="65A9F082" w14:textId="77777777" w:rsidTr="00F7130D">
        <w:trPr>
          <w:trHeight w:val="721"/>
        </w:trPr>
        <w:tc>
          <w:tcPr>
            <w:tcW w:w="851" w:type="dxa"/>
            <w:shd w:val="clear" w:color="auto" w:fill="548DD4" w:themeFill="text2" w:themeFillTint="99"/>
            <w:vAlign w:val="center"/>
          </w:tcPr>
          <w:p w14:paraId="50B8E849" w14:textId="77777777" w:rsidR="00BB46EB" w:rsidRPr="00B96359" w:rsidRDefault="00BB46EB" w:rsidP="008E4B7F">
            <w:pPr>
              <w:pStyle w:val="Tabletext0"/>
            </w:pPr>
            <w:r w:rsidRPr="00B96359">
              <w:t>#</w:t>
            </w:r>
          </w:p>
        </w:tc>
        <w:tc>
          <w:tcPr>
            <w:tcW w:w="2314" w:type="dxa"/>
            <w:shd w:val="clear" w:color="auto" w:fill="548DD4" w:themeFill="text2" w:themeFillTint="99"/>
            <w:vAlign w:val="center"/>
          </w:tcPr>
          <w:p w14:paraId="60B41488" w14:textId="77777777" w:rsidR="00BB46EB" w:rsidRPr="00B96359" w:rsidRDefault="00BB46EB" w:rsidP="008E4B7F">
            <w:pPr>
              <w:pStyle w:val="Tabletext0"/>
            </w:pPr>
            <w:r w:rsidRPr="00B96359">
              <w:t>Items</w:t>
            </w:r>
          </w:p>
        </w:tc>
        <w:tc>
          <w:tcPr>
            <w:tcW w:w="1017" w:type="dxa"/>
            <w:shd w:val="clear" w:color="auto" w:fill="548DD4" w:themeFill="text2" w:themeFillTint="99"/>
            <w:vAlign w:val="center"/>
          </w:tcPr>
          <w:p w14:paraId="77849858" w14:textId="77777777" w:rsidR="00BB46EB" w:rsidRPr="00B96359" w:rsidRDefault="00BB46EB" w:rsidP="008E4B7F">
            <w:pPr>
              <w:pStyle w:val="Tabletext0"/>
            </w:pPr>
            <w:r w:rsidRPr="00B96359">
              <w:t>Episodes</w:t>
            </w:r>
          </w:p>
        </w:tc>
        <w:tc>
          <w:tcPr>
            <w:tcW w:w="960" w:type="dxa"/>
            <w:shd w:val="clear" w:color="auto" w:fill="548DD4" w:themeFill="text2" w:themeFillTint="99"/>
            <w:vAlign w:val="center"/>
          </w:tcPr>
          <w:p w14:paraId="34D55A3C" w14:textId="77777777" w:rsidR="00BB46EB" w:rsidRPr="00B96359" w:rsidRDefault="00BB46EB" w:rsidP="008E4B7F">
            <w:pPr>
              <w:pStyle w:val="Tabletext0"/>
            </w:pPr>
            <w:r w:rsidRPr="00B96359">
              <w:t>Services</w:t>
            </w:r>
          </w:p>
        </w:tc>
        <w:tc>
          <w:tcPr>
            <w:tcW w:w="1416" w:type="dxa"/>
            <w:shd w:val="clear" w:color="auto" w:fill="548DD4" w:themeFill="text2" w:themeFillTint="99"/>
            <w:vAlign w:val="center"/>
          </w:tcPr>
          <w:p w14:paraId="77F389C8" w14:textId="77777777" w:rsidR="00BB46EB" w:rsidRPr="00B96359" w:rsidRDefault="00BB46EB" w:rsidP="008E4B7F">
            <w:pPr>
              <w:pStyle w:val="Tabletext0"/>
            </w:pPr>
            <w:r w:rsidRPr="00B96359">
              <w:t>Schedule Fee for combination</w:t>
            </w:r>
          </w:p>
        </w:tc>
        <w:tc>
          <w:tcPr>
            <w:tcW w:w="1037" w:type="dxa"/>
            <w:shd w:val="clear" w:color="auto" w:fill="548DD4" w:themeFill="text2" w:themeFillTint="99"/>
            <w:vAlign w:val="center"/>
          </w:tcPr>
          <w:p w14:paraId="54F9C3A1" w14:textId="77777777" w:rsidR="00BB46EB" w:rsidRPr="00B96359" w:rsidRDefault="00BB46EB" w:rsidP="008E4B7F">
            <w:pPr>
              <w:pStyle w:val="Tabletext0"/>
            </w:pPr>
            <w:r w:rsidRPr="00B96359">
              <w:t>Number of providers</w:t>
            </w:r>
          </w:p>
        </w:tc>
        <w:tc>
          <w:tcPr>
            <w:tcW w:w="960" w:type="dxa"/>
            <w:shd w:val="clear" w:color="auto" w:fill="548DD4" w:themeFill="text2" w:themeFillTint="99"/>
            <w:vAlign w:val="center"/>
          </w:tcPr>
          <w:p w14:paraId="0CD2C8A4" w14:textId="77777777" w:rsidR="00BB46EB" w:rsidRPr="00B96359" w:rsidRDefault="00BB46EB" w:rsidP="008E4B7F">
            <w:pPr>
              <w:pStyle w:val="Tabletext0"/>
            </w:pPr>
            <w:r w:rsidRPr="00B96359">
              <w:t>Number of patients</w:t>
            </w:r>
          </w:p>
        </w:tc>
        <w:tc>
          <w:tcPr>
            <w:tcW w:w="943" w:type="dxa"/>
            <w:shd w:val="clear" w:color="auto" w:fill="548DD4" w:themeFill="text2" w:themeFillTint="99"/>
            <w:vAlign w:val="center"/>
          </w:tcPr>
          <w:p w14:paraId="0D67E431" w14:textId="77777777" w:rsidR="00BB46EB" w:rsidRPr="00B96359" w:rsidRDefault="00BB46EB" w:rsidP="008E4B7F">
            <w:pPr>
              <w:pStyle w:val="Tabletext0"/>
            </w:pPr>
            <w:r w:rsidRPr="00B96359">
              <w:t>% of episodes</w:t>
            </w:r>
          </w:p>
        </w:tc>
      </w:tr>
      <w:tr w:rsidR="00BB46EB" w:rsidRPr="00755AFF" w14:paraId="426937B0" w14:textId="77777777" w:rsidTr="00F7130D">
        <w:trPr>
          <w:trHeight w:val="300"/>
        </w:trPr>
        <w:tc>
          <w:tcPr>
            <w:tcW w:w="851" w:type="dxa"/>
            <w:shd w:val="clear" w:color="000000" w:fill="FFFFFF"/>
            <w:noWrap/>
            <w:vAlign w:val="center"/>
          </w:tcPr>
          <w:p w14:paraId="437C9AB8" w14:textId="77777777" w:rsidR="00BB46EB" w:rsidRPr="00B96359" w:rsidRDefault="00BB46EB" w:rsidP="008E4B7F">
            <w:pPr>
              <w:pStyle w:val="Tabletext0"/>
            </w:pPr>
            <w:r w:rsidRPr="00B96359">
              <w:t>1</w:t>
            </w:r>
          </w:p>
        </w:tc>
        <w:tc>
          <w:tcPr>
            <w:tcW w:w="2314" w:type="dxa"/>
            <w:shd w:val="clear" w:color="000000" w:fill="FFFFFF"/>
            <w:noWrap/>
            <w:vAlign w:val="center"/>
          </w:tcPr>
          <w:p w14:paraId="1E48697A" w14:textId="77777777" w:rsidR="00BB46EB" w:rsidRPr="00B96359" w:rsidRDefault="00BB46EB" w:rsidP="008E4B7F">
            <w:pPr>
              <w:pStyle w:val="Tabletext0"/>
            </w:pPr>
            <w:r w:rsidRPr="00B96359">
              <w:t>57360</w:t>
            </w:r>
          </w:p>
        </w:tc>
        <w:tc>
          <w:tcPr>
            <w:tcW w:w="1017" w:type="dxa"/>
            <w:shd w:val="clear" w:color="000000" w:fill="FFFFFF"/>
            <w:noWrap/>
            <w:vAlign w:val="center"/>
          </w:tcPr>
          <w:p w14:paraId="5B031E9F" w14:textId="77777777" w:rsidR="00BB46EB" w:rsidRPr="00B96359" w:rsidRDefault="00BB46EB" w:rsidP="008E4B7F">
            <w:pPr>
              <w:pStyle w:val="Tabletext0"/>
            </w:pPr>
            <w:r w:rsidRPr="00B96359">
              <w:t>41,692</w:t>
            </w:r>
          </w:p>
        </w:tc>
        <w:tc>
          <w:tcPr>
            <w:tcW w:w="960" w:type="dxa"/>
            <w:shd w:val="clear" w:color="000000" w:fill="FFFFFF"/>
            <w:noWrap/>
            <w:vAlign w:val="center"/>
          </w:tcPr>
          <w:p w14:paraId="21BAA789" w14:textId="77777777" w:rsidR="00BB46EB" w:rsidRPr="00B96359" w:rsidRDefault="00BB46EB" w:rsidP="008E4B7F">
            <w:pPr>
              <w:pStyle w:val="Tabletext0"/>
            </w:pPr>
            <w:r w:rsidRPr="00B96359">
              <w:t>41,704</w:t>
            </w:r>
          </w:p>
        </w:tc>
        <w:tc>
          <w:tcPr>
            <w:tcW w:w="1416" w:type="dxa"/>
            <w:shd w:val="clear" w:color="000000" w:fill="FFFFFF"/>
            <w:noWrap/>
            <w:vAlign w:val="center"/>
          </w:tcPr>
          <w:p w14:paraId="10B9EA38" w14:textId="77777777" w:rsidR="00BB46EB" w:rsidRPr="00B96359" w:rsidRDefault="00BB46EB" w:rsidP="008E4B7F">
            <w:pPr>
              <w:pStyle w:val="Tabletext0"/>
            </w:pPr>
            <w:r w:rsidRPr="00B96359">
              <w:t>$29,192,660</w:t>
            </w:r>
          </w:p>
        </w:tc>
        <w:tc>
          <w:tcPr>
            <w:tcW w:w="1037" w:type="dxa"/>
            <w:shd w:val="clear" w:color="000000" w:fill="FFFFFF"/>
            <w:noWrap/>
            <w:vAlign w:val="center"/>
          </w:tcPr>
          <w:p w14:paraId="475B29B4" w14:textId="77777777" w:rsidR="00BB46EB" w:rsidRPr="00B96359" w:rsidRDefault="00BB46EB" w:rsidP="008E4B7F">
            <w:pPr>
              <w:pStyle w:val="Tabletext0"/>
            </w:pPr>
            <w:r w:rsidRPr="00B96359">
              <w:t>435</w:t>
            </w:r>
          </w:p>
        </w:tc>
        <w:tc>
          <w:tcPr>
            <w:tcW w:w="960" w:type="dxa"/>
            <w:shd w:val="clear" w:color="000000" w:fill="FFFFFF"/>
            <w:noWrap/>
            <w:vAlign w:val="center"/>
          </w:tcPr>
          <w:p w14:paraId="0F5BC38C" w14:textId="77777777" w:rsidR="00BB46EB" w:rsidRPr="00B96359" w:rsidRDefault="00BB46EB" w:rsidP="008E4B7F">
            <w:pPr>
              <w:pStyle w:val="Tabletext0"/>
            </w:pPr>
            <w:r w:rsidRPr="00B96359">
              <w:t>41,524</w:t>
            </w:r>
          </w:p>
        </w:tc>
        <w:tc>
          <w:tcPr>
            <w:tcW w:w="943" w:type="dxa"/>
            <w:shd w:val="clear" w:color="000000" w:fill="FFFFFF"/>
            <w:noWrap/>
            <w:vAlign w:val="center"/>
          </w:tcPr>
          <w:p w14:paraId="4E698D94" w14:textId="77777777" w:rsidR="00BB46EB" w:rsidRPr="00B96359" w:rsidRDefault="00BB46EB" w:rsidP="008E4B7F">
            <w:pPr>
              <w:pStyle w:val="Tabletext0"/>
            </w:pPr>
            <w:r w:rsidRPr="00B96359">
              <w:t>81.7%</w:t>
            </w:r>
          </w:p>
        </w:tc>
      </w:tr>
      <w:tr w:rsidR="00BB46EB" w:rsidRPr="00755AFF" w14:paraId="2C9BDBC9" w14:textId="77777777" w:rsidTr="00F7130D">
        <w:trPr>
          <w:trHeight w:val="300"/>
        </w:trPr>
        <w:tc>
          <w:tcPr>
            <w:tcW w:w="851" w:type="dxa"/>
            <w:shd w:val="clear" w:color="000000" w:fill="FFFFFF"/>
            <w:noWrap/>
            <w:vAlign w:val="center"/>
          </w:tcPr>
          <w:p w14:paraId="598A3B5E" w14:textId="77777777" w:rsidR="00BB46EB" w:rsidRPr="00B96359" w:rsidRDefault="00BB46EB" w:rsidP="008E4B7F">
            <w:pPr>
              <w:pStyle w:val="Tabletext0"/>
            </w:pPr>
            <w:r w:rsidRPr="00B96359">
              <w:t>2</w:t>
            </w:r>
          </w:p>
        </w:tc>
        <w:tc>
          <w:tcPr>
            <w:tcW w:w="2314" w:type="dxa"/>
            <w:shd w:val="clear" w:color="000000" w:fill="FFFFFF"/>
            <w:noWrap/>
            <w:vAlign w:val="center"/>
          </w:tcPr>
          <w:p w14:paraId="27147C96" w14:textId="77777777" w:rsidR="00BB46EB" w:rsidRPr="00B96359" w:rsidRDefault="00BB46EB" w:rsidP="008E4B7F">
            <w:pPr>
              <w:pStyle w:val="Tabletext0"/>
            </w:pPr>
            <w:r w:rsidRPr="00B96359">
              <w:t>57360, 104</w:t>
            </w:r>
          </w:p>
        </w:tc>
        <w:tc>
          <w:tcPr>
            <w:tcW w:w="1017" w:type="dxa"/>
            <w:shd w:val="clear" w:color="000000" w:fill="FFFFFF"/>
            <w:noWrap/>
            <w:vAlign w:val="center"/>
          </w:tcPr>
          <w:p w14:paraId="57FC4E7F" w14:textId="77777777" w:rsidR="00BB46EB" w:rsidRPr="00B96359" w:rsidRDefault="00BB46EB" w:rsidP="008E4B7F">
            <w:pPr>
              <w:pStyle w:val="Tabletext0"/>
            </w:pPr>
            <w:r w:rsidRPr="00B96359">
              <w:t>2,717</w:t>
            </w:r>
          </w:p>
        </w:tc>
        <w:tc>
          <w:tcPr>
            <w:tcW w:w="960" w:type="dxa"/>
            <w:shd w:val="clear" w:color="000000" w:fill="FFFFFF"/>
            <w:noWrap/>
            <w:vAlign w:val="center"/>
          </w:tcPr>
          <w:p w14:paraId="055C4D56" w14:textId="77777777" w:rsidR="00BB46EB" w:rsidRPr="00B96359" w:rsidRDefault="00BB46EB" w:rsidP="008E4B7F">
            <w:pPr>
              <w:pStyle w:val="Tabletext0"/>
            </w:pPr>
            <w:r w:rsidRPr="00B96359">
              <w:t>5,435</w:t>
            </w:r>
          </w:p>
        </w:tc>
        <w:tc>
          <w:tcPr>
            <w:tcW w:w="1416" w:type="dxa"/>
            <w:shd w:val="clear" w:color="000000" w:fill="FFFFFF"/>
            <w:noWrap/>
            <w:vAlign w:val="center"/>
          </w:tcPr>
          <w:p w14:paraId="410F7EA2" w14:textId="77777777" w:rsidR="00BB46EB" w:rsidRPr="00B96359" w:rsidRDefault="00BB46EB" w:rsidP="008E4B7F">
            <w:pPr>
              <w:pStyle w:val="Tabletext0"/>
            </w:pPr>
            <w:r w:rsidRPr="00B96359">
              <w:t>$2,039,471</w:t>
            </w:r>
          </w:p>
        </w:tc>
        <w:tc>
          <w:tcPr>
            <w:tcW w:w="1037" w:type="dxa"/>
            <w:shd w:val="clear" w:color="000000" w:fill="FFFFFF"/>
            <w:noWrap/>
            <w:vAlign w:val="center"/>
          </w:tcPr>
          <w:p w14:paraId="0A79F501" w14:textId="77777777" w:rsidR="00BB46EB" w:rsidRPr="00B96359" w:rsidRDefault="00BB46EB" w:rsidP="008E4B7F">
            <w:pPr>
              <w:pStyle w:val="Tabletext0"/>
            </w:pPr>
            <w:r w:rsidRPr="00B96359">
              <w:t>39</w:t>
            </w:r>
          </w:p>
        </w:tc>
        <w:tc>
          <w:tcPr>
            <w:tcW w:w="960" w:type="dxa"/>
            <w:shd w:val="clear" w:color="000000" w:fill="FFFFFF"/>
            <w:noWrap/>
            <w:vAlign w:val="center"/>
          </w:tcPr>
          <w:p w14:paraId="03B8ED46" w14:textId="77777777" w:rsidR="00BB46EB" w:rsidRPr="00B96359" w:rsidRDefault="00BB46EB" w:rsidP="008E4B7F">
            <w:pPr>
              <w:pStyle w:val="Tabletext0"/>
            </w:pPr>
            <w:r w:rsidRPr="00B96359">
              <w:t>2,713</w:t>
            </w:r>
          </w:p>
        </w:tc>
        <w:tc>
          <w:tcPr>
            <w:tcW w:w="943" w:type="dxa"/>
            <w:shd w:val="clear" w:color="000000" w:fill="FFFFFF"/>
            <w:noWrap/>
            <w:vAlign w:val="center"/>
          </w:tcPr>
          <w:p w14:paraId="68735BF6" w14:textId="77777777" w:rsidR="00BB46EB" w:rsidRPr="00B96359" w:rsidRDefault="00BB46EB" w:rsidP="008E4B7F">
            <w:pPr>
              <w:pStyle w:val="Tabletext0"/>
            </w:pPr>
            <w:r w:rsidRPr="00B96359">
              <w:t>5.3%</w:t>
            </w:r>
          </w:p>
        </w:tc>
      </w:tr>
      <w:tr w:rsidR="00BB46EB" w:rsidRPr="00755AFF" w14:paraId="3F3F5DA1" w14:textId="77777777" w:rsidTr="00F7130D">
        <w:trPr>
          <w:trHeight w:val="300"/>
        </w:trPr>
        <w:tc>
          <w:tcPr>
            <w:tcW w:w="851" w:type="dxa"/>
            <w:shd w:val="clear" w:color="000000" w:fill="FFFFFF"/>
            <w:noWrap/>
            <w:vAlign w:val="center"/>
          </w:tcPr>
          <w:p w14:paraId="724B8BAD" w14:textId="77777777" w:rsidR="00BB46EB" w:rsidRPr="00B96359" w:rsidRDefault="00BB46EB" w:rsidP="008E4B7F">
            <w:pPr>
              <w:pStyle w:val="Tabletext0"/>
            </w:pPr>
            <w:r w:rsidRPr="00B96359">
              <w:t>3</w:t>
            </w:r>
          </w:p>
        </w:tc>
        <w:tc>
          <w:tcPr>
            <w:tcW w:w="2314" w:type="dxa"/>
            <w:shd w:val="clear" w:color="000000" w:fill="FFFFFF"/>
            <w:noWrap/>
            <w:vAlign w:val="center"/>
          </w:tcPr>
          <w:p w14:paraId="573A6DFF" w14:textId="77777777" w:rsidR="00BB46EB" w:rsidRPr="00B96359" w:rsidRDefault="00BB46EB" w:rsidP="008E4B7F">
            <w:pPr>
              <w:pStyle w:val="Tabletext0"/>
            </w:pPr>
            <w:r w:rsidRPr="00B96359">
              <w:t>57360, 11700</w:t>
            </w:r>
          </w:p>
        </w:tc>
        <w:tc>
          <w:tcPr>
            <w:tcW w:w="1017" w:type="dxa"/>
            <w:shd w:val="clear" w:color="000000" w:fill="FFFFFF"/>
            <w:noWrap/>
            <w:vAlign w:val="center"/>
          </w:tcPr>
          <w:p w14:paraId="779ABD1B" w14:textId="77777777" w:rsidR="00BB46EB" w:rsidRPr="00B96359" w:rsidRDefault="00BB46EB" w:rsidP="008E4B7F">
            <w:pPr>
              <w:pStyle w:val="Tabletext0"/>
            </w:pPr>
            <w:r w:rsidRPr="00B96359">
              <w:t>1,567</w:t>
            </w:r>
          </w:p>
        </w:tc>
        <w:tc>
          <w:tcPr>
            <w:tcW w:w="960" w:type="dxa"/>
            <w:shd w:val="clear" w:color="000000" w:fill="FFFFFF"/>
            <w:noWrap/>
            <w:vAlign w:val="center"/>
          </w:tcPr>
          <w:p w14:paraId="06559D1D" w14:textId="77777777" w:rsidR="00BB46EB" w:rsidRPr="00B96359" w:rsidRDefault="00BB46EB" w:rsidP="008E4B7F">
            <w:pPr>
              <w:pStyle w:val="Tabletext0"/>
            </w:pPr>
            <w:r w:rsidRPr="00B96359">
              <w:t>3,135</w:t>
            </w:r>
          </w:p>
        </w:tc>
        <w:tc>
          <w:tcPr>
            <w:tcW w:w="1416" w:type="dxa"/>
            <w:shd w:val="clear" w:color="000000" w:fill="FFFFFF"/>
            <w:noWrap/>
            <w:vAlign w:val="center"/>
          </w:tcPr>
          <w:p w14:paraId="1D790F05" w14:textId="77777777" w:rsidR="00BB46EB" w:rsidRPr="00B96359" w:rsidRDefault="00BB46EB" w:rsidP="008E4B7F">
            <w:pPr>
              <w:pStyle w:val="Tabletext0"/>
            </w:pPr>
            <w:r w:rsidRPr="00B96359">
              <w:t>$1,138,107</w:t>
            </w:r>
          </w:p>
        </w:tc>
        <w:tc>
          <w:tcPr>
            <w:tcW w:w="1037" w:type="dxa"/>
            <w:shd w:val="clear" w:color="000000" w:fill="FFFFFF"/>
            <w:noWrap/>
            <w:vAlign w:val="center"/>
          </w:tcPr>
          <w:p w14:paraId="4841F01C" w14:textId="77777777" w:rsidR="00BB46EB" w:rsidRPr="00B96359" w:rsidRDefault="00BB46EB" w:rsidP="008E4B7F">
            <w:pPr>
              <w:pStyle w:val="Tabletext0"/>
            </w:pPr>
            <w:r w:rsidRPr="00B96359">
              <w:t>34</w:t>
            </w:r>
          </w:p>
        </w:tc>
        <w:tc>
          <w:tcPr>
            <w:tcW w:w="960" w:type="dxa"/>
            <w:shd w:val="clear" w:color="000000" w:fill="FFFFFF"/>
            <w:noWrap/>
            <w:vAlign w:val="center"/>
          </w:tcPr>
          <w:p w14:paraId="24A52BFA" w14:textId="77777777" w:rsidR="00BB46EB" w:rsidRPr="00B96359" w:rsidRDefault="00BB46EB" w:rsidP="008E4B7F">
            <w:pPr>
              <w:pStyle w:val="Tabletext0"/>
            </w:pPr>
            <w:r w:rsidRPr="00B96359">
              <w:t>1,565</w:t>
            </w:r>
          </w:p>
        </w:tc>
        <w:tc>
          <w:tcPr>
            <w:tcW w:w="943" w:type="dxa"/>
            <w:shd w:val="clear" w:color="000000" w:fill="FFFFFF"/>
            <w:noWrap/>
            <w:vAlign w:val="center"/>
          </w:tcPr>
          <w:p w14:paraId="6F94EC6F" w14:textId="77777777" w:rsidR="00BB46EB" w:rsidRPr="00B96359" w:rsidRDefault="00BB46EB" w:rsidP="008E4B7F">
            <w:pPr>
              <w:pStyle w:val="Tabletext0"/>
            </w:pPr>
            <w:r w:rsidRPr="00B96359">
              <w:t>3.1%</w:t>
            </w:r>
          </w:p>
        </w:tc>
      </w:tr>
      <w:tr w:rsidR="00BB46EB" w:rsidRPr="00755AFF" w14:paraId="1E4BF4B0" w14:textId="77777777" w:rsidTr="00F7130D">
        <w:trPr>
          <w:trHeight w:val="300"/>
        </w:trPr>
        <w:tc>
          <w:tcPr>
            <w:tcW w:w="851" w:type="dxa"/>
            <w:shd w:val="clear" w:color="000000" w:fill="FFFFFF"/>
            <w:noWrap/>
            <w:vAlign w:val="center"/>
          </w:tcPr>
          <w:p w14:paraId="7CF7B457" w14:textId="77777777" w:rsidR="00BB46EB" w:rsidRPr="00B96359" w:rsidRDefault="00BB46EB" w:rsidP="008E4B7F">
            <w:pPr>
              <w:pStyle w:val="Tabletext0"/>
            </w:pPr>
            <w:r w:rsidRPr="00B96359">
              <w:t>4</w:t>
            </w:r>
          </w:p>
        </w:tc>
        <w:tc>
          <w:tcPr>
            <w:tcW w:w="2314" w:type="dxa"/>
            <w:shd w:val="clear" w:color="000000" w:fill="FFFFFF"/>
            <w:noWrap/>
            <w:vAlign w:val="center"/>
          </w:tcPr>
          <w:p w14:paraId="45CE590D" w14:textId="77777777" w:rsidR="00BB46EB" w:rsidRPr="00B96359" w:rsidRDefault="00BB46EB" w:rsidP="008E4B7F">
            <w:pPr>
              <w:pStyle w:val="Tabletext0"/>
            </w:pPr>
            <w:r w:rsidRPr="00B96359">
              <w:t>57360, 54</w:t>
            </w:r>
          </w:p>
        </w:tc>
        <w:tc>
          <w:tcPr>
            <w:tcW w:w="1017" w:type="dxa"/>
            <w:shd w:val="clear" w:color="000000" w:fill="FFFFFF"/>
            <w:noWrap/>
            <w:vAlign w:val="center"/>
          </w:tcPr>
          <w:p w14:paraId="183B33B2" w14:textId="77777777" w:rsidR="00BB46EB" w:rsidRPr="00B96359" w:rsidRDefault="00BB46EB" w:rsidP="008E4B7F">
            <w:pPr>
              <w:pStyle w:val="Tabletext0"/>
            </w:pPr>
            <w:r w:rsidRPr="00B96359">
              <w:t>1,197</w:t>
            </w:r>
          </w:p>
        </w:tc>
        <w:tc>
          <w:tcPr>
            <w:tcW w:w="960" w:type="dxa"/>
            <w:shd w:val="clear" w:color="000000" w:fill="FFFFFF"/>
            <w:noWrap/>
            <w:vAlign w:val="center"/>
          </w:tcPr>
          <w:p w14:paraId="323B03B0" w14:textId="77777777" w:rsidR="00BB46EB" w:rsidRPr="00B96359" w:rsidRDefault="00BB46EB" w:rsidP="008E4B7F">
            <w:pPr>
              <w:pStyle w:val="Tabletext0"/>
            </w:pPr>
            <w:r w:rsidRPr="00B96359">
              <w:t>2,394</w:t>
            </w:r>
          </w:p>
        </w:tc>
        <w:tc>
          <w:tcPr>
            <w:tcW w:w="1416" w:type="dxa"/>
            <w:shd w:val="clear" w:color="000000" w:fill="FFFFFF"/>
            <w:noWrap/>
            <w:vAlign w:val="center"/>
          </w:tcPr>
          <w:p w14:paraId="1D09507B" w14:textId="77777777" w:rsidR="00BB46EB" w:rsidRPr="00B96359" w:rsidRDefault="00BB46EB" w:rsidP="008E4B7F">
            <w:pPr>
              <w:pStyle w:val="Tabletext0"/>
            </w:pPr>
            <w:r w:rsidRPr="00B96359">
              <w:t>$865,431</w:t>
            </w:r>
          </w:p>
        </w:tc>
        <w:tc>
          <w:tcPr>
            <w:tcW w:w="1037" w:type="dxa"/>
            <w:shd w:val="clear" w:color="000000" w:fill="FFFFFF"/>
            <w:noWrap/>
            <w:vAlign w:val="center"/>
          </w:tcPr>
          <w:p w14:paraId="0961347C" w14:textId="77777777" w:rsidR="00BB46EB" w:rsidRPr="00B96359" w:rsidRDefault="00BB46EB" w:rsidP="008E4B7F">
            <w:pPr>
              <w:pStyle w:val="Tabletext0"/>
            </w:pPr>
            <w:r w:rsidRPr="00B96359">
              <w:t>np</w:t>
            </w:r>
          </w:p>
        </w:tc>
        <w:tc>
          <w:tcPr>
            <w:tcW w:w="960" w:type="dxa"/>
            <w:shd w:val="clear" w:color="000000" w:fill="FFFFFF"/>
            <w:noWrap/>
            <w:vAlign w:val="center"/>
          </w:tcPr>
          <w:p w14:paraId="71273C8E" w14:textId="77777777" w:rsidR="00BB46EB" w:rsidRPr="00B96359" w:rsidRDefault="00BB46EB" w:rsidP="008E4B7F">
            <w:pPr>
              <w:pStyle w:val="Tabletext0"/>
            </w:pPr>
            <w:r w:rsidRPr="00B96359">
              <w:t>1,197</w:t>
            </w:r>
          </w:p>
        </w:tc>
        <w:tc>
          <w:tcPr>
            <w:tcW w:w="943" w:type="dxa"/>
            <w:shd w:val="clear" w:color="000000" w:fill="FFFFFF"/>
            <w:noWrap/>
            <w:vAlign w:val="center"/>
          </w:tcPr>
          <w:p w14:paraId="094B06AE" w14:textId="77777777" w:rsidR="00BB46EB" w:rsidRPr="00B96359" w:rsidRDefault="00BB46EB" w:rsidP="008E4B7F">
            <w:pPr>
              <w:pStyle w:val="Tabletext0"/>
            </w:pPr>
            <w:r w:rsidRPr="00B96359">
              <w:t>2.4%</w:t>
            </w:r>
          </w:p>
        </w:tc>
      </w:tr>
      <w:tr w:rsidR="00BB46EB" w:rsidRPr="00755AFF" w14:paraId="4A0D4E9D" w14:textId="77777777" w:rsidTr="00F7130D">
        <w:trPr>
          <w:trHeight w:val="300"/>
        </w:trPr>
        <w:tc>
          <w:tcPr>
            <w:tcW w:w="851" w:type="dxa"/>
            <w:shd w:val="clear" w:color="000000" w:fill="FFFFFF"/>
            <w:noWrap/>
            <w:vAlign w:val="center"/>
          </w:tcPr>
          <w:p w14:paraId="62F6D59C" w14:textId="77777777" w:rsidR="00BB46EB" w:rsidRPr="00B96359" w:rsidRDefault="00BB46EB" w:rsidP="008E4B7F">
            <w:pPr>
              <w:pStyle w:val="Tabletext0"/>
            </w:pPr>
            <w:r w:rsidRPr="00B96359">
              <w:t>5</w:t>
            </w:r>
          </w:p>
        </w:tc>
        <w:tc>
          <w:tcPr>
            <w:tcW w:w="2314" w:type="dxa"/>
            <w:shd w:val="clear" w:color="000000" w:fill="FFFFFF"/>
            <w:noWrap/>
            <w:vAlign w:val="center"/>
          </w:tcPr>
          <w:p w14:paraId="326D9B10" w14:textId="77777777" w:rsidR="00BB46EB" w:rsidRPr="00B96359" w:rsidRDefault="00BB46EB" w:rsidP="008E4B7F">
            <w:pPr>
              <w:pStyle w:val="Tabletext0"/>
            </w:pPr>
            <w:r w:rsidRPr="00B96359">
              <w:t>Other co-claiming</w:t>
            </w:r>
          </w:p>
        </w:tc>
        <w:tc>
          <w:tcPr>
            <w:tcW w:w="1017" w:type="dxa"/>
            <w:shd w:val="clear" w:color="000000" w:fill="FFFFFF"/>
            <w:noWrap/>
            <w:vAlign w:val="center"/>
          </w:tcPr>
          <w:p w14:paraId="31E2830A" w14:textId="77777777" w:rsidR="00BB46EB" w:rsidRPr="00B96359" w:rsidRDefault="00BB46EB" w:rsidP="008E4B7F">
            <w:pPr>
              <w:pStyle w:val="Tabletext0"/>
            </w:pPr>
            <w:r w:rsidRPr="00B96359">
              <w:t>566</w:t>
            </w:r>
          </w:p>
        </w:tc>
        <w:tc>
          <w:tcPr>
            <w:tcW w:w="960" w:type="dxa"/>
            <w:shd w:val="clear" w:color="000000" w:fill="FFFFFF"/>
            <w:noWrap/>
            <w:vAlign w:val="center"/>
          </w:tcPr>
          <w:p w14:paraId="59C9E262" w14:textId="77777777" w:rsidR="00BB46EB" w:rsidRPr="00B96359" w:rsidRDefault="00BB46EB" w:rsidP="008E4B7F">
            <w:pPr>
              <w:pStyle w:val="Tabletext0"/>
            </w:pPr>
            <w:r w:rsidRPr="00B96359">
              <w:t>1,132</w:t>
            </w:r>
          </w:p>
        </w:tc>
        <w:tc>
          <w:tcPr>
            <w:tcW w:w="1416" w:type="dxa"/>
            <w:shd w:val="clear" w:color="000000" w:fill="FFFFFF"/>
            <w:noWrap/>
            <w:vAlign w:val="center"/>
          </w:tcPr>
          <w:p w14:paraId="30FEBBF2" w14:textId="77777777" w:rsidR="00BB46EB" w:rsidRPr="00B96359" w:rsidRDefault="00BB46EB" w:rsidP="008E4B7F">
            <w:pPr>
              <w:pStyle w:val="Tabletext0"/>
            </w:pPr>
            <w:r w:rsidRPr="00B96359">
              <w:t>$1,885,347</w:t>
            </w:r>
          </w:p>
        </w:tc>
        <w:tc>
          <w:tcPr>
            <w:tcW w:w="1037" w:type="dxa"/>
            <w:shd w:val="clear" w:color="000000" w:fill="FFFFFF"/>
            <w:noWrap/>
            <w:vAlign w:val="center"/>
          </w:tcPr>
          <w:p w14:paraId="377CED6F" w14:textId="77777777" w:rsidR="00BB46EB" w:rsidRPr="00B96359" w:rsidRDefault="00BB46EB" w:rsidP="008E4B7F">
            <w:pPr>
              <w:pStyle w:val="Tabletext0"/>
            </w:pPr>
            <w:r w:rsidRPr="00B96359">
              <w:t>135</w:t>
            </w:r>
          </w:p>
        </w:tc>
        <w:tc>
          <w:tcPr>
            <w:tcW w:w="960" w:type="dxa"/>
            <w:shd w:val="clear" w:color="000000" w:fill="FFFFFF"/>
            <w:noWrap/>
            <w:vAlign w:val="center"/>
          </w:tcPr>
          <w:p w14:paraId="4EAD8FD8" w14:textId="77777777" w:rsidR="00BB46EB" w:rsidRPr="00B96359" w:rsidRDefault="00BB46EB" w:rsidP="008E4B7F">
            <w:pPr>
              <w:pStyle w:val="Tabletext0"/>
            </w:pPr>
            <w:r w:rsidRPr="00B96359">
              <w:t>561</w:t>
            </w:r>
          </w:p>
        </w:tc>
        <w:tc>
          <w:tcPr>
            <w:tcW w:w="943" w:type="dxa"/>
            <w:shd w:val="clear" w:color="000000" w:fill="FFFFFF"/>
            <w:noWrap/>
            <w:vAlign w:val="center"/>
          </w:tcPr>
          <w:p w14:paraId="7374271C" w14:textId="77777777" w:rsidR="00BB46EB" w:rsidRPr="00B96359" w:rsidRDefault="00BB46EB" w:rsidP="008E4B7F">
            <w:pPr>
              <w:pStyle w:val="Tabletext0"/>
            </w:pPr>
            <w:r w:rsidRPr="00B96359">
              <w:t>4.8%</w:t>
            </w:r>
          </w:p>
        </w:tc>
      </w:tr>
    </w:tbl>
    <w:p w14:paraId="06B340CB" w14:textId="441CF147" w:rsidR="00BB46EB" w:rsidRPr="006B60E7" w:rsidRDefault="00BB46EB" w:rsidP="006B60E7">
      <w:pPr>
        <w:spacing w:before="240"/>
        <w:rPr>
          <w:rFonts w:ascii="Arial Narrow" w:hAnsi="Arial Narrow"/>
          <w:b/>
          <w:sz w:val="20"/>
        </w:rPr>
      </w:pPr>
      <w:bookmarkStart w:id="27" w:name="_Toc503955790"/>
      <w:r w:rsidRPr="006B60E7">
        <w:rPr>
          <w:rFonts w:ascii="Arial Narrow" w:hAnsi="Arial Narrow"/>
          <w:b/>
          <w:sz w:val="20"/>
        </w:rPr>
        <w:t xml:space="preserve">Table </w:t>
      </w:r>
      <w:r w:rsidR="00D05628" w:rsidRPr="006B60E7">
        <w:rPr>
          <w:rFonts w:ascii="Arial Narrow" w:hAnsi="Arial Narrow"/>
          <w:b/>
          <w:sz w:val="20"/>
        </w:rPr>
        <w:fldChar w:fldCharType="begin"/>
      </w:r>
      <w:r w:rsidR="00D05628" w:rsidRPr="006B60E7">
        <w:rPr>
          <w:rFonts w:ascii="Arial Narrow" w:hAnsi="Arial Narrow"/>
          <w:b/>
          <w:sz w:val="20"/>
        </w:rPr>
        <w:instrText xml:space="preserve"> SEQ Table \* ARABIC </w:instrText>
      </w:r>
      <w:r w:rsidR="00D05628" w:rsidRPr="006B60E7">
        <w:rPr>
          <w:rFonts w:ascii="Arial Narrow" w:hAnsi="Arial Narrow"/>
          <w:b/>
          <w:sz w:val="20"/>
        </w:rPr>
        <w:fldChar w:fldCharType="separate"/>
      </w:r>
      <w:r w:rsidRPr="006B60E7">
        <w:rPr>
          <w:rFonts w:ascii="Arial Narrow" w:hAnsi="Arial Narrow"/>
          <w:b/>
          <w:sz w:val="20"/>
        </w:rPr>
        <w:t>14</w:t>
      </w:r>
      <w:r w:rsidR="00D05628" w:rsidRPr="006B60E7">
        <w:rPr>
          <w:rFonts w:ascii="Arial Narrow" w:hAnsi="Arial Narrow"/>
          <w:b/>
          <w:sz w:val="20"/>
        </w:rPr>
        <w:fldChar w:fldCharType="end"/>
      </w:r>
      <w:r w:rsidR="00D05628" w:rsidRPr="006B60E7">
        <w:rPr>
          <w:rFonts w:ascii="Arial Narrow" w:hAnsi="Arial Narrow"/>
          <w:b/>
          <w:sz w:val="20"/>
        </w:rPr>
        <w:t>:</w:t>
      </w:r>
      <w:r w:rsidRPr="006B60E7">
        <w:rPr>
          <w:rFonts w:ascii="Arial Narrow" w:hAnsi="Arial Narrow"/>
          <w:b/>
          <w:sz w:val="20"/>
        </w:rPr>
        <w:t xml:space="preserve"> Top 10 instances of co-claiming with MBS item 57360 in 2016-17</w:t>
      </w:r>
      <w:bookmarkEnd w:id="27"/>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4 top ten instances of co-claiming with MBS item 57360 in 2016 to 2017. "/>
        <w:tblDescription w:val="This table provides data on the top ten instances of co-claiming with MBS item 57360 in 2016 to 2017, and provides the number of providers, number of patients and percentage of episodes."/>
      </w:tblPr>
      <w:tblGrid>
        <w:gridCol w:w="851"/>
        <w:gridCol w:w="2268"/>
        <w:gridCol w:w="1134"/>
        <w:gridCol w:w="850"/>
        <w:gridCol w:w="1418"/>
        <w:gridCol w:w="1134"/>
        <w:gridCol w:w="850"/>
        <w:gridCol w:w="993"/>
      </w:tblGrid>
      <w:tr w:rsidR="00BB46EB" w:rsidRPr="00213ACF" w14:paraId="11C09EBA" w14:textId="77777777" w:rsidTr="00F7130D">
        <w:trPr>
          <w:trHeight w:val="721"/>
        </w:trPr>
        <w:tc>
          <w:tcPr>
            <w:tcW w:w="851" w:type="dxa"/>
            <w:shd w:val="clear" w:color="auto" w:fill="548DD4" w:themeFill="text2" w:themeFillTint="99"/>
            <w:vAlign w:val="center"/>
          </w:tcPr>
          <w:p w14:paraId="25C95688" w14:textId="77777777" w:rsidR="00BB46EB" w:rsidRPr="00213ACF" w:rsidRDefault="00BB46EB" w:rsidP="008E4B7F">
            <w:pPr>
              <w:pStyle w:val="Tabletext0"/>
            </w:pPr>
            <w:r w:rsidRPr="00213ACF">
              <w:t>#</w:t>
            </w:r>
          </w:p>
        </w:tc>
        <w:tc>
          <w:tcPr>
            <w:tcW w:w="2268" w:type="dxa"/>
            <w:shd w:val="clear" w:color="auto" w:fill="548DD4" w:themeFill="text2" w:themeFillTint="99"/>
            <w:vAlign w:val="center"/>
          </w:tcPr>
          <w:p w14:paraId="38096E62" w14:textId="77777777" w:rsidR="00BB46EB" w:rsidRPr="00213ACF" w:rsidRDefault="00BB46EB" w:rsidP="008E4B7F">
            <w:pPr>
              <w:pStyle w:val="Tabletext0"/>
            </w:pPr>
            <w:r w:rsidRPr="00213ACF">
              <w:t>Items</w:t>
            </w:r>
          </w:p>
        </w:tc>
        <w:tc>
          <w:tcPr>
            <w:tcW w:w="1134" w:type="dxa"/>
            <w:shd w:val="clear" w:color="auto" w:fill="548DD4" w:themeFill="text2" w:themeFillTint="99"/>
            <w:vAlign w:val="center"/>
          </w:tcPr>
          <w:p w14:paraId="5CDC6A4F" w14:textId="77777777" w:rsidR="00BB46EB" w:rsidRPr="00213ACF" w:rsidRDefault="00BB46EB" w:rsidP="008E4B7F">
            <w:pPr>
              <w:pStyle w:val="Tabletext0"/>
            </w:pPr>
            <w:r w:rsidRPr="00213ACF">
              <w:t>Episodes</w:t>
            </w:r>
          </w:p>
        </w:tc>
        <w:tc>
          <w:tcPr>
            <w:tcW w:w="850" w:type="dxa"/>
            <w:shd w:val="clear" w:color="auto" w:fill="548DD4" w:themeFill="text2" w:themeFillTint="99"/>
            <w:vAlign w:val="center"/>
          </w:tcPr>
          <w:p w14:paraId="0EE74832" w14:textId="77777777" w:rsidR="00BB46EB" w:rsidRPr="00213ACF" w:rsidRDefault="00BB46EB" w:rsidP="008E4B7F">
            <w:pPr>
              <w:pStyle w:val="Tabletext0"/>
            </w:pPr>
            <w:r w:rsidRPr="00213ACF">
              <w:t>Services</w:t>
            </w:r>
          </w:p>
        </w:tc>
        <w:tc>
          <w:tcPr>
            <w:tcW w:w="1418" w:type="dxa"/>
            <w:shd w:val="clear" w:color="auto" w:fill="548DD4" w:themeFill="text2" w:themeFillTint="99"/>
            <w:vAlign w:val="center"/>
          </w:tcPr>
          <w:p w14:paraId="59C9646E" w14:textId="77777777" w:rsidR="00BB46EB" w:rsidRPr="00213ACF" w:rsidRDefault="00BB46EB" w:rsidP="008E4B7F">
            <w:pPr>
              <w:pStyle w:val="Tabletext0"/>
            </w:pPr>
            <w:r w:rsidRPr="00213ACF">
              <w:t>Schedule Fee for combination</w:t>
            </w:r>
          </w:p>
        </w:tc>
        <w:tc>
          <w:tcPr>
            <w:tcW w:w="1134" w:type="dxa"/>
            <w:shd w:val="clear" w:color="auto" w:fill="548DD4" w:themeFill="text2" w:themeFillTint="99"/>
            <w:vAlign w:val="center"/>
          </w:tcPr>
          <w:p w14:paraId="1E1EA7A1" w14:textId="77777777" w:rsidR="00BB46EB" w:rsidRPr="00213ACF" w:rsidRDefault="00BB46EB" w:rsidP="008E4B7F">
            <w:pPr>
              <w:pStyle w:val="Tabletext0"/>
            </w:pPr>
            <w:r w:rsidRPr="00213ACF">
              <w:t>Number of providers</w:t>
            </w:r>
          </w:p>
        </w:tc>
        <w:tc>
          <w:tcPr>
            <w:tcW w:w="850" w:type="dxa"/>
            <w:shd w:val="clear" w:color="auto" w:fill="548DD4" w:themeFill="text2" w:themeFillTint="99"/>
            <w:vAlign w:val="center"/>
          </w:tcPr>
          <w:p w14:paraId="191192E6" w14:textId="77777777" w:rsidR="00BB46EB" w:rsidRPr="00213ACF" w:rsidRDefault="00BB46EB" w:rsidP="008E4B7F">
            <w:pPr>
              <w:pStyle w:val="Tabletext0"/>
            </w:pPr>
            <w:r w:rsidRPr="00213ACF">
              <w:t>Number of patients</w:t>
            </w:r>
          </w:p>
        </w:tc>
        <w:tc>
          <w:tcPr>
            <w:tcW w:w="993" w:type="dxa"/>
            <w:shd w:val="clear" w:color="auto" w:fill="548DD4" w:themeFill="text2" w:themeFillTint="99"/>
            <w:vAlign w:val="center"/>
          </w:tcPr>
          <w:p w14:paraId="523D3900" w14:textId="77777777" w:rsidR="00BB46EB" w:rsidRPr="00213ACF" w:rsidRDefault="00BB46EB" w:rsidP="008E4B7F">
            <w:pPr>
              <w:pStyle w:val="Tabletext0"/>
            </w:pPr>
            <w:r w:rsidRPr="00213ACF">
              <w:t>% of episodes</w:t>
            </w:r>
          </w:p>
        </w:tc>
      </w:tr>
      <w:tr w:rsidR="00BB46EB" w:rsidRPr="00213ACF" w14:paraId="03761073" w14:textId="77777777" w:rsidTr="00F7130D">
        <w:trPr>
          <w:trHeight w:val="300"/>
        </w:trPr>
        <w:tc>
          <w:tcPr>
            <w:tcW w:w="851" w:type="dxa"/>
            <w:shd w:val="clear" w:color="000000" w:fill="FFFFFF"/>
            <w:noWrap/>
            <w:vAlign w:val="center"/>
          </w:tcPr>
          <w:p w14:paraId="2596045D" w14:textId="77777777" w:rsidR="00BB46EB" w:rsidRPr="00755AFF" w:rsidRDefault="00BB46EB" w:rsidP="008E4B7F">
            <w:pPr>
              <w:pStyle w:val="Tabletext0"/>
              <w:rPr>
                <w:color w:val="000000"/>
              </w:rPr>
            </w:pPr>
            <w:r w:rsidRPr="00755AFF">
              <w:rPr>
                <w:color w:val="000000"/>
              </w:rPr>
              <w:t>1</w:t>
            </w:r>
          </w:p>
        </w:tc>
        <w:tc>
          <w:tcPr>
            <w:tcW w:w="2268" w:type="dxa"/>
            <w:shd w:val="clear" w:color="000000" w:fill="FFFFFF"/>
            <w:noWrap/>
            <w:vAlign w:val="center"/>
          </w:tcPr>
          <w:p w14:paraId="07321F82" w14:textId="77777777" w:rsidR="00BB46EB" w:rsidRPr="00761CEA" w:rsidRDefault="00BB46EB" w:rsidP="008E4B7F">
            <w:pPr>
              <w:pStyle w:val="Tabletext0"/>
              <w:rPr>
                <w:color w:val="000000"/>
              </w:rPr>
            </w:pPr>
            <w:r w:rsidRPr="00761CEA">
              <w:rPr>
                <w:color w:val="000000"/>
              </w:rPr>
              <w:t>57360</w:t>
            </w:r>
          </w:p>
        </w:tc>
        <w:tc>
          <w:tcPr>
            <w:tcW w:w="1134" w:type="dxa"/>
            <w:shd w:val="clear" w:color="000000" w:fill="FFFFFF"/>
            <w:noWrap/>
            <w:vAlign w:val="center"/>
          </w:tcPr>
          <w:p w14:paraId="28EF68CA" w14:textId="77777777" w:rsidR="00BB46EB" w:rsidRPr="0010244A" w:rsidRDefault="00BB46EB" w:rsidP="008E4B7F">
            <w:pPr>
              <w:pStyle w:val="Tabletext0"/>
            </w:pPr>
            <w:r w:rsidRPr="0010244A">
              <w:t>36,212</w:t>
            </w:r>
          </w:p>
        </w:tc>
        <w:tc>
          <w:tcPr>
            <w:tcW w:w="850" w:type="dxa"/>
            <w:shd w:val="clear" w:color="000000" w:fill="FFFFFF"/>
            <w:noWrap/>
            <w:vAlign w:val="center"/>
          </w:tcPr>
          <w:p w14:paraId="0393C775" w14:textId="77777777" w:rsidR="00BB46EB" w:rsidRPr="0010244A" w:rsidRDefault="00BB46EB" w:rsidP="008E4B7F">
            <w:pPr>
              <w:pStyle w:val="Tabletext0"/>
            </w:pPr>
            <w:r w:rsidRPr="0010244A">
              <w:t>36,214</w:t>
            </w:r>
          </w:p>
        </w:tc>
        <w:tc>
          <w:tcPr>
            <w:tcW w:w="1418" w:type="dxa"/>
            <w:shd w:val="clear" w:color="000000" w:fill="FFFFFF"/>
            <w:noWrap/>
            <w:vAlign w:val="center"/>
          </w:tcPr>
          <w:p w14:paraId="57577E36" w14:textId="77777777" w:rsidR="00BB46EB" w:rsidRPr="0010244A" w:rsidRDefault="00BB46EB" w:rsidP="008E4B7F">
            <w:pPr>
              <w:pStyle w:val="Tabletext0"/>
            </w:pPr>
            <w:r w:rsidRPr="0010244A">
              <w:t>$25,349,785</w:t>
            </w:r>
          </w:p>
        </w:tc>
        <w:tc>
          <w:tcPr>
            <w:tcW w:w="1134" w:type="dxa"/>
            <w:shd w:val="clear" w:color="000000" w:fill="FFFFFF"/>
            <w:noWrap/>
            <w:vAlign w:val="center"/>
          </w:tcPr>
          <w:p w14:paraId="5291CBFC" w14:textId="77777777" w:rsidR="00BB46EB" w:rsidRPr="0010244A" w:rsidRDefault="00BB46EB" w:rsidP="008E4B7F">
            <w:pPr>
              <w:pStyle w:val="Tabletext0"/>
            </w:pPr>
            <w:r w:rsidRPr="0010244A">
              <w:t>424</w:t>
            </w:r>
          </w:p>
        </w:tc>
        <w:tc>
          <w:tcPr>
            <w:tcW w:w="850" w:type="dxa"/>
            <w:shd w:val="clear" w:color="000000" w:fill="FFFFFF"/>
            <w:noWrap/>
            <w:vAlign w:val="center"/>
          </w:tcPr>
          <w:p w14:paraId="3E4B71BE" w14:textId="77777777" w:rsidR="00BB46EB" w:rsidRPr="0010244A" w:rsidRDefault="00BB46EB" w:rsidP="008E4B7F">
            <w:pPr>
              <w:pStyle w:val="Tabletext0"/>
            </w:pPr>
            <w:r w:rsidRPr="0010244A">
              <w:t>36,105</w:t>
            </w:r>
          </w:p>
        </w:tc>
        <w:tc>
          <w:tcPr>
            <w:tcW w:w="993" w:type="dxa"/>
            <w:shd w:val="clear" w:color="000000" w:fill="FFFFFF"/>
            <w:noWrap/>
            <w:vAlign w:val="center"/>
          </w:tcPr>
          <w:p w14:paraId="6F574EC7" w14:textId="77777777" w:rsidR="00BB46EB" w:rsidRPr="0010244A" w:rsidRDefault="00BB46EB" w:rsidP="008E4B7F">
            <w:pPr>
              <w:pStyle w:val="Tabletext0"/>
            </w:pPr>
            <w:r w:rsidRPr="0010244A">
              <w:t>82.69%</w:t>
            </w:r>
          </w:p>
        </w:tc>
      </w:tr>
      <w:tr w:rsidR="00BB46EB" w:rsidRPr="00213ACF" w14:paraId="73F7FDF3" w14:textId="77777777" w:rsidTr="00F7130D">
        <w:trPr>
          <w:trHeight w:val="300"/>
        </w:trPr>
        <w:tc>
          <w:tcPr>
            <w:tcW w:w="851" w:type="dxa"/>
            <w:shd w:val="clear" w:color="000000" w:fill="FFFFFF"/>
            <w:noWrap/>
            <w:vAlign w:val="center"/>
          </w:tcPr>
          <w:p w14:paraId="6361AB52" w14:textId="77777777" w:rsidR="00BB46EB" w:rsidRPr="00755AFF" w:rsidRDefault="00BB46EB" w:rsidP="008E4B7F">
            <w:pPr>
              <w:pStyle w:val="Tabletext0"/>
              <w:rPr>
                <w:color w:val="000000"/>
              </w:rPr>
            </w:pPr>
            <w:r w:rsidRPr="00755AFF">
              <w:rPr>
                <w:color w:val="000000"/>
              </w:rPr>
              <w:t>2</w:t>
            </w:r>
          </w:p>
        </w:tc>
        <w:tc>
          <w:tcPr>
            <w:tcW w:w="2268" w:type="dxa"/>
            <w:shd w:val="clear" w:color="000000" w:fill="FFFFFF"/>
            <w:noWrap/>
            <w:vAlign w:val="center"/>
          </w:tcPr>
          <w:p w14:paraId="34F654B0" w14:textId="77777777" w:rsidR="00BB46EB" w:rsidRPr="00761CEA" w:rsidRDefault="00BB46EB" w:rsidP="008E4B7F">
            <w:pPr>
              <w:pStyle w:val="Tabletext0"/>
              <w:rPr>
                <w:color w:val="000000"/>
              </w:rPr>
            </w:pPr>
            <w:r w:rsidRPr="00761CEA">
              <w:rPr>
                <w:color w:val="000000"/>
              </w:rPr>
              <w:t>57360, 104</w:t>
            </w:r>
          </w:p>
        </w:tc>
        <w:tc>
          <w:tcPr>
            <w:tcW w:w="1134" w:type="dxa"/>
            <w:shd w:val="clear" w:color="000000" w:fill="FFFFFF"/>
            <w:noWrap/>
            <w:vAlign w:val="center"/>
          </w:tcPr>
          <w:p w14:paraId="691BACFE" w14:textId="77777777" w:rsidR="00BB46EB" w:rsidRPr="0010244A" w:rsidRDefault="00BB46EB" w:rsidP="008E4B7F">
            <w:pPr>
              <w:pStyle w:val="Tabletext0"/>
            </w:pPr>
            <w:r w:rsidRPr="0010244A">
              <w:t>2,514</w:t>
            </w:r>
          </w:p>
        </w:tc>
        <w:tc>
          <w:tcPr>
            <w:tcW w:w="850" w:type="dxa"/>
            <w:shd w:val="clear" w:color="000000" w:fill="FFFFFF"/>
            <w:noWrap/>
            <w:vAlign w:val="center"/>
          </w:tcPr>
          <w:p w14:paraId="65C869EF" w14:textId="77777777" w:rsidR="00BB46EB" w:rsidRPr="0010244A" w:rsidRDefault="00BB46EB" w:rsidP="008E4B7F">
            <w:pPr>
              <w:pStyle w:val="Tabletext0"/>
            </w:pPr>
            <w:r w:rsidRPr="0010244A">
              <w:t>5,033</w:t>
            </w:r>
          </w:p>
        </w:tc>
        <w:tc>
          <w:tcPr>
            <w:tcW w:w="1418" w:type="dxa"/>
            <w:shd w:val="clear" w:color="000000" w:fill="FFFFFF"/>
            <w:noWrap/>
            <w:vAlign w:val="center"/>
          </w:tcPr>
          <w:p w14:paraId="5494D19C" w14:textId="77777777" w:rsidR="00BB46EB" w:rsidRPr="0010244A" w:rsidRDefault="00BB46EB" w:rsidP="008E4B7F">
            <w:pPr>
              <w:pStyle w:val="Tabletext0"/>
            </w:pPr>
            <w:r w:rsidRPr="0010244A">
              <w:t>$1,887,861</w:t>
            </w:r>
          </w:p>
        </w:tc>
        <w:tc>
          <w:tcPr>
            <w:tcW w:w="1134" w:type="dxa"/>
            <w:shd w:val="clear" w:color="000000" w:fill="FFFFFF"/>
            <w:noWrap/>
            <w:vAlign w:val="center"/>
          </w:tcPr>
          <w:p w14:paraId="6C3A3B11" w14:textId="77777777" w:rsidR="00BB46EB" w:rsidRPr="0010244A" w:rsidRDefault="00BB46EB" w:rsidP="008E4B7F">
            <w:pPr>
              <w:pStyle w:val="Tabletext0"/>
            </w:pPr>
            <w:r w:rsidRPr="0010244A">
              <w:t>50</w:t>
            </w:r>
          </w:p>
        </w:tc>
        <w:tc>
          <w:tcPr>
            <w:tcW w:w="850" w:type="dxa"/>
            <w:shd w:val="clear" w:color="000000" w:fill="FFFFFF"/>
            <w:noWrap/>
            <w:vAlign w:val="center"/>
          </w:tcPr>
          <w:p w14:paraId="10F8DC83" w14:textId="77777777" w:rsidR="00BB46EB" w:rsidRPr="0010244A" w:rsidRDefault="00BB46EB" w:rsidP="008E4B7F">
            <w:pPr>
              <w:pStyle w:val="Tabletext0"/>
            </w:pPr>
            <w:r w:rsidRPr="0010244A">
              <w:t>2,511</w:t>
            </w:r>
          </w:p>
        </w:tc>
        <w:tc>
          <w:tcPr>
            <w:tcW w:w="993" w:type="dxa"/>
            <w:shd w:val="clear" w:color="000000" w:fill="FFFFFF"/>
            <w:noWrap/>
            <w:vAlign w:val="center"/>
          </w:tcPr>
          <w:p w14:paraId="36303F45" w14:textId="77777777" w:rsidR="00BB46EB" w:rsidRPr="0010244A" w:rsidRDefault="00BB46EB" w:rsidP="008E4B7F">
            <w:pPr>
              <w:pStyle w:val="Tabletext0"/>
            </w:pPr>
            <w:r w:rsidRPr="0010244A">
              <w:t>5.74%</w:t>
            </w:r>
          </w:p>
        </w:tc>
      </w:tr>
      <w:tr w:rsidR="00BB46EB" w:rsidRPr="00213ACF" w14:paraId="522C29D3" w14:textId="77777777" w:rsidTr="00F7130D">
        <w:trPr>
          <w:trHeight w:val="300"/>
        </w:trPr>
        <w:tc>
          <w:tcPr>
            <w:tcW w:w="851" w:type="dxa"/>
            <w:shd w:val="clear" w:color="000000" w:fill="FFFFFF"/>
            <w:noWrap/>
            <w:vAlign w:val="center"/>
          </w:tcPr>
          <w:p w14:paraId="0BD642D9" w14:textId="77777777" w:rsidR="00BB46EB" w:rsidRPr="00755AFF" w:rsidRDefault="00BB46EB" w:rsidP="008E4B7F">
            <w:pPr>
              <w:pStyle w:val="Tabletext0"/>
              <w:rPr>
                <w:color w:val="000000"/>
              </w:rPr>
            </w:pPr>
            <w:r w:rsidRPr="00755AFF">
              <w:rPr>
                <w:color w:val="000000"/>
              </w:rPr>
              <w:t>3</w:t>
            </w:r>
          </w:p>
        </w:tc>
        <w:tc>
          <w:tcPr>
            <w:tcW w:w="2268" w:type="dxa"/>
            <w:shd w:val="clear" w:color="000000" w:fill="FFFFFF"/>
            <w:noWrap/>
            <w:vAlign w:val="center"/>
          </w:tcPr>
          <w:p w14:paraId="35CF4424" w14:textId="77777777" w:rsidR="00BB46EB" w:rsidRPr="00761CEA" w:rsidRDefault="00BB46EB" w:rsidP="008E4B7F">
            <w:pPr>
              <w:pStyle w:val="Tabletext0"/>
              <w:rPr>
                <w:color w:val="000000"/>
              </w:rPr>
            </w:pPr>
            <w:r w:rsidRPr="00761CEA">
              <w:rPr>
                <w:color w:val="000000"/>
              </w:rPr>
              <w:t xml:space="preserve">57360, </w:t>
            </w:r>
            <w:r>
              <w:rPr>
                <w:color w:val="000000"/>
              </w:rPr>
              <w:t>54</w:t>
            </w:r>
          </w:p>
        </w:tc>
        <w:tc>
          <w:tcPr>
            <w:tcW w:w="1134" w:type="dxa"/>
            <w:shd w:val="clear" w:color="000000" w:fill="FFFFFF"/>
            <w:noWrap/>
            <w:vAlign w:val="center"/>
          </w:tcPr>
          <w:p w14:paraId="6B75F397" w14:textId="77777777" w:rsidR="00BB46EB" w:rsidRPr="0010244A" w:rsidRDefault="00BB46EB" w:rsidP="008E4B7F">
            <w:pPr>
              <w:pStyle w:val="Tabletext0"/>
            </w:pPr>
            <w:r w:rsidRPr="0010244A">
              <w:t>1,049</w:t>
            </w:r>
          </w:p>
        </w:tc>
        <w:tc>
          <w:tcPr>
            <w:tcW w:w="850" w:type="dxa"/>
            <w:shd w:val="clear" w:color="000000" w:fill="FFFFFF"/>
            <w:noWrap/>
            <w:vAlign w:val="center"/>
          </w:tcPr>
          <w:p w14:paraId="270ED1E1" w14:textId="77777777" w:rsidR="00BB46EB" w:rsidRPr="0010244A" w:rsidRDefault="00BB46EB" w:rsidP="008E4B7F">
            <w:pPr>
              <w:pStyle w:val="Tabletext0"/>
            </w:pPr>
            <w:r w:rsidRPr="0010244A">
              <w:t>2,098</w:t>
            </w:r>
          </w:p>
        </w:tc>
        <w:tc>
          <w:tcPr>
            <w:tcW w:w="1418" w:type="dxa"/>
            <w:shd w:val="clear" w:color="000000" w:fill="FFFFFF"/>
            <w:noWrap/>
            <w:vAlign w:val="center"/>
          </w:tcPr>
          <w:p w14:paraId="7E967F79" w14:textId="77777777" w:rsidR="00BB46EB" w:rsidRPr="0010244A" w:rsidRDefault="00BB46EB" w:rsidP="008E4B7F">
            <w:pPr>
              <w:pStyle w:val="Tabletext0"/>
            </w:pPr>
            <w:r w:rsidRPr="0010244A">
              <w:t>$758,437</w:t>
            </w:r>
          </w:p>
        </w:tc>
        <w:tc>
          <w:tcPr>
            <w:tcW w:w="1134" w:type="dxa"/>
            <w:shd w:val="clear" w:color="000000" w:fill="FFFFFF"/>
            <w:noWrap/>
            <w:vAlign w:val="center"/>
          </w:tcPr>
          <w:p w14:paraId="6EA543E2" w14:textId="77777777" w:rsidR="00BB46EB" w:rsidRPr="0010244A" w:rsidRDefault="00BB46EB" w:rsidP="008E4B7F">
            <w:pPr>
              <w:pStyle w:val="Tabletext0"/>
            </w:pPr>
            <w:r>
              <w:t>np</w:t>
            </w:r>
          </w:p>
        </w:tc>
        <w:tc>
          <w:tcPr>
            <w:tcW w:w="850" w:type="dxa"/>
            <w:shd w:val="clear" w:color="000000" w:fill="FFFFFF"/>
            <w:noWrap/>
            <w:vAlign w:val="center"/>
          </w:tcPr>
          <w:p w14:paraId="552A29C4" w14:textId="77777777" w:rsidR="00BB46EB" w:rsidRPr="0010244A" w:rsidRDefault="00BB46EB" w:rsidP="008E4B7F">
            <w:pPr>
              <w:pStyle w:val="Tabletext0"/>
            </w:pPr>
            <w:r w:rsidRPr="0010244A">
              <w:t>1,048</w:t>
            </w:r>
          </w:p>
        </w:tc>
        <w:tc>
          <w:tcPr>
            <w:tcW w:w="993" w:type="dxa"/>
            <w:shd w:val="clear" w:color="000000" w:fill="FFFFFF"/>
            <w:noWrap/>
            <w:vAlign w:val="center"/>
          </w:tcPr>
          <w:p w14:paraId="4D911700" w14:textId="77777777" w:rsidR="00BB46EB" w:rsidRPr="0010244A" w:rsidRDefault="00BB46EB" w:rsidP="008E4B7F">
            <w:pPr>
              <w:pStyle w:val="Tabletext0"/>
            </w:pPr>
            <w:r w:rsidRPr="0010244A">
              <w:t>2.40%</w:t>
            </w:r>
          </w:p>
        </w:tc>
      </w:tr>
      <w:tr w:rsidR="00BB46EB" w:rsidRPr="00213ACF" w14:paraId="0DFC9C20" w14:textId="77777777" w:rsidTr="00F7130D">
        <w:trPr>
          <w:trHeight w:val="300"/>
        </w:trPr>
        <w:tc>
          <w:tcPr>
            <w:tcW w:w="851" w:type="dxa"/>
            <w:shd w:val="clear" w:color="000000" w:fill="FFFFFF"/>
            <w:noWrap/>
            <w:vAlign w:val="center"/>
          </w:tcPr>
          <w:p w14:paraId="034D60CB" w14:textId="77777777" w:rsidR="00BB46EB" w:rsidRPr="00755AFF" w:rsidRDefault="00BB46EB" w:rsidP="008E4B7F">
            <w:pPr>
              <w:pStyle w:val="Tabletext0"/>
              <w:rPr>
                <w:color w:val="000000"/>
              </w:rPr>
            </w:pPr>
            <w:r w:rsidRPr="00755AFF">
              <w:rPr>
                <w:color w:val="000000"/>
              </w:rPr>
              <w:t>4</w:t>
            </w:r>
          </w:p>
        </w:tc>
        <w:tc>
          <w:tcPr>
            <w:tcW w:w="2268" w:type="dxa"/>
            <w:shd w:val="clear" w:color="000000" w:fill="FFFFFF"/>
            <w:noWrap/>
            <w:vAlign w:val="center"/>
          </w:tcPr>
          <w:p w14:paraId="4A86F6C1" w14:textId="77777777" w:rsidR="00BB46EB" w:rsidRPr="00761CEA" w:rsidRDefault="00BB46EB" w:rsidP="008E4B7F">
            <w:pPr>
              <w:pStyle w:val="Tabletext0"/>
              <w:rPr>
                <w:color w:val="000000"/>
              </w:rPr>
            </w:pPr>
            <w:r w:rsidRPr="00761CEA">
              <w:rPr>
                <w:color w:val="000000"/>
              </w:rPr>
              <w:t xml:space="preserve">57360, </w:t>
            </w:r>
            <w:r>
              <w:rPr>
                <w:color w:val="000000"/>
              </w:rPr>
              <w:t>11700</w:t>
            </w:r>
          </w:p>
        </w:tc>
        <w:tc>
          <w:tcPr>
            <w:tcW w:w="1134" w:type="dxa"/>
            <w:shd w:val="clear" w:color="000000" w:fill="FFFFFF"/>
            <w:noWrap/>
            <w:vAlign w:val="center"/>
          </w:tcPr>
          <w:p w14:paraId="36B52DFF" w14:textId="77777777" w:rsidR="00BB46EB" w:rsidRPr="0010244A" w:rsidRDefault="00BB46EB" w:rsidP="008E4B7F">
            <w:pPr>
              <w:pStyle w:val="Tabletext0"/>
            </w:pPr>
            <w:r w:rsidRPr="0010244A">
              <w:t>1,049</w:t>
            </w:r>
          </w:p>
        </w:tc>
        <w:tc>
          <w:tcPr>
            <w:tcW w:w="850" w:type="dxa"/>
            <w:shd w:val="clear" w:color="000000" w:fill="FFFFFF"/>
            <w:noWrap/>
            <w:vAlign w:val="center"/>
          </w:tcPr>
          <w:p w14:paraId="5FB25EFC" w14:textId="77777777" w:rsidR="00BB46EB" w:rsidRPr="0010244A" w:rsidRDefault="00BB46EB" w:rsidP="008E4B7F">
            <w:pPr>
              <w:pStyle w:val="Tabletext0"/>
            </w:pPr>
            <w:r w:rsidRPr="0010244A">
              <w:t>2,101</w:t>
            </w:r>
          </w:p>
        </w:tc>
        <w:tc>
          <w:tcPr>
            <w:tcW w:w="1418" w:type="dxa"/>
            <w:shd w:val="clear" w:color="000000" w:fill="FFFFFF"/>
            <w:noWrap/>
            <w:vAlign w:val="center"/>
          </w:tcPr>
          <w:p w14:paraId="58F2D119" w14:textId="77777777" w:rsidR="00BB46EB" w:rsidRPr="0010244A" w:rsidRDefault="00BB46EB" w:rsidP="008E4B7F">
            <w:pPr>
              <w:pStyle w:val="Tabletext0"/>
            </w:pPr>
            <w:r w:rsidRPr="0010244A">
              <w:t>$761,936</w:t>
            </w:r>
          </w:p>
        </w:tc>
        <w:tc>
          <w:tcPr>
            <w:tcW w:w="1134" w:type="dxa"/>
            <w:shd w:val="clear" w:color="000000" w:fill="FFFFFF"/>
            <w:noWrap/>
            <w:vAlign w:val="center"/>
          </w:tcPr>
          <w:p w14:paraId="764C86F8" w14:textId="77777777" w:rsidR="00BB46EB" w:rsidRPr="0010244A" w:rsidRDefault="00BB46EB" w:rsidP="008E4B7F">
            <w:pPr>
              <w:pStyle w:val="Tabletext0"/>
            </w:pPr>
            <w:r w:rsidRPr="0010244A">
              <w:t>25</w:t>
            </w:r>
          </w:p>
        </w:tc>
        <w:tc>
          <w:tcPr>
            <w:tcW w:w="850" w:type="dxa"/>
            <w:shd w:val="clear" w:color="000000" w:fill="FFFFFF"/>
            <w:noWrap/>
            <w:vAlign w:val="center"/>
          </w:tcPr>
          <w:p w14:paraId="70E2BE98" w14:textId="77777777" w:rsidR="00BB46EB" w:rsidRPr="0010244A" w:rsidRDefault="00BB46EB" w:rsidP="008E4B7F">
            <w:pPr>
              <w:pStyle w:val="Tabletext0"/>
            </w:pPr>
            <w:r w:rsidRPr="0010244A">
              <w:t>1,046</w:t>
            </w:r>
          </w:p>
        </w:tc>
        <w:tc>
          <w:tcPr>
            <w:tcW w:w="993" w:type="dxa"/>
            <w:shd w:val="clear" w:color="000000" w:fill="FFFFFF"/>
            <w:noWrap/>
            <w:vAlign w:val="center"/>
          </w:tcPr>
          <w:p w14:paraId="45B6B9A4" w14:textId="77777777" w:rsidR="00BB46EB" w:rsidRPr="0010244A" w:rsidRDefault="00BB46EB" w:rsidP="008E4B7F">
            <w:pPr>
              <w:pStyle w:val="Tabletext0"/>
            </w:pPr>
            <w:r w:rsidRPr="0010244A">
              <w:t>2.40%</w:t>
            </w:r>
          </w:p>
        </w:tc>
      </w:tr>
      <w:tr w:rsidR="00BB46EB" w:rsidRPr="00213ACF" w14:paraId="5CA312FC" w14:textId="77777777" w:rsidTr="00F7130D">
        <w:trPr>
          <w:trHeight w:val="300"/>
        </w:trPr>
        <w:tc>
          <w:tcPr>
            <w:tcW w:w="851" w:type="dxa"/>
            <w:shd w:val="clear" w:color="000000" w:fill="FFFFFF"/>
            <w:noWrap/>
            <w:vAlign w:val="center"/>
          </w:tcPr>
          <w:p w14:paraId="2EFE3F68" w14:textId="77777777" w:rsidR="00BB46EB" w:rsidRPr="00755AFF" w:rsidRDefault="00BB46EB" w:rsidP="008E4B7F">
            <w:pPr>
              <w:pStyle w:val="Tabletext0"/>
              <w:rPr>
                <w:color w:val="000000"/>
              </w:rPr>
            </w:pPr>
            <w:r w:rsidRPr="00755AFF">
              <w:rPr>
                <w:color w:val="000000"/>
              </w:rPr>
              <w:t>5</w:t>
            </w:r>
          </w:p>
        </w:tc>
        <w:tc>
          <w:tcPr>
            <w:tcW w:w="2268" w:type="dxa"/>
            <w:shd w:val="clear" w:color="000000" w:fill="FFFFFF"/>
            <w:noWrap/>
            <w:vAlign w:val="center"/>
          </w:tcPr>
          <w:p w14:paraId="6AD35311" w14:textId="77777777" w:rsidR="00BB46EB" w:rsidRPr="00761CEA" w:rsidRDefault="00BB46EB" w:rsidP="008E4B7F">
            <w:pPr>
              <w:pStyle w:val="Tabletext0"/>
              <w:rPr>
                <w:color w:val="000000"/>
              </w:rPr>
            </w:pPr>
            <w:r>
              <w:rPr>
                <w:color w:val="000000"/>
              </w:rPr>
              <w:t>Other co-claiming</w:t>
            </w:r>
          </w:p>
        </w:tc>
        <w:tc>
          <w:tcPr>
            <w:tcW w:w="1134" w:type="dxa"/>
            <w:shd w:val="clear" w:color="000000" w:fill="FFFFFF"/>
            <w:noWrap/>
            <w:vAlign w:val="center"/>
          </w:tcPr>
          <w:p w14:paraId="4826AEA8" w14:textId="77777777" w:rsidR="00BB46EB" w:rsidRPr="0010244A" w:rsidRDefault="00BB46EB" w:rsidP="008E4B7F">
            <w:pPr>
              <w:pStyle w:val="Tabletext0"/>
            </w:pPr>
            <w:r w:rsidRPr="0010244A">
              <w:t>404</w:t>
            </w:r>
          </w:p>
        </w:tc>
        <w:tc>
          <w:tcPr>
            <w:tcW w:w="850" w:type="dxa"/>
            <w:shd w:val="clear" w:color="000000" w:fill="FFFFFF"/>
            <w:noWrap/>
            <w:vAlign w:val="center"/>
          </w:tcPr>
          <w:p w14:paraId="0F074A10" w14:textId="77777777" w:rsidR="00BB46EB" w:rsidRPr="0010244A" w:rsidRDefault="00BB46EB" w:rsidP="008E4B7F">
            <w:pPr>
              <w:pStyle w:val="Tabletext0"/>
            </w:pPr>
            <w:r>
              <w:t>4,117</w:t>
            </w:r>
          </w:p>
        </w:tc>
        <w:tc>
          <w:tcPr>
            <w:tcW w:w="1418" w:type="dxa"/>
            <w:shd w:val="clear" w:color="000000" w:fill="FFFFFF"/>
            <w:noWrap/>
            <w:vAlign w:val="center"/>
          </w:tcPr>
          <w:p w14:paraId="25B0F1ED" w14:textId="77777777" w:rsidR="00BB46EB" w:rsidRPr="0010244A" w:rsidRDefault="00BB46EB" w:rsidP="008E4B7F">
            <w:pPr>
              <w:pStyle w:val="Tabletext0"/>
            </w:pPr>
            <w:r w:rsidRPr="0010244A">
              <w:t>$</w:t>
            </w:r>
            <w:r>
              <w:t>1,536,273</w:t>
            </w:r>
          </w:p>
        </w:tc>
        <w:tc>
          <w:tcPr>
            <w:tcW w:w="1134" w:type="dxa"/>
            <w:shd w:val="clear" w:color="000000" w:fill="FFFFFF"/>
            <w:noWrap/>
            <w:vAlign w:val="center"/>
          </w:tcPr>
          <w:p w14:paraId="103DC7B9" w14:textId="77777777" w:rsidR="00BB46EB" w:rsidRPr="0010244A" w:rsidRDefault="00BB46EB" w:rsidP="008E4B7F">
            <w:pPr>
              <w:pStyle w:val="Tabletext0"/>
            </w:pPr>
            <w:r>
              <w:t>6</w:t>
            </w:r>
            <w:r w:rsidRPr="0010244A">
              <w:t>2</w:t>
            </w:r>
          </w:p>
        </w:tc>
        <w:tc>
          <w:tcPr>
            <w:tcW w:w="850" w:type="dxa"/>
            <w:shd w:val="clear" w:color="000000" w:fill="FFFFFF"/>
            <w:noWrap/>
            <w:vAlign w:val="center"/>
          </w:tcPr>
          <w:p w14:paraId="2D23C7A5" w14:textId="77777777" w:rsidR="00BB46EB" w:rsidRPr="0010244A" w:rsidRDefault="00BB46EB" w:rsidP="008E4B7F">
            <w:pPr>
              <w:pStyle w:val="Tabletext0"/>
            </w:pPr>
            <w:r>
              <w:t>1,682</w:t>
            </w:r>
          </w:p>
        </w:tc>
        <w:tc>
          <w:tcPr>
            <w:tcW w:w="993" w:type="dxa"/>
            <w:shd w:val="clear" w:color="000000" w:fill="FFFFFF"/>
            <w:noWrap/>
            <w:vAlign w:val="center"/>
          </w:tcPr>
          <w:p w14:paraId="50AECAB3" w14:textId="77777777" w:rsidR="00BB46EB" w:rsidRPr="0010244A" w:rsidRDefault="00BB46EB" w:rsidP="008E4B7F">
            <w:pPr>
              <w:pStyle w:val="Tabletext0"/>
            </w:pPr>
            <w:r>
              <w:t>3.48</w:t>
            </w:r>
            <w:r w:rsidRPr="0010244A">
              <w:t>%</w:t>
            </w:r>
          </w:p>
        </w:tc>
      </w:tr>
    </w:tbl>
    <w:p w14:paraId="038721CE" w14:textId="43BA22DF" w:rsidR="00BB46EB" w:rsidRPr="006E5A30" w:rsidRDefault="00BB46EB" w:rsidP="00F7130D">
      <w:pPr>
        <w:pStyle w:val="TableNotes"/>
      </w:pPr>
      <w:r w:rsidRPr="00B96359">
        <w:t>Source for Tables 9-14: Department of Health, File: Q20801a (review items 573060) Item Combination Top 10.xlsx</w:t>
      </w:r>
      <w:r w:rsidR="00F7130D">
        <w:t xml:space="preserve">, </w:t>
      </w:r>
      <w:r w:rsidRPr="00B96359">
        <w:t>NP = not published</w:t>
      </w:r>
    </w:p>
    <w:p w14:paraId="7BB63DAF" w14:textId="45E23A09" w:rsidR="00BC1364" w:rsidRPr="00B96359" w:rsidRDefault="00A91AFD" w:rsidP="00583363">
      <w:pPr>
        <w:pStyle w:val="Heading1"/>
        <w:numPr>
          <w:ilvl w:val="0"/>
          <w:numId w:val="1"/>
        </w:numPr>
        <w:tabs>
          <w:tab w:val="left" w:pos="720"/>
          <w:tab w:val="left" w:pos="1140"/>
        </w:tabs>
        <w:spacing w:before="360"/>
        <w:ind w:hanging="720"/>
      </w:pPr>
      <w:r>
        <w:lastRenderedPageBreak/>
        <w:t>Background</w:t>
      </w:r>
    </w:p>
    <w:p w14:paraId="7DEB334A" w14:textId="04D2E4C2" w:rsidR="00BB46EB" w:rsidRPr="003848BB" w:rsidRDefault="00BB46EB" w:rsidP="003848BB">
      <w:pPr>
        <w:spacing w:before="120" w:after="240"/>
        <w:jc w:val="both"/>
        <w:rPr>
          <w:color w:val="000000" w:themeColor="text1"/>
        </w:rPr>
      </w:pPr>
      <w:r w:rsidRPr="386B7B45">
        <w:rPr>
          <w:color w:val="000000" w:themeColor="text1"/>
        </w:rPr>
        <w:t>In May 2007, the Department of Health received an application from the Royal Australian and New Zealand College of Radiologists (RANZCR) requesting Medicare Benefit Schedule (MBS) listing of computed tomography of the coronary arteries (CTCA).</w:t>
      </w:r>
    </w:p>
    <w:p w14:paraId="176F6E04" w14:textId="2C4D47CF" w:rsidR="00BB46EB" w:rsidRDefault="00BB46EB" w:rsidP="003848BB">
      <w:pPr>
        <w:spacing w:after="240"/>
        <w:jc w:val="both"/>
        <w:rPr>
          <w:color w:val="000000"/>
        </w:rPr>
      </w:pPr>
      <w:r w:rsidRPr="00F87D7F">
        <w:rPr>
          <w:color w:val="000000"/>
        </w:rPr>
        <w:t>CTCA</w:t>
      </w:r>
      <w:r>
        <w:rPr>
          <w:color w:val="000000"/>
        </w:rPr>
        <w:t xml:space="preserve"> </w:t>
      </w:r>
      <w:r w:rsidRPr="001F5CE5">
        <w:rPr>
          <w:color w:val="000000"/>
        </w:rPr>
        <w:t xml:space="preserve">is a non-invasive procedure used in the visualisation of coronary arteries.  </w:t>
      </w:r>
      <w:r w:rsidRPr="00F87D7F">
        <w:rPr>
          <w:color w:val="000000"/>
        </w:rPr>
        <w:t>It involves the administration of contrast material and subsequent acquisition of multiple images of the coronary tree by means of a spiral CT scanner.  The technique combines the use of x-rays with computerized analysis of the images.</w:t>
      </w:r>
    </w:p>
    <w:p w14:paraId="28DC47A7" w14:textId="77777777" w:rsidR="00BB46EB" w:rsidRPr="000C65C7" w:rsidRDefault="00BB46EB" w:rsidP="00BB46EB">
      <w:pPr>
        <w:jc w:val="both"/>
        <w:rPr>
          <w:color w:val="000000"/>
        </w:rPr>
      </w:pPr>
      <w:r w:rsidRPr="000C65C7">
        <w:rPr>
          <w:color w:val="000000"/>
        </w:rPr>
        <w:t xml:space="preserve">In November 2007, MSAC assessed the use of CTCA for </w:t>
      </w:r>
      <w:r>
        <w:rPr>
          <w:color w:val="000000"/>
        </w:rPr>
        <w:t>four</w:t>
      </w:r>
      <w:r w:rsidRPr="000C65C7">
        <w:rPr>
          <w:color w:val="000000"/>
        </w:rPr>
        <w:t xml:space="preserve"> clinical indications, recommending public funding for three of the four indications as follows:</w:t>
      </w:r>
    </w:p>
    <w:p w14:paraId="25B58DFD" w14:textId="77777777" w:rsidR="00BB46EB" w:rsidRPr="000C65C7" w:rsidRDefault="00BB46EB" w:rsidP="00BB46EB">
      <w:pPr>
        <w:ind w:left="601" w:hanging="601"/>
        <w:jc w:val="both"/>
        <w:rPr>
          <w:color w:val="000000"/>
        </w:rPr>
      </w:pPr>
      <w:r w:rsidRPr="000C65C7">
        <w:rPr>
          <w:color w:val="000000"/>
        </w:rPr>
        <w:t>•</w:t>
      </w:r>
      <w:r w:rsidRPr="000C65C7">
        <w:rPr>
          <w:color w:val="000000"/>
        </w:rPr>
        <w:tab/>
        <w:t>For use in the evaluation of patients with symptoms consistent with coronary ischaemia;</w:t>
      </w:r>
    </w:p>
    <w:p w14:paraId="4114DEDA" w14:textId="77777777" w:rsidR="00BB46EB" w:rsidRPr="000C65C7" w:rsidRDefault="00BB46EB" w:rsidP="00BB46EB">
      <w:pPr>
        <w:ind w:left="601" w:hanging="601"/>
        <w:jc w:val="both"/>
        <w:rPr>
          <w:color w:val="000000"/>
        </w:rPr>
      </w:pPr>
      <w:r w:rsidRPr="000C65C7">
        <w:rPr>
          <w:color w:val="000000"/>
        </w:rPr>
        <w:t>•</w:t>
      </w:r>
      <w:r w:rsidRPr="000C65C7">
        <w:rPr>
          <w:color w:val="000000"/>
        </w:rPr>
        <w:tab/>
        <w:t>For diagnosis of patients with coronary anomaly or fistula; and</w:t>
      </w:r>
    </w:p>
    <w:p w14:paraId="6169B53F" w14:textId="658FB7F2" w:rsidR="00BB46EB" w:rsidRPr="00B547B9" w:rsidRDefault="00BB46EB" w:rsidP="003848BB">
      <w:pPr>
        <w:spacing w:after="240"/>
        <w:ind w:left="601" w:hanging="601"/>
        <w:jc w:val="both"/>
        <w:rPr>
          <w:color w:val="000000"/>
        </w:rPr>
      </w:pPr>
      <w:r w:rsidRPr="000C65C7">
        <w:rPr>
          <w:color w:val="000000"/>
        </w:rPr>
        <w:t>•</w:t>
      </w:r>
      <w:r w:rsidRPr="000C65C7">
        <w:rPr>
          <w:color w:val="000000"/>
        </w:rPr>
        <w:tab/>
        <w:t>For use in the evaluation of coronary arteries in patients with cardiomyopathy.</w:t>
      </w:r>
    </w:p>
    <w:p w14:paraId="2F5B2A73" w14:textId="77777777" w:rsidR="00BB46EB" w:rsidRPr="00ED6EA6" w:rsidRDefault="00BB46EB" w:rsidP="00BB46EB">
      <w:pPr>
        <w:jc w:val="both"/>
        <w:rPr>
          <w:color w:val="000000"/>
        </w:rPr>
      </w:pPr>
      <w:r w:rsidRPr="00D65455">
        <w:rPr>
          <w:color w:val="000000"/>
        </w:rPr>
        <w:t>On 2</w:t>
      </w:r>
      <w:r>
        <w:rPr>
          <w:color w:val="000000"/>
        </w:rPr>
        <w:t xml:space="preserve">3 </w:t>
      </w:r>
      <w:r w:rsidRPr="00D65455">
        <w:rPr>
          <w:color w:val="000000"/>
        </w:rPr>
        <w:t>November 20</w:t>
      </w:r>
      <w:r>
        <w:rPr>
          <w:color w:val="000000"/>
        </w:rPr>
        <w:t>07</w:t>
      </w:r>
      <w:r w:rsidRPr="00D65455">
        <w:rPr>
          <w:color w:val="000000"/>
        </w:rPr>
        <w:t>, MSAC supported the lis</w:t>
      </w:r>
      <w:r>
        <w:rPr>
          <w:color w:val="000000"/>
        </w:rPr>
        <w:t>ting of the</w:t>
      </w:r>
      <w:r w:rsidRPr="00D65455">
        <w:rPr>
          <w:color w:val="000000"/>
        </w:rPr>
        <w:t xml:space="preserve"> new MBS item</w:t>
      </w:r>
      <w:r>
        <w:rPr>
          <w:color w:val="000000"/>
        </w:rPr>
        <w:t>s</w:t>
      </w:r>
      <w:r w:rsidRPr="00D65455">
        <w:rPr>
          <w:color w:val="000000"/>
        </w:rPr>
        <w:t xml:space="preserve"> for</w:t>
      </w:r>
      <w:r>
        <w:rPr>
          <w:color w:val="000000"/>
        </w:rPr>
        <w:t xml:space="preserve"> </w:t>
      </w:r>
      <w:r w:rsidRPr="00ED6EA6">
        <w:rPr>
          <w:color w:val="000000"/>
        </w:rPr>
        <w:t>CTCA</w:t>
      </w:r>
      <w:r w:rsidRPr="00D65455">
        <w:rPr>
          <w:color w:val="000000"/>
        </w:rPr>
        <w:t xml:space="preserve"> (item</w:t>
      </w:r>
      <w:r>
        <w:rPr>
          <w:color w:val="000000"/>
        </w:rPr>
        <w:t>s</w:t>
      </w:r>
      <w:r w:rsidRPr="00D65455">
        <w:rPr>
          <w:color w:val="000000"/>
        </w:rPr>
        <w:t xml:space="preserve"> </w:t>
      </w:r>
      <w:r w:rsidRPr="00ED6EA6">
        <w:rPr>
          <w:color w:val="000000"/>
        </w:rPr>
        <w:t>57360 and 57361</w:t>
      </w:r>
      <w:r>
        <w:rPr>
          <w:color w:val="000000"/>
        </w:rPr>
        <w:t xml:space="preserve">).  </w:t>
      </w:r>
      <w:r w:rsidRPr="00ED6EA6">
        <w:rPr>
          <w:color w:val="000000"/>
        </w:rPr>
        <w:t>Items 57360 and 57361 apply only to a CT service that is:</w:t>
      </w:r>
    </w:p>
    <w:p w14:paraId="57783B38" w14:textId="77777777" w:rsidR="00BB46EB" w:rsidRPr="00ED6EA6" w:rsidRDefault="00BB46EB" w:rsidP="00BB46EB">
      <w:pPr>
        <w:ind w:left="743" w:hanging="743"/>
        <w:jc w:val="both"/>
        <w:rPr>
          <w:color w:val="000000"/>
        </w:rPr>
      </w:pPr>
      <w:r w:rsidRPr="00ED6EA6">
        <w:rPr>
          <w:color w:val="000000"/>
        </w:rPr>
        <w:t>(a)</w:t>
      </w:r>
      <w:r>
        <w:t xml:space="preserve"> </w:t>
      </w:r>
      <w:r>
        <w:tab/>
      </w:r>
      <w:r w:rsidRPr="00ED6EA6">
        <w:rPr>
          <w:color w:val="000000"/>
        </w:rPr>
        <w:t>performed under the professional supervision of a specialist or consultant physician recognised by the Conjoint Committee for the Recognition of Training in CT Coronary Angiography who is available:</w:t>
      </w:r>
    </w:p>
    <w:p w14:paraId="3A84AB16" w14:textId="77777777" w:rsidR="00BB46EB" w:rsidRPr="00ED6EA6" w:rsidRDefault="00BB46EB" w:rsidP="00BB46EB">
      <w:pPr>
        <w:ind w:left="1310" w:hanging="567"/>
        <w:jc w:val="both"/>
        <w:rPr>
          <w:color w:val="000000"/>
        </w:rPr>
      </w:pPr>
      <w:r w:rsidRPr="00ED6EA6">
        <w:rPr>
          <w:color w:val="000000"/>
        </w:rPr>
        <w:t>(i)</w:t>
      </w:r>
      <w:r>
        <w:t xml:space="preserve"> </w:t>
      </w:r>
      <w:r>
        <w:tab/>
      </w:r>
      <w:r w:rsidRPr="00ED6EA6">
        <w:rPr>
          <w:color w:val="000000"/>
        </w:rPr>
        <w:t>to monitor and influence the conduct and diagnostic quality of the examination; and</w:t>
      </w:r>
    </w:p>
    <w:p w14:paraId="0EA4395F" w14:textId="77777777" w:rsidR="00BB46EB" w:rsidRPr="00ED6EA6" w:rsidRDefault="00BB46EB" w:rsidP="00BB46EB">
      <w:pPr>
        <w:ind w:left="1310" w:hanging="567"/>
        <w:jc w:val="both"/>
        <w:rPr>
          <w:color w:val="000000"/>
        </w:rPr>
      </w:pPr>
      <w:r w:rsidRPr="00ED6EA6">
        <w:rPr>
          <w:color w:val="000000"/>
        </w:rPr>
        <w:t>(ii)</w:t>
      </w:r>
      <w:r>
        <w:t xml:space="preserve"> </w:t>
      </w:r>
      <w:r>
        <w:tab/>
      </w:r>
      <w:r w:rsidRPr="00ED6EA6">
        <w:rPr>
          <w:color w:val="000000"/>
        </w:rPr>
        <w:t>if necessary, to attend on the patient personally; and</w:t>
      </w:r>
    </w:p>
    <w:p w14:paraId="4D39A4D6" w14:textId="77777777" w:rsidR="00BB46EB" w:rsidRPr="00ED6EA6" w:rsidRDefault="00BB46EB" w:rsidP="00BB46EB">
      <w:pPr>
        <w:ind w:left="743" w:hanging="743"/>
        <w:jc w:val="both"/>
        <w:rPr>
          <w:color w:val="000000"/>
        </w:rPr>
      </w:pPr>
      <w:r w:rsidRPr="00ED6EA6">
        <w:rPr>
          <w:color w:val="000000"/>
        </w:rPr>
        <w:t>(b)</w:t>
      </w:r>
      <w:r>
        <w:t xml:space="preserve"> </w:t>
      </w:r>
      <w:r>
        <w:tab/>
      </w:r>
      <w:r w:rsidRPr="00ED6EA6">
        <w:rPr>
          <w:color w:val="000000"/>
        </w:rPr>
        <w:t>reported by a specialist or consultant physician recognised by the Conjoint Committee for the Recognition of Training in CT Coronary Angiography; or</w:t>
      </w:r>
    </w:p>
    <w:p w14:paraId="37758FD7" w14:textId="77777777" w:rsidR="00BB46EB" w:rsidRPr="00ED6EA6" w:rsidRDefault="00BB46EB" w:rsidP="00BB46EB">
      <w:pPr>
        <w:jc w:val="both"/>
        <w:rPr>
          <w:color w:val="000000"/>
        </w:rPr>
      </w:pPr>
      <w:r w:rsidRPr="00ED6EA6">
        <w:rPr>
          <w:color w:val="000000"/>
        </w:rPr>
        <w:t>(c)</w:t>
      </w:r>
      <w:r>
        <w:t xml:space="preserve"> </w:t>
      </w:r>
      <w:r>
        <w:tab/>
      </w:r>
      <w:r w:rsidRPr="00ED6EA6">
        <w:rPr>
          <w:color w:val="000000"/>
        </w:rPr>
        <w:t>if paragraph (a) and (b) cannot be complied with</w:t>
      </w:r>
    </w:p>
    <w:p w14:paraId="341C0CBD" w14:textId="77777777" w:rsidR="00BB46EB" w:rsidRPr="00ED6EA6" w:rsidRDefault="00BB46EB" w:rsidP="00BB46EB">
      <w:pPr>
        <w:ind w:left="1310" w:hanging="567"/>
        <w:jc w:val="both"/>
        <w:rPr>
          <w:color w:val="000000"/>
        </w:rPr>
      </w:pPr>
      <w:r w:rsidRPr="00ED6EA6">
        <w:rPr>
          <w:color w:val="000000"/>
        </w:rPr>
        <w:t>(i)</w:t>
      </w:r>
      <w:r w:rsidRPr="00344F2E">
        <w:rPr>
          <w:color w:val="000000"/>
        </w:rPr>
        <w:t xml:space="preserve"> </w:t>
      </w:r>
      <w:r w:rsidRPr="00344F2E">
        <w:rPr>
          <w:color w:val="000000"/>
        </w:rPr>
        <w:tab/>
      </w:r>
      <w:r w:rsidRPr="00ED6EA6">
        <w:rPr>
          <w:color w:val="000000"/>
        </w:rPr>
        <w:t>in an emergency, or</w:t>
      </w:r>
    </w:p>
    <w:p w14:paraId="1FD592B6" w14:textId="6742E215" w:rsidR="006E5A30" w:rsidRPr="003848BB" w:rsidRDefault="00BB46EB" w:rsidP="003848BB">
      <w:pPr>
        <w:ind w:left="1310" w:hanging="567"/>
        <w:jc w:val="both"/>
        <w:rPr>
          <w:color w:val="000000"/>
        </w:rPr>
      </w:pPr>
      <w:r w:rsidRPr="00ED6EA6">
        <w:rPr>
          <w:color w:val="000000"/>
        </w:rPr>
        <w:t>(ii)</w:t>
      </w:r>
      <w:r w:rsidRPr="00344F2E">
        <w:rPr>
          <w:color w:val="000000"/>
        </w:rPr>
        <w:t xml:space="preserve"> </w:t>
      </w:r>
      <w:r w:rsidRPr="00344F2E">
        <w:rPr>
          <w:color w:val="000000"/>
        </w:rPr>
        <w:tab/>
      </w:r>
      <w:r w:rsidRPr="00ED6EA6">
        <w:rPr>
          <w:color w:val="000000"/>
        </w:rPr>
        <w:t>because of medical necessity in a remote area - refer to DID.4.4 for definition of remote area.</w:t>
      </w:r>
      <w:r w:rsidR="006E5A30">
        <w:br w:type="page"/>
      </w:r>
    </w:p>
    <w:p w14:paraId="5D6D4097" w14:textId="50A11D1F" w:rsidR="00ED651D" w:rsidRDefault="00E60FC1" w:rsidP="003848BB">
      <w:pPr>
        <w:pStyle w:val="Heading1"/>
        <w:numPr>
          <w:ilvl w:val="0"/>
          <w:numId w:val="1"/>
        </w:numPr>
        <w:tabs>
          <w:tab w:val="left" w:pos="720"/>
          <w:tab w:val="left" w:pos="1140"/>
        </w:tabs>
        <w:spacing w:before="360" w:after="240"/>
        <w:ind w:hanging="720"/>
      </w:pPr>
      <w:r>
        <w:lastRenderedPageBreak/>
        <w:t>Item descriptor</w:t>
      </w:r>
    </w:p>
    <w:p w14:paraId="5FE08BFE" w14:textId="77777777" w:rsidR="00ED651D" w:rsidRPr="003848BB" w:rsidRDefault="00ED651D" w:rsidP="00ED651D">
      <w:pPr>
        <w:rPr>
          <w:b/>
        </w:rPr>
      </w:pPr>
      <w:r w:rsidRPr="003848BB">
        <w:rPr>
          <w:b/>
        </w:rPr>
        <w:t>MBS Item 57360</w:t>
      </w:r>
    </w:p>
    <w:p w14:paraId="48956AAD" w14:textId="1110327D" w:rsidR="00ED651D" w:rsidRPr="00BB46EB" w:rsidRDefault="00ED651D" w:rsidP="00ED651D">
      <w:pPr>
        <w:rPr>
          <w:color w:val="222222"/>
          <w:szCs w:val="24"/>
          <w:shd w:val="clear" w:color="auto" w:fill="FBFBFB"/>
          <w:lang w:eastAsia="en-US"/>
        </w:rPr>
      </w:pPr>
      <w:r w:rsidRPr="00BB46EB">
        <w:rPr>
          <w:color w:val="222222"/>
          <w:szCs w:val="24"/>
          <w:shd w:val="clear" w:color="auto" w:fill="FBFBFB"/>
          <w:lang w:eastAsia="en-US"/>
        </w:rPr>
        <w:t>COMPUTED TOMOGRAPHY OF THE CORONARY ARTERIES performed on a minimum of a 64 slice (or equivalent) scanner, where the request is made by a specialis</w:t>
      </w:r>
      <w:r w:rsidR="00D06438">
        <w:rPr>
          <w:color w:val="222222"/>
          <w:szCs w:val="24"/>
          <w:shd w:val="clear" w:color="auto" w:fill="FBFBFB"/>
          <w:lang w:eastAsia="en-US"/>
        </w:rPr>
        <w:t>t or consultant physician, and:</w:t>
      </w:r>
    </w:p>
    <w:p w14:paraId="19FA3338" w14:textId="0FF205B7" w:rsidR="00ED651D" w:rsidRPr="00BB46EB" w:rsidRDefault="00ED651D" w:rsidP="003848BB">
      <w:pPr>
        <w:ind w:left="459" w:hanging="459"/>
        <w:rPr>
          <w:color w:val="222222"/>
          <w:szCs w:val="24"/>
          <w:shd w:val="clear" w:color="auto" w:fill="FBFBFB"/>
          <w:lang w:eastAsia="en-US"/>
        </w:rPr>
      </w:pPr>
      <w:r w:rsidRPr="00BB46EB">
        <w:rPr>
          <w:color w:val="222222"/>
          <w:szCs w:val="24"/>
          <w:shd w:val="clear" w:color="auto" w:fill="FBFBFB"/>
          <w:lang w:eastAsia="en-US"/>
        </w:rPr>
        <w:t>a)</w:t>
      </w:r>
      <w:r w:rsidRPr="00BB46EB">
        <w:rPr>
          <w:szCs w:val="24"/>
          <w:lang w:eastAsia="en-US"/>
        </w:rPr>
        <w:t xml:space="preserve"> </w:t>
      </w:r>
      <w:r w:rsidRPr="00BB46EB">
        <w:rPr>
          <w:szCs w:val="24"/>
          <w:lang w:eastAsia="en-US"/>
        </w:rPr>
        <w:tab/>
      </w:r>
      <w:r w:rsidRPr="00BB46EB">
        <w:rPr>
          <w:color w:val="222222"/>
          <w:szCs w:val="24"/>
          <w:shd w:val="clear" w:color="auto" w:fill="FBFBFB"/>
          <w:lang w:eastAsia="en-US"/>
        </w:rPr>
        <w:t>the patient has stable symptoms consistent with coronary ischaemia, is at low to intermediate risk of coronary artery disease and would have been considered for coronary angiography; or</w:t>
      </w:r>
    </w:p>
    <w:p w14:paraId="3ED41EE4" w14:textId="52D1FC32" w:rsidR="00ED651D" w:rsidRPr="00BB46EB" w:rsidRDefault="00ED651D" w:rsidP="003848BB">
      <w:pPr>
        <w:ind w:left="459" w:hanging="459"/>
        <w:rPr>
          <w:color w:val="222222"/>
          <w:szCs w:val="24"/>
          <w:shd w:val="clear" w:color="auto" w:fill="FBFBFB"/>
          <w:lang w:eastAsia="en-US"/>
        </w:rPr>
      </w:pPr>
      <w:r w:rsidRPr="00BB46EB">
        <w:rPr>
          <w:color w:val="222222"/>
          <w:szCs w:val="24"/>
          <w:shd w:val="clear" w:color="auto" w:fill="FBFBFB"/>
          <w:lang w:eastAsia="en-US"/>
        </w:rPr>
        <w:t>b)</w:t>
      </w:r>
      <w:r w:rsidRPr="00BB46EB">
        <w:rPr>
          <w:szCs w:val="24"/>
          <w:lang w:eastAsia="en-US"/>
        </w:rPr>
        <w:t xml:space="preserve"> </w:t>
      </w:r>
      <w:r w:rsidRPr="00BB46EB">
        <w:rPr>
          <w:szCs w:val="24"/>
          <w:lang w:eastAsia="en-US"/>
        </w:rPr>
        <w:tab/>
      </w:r>
      <w:r w:rsidRPr="00BB46EB">
        <w:rPr>
          <w:color w:val="222222"/>
          <w:szCs w:val="24"/>
          <w:shd w:val="clear" w:color="auto" w:fill="FBFBFB"/>
          <w:lang w:eastAsia="en-US"/>
        </w:rPr>
        <w:t>the patient requires exclusion of coronary artery anomaly or fistula; or</w:t>
      </w:r>
    </w:p>
    <w:p w14:paraId="456AC078" w14:textId="356DA267" w:rsidR="00ED651D" w:rsidRPr="00BB46EB" w:rsidRDefault="00ED651D" w:rsidP="00D06438">
      <w:pPr>
        <w:ind w:left="459" w:hanging="459"/>
        <w:rPr>
          <w:color w:val="222222"/>
          <w:szCs w:val="24"/>
          <w:shd w:val="clear" w:color="auto" w:fill="FBFBFB"/>
          <w:lang w:eastAsia="en-US"/>
        </w:rPr>
      </w:pPr>
      <w:r w:rsidRPr="00BB46EB">
        <w:rPr>
          <w:color w:val="222222"/>
          <w:szCs w:val="24"/>
          <w:shd w:val="clear" w:color="auto" w:fill="FBFBFB"/>
          <w:lang w:eastAsia="en-US"/>
        </w:rPr>
        <w:t>c)</w:t>
      </w:r>
      <w:r w:rsidRPr="00BB46EB">
        <w:rPr>
          <w:szCs w:val="24"/>
          <w:lang w:eastAsia="en-US"/>
        </w:rPr>
        <w:t xml:space="preserve"> </w:t>
      </w:r>
      <w:r w:rsidRPr="00BB46EB">
        <w:rPr>
          <w:szCs w:val="24"/>
          <w:lang w:eastAsia="en-US"/>
        </w:rPr>
        <w:tab/>
      </w:r>
      <w:r w:rsidRPr="00BB46EB">
        <w:rPr>
          <w:color w:val="222222"/>
          <w:szCs w:val="24"/>
          <w:shd w:val="clear" w:color="auto" w:fill="FBFBFB"/>
          <w:lang w:eastAsia="en-US"/>
        </w:rPr>
        <w:t>the patient will be undergoing non-coronary cardiac surgery (R) (K)</w:t>
      </w:r>
    </w:p>
    <w:p w14:paraId="16B6B512" w14:textId="6F5EEAFA" w:rsidR="00ED651D" w:rsidRPr="00BB46EB" w:rsidRDefault="00D06438" w:rsidP="00ED651D">
      <w:pPr>
        <w:rPr>
          <w:color w:val="222222"/>
          <w:szCs w:val="24"/>
          <w:shd w:val="clear" w:color="auto" w:fill="FBFBFB"/>
          <w:lang w:eastAsia="en-US"/>
        </w:rPr>
      </w:pPr>
      <w:r>
        <w:rPr>
          <w:color w:val="222222"/>
          <w:szCs w:val="24"/>
          <w:shd w:val="clear" w:color="auto" w:fill="FBFBFB"/>
          <w:lang w:eastAsia="en-US"/>
        </w:rPr>
        <w:t>Bulk bill incentive</w:t>
      </w:r>
    </w:p>
    <w:p w14:paraId="17656E22" w14:textId="5CC4E547" w:rsidR="00D06438" w:rsidRPr="003848BB" w:rsidRDefault="00ED651D" w:rsidP="003848BB">
      <w:pPr>
        <w:spacing w:after="240"/>
        <w:rPr>
          <w:color w:val="222222"/>
          <w:szCs w:val="24"/>
          <w:shd w:val="clear" w:color="auto" w:fill="FBFBFB"/>
          <w:lang w:eastAsia="en-US"/>
        </w:rPr>
      </w:pPr>
      <w:r w:rsidRPr="00BB46EB">
        <w:rPr>
          <w:color w:val="222222"/>
          <w:szCs w:val="24"/>
          <w:shd w:val="clear" w:color="auto" w:fill="FBFBFB"/>
          <w:lang w:eastAsia="en-US"/>
        </w:rPr>
        <w:t xml:space="preserve">(Anaes.) </w:t>
      </w:r>
    </w:p>
    <w:p w14:paraId="007C2C7C" w14:textId="77777777" w:rsidR="00ED651D" w:rsidRPr="00BB46EB" w:rsidRDefault="00ED651D" w:rsidP="00ED651D">
      <w:pPr>
        <w:rPr>
          <w:color w:val="222222"/>
          <w:szCs w:val="24"/>
          <w:lang w:eastAsia="en-US"/>
        </w:rPr>
      </w:pPr>
      <w:r w:rsidRPr="00BB46EB">
        <w:rPr>
          <w:b/>
          <w:bCs/>
          <w:color w:val="222222"/>
          <w:szCs w:val="24"/>
          <w:shd w:val="clear" w:color="auto" w:fill="FBFBFB"/>
          <w:lang w:eastAsia="en-US"/>
        </w:rPr>
        <w:t>Fee:</w:t>
      </w:r>
      <w:r w:rsidRPr="00BB46EB">
        <w:rPr>
          <w:color w:val="222222"/>
          <w:szCs w:val="24"/>
          <w:shd w:val="clear" w:color="auto" w:fill="FBFBFB"/>
          <w:lang w:eastAsia="en-US"/>
        </w:rPr>
        <w:t xml:space="preserve"> $700.00 </w:t>
      </w:r>
      <w:r w:rsidRPr="00BB46EB">
        <w:rPr>
          <w:b/>
          <w:bCs/>
          <w:color w:val="222222"/>
          <w:szCs w:val="24"/>
          <w:shd w:val="clear" w:color="auto" w:fill="FBFBFB"/>
          <w:lang w:eastAsia="en-US"/>
        </w:rPr>
        <w:t xml:space="preserve">Benefit: </w:t>
      </w:r>
      <w:r w:rsidRPr="00BB46EB">
        <w:rPr>
          <w:color w:val="222222"/>
          <w:szCs w:val="24"/>
          <w:shd w:val="clear" w:color="auto" w:fill="FBFBFB"/>
          <w:lang w:eastAsia="en-US"/>
        </w:rPr>
        <w:t>75% = $525.00 85% = $618.30</w:t>
      </w:r>
    </w:p>
    <w:p w14:paraId="4353D837" w14:textId="6DC88841" w:rsidR="00ED651D" w:rsidRDefault="00ED651D" w:rsidP="003848BB">
      <w:pPr>
        <w:spacing w:after="240"/>
        <w:rPr>
          <w:color w:val="222222"/>
          <w:szCs w:val="24"/>
          <w:shd w:val="clear" w:color="auto" w:fill="FBFBFB"/>
          <w:lang w:eastAsia="en-US"/>
        </w:rPr>
      </w:pPr>
      <w:r w:rsidRPr="00BB46EB">
        <w:rPr>
          <w:color w:val="222222"/>
          <w:szCs w:val="24"/>
          <w:shd w:val="clear" w:color="auto" w:fill="FBFBFB"/>
          <w:lang w:eastAsia="en-US"/>
        </w:rPr>
        <w:t>(See para IN.0.12, IN.0.19 of explanatory notes to this Category)</w:t>
      </w:r>
    </w:p>
    <w:p w14:paraId="7B39F486" w14:textId="77777777" w:rsidR="00ED651D" w:rsidRPr="003848BB" w:rsidRDefault="00ED651D" w:rsidP="00ED651D">
      <w:pPr>
        <w:rPr>
          <w:b/>
          <w:szCs w:val="24"/>
          <w:lang w:eastAsia="en-US"/>
        </w:rPr>
      </w:pPr>
      <w:r w:rsidRPr="003848BB">
        <w:rPr>
          <w:b/>
          <w:szCs w:val="24"/>
          <w:lang w:eastAsia="en-US"/>
        </w:rPr>
        <w:t>MBS item 57361</w:t>
      </w:r>
    </w:p>
    <w:p w14:paraId="070B3B15" w14:textId="680CB637" w:rsidR="00ED651D" w:rsidRPr="00BB46EB" w:rsidRDefault="00ED651D" w:rsidP="00ED651D">
      <w:pPr>
        <w:rPr>
          <w:color w:val="222222"/>
          <w:szCs w:val="24"/>
          <w:shd w:val="clear" w:color="auto" w:fill="FBFBFB"/>
          <w:lang w:eastAsia="en-US"/>
        </w:rPr>
      </w:pPr>
      <w:r w:rsidRPr="00BB46EB">
        <w:rPr>
          <w:color w:val="222222"/>
          <w:szCs w:val="24"/>
          <w:shd w:val="clear" w:color="auto" w:fill="FBFBFB"/>
          <w:lang w:eastAsia="en-US"/>
        </w:rPr>
        <w:t>COMPUTED TOMOGRAPHY OF THE CORONARY ARTERIES performed on a minimum of a 64 slice (or equivalent) scanner, where the request is made by a specialis</w:t>
      </w:r>
      <w:r w:rsidR="00D06438">
        <w:rPr>
          <w:color w:val="222222"/>
          <w:szCs w:val="24"/>
          <w:shd w:val="clear" w:color="auto" w:fill="FBFBFB"/>
          <w:lang w:eastAsia="en-US"/>
        </w:rPr>
        <w:t>t or consultant physician, and:</w:t>
      </w:r>
    </w:p>
    <w:p w14:paraId="221E1D56" w14:textId="412021B2" w:rsidR="00ED651D" w:rsidRPr="00BB46EB" w:rsidRDefault="00ED651D" w:rsidP="003848BB">
      <w:pPr>
        <w:ind w:left="459" w:hanging="425"/>
        <w:rPr>
          <w:color w:val="222222"/>
          <w:szCs w:val="24"/>
          <w:shd w:val="clear" w:color="auto" w:fill="FBFBFB"/>
          <w:lang w:eastAsia="en-US"/>
        </w:rPr>
      </w:pPr>
      <w:r w:rsidRPr="00BB46EB">
        <w:rPr>
          <w:color w:val="222222"/>
          <w:szCs w:val="24"/>
          <w:shd w:val="clear" w:color="auto" w:fill="FBFBFB"/>
          <w:lang w:eastAsia="en-US"/>
        </w:rPr>
        <w:t xml:space="preserve">a) </w:t>
      </w:r>
      <w:r w:rsidRPr="00BB46EB">
        <w:rPr>
          <w:szCs w:val="24"/>
          <w:lang w:eastAsia="en-US"/>
        </w:rPr>
        <w:tab/>
      </w:r>
      <w:r w:rsidRPr="00BB46EB">
        <w:rPr>
          <w:color w:val="222222"/>
          <w:szCs w:val="24"/>
          <w:shd w:val="clear" w:color="auto" w:fill="FBFBFB"/>
          <w:lang w:eastAsia="en-US"/>
        </w:rPr>
        <w:t>the patient has stable symptoms consistent with coronary ischaemia, is at low to intermediate risk of coronary artery disease and would have been considered for coronary angiography; or</w:t>
      </w:r>
    </w:p>
    <w:p w14:paraId="690A78E6" w14:textId="08B97BB7" w:rsidR="00ED651D" w:rsidRPr="00BB46EB" w:rsidRDefault="00ED651D" w:rsidP="003848BB">
      <w:pPr>
        <w:ind w:left="459" w:hanging="425"/>
        <w:rPr>
          <w:color w:val="222222"/>
          <w:szCs w:val="24"/>
          <w:shd w:val="clear" w:color="auto" w:fill="FBFBFB"/>
          <w:lang w:eastAsia="en-US"/>
        </w:rPr>
      </w:pPr>
      <w:r w:rsidRPr="00BB46EB">
        <w:rPr>
          <w:color w:val="222222"/>
          <w:szCs w:val="24"/>
          <w:shd w:val="clear" w:color="auto" w:fill="FBFBFB"/>
          <w:lang w:eastAsia="en-US"/>
        </w:rPr>
        <w:t>b)</w:t>
      </w:r>
      <w:r w:rsidRPr="00BB46EB">
        <w:rPr>
          <w:szCs w:val="24"/>
          <w:lang w:eastAsia="en-US"/>
        </w:rPr>
        <w:t xml:space="preserve"> </w:t>
      </w:r>
      <w:r w:rsidRPr="00BB46EB">
        <w:rPr>
          <w:szCs w:val="24"/>
          <w:lang w:eastAsia="en-US"/>
        </w:rPr>
        <w:tab/>
      </w:r>
      <w:r w:rsidRPr="00BB46EB">
        <w:rPr>
          <w:color w:val="222222"/>
          <w:szCs w:val="24"/>
          <w:shd w:val="clear" w:color="auto" w:fill="FBFBFB"/>
          <w:lang w:eastAsia="en-US"/>
        </w:rPr>
        <w:t xml:space="preserve"> the patient requires exclusion of coronary artery anomaly or fistula; or</w:t>
      </w:r>
    </w:p>
    <w:p w14:paraId="4207E0FA" w14:textId="76FC4CE2" w:rsidR="00ED651D" w:rsidRPr="00BB46EB" w:rsidRDefault="00ED651D" w:rsidP="00D06438">
      <w:pPr>
        <w:ind w:left="459" w:hanging="425"/>
        <w:rPr>
          <w:color w:val="222222"/>
          <w:szCs w:val="24"/>
          <w:shd w:val="clear" w:color="auto" w:fill="FBFBFB"/>
          <w:lang w:eastAsia="en-US"/>
        </w:rPr>
      </w:pPr>
      <w:r w:rsidRPr="00BB46EB">
        <w:rPr>
          <w:color w:val="222222"/>
          <w:szCs w:val="24"/>
          <w:shd w:val="clear" w:color="auto" w:fill="FBFBFB"/>
          <w:lang w:eastAsia="en-US"/>
        </w:rPr>
        <w:t>c)</w:t>
      </w:r>
      <w:r w:rsidRPr="00BB46EB">
        <w:rPr>
          <w:szCs w:val="24"/>
          <w:lang w:eastAsia="en-US"/>
        </w:rPr>
        <w:t xml:space="preserve"> </w:t>
      </w:r>
      <w:r w:rsidRPr="00BB46EB">
        <w:rPr>
          <w:szCs w:val="24"/>
          <w:lang w:eastAsia="en-US"/>
        </w:rPr>
        <w:tab/>
      </w:r>
      <w:r w:rsidRPr="00BB46EB">
        <w:rPr>
          <w:color w:val="222222"/>
          <w:szCs w:val="24"/>
          <w:shd w:val="clear" w:color="auto" w:fill="FBFBFB"/>
          <w:lang w:eastAsia="en-US"/>
        </w:rPr>
        <w:t>the patient will be undergoing non-co</w:t>
      </w:r>
      <w:r w:rsidR="00D06438">
        <w:rPr>
          <w:color w:val="222222"/>
          <w:szCs w:val="24"/>
          <w:shd w:val="clear" w:color="auto" w:fill="FBFBFB"/>
          <w:lang w:eastAsia="en-US"/>
        </w:rPr>
        <w:t>ronary cardiac surgery (R) (NK)</w:t>
      </w:r>
    </w:p>
    <w:p w14:paraId="3DBC4AFB" w14:textId="481E6446" w:rsidR="00ED651D" w:rsidRPr="00BB46EB" w:rsidRDefault="00D06438" w:rsidP="00ED651D">
      <w:pPr>
        <w:rPr>
          <w:color w:val="222222"/>
          <w:szCs w:val="24"/>
          <w:shd w:val="clear" w:color="auto" w:fill="FBFBFB"/>
          <w:lang w:eastAsia="en-US"/>
        </w:rPr>
      </w:pPr>
      <w:r>
        <w:rPr>
          <w:color w:val="222222"/>
          <w:szCs w:val="24"/>
          <w:shd w:val="clear" w:color="auto" w:fill="FBFBFB"/>
          <w:lang w:eastAsia="en-US"/>
        </w:rPr>
        <w:t>Bulk bill incentive</w:t>
      </w:r>
    </w:p>
    <w:p w14:paraId="293EDD67" w14:textId="4ECBCAFC" w:rsidR="00D06438" w:rsidRPr="003848BB" w:rsidRDefault="00D06438" w:rsidP="003848BB">
      <w:pPr>
        <w:spacing w:after="240"/>
        <w:rPr>
          <w:color w:val="222222"/>
          <w:szCs w:val="24"/>
          <w:shd w:val="clear" w:color="auto" w:fill="FBFBFB"/>
          <w:lang w:eastAsia="en-US"/>
        </w:rPr>
      </w:pPr>
      <w:r>
        <w:rPr>
          <w:color w:val="222222"/>
          <w:szCs w:val="24"/>
          <w:shd w:val="clear" w:color="auto" w:fill="FBFBFB"/>
          <w:lang w:eastAsia="en-US"/>
        </w:rPr>
        <w:t>(Anaes.)</w:t>
      </w:r>
    </w:p>
    <w:p w14:paraId="01F8002B" w14:textId="6749851B" w:rsidR="00ED651D" w:rsidRPr="003848BB" w:rsidRDefault="00ED651D" w:rsidP="00ED651D">
      <w:pPr>
        <w:rPr>
          <w:color w:val="222222"/>
          <w:szCs w:val="24"/>
          <w:lang w:eastAsia="en-US"/>
        </w:rPr>
      </w:pPr>
      <w:r w:rsidRPr="00BB46EB">
        <w:rPr>
          <w:b/>
          <w:bCs/>
          <w:color w:val="222222"/>
          <w:szCs w:val="24"/>
          <w:shd w:val="clear" w:color="auto" w:fill="FBFBFB"/>
          <w:lang w:eastAsia="en-US"/>
        </w:rPr>
        <w:t xml:space="preserve">Fee: </w:t>
      </w:r>
      <w:r w:rsidRPr="00BB46EB">
        <w:rPr>
          <w:color w:val="222222"/>
          <w:szCs w:val="24"/>
          <w:shd w:val="clear" w:color="auto" w:fill="FBFBFB"/>
          <w:lang w:eastAsia="en-US"/>
        </w:rPr>
        <w:t xml:space="preserve">$350.00 </w:t>
      </w:r>
      <w:r w:rsidRPr="00BB46EB">
        <w:rPr>
          <w:b/>
          <w:bCs/>
          <w:color w:val="222222"/>
          <w:szCs w:val="24"/>
          <w:shd w:val="clear" w:color="auto" w:fill="FBFBFB"/>
          <w:lang w:eastAsia="en-US"/>
        </w:rPr>
        <w:t xml:space="preserve">Benefit: </w:t>
      </w:r>
      <w:r w:rsidRPr="00BB46EB">
        <w:rPr>
          <w:color w:val="222222"/>
          <w:szCs w:val="24"/>
          <w:shd w:val="clear" w:color="auto" w:fill="FBFBFB"/>
          <w:lang w:eastAsia="en-US"/>
        </w:rPr>
        <w:t>75% = $262.50 85% = $297.50</w:t>
      </w:r>
    </w:p>
    <w:p w14:paraId="50E58EE0" w14:textId="0A844F01" w:rsidR="00D06438" w:rsidRDefault="00ED651D" w:rsidP="003848BB">
      <w:pPr>
        <w:spacing w:after="240"/>
        <w:rPr>
          <w:color w:val="222222"/>
          <w:szCs w:val="24"/>
          <w:shd w:val="clear" w:color="auto" w:fill="FBFBFB"/>
          <w:lang w:eastAsia="en-US"/>
        </w:rPr>
      </w:pPr>
      <w:r w:rsidRPr="00BB46EB">
        <w:rPr>
          <w:color w:val="222222"/>
          <w:szCs w:val="24"/>
          <w:shd w:val="clear" w:color="auto" w:fill="FBFBFB"/>
          <w:lang w:eastAsia="en-US"/>
        </w:rPr>
        <w:t>(See para IN.0.12, IN.0.19 of explanatory notes to this Category)</w:t>
      </w:r>
    </w:p>
    <w:p w14:paraId="7990EFFA" w14:textId="63C3F370" w:rsidR="00BB46EB" w:rsidRPr="00BB46EB" w:rsidRDefault="00D06438" w:rsidP="00BB46EB">
      <w:r w:rsidRPr="00D06438">
        <w:t>MBS item comment</w:t>
      </w:r>
      <w:r>
        <w:t>:</w:t>
      </w:r>
      <w:r w:rsidRPr="00D06438">
        <w:tab/>
        <w:t>The difference between these two items is that the latter is the NK item, with a fee of 50% of the K item.</w:t>
      </w:r>
    </w:p>
    <w:p w14:paraId="7CF8E0FA" w14:textId="43613165" w:rsidR="00BC1364" w:rsidRDefault="000746BA" w:rsidP="00BB46EB">
      <w:pPr>
        <w:pStyle w:val="Heading1"/>
        <w:numPr>
          <w:ilvl w:val="0"/>
          <w:numId w:val="1"/>
        </w:numPr>
        <w:tabs>
          <w:tab w:val="left" w:pos="720"/>
          <w:tab w:val="left" w:pos="1140"/>
        </w:tabs>
        <w:spacing w:before="360"/>
        <w:ind w:hanging="720"/>
      </w:pPr>
      <w:r>
        <w:t xml:space="preserve">Applicant’s comments on </w:t>
      </w:r>
      <w:r w:rsidR="004A205B">
        <w:t xml:space="preserve">MSAC’s </w:t>
      </w:r>
      <w:r>
        <w:t>public summary document</w:t>
      </w:r>
    </w:p>
    <w:p w14:paraId="204BB439" w14:textId="447FBA18" w:rsidR="00775EF8" w:rsidRPr="00775EF8" w:rsidRDefault="00583363" w:rsidP="00223FB2">
      <w:pPr>
        <w:spacing w:before="120"/>
      </w:pPr>
      <w:r>
        <w:t xml:space="preserve">No </w:t>
      </w:r>
      <w:r w:rsidR="00A63661">
        <w:t xml:space="preserve">applicant </w:t>
      </w:r>
      <w:r w:rsidR="006017D3">
        <w:t xml:space="preserve">comment was received. </w:t>
      </w:r>
    </w:p>
    <w:p w14:paraId="06F15D02" w14:textId="77777777" w:rsidR="00BC1364" w:rsidRDefault="00271F18" w:rsidP="00BB46EB">
      <w:pPr>
        <w:pStyle w:val="Heading1"/>
        <w:numPr>
          <w:ilvl w:val="0"/>
          <w:numId w:val="1"/>
        </w:numPr>
        <w:tabs>
          <w:tab w:val="left" w:pos="720"/>
          <w:tab w:val="left" w:pos="1140"/>
        </w:tabs>
        <w:spacing w:before="360"/>
        <w:ind w:hanging="720"/>
      </w:pPr>
      <w:r>
        <w:t>Further information on MSAC</w:t>
      </w:r>
    </w:p>
    <w:p w14:paraId="64D3433E" w14:textId="22CC2A3E" w:rsidR="00BC1364" w:rsidRPr="00DD2858" w:rsidRDefault="00271F18" w:rsidP="00223FB2">
      <w:pPr>
        <w:spacing w:before="120"/>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5" w:tooltip="Link to MSAC website" w:history="1">
        <w:r w:rsidR="00BC1364" w:rsidRPr="007B3BA8">
          <w:rPr>
            <w:rStyle w:val="Hyperlink"/>
            <w:szCs w:val="24"/>
          </w:rPr>
          <w:t>www.msac.gov.au</w:t>
        </w:r>
      </w:hyperlink>
      <w:r w:rsidR="005D3322">
        <w:rPr>
          <w:szCs w:val="24"/>
        </w:rPr>
        <w:t>.</w:t>
      </w:r>
    </w:p>
    <w:sectPr w:rsidR="00BC1364" w:rsidRPr="00DD2858" w:rsidSect="00271F18">
      <w:headerReference w:type="default" r:id="rId16"/>
      <w:footerReference w:type="default" r:id="rId17"/>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205491" w15:done="0"/>
  <w15:commentEx w15:paraId="3F5903D6" w15:done="0"/>
  <w15:commentEx w15:paraId="54F4F5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B5151" w14:textId="77777777" w:rsidR="006B60E7" w:rsidRDefault="006B60E7" w:rsidP="00065623">
      <w:r>
        <w:separator/>
      </w:r>
    </w:p>
  </w:endnote>
  <w:endnote w:type="continuationSeparator" w:id="0">
    <w:p w14:paraId="2811E6D5" w14:textId="77777777" w:rsidR="006B60E7" w:rsidRDefault="006B60E7"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378C3EDD" w14:textId="77777777" w:rsidR="006B60E7" w:rsidRDefault="006B60E7" w:rsidP="00716342">
        <w:pPr>
          <w:pStyle w:val="Footer"/>
          <w:spacing w:after="240"/>
          <w:jc w:val="right"/>
        </w:pPr>
        <w:r>
          <w:fldChar w:fldCharType="begin"/>
        </w:r>
        <w:r>
          <w:instrText xml:space="preserve"> PAGE   \* MERGEFORMAT </w:instrText>
        </w:r>
        <w:r>
          <w:fldChar w:fldCharType="separate"/>
        </w:r>
        <w:r w:rsidR="0096060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99190" w14:textId="77777777" w:rsidR="006B60E7" w:rsidRDefault="006B60E7" w:rsidP="00065623">
      <w:r>
        <w:separator/>
      </w:r>
    </w:p>
  </w:footnote>
  <w:footnote w:type="continuationSeparator" w:id="0">
    <w:p w14:paraId="27382C39" w14:textId="77777777" w:rsidR="006B60E7" w:rsidRDefault="006B60E7"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59C35" w14:textId="5F438DD1" w:rsidR="006B60E7" w:rsidRDefault="006B60E7">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1535386"/>
    <w:multiLevelType w:val="multilevel"/>
    <w:tmpl w:val="D3EC8D5C"/>
    <w:styleLink w:val="TableListNumbers"/>
    <w:lvl w:ilvl="0">
      <w:start w:val="1"/>
      <w:numFmt w:val="lowerRoman"/>
      <w:pStyle w:val="TableListNumber"/>
      <w:lvlText w:val="(%1)"/>
      <w:lvlJc w:val="left"/>
      <w:pPr>
        <w:tabs>
          <w:tab w:val="num" w:pos="170"/>
        </w:tabs>
        <w:ind w:left="170" w:hanging="170"/>
      </w:pPr>
      <w:rPr>
        <w:rFonts w:hint="default"/>
      </w:rPr>
    </w:lvl>
    <w:lvl w:ilvl="1">
      <w:start w:val="1"/>
      <w:numFmt w:val="lowerLetter"/>
      <w:pStyle w:val="TableListNumber2"/>
      <w:lvlText w:val="%2)"/>
      <w:lvlJc w:val="left"/>
      <w:pPr>
        <w:tabs>
          <w:tab w:val="num" w:pos="340"/>
        </w:tabs>
        <w:ind w:left="340" w:hanging="17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542E221A"/>
    <w:multiLevelType w:val="multilevel"/>
    <w:tmpl w:val="567ADE74"/>
    <w:styleLink w:val="TableListBullets"/>
    <w:lvl w:ilvl="0">
      <w:start w:val="1"/>
      <w:numFmt w:val="bullet"/>
      <w:pStyle w:val="TableListBullet"/>
      <w:lvlText w:val="■"/>
      <w:lvlJc w:val="left"/>
      <w:pPr>
        <w:tabs>
          <w:tab w:val="num" w:pos="170"/>
        </w:tabs>
        <w:ind w:left="170" w:hanging="170"/>
      </w:pPr>
      <w:rPr>
        <w:rFonts w:ascii="Franklin Gothic Book" w:hAnsi="Franklin Gothic Book"/>
        <w:color w:val="8064A2" w:themeColor="accent4"/>
        <w:spacing w:val="0"/>
        <w:w w:val="100"/>
        <w:position w:val="3"/>
        <w:sz w:val="12"/>
      </w:rPr>
    </w:lvl>
    <w:lvl w:ilvl="1">
      <w:start w:val="1"/>
      <w:numFmt w:val="bullet"/>
      <w:pStyle w:val="TableListBullet2"/>
      <w:lvlText w:val="–"/>
      <w:lvlJc w:val="left"/>
      <w:pPr>
        <w:tabs>
          <w:tab w:val="num" w:pos="340"/>
        </w:tabs>
        <w:ind w:left="340" w:hanging="17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6787896"/>
    <w:multiLevelType w:val="multilevel"/>
    <w:tmpl w:val="567ADE74"/>
    <w:numStyleLink w:val="TableListBullets"/>
  </w:abstractNum>
  <w:abstractNum w:abstractNumId="4">
    <w:nsid w:val="718120EA"/>
    <w:multiLevelType w:val="multilevel"/>
    <w:tmpl w:val="CB3EC8D0"/>
    <w:styleLink w:val="ListBullets"/>
    <w:lvl w:ilvl="0">
      <w:start w:val="1"/>
      <w:numFmt w:val="bullet"/>
      <w:pStyle w:val="ListBullet"/>
      <w:lvlText w:val="■"/>
      <w:lvlJc w:val="left"/>
      <w:pPr>
        <w:tabs>
          <w:tab w:val="num" w:pos="284"/>
        </w:tabs>
        <w:ind w:left="284" w:hanging="284"/>
      </w:pPr>
      <w:rPr>
        <w:rFonts w:ascii="Franklin Gothic Demi" w:hAnsi="Franklin Gothic Demi" w:hint="default"/>
        <w:color w:val="8064A2"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8064A2"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24B56"/>
    <w:rsid w:val="00026E58"/>
    <w:rsid w:val="00036C20"/>
    <w:rsid w:val="0003739B"/>
    <w:rsid w:val="00042F11"/>
    <w:rsid w:val="000452C7"/>
    <w:rsid w:val="00045FA0"/>
    <w:rsid w:val="00047606"/>
    <w:rsid w:val="00065623"/>
    <w:rsid w:val="00070DE9"/>
    <w:rsid w:val="000746BA"/>
    <w:rsid w:val="000756B9"/>
    <w:rsid w:val="000922FA"/>
    <w:rsid w:val="00096B67"/>
    <w:rsid w:val="00096DAF"/>
    <w:rsid w:val="000A11F9"/>
    <w:rsid w:val="000A51E4"/>
    <w:rsid w:val="000A5B70"/>
    <w:rsid w:val="000B6956"/>
    <w:rsid w:val="000C2F47"/>
    <w:rsid w:val="000C4BBA"/>
    <w:rsid w:val="000C6B40"/>
    <w:rsid w:val="000D1443"/>
    <w:rsid w:val="000D246A"/>
    <w:rsid w:val="000D6C00"/>
    <w:rsid w:val="000E155F"/>
    <w:rsid w:val="000E3B33"/>
    <w:rsid w:val="000E48CF"/>
    <w:rsid w:val="000E4E04"/>
    <w:rsid w:val="000F14B4"/>
    <w:rsid w:val="000F391E"/>
    <w:rsid w:val="000F600C"/>
    <w:rsid w:val="000F75DF"/>
    <w:rsid w:val="001112A4"/>
    <w:rsid w:val="00115C4F"/>
    <w:rsid w:val="001328FA"/>
    <w:rsid w:val="00147AAF"/>
    <w:rsid w:val="00150894"/>
    <w:rsid w:val="001552C0"/>
    <w:rsid w:val="001638D7"/>
    <w:rsid w:val="001640B1"/>
    <w:rsid w:val="00182148"/>
    <w:rsid w:val="0018435E"/>
    <w:rsid w:val="00190792"/>
    <w:rsid w:val="0019118C"/>
    <w:rsid w:val="00193898"/>
    <w:rsid w:val="001C1BE6"/>
    <w:rsid w:val="002041A1"/>
    <w:rsid w:val="002054F0"/>
    <w:rsid w:val="00210420"/>
    <w:rsid w:val="00223FB2"/>
    <w:rsid w:val="00230D6B"/>
    <w:rsid w:val="00232068"/>
    <w:rsid w:val="002330F2"/>
    <w:rsid w:val="002424C1"/>
    <w:rsid w:val="00243D9E"/>
    <w:rsid w:val="00253B66"/>
    <w:rsid w:val="00261DF1"/>
    <w:rsid w:val="00271F18"/>
    <w:rsid w:val="00282779"/>
    <w:rsid w:val="0028334D"/>
    <w:rsid w:val="002B7FFA"/>
    <w:rsid w:val="002C2135"/>
    <w:rsid w:val="002C2BCF"/>
    <w:rsid w:val="002D48B2"/>
    <w:rsid w:val="002D73A2"/>
    <w:rsid w:val="002E4AF9"/>
    <w:rsid w:val="002F279D"/>
    <w:rsid w:val="002F43B8"/>
    <w:rsid w:val="003144C8"/>
    <w:rsid w:val="003206F3"/>
    <w:rsid w:val="00320D06"/>
    <w:rsid w:val="00336856"/>
    <w:rsid w:val="00345167"/>
    <w:rsid w:val="0034554D"/>
    <w:rsid w:val="00352224"/>
    <w:rsid w:val="003671E6"/>
    <w:rsid w:val="00376575"/>
    <w:rsid w:val="00384272"/>
    <w:rsid w:val="003848BB"/>
    <w:rsid w:val="00386D67"/>
    <w:rsid w:val="003945B8"/>
    <w:rsid w:val="003D7F29"/>
    <w:rsid w:val="003F36DA"/>
    <w:rsid w:val="003F5DD6"/>
    <w:rsid w:val="003F645E"/>
    <w:rsid w:val="00402FA7"/>
    <w:rsid w:val="00405A6B"/>
    <w:rsid w:val="00407B1F"/>
    <w:rsid w:val="00414C57"/>
    <w:rsid w:val="0041758C"/>
    <w:rsid w:val="00420DE9"/>
    <w:rsid w:val="004372A7"/>
    <w:rsid w:val="00442254"/>
    <w:rsid w:val="004539DE"/>
    <w:rsid w:val="00453C46"/>
    <w:rsid w:val="0045582A"/>
    <w:rsid w:val="00455E04"/>
    <w:rsid w:val="004617ED"/>
    <w:rsid w:val="00464960"/>
    <w:rsid w:val="004656CE"/>
    <w:rsid w:val="00471DF6"/>
    <w:rsid w:val="0048056B"/>
    <w:rsid w:val="00492555"/>
    <w:rsid w:val="004978F7"/>
    <w:rsid w:val="004A205B"/>
    <w:rsid w:val="004A2CF1"/>
    <w:rsid w:val="004A34F7"/>
    <w:rsid w:val="004B2B03"/>
    <w:rsid w:val="004B41AD"/>
    <w:rsid w:val="004C3035"/>
    <w:rsid w:val="004C307F"/>
    <w:rsid w:val="004E015F"/>
    <w:rsid w:val="004E0D06"/>
    <w:rsid w:val="004E4BA8"/>
    <w:rsid w:val="004F340F"/>
    <w:rsid w:val="004F7B7C"/>
    <w:rsid w:val="0052243D"/>
    <w:rsid w:val="00531C81"/>
    <w:rsid w:val="00532435"/>
    <w:rsid w:val="0053288F"/>
    <w:rsid w:val="00532F68"/>
    <w:rsid w:val="00535E34"/>
    <w:rsid w:val="00550354"/>
    <w:rsid w:val="00552BBA"/>
    <w:rsid w:val="00564662"/>
    <w:rsid w:val="00571236"/>
    <w:rsid w:val="00577485"/>
    <w:rsid w:val="00583363"/>
    <w:rsid w:val="005840D3"/>
    <w:rsid w:val="0058426A"/>
    <w:rsid w:val="00592EF6"/>
    <w:rsid w:val="005953A1"/>
    <w:rsid w:val="005A012A"/>
    <w:rsid w:val="005A5929"/>
    <w:rsid w:val="005B43F1"/>
    <w:rsid w:val="005B52E3"/>
    <w:rsid w:val="005D0332"/>
    <w:rsid w:val="005D0D8C"/>
    <w:rsid w:val="005D3322"/>
    <w:rsid w:val="005D3670"/>
    <w:rsid w:val="005D7ED9"/>
    <w:rsid w:val="005E3F81"/>
    <w:rsid w:val="005F0BD4"/>
    <w:rsid w:val="005F557C"/>
    <w:rsid w:val="006017D3"/>
    <w:rsid w:val="00613AC3"/>
    <w:rsid w:val="00616256"/>
    <w:rsid w:val="00617640"/>
    <w:rsid w:val="006263B1"/>
    <w:rsid w:val="00632F01"/>
    <w:rsid w:val="0066089A"/>
    <w:rsid w:val="006776AE"/>
    <w:rsid w:val="006A0D97"/>
    <w:rsid w:val="006A3194"/>
    <w:rsid w:val="006B1F86"/>
    <w:rsid w:val="006B60E7"/>
    <w:rsid w:val="006C0A91"/>
    <w:rsid w:val="006E4A48"/>
    <w:rsid w:val="006E5A30"/>
    <w:rsid w:val="007054BB"/>
    <w:rsid w:val="0070665C"/>
    <w:rsid w:val="00707064"/>
    <w:rsid w:val="00716342"/>
    <w:rsid w:val="007219CA"/>
    <w:rsid w:val="00730683"/>
    <w:rsid w:val="00732856"/>
    <w:rsid w:val="007445CC"/>
    <w:rsid w:val="0075261F"/>
    <w:rsid w:val="00753306"/>
    <w:rsid w:val="007533C3"/>
    <w:rsid w:val="0075468E"/>
    <w:rsid w:val="007656A8"/>
    <w:rsid w:val="00765E44"/>
    <w:rsid w:val="007665D8"/>
    <w:rsid w:val="00766E36"/>
    <w:rsid w:val="007722BF"/>
    <w:rsid w:val="00774C0E"/>
    <w:rsid w:val="00775EF8"/>
    <w:rsid w:val="007765F4"/>
    <w:rsid w:val="00776633"/>
    <w:rsid w:val="00784D53"/>
    <w:rsid w:val="00797797"/>
    <w:rsid w:val="007A215B"/>
    <w:rsid w:val="007A63C9"/>
    <w:rsid w:val="007A7DA2"/>
    <w:rsid w:val="007B32D1"/>
    <w:rsid w:val="007B3BA8"/>
    <w:rsid w:val="007B7095"/>
    <w:rsid w:val="007D24E1"/>
    <w:rsid w:val="007F35C8"/>
    <w:rsid w:val="007F4CE9"/>
    <w:rsid w:val="007F4E20"/>
    <w:rsid w:val="007F66B0"/>
    <w:rsid w:val="008156EC"/>
    <w:rsid w:val="00822C7E"/>
    <w:rsid w:val="00825661"/>
    <w:rsid w:val="00832590"/>
    <w:rsid w:val="00833EA2"/>
    <w:rsid w:val="008430A7"/>
    <w:rsid w:val="00847060"/>
    <w:rsid w:val="00856A33"/>
    <w:rsid w:val="00860499"/>
    <w:rsid w:val="008620D3"/>
    <w:rsid w:val="00875B33"/>
    <w:rsid w:val="00892620"/>
    <w:rsid w:val="008B104E"/>
    <w:rsid w:val="008C7D37"/>
    <w:rsid w:val="008D5885"/>
    <w:rsid w:val="008E027D"/>
    <w:rsid w:val="008E4152"/>
    <w:rsid w:val="008E4B7F"/>
    <w:rsid w:val="009149D0"/>
    <w:rsid w:val="00916EBC"/>
    <w:rsid w:val="00923FA2"/>
    <w:rsid w:val="009461B5"/>
    <w:rsid w:val="00960608"/>
    <w:rsid w:val="0096060D"/>
    <w:rsid w:val="0096455F"/>
    <w:rsid w:val="00974A50"/>
    <w:rsid w:val="0097585A"/>
    <w:rsid w:val="009924B0"/>
    <w:rsid w:val="009942C9"/>
    <w:rsid w:val="009A2368"/>
    <w:rsid w:val="009B35C4"/>
    <w:rsid w:val="009B433F"/>
    <w:rsid w:val="009B650A"/>
    <w:rsid w:val="009C630A"/>
    <w:rsid w:val="009D5A48"/>
    <w:rsid w:val="009E0D98"/>
    <w:rsid w:val="009F4192"/>
    <w:rsid w:val="00A068A1"/>
    <w:rsid w:val="00A1207D"/>
    <w:rsid w:val="00A12FD8"/>
    <w:rsid w:val="00A346FC"/>
    <w:rsid w:val="00A36646"/>
    <w:rsid w:val="00A44FBD"/>
    <w:rsid w:val="00A63661"/>
    <w:rsid w:val="00A73760"/>
    <w:rsid w:val="00A73A16"/>
    <w:rsid w:val="00A74D4C"/>
    <w:rsid w:val="00A76468"/>
    <w:rsid w:val="00A84F93"/>
    <w:rsid w:val="00A907A0"/>
    <w:rsid w:val="00A91AFD"/>
    <w:rsid w:val="00AA1584"/>
    <w:rsid w:val="00AB1AC5"/>
    <w:rsid w:val="00AB3BFC"/>
    <w:rsid w:val="00AB47DE"/>
    <w:rsid w:val="00AC4F2E"/>
    <w:rsid w:val="00AC58CB"/>
    <w:rsid w:val="00AC657D"/>
    <w:rsid w:val="00AD0C37"/>
    <w:rsid w:val="00AD385F"/>
    <w:rsid w:val="00AE6E2A"/>
    <w:rsid w:val="00AF04E1"/>
    <w:rsid w:val="00B11472"/>
    <w:rsid w:val="00B16BD9"/>
    <w:rsid w:val="00B23FA2"/>
    <w:rsid w:val="00B31E9C"/>
    <w:rsid w:val="00B35595"/>
    <w:rsid w:val="00B3783E"/>
    <w:rsid w:val="00B51C6D"/>
    <w:rsid w:val="00B55B8A"/>
    <w:rsid w:val="00B86D64"/>
    <w:rsid w:val="00B9099B"/>
    <w:rsid w:val="00B915E6"/>
    <w:rsid w:val="00B91882"/>
    <w:rsid w:val="00B96359"/>
    <w:rsid w:val="00BA4AC5"/>
    <w:rsid w:val="00BB19D5"/>
    <w:rsid w:val="00BB46EB"/>
    <w:rsid w:val="00BC1364"/>
    <w:rsid w:val="00BC33C6"/>
    <w:rsid w:val="00BC7DE9"/>
    <w:rsid w:val="00BD0962"/>
    <w:rsid w:val="00BD1F63"/>
    <w:rsid w:val="00BD5323"/>
    <w:rsid w:val="00BF479B"/>
    <w:rsid w:val="00C00794"/>
    <w:rsid w:val="00C022A5"/>
    <w:rsid w:val="00C02577"/>
    <w:rsid w:val="00C03C9A"/>
    <w:rsid w:val="00C12F71"/>
    <w:rsid w:val="00C204FB"/>
    <w:rsid w:val="00C20BEE"/>
    <w:rsid w:val="00C2158D"/>
    <w:rsid w:val="00C231EE"/>
    <w:rsid w:val="00C238C8"/>
    <w:rsid w:val="00C477D7"/>
    <w:rsid w:val="00C65C25"/>
    <w:rsid w:val="00C66FD5"/>
    <w:rsid w:val="00C67DD2"/>
    <w:rsid w:val="00C725CB"/>
    <w:rsid w:val="00C76F5C"/>
    <w:rsid w:val="00C90F65"/>
    <w:rsid w:val="00C96BAD"/>
    <w:rsid w:val="00CA277C"/>
    <w:rsid w:val="00CA6944"/>
    <w:rsid w:val="00CB0F8E"/>
    <w:rsid w:val="00CB7E7D"/>
    <w:rsid w:val="00CC2911"/>
    <w:rsid w:val="00CF0C6D"/>
    <w:rsid w:val="00CF7307"/>
    <w:rsid w:val="00CF7C68"/>
    <w:rsid w:val="00D01A07"/>
    <w:rsid w:val="00D05628"/>
    <w:rsid w:val="00D06438"/>
    <w:rsid w:val="00D07239"/>
    <w:rsid w:val="00D124FA"/>
    <w:rsid w:val="00D14EAB"/>
    <w:rsid w:val="00D154DA"/>
    <w:rsid w:val="00D224A5"/>
    <w:rsid w:val="00D26292"/>
    <w:rsid w:val="00D26BF8"/>
    <w:rsid w:val="00D340DE"/>
    <w:rsid w:val="00D36E7B"/>
    <w:rsid w:val="00D55723"/>
    <w:rsid w:val="00D62FAD"/>
    <w:rsid w:val="00D70450"/>
    <w:rsid w:val="00D734F2"/>
    <w:rsid w:val="00D83BFD"/>
    <w:rsid w:val="00D90A38"/>
    <w:rsid w:val="00DA0515"/>
    <w:rsid w:val="00DA171E"/>
    <w:rsid w:val="00DA56AA"/>
    <w:rsid w:val="00DB1FC4"/>
    <w:rsid w:val="00DB5833"/>
    <w:rsid w:val="00DB66AD"/>
    <w:rsid w:val="00DC0EA5"/>
    <w:rsid w:val="00DD2858"/>
    <w:rsid w:val="00DE60F6"/>
    <w:rsid w:val="00DF176E"/>
    <w:rsid w:val="00DF2AD8"/>
    <w:rsid w:val="00DF679C"/>
    <w:rsid w:val="00E03E33"/>
    <w:rsid w:val="00E13526"/>
    <w:rsid w:val="00E23A30"/>
    <w:rsid w:val="00E3642A"/>
    <w:rsid w:val="00E40BC5"/>
    <w:rsid w:val="00E415C4"/>
    <w:rsid w:val="00E50016"/>
    <w:rsid w:val="00E50EAA"/>
    <w:rsid w:val="00E523B1"/>
    <w:rsid w:val="00E60FC1"/>
    <w:rsid w:val="00E61026"/>
    <w:rsid w:val="00E656D6"/>
    <w:rsid w:val="00E75091"/>
    <w:rsid w:val="00E977EE"/>
    <w:rsid w:val="00EA67A2"/>
    <w:rsid w:val="00EA6A42"/>
    <w:rsid w:val="00EB1D77"/>
    <w:rsid w:val="00EB6B6F"/>
    <w:rsid w:val="00EC2B3C"/>
    <w:rsid w:val="00EC4F98"/>
    <w:rsid w:val="00ED3053"/>
    <w:rsid w:val="00ED3D0C"/>
    <w:rsid w:val="00ED452E"/>
    <w:rsid w:val="00ED5185"/>
    <w:rsid w:val="00ED556D"/>
    <w:rsid w:val="00ED651D"/>
    <w:rsid w:val="00EF4DEE"/>
    <w:rsid w:val="00EF60DD"/>
    <w:rsid w:val="00F03659"/>
    <w:rsid w:val="00F06FF9"/>
    <w:rsid w:val="00F12F02"/>
    <w:rsid w:val="00F21117"/>
    <w:rsid w:val="00F3088E"/>
    <w:rsid w:val="00F32E0D"/>
    <w:rsid w:val="00F35134"/>
    <w:rsid w:val="00F365F1"/>
    <w:rsid w:val="00F375CA"/>
    <w:rsid w:val="00F40DA6"/>
    <w:rsid w:val="00F41812"/>
    <w:rsid w:val="00F479DE"/>
    <w:rsid w:val="00F523B5"/>
    <w:rsid w:val="00F7130D"/>
    <w:rsid w:val="00F73333"/>
    <w:rsid w:val="00F85270"/>
    <w:rsid w:val="00F92897"/>
    <w:rsid w:val="00F93545"/>
    <w:rsid w:val="00F95332"/>
    <w:rsid w:val="00F95D8F"/>
    <w:rsid w:val="00FA5AC7"/>
    <w:rsid w:val="00FB1F0A"/>
    <w:rsid w:val="00FB350A"/>
    <w:rsid w:val="00FC5E86"/>
    <w:rsid w:val="00FE4CCB"/>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2961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annotation reference" w:uiPriority="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annotation subjec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
    <w:qFormat/>
    <w:rsid w:val="008D5885"/>
    <w:pPr>
      <w:keepNext/>
      <w:keepLines/>
      <w:outlineLvl w:val="0"/>
    </w:pPr>
    <w:rPr>
      <w:rFonts w:ascii="Arial" w:hAnsi="Arial"/>
      <w:b/>
      <w:bCs/>
      <w:szCs w:val="28"/>
    </w:rPr>
  </w:style>
  <w:style w:type="paragraph" w:styleId="Heading2">
    <w:name w:val="heading 2"/>
    <w:basedOn w:val="Normal"/>
    <w:next w:val="Normal"/>
    <w:link w:val="Heading2Char"/>
    <w:uiPriority w:val="9"/>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753306"/>
    <w:pPr>
      <w:keepNext/>
      <w:keepLines/>
      <w:spacing w:before="200"/>
      <w:outlineLvl w:val="2"/>
    </w:pPr>
    <w:rPr>
      <w:rFonts w:eastAsiaTheme="majorEastAsia" w:cstheme="majorBidi"/>
      <w:b/>
      <w:bCs/>
      <w:sz w:val="18"/>
    </w:rPr>
  </w:style>
  <w:style w:type="paragraph" w:styleId="Heading4">
    <w:name w:val="heading 4"/>
    <w:basedOn w:val="Normal"/>
    <w:next w:val="Normal"/>
    <w:link w:val="Heading4Char"/>
    <w:qFormat/>
    <w:locked/>
    <w:rsid w:val="00BB46EB"/>
    <w:pPr>
      <w:keepNext/>
      <w:spacing w:before="240" w:after="60"/>
      <w:outlineLvl w:val="3"/>
    </w:pPr>
    <w:rPr>
      <w:rFonts w:ascii="Arial" w:hAnsi="Arial"/>
      <w:bCs/>
      <w:sz w:val="28"/>
      <w:szCs w:val="28"/>
      <w:lang w:eastAsia="en-US"/>
    </w:rPr>
  </w:style>
  <w:style w:type="paragraph" w:styleId="Heading5">
    <w:name w:val="heading 5"/>
    <w:basedOn w:val="Normal"/>
    <w:next w:val="Normal"/>
    <w:link w:val="Heading5Char"/>
    <w:unhideWhenUsed/>
    <w:qFormat/>
    <w:locked/>
    <w:rsid w:val="000E155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locked/>
    <w:rsid w:val="00BB46EB"/>
    <w:pPr>
      <w:keepNext/>
      <w:spacing w:before="240" w:after="60"/>
      <w:outlineLvl w:val="5"/>
    </w:pPr>
    <w:rPr>
      <w:b/>
      <w:bCs/>
      <w: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rsid w:val="00065623"/>
    <w:rPr>
      <w:rFonts w:ascii="Tahoma" w:hAnsi="Tahoma" w:cs="Tahoma"/>
      <w:sz w:val="16"/>
      <w:szCs w:val="16"/>
    </w:rPr>
  </w:style>
  <w:style w:type="character" w:customStyle="1" w:styleId="BalloonTextChar">
    <w:name w:val="Balloon Text Char"/>
    <w:basedOn w:val="DefaultParagraphFont"/>
    <w:link w:val="BalloonText"/>
    <w:uiPriority w:val="99"/>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rsid w:val="00974A50"/>
    <w:rPr>
      <w:rFonts w:cs="Times New Roman"/>
      <w:sz w:val="16"/>
      <w:szCs w:val="16"/>
    </w:rPr>
  </w:style>
  <w:style w:type="paragraph" w:styleId="CommentText">
    <w:name w:val="annotation text"/>
    <w:basedOn w:val="Normal"/>
    <w:link w:val="CommentTextChar"/>
    <w:rsid w:val="00974A50"/>
    <w:rPr>
      <w:sz w:val="20"/>
    </w:rPr>
  </w:style>
  <w:style w:type="character" w:customStyle="1" w:styleId="CommentTextChar">
    <w:name w:val="Comment Text Char"/>
    <w:basedOn w:val="DefaultParagraphFont"/>
    <w:link w:val="CommentText"/>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rsid w:val="00974A50"/>
    <w:rPr>
      <w:b/>
      <w:bCs/>
    </w:rPr>
  </w:style>
  <w:style w:type="character" w:customStyle="1" w:styleId="CommentSubjectChar">
    <w:name w:val="Comment Subject Char"/>
    <w:basedOn w:val="CommentTextChar"/>
    <w:link w:val="CommentSubject"/>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uiPriority w:val="9"/>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qFormat/>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5"/>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5"/>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4"/>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2"/>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
      </w:numPr>
    </w:pPr>
  </w:style>
  <w:style w:type="numbering" w:customStyle="1" w:styleId="TableListNumbers">
    <w:name w:val="TableListNumbers"/>
    <w:uiPriority w:val="99"/>
    <w:rsid w:val="00BB19D5"/>
    <w:pPr>
      <w:numPr>
        <w:numId w:val="2"/>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aliases w:val="Summary box"/>
    <w:basedOn w:val="TableNormal"/>
    <w:uiPriority w:val="59"/>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character" w:customStyle="1" w:styleId="Heading3Char">
    <w:name w:val="Heading 3 Char"/>
    <w:basedOn w:val="DefaultParagraphFont"/>
    <w:link w:val="Heading3"/>
    <w:rsid w:val="00753306"/>
    <w:rPr>
      <w:rFonts w:eastAsiaTheme="majorEastAsia" w:cstheme="majorBidi"/>
      <w:b/>
      <w:bCs/>
      <w:sz w:val="18"/>
      <w:szCs w:val="20"/>
    </w:rPr>
  </w:style>
  <w:style w:type="character" w:customStyle="1" w:styleId="Heading5Char">
    <w:name w:val="Heading 5 Char"/>
    <w:basedOn w:val="DefaultParagraphFont"/>
    <w:link w:val="Heading5"/>
    <w:rsid w:val="000E155F"/>
    <w:rPr>
      <w:rFonts w:asciiTheme="majorHAnsi" w:eastAsiaTheme="majorEastAsia" w:hAnsiTheme="majorHAnsi" w:cstheme="majorBidi"/>
      <w:color w:val="243F60" w:themeColor="accent1" w:themeShade="7F"/>
      <w:sz w:val="24"/>
      <w:szCs w:val="20"/>
    </w:rPr>
  </w:style>
  <w:style w:type="character" w:customStyle="1" w:styleId="Heading4Char">
    <w:name w:val="Heading 4 Char"/>
    <w:basedOn w:val="DefaultParagraphFont"/>
    <w:link w:val="Heading4"/>
    <w:rsid w:val="00BB46EB"/>
    <w:rPr>
      <w:rFonts w:ascii="Arial" w:eastAsia="Times New Roman" w:hAnsi="Arial"/>
      <w:bCs/>
      <w:sz w:val="28"/>
      <w:szCs w:val="28"/>
      <w:lang w:eastAsia="en-US"/>
    </w:rPr>
  </w:style>
  <w:style w:type="character" w:customStyle="1" w:styleId="Heading6Char">
    <w:name w:val="Heading 6 Char"/>
    <w:basedOn w:val="DefaultParagraphFont"/>
    <w:link w:val="Heading6"/>
    <w:rsid w:val="00BB46EB"/>
    <w:rPr>
      <w:rFonts w:eastAsia="Times New Roman"/>
      <w:b/>
      <w:bCs/>
      <w:i/>
      <w:sz w:val="24"/>
      <w:lang w:eastAsia="en-US"/>
    </w:rPr>
  </w:style>
  <w:style w:type="character" w:styleId="Emphasis">
    <w:name w:val="Emphasis"/>
    <w:basedOn w:val="DefaultParagraphFont"/>
    <w:qFormat/>
    <w:locked/>
    <w:rsid w:val="00BB46EB"/>
    <w:rPr>
      <w:i/>
      <w:iCs/>
    </w:rPr>
  </w:style>
  <w:style w:type="character" w:styleId="Strong">
    <w:name w:val="Strong"/>
    <w:basedOn w:val="DefaultParagraphFont"/>
    <w:uiPriority w:val="22"/>
    <w:qFormat/>
    <w:locked/>
    <w:rsid w:val="00BB46EB"/>
    <w:rPr>
      <w:b/>
      <w:bCs/>
    </w:rPr>
  </w:style>
  <w:style w:type="paragraph" w:styleId="Subtitle">
    <w:name w:val="Subtitle"/>
    <w:basedOn w:val="Normal"/>
    <w:next w:val="Normal"/>
    <w:link w:val="SubtitleChar"/>
    <w:qFormat/>
    <w:locked/>
    <w:rsid w:val="00BB46EB"/>
    <w:pPr>
      <w:numPr>
        <w:ilvl w:val="1"/>
      </w:numPr>
    </w:pPr>
    <w:rPr>
      <w:rFonts w:asciiTheme="majorHAnsi" w:eastAsiaTheme="majorEastAsia" w:hAnsiTheme="majorHAnsi" w:cstheme="majorBidi"/>
      <w:iCs/>
      <w:spacing w:val="15"/>
      <w:szCs w:val="24"/>
      <w:lang w:eastAsia="en-US"/>
    </w:rPr>
  </w:style>
  <w:style w:type="character" w:customStyle="1" w:styleId="SubtitleChar">
    <w:name w:val="Subtitle Char"/>
    <w:basedOn w:val="DefaultParagraphFont"/>
    <w:link w:val="Subtitle"/>
    <w:rsid w:val="00BB46EB"/>
    <w:rPr>
      <w:rFonts w:asciiTheme="majorHAnsi" w:eastAsiaTheme="majorEastAsia" w:hAnsiTheme="majorHAnsi" w:cstheme="majorBidi"/>
      <w:iCs/>
      <w:spacing w:val="15"/>
      <w:sz w:val="24"/>
      <w:szCs w:val="24"/>
      <w:lang w:eastAsia="en-US"/>
    </w:rPr>
  </w:style>
  <w:style w:type="paragraph" w:styleId="NoSpacing">
    <w:name w:val="No Spacing"/>
    <w:uiPriority w:val="1"/>
    <w:qFormat/>
    <w:rsid w:val="00BB46EB"/>
    <w:rPr>
      <w:rFonts w:eastAsia="Times New Roman"/>
      <w:sz w:val="24"/>
      <w:szCs w:val="24"/>
      <w:lang w:eastAsia="en-US"/>
    </w:rPr>
  </w:style>
  <w:style w:type="character" w:styleId="SubtleEmphasis">
    <w:name w:val="Subtle Emphasis"/>
    <w:basedOn w:val="DefaultParagraphFont"/>
    <w:uiPriority w:val="19"/>
    <w:qFormat/>
    <w:rsid w:val="00BB46EB"/>
    <w:rPr>
      <w:i/>
      <w:iCs/>
      <w:color w:val="808080" w:themeColor="text1" w:themeTint="7F"/>
    </w:rPr>
  </w:style>
  <w:style w:type="character" w:styleId="IntenseEmphasis">
    <w:name w:val="Intense Emphasis"/>
    <w:basedOn w:val="DefaultParagraphFont"/>
    <w:uiPriority w:val="21"/>
    <w:qFormat/>
    <w:rsid w:val="00BB46EB"/>
    <w:rPr>
      <w:b/>
      <w:bCs/>
      <w:i/>
      <w:iCs/>
      <w:color w:val="4F81BD" w:themeColor="accent1"/>
    </w:rPr>
  </w:style>
  <w:style w:type="paragraph" w:styleId="Quote">
    <w:name w:val="Quote"/>
    <w:basedOn w:val="Normal"/>
    <w:next w:val="Normal"/>
    <w:link w:val="QuoteChar"/>
    <w:uiPriority w:val="29"/>
    <w:qFormat/>
    <w:rsid w:val="00BB46EB"/>
    <w:rPr>
      <w:i/>
      <w:iCs/>
      <w:color w:val="000000" w:themeColor="text1"/>
      <w:szCs w:val="24"/>
      <w:lang w:eastAsia="en-US"/>
    </w:rPr>
  </w:style>
  <w:style w:type="character" w:customStyle="1" w:styleId="QuoteChar">
    <w:name w:val="Quote Char"/>
    <w:basedOn w:val="DefaultParagraphFont"/>
    <w:link w:val="Quote"/>
    <w:uiPriority w:val="29"/>
    <w:rsid w:val="00BB46EB"/>
    <w:rPr>
      <w:rFonts w:eastAsia="Times New Roman"/>
      <w:i/>
      <w:iCs/>
      <w:color w:val="000000" w:themeColor="text1"/>
      <w:sz w:val="24"/>
      <w:szCs w:val="24"/>
      <w:lang w:eastAsia="en-US"/>
    </w:rPr>
  </w:style>
  <w:style w:type="paragraph" w:styleId="IntenseQuote">
    <w:name w:val="Intense Quote"/>
    <w:basedOn w:val="Normal"/>
    <w:next w:val="Normal"/>
    <w:link w:val="IntenseQuoteChar"/>
    <w:uiPriority w:val="30"/>
    <w:qFormat/>
    <w:rsid w:val="00BB46EB"/>
    <w:pPr>
      <w:pBdr>
        <w:bottom w:val="single" w:sz="4" w:space="4" w:color="4F81BD" w:themeColor="accent1"/>
      </w:pBdr>
      <w:spacing w:before="200" w:after="280"/>
      <w:ind w:left="936" w:right="936"/>
    </w:pPr>
    <w:rPr>
      <w:b/>
      <w:bCs/>
      <w:i/>
      <w:iCs/>
      <w:color w:val="4F81BD" w:themeColor="accent1"/>
      <w:szCs w:val="24"/>
      <w:lang w:eastAsia="en-US"/>
    </w:rPr>
  </w:style>
  <w:style w:type="character" w:customStyle="1" w:styleId="IntenseQuoteChar">
    <w:name w:val="Intense Quote Char"/>
    <w:basedOn w:val="DefaultParagraphFont"/>
    <w:link w:val="IntenseQuote"/>
    <w:uiPriority w:val="30"/>
    <w:rsid w:val="00BB46EB"/>
    <w:rPr>
      <w:rFonts w:eastAsia="Times New Roman"/>
      <w:b/>
      <w:bCs/>
      <w:i/>
      <w:iCs/>
      <w:color w:val="4F81BD" w:themeColor="accent1"/>
      <w:sz w:val="24"/>
      <w:szCs w:val="24"/>
      <w:lang w:eastAsia="en-US"/>
    </w:rPr>
  </w:style>
  <w:style w:type="character" w:styleId="SubtleReference">
    <w:name w:val="Subtle Reference"/>
    <w:basedOn w:val="DefaultParagraphFont"/>
    <w:uiPriority w:val="31"/>
    <w:qFormat/>
    <w:rsid w:val="00BB46EB"/>
    <w:rPr>
      <w:smallCaps/>
      <w:color w:val="C0504D" w:themeColor="accent2"/>
      <w:u w:val="single"/>
    </w:rPr>
  </w:style>
  <w:style w:type="character" w:styleId="BookTitle">
    <w:name w:val="Book Title"/>
    <w:basedOn w:val="DefaultParagraphFont"/>
    <w:uiPriority w:val="33"/>
    <w:qFormat/>
    <w:rsid w:val="00BB46EB"/>
    <w:rPr>
      <w:b/>
      <w:bCs/>
      <w:smallCaps/>
      <w:spacing w:val="5"/>
    </w:rPr>
  </w:style>
  <w:style w:type="paragraph" w:styleId="TOCHeading">
    <w:name w:val="TOC Heading"/>
    <w:basedOn w:val="Heading1"/>
    <w:next w:val="Normal"/>
    <w:uiPriority w:val="39"/>
    <w:semiHidden/>
    <w:unhideWhenUsed/>
    <w:qFormat/>
    <w:rsid w:val="00BB46EB"/>
    <w:pPr>
      <w:spacing w:before="480" w:line="276" w:lineRule="auto"/>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locked/>
    <w:rsid w:val="00BB46EB"/>
    <w:pPr>
      <w:spacing w:after="100"/>
    </w:pPr>
    <w:rPr>
      <w:szCs w:val="24"/>
      <w:lang w:eastAsia="en-US"/>
    </w:rPr>
  </w:style>
  <w:style w:type="paragraph" w:styleId="TOC2">
    <w:name w:val="toc 2"/>
    <w:basedOn w:val="Normal"/>
    <w:next w:val="Normal"/>
    <w:autoRedefine/>
    <w:uiPriority w:val="39"/>
    <w:locked/>
    <w:rsid w:val="00BB46EB"/>
    <w:pPr>
      <w:tabs>
        <w:tab w:val="right" w:leader="dot" w:pos="8647"/>
      </w:tabs>
      <w:spacing w:after="100"/>
    </w:pPr>
    <w:rPr>
      <w:szCs w:val="24"/>
      <w:lang w:eastAsia="en-US"/>
    </w:rPr>
  </w:style>
  <w:style w:type="paragraph" w:styleId="NormalWeb">
    <w:name w:val="Normal (Web)"/>
    <w:basedOn w:val="Normal"/>
    <w:uiPriority w:val="99"/>
    <w:unhideWhenUsed/>
    <w:rsid w:val="00BB46EB"/>
    <w:pPr>
      <w:spacing w:before="100" w:beforeAutospacing="1" w:after="100" w:afterAutospacing="1"/>
    </w:pPr>
    <w:rPr>
      <w:szCs w:val="24"/>
    </w:rPr>
  </w:style>
  <w:style w:type="character" w:customStyle="1" w:styleId="apple-converted-space">
    <w:name w:val="apple-converted-space"/>
    <w:basedOn w:val="DefaultParagraphFont"/>
    <w:rsid w:val="00BB46EB"/>
  </w:style>
  <w:style w:type="paragraph" w:styleId="TOC3">
    <w:name w:val="toc 3"/>
    <w:basedOn w:val="Normal"/>
    <w:next w:val="Normal"/>
    <w:autoRedefine/>
    <w:uiPriority w:val="39"/>
    <w:locked/>
    <w:rsid w:val="00BB46EB"/>
    <w:pPr>
      <w:spacing w:after="100"/>
      <w:ind w:left="480"/>
    </w:pPr>
    <w:rPr>
      <w:szCs w:val="24"/>
      <w:lang w:eastAsia="en-US"/>
    </w:rPr>
  </w:style>
  <w:style w:type="paragraph" w:customStyle="1" w:styleId="CharCharChar">
    <w:name w:val="Char Char Char"/>
    <w:basedOn w:val="Normal"/>
    <w:uiPriority w:val="99"/>
    <w:rsid w:val="00BB46EB"/>
    <w:rPr>
      <w:rFonts w:ascii="Arial" w:hAnsi="Arial" w:cs="Arial"/>
      <w:sz w:val="22"/>
      <w:szCs w:val="22"/>
      <w:lang w:eastAsia="en-US"/>
    </w:rPr>
  </w:style>
  <w:style w:type="paragraph" w:customStyle="1" w:styleId="Tabletext0">
    <w:name w:val="Table text"/>
    <w:basedOn w:val="NoSpacing"/>
    <w:link w:val="TabletextChar0"/>
    <w:qFormat/>
    <w:rsid w:val="00BB46EB"/>
    <w:pPr>
      <w:tabs>
        <w:tab w:val="left" w:pos="416"/>
        <w:tab w:val="left" w:pos="582"/>
      </w:tabs>
      <w:spacing w:before="40" w:after="40"/>
    </w:pPr>
    <w:rPr>
      <w:rFonts w:ascii="Arial Narrow" w:hAnsi="Arial Narrow"/>
      <w:sz w:val="20"/>
    </w:rPr>
  </w:style>
  <w:style w:type="character" w:customStyle="1" w:styleId="TabletextChar0">
    <w:name w:val="Table text Char"/>
    <w:basedOn w:val="DefaultParagraphFont"/>
    <w:link w:val="Tabletext0"/>
    <w:rsid w:val="00BB46EB"/>
    <w:rPr>
      <w:rFonts w:ascii="Arial Narrow" w:eastAsia="Times New Roman" w:hAnsi="Arial Narrow"/>
      <w:sz w:val="20"/>
      <w:szCs w:val="24"/>
      <w:lang w:eastAsia="en-US"/>
    </w:rPr>
  </w:style>
  <w:style w:type="paragraph" w:customStyle="1" w:styleId="Tabletextbold">
    <w:name w:val="Table text bold"/>
    <w:basedOn w:val="Tabletext0"/>
    <w:uiPriority w:val="99"/>
    <w:rsid w:val="00BB46EB"/>
    <w:pPr>
      <w:keepNext/>
      <w:keepLines/>
    </w:pPr>
    <w:rPr>
      <w:rFonts w:cs="Arial"/>
      <w:b/>
      <w:szCs w:val="20"/>
    </w:rPr>
  </w:style>
  <w:style w:type="paragraph" w:customStyle="1" w:styleId="TableNotes">
    <w:name w:val="Table Notes"/>
    <w:basedOn w:val="Normal"/>
    <w:link w:val="TableNotesChar"/>
    <w:qFormat/>
    <w:rsid w:val="00BB46EB"/>
    <w:pPr>
      <w:spacing w:after="40" w:line="276" w:lineRule="auto"/>
    </w:pPr>
    <w:rPr>
      <w:rFonts w:ascii="Arial Narrow" w:hAnsi="Arial Narrow"/>
      <w:sz w:val="16"/>
      <w:szCs w:val="22"/>
      <w:lang w:eastAsia="en-US" w:bidi="en-US"/>
    </w:rPr>
  </w:style>
  <w:style w:type="character" w:customStyle="1" w:styleId="TableNotesChar">
    <w:name w:val="Table Notes Char"/>
    <w:basedOn w:val="DefaultParagraphFont"/>
    <w:link w:val="TableNotes"/>
    <w:rsid w:val="00BB46EB"/>
    <w:rPr>
      <w:rFonts w:ascii="Arial Narrow" w:eastAsia="Times New Roman" w:hAnsi="Arial Narrow"/>
      <w:sz w:val="16"/>
      <w:lang w:eastAsia="en-US" w:bidi="en-US"/>
    </w:rPr>
  </w:style>
  <w:style w:type="paragraph" w:customStyle="1" w:styleId="captiontable">
    <w:name w:val="caption:table"/>
    <w:basedOn w:val="Normal"/>
    <w:next w:val="Normal"/>
    <w:link w:val="captiontableChar"/>
    <w:rsid w:val="00BB46EB"/>
    <w:pPr>
      <w:keepNext/>
      <w:adjustRightInd w:val="0"/>
      <w:spacing w:before="120"/>
      <w:textAlignment w:val="baseline"/>
    </w:pPr>
    <w:rPr>
      <w:rFonts w:ascii="Candara" w:hAnsi="Candara" w:cs="Arial"/>
      <w:b/>
      <w:bCs/>
      <w:szCs w:val="22"/>
      <w:lang w:val="en-GB" w:eastAsia="en-US"/>
    </w:rPr>
  </w:style>
  <w:style w:type="character" w:customStyle="1" w:styleId="captiontableChar">
    <w:name w:val="caption:table Char"/>
    <w:basedOn w:val="DefaultParagraphFont"/>
    <w:link w:val="captiontable"/>
    <w:locked/>
    <w:rsid w:val="00BB46EB"/>
    <w:rPr>
      <w:rFonts w:ascii="Candara" w:eastAsia="Times New Roman" w:hAnsi="Candara" w:cs="Arial"/>
      <w:b/>
      <w:bCs/>
      <w:sz w:val="24"/>
      <w:lang w:val="en-GB" w:eastAsia="en-US"/>
    </w:rPr>
  </w:style>
  <w:style w:type="paragraph" w:customStyle="1" w:styleId="Char1">
    <w:name w:val="Char1"/>
    <w:basedOn w:val="Normal"/>
    <w:rsid w:val="00BB46EB"/>
    <w:rPr>
      <w:rFonts w:ascii="Arial" w:hAnsi="Arial" w:cs="Arial"/>
      <w:sz w:val="22"/>
      <w:szCs w:val="22"/>
      <w:lang w:eastAsia="en-US"/>
    </w:rPr>
  </w:style>
  <w:style w:type="paragraph" w:customStyle="1" w:styleId="TableText2centerheaderrow">
    <w:name w:val="Table Text 2 (center) header row"/>
    <w:basedOn w:val="Normal"/>
    <w:rsid w:val="00BB46EB"/>
    <w:pPr>
      <w:tabs>
        <w:tab w:val="left" w:pos="2835"/>
      </w:tabs>
      <w:snapToGrid w:val="0"/>
      <w:spacing w:before="80" w:after="80"/>
      <w:jc w:val="center"/>
    </w:pPr>
    <w:rPr>
      <w:rFonts w:eastAsia="SimSun"/>
      <w:sz w:val="20"/>
      <w:lang w:eastAsia="en-US"/>
    </w:rPr>
  </w:style>
  <w:style w:type="paragraph" w:customStyle="1" w:styleId="TableText1left">
    <w:name w:val="Table Text 1 (left)"/>
    <w:basedOn w:val="Normal"/>
    <w:link w:val="TableText1leftChar"/>
    <w:qFormat/>
    <w:rsid w:val="00BB46EB"/>
    <w:pPr>
      <w:spacing w:before="40" w:after="40"/>
    </w:pPr>
    <w:rPr>
      <w:rFonts w:eastAsia="SimSun"/>
      <w:sz w:val="20"/>
      <w:lang w:val="en-GB" w:eastAsia="en-US"/>
    </w:rPr>
  </w:style>
  <w:style w:type="paragraph" w:customStyle="1" w:styleId="Spaceundertable">
    <w:name w:val="Space under table"/>
    <w:basedOn w:val="Normal"/>
    <w:link w:val="SpaceundertableChar"/>
    <w:qFormat/>
    <w:rsid w:val="00BB46EB"/>
    <w:rPr>
      <w:rFonts w:eastAsia="SimSun"/>
      <w:sz w:val="8"/>
      <w:szCs w:val="8"/>
      <w:lang w:eastAsia="zh-CN"/>
    </w:rPr>
  </w:style>
  <w:style w:type="character" w:customStyle="1" w:styleId="SourceChar1">
    <w:name w:val="Source Char1"/>
    <w:rsid w:val="00BB46EB"/>
    <w:rPr>
      <w:rFonts w:eastAsia="SimSun"/>
      <w:sz w:val="18"/>
      <w:szCs w:val="18"/>
      <w:lang w:eastAsia="en-US"/>
    </w:rPr>
  </w:style>
  <w:style w:type="character" w:customStyle="1" w:styleId="TableText1leftChar">
    <w:name w:val="Table Text 1 (left) Char"/>
    <w:link w:val="TableText1left"/>
    <w:rsid w:val="00BB46EB"/>
    <w:rPr>
      <w:rFonts w:eastAsia="SimSun"/>
      <w:sz w:val="20"/>
      <w:szCs w:val="20"/>
      <w:lang w:val="en-GB" w:eastAsia="en-US"/>
    </w:rPr>
  </w:style>
  <w:style w:type="character" w:customStyle="1" w:styleId="SpaceundertableChar">
    <w:name w:val="Space under table Char"/>
    <w:link w:val="Spaceundertable"/>
    <w:rsid w:val="00BB46EB"/>
    <w:rPr>
      <w:rFonts w:eastAsia="SimSun"/>
      <w:sz w:val="8"/>
      <w:szCs w:val="8"/>
      <w:lang w:eastAsia="zh-CN"/>
    </w:rPr>
  </w:style>
  <w:style w:type="paragraph" w:customStyle="1" w:styleId="TabletextindentlistABC">
    <w:name w:val="Table text indent list (ABC)"/>
    <w:basedOn w:val="TableText1left"/>
    <w:rsid w:val="00BB46EB"/>
    <w:pPr>
      <w:ind w:left="341" w:hanging="341"/>
    </w:pPr>
  </w:style>
  <w:style w:type="paragraph" w:customStyle="1" w:styleId="Style10">
    <w:name w:val="Style10"/>
    <w:basedOn w:val="Normal"/>
    <w:link w:val="Style10Char"/>
    <w:qFormat/>
    <w:rsid w:val="00BB46EB"/>
    <w:rPr>
      <w:szCs w:val="24"/>
    </w:rPr>
  </w:style>
  <w:style w:type="character" w:customStyle="1" w:styleId="Style10Char">
    <w:name w:val="Style10 Char"/>
    <w:basedOn w:val="DefaultParagraphFont"/>
    <w:link w:val="Style10"/>
    <w:rsid w:val="00BB46EB"/>
    <w:rPr>
      <w:rFonts w:eastAsia="Times New Roman"/>
      <w:sz w:val="24"/>
      <w:szCs w:val="24"/>
    </w:rPr>
  </w:style>
  <w:style w:type="character" w:styleId="FollowedHyperlink">
    <w:name w:val="FollowedHyperlink"/>
    <w:basedOn w:val="DefaultParagraphFont"/>
    <w:uiPriority w:val="99"/>
    <w:rsid w:val="00BB46EB"/>
    <w:rPr>
      <w:color w:val="800080" w:themeColor="followedHyperlink"/>
      <w:u w:val="single"/>
    </w:rPr>
  </w:style>
  <w:style w:type="paragraph" w:customStyle="1" w:styleId="Table-bodytext">
    <w:name w:val="Table - body text"/>
    <w:basedOn w:val="Normal"/>
    <w:link w:val="Table-bodytextChar"/>
    <w:rsid w:val="00BB46EB"/>
    <w:pPr>
      <w:spacing w:after="120"/>
      <w:jc w:val="center"/>
    </w:pPr>
    <w:rPr>
      <w:rFonts w:ascii="Calibri" w:eastAsia="Calibri" w:hAnsi="Calibri" w:cs="Calibri"/>
      <w:sz w:val="20"/>
      <w:szCs w:val="22"/>
      <w:lang w:eastAsia="en-US"/>
    </w:rPr>
  </w:style>
  <w:style w:type="character" w:customStyle="1" w:styleId="Table-bodytextChar">
    <w:name w:val="Table - body text Char"/>
    <w:basedOn w:val="DefaultParagraphFont"/>
    <w:link w:val="Table-bodytext"/>
    <w:rsid w:val="00BB46EB"/>
    <w:rPr>
      <w:rFonts w:ascii="Calibri" w:hAnsi="Calibri" w:cs="Calibri"/>
      <w:sz w:val="20"/>
      <w:lang w:eastAsia="en-US"/>
    </w:rPr>
  </w:style>
  <w:style w:type="paragraph" w:customStyle="1" w:styleId="jon">
    <w:name w:val="jon"/>
    <w:basedOn w:val="Normal"/>
    <w:link w:val="jonChar"/>
    <w:qFormat/>
    <w:rsid w:val="00BB46EB"/>
    <w:pPr>
      <w:spacing w:before="80" w:after="160" w:line="360" w:lineRule="auto"/>
    </w:pPr>
    <w:rPr>
      <w:rFonts w:ascii="Calibri" w:hAnsi="Calibri" w:cs="Arial"/>
      <w:sz w:val="22"/>
      <w:szCs w:val="22"/>
      <w:lang w:eastAsia="zh-CN"/>
    </w:rPr>
  </w:style>
  <w:style w:type="character" w:customStyle="1" w:styleId="jonChar">
    <w:name w:val="jon Char"/>
    <w:basedOn w:val="DefaultParagraphFont"/>
    <w:link w:val="jon"/>
    <w:rsid w:val="00BB46EB"/>
    <w:rPr>
      <w:rFonts w:ascii="Calibri" w:eastAsia="Times New Roman" w:hAnsi="Calibri" w:cs="Arial"/>
      <w:lang w:eastAsia="zh-CN"/>
    </w:rPr>
  </w:style>
  <w:style w:type="paragraph" w:styleId="TableofFigures">
    <w:name w:val="table of figures"/>
    <w:basedOn w:val="Normal"/>
    <w:next w:val="Normal"/>
    <w:uiPriority w:val="99"/>
    <w:rsid w:val="00BB46EB"/>
    <w:rPr>
      <w:szCs w:val="24"/>
      <w:lang w:eastAsia="en-US"/>
    </w:rPr>
  </w:style>
  <w:style w:type="table" w:customStyle="1" w:styleId="Summarybox1">
    <w:name w:val="Summary box1"/>
    <w:basedOn w:val="TableNormal"/>
    <w:next w:val="TableGrid"/>
    <w:uiPriority w:val="59"/>
    <w:rsid w:val="00BB46E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annotation reference" w:uiPriority="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annotation subjec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
    <w:qFormat/>
    <w:rsid w:val="008D5885"/>
    <w:pPr>
      <w:keepNext/>
      <w:keepLines/>
      <w:outlineLvl w:val="0"/>
    </w:pPr>
    <w:rPr>
      <w:rFonts w:ascii="Arial" w:hAnsi="Arial"/>
      <w:b/>
      <w:bCs/>
      <w:szCs w:val="28"/>
    </w:rPr>
  </w:style>
  <w:style w:type="paragraph" w:styleId="Heading2">
    <w:name w:val="heading 2"/>
    <w:basedOn w:val="Normal"/>
    <w:next w:val="Normal"/>
    <w:link w:val="Heading2Char"/>
    <w:uiPriority w:val="9"/>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753306"/>
    <w:pPr>
      <w:keepNext/>
      <w:keepLines/>
      <w:spacing w:before="200"/>
      <w:outlineLvl w:val="2"/>
    </w:pPr>
    <w:rPr>
      <w:rFonts w:eastAsiaTheme="majorEastAsia" w:cstheme="majorBidi"/>
      <w:b/>
      <w:bCs/>
      <w:sz w:val="18"/>
    </w:rPr>
  </w:style>
  <w:style w:type="paragraph" w:styleId="Heading4">
    <w:name w:val="heading 4"/>
    <w:basedOn w:val="Normal"/>
    <w:next w:val="Normal"/>
    <w:link w:val="Heading4Char"/>
    <w:qFormat/>
    <w:locked/>
    <w:rsid w:val="00BB46EB"/>
    <w:pPr>
      <w:keepNext/>
      <w:spacing w:before="240" w:after="60"/>
      <w:outlineLvl w:val="3"/>
    </w:pPr>
    <w:rPr>
      <w:rFonts w:ascii="Arial" w:hAnsi="Arial"/>
      <w:bCs/>
      <w:sz w:val="28"/>
      <w:szCs w:val="28"/>
      <w:lang w:eastAsia="en-US"/>
    </w:rPr>
  </w:style>
  <w:style w:type="paragraph" w:styleId="Heading5">
    <w:name w:val="heading 5"/>
    <w:basedOn w:val="Normal"/>
    <w:next w:val="Normal"/>
    <w:link w:val="Heading5Char"/>
    <w:unhideWhenUsed/>
    <w:qFormat/>
    <w:locked/>
    <w:rsid w:val="000E155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locked/>
    <w:rsid w:val="00BB46EB"/>
    <w:pPr>
      <w:keepNext/>
      <w:spacing w:before="240" w:after="60"/>
      <w:outlineLvl w:val="5"/>
    </w:pPr>
    <w:rPr>
      <w:b/>
      <w:bCs/>
      <w: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rsid w:val="00065623"/>
    <w:rPr>
      <w:rFonts w:ascii="Tahoma" w:hAnsi="Tahoma" w:cs="Tahoma"/>
      <w:sz w:val="16"/>
      <w:szCs w:val="16"/>
    </w:rPr>
  </w:style>
  <w:style w:type="character" w:customStyle="1" w:styleId="BalloonTextChar">
    <w:name w:val="Balloon Text Char"/>
    <w:basedOn w:val="DefaultParagraphFont"/>
    <w:link w:val="BalloonText"/>
    <w:uiPriority w:val="99"/>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rsid w:val="00974A50"/>
    <w:rPr>
      <w:rFonts w:cs="Times New Roman"/>
      <w:sz w:val="16"/>
      <w:szCs w:val="16"/>
    </w:rPr>
  </w:style>
  <w:style w:type="paragraph" w:styleId="CommentText">
    <w:name w:val="annotation text"/>
    <w:basedOn w:val="Normal"/>
    <w:link w:val="CommentTextChar"/>
    <w:rsid w:val="00974A50"/>
    <w:rPr>
      <w:sz w:val="20"/>
    </w:rPr>
  </w:style>
  <w:style w:type="character" w:customStyle="1" w:styleId="CommentTextChar">
    <w:name w:val="Comment Text Char"/>
    <w:basedOn w:val="DefaultParagraphFont"/>
    <w:link w:val="CommentText"/>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rsid w:val="00974A50"/>
    <w:rPr>
      <w:b/>
      <w:bCs/>
    </w:rPr>
  </w:style>
  <w:style w:type="character" w:customStyle="1" w:styleId="CommentSubjectChar">
    <w:name w:val="Comment Subject Char"/>
    <w:basedOn w:val="CommentTextChar"/>
    <w:link w:val="CommentSubject"/>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uiPriority w:val="9"/>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qFormat/>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5"/>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5"/>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4"/>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2"/>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
      </w:numPr>
    </w:pPr>
  </w:style>
  <w:style w:type="numbering" w:customStyle="1" w:styleId="TableListNumbers">
    <w:name w:val="TableListNumbers"/>
    <w:uiPriority w:val="99"/>
    <w:rsid w:val="00BB19D5"/>
    <w:pPr>
      <w:numPr>
        <w:numId w:val="2"/>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aliases w:val="Summary box"/>
    <w:basedOn w:val="TableNormal"/>
    <w:uiPriority w:val="59"/>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character" w:customStyle="1" w:styleId="Heading3Char">
    <w:name w:val="Heading 3 Char"/>
    <w:basedOn w:val="DefaultParagraphFont"/>
    <w:link w:val="Heading3"/>
    <w:rsid w:val="00753306"/>
    <w:rPr>
      <w:rFonts w:eastAsiaTheme="majorEastAsia" w:cstheme="majorBidi"/>
      <w:b/>
      <w:bCs/>
      <w:sz w:val="18"/>
      <w:szCs w:val="20"/>
    </w:rPr>
  </w:style>
  <w:style w:type="character" w:customStyle="1" w:styleId="Heading5Char">
    <w:name w:val="Heading 5 Char"/>
    <w:basedOn w:val="DefaultParagraphFont"/>
    <w:link w:val="Heading5"/>
    <w:rsid w:val="000E155F"/>
    <w:rPr>
      <w:rFonts w:asciiTheme="majorHAnsi" w:eastAsiaTheme="majorEastAsia" w:hAnsiTheme="majorHAnsi" w:cstheme="majorBidi"/>
      <w:color w:val="243F60" w:themeColor="accent1" w:themeShade="7F"/>
      <w:sz w:val="24"/>
      <w:szCs w:val="20"/>
    </w:rPr>
  </w:style>
  <w:style w:type="character" w:customStyle="1" w:styleId="Heading4Char">
    <w:name w:val="Heading 4 Char"/>
    <w:basedOn w:val="DefaultParagraphFont"/>
    <w:link w:val="Heading4"/>
    <w:rsid w:val="00BB46EB"/>
    <w:rPr>
      <w:rFonts w:ascii="Arial" w:eastAsia="Times New Roman" w:hAnsi="Arial"/>
      <w:bCs/>
      <w:sz w:val="28"/>
      <w:szCs w:val="28"/>
      <w:lang w:eastAsia="en-US"/>
    </w:rPr>
  </w:style>
  <w:style w:type="character" w:customStyle="1" w:styleId="Heading6Char">
    <w:name w:val="Heading 6 Char"/>
    <w:basedOn w:val="DefaultParagraphFont"/>
    <w:link w:val="Heading6"/>
    <w:rsid w:val="00BB46EB"/>
    <w:rPr>
      <w:rFonts w:eastAsia="Times New Roman"/>
      <w:b/>
      <w:bCs/>
      <w:i/>
      <w:sz w:val="24"/>
      <w:lang w:eastAsia="en-US"/>
    </w:rPr>
  </w:style>
  <w:style w:type="character" w:styleId="Emphasis">
    <w:name w:val="Emphasis"/>
    <w:basedOn w:val="DefaultParagraphFont"/>
    <w:qFormat/>
    <w:locked/>
    <w:rsid w:val="00BB46EB"/>
    <w:rPr>
      <w:i/>
      <w:iCs/>
    </w:rPr>
  </w:style>
  <w:style w:type="character" w:styleId="Strong">
    <w:name w:val="Strong"/>
    <w:basedOn w:val="DefaultParagraphFont"/>
    <w:uiPriority w:val="22"/>
    <w:qFormat/>
    <w:locked/>
    <w:rsid w:val="00BB46EB"/>
    <w:rPr>
      <w:b/>
      <w:bCs/>
    </w:rPr>
  </w:style>
  <w:style w:type="paragraph" w:styleId="Subtitle">
    <w:name w:val="Subtitle"/>
    <w:basedOn w:val="Normal"/>
    <w:next w:val="Normal"/>
    <w:link w:val="SubtitleChar"/>
    <w:qFormat/>
    <w:locked/>
    <w:rsid w:val="00BB46EB"/>
    <w:pPr>
      <w:numPr>
        <w:ilvl w:val="1"/>
      </w:numPr>
    </w:pPr>
    <w:rPr>
      <w:rFonts w:asciiTheme="majorHAnsi" w:eastAsiaTheme="majorEastAsia" w:hAnsiTheme="majorHAnsi" w:cstheme="majorBidi"/>
      <w:iCs/>
      <w:spacing w:val="15"/>
      <w:szCs w:val="24"/>
      <w:lang w:eastAsia="en-US"/>
    </w:rPr>
  </w:style>
  <w:style w:type="character" w:customStyle="1" w:styleId="SubtitleChar">
    <w:name w:val="Subtitle Char"/>
    <w:basedOn w:val="DefaultParagraphFont"/>
    <w:link w:val="Subtitle"/>
    <w:rsid w:val="00BB46EB"/>
    <w:rPr>
      <w:rFonts w:asciiTheme="majorHAnsi" w:eastAsiaTheme="majorEastAsia" w:hAnsiTheme="majorHAnsi" w:cstheme="majorBidi"/>
      <w:iCs/>
      <w:spacing w:val="15"/>
      <w:sz w:val="24"/>
      <w:szCs w:val="24"/>
      <w:lang w:eastAsia="en-US"/>
    </w:rPr>
  </w:style>
  <w:style w:type="paragraph" w:styleId="NoSpacing">
    <w:name w:val="No Spacing"/>
    <w:uiPriority w:val="1"/>
    <w:qFormat/>
    <w:rsid w:val="00BB46EB"/>
    <w:rPr>
      <w:rFonts w:eastAsia="Times New Roman"/>
      <w:sz w:val="24"/>
      <w:szCs w:val="24"/>
      <w:lang w:eastAsia="en-US"/>
    </w:rPr>
  </w:style>
  <w:style w:type="character" w:styleId="SubtleEmphasis">
    <w:name w:val="Subtle Emphasis"/>
    <w:basedOn w:val="DefaultParagraphFont"/>
    <w:uiPriority w:val="19"/>
    <w:qFormat/>
    <w:rsid w:val="00BB46EB"/>
    <w:rPr>
      <w:i/>
      <w:iCs/>
      <w:color w:val="808080" w:themeColor="text1" w:themeTint="7F"/>
    </w:rPr>
  </w:style>
  <w:style w:type="character" w:styleId="IntenseEmphasis">
    <w:name w:val="Intense Emphasis"/>
    <w:basedOn w:val="DefaultParagraphFont"/>
    <w:uiPriority w:val="21"/>
    <w:qFormat/>
    <w:rsid w:val="00BB46EB"/>
    <w:rPr>
      <w:b/>
      <w:bCs/>
      <w:i/>
      <w:iCs/>
      <w:color w:val="4F81BD" w:themeColor="accent1"/>
    </w:rPr>
  </w:style>
  <w:style w:type="paragraph" w:styleId="Quote">
    <w:name w:val="Quote"/>
    <w:basedOn w:val="Normal"/>
    <w:next w:val="Normal"/>
    <w:link w:val="QuoteChar"/>
    <w:uiPriority w:val="29"/>
    <w:qFormat/>
    <w:rsid w:val="00BB46EB"/>
    <w:rPr>
      <w:i/>
      <w:iCs/>
      <w:color w:val="000000" w:themeColor="text1"/>
      <w:szCs w:val="24"/>
      <w:lang w:eastAsia="en-US"/>
    </w:rPr>
  </w:style>
  <w:style w:type="character" w:customStyle="1" w:styleId="QuoteChar">
    <w:name w:val="Quote Char"/>
    <w:basedOn w:val="DefaultParagraphFont"/>
    <w:link w:val="Quote"/>
    <w:uiPriority w:val="29"/>
    <w:rsid w:val="00BB46EB"/>
    <w:rPr>
      <w:rFonts w:eastAsia="Times New Roman"/>
      <w:i/>
      <w:iCs/>
      <w:color w:val="000000" w:themeColor="text1"/>
      <w:sz w:val="24"/>
      <w:szCs w:val="24"/>
      <w:lang w:eastAsia="en-US"/>
    </w:rPr>
  </w:style>
  <w:style w:type="paragraph" w:styleId="IntenseQuote">
    <w:name w:val="Intense Quote"/>
    <w:basedOn w:val="Normal"/>
    <w:next w:val="Normal"/>
    <w:link w:val="IntenseQuoteChar"/>
    <w:uiPriority w:val="30"/>
    <w:qFormat/>
    <w:rsid w:val="00BB46EB"/>
    <w:pPr>
      <w:pBdr>
        <w:bottom w:val="single" w:sz="4" w:space="4" w:color="4F81BD" w:themeColor="accent1"/>
      </w:pBdr>
      <w:spacing w:before="200" w:after="280"/>
      <w:ind w:left="936" w:right="936"/>
    </w:pPr>
    <w:rPr>
      <w:b/>
      <w:bCs/>
      <w:i/>
      <w:iCs/>
      <w:color w:val="4F81BD" w:themeColor="accent1"/>
      <w:szCs w:val="24"/>
      <w:lang w:eastAsia="en-US"/>
    </w:rPr>
  </w:style>
  <w:style w:type="character" w:customStyle="1" w:styleId="IntenseQuoteChar">
    <w:name w:val="Intense Quote Char"/>
    <w:basedOn w:val="DefaultParagraphFont"/>
    <w:link w:val="IntenseQuote"/>
    <w:uiPriority w:val="30"/>
    <w:rsid w:val="00BB46EB"/>
    <w:rPr>
      <w:rFonts w:eastAsia="Times New Roman"/>
      <w:b/>
      <w:bCs/>
      <w:i/>
      <w:iCs/>
      <w:color w:val="4F81BD" w:themeColor="accent1"/>
      <w:sz w:val="24"/>
      <w:szCs w:val="24"/>
      <w:lang w:eastAsia="en-US"/>
    </w:rPr>
  </w:style>
  <w:style w:type="character" w:styleId="SubtleReference">
    <w:name w:val="Subtle Reference"/>
    <w:basedOn w:val="DefaultParagraphFont"/>
    <w:uiPriority w:val="31"/>
    <w:qFormat/>
    <w:rsid w:val="00BB46EB"/>
    <w:rPr>
      <w:smallCaps/>
      <w:color w:val="C0504D" w:themeColor="accent2"/>
      <w:u w:val="single"/>
    </w:rPr>
  </w:style>
  <w:style w:type="character" w:styleId="BookTitle">
    <w:name w:val="Book Title"/>
    <w:basedOn w:val="DefaultParagraphFont"/>
    <w:uiPriority w:val="33"/>
    <w:qFormat/>
    <w:rsid w:val="00BB46EB"/>
    <w:rPr>
      <w:b/>
      <w:bCs/>
      <w:smallCaps/>
      <w:spacing w:val="5"/>
    </w:rPr>
  </w:style>
  <w:style w:type="paragraph" w:styleId="TOCHeading">
    <w:name w:val="TOC Heading"/>
    <w:basedOn w:val="Heading1"/>
    <w:next w:val="Normal"/>
    <w:uiPriority w:val="39"/>
    <w:semiHidden/>
    <w:unhideWhenUsed/>
    <w:qFormat/>
    <w:rsid w:val="00BB46EB"/>
    <w:pPr>
      <w:spacing w:before="480" w:line="276" w:lineRule="auto"/>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locked/>
    <w:rsid w:val="00BB46EB"/>
    <w:pPr>
      <w:spacing w:after="100"/>
    </w:pPr>
    <w:rPr>
      <w:szCs w:val="24"/>
      <w:lang w:eastAsia="en-US"/>
    </w:rPr>
  </w:style>
  <w:style w:type="paragraph" w:styleId="TOC2">
    <w:name w:val="toc 2"/>
    <w:basedOn w:val="Normal"/>
    <w:next w:val="Normal"/>
    <w:autoRedefine/>
    <w:uiPriority w:val="39"/>
    <w:locked/>
    <w:rsid w:val="00BB46EB"/>
    <w:pPr>
      <w:tabs>
        <w:tab w:val="right" w:leader="dot" w:pos="8647"/>
      </w:tabs>
      <w:spacing w:after="100"/>
    </w:pPr>
    <w:rPr>
      <w:szCs w:val="24"/>
      <w:lang w:eastAsia="en-US"/>
    </w:rPr>
  </w:style>
  <w:style w:type="paragraph" w:styleId="NormalWeb">
    <w:name w:val="Normal (Web)"/>
    <w:basedOn w:val="Normal"/>
    <w:uiPriority w:val="99"/>
    <w:unhideWhenUsed/>
    <w:rsid w:val="00BB46EB"/>
    <w:pPr>
      <w:spacing w:before="100" w:beforeAutospacing="1" w:after="100" w:afterAutospacing="1"/>
    </w:pPr>
    <w:rPr>
      <w:szCs w:val="24"/>
    </w:rPr>
  </w:style>
  <w:style w:type="character" w:customStyle="1" w:styleId="apple-converted-space">
    <w:name w:val="apple-converted-space"/>
    <w:basedOn w:val="DefaultParagraphFont"/>
    <w:rsid w:val="00BB46EB"/>
  </w:style>
  <w:style w:type="paragraph" w:styleId="TOC3">
    <w:name w:val="toc 3"/>
    <w:basedOn w:val="Normal"/>
    <w:next w:val="Normal"/>
    <w:autoRedefine/>
    <w:uiPriority w:val="39"/>
    <w:locked/>
    <w:rsid w:val="00BB46EB"/>
    <w:pPr>
      <w:spacing w:after="100"/>
      <w:ind w:left="480"/>
    </w:pPr>
    <w:rPr>
      <w:szCs w:val="24"/>
      <w:lang w:eastAsia="en-US"/>
    </w:rPr>
  </w:style>
  <w:style w:type="paragraph" w:customStyle="1" w:styleId="CharCharChar">
    <w:name w:val="Char Char Char"/>
    <w:basedOn w:val="Normal"/>
    <w:uiPriority w:val="99"/>
    <w:rsid w:val="00BB46EB"/>
    <w:rPr>
      <w:rFonts w:ascii="Arial" w:hAnsi="Arial" w:cs="Arial"/>
      <w:sz w:val="22"/>
      <w:szCs w:val="22"/>
      <w:lang w:eastAsia="en-US"/>
    </w:rPr>
  </w:style>
  <w:style w:type="paragraph" w:customStyle="1" w:styleId="Tabletext0">
    <w:name w:val="Table text"/>
    <w:basedOn w:val="NoSpacing"/>
    <w:link w:val="TabletextChar0"/>
    <w:qFormat/>
    <w:rsid w:val="00BB46EB"/>
    <w:pPr>
      <w:tabs>
        <w:tab w:val="left" w:pos="416"/>
        <w:tab w:val="left" w:pos="582"/>
      </w:tabs>
      <w:spacing w:before="40" w:after="40"/>
    </w:pPr>
    <w:rPr>
      <w:rFonts w:ascii="Arial Narrow" w:hAnsi="Arial Narrow"/>
      <w:sz w:val="20"/>
    </w:rPr>
  </w:style>
  <w:style w:type="character" w:customStyle="1" w:styleId="TabletextChar0">
    <w:name w:val="Table text Char"/>
    <w:basedOn w:val="DefaultParagraphFont"/>
    <w:link w:val="Tabletext0"/>
    <w:rsid w:val="00BB46EB"/>
    <w:rPr>
      <w:rFonts w:ascii="Arial Narrow" w:eastAsia="Times New Roman" w:hAnsi="Arial Narrow"/>
      <w:sz w:val="20"/>
      <w:szCs w:val="24"/>
      <w:lang w:eastAsia="en-US"/>
    </w:rPr>
  </w:style>
  <w:style w:type="paragraph" w:customStyle="1" w:styleId="Tabletextbold">
    <w:name w:val="Table text bold"/>
    <w:basedOn w:val="Tabletext0"/>
    <w:uiPriority w:val="99"/>
    <w:rsid w:val="00BB46EB"/>
    <w:pPr>
      <w:keepNext/>
      <w:keepLines/>
    </w:pPr>
    <w:rPr>
      <w:rFonts w:cs="Arial"/>
      <w:b/>
      <w:szCs w:val="20"/>
    </w:rPr>
  </w:style>
  <w:style w:type="paragraph" w:customStyle="1" w:styleId="TableNotes">
    <w:name w:val="Table Notes"/>
    <w:basedOn w:val="Normal"/>
    <w:link w:val="TableNotesChar"/>
    <w:qFormat/>
    <w:rsid w:val="00BB46EB"/>
    <w:pPr>
      <w:spacing w:after="40" w:line="276" w:lineRule="auto"/>
    </w:pPr>
    <w:rPr>
      <w:rFonts w:ascii="Arial Narrow" w:hAnsi="Arial Narrow"/>
      <w:sz w:val="16"/>
      <w:szCs w:val="22"/>
      <w:lang w:eastAsia="en-US" w:bidi="en-US"/>
    </w:rPr>
  </w:style>
  <w:style w:type="character" w:customStyle="1" w:styleId="TableNotesChar">
    <w:name w:val="Table Notes Char"/>
    <w:basedOn w:val="DefaultParagraphFont"/>
    <w:link w:val="TableNotes"/>
    <w:rsid w:val="00BB46EB"/>
    <w:rPr>
      <w:rFonts w:ascii="Arial Narrow" w:eastAsia="Times New Roman" w:hAnsi="Arial Narrow"/>
      <w:sz w:val="16"/>
      <w:lang w:eastAsia="en-US" w:bidi="en-US"/>
    </w:rPr>
  </w:style>
  <w:style w:type="paragraph" w:customStyle="1" w:styleId="captiontable">
    <w:name w:val="caption:table"/>
    <w:basedOn w:val="Normal"/>
    <w:next w:val="Normal"/>
    <w:link w:val="captiontableChar"/>
    <w:rsid w:val="00BB46EB"/>
    <w:pPr>
      <w:keepNext/>
      <w:adjustRightInd w:val="0"/>
      <w:spacing w:before="120"/>
      <w:textAlignment w:val="baseline"/>
    </w:pPr>
    <w:rPr>
      <w:rFonts w:ascii="Candara" w:hAnsi="Candara" w:cs="Arial"/>
      <w:b/>
      <w:bCs/>
      <w:szCs w:val="22"/>
      <w:lang w:val="en-GB" w:eastAsia="en-US"/>
    </w:rPr>
  </w:style>
  <w:style w:type="character" w:customStyle="1" w:styleId="captiontableChar">
    <w:name w:val="caption:table Char"/>
    <w:basedOn w:val="DefaultParagraphFont"/>
    <w:link w:val="captiontable"/>
    <w:locked/>
    <w:rsid w:val="00BB46EB"/>
    <w:rPr>
      <w:rFonts w:ascii="Candara" w:eastAsia="Times New Roman" w:hAnsi="Candara" w:cs="Arial"/>
      <w:b/>
      <w:bCs/>
      <w:sz w:val="24"/>
      <w:lang w:val="en-GB" w:eastAsia="en-US"/>
    </w:rPr>
  </w:style>
  <w:style w:type="paragraph" w:customStyle="1" w:styleId="Char1">
    <w:name w:val="Char1"/>
    <w:basedOn w:val="Normal"/>
    <w:rsid w:val="00BB46EB"/>
    <w:rPr>
      <w:rFonts w:ascii="Arial" w:hAnsi="Arial" w:cs="Arial"/>
      <w:sz w:val="22"/>
      <w:szCs w:val="22"/>
      <w:lang w:eastAsia="en-US"/>
    </w:rPr>
  </w:style>
  <w:style w:type="paragraph" w:customStyle="1" w:styleId="TableText2centerheaderrow">
    <w:name w:val="Table Text 2 (center) header row"/>
    <w:basedOn w:val="Normal"/>
    <w:rsid w:val="00BB46EB"/>
    <w:pPr>
      <w:tabs>
        <w:tab w:val="left" w:pos="2835"/>
      </w:tabs>
      <w:snapToGrid w:val="0"/>
      <w:spacing w:before="80" w:after="80"/>
      <w:jc w:val="center"/>
    </w:pPr>
    <w:rPr>
      <w:rFonts w:eastAsia="SimSun"/>
      <w:sz w:val="20"/>
      <w:lang w:eastAsia="en-US"/>
    </w:rPr>
  </w:style>
  <w:style w:type="paragraph" w:customStyle="1" w:styleId="TableText1left">
    <w:name w:val="Table Text 1 (left)"/>
    <w:basedOn w:val="Normal"/>
    <w:link w:val="TableText1leftChar"/>
    <w:qFormat/>
    <w:rsid w:val="00BB46EB"/>
    <w:pPr>
      <w:spacing w:before="40" w:after="40"/>
    </w:pPr>
    <w:rPr>
      <w:rFonts w:eastAsia="SimSun"/>
      <w:sz w:val="20"/>
      <w:lang w:val="en-GB" w:eastAsia="en-US"/>
    </w:rPr>
  </w:style>
  <w:style w:type="paragraph" w:customStyle="1" w:styleId="Spaceundertable">
    <w:name w:val="Space under table"/>
    <w:basedOn w:val="Normal"/>
    <w:link w:val="SpaceundertableChar"/>
    <w:qFormat/>
    <w:rsid w:val="00BB46EB"/>
    <w:rPr>
      <w:rFonts w:eastAsia="SimSun"/>
      <w:sz w:val="8"/>
      <w:szCs w:val="8"/>
      <w:lang w:eastAsia="zh-CN"/>
    </w:rPr>
  </w:style>
  <w:style w:type="character" w:customStyle="1" w:styleId="SourceChar1">
    <w:name w:val="Source Char1"/>
    <w:rsid w:val="00BB46EB"/>
    <w:rPr>
      <w:rFonts w:eastAsia="SimSun"/>
      <w:sz w:val="18"/>
      <w:szCs w:val="18"/>
      <w:lang w:eastAsia="en-US"/>
    </w:rPr>
  </w:style>
  <w:style w:type="character" w:customStyle="1" w:styleId="TableText1leftChar">
    <w:name w:val="Table Text 1 (left) Char"/>
    <w:link w:val="TableText1left"/>
    <w:rsid w:val="00BB46EB"/>
    <w:rPr>
      <w:rFonts w:eastAsia="SimSun"/>
      <w:sz w:val="20"/>
      <w:szCs w:val="20"/>
      <w:lang w:val="en-GB" w:eastAsia="en-US"/>
    </w:rPr>
  </w:style>
  <w:style w:type="character" w:customStyle="1" w:styleId="SpaceundertableChar">
    <w:name w:val="Space under table Char"/>
    <w:link w:val="Spaceundertable"/>
    <w:rsid w:val="00BB46EB"/>
    <w:rPr>
      <w:rFonts w:eastAsia="SimSun"/>
      <w:sz w:val="8"/>
      <w:szCs w:val="8"/>
      <w:lang w:eastAsia="zh-CN"/>
    </w:rPr>
  </w:style>
  <w:style w:type="paragraph" w:customStyle="1" w:styleId="TabletextindentlistABC">
    <w:name w:val="Table text indent list (ABC)"/>
    <w:basedOn w:val="TableText1left"/>
    <w:rsid w:val="00BB46EB"/>
    <w:pPr>
      <w:ind w:left="341" w:hanging="341"/>
    </w:pPr>
  </w:style>
  <w:style w:type="paragraph" w:customStyle="1" w:styleId="Style10">
    <w:name w:val="Style10"/>
    <w:basedOn w:val="Normal"/>
    <w:link w:val="Style10Char"/>
    <w:qFormat/>
    <w:rsid w:val="00BB46EB"/>
    <w:rPr>
      <w:szCs w:val="24"/>
    </w:rPr>
  </w:style>
  <w:style w:type="character" w:customStyle="1" w:styleId="Style10Char">
    <w:name w:val="Style10 Char"/>
    <w:basedOn w:val="DefaultParagraphFont"/>
    <w:link w:val="Style10"/>
    <w:rsid w:val="00BB46EB"/>
    <w:rPr>
      <w:rFonts w:eastAsia="Times New Roman"/>
      <w:sz w:val="24"/>
      <w:szCs w:val="24"/>
    </w:rPr>
  </w:style>
  <w:style w:type="character" w:styleId="FollowedHyperlink">
    <w:name w:val="FollowedHyperlink"/>
    <w:basedOn w:val="DefaultParagraphFont"/>
    <w:uiPriority w:val="99"/>
    <w:rsid w:val="00BB46EB"/>
    <w:rPr>
      <w:color w:val="800080" w:themeColor="followedHyperlink"/>
      <w:u w:val="single"/>
    </w:rPr>
  </w:style>
  <w:style w:type="paragraph" w:customStyle="1" w:styleId="Table-bodytext">
    <w:name w:val="Table - body text"/>
    <w:basedOn w:val="Normal"/>
    <w:link w:val="Table-bodytextChar"/>
    <w:rsid w:val="00BB46EB"/>
    <w:pPr>
      <w:spacing w:after="120"/>
      <w:jc w:val="center"/>
    </w:pPr>
    <w:rPr>
      <w:rFonts w:ascii="Calibri" w:eastAsia="Calibri" w:hAnsi="Calibri" w:cs="Calibri"/>
      <w:sz w:val="20"/>
      <w:szCs w:val="22"/>
      <w:lang w:eastAsia="en-US"/>
    </w:rPr>
  </w:style>
  <w:style w:type="character" w:customStyle="1" w:styleId="Table-bodytextChar">
    <w:name w:val="Table - body text Char"/>
    <w:basedOn w:val="DefaultParagraphFont"/>
    <w:link w:val="Table-bodytext"/>
    <w:rsid w:val="00BB46EB"/>
    <w:rPr>
      <w:rFonts w:ascii="Calibri" w:hAnsi="Calibri" w:cs="Calibri"/>
      <w:sz w:val="20"/>
      <w:lang w:eastAsia="en-US"/>
    </w:rPr>
  </w:style>
  <w:style w:type="paragraph" w:customStyle="1" w:styleId="jon">
    <w:name w:val="jon"/>
    <w:basedOn w:val="Normal"/>
    <w:link w:val="jonChar"/>
    <w:qFormat/>
    <w:rsid w:val="00BB46EB"/>
    <w:pPr>
      <w:spacing w:before="80" w:after="160" w:line="360" w:lineRule="auto"/>
    </w:pPr>
    <w:rPr>
      <w:rFonts w:ascii="Calibri" w:hAnsi="Calibri" w:cs="Arial"/>
      <w:sz w:val="22"/>
      <w:szCs w:val="22"/>
      <w:lang w:eastAsia="zh-CN"/>
    </w:rPr>
  </w:style>
  <w:style w:type="character" w:customStyle="1" w:styleId="jonChar">
    <w:name w:val="jon Char"/>
    <w:basedOn w:val="DefaultParagraphFont"/>
    <w:link w:val="jon"/>
    <w:rsid w:val="00BB46EB"/>
    <w:rPr>
      <w:rFonts w:ascii="Calibri" w:eastAsia="Times New Roman" w:hAnsi="Calibri" w:cs="Arial"/>
      <w:lang w:eastAsia="zh-CN"/>
    </w:rPr>
  </w:style>
  <w:style w:type="paragraph" w:styleId="TableofFigures">
    <w:name w:val="table of figures"/>
    <w:basedOn w:val="Normal"/>
    <w:next w:val="Normal"/>
    <w:uiPriority w:val="99"/>
    <w:rsid w:val="00BB46EB"/>
    <w:rPr>
      <w:szCs w:val="24"/>
      <w:lang w:eastAsia="en-US"/>
    </w:rPr>
  </w:style>
  <w:style w:type="table" w:customStyle="1" w:styleId="Summarybox1">
    <w:name w:val="Summary box1"/>
    <w:basedOn w:val="TableNormal"/>
    <w:next w:val="TableGrid"/>
    <w:uiPriority w:val="59"/>
    <w:rsid w:val="00BB46E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53721">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ac.gov.au/"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au/capitalsensitivity" TargetMode="External"/><Relationship Id="rId5" Type="http://schemas.openxmlformats.org/officeDocument/2006/relationships/settings" Target="settings.xml"/><Relationship Id="rId15" Type="http://schemas.openxmlformats.org/officeDocument/2006/relationships/hyperlink" Target="file:///D:\Users\mccraj\AppData\Local\Microsoft\Windows\Temporary%20Internet%20Files\Content.Outlook\7M4OPGPH\www.msac.gov.au" TargetMode="External"/><Relationship Id="rId10" Type="http://schemas.openxmlformats.org/officeDocument/2006/relationships/hyperlink" Target="http://www.msac.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2011-12</c:v>
                </c:pt>
              </c:strCache>
            </c:strRef>
          </c:tx>
          <c:invertIfNegative val="0"/>
          <c:errBars>
            <c:errBarType val="both"/>
            <c:errValType val="cust"/>
            <c:noEndCap val="0"/>
            <c:plus>
              <c:numLit>
                <c:formatCode>General</c:formatCode>
                <c:ptCount val="1"/>
                <c:pt idx="0">
                  <c:v>1</c:v>
                </c:pt>
              </c:numLit>
            </c:plus>
            <c:minus>
              <c:numLit>
                <c:formatCode>General</c:formatCode>
                <c:ptCount val="1"/>
                <c:pt idx="0">
                  <c:v>1</c:v>
                </c:pt>
              </c:numLit>
            </c:minus>
          </c:errBars>
          <c:cat>
            <c:strRef>
              <c:f>Sheet1!$A$2:$A$9</c:f>
              <c:strCache>
                <c:ptCount val="8"/>
                <c:pt idx="0">
                  <c:v>NSW</c:v>
                </c:pt>
                <c:pt idx="1">
                  <c:v>VIC</c:v>
                </c:pt>
                <c:pt idx="2">
                  <c:v>QLD</c:v>
                </c:pt>
                <c:pt idx="3">
                  <c:v>SA</c:v>
                </c:pt>
                <c:pt idx="4">
                  <c:v>WA</c:v>
                </c:pt>
                <c:pt idx="5">
                  <c:v>TAS</c:v>
                </c:pt>
                <c:pt idx="6">
                  <c:v>NT</c:v>
                </c:pt>
                <c:pt idx="7">
                  <c:v>ACT</c:v>
                </c:pt>
              </c:strCache>
            </c:strRef>
          </c:cat>
          <c:val>
            <c:numRef>
              <c:f>Sheet1!$B$2:$B$9</c:f>
              <c:numCache>
                <c:formatCode>General</c:formatCode>
                <c:ptCount val="8"/>
                <c:pt idx="0">
                  <c:v>776.99</c:v>
                </c:pt>
                <c:pt idx="1">
                  <c:v>794.91</c:v>
                </c:pt>
                <c:pt idx="2">
                  <c:v>762.27</c:v>
                </c:pt>
                <c:pt idx="3">
                  <c:v>798.99</c:v>
                </c:pt>
                <c:pt idx="4">
                  <c:v>832.33</c:v>
                </c:pt>
                <c:pt idx="5">
                  <c:v>825.59</c:v>
                </c:pt>
                <c:pt idx="6">
                  <c:v>0</c:v>
                </c:pt>
                <c:pt idx="7">
                  <c:v>787.48</c:v>
                </c:pt>
              </c:numCache>
            </c:numRef>
          </c:val>
        </c:ser>
        <c:ser>
          <c:idx val="1"/>
          <c:order val="1"/>
          <c:tx>
            <c:strRef>
              <c:f>Sheet1!$C$1</c:f>
              <c:strCache>
                <c:ptCount val="1"/>
                <c:pt idx="0">
                  <c:v>2012-13</c:v>
                </c:pt>
              </c:strCache>
            </c:strRef>
          </c:tx>
          <c:invertIfNegative val="0"/>
          <c:cat>
            <c:strRef>
              <c:f>Sheet1!$A$2:$A$9</c:f>
              <c:strCache>
                <c:ptCount val="8"/>
                <c:pt idx="0">
                  <c:v>NSW</c:v>
                </c:pt>
                <c:pt idx="1">
                  <c:v>VIC</c:v>
                </c:pt>
                <c:pt idx="2">
                  <c:v>QLD</c:v>
                </c:pt>
                <c:pt idx="3">
                  <c:v>SA</c:v>
                </c:pt>
                <c:pt idx="4">
                  <c:v>WA</c:v>
                </c:pt>
                <c:pt idx="5">
                  <c:v>TAS</c:v>
                </c:pt>
                <c:pt idx="6">
                  <c:v>NT</c:v>
                </c:pt>
                <c:pt idx="7">
                  <c:v>ACT</c:v>
                </c:pt>
              </c:strCache>
            </c:strRef>
          </c:cat>
          <c:val>
            <c:numRef>
              <c:f>Sheet1!$C$2:$C$9</c:f>
              <c:numCache>
                <c:formatCode>General</c:formatCode>
                <c:ptCount val="8"/>
                <c:pt idx="0">
                  <c:v>780.86</c:v>
                </c:pt>
                <c:pt idx="1">
                  <c:v>797.89</c:v>
                </c:pt>
                <c:pt idx="2">
                  <c:v>768.56</c:v>
                </c:pt>
                <c:pt idx="3">
                  <c:v>804.16</c:v>
                </c:pt>
                <c:pt idx="4">
                  <c:v>871.31</c:v>
                </c:pt>
                <c:pt idx="5">
                  <c:v>823.46</c:v>
                </c:pt>
                <c:pt idx="6">
                  <c:v>0</c:v>
                </c:pt>
                <c:pt idx="7">
                  <c:v>796.09</c:v>
                </c:pt>
              </c:numCache>
            </c:numRef>
          </c:val>
        </c:ser>
        <c:ser>
          <c:idx val="2"/>
          <c:order val="2"/>
          <c:tx>
            <c:strRef>
              <c:f>Sheet1!$D$1</c:f>
              <c:strCache>
                <c:ptCount val="1"/>
                <c:pt idx="0">
                  <c:v>2013-14</c:v>
                </c:pt>
              </c:strCache>
            </c:strRef>
          </c:tx>
          <c:invertIfNegative val="0"/>
          <c:cat>
            <c:strRef>
              <c:f>Sheet1!$A$2:$A$9</c:f>
              <c:strCache>
                <c:ptCount val="8"/>
                <c:pt idx="0">
                  <c:v>NSW</c:v>
                </c:pt>
                <c:pt idx="1">
                  <c:v>VIC</c:v>
                </c:pt>
                <c:pt idx="2">
                  <c:v>QLD</c:v>
                </c:pt>
                <c:pt idx="3">
                  <c:v>SA</c:v>
                </c:pt>
                <c:pt idx="4">
                  <c:v>WA</c:v>
                </c:pt>
                <c:pt idx="5">
                  <c:v>TAS</c:v>
                </c:pt>
                <c:pt idx="6">
                  <c:v>NT</c:v>
                </c:pt>
                <c:pt idx="7">
                  <c:v>ACT</c:v>
                </c:pt>
              </c:strCache>
            </c:strRef>
          </c:cat>
          <c:val>
            <c:numRef>
              <c:f>Sheet1!$D$2:$D$9</c:f>
              <c:numCache>
                <c:formatCode>General</c:formatCode>
                <c:ptCount val="8"/>
                <c:pt idx="0">
                  <c:v>793.16</c:v>
                </c:pt>
                <c:pt idx="1">
                  <c:v>799.21</c:v>
                </c:pt>
                <c:pt idx="2">
                  <c:v>769.53</c:v>
                </c:pt>
                <c:pt idx="3">
                  <c:v>812.3</c:v>
                </c:pt>
                <c:pt idx="4">
                  <c:v>878.17</c:v>
                </c:pt>
                <c:pt idx="5">
                  <c:v>821.08</c:v>
                </c:pt>
                <c:pt idx="6">
                  <c:v>700</c:v>
                </c:pt>
                <c:pt idx="7">
                  <c:v>805.71</c:v>
                </c:pt>
              </c:numCache>
            </c:numRef>
          </c:val>
        </c:ser>
        <c:ser>
          <c:idx val="3"/>
          <c:order val="3"/>
          <c:tx>
            <c:strRef>
              <c:f>Sheet1!$E$1</c:f>
              <c:strCache>
                <c:ptCount val="1"/>
                <c:pt idx="0">
                  <c:v>2014-15</c:v>
                </c:pt>
              </c:strCache>
            </c:strRef>
          </c:tx>
          <c:invertIfNegative val="0"/>
          <c:cat>
            <c:strRef>
              <c:f>Sheet1!$A$2:$A$9</c:f>
              <c:strCache>
                <c:ptCount val="8"/>
                <c:pt idx="0">
                  <c:v>NSW</c:v>
                </c:pt>
                <c:pt idx="1">
                  <c:v>VIC</c:v>
                </c:pt>
                <c:pt idx="2">
                  <c:v>QLD</c:v>
                </c:pt>
                <c:pt idx="3">
                  <c:v>SA</c:v>
                </c:pt>
                <c:pt idx="4">
                  <c:v>WA</c:v>
                </c:pt>
                <c:pt idx="5">
                  <c:v>TAS</c:v>
                </c:pt>
                <c:pt idx="6">
                  <c:v>NT</c:v>
                </c:pt>
                <c:pt idx="7">
                  <c:v>ACT</c:v>
                </c:pt>
              </c:strCache>
            </c:strRef>
          </c:cat>
          <c:val>
            <c:numRef>
              <c:f>Sheet1!$E$2:$E$9</c:f>
              <c:numCache>
                <c:formatCode>General</c:formatCode>
                <c:ptCount val="8"/>
                <c:pt idx="0">
                  <c:v>793.72</c:v>
                </c:pt>
                <c:pt idx="1">
                  <c:v>792.28</c:v>
                </c:pt>
                <c:pt idx="2">
                  <c:v>765.87</c:v>
                </c:pt>
                <c:pt idx="3">
                  <c:v>842.57</c:v>
                </c:pt>
                <c:pt idx="4">
                  <c:v>879.28</c:v>
                </c:pt>
                <c:pt idx="5">
                  <c:v>805.95</c:v>
                </c:pt>
                <c:pt idx="6">
                  <c:v>1176</c:v>
                </c:pt>
                <c:pt idx="7">
                  <c:v>806.33</c:v>
                </c:pt>
              </c:numCache>
            </c:numRef>
          </c:val>
        </c:ser>
        <c:ser>
          <c:idx val="4"/>
          <c:order val="4"/>
          <c:tx>
            <c:strRef>
              <c:f>Sheet1!$F$1</c:f>
              <c:strCache>
                <c:ptCount val="1"/>
                <c:pt idx="0">
                  <c:v>2015-16</c:v>
                </c:pt>
              </c:strCache>
            </c:strRef>
          </c:tx>
          <c:invertIfNegative val="0"/>
          <c:cat>
            <c:strRef>
              <c:f>Sheet1!$A$2:$A$9</c:f>
              <c:strCache>
                <c:ptCount val="8"/>
                <c:pt idx="0">
                  <c:v>NSW</c:v>
                </c:pt>
                <c:pt idx="1">
                  <c:v>VIC</c:v>
                </c:pt>
                <c:pt idx="2">
                  <c:v>QLD</c:v>
                </c:pt>
                <c:pt idx="3">
                  <c:v>SA</c:v>
                </c:pt>
                <c:pt idx="4">
                  <c:v>WA</c:v>
                </c:pt>
                <c:pt idx="5">
                  <c:v>TAS</c:v>
                </c:pt>
                <c:pt idx="6">
                  <c:v>NT</c:v>
                </c:pt>
                <c:pt idx="7">
                  <c:v>ACT</c:v>
                </c:pt>
              </c:strCache>
            </c:strRef>
          </c:cat>
          <c:val>
            <c:numRef>
              <c:f>Sheet1!$F$2:$F$9</c:f>
              <c:numCache>
                <c:formatCode>General</c:formatCode>
                <c:ptCount val="8"/>
                <c:pt idx="0">
                  <c:v>792.35</c:v>
                </c:pt>
                <c:pt idx="1">
                  <c:v>794.17</c:v>
                </c:pt>
                <c:pt idx="2">
                  <c:v>776.98</c:v>
                </c:pt>
                <c:pt idx="3">
                  <c:v>849.08</c:v>
                </c:pt>
                <c:pt idx="4">
                  <c:v>886.06</c:v>
                </c:pt>
                <c:pt idx="5">
                  <c:v>821.28</c:v>
                </c:pt>
                <c:pt idx="6">
                  <c:v>700</c:v>
                </c:pt>
                <c:pt idx="7">
                  <c:v>811.25</c:v>
                </c:pt>
              </c:numCache>
            </c:numRef>
          </c:val>
        </c:ser>
        <c:ser>
          <c:idx val="5"/>
          <c:order val="5"/>
          <c:tx>
            <c:strRef>
              <c:f>Sheet1!$G$1</c:f>
              <c:strCache>
                <c:ptCount val="1"/>
                <c:pt idx="0">
                  <c:v>2016-17</c:v>
                </c:pt>
              </c:strCache>
            </c:strRef>
          </c:tx>
          <c:invertIfNegative val="0"/>
          <c:cat>
            <c:strRef>
              <c:f>Sheet1!$A$2:$A$9</c:f>
              <c:strCache>
                <c:ptCount val="8"/>
                <c:pt idx="0">
                  <c:v>NSW</c:v>
                </c:pt>
                <c:pt idx="1">
                  <c:v>VIC</c:v>
                </c:pt>
                <c:pt idx="2">
                  <c:v>QLD</c:v>
                </c:pt>
                <c:pt idx="3">
                  <c:v>SA</c:v>
                </c:pt>
                <c:pt idx="4">
                  <c:v>WA</c:v>
                </c:pt>
                <c:pt idx="5">
                  <c:v>TAS</c:v>
                </c:pt>
                <c:pt idx="6">
                  <c:v>NT</c:v>
                </c:pt>
                <c:pt idx="7">
                  <c:v>ACT</c:v>
                </c:pt>
              </c:strCache>
            </c:strRef>
          </c:cat>
          <c:val>
            <c:numRef>
              <c:f>Sheet1!$G$2:$G$9</c:f>
              <c:numCache>
                <c:formatCode>General</c:formatCode>
                <c:ptCount val="8"/>
                <c:pt idx="0">
                  <c:v>791.17</c:v>
                </c:pt>
                <c:pt idx="1">
                  <c:v>791.17</c:v>
                </c:pt>
                <c:pt idx="2">
                  <c:v>784.49</c:v>
                </c:pt>
                <c:pt idx="3">
                  <c:v>847</c:v>
                </c:pt>
                <c:pt idx="4">
                  <c:v>888.09</c:v>
                </c:pt>
                <c:pt idx="5">
                  <c:v>824.98</c:v>
                </c:pt>
                <c:pt idx="6">
                  <c:v>731.5</c:v>
                </c:pt>
                <c:pt idx="7">
                  <c:v>813.5</c:v>
                </c:pt>
              </c:numCache>
            </c:numRef>
          </c:val>
        </c:ser>
        <c:dLbls>
          <c:showLegendKey val="0"/>
          <c:showVal val="0"/>
          <c:showCatName val="0"/>
          <c:showSerName val="0"/>
          <c:showPercent val="0"/>
          <c:showBubbleSize val="0"/>
        </c:dLbls>
        <c:gapWidth val="150"/>
        <c:axId val="150249472"/>
        <c:axId val="150251008"/>
      </c:barChart>
      <c:catAx>
        <c:axId val="150249472"/>
        <c:scaling>
          <c:orientation val="minMax"/>
        </c:scaling>
        <c:delete val="0"/>
        <c:axPos val="b"/>
        <c:majorTickMark val="out"/>
        <c:minorTickMark val="none"/>
        <c:tickLblPos val="nextTo"/>
        <c:crossAx val="150251008"/>
        <c:crosses val="autoZero"/>
        <c:auto val="1"/>
        <c:lblAlgn val="ctr"/>
        <c:lblOffset val="100"/>
        <c:noMultiLvlLbl val="0"/>
      </c:catAx>
      <c:valAx>
        <c:axId val="150251008"/>
        <c:scaling>
          <c:orientation val="minMax"/>
        </c:scaling>
        <c:delete val="0"/>
        <c:axPos val="l"/>
        <c:majorGridlines/>
        <c:numFmt formatCode="General" sourceLinked="1"/>
        <c:majorTickMark val="out"/>
        <c:minorTickMark val="none"/>
        <c:tickLblPos val="nextTo"/>
        <c:crossAx val="1502494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3325C-4E21-4BFE-AB9B-CBA0D3A41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4036</Words>
  <Characters>21839</Characters>
  <Application>Microsoft Office Word</Application>
  <DocSecurity>0</DocSecurity>
  <Lines>181</Lines>
  <Paragraphs>51</Paragraphs>
  <ScaleCrop>false</ScaleCrop>
  <LinksUpToDate>false</LinksUpToDate>
  <CharactersWithSpaces>25824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PvA 1105-PSD</dc:title>
  <dc:creator/>
  <cp:lastModifiedBy/>
  <cp:revision>1</cp:revision>
  <dcterms:created xsi:type="dcterms:W3CDTF">2018-10-24T21:46:00Z</dcterms:created>
  <dcterms:modified xsi:type="dcterms:W3CDTF">2018-10-24T21:46:00Z</dcterms:modified>
</cp:coreProperties>
</file>