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11E4A"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17C78A33" wp14:editId="5D0D96D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DB0550A" w14:textId="77777777" w:rsidR="00BC1364" w:rsidRPr="007B32D1" w:rsidRDefault="00BF479B" w:rsidP="006E4A48">
      <w:pPr>
        <w:spacing w:before="720" w:after="360"/>
        <w:jc w:val="center"/>
        <w:rPr>
          <w:rFonts w:ascii="Arial" w:hAnsi="Arial" w:cs="Arial"/>
          <w:b/>
          <w:bCs/>
          <w:color w:val="000080"/>
          <w:sz w:val="36"/>
          <w:szCs w:val="36"/>
        </w:rPr>
      </w:pPr>
      <w:r>
        <w:rPr>
          <w:rFonts w:ascii="Arial" w:hAnsi="Arial" w:cs="Arial"/>
          <w:b/>
          <w:bCs/>
          <w:color w:val="000080"/>
          <w:sz w:val="36"/>
          <w:szCs w:val="36"/>
        </w:rPr>
        <w:t>Public Summary Document</w:t>
      </w:r>
    </w:p>
    <w:p w14:paraId="70124655" w14:textId="05273AEF" w:rsidR="0031035B" w:rsidRDefault="003F5DD6" w:rsidP="0031035B">
      <w:pPr>
        <w:pStyle w:val="Heading1"/>
      </w:pPr>
      <w:r w:rsidRPr="004A3EF4">
        <w:rPr>
          <w:rStyle w:val="IntenseReference"/>
          <w:b/>
          <w:bCs/>
          <w:i w:val="0"/>
          <w:smallCaps w:val="0"/>
          <w:color w:val="auto"/>
          <w:spacing w:val="0"/>
        </w:rPr>
        <w:t xml:space="preserve">Report to the Medical Services Advisory Committee on </w:t>
      </w:r>
      <w:r w:rsidR="00464960" w:rsidRPr="004A3EF4">
        <w:t xml:space="preserve">utilisation of MBS item </w:t>
      </w:r>
      <w:r w:rsidR="0031035B" w:rsidRPr="004A3EF4">
        <w:rPr>
          <w:rStyle w:val="IntenseReference"/>
          <w:b/>
          <w:bCs/>
          <w:i w:val="0"/>
          <w:smallCaps w:val="0"/>
          <w:color w:val="auto"/>
          <w:spacing w:val="0"/>
        </w:rPr>
        <w:t>48694</w:t>
      </w:r>
      <w:r w:rsidR="0031035B" w:rsidRPr="004A3EF4">
        <w:rPr>
          <w:i/>
        </w:rPr>
        <w:t xml:space="preserve"> </w:t>
      </w:r>
      <w:r w:rsidR="0031035B" w:rsidRPr="004A3EF4">
        <w:t>following Application 1145: Artificial intervertebral disc replacement (AIDR) in patients with cervical degenerative disc disease</w:t>
      </w:r>
    </w:p>
    <w:p w14:paraId="4F954184" w14:textId="1C7940B8" w:rsidR="001B39BC" w:rsidRPr="001B39BC" w:rsidRDefault="001B39BC" w:rsidP="00F82582">
      <w:pPr>
        <w:spacing w:before="360"/>
        <w:rPr>
          <w:rFonts w:ascii="Arial" w:hAnsi="Arial" w:cs="Arial"/>
          <w:b/>
        </w:rPr>
      </w:pPr>
      <w:r w:rsidRPr="001B39BC">
        <w:rPr>
          <w:rFonts w:ascii="Arial" w:hAnsi="Arial" w:cs="Arial"/>
          <w:b/>
        </w:rPr>
        <w:t>Medicare Benefits Sc</w:t>
      </w:r>
      <w:r w:rsidR="00B07B09">
        <w:rPr>
          <w:rFonts w:ascii="Arial" w:hAnsi="Arial" w:cs="Arial"/>
          <w:b/>
        </w:rPr>
        <w:t xml:space="preserve">hedule (MBS) item considered: </w:t>
      </w:r>
      <w:r>
        <w:rPr>
          <w:rFonts w:ascii="Arial" w:hAnsi="Arial" w:cs="Arial"/>
          <w:b/>
        </w:rPr>
        <w:t>48694</w:t>
      </w:r>
    </w:p>
    <w:p w14:paraId="6F6DDFED" w14:textId="2184D4D6" w:rsidR="00BC1364" w:rsidRPr="00BD185F" w:rsidRDefault="0031035B" w:rsidP="004617ED">
      <w:pPr>
        <w:spacing w:before="360"/>
        <w:ind w:left="3600" w:hanging="3600"/>
        <w:rPr>
          <w:rFonts w:ascii="Arial" w:hAnsi="Arial" w:cs="Arial"/>
          <w:b/>
          <w:szCs w:val="24"/>
        </w:rPr>
      </w:pPr>
      <w:r w:rsidRPr="00BD185F">
        <w:rPr>
          <w:rFonts w:ascii="Arial" w:hAnsi="Arial" w:cs="Arial"/>
          <w:b/>
          <w:szCs w:val="24"/>
        </w:rPr>
        <w:t>D</w:t>
      </w:r>
      <w:r w:rsidR="00BC1364" w:rsidRPr="00BD185F">
        <w:rPr>
          <w:rFonts w:ascii="Arial" w:hAnsi="Arial" w:cs="Arial"/>
          <w:b/>
          <w:szCs w:val="24"/>
        </w:rPr>
        <w:t>ate of MSAC consideration:</w:t>
      </w:r>
      <w:r w:rsidR="00BC1364" w:rsidRPr="00BD185F">
        <w:rPr>
          <w:rFonts w:ascii="Arial" w:hAnsi="Arial" w:cs="Arial"/>
          <w:b/>
          <w:szCs w:val="24"/>
        </w:rPr>
        <w:tab/>
      </w:r>
      <w:r w:rsidR="004A3EF4">
        <w:rPr>
          <w:rFonts w:ascii="Arial" w:hAnsi="Arial" w:cs="Arial"/>
          <w:b/>
          <w:szCs w:val="24"/>
        </w:rPr>
        <w:t>26-27</w:t>
      </w:r>
      <w:r w:rsidR="00DB1FC4" w:rsidRPr="00BD185F">
        <w:rPr>
          <w:rFonts w:ascii="Arial" w:hAnsi="Arial" w:cs="Arial"/>
          <w:b/>
          <w:szCs w:val="24"/>
        </w:rPr>
        <w:t xml:space="preserve"> </w:t>
      </w:r>
      <w:r w:rsidR="005F61A0" w:rsidRPr="00BD185F">
        <w:rPr>
          <w:rFonts w:ascii="Arial" w:hAnsi="Arial" w:cs="Arial"/>
          <w:b/>
          <w:szCs w:val="24"/>
        </w:rPr>
        <w:t>July</w:t>
      </w:r>
      <w:r w:rsidR="00DB1FC4" w:rsidRPr="00BD185F">
        <w:rPr>
          <w:rFonts w:ascii="Arial" w:hAnsi="Arial" w:cs="Arial"/>
          <w:b/>
          <w:szCs w:val="24"/>
        </w:rPr>
        <w:t xml:space="preserve"> 201</w:t>
      </w:r>
      <w:r w:rsidR="00464960" w:rsidRPr="00BD185F">
        <w:rPr>
          <w:rFonts w:ascii="Arial" w:hAnsi="Arial" w:cs="Arial"/>
          <w:b/>
          <w:szCs w:val="24"/>
        </w:rPr>
        <w:t>7</w:t>
      </w:r>
    </w:p>
    <w:p w14:paraId="46790F2B" w14:textId="44ACA25F" w:rsidR="0041758C" w:rsidRPr="00BD185F" w:rsidRDefault="006A0D97" w:rsidP="00F82582">
      <w:pPr>
        <w:spacing w:before="240"/>
        <w:rPr>
          <w:szCs w:val="24"/>
        </w:rPr>
      </w:pPr>
      <w:r w:rsidRPr="00BD185F">
        <w:rPr>
          <w:szCs w:val="24"/>
        </w:rPr>
        <w:t xml:space="preserve">Context for decision: MSAC makes its advice in accordance with its Terms of Reference, see </w:t>
      </w:r>
      <w:r w:rsidR="009B433F" w:rsidRPr="00BD185F">
        <w:rPr>
          <w:szCs w:val="24"/>
        </w:rPr>
        <w:t xml:space="preserve">the </w:t>
      </w:r>
      <w:hyperlink r:id="rId9" w:tooltip="Link to MSAC website" w:history="1">
        <w:r w:rsidR="009B433F" w:rsidRPr="00BD185F">
          <w:rPr>
            <w:rStyle w:val="Hyperlink"/>
            <w:szCs w:val="24"/>
          </w:rPr>
          <w:t xml:space="preserve">MSAC </w:t>
        </w:r>
        <w:r w:rsidR="0048056B" w:rsidRPr="00BD185F">
          <w:rPr>
            <w:rStyle w:val="Hyperlink"/>
            <w:szCs w:val="24"/>
          </w:rPr>
          <w:t>W</w:t>
        </w:r>
        <w:r w:rsidR="009B433F" w:rsidRPr="00BD185F">
          <w:rPr>
            <w:rStyle w:val="Hyperlink"/>
            <w:szCs w:val="24"/>
          </w:rPr>
          <w:t>ebsite</w:t>
        </w:r>
      </w:hyperlink>
      <w:r w:rsidR="009B433F" w:rsidRPr="00BD185F">
        <w:t>.</w:t>
      </w:r>
    </w:p>
    <w:p w14:paraId="52C2A008" w14:textId="6B815BB5" w:rsidR="003F5DD6" w:rsidRDefault="003D7F29" w:rsidP="00607695">
      <w:pPr>
        <w:pStyle w:val="Heading1"/>
        <w:numPr>
          <w:ilvl w:val="0"/>
          <w:numId w:val="23"/>
        </w:numPr>
        <w:tabs>
          <w:tab w:val="left" w:pos="720"/>
          <w:tab w:val="left" w:pos="1140"/>
        </w:tabs>
        <w:spacing w:before="360"/>
        <w:ind w:hanging="720"/>
      </w:pPr>
      <w:r w:rsidRPr="004A3EF4">
        <w:t xml:space="preserve">Purpose </w:t>
      </w:r>
    </w:p>
    <w:p w14:paraId="088AE43C" w14:textId="15090342" w:rsidR="003F5DD6" w:rsidRPr="004A3EF4" w:rsidRDefault="003F5DD6" w:rsidP="003F5DD6">
      <w:r w:rsidRPr="004A3EF4">
        <w:t xml:space="preserve">The purpose of the report presented to the Medical Services Advisory Committee (MSAC) was to inform MSAC of the real world impacts on the outcomes of </w:t>
      </w:r>
      <w:r w:rsidR="00DB1FC4" w:rsidRPr="004A3EF4">
        <w:t>A</w:t>
      </w:r>
      <w:r w:rsidR="000E155F" w:rsidRPr="004A3EF4">
        <w:t xml:space="preserve">pplication </w:t>
      </w:r>
      <w:r w:rsidR="0031035B" w:rsidRPr="004A3EF4">
        <w:t xml:space="preserve">1145. </w:t>
      </w:r>
      <w:r w:rsidRPr="004A3EF4">
        <w:t>The MSAC uses this information to ensure that</w:t>
      </w:r>
      <w:r w:rsidR="00A91AFD" w:rsidRPr="004A3EF4">
        <w:t xml:space="preserve"> the new item resulting from this application is being used as intended.</w:t>
      </w:r>
    </w:p>
    <w:p w14:paraId="53627D54" w14:textId="77777777" w:rsidR="003F5DD6" w:rsidRPr="004A3EF4" w:rsidRDefault="003F5DD6" w:rsidP="004617ED">
      <w:pPr>
        <w:spacing w:before="240"/>
      </w:pPr>
      <w:r w:rsidRPr="004A3EF4">
        <w:t>The report is not intended to be a review of the clinical information covered during the application process.</w:t>
      </w:r>
    </w:p>
    <w:p w14:paraId="27459AA3" w14:textId="67CD699D" w:rsidR="007F35C8" w:rsidRDefault="00E977EE" w:rsidP="00607695">
      <w:pPr>
        <w:pStyle w:val="Heading1"/>
        <w:numPr>
          <w:ilvl w:val="0"/>
          <w:numId w:val="23"/>
        </w:numPr>
        <w:tabs>
          <w:tab w:val="left" w:pos="720"/>
          <w:tab w:val="left" w:pos="1140"/>
        </w:tabs>
        <w:spacing w:before="360"/>
        <w:ind w:hanging="720"/>
      </w:pPr>
      <w:r w:rsidRPr="00D1187E">
        <w:t xml:space="preserve">MSAC’s advice </w:t>
      </w:r>
    </w:p>
    <w:p w14:paraId="5E381ED0" w14:textId="46F605EC" w:rsidR="0031035B" w:rsidRPr="00D1187E" w:rsidRDefault="0031035B" w:rsidP="0031035B">
      <w:r w:rsidRPr="00D1187E">
        <w:t>After consideration of the real world data for MBS item 48694 – cervical artificial intervertebral total disc replacement (AIDR-C), at one level only, including removal of disc – (MSAC Application 1145), MSAC recommended no further action, considering that the actual utilisation data tracked reasonably closely with the utilisation predicted before this MBS listing was implemented, and that the other review variables presented did not raise any other substantive concerns.</w:t>
      </w:r>
    </w:p>
    <w:p w14:paraId="1D480D99" w14:textId="77777777" w:rsidR="007F35C8" w:rsidRDefault="007F35C8" w:rsidP="00607695">
      <w:pPr>
        <w:pStyle w:val="Heading1"/>
        <w:numPr>
          <w:ilvl w:val="0"/>
          <w:numId w:val="23"/>
        </w:numPr>
        <w:tabs>
          <w:tab w:val="left" w:pos="720"/>
          <w:tab w:val="left" w:pos="1140"/>
        </w:tabs>
        <w:spacing w:before="360"/>
        <w:ind w:hanging="720"/>
      </w:pPr>
      <w:r w:rsidRPr="0051606D">
        <w:t>Summary of consideration and rationale for MSAC’s advice</w:t>
      </w:r>
    </w:p>
    <w:p w14:paraId="1A267342" w14:textId="18F81EDC" w:rsidR="006C6205" w:rsidRDefault="0051606D" w:rsidP="00B07B09">
      <w:pPr>
        <w:spacing w:after="240"/>
      </w:pPr>
      <w:r w:rsidRPr="00DE01FE">
        <w:t xml:space="preserve">MSAC considered the impacts of the outcome of MSAC Application </w:t>
      </w:r>
      <w:r>
        <w:t>1145</w:t>
      </w:r>
      <w:r w:rsidRPr="00DE01FE">
        <w:t xml:space="preserve"> for</w:t>
      </w:r>
      <w:r>
        <w:t xml:space="preserve"> </w:t>
      </w:r>
      <w:r w:rsidRPr="005C7889">
        <w:t>cervical artificial intervertebral total disc replacement, at one level only, including removal of disc</w:t>
      </w:r>
      <w:r>
        <w:t xml:space="preserve"> (</w:t>
      </w:r>
      <w:r w:rsidRPr="009A0820">
        <w:t xml:space="preserve">MBS item </w:t>
      </w:r>
      <w:r w:rsidRPr="005C7889">
        <w:t>48694</w:t>
      </w:r>
      <w:r>
        <w:t xml:space="preserve">) </w:t>
      </w:r>
      <w:r w:rsidRPr="004D4B94">
        <w:t xml:space="preserve">by examining </w:t>
      </w:r>
      <w:r>
        <w:t xml:space="preserve">the actual utilisation </w:t>
      </w:r>
      <w:r w:rsidRPr="004D4B94">
        <w:t>data</w:t>
      </w:r>
      <w:r>
        <w:t xml:space="preserve"> up to December 2017 (t</w:t>
      </w:r>
      <w:r w:rsidRPr="00024363">
        <w:t>he majority up to June 2017</w:t>
      </w:r>
      <w:r>
        <w:t>). The item was MBS listed in November 2012.</w:t>
      </w:r>
    </w:p>
    <w:p w14:paraId="58105F22" w14:textId="0C3EF920" w:rsidR="0051606D" w:rsidRDefault="0051606D" w:rsidP="0051606D">
      <w:r>
        <w:t xml:space="preserve">This item is </w:t>
      </w:r>
      <w:r w:rsidRPr="004D4B94">
        <w:t>for patients who have not had prior spinal surgery at the same cervical level, are skeletally mature, have symptomatic degenerative disc disease with radiculopathy, do not have vertebral osteoporosis and have failed conservative therapy</w:t>
      </w:r>
      <w:r>
        <w:t>. MSAC noted that the procedure is performed i</w:t>
      </w:r>
      <w:r w:rsidRPr="00024363">
        <w:t>n-h</w:t>
      </w:r>
      <w:r>
        <w:t xml:space="preserve">ospital only, by a </w:t>
      </w:r>
      <w:r w:rsidRPr="00024363">
        <w:t>combination of neurosurgeons and orthopaedic surgeons</w:t>
      </w:r>
      <w:r>
        <w:t>.</w:t>
      </w:r>
    </w:p>
    <w:p w14:paraId="1E7DB834" w14:textId="6E178C90" w:rsidR="0051606D" w:rsidRDefault="0051606D" w:rsidP="00B07B09">
      <w:pPr>
        <w:spacing w:after="240"/>
      </w:pPr>
      <w:r w:rsidRPr="006D7D51">
        <w:lastRenderedPageBreak/>
        <w:t xml:space="preserve">MSAC recalled that </w:t>
      </w:r>
      <w:r>
        <w:t xml:space="preserve">for </w:t>
      </w:r>
      <w:r w:rsidRPr="009A0820">
        <w:t xml:space="preserve">item </w:t>
      </w:r>
      <w:r w:rsidRPr="005C7889">
        <w:t>48694</w:t>
      </w:r>
      <w:r>
        <w:t xml:space="preserve"> </w:t>
      </w:r>
      <w:r w:rsidRPr="006D7D51">
        <w:t xml:space="preserve">there </w:t>
      </w:r>
      <w:r>
        <w:t>was</w:t>
      </w:r>
      <w:r w:rsidRPr="006D7D51">
        <w:t xml:space="preserve"> a predicted </w:t>
      </w:r>
      <w:r>
        <w:t>uptake of 2</w:t>
      </w:r>
      <w:r w:rsidRPr="006D7D51">
        <w:t xml:space="preserve">33 services in the first year of implementation (partial financial year 2012–13) rising to </w:t>
      </w:r>
      <w:r>
        <w:t>540</w:t>
      </w:r>
      <w:r w:rsidRPr="006D7D51">
        <w:t xml:space="preserve"> services in year </w:t>
      </w:r>
      <w:r>
        <w:t>5</w:t>
      </w:r>
      <w:r w:rsidRPr="006D7D51">
        <w:t xml:space="preserve"> (financial year 2016–17).</w:t>
      </w:r>
      <w:r>
        <w:t xml:space="preserve"> MSAC noted that actual utilisation was less than predicted in the first 8 months following implementation (152 services), but in the following years actual utilisation surpassed predicted utilisation: </w:t>
      </w:r>
      <w:r w:rsidRPr="00F731EF">
        <w:t>503 actual services compared to 431 predicted services in 2013</w:t>
      </w:r>
      <w:r>
        <w:t>–</w:t>
      </w:r>
      <w:r w:rsidRPr="00F731EF">
        <w:t xml:space="preserve">14, increasing to 584 actual services compared to </w:t>
      </w:r>
      <w:bookmarkStart w:id="0" w:name="Editing"/>
      <w:bookmarkEnd w:id="0"/>
      <w:r w:rsidRPr="00F731EF">
        <w:t>the 540 predicted for 2016</w:t>
      </w:r>
      <w:r>
        <w:t>–</w:t>
      </w:r>
      <w:r w:rsidRPr="00F731EF">
        <w:t>17</w:t>
      </w:r>
      <w:r>
        <w:t xml:space="preserve">. MSAC noted that, </w:t>
      </w:r>
      <w:r w:rsidRPr="008A4B4C">
        <w:t>though still above the predicted volumes, services appeared to plateau</w:t>
      </w:r>
      <w:r>
        <w:t>.</w:t>
      </w:r>
    </w:p>
    <w:p w14:paraId="08DCED06" w14:textId="109E3536" w:rsidR="0051606D" w:rsidRDefault="0051606D" w:rsidP="00B07B09">
      <w:pPr>
        <w:spacing w:after="240"/>
      </w:pPr>
      <w:r>
        <w:t xml:space="preserve">MSAC noted that </w:t>
      </w:r>
      <w:r w:rsidRPr="008A4B4C">
        <w:t xml:space="preserve">the highest utilisation </w:t>
      </w:r>
      <w:r>
        <w:t xml:space="preserve">was in </w:t>
      </w:r>
      <w:r w:rsidRPr="008A4B4C">
        <w:t>Queensland, New South Wales, Victoria and Western Australia</w:t>
      </w:r>
      <w:r>
        <w:t>.</w:t>
      </w:r>
      <w:r w:rsidRPr="008A4B4C">
        <w:t xml:space="preserve"> </w:t>
      </w:r>
    </w:p>
    <w:p w14:paraId="7DF05AEB" w14:textId="2D8C0A17" w:rsidR="0051606D" w:rsidRDefault="0051606D" w:rsidP="00B07B09">
      <w:pPr>
        <w:spacing w:after="240"/>
      </w:pPr>
      <w:r>
        <w:t>MSAC recalled that the MBS fee for item 48694 is $1082 (75% = $812). MSAC noted that t</w:t>
      </w:r>
      <w:r w:rsidRPr="001A6B6D">
        <w:t>he national average fee for the period 2013</w:t>
      </w:r>
      <w:r>
        <w:t>–</w:t>
      </w:r>
      <w:r w:rsidRPr="001A6B6D">
        <w:t>14 to 2016</w:t>
      </w:r>
      <w:r>
        <w:t>–</w:t>
      </w:r>
      <w:r w:rsidRPr="001A6B6D">
        <w:t xml:space="preserve">17 was </w:t>
      </w:r>
      <w:r>
        <w:t xml:space="preserve">relatively constant, </w:t>
      </w:r>
      <w:r w:rsidRPr="001A6B6D">
        <w:t xml:space="preserve">approximately $2,750 to $2,800. </w:t>
      </w:r>
      <w:r>
        <w:t>MSAC noted that the fee in t</w:t>
      </w:r>
      <w:r w:rsidRPr="001A6B6D">
        <w:t>he Australian Capital Territory from 2014</w:t>
      </w:r>
      <w:r>
        <w:t>–</w:t>
      </w:r>
      <w:r w:rsidRPr="001A6B6D">
        <w:t>15 to 2016</w:t>
      </w:r>
      <w:r>
        <w:t>–</w:t>
      </w:r>
      <w:r w:rsidRPr="001A6B6D">
        <w:t>17</w:t>
      </w:r>
      <w:r>
        <w:t xml:space="preserve"> was higher than all other states</w:t>
      </w:r>
      <w:r w:rsidRPr="001A6B6D">
        <w:t>, at approximately $5,800.</w:t>
      </w:r>
      <w:r>
        <w:t xml:space="preserve"> Nationally, services are rarely bulk billed.</w:t>
      </w:r>
    </w:p>
    <w:p w14:paraId="73D999DB" w14:textId="4BEEFE0B" w:rsidR="0051606D" w:rsidRDefault="0051606D" w:rsidP="00B07B09">
      <w:pPr>
        <w:spacing w:after="240"/>
      </w:pPr>
      <w:r>
        <w:t xml:space="preserve">MSAC noted that the service is </w:t>
      </w:r>
      <w:r w:rsidRPr="00A81A98">
        <w:t>predominantly claimed by patients aged between 35 and 55</w:t>
      </w:r>
      <w:r>
        <w:t>, and claimed approximately evenly between males and females. The number of patients claiming the service increased from 152 in 2012–13, to 501 in 2013–14 and averaged 574 per year from 2014–15 to 2016–17.</w:t>
      </w:r>
    </w:p>
    <w:p w14:paraId="6615F80B" w14:textId="51D2FB88" w:rsidR="0051606D" w:rsidRDefault="0051606D" w:rsidP="00B07B09">
      <w:pPr>
        <w:spacing w:after="240"/>
      </w:pPr>
      <w:r>
        <w:t xml:space="preserve">MSAC noted that the number of </w:t>
      </w:r>
      <w:r w:rsidRPr="00A81A98">
        <w:t>practitioners providing this service increas</w:t>
      </w:r>
      <w:r>
        <w:t>ed from 47 i</w:t>
      </w:r>
      <w:r w:rsidRPr="00A81A98">
        <w:t>n 2012</w:t>
      </w:r>
      <w:r>
        <w:t>–</w:t>
      </w:r>
      <w:r w:rsidRPr="00A81A98">
        <w:t>13 to 102 in 2016</w:t>
      </w:r>
      <w:r>
        <w:t>–</w:t>
      </w:r>
      <w:r w:rsidRPr="00A81A98">
        <w:t>17.</w:t>
      </w:r>
      <w:r>
        <w:t xml:space="preserve"> Approximately 10% of providers perform 40% of the services; this may have drifted down over time.</w:t>
      </w:r>
    </w:p>
    <w:p w14:paraId="50207574" w14:textId="1FD723BD" w:rsidR="006C6205" w:rsidRDefault="0051606D" w:rsidP="00B07B09">
      <w:pPr>
        <w:spacing w:after="240"/>
      </w:pPr>
      <w:r>
        <w:t>MSAC noted that item 48694 is rarely claimed alone. It is most commonly (30%) co-claimed with items 40330 (spinal rhizolysis) and 6009 (professional attendance by a specialist in the practice of neurosurgery following referral of the patient to him or her – a minor attendance after the first in a single course of treatment at consulting rooms or hospital).</w:t>
      </w:r>
    </w:p>
    <w:p w14:paraId="44C8CAB9" w14:textId="05A77950" w:rsidR="0051606D" w:rsidRDefault="0051606D" w:rsidP="00B07B09">
      <w:pPr>
        <w:spacing w:after="240"/>
      </w:pPr>
      <w:r>
        <w:t xml:space="preserve">MSAC noted that the current evaluation is now outdated since MBS items for spinal surgery were recently reviewed by the MBS Review Taskforce. Item 48694 for AIDR-C was recommended to remain a listed service on the MBS, as it was deemed clinically appropriate. The government responded to the taskforce recommendations in the 2018–19 budget. MSAC noted that the </w:t>
      </w:r>
      <w:r w:rsidRPr="00BE658B">
        <w:t>new spinal surgery schedule will</w:t>
      </w:r>
      <w:r>
        <w:t>,</w:t>
      </w:r>
      <w:r w:rsidRPr="00BE658B">
        <w:t xml:space="preserve"> </w:t>
      </w:r>
      <w:r>
        <w:t>however, no longer include</w:t>
      </w:r>
      <w:r w:rsidRPr="00BE658B">
        <w:t xml:space="preserve"> item 40330 as a stand-alone service</w:t>
      </w:r>
      <w:r>
        <w:t>, and that</w:t>
      </w:r>
      <w:r w:rsidRPr="00BE658B">
        <w:t xml:space="preserve"> </w:t>
      </w:r>
      <w:r>
        <w:t>t</w:t>
      </w:r>
      <w:r w:rsidRPr="00BE658B">
        <w:t xml:space="preserve">he fee for AIDR-C has been adjusted ($1,560.20) to account for the deletion of item 40330 </w:t>
      </w:r>
      <w:r>
        <w:t>(</w:t>
      </w:r>
      <w:r w:rsidRPr="00BE658B">
        <w:t>modelled on the basis of cost neutrality across the complete restructure of spinal surgery items</w:t>
      </w:r>
      <w:r>
        <w:t>)</w:t>
      </w:r>
      <w:r w:rsidRPr="00BE658B">
        <w:t xml:space="preserve">. </w:t>
      </w:r>
      <w:r>
        <w:t>MSAC also noted minor changes to the item de</w:t>
      </w:r>
      <w:r w:rsidR="00B07B09">
        <w:t>scriptor made by the taskforce.</w:t>
      </w:r>
    </w:p>
    <w:p w14:paraId="23DBDD62" w14:textId="6BBD0A7D" w:rsidR="0051606D" w:rsidRDefault="0051606D" w:rsidP="00B07B09">
      <w:pPr>
        <w:spacing w:after="240"/>
      </w:pPr>
      <w:r>
        <w:t>MSAC queried whether the price increase for item 48694 will be ratified, and if so whether it will increase patient out-of-pocket costs. MSAC sought advice from the Department on how the effect of outcomes from the MBS Review Taskforce will be monitored.</w:t>
      </w:r>
    </w:p>
    <w:p w14:paraId="255408A1" w14:textId="77777777" w:rsidR="0051606D" w:rsidRDefault="0051606D" w:rsidP="0051606D">
      <w:r>
        <w:t xml:space="preserve">MSAC recommended no further action, </w:t>
      </w:r>
      <w:r w:rsidRPr="00335A16">
        <w:t>consider</w:t>
      </w:r>
      <w:r>
        <w:t>ing that the</w:t>
      </w:r>
      <w:r w:rsidRPr="00335A16">
        <w:t xml:space="preserve"> actual utilisation data </w:t>
      </w:r>
      <w:r>
        <w:t xml:space="preserve">tracked reasonably closely </w:t>
      </w:r>
      <w:r w:rsidRPr="00335A16">
        <w:t xml:space="preserve">with the utilisation predicted </w:t>
      </w:r>
      <w:r>
        <w:t>before</w:t>
      </w:r>
      <w:r w:rsidRPr="00335A16">
        <w:t xml:space="preserve"> this MBS listing</w:t>
      </w:r>
      <w:r>
        <w:t xml:space="preserve"> was implemented, and that the other review variables presented did not raise any other substantive concerns</w:t>
      </w:r>
      <w:r w:rsidRPr="00335A16">
        <w:t>.</w:t>
      </w:r>
      <w:r>
        <w:t xml:space="preserve"> </w:t>
      </w:r>
      <w:r w:rsidRPr="00C61A25">
        <w:t>Following clarification on price from the Department, MSAC may recommend continued monitoring depending on the policy framework established to evaluate unintended consequences of the MBS Review.</w:t>
      </w:r>
      <w:r>
        <w:t xml:space="preserve"> </w:t>
      </w:r>
    </w:p>
    <w:p w14:paraId="08E2832D" w14:textId="4EBD45B4" w:rsidR="00550354" w:rsidRDefault="00A0038D" w:rsidP="00F82582">
      <w:pPr>
        <w:pStyle w:val="Heading1"/>
        <w:tabs>
          <w:tab w:val="left" w:pos="720"/>
          <w:tab w:val="left" w:pos="993"/>
          <w:tab w:val="left" w:pos="1140"/>
        </w:tabs>
        <w:spacing w:before="360"/>
      </w:pPr>
      <w:r>
        <w:lastRenderedPageBreak/>
        <w:t>4</w:t>
      </w:r>
      <w:r w:rsidR="00B804C1">
        <w:t>.</w:t>
      </w:r>
      <w:r w:rsidR="00FE4396">
        <w:tab/>
      </w:r>
      <w:r w:rsidR="003F5DD6">
        <w:t>Methodology</w:t>
      </w:r>
    </w:p>
    <w:p w14:paraId="420601C9" w14:textId="297A7CBA" w:rsidR="001C1BE6" w:rsidRDefault="001C1BE6" w:rsidP="00550354">
      <w:pPr>
        <w:rPr>
          <w:szCs w:val="24"/>
        </w:rPr>
      </w:pPr>
      <w:r>
        <w:rPr>
          <w:szCs w:val="24"/>
        </w:rPr>
        <w:t xml:space="preserve">An application is selected for consideration if the resulting new item(s) </w:t>
      </w:r>
      <w:r w:rsidR="00026E58">
        <w:rPr>
          <w:szCs w:val="24"/>
        </w:rPr>
        <w:t>and/</w:t>
      </w:r>
      <w:r>
        <w:rPr>
          <w:szCs w:val="24"/>
        </w:rPr>
        <w:t xml:space="preserve">or item amendment(s) have been on the MBS for approximately 24 months or longer or if there were particular concerns about utilisation such that MSAC requested to consider it earlier. The specific applications for each MSAC meeting are selected by the MSAC Executive which is composed of the </w:t>
      </w:r>
      <w:r w:rsidR="00F3088E">
        <w:rPr>
          <w:szCs w:val="24"/>
        </w:rPr>
        <w:t>c</w:t>
      </w:r>
      <w:r>
        <w:rPr>
          <w:szCs w:val="24"/>
        </w:rPr>
        <w:t>hairs of MSAC and its sub-committees.</w:t>
      </w:r>
    </w:p>
    <w:p w14:paraId="5EF0EBE3" w14:textId="508C17D1" w:rsidR="001C1BE6" w:rsidRDefault="001C1BE6" w:rsidP="004617ED">
      <w:pPr>
        <w:spacing w:before="240"/>
        <w:rPr>
          <w:szCs w:val="24"/>
        </w:rPr>
      </w:pPr>
      <w:r>
        <w:rPr>
          <w:szCs w:val="24"/>
        </w:rPr>
        <w:t xml:space="preserve">A report on the utilisation is developed by the </w:t>
      </w:r>
      <w:r w:rsidR="00F3088E">
        <w:rPr>
          <w:szCs w:val="24"/>
        </w:rPr>
        <w:t>department</w:t>
      </w:r>
      <w:r>
        <w:rPr>
          <w:szCs w:val="24"/>
        </w:rPr>
        <w:t xml:space="preserve"> with information on a number of metrics including</w:t>
      </w:r>
      <w:r w:rsidR="00F3088E">
        <w:rPr>
          <w:szCs w:val="24"/>
        </w:rPr>
        <w:t>;</w:t>
      </w:r>
      <w:r>
        <w:rPr>
          <w:szCs w:val="24"/>
        </w:rPr>
        <w:t xml:space="preserve"> state variation, patient demographics, services per patient, practitioner’s providing the service, data on fees and co-claiming of services. The number of metrics included in a report is dependent on the annual service volume for the MBS item(s) under consideration i.e. an item with very low utilisation will have less data to analyse. Where service volumes are too low, information is suppressed to protect patient privacy.</w:t>
      </w:r>
    </w:p>
    <w:p w14:paraId="2DF32FA0" w14:textId="7FBEA9FC" w:rsidR="001C1BE6" w:rsidRDefault="001C1BE6" w:rsidP="004617ED">
      <w:pPr>
        <w:spacing w:before="240"/>
        <w:rPr>
          <w:szCs w:val="24"/>
        </w:rPr>
      </w:pPr>
      <w:r>
        <w:rPr>
          <w:szCs w:val="24"/>
        </w:rPr>
        <w:t>Where possible the report compares data on real world utilisation to the assumptions made during the MSAC assessment. Most of these assumptions are drawn from the assessment report.</w:t>
      </w:r>
    </w:p>
    <w:p w14:paraId="26E62F08" w14:textId="6CEDF436" w:rsidR="00B11472" w:rsidRDefault="001C1BE6" w:rsidP="004617ED">
      <w:pPr>
        <w:spacing w:before="240"/>
        <w:rPr>
          <w:szCs w:val="24"/>
        </w:rPr>
      </w:pPr>
      <w:r>
        <w:rPr>
          <w:szCs w:val="24"/>
        </w:rPr>
        <w:t>Relevant stakeholders are provided an opportunity to comment on the findings in the report before it is presented to the MSAC. It is intended that stakeholders are given at least three weeks to consider the reports.</w:t>
      </w:r>
    </w:p>
    <w:p w14:paraId="40C0C81F" w14:textId="4670B574" w:rsidR="001C1BE6" w:rsidRDefault="001C1BE6" w:rsidP="004617ED">
      <w:pPr>
        <w:spacing w:before="240"/>
        <w:rPr>
          <w:szCs w:val="24"/>
        </w:rPr>
      </w:pPr>
      <w:r>
        <w:rPr>
          <w:szCs w:val="24"/>
        </w:rPr>
        <w:t xml:space="preserve">The stakeholder version of the report does not contain information </w:t>
      </w:r>
      <w:r w:rsidR="00B11472">
        <w:rPr>
          <w:szCs w:val="24"/>
        </w:rPr>
        <w:t>on assumptions from the MSAC consideration if this information is not already publicly available. This is to protect the commercial in confidence of the original applicants. The same principle is applied to this document.</w:t>
      </w:r>
    </w:p>
    <w:p w14:paraId="604337F3" w14:textId="41A7BF87" w:rsidR="00D14EAB" w:rsidRDefault="00B11472" w:rsidP="004617ED">
      <w:pPr>
        <w:spacing w:before="240"/>
        <w:rPr>
          <w:szCs w:val="24"/>
        </w:rPr>
      </w:pPr>
      <w:r>
        <w:rPr>
          <w:szCs w:val="24"/>
        </w:rPr>
        <w:t>Once MSAC has considered the report</w:t>
      </w:r>
      <w:r w:rsidR="002D73A2">
        <w:rPr>
          <w:szCs w:val="24"/>
        </w:rPr>
        <w:t>,</w:t>
      </w:r>
      <w:r w:rsidR="00A91AFD">
        <w:rPr>
          <w:szCs w:val="24"/>
        </w:rPr>
        <w:t xml:space="preserve"> its advice is made available online </w:t>
      </w:r>
      <w:r w:rsidR="009B433F">
        <w:rPr>
          <w:szCs w:val="24"/>
        </w:rPr>
        <w:t xml:space="preserve">at the </w:t>
      </w:r>
      <w:hyperlink r:id="rId10" w:tooltip="Link to MSAC website" w:history="1">
        <w:r w:rsidR="009B433F" w:rsidRPr="009B433F">
          <w:rPr>
            <w:rStyle w:val="Hyperlink"/>
            <w:szCs w:val="24"/>
          </w:rPr>
          <w:t xml:space="preserve">MSAC </w:t>
        </w:r>
        <w:r w:rsidR="0048056B">
          <w:rPr>
            <w:rStyle w:val="Hyperlink"/>
            <w:szCs w:val="24"/>
          </w:rPr>
          <w:t>W</w:t>
        </w:r>
        <w:r w:rsidR="009B433F" w:rsidRPr="009B433F">
          <w:rPr>
            <w:rStyle w:val="Hyperlink"/>
            <w:szCs w:val="24"/>
          </w:rPr>
          <w:t>ebsite</w:t>
        </w:r>
      </w:hyperlink>
      <w:r w:rsidR="00A91AFD">
        <w:rPr>
          <w:szCs w:val="24"/>
        </w:rPr>
        <w:t>.</w:t>
      </w:r>
    </w:p>
    <w:p w14:paraId="09E8EE24" w14:textId="66D5914C" w:rsidR="00BC1364" w:rsidRPr="00A91AFD" w:rsidRDefault="00FE4396" w:rsidP="00F82582">
      <w:pPr>
        <w:pStyle w:val="Heading1"/>
        <w:tabs>
          <w:tab w:val="left" w:pos="720"/>
          <w:tab w:val="left" w:pos="1140"/>
        </w:tabs>
        <w:spacing w:before="360"/>
      </w:pPr>
      <w:r>
        <w:t>5.</w:t>
      </w:r>
      <w:r>
        <w:tab/>
      </w:r>
      <w:r w:rsidR="003F5DD6">
        <w:t>Results</w:t>
      </w:r>
    </w:p>
    <w:p w14:paraId="759802B8" w14:textId="03C6E5D8" w:rsidR="004E015F" w:rsidRDefault="004E015F" w:rsidP="004E015F">
      <w:pPr>
        <w:pStyle w:val="Heading2"/>
      </w:pPr>
      <w:r>
        <w:t>Utilisation</w:t>
      </w:r>
    </w:p>
    <w:p w14:paraId="6AB78B05" w14:textId="08E437CC" w:rsidR="001B39BC" w:rsidRDefault="002B2CAA" w:rsidP="00B07B09">
      <w:pPr>
        <w:spacing w:after="240"/>
      </w:pPr>
      <w:r w:rsidRPr="007E35CA">
        <w:t>Although actual utilisation of item 48694 was less than predicted in the first eight months following implemen</w:t>
      </w:r>
      <w:r w:rsidRPr="00D72BD7">
        <w:t>tation</w:t>
      </w:r>
      <w:r w:rsidRPr="007E35CA">
        <w:t>, since 2013-14 actual utilisation has</w:t>
      </w:r>
      <w:r>
        <w:t xml:space="preserve"> </w:t>
      </w:r>
      <w:r w:rsidRPr="007E35CA">
        <w:t>remained greater than what was predicted.</w:t>
      </w:r>
      <w:r>
        <w:t xml:space="preserve"> In 2012-13 there were 152 actual services</w:t>
      </w:r>
      <w:r w:rsidR="003376A3">
        <w:t xml:space="preserve"> which was significantly lower than predicted</w:t>
      </w:r>
      <w:r>
        <w:t>; in 2013-14 there were 503</w:t>
      </w:r>
      <w:r w:rsidR="001B39BC">
        <w:t xml:space="preserve"> actual services</w:t>
      </w:r>
      <w:r>
        <w:t xml:space="preserve"> </w:t>
      </w:r>
      <w:r w:rsidR="001B39BC">
        <w:t xml:space="preserve">which was greater </w:t>
      </w:r>
      <w:r w:rsidR="003376A3">
        <w:t>than predicted</w:t>
      </w:r>
      <w:r w:rsidR="001B39BC">
        <w:t>.</w:t>
      </w:r>
      <w:r w:rsidR="003376A3">
        <w:t xml:space="preserve"> </w:t>
      </w:r>
      <w:r>
        <w:t>Uptake in 2014-15 continued t</w:t>
      </w:r>
      <w:r w:rsidR="003376A3">
        <w:t>o surpass predicted utilisation</w:t>
      </w:r>
      <w:r w:rsidR="001B39BC">
        <w:t>.</w:t>
      </w:r>
      <w:r>
        <w:t xml:space="preserve"> During 2015-16 and 2016-17 though</w:t>
      </w:r>
      <w:r w:rsidRPr="00980744">
        <w:t xml:space="preserve"> </w:t>
      </w:r>
      <w:r>
        <w:t xml:space="preserve">still above the predicted volumes, services appeared to plateau (Figure 1). </w:t>
      </w:r>
    </w:p>
    <w:p w14:paraId="4D48537C" w14:textId="76AA383B" w:rsidR="001B39BC" w:rsidRDefault="001B39BC" w:rsidP="00B07B09">
      <w:pPr>
        <w:ind w:right="-341"/>
      </w:pPr>
      <w:r w:rsidRPr="006A7F98">
        <w:t xml:space="preserve">From </w:t>
      </w:r>
      <w:r>
        <w:t>1</w:t>
      </w:r>
      <w:r w:rsidRPr="006A7F98">
        <w:t xml:space="preserve"> </w:t>
      </w:r>
      <w:r>
        <w:t xml:space="preserve">November 2012 to 30 June </w:t>
      </w:r>
      <w:r w:rsidRPr="006A7F98">
        <w:t xml:space="preserve">2017, </w:t>
      </w:r>
      <w:r>
        <w:t xml:space="preserve">Queensland </w:t>
      </w:r>
      <w:r w:rsidRPr="006A7F98">
        <w:t>h</w:t>
      </w:r>
      <w:r>
        <w:t>ad the highest utilisation with 903</w:t>
      </w:r>
      <w:r w:rsidR="00B07B09">
        <w:t> </w:t>
      </w:r>
      <w:r w:rsidRPr="00396F1D">
        <w:t>services</w:t>
      </w:r>
      <w:r>
        <w:t xml:space="preserve">, accounting for </w:t>
      </w:r>
      <w:r w:rsidRPr="00396F1D">
        <w:t>approximately</w:t>
      </w:r>
      <w:r>
        <w:t xml:space="preserve"> 38 percent of </w:t>
      </w:r>
      <w:r w:rsidRPr="00396F1D">
        <w:t>services billed to the item</w:t>
      </w:r>
      <w:r>
        <w:t>. This compares to New South Wales, which had the second highest utilisation 462 services, accounting for 19 percent of services in this period. After the Northern Territory, South Australia had the lowest utilisation with 10 services claimed during the same period</w:t>
      </w:r>
      <w:r w:rsidRPr="005F0BD4">
        <w:t xml:space="preserve"> (Table 1).</w:t>
      </w:r>
    </w:p>
    <w:p w14:paraId="5364ED7E" w14:textId="1D08F9AA" w:rsidR="002B2CAA" w:rsidRDefault="003376A3" w:rsidP="00830DC3">
      <w:pPr>
        <w:ind w:right="-341"/>
      </w:pPr>
      <w:r>
        <w:rPr>
          <w:noProof/>
        </w:rPr>
        <w:lastRenderedPageBreak/>
        <w:drawing>
          <wp:inline distT="0" distB="0" distL="0" distR="0" wp14:anchorId="7C5EB437" wp14:editId="12A50536">
            <wp:extent cx="4724400" cy="2333625"/>
            <wp:effectExtent l="0" t="0" r="19050" b="9525"/>
            <wp:docPr id="7" name="Chart 7" descr="Predicted versus actual services of MBS item48694 from 1 November 2012 to 31 December 2017 by date of service. Shows the actual utilisation was greater than expected, but has  now plateaued, as of June 2017." title="Figure 1 Predicted versus actual services of MBS item 48694 from 1 Novmeber 2012 to 31 December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7DBA3F" w14:textId="77777777" w:rsidR="00F82582" w:rsidRDefault="003376A3" w:rsidP="003376A3">
      <w:pPr>
        <w:rPr>
          <w:b/>
          <w:sz w:val="20"/>
        </w:rPr>
      </w:pPr>
      <w:r>
        <w:rPr>
          <w:b/>
          <w:sz w:val="20"/>
        </w:rPr>
        <w:t xml:space="preserve">Figure 1: </w:t>
      </w:r>
      <w:r w:rsidRPr="00D702F4">
        <w:rPr>
          <w:b/>
          <w:sz w:val="20"/>
        </w:rPr>
        <w:t>Predicted versus actual services of MBS item 48694 from</w:t>
      </w:r>
      <w:r>
        <w:rPr>
          <w:b/>
          <w:sz w:val="20"/>
        </w:rPr>
        <w:t xml:space="preserve"> 1 November 2012 to</w:t>
      </w:r>
    </w:p>
    <w:p w14:paraId="2B363AEC" w14:textId="515EED95" w:rsidR="003376A3" w:rsidRDefault="003376A3" w:rsidP="003376A3">
      <w:pPr>
        <w:rPr>
          <w:b/>
          <w:sz w:val="20"/>
        </w:rPr>
      </w:pPr>
      <w:r>
        <w:rPr>
          <w:b/>
          <w:sz w:val="20"/>
        </w:rPr>
        <w:t xml:space="preserve"> 31 December 2017.</w:t>
      </w:r>
    </w:p>
    <w:p w14:paraId="7B9AF394" w14:textId="77777777" w:rsidR="00F82582" w:rsidRDefault="003376A3" w:rsidP="00F82582">
      <w:pPr>
        <w:rPr>
          <w:i/>
          <w:sz w:val="18"/>
          <w:szCs w:val="18"/>
        </w:rPr>
      </w:pPr>
      <w:r w:rsidRPr="00F82582">
        <w:rPr>
          <w:i/>
          <w:sz w:val="18"/>
          <w:szCs w:val="18"/>
        </w:rPr>
        <w:t xml:space="preserve">° </w:t>
      </w:r>
      <w:r w:rsidRPr="00F82582">
        <w:rPr>
          <w:sz w:val="18"/>
          <w:szCs w:val="18"/>
        </w:rPr>
        <w:t>Predicted services in 2012-13 adjusted to reflect partial financial year</w:t>
      </w:r>
      <w:r w:rsidR="00F82582" w:rsidRPr="00F82582">
        <w:rPr>
          <w:i/>
          <w:sz w:val="18"/>
          <w:szCs w:val="18"/>
        </w:rPr>
        <w:t xml:space="preserve"> </w:t>
      </w:r>
    </w:p>
    <w:p w14:paraId="60A4ABB8" w14:textId="582D0A85" w:rsidR="00F82582" w:rsidRDefault="00F82582" w:rsidP="00F82582">
      <w:pPr>
        <w:spacing w:after="240"/>
        <w:rPr>
          <w:i/>
          <w:sz w:val="18"/>
          <w:szCs w:val="18"/>
        </w:rPr>
      </w:pPr>
      <w:r w:rsidRPr="00F82582">
        <w:rPr>
          <w:i/>
          <w:sz w:val="18"/>
          <w:szCs w:val="18"/>
        </w:rPr>
        <w:t>Source:</w:t>
      </w:r>
      <w:r w:rsidR="00104EBC">
        <w:rPr>
          <w:i/>
          <w:sz w:val="18"/>
          <w:szCs w:val="18"/>
        </w:rPr>
        <w:t>D</w:t>
      </w:r>
      <w:r w:rsidRPr="00F82582">
        <w:rPr>
          <w:i/>
          <w:sz w:val="18"/>
          <w:szCs w:val="18"/>
        </w:rPr>
        <w:t>epartment of Health, File: Q21109B Item 48694 utilisation 31 Jan 2018.xls</w:t>
      </w:r>
    </w:p>
    <w:p w14:paraId="38726A9F" w14:textId="285CA84F" w:rsidR="00A0038D" w:rsidRDefault="00830DC3" w:rsidP="002F68E2">
      <w:r>
        <w:rPr>
          <w:b/>
          <w:sz w:val="20"/>
        </w:rPr>
        <w:t xml:space="preserve">Table 1. </w:t>
      </w:r>
      <w:r w:rsidR="00D902DD">
        <w:rPr>
          <w:b/>
          <w:sz w:val="20"/>
        </w:rPr>
        <w:t xml:space="preserve"> </w:t>
      </w:r>
      <w:r w:rsidR="00A0038D" w:rsidRPr="00516D19">
        <w:rPr>
          <w:b/>
          <w:sz w:val="20"/>
        </w:rPr>
        <w:t xml:space="preserve">Service volume of MBS item </w:t>
      </w:r>
      <w:r w:rsidR="00A0038D">
        <w:rPr>
          <w:b/>
          <w:sz w:val="20"/>
        </w:rPr>
        <w:t>48694 between 2012-13 and 2017-18</w:t>
      </w:r>
      <w:r w:rsidR="00A0038D" w:rsidRPr="00516D19">
        <w:rPr>
          <w:b/>
          <w:sz w:val="20"/>
        </w:rPr>
        <w:t xml:space="preserve"> (date of service</w:t>
      </w:r>
      <w:r w:rsidR="00A0038D" w:rsidRPr="00516D19">
        <w:t>)</w:t>
      </w:r>
    </w:p>
    <w:tbl>
      <w:tblPr>
        <w:tblW w:w="8626" w:type="dxa"/>
        <w:tblInd w:w="93" w:type="dxa"/>
        <w:tblLook w:val="04A0" w:firstRow="1" w:lastRow="0" w:firstColumn="1" w:lastColumn="0" w:noHBand="0" w:noVBand="1"/>
        <w:tblDescription w:val="MBS item 48694 - service volume from 2012-13 up to 2017-18"/>
      </w:tblPr>
      <w:tblGrid>
        <w:gridCol w:w="1351"/>
        <w:gridCol w:w="891"/>
        <w:gridCol w:w="742"/>
        <w:gridCol w:w="742"/>
        <w:gridCol w:w="891"/>
        <w:gridCol w:w="742"/>
        <w:gridCol w:w="891"/>
        <w:gridCol w:w="742"/>
        <w:gridCol w:w="743"/>
        <w:gridCol w:w="891"/>
      </w:tblGrid>
      <w:tr w:rsidR="00A0038D" w:rsidRPr="00396F1D" w14:paraId="5070BB3F" w14:textId="77777777" w:rsidTr="00A0038D">
        <w:trPr>
          <w:trHeight w:val="307"/>
        </w:trPr>
        <w:tc>
          <w:tcPr>
            <w:tcW w:w="1351" w:type="dxa"/>
            <w:vMerge w:val="restart"/>
            <w:tcBorders>
              <w:bottom w:val="single" w:sz="4" w:space="0" w:color="auto"/>
              <w:right w:val="single" w:sz="4" w:space="0" w:color="auto"/>
            </w:tcBorders>
            <w:shd w:val="clear" w:color="auto" w:fill="auto"/>
            <w:noWrap/>
            <w:vAlign w:val="center"/>
            <w:hideMark/>
          </w:tcPr>
          <w:p w14:paraId="1871361F" w14:textId="77777777" w:rsidR="00A0038D" w:rsidRPr="00396F1D" w:rsidRDefault="00A0038D" w:rsidP="002F68E2">
            <w:pPr>
              <w:jc w:val="center"/>
              <w:rPr>
                <w:rFonts w:ascii="Arial" w:hAnsi="Arial" w:cs="Arial"/>
                <w:b/>
                <w:bCs/>
                <w:color w:val="000000"/>
                <w:sz w:val="18"/>
                <w:szCs w:val="18"/>
              </w:rPr>
            </w:pPr>
          </w:p>
        </w:tc>
        <w:tc>
          <w:tcPr>
            <w:tcW w:w="6384"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4A360D5E" w14:textId="77777777" w:rsidR="00A0038D" w:rsidRPr="00964F50" w:rsidRDefault="00A0038D" w:rsidP="002F68E2">
            <w:pPr>
              <w:jc w:val="center"/>
              <w:rPr>
                <w:rFonts w:ascii="Arial" w:hAnsi="Arial" w:cs="Arial"/>
                <w:b/>
                <w:bCs/>
                <w:sz w:val="18"/>
                <w:szCs w:val="18"/>
              </w:rPr>
            </w:pPr>
            <w:r w:rsidRPr="00964F50">
              <w:rPr>
                <w:rFonts w:ascii="Arial" w:hAnsi="Arial" w:cs="Arial"/>
                <w:b/>
                <w:bCs/>
                <w:sz w:val="18"/>
                <w:szCs w:val="18"/>
              </w:rPr>
              <w:t>State/Territory</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6AB9B47" w14:textId="77777777" w:rsidR="00A0038D" w:rsidRPr="00396F1D" w:rsidRDefault="00A0038D" w:rsidP="002F68E2">
            <w:pPr>
              <w:jc w:val="center"/>
              <w:rPr>
                <w:rFonts w:ascii="Arial" w:hAnsi="Arial" w:cs="Arial"/>
                <w:b/>
                <w:bCs/>
                <w:color w:val="000000"/>
                <w:sz w:val="18"/>
                <w:szCs w:val="18"/>
              </w:rPr>
            </w:pPr>
            <w:r w:rsidRPr="00396F1D">
              <w:rPr>
                <w:rFonts w:ascii="Arial" w:hAnsi="Arial" w:cs="Arial"/>
                <w:b/>
                <w:bCs/>
                <w:color w:val="000000"/>
                <w:sz w:val="18"/>
                <w:szCs w:val="18"/>
              </w:rPr>
              <w:t>Total</w:t>
            </w:r>
          </w:p>
        </w:tc>
      </w:tr>
      <w:tr w:rsidR="00A0038D" w:rsidRPr="00396F1D" w14:paraId="0C4D050D" w14:textId="77777777" w:rsidTr="00FE4396">
        <w:trPr>
          <w:trHeight w:val="307"/>
        </w:trPr>
        <w:tc>
          <w:tcPr>
            <w:tcW w:w="1351" w:type="dxa"/>
            <w:vMerge/>
            <w:tcBorders>
              <w:top w:val="single" w:sz="4" w:space="0" w:color="auto"/>
              <w:bottom w:val="single" w:sz="4" w:space="0" w:color="auto"/>
              <w:right w:val="single" w:sz="4" w:space="0" w:color="auto"/>
            </w:tcBorders>
            <w:vAlign w:val="center"/>
            <w:hideMark/>
          </w:tcPr>
          <w:p w14:paraId="0FCC5288" w14:textId="77777777" w:rsidR="00A0038D" w:rsidRPr="00396F1D" w:rsidRDefault="00A0038D" w:rsidP="002F68E2">
            <w:pPr>
              <w:rPr>
                <w:rFonts w:ascii="Arial" w:hAnsi="Arial" w:cs="Arial"/>
                <w:b/>
                <w:bCs/>
                <w:color w:val="000000"/>
                <w:sz w:val="18"/>
                <w:szCs w:val="18"/>
              </w:rPr>
            </w:pPr>
          </w:p>
        </w:tc>
        <w:tc>
          <w:tcPr>
            <w:tcW w:w="891" w:type="dxa"/>
            <w:tcBorders>
              <w:top w:val="nil"/>
              <w:left w:val="nil"/>
              <w:bottom w:val="single" w:sz="4" w:space="0" w:color="auto"/>
              <w:right w:val="single" w:sz="4" w:space="0" w:color="auto"/>
            </w:tcBorders>
            <w:shd w:val="clear" w:color="auto" w:fill="8DB3E2" w:themeFill="text2" w:themeFillTint="66"/>
            <w:noWrap/>
            <w:vAlign w:val="center"/>
            <w:hideMark/>
          </w:tcPr>
          <w:p w14:paraId="2C86DB70" w14:textId="77777777" w:rsidR="00A0038D" w:rsidRPr="00396F1D" w:rsidRDefault="00A0038D" w:rsidP="002F68E2">
            <w:pPr>
              <w:jc w:val="center"/>
              <w:rPr>
                <w:rFonts w:ascii="Arial" w:hAnsi="Arial" w:cs="Arial"/>
                <w:b/>
                <w:bCs/>
                <w:color w:val="FFFFFF" w:themeColor="background1"/>
                <w:sz w:val="18"/>
                <w:szCs w:val="18"/>
              </w:rPr>
            </w:pPr>
            <w:r w:rsidRPr="00964F50">
              <w:rPr>
                <w:rFonts w:ascii="Arial" w:hAnsi="Arial" w:cs="Arial"/>
                <w:b/>
                <w:bCs/>
                <w:sz w:val="18"/>
                <w:szCs w:val="18"/>
              </w:rPr>
              <w:t>NSW</w:t>
            </w:r>
          </w:p>
        </w:tc>
        <w:tc>
          <w:tcPr>
            <w:tcW w:w="742"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4C9D1BB9" w14:textId="77777777" w:rsidR="00A0038D" w:rsidRPr="00964F50" w:rsidRDefault="00A0038D" w:rsidP="002F68E2">
            <w:pPr>
              <w:jc w:val="center"/>
              <w:rPr>
                <w:rFonts w:ascii="Arial" w:hAnsi="Arial" w:cs="Arial"/>
                <w:b/>
                <w:bCs/>
                <w:sz w:val="18"/>
                <w:szCs w:val="18"/>
              </w:rPr>
            </w:pPr>
            <w:r w:rsidRPr="00964F50">
              <w:rPr>
                <w:rFonts w:ascii="Arial" w:hAnsi="Arial" w:cs="Arial"/>
                <w:b/>
                <w:bCs/>
                <w:sz w:val="18"/>
                <w:szCs w:val="18"/>
              </w:rPr>
              <w:t>VIC</w:t>
            </w:r>
          </w:p>
        </w:tc>
        <w:tc>
          <w:tcPr>
            <w:tcW w:w="742"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423D5F59" w14:textId="77777777" w:rsidR="00A0038D" w:rsidRPr="00964F50" w:rsidRDefault="00A0038D" w:rsidP="002F68E2">
            <w:pPr>
              <w:jc w:val="center"/>
              <w:rPr>
                <w:rFonts w:ascii="Arial" w:hAnsi="Arial" w:cs="Arial"/>
                <w:b/>
                <w:bCs/>
                <w:sz w:val="18"/>
                <w:szCs w:val="18"/>
              </w:rPr>
            </w:pPr>
            <w:r w:rsidRPr="00964F50">
              <w:rPr>
                <w:rFonts w:ascii="Arial" w:hAnsi="Arial" w:cs="Arial"/>
                <w:b/>
                <w:bCs/>
                <w:sz w:val="18"/>
                <w:szCs w:val="18"/>
              </w:rPr>
              <w:t>QLD</w:t>
            </w:r>
          </w:p>
        </w:tc>
        <w:tc>
          <w:tcPr>
            <w:tcW w:w="89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477FBCB0" w14:textId="77777777" w:rsidR="00A0038D" w:rsidRPr="00964F50" w:rsidRDefault="00A0038D" w:rsidP="002F68E2">
            <w:pPr>
              <w:jc w:val="center"/>
              <w:rPr>
                <w:rFonts w:ascii="Arial" w:hAnsi="Arial" w:cs="Arial"/>
                <w:b/>
                <w:bCs/>
                <w:sz w:val="18"/>
                <w:szCs w:val="18"/>
              </w:rPr>
            </w:pPr>
            <w:r w:rsidRPr="00964F50">
              <w:rPr>
                <w:rFonts w:ascii="Arial" w:hAnsi="Arial" w:cs="Arial"/>
                <w:b/>
                <w:bCs/>
                <w:sz w:val="18"/>
                <w:szCs w:val="18"/>
              </w:rPr>
              <w:t>SA</w:t>
            </w:r>
          </w:p>
        </w:tc>
        <w:tc>
          <w:tcPr>
            <w:tcW w:w="742"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0A76803C" w14:textId="77777777" w:rsidR="00A0038D" w:rsidRPr="00964F50" w:rsidRDefault="00A0038D" w:rsidP="002F68E2">
            <w:pPr>
              <w:jc w:val="center"/>
              <w:rPr>
                <w:rFonts w:ascii="Arial" w:hAnsi="Arial" w:cs="Arial"/>
                <w:b/>
                <w:bCs/>
                <w:sz w:val="18"/>
                <w:szCs w:val="18"/>
              </w:rPr>
            </w:pPr>
            <w:r w:rsidRPr="00964F50">
              <w:rPr>
                <w:rFonts w:ascii="Arial" w:hAnsi="Arial" w:cs="Arial"/>
                <w:b/>
                <w:bCs/>
                <w:sz w:val="18"/>
                <w:szCs w:val="18"/>
              </w:rPr>
              <w:t>WA</w:t>
            </w:r>
          </w:p>
        </w:tc>
        <w:tc>
          <w:tcPr>
            <w:tcW w:w="89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7F223E88" w14:textId="77777777" w:rsidR="00A0038D" w:rsidRPr="00964F50" w:rsidRDefault="00A0038D" w:rsidP="002F68E2">
            <w:pPr>
              <w:jc w:val="center"/>
              <w:rPr>
                <w:rFonts w:ascii="Arial" w:hAnsi="Arial" w:cs="Arial"/>
                <w:b/>
                <w:bCs/>
                <w:sz w:val="18"/>
                <w:szCs w:val="18"/>
              </w:rPr>
            </w:pPr>
            <w:r w:rsidRPr="00964F50">
              <w:rPr>
                <w:rFonts w:ascii="Arial" w:hAnsi="Arial" w:cs="Arial"/>
                <w:b/>
                <w:bCs/>
                <w:sz w:val="18"/>
                <w:szCs w:val="18"/>
              </w:rPr>
              <w:t>TAS</w:t>
            </w:r>
          </w:p>
        </w:tc>
        <w:tc>
          <w:tcPr>
            <w:tcW w:w="742"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5FC5E536" w14:textId="77777777" w:rsidR="00A0038D" w:rsidRPr="00964F50" w:rsidRDefault="00A0038D" w:rsidP="002F68E2">
            <w:pPr>
              <w:jc w:val="center"/>
              <w:rPr>
                <w:rFonts w:ascii="Arial" w:hAnsi="Arial" w:cs="Arial"/>
                <w:b/>
                <w:bCs/>
                <w:sz w:val="18"/>
                <w:szCs w:val="18"/>
              </w:rPr>
            </w:pPr>
            <w:r w:rsidRPr="00964F50">
              <w:rPr>
                <w:rFonts w:ascii="Arial" w:hAnsi="Arial" w:cs="Arial"/>
                <w:b/>
                <w:bCs/>
                <w:sz w:val="18"/>
                <w:szCs w:val="18"/>
              </w:rPr>
              <w:t>NT</w:t>
            </w:r>
          </w:p>
        </w:tc>
        <w:tc>
          <w:tcPr>
            <w:tcW w:w="743"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45F7218F" w14:textId="77777777" w:rsidR="00A0038D" w:rsidRPr="00964F50" w:rsidRDefault="00A0038D" w:rsidP="002F68E2">
            <w:pPr>
              <w:jc w:val="center"/>
              <w:rPr>
                <w:rFonts w:ascii="Arial" w:hAnsi="Arial" w:cs="Arial"/>
                <w:b/>
                <w:bCs/>
                <w:sz w:val="18"/>
                <w:szCs w:val="18"/>
              </w:rPr>
            </w:pPr>
            <w:r w:rsidRPr="00964F50">
              <w:rPr>
                <w:rFonts w:ascii="Arial" w:hAnsi="Arial" w:cs="Arial"/>
                <w:b/>
                <w:bCs/>
                <w:sz w:val="18"/>
                <w:szCs w:val="18"/>
              </w:rPr>
              <w:t>ACT</w:t>
            </w:r>
          </w:p>
        </w:tc>
        <w:tc>
          <w:tcPr>
            <w:tcW w:w="891"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4CF35BB" w14:textId="77777777" w:rsidR="00A0038D" w:rsidRPr="00396F1D" w:rsidRDefault="00A0038D" w:rsidP="002F68E2">
            <w:pPr>
              <w:rPr>
                <w:rFonts w:ascii="Arial" w:hAnsi="Arial" w:cs="Arial"/>
                <w:b/>
                <w:bCs/>
                <w:color w:val="000000"/>
                <w:sz w:val="18"/>
                <w:szCs w:val="18"/>
              </w:rPr>
            </w:pPr>
          </w:p>
        </w:tc>
      </w:tr>
      <w:tr w:rsidR="00A0038D" w:rsidRPr="00396F1D" w14:paraId="273F39F9" w14:textId="77777777" w:rsidTr="00FE4396">
        <w:trPr>
          <w:trHeight w:val="307"/>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78D75" w14:textId="77777777" w:rsidR="00A0038D" w:rsidRPr="00950823" w:rsidRDefault="00A0038D" w:rsidP="002F68E2">
            <w:pPr>
              <w:rPr>
                <w:rFonts w:ascii="Arial" w:hAnsi="Arial" w:cs="Arial"/>
                <w:bCs/>
                <w:color w:val="000000"/>
                <w:sz w:val="18"/>
                <w:szCs w:val="18"/>
              </w:rPr>
            </w:pPr>
            <w:r w:rsidRPr="00950823">
              <w:rPr>
                <w:rFonts w:ascii="Arial" w:hAnsi="Arial" w:cs="Arial"/>
                <w:bCs/>
                <w:color w:val="000000"/>
                <w:sz w:val="18"/>
                <w:szCs w:val="18"/>
              </w:rPr>
              <w:t>2012-2013</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A6ACA"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28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FA472"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19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48AD3"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65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E7939"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np</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D5EDE"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30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D385A"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10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79608" w14:textId="77777777" w:rsidR="00A0038D" w:rsidRPr="00950823" w:rsidRDefault="00A0038D" w:rsidP="002F68E2">
            <w:pPr>
              <w:jc w:val="center"/>
              <w:rPr>
                <w:rFonts w:ascii="Arial" w:hAnsi="Arial" w:cs="Arial"/>
                <w:bCs/>
                <w:color w:val="000000"/>
                <w:sz w:val="18"/>
                <w:szCs w:val="18"/>
              </w:rPr>
            </w:pPr>
            <w:r>
              <w:rPr>
                <w:rFonts w:ascii="Arial" w:hAnsi="Arial" w:cs="Arial"/>
                <w:bCs/>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399BC" w14:textId="77777777" w:rsidR="00A0038D" w:rsidRDefault="00A0038D" w:rsidP="002F68E2">
            <w:pPr>
              <w:jc w:val="center"/>
              <w:rPr>
                <w:rFonts w:ascii="Arial" w:hAnsi="Arial" w:cs="Arial"/>
                <w:color w:val="000000"/>
                <w:sz w:val="18"/>
                <w:szCs w:val="18"/>
              </w:rPr>
            </w:pPr>
            <w:r>
              <w:rPr>
                <w:rFonts w:ascii="Arial" w:hAnsi="Arial" w:cs="Arial"/>
                <w:color w:val="000000"/>
                <w:sz w:val="18"/>
                <w:szCs w:val="18"/>
              </w:rPr>
              <w:t>-</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D7932" w14:textId="77777777" w:rsidR="00A0038D" w:rsidRPr="00950823" w:rsidRDefault="00A0038D" w:rsidP="002F68E2">
            <w:pPr>
              <w:jc w:val="right"/>
              <w:rPr>
                <w:rFonts w:ascii="Arial" w:hAnsi="Arial" w:cs="Arial"/>
                <w:sz w:val="18"/>
              </w:rPr>
            </w:pPr>
            <w:r>
              <w:rPr>
                <w:rFonts w:ascii="Arial" w:hAnsi="Arial" w:cs="Arial"/>
                <w:sz w:val="18"/>
              </w:rPr>
              <w:t>152</w:t>
            </w:r>
          </w:p>
        </w:tc>
      </w:tr>
      <w:tr w:rsidR="00A0038D" w:rsidRPr="00396F1D" w14:paraId="3D04A047" w14:textId="77777777" w:rsidTr="00FE4396">
        <w:trPr>
          <w:trHeight w:val="307"/>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FD1E2" w14:textId="77777777" w:rsidR="00A0038D" w:rsidRPr="00950823" w:rsidRDefault="00A0038D" w:rsidP="002F68E2">
            <w:pPr>
              <w:rPr>
                <w:rFonts w:ascii="Arial" w:hAnsi="Arial" w:cs="Arial"/>
                <w:bCs/>
                <w:color w:val="000000"/>
                <w:sz w:val="18"/>
                <w:szCs w:val="18"/>
              </w:rPr>
            </w:pPr>
            <w:r w:rsidRPr="00950823">
              <w:rPr>
                <w:rFonts w:ascii="Arial" w:hAnsi="Arial" w:cs="Arial"/>
                <w:bCs/>
                <w:color w:val="000000"/>
                <w:sz w:val="18"/>
                <w:szCs w:val="18"/>
              </w:rPr>
              <w:t>2013-2014</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3AF6E"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109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DF11E"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72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7E3CA"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213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A98B1"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np</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0B61D"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72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73B18"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31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2E947" w14:textId="77777777" w:rsidR="00A0038D" w:rsidRPr="00950823" w:rsidRDefault="00A0038D" w:rsidP="002F68E2">
            <w:pPr>
              <w:jc w:val="center"/>
              <w:rPr>
                <w:rFonts w:ascii="Arial" w:hAnsi="Arial" w:cs="Arial"/>
                <w:bCs/>
                <w:color w:val="000000"/>
                <w:sz w:val="18"/>
                <w:szCs w:val="18"/>
              </w:rPr>
            </w:pPr>
            <w:r>
              <w:rPr>
                <w:rFonts w:ascii="Arial" w:hAnsi="Arial" w:cs="Arial"/>
                <w:bCs/>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C0F4E"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10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3D3E4" w14:textId="77777777" w:rsidR="00A0038D" w:rsidRPr="00950823" w:rsidRDefault="00A0038D" w:rsidP="002F68E2">
            <w:pPr>
              <w:jc w:val="right"/>
              <w:rPr>
                <w:rFonts w:ascii="Arial" w:hAnsi="Arial" w:cs="Arial"/>
                <w:sz w:val="18"/>
              </w:rPr>
            </w:pPr>
            <w:r>
              <w:rPr>
                <w:rFonts w:ascii="Arial" w:hAnsi="Arial" w:cs="Arial"/>
                <w:sz w:val="18"/>
              </w:rPr>
              <w:t>507</w:t>
            </w:r>
          </w:p>
        </w:tc>
      </w:tr>
      <w:tr w:rsidR="00A0038D" w:rsidRPr="00396F1D" w14:paraId="52E22182" w14:textId="77777777" w:rsidTr="00FE4396">
        <w:trPr>
          <w:trHeight w:val="307"/>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A473" w14:textId="77777777" w:rsidR="00A0038D" w:rsidRPr="00950823" w:rsidRDefault="00A0038D" w:rsidP="002F68E2">
            <w:pPr>
              <w:rPr>
                <w:rFonts w:ascii="Arial" w:hAnsi="Arial" w:cs="Arial"/>
                <w:bCs/>
                <w:color w:val="000000"/>
                <w:sz w:val="18"/>
                <w:szCs w:val="18"/>
              </w:rPr>
            </w:pPr>
            <w:r w:rsidRPr="00950823">
              <w:rPr>
                <w:rFonts w:ascii="Arial" w:hAnsi="Arial" w:cs="Arial"/>
                <w:bCs/>
                <w:color w:val="000000"/>
                <w:sz w:val="18"/>
                <w:szCs w:val="18"/>
              </w:rPr>
              <w:t>2014-2015</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2B5C2"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106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38F32"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87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94216"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223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9266D"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10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3F4AB"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103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E327D"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53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3D49A" w14:textId="77777777" w:rsidR="00A0038D" w:rsidRPr="00950823" w:rsidRDefault="00A0038D" w:rsidP="002F68E2">
            <w:pPr>
              <w:jc w:val="center"/>
              <w:rPr>
                <w:rFonts w:ascii="Arial" w:hAnsi="Arial" w:cs="Arial"/>
                <w:bCs/>
                <w:color w:val="000000"/>
                <w:sz w:val="18"/>
                <w:szCs w:val="18"/>
              </w:rPr>
            </w:pPr>
            <w:r>
              <w:rPr>
                <w:rFonts w:ascii="Arial" w:hAnsi="Arial" w:cs="Arial"/>
                <w:bCs/>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00711"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31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BD90B" w14:textId="77777777" w:rsidR="00A0038D" w:rsidRPr="00950823" w:rsidRDefault="00A0038D" w:rsidP="002F68E2">
            <w:pPr>
              <w:jc w:val="right"/>
              <w:rPr>
                <w:rFonts w:ascii="Arial" w:hAnsi="Arial" w:cs="Arial"/>
                <w:sz w:val="18"/>
              </w:rPr>
            </w:pPr>
            <w:r>
              <w:rPr>
                <w:rFonts w:ascii="Arial" w:hAnsi="Arial" w:cs="Arial"/>
                <w:sz w:val="18"/>
              </w:rPr>
              <w:t>613</w:t>
            </w:r>
          </w:p>
        </w:tc>
      </w:tr>
      <w:tr w:rsidR="00A0038D" w:rsidRPr="00396F1D" w14:paraId="537AF6B0" w14:textId="77777777" w:rsidTr="00FE4396">
        <w:trPr>
          <w:trHeight w:val="307"/>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C6001" w14:textId="77777777" w:rsidR="00A0038D" w:rsidRPr="00950823" w:rsidRDefault="00A0038D" w:rsidP="002F68E2">
            <w:pPr>
              <w:rPr>
                <w:rFonts w:ascii="Arial" w:hAnsi="Arial" w:cs="Arial"/>
                <w:bCs/>
                <w:color w:val="000000"/>
                <w:sz w:val="18"/>
                <w:szCs w:val="18"/>
              </w:rPr>
            </w:pPr>
            <w:r w:rsidRPr="00950823">
              <w:rPr>
                <w:rFonts w:ascii="Arial" w:hAnsi="Arial" w:cs="Arial"/>
                <w:bCs/>
                <w:color w:val="000000"/>
                <w:sz w:val="18"/>
                <w:szCs w:val="18"/>
              </w:rPr>
              <w:t>2015-2016</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BDB41"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99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74519"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93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ACEC"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198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08F3D"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np</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3BECC"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106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7553"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57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0A321" w14:textId="77777777" w:rsidR="00A0038D" w:rsidRPr="00950823" w:rsidRDefault="00A0038D" w:rsidP="002F68E2">
            <w:pPr>
              <w:jc w:val="center"/>
              <w:rPr>
                <w:rFonts w:ascii="Arial" w:hAnsi="Arial" w:cs="Arial"/>
                <w:bCs/>
                <w:color w:val="000000"/>
                <w:sz w:val="18"/>
                <w:szCs w:val="18"/>
              </w:rPr>
            </w:pPr>
            <w:r>
              <w:rPr>
                <w:rFonts w:ascii="Arial" w:hAnsi="Arial" w:cs="Arial"/>
                <w:bCs/>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F08BF"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53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F6679" w14:textId="77777777" w:rsidR="00A0038D" w:rsidRPr="00950823" w:rsidRDefault="00A0038D" w:rsidP="002F68E2">
            <w:pPr>
              <w:jc w:val="right"/>
              <w:rPr>
                <w:rFonts w:ascii="Arial" w:hAnsi="Arial" w:cs="Arial"/>
                <w:sz w:val="18"/>
              </w:rPr>
            </w:pPr>
            <w:r>
              <w:rPr>
                <w:rFonts w:ascii="Arial" w:hAnsi="Arial" w:cs="Arial"/>
                <w:sz w:val="18"/>
              </w:rPr>
              <w:t>606</w:t>
            </w:r>
          </w:p>
        </w:tc>
      </w:tr>
      <w:tr w:rsidR="00A0038D" w:rsidRPr="00396F1D" w14:paraId="4F318EBA" w14:textId="77777777" w:rsidTr="00FE4396">
        <w:trPr>
          <w:trHeight w:val="307"/>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6A9C3" w14:textId="77777777" w:rsidR="00A0038D" w:rsidRPr="00950823" w:rsidRDefault="00A0038D" w:rsidP="002F68E2">
            <w:pPr>
              <w:rPr>
                <w:rFonts w:ascii="Arial" w:hAnsi="Arial" w:cs="Arial"/>
                <w:bCs/>
                <w:color w:val="000000"/>
                <w:sz w:val="18"/>
                <w:szCs w:val="18"/>
              </w:rPr>
            </w:pPr>
            <w:r w:rsidRPr="00950823">
              <w:rPr>
                <w:rFonts w:ascii="Arial" w:hAnsi="Arial" w:cs="Arial"/>
                <w:bCs/>
                <w:color w:val="000000"/>
                <w:sz w:val="18"/>
                <w:szCs w:val="18"/>
              </w:rPr>
              <w:t>2016-2017</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B5FEE"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120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BE8E0"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94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1DB26"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204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131B8"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np</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D55DB"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87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38F9E"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62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9912B" w14:textId="77777777" w:rsidR="00A0038D" w:rsidRPr="00950823" w:rsidRDefault="00A0038D" w:rsidP="002F68E2">
            <w:pPr>
              <w:jc w:val="center"/>
              <w:rPr>
                <w:rFonts w:ascii="Arial" w:hAnsi="Arial" w:cs="Arial"/>
                <w:bCs/>
                <w:color w:val="000000"/>
                <w:sz w:val="18"/>
                <w:szCs w:val="18"/>
              </w:rPr>
            </w:pPr>
            <w:r>
              <w:rPr>
                <w:rFonts w:ascii="Arial" w:hAnsi="Arial" w:cs="Arial"/>
                <w:bCs/>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2E054"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57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50230" w14:textId="77777777" w:rsidR="00A0038D" w:rsidRPr="00950823" w:rsidRDefault="00A0038D" w:rsidP="002F68E2">
            <w:pPr>
              <w:jc w:val="right"/>
              <w:rPr>
                <w:rFonts w:ascii="Arial" w:hAnsi="Arial" w:cs="Arial"/>
                <w:sz w:val="18"/>
              </w:rPr>
            </w:pPr>
            <w:r>
              <w:rPr>
                <w:rFonts w:ascii="Arial" w:hAnsi="Arial" w:cs="Arial"/>
                <w:sz w:val="18"/>
              </w:rPr>
              <w:t>624</w:t>
            </w:r>
          </w:p>
        </w:tc>
      </w:tr>
      <w:tr w:rsidR="00A0038D" w:rsidRPr="00396F1D" w14:paraId="6CE5C402" w14:textId="77777777" w:rsidTr="00FE4396">
        <w:trPr>
          <w:trHeight w:val="392"/>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D649D" w14:textId="77777777" w:rsidR="00A0038D" w:rsidRPr="00950823" w:rsidRDefault="00A0038D" w:rsidP="002F68E2">
            <w:pPr>
              <w:rPr>
                <w:rFonts w:ascii="Arial" w:hAnsi="Arial" w:cs="Arial"/>
                <w:bCs/>
                <w:color w:val="000000"/>
                <w:sz w:val="18"/>
                <w:szCs w:val="18"/>
              </w:rPr>
            </w:pPr>
            <w:r w:rsidRPr="0009330E">
              <w:rPr>
                <w:rFonts w:ascii="Arial" w:hAnsi="Arial" w:cs="Arial"/>
                <w:bCs/>
                <w:color w:val="000000"/>
                <w:sz w:val="18"/>
                <w:szCs w:val="18"/>
              </w:rPr>
              <w:t>2017-</w:t>
            </w:r>
            <w:r>
              <w:rPr>
                <w:rFonts w:ascii="Arial" w:hAnsi="Arial" w:cs="Arial"/>
                <w:bCs/>
                <w:color w:val="000000"/>
                <w:sz w:val="18"/>
                <w:szCs w:val="18"/>
              </w:rPr>
              <w:t>20</w:t>
            </w:r>
            <w:r w:rsidRPr="0009330E">
              <w:rPr>
                <w:rFonts w:ascii="Arial" w:hAnsi="Arial" w:cs="Arial"/>
                <w:bCs/>
                <w:color w:val="000000"/>
                <w:sz w:val="18"/>
                <w:szCs w:val="18"/>
              </w:rPr>
              <w:t>18</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9BC38" w14:textId="77777777" w:rsidR="00A0038D" w:rsidRPr="0009330E" w:rsidRDefault="00A0038D" w:rsidP="002F68E2">
            <w:pPr>
              <w:jc w:val="right"/>
              <w:rPr>
                <w:rFonts w:ascii="Arial" w:hAnsi="Arial" w:cs="Arial"/>
                <w:color w:val="000000"/>
                <w:sz w:val="18"/>
                <w:szCs w:val="18"/>
              </w:rPr>
            </w:pPr>
            <w:r>
              <w:rPr>
                <w:rFonts w:ascii="Arial" w:hAnsi="Arial" w:cs="Arial"/>
                <w:color w:val="000000"/>
                <w:sz w:val="18"/>
                <w:szCs w:val="18"/>
              </w:rPr>
              <w:t xml:space="preserve">58 </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67A5F" w14:textId="77777777" w:rsidR="00A0038D" w:rsidRPr="00950823" w:rsidRDefault="00A0038D" w:rsidP="002F68E2">
            <w:pPr>
              <w:jc w:val="right"/>
              <w:rPr>
                <w:rFonts w:ascii="Arial" w:hAnsi="Arial" w:cs="Arial"/>
                <w:sz w:val="18"/>
              </w:rPr>
            </w:pPr>
            <w:r>
              <w:rPr>
                <w:rFonts w:ascii="Arial" w:hAnsi="Arial" w:cs="Arial"/>
                <w:sz w:val="18"/>
              </w:rPr>
              <w:t>55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17A08" w14:textId="77777777" w:rsidR="00A0038D" w:rsidRPr="00950823" w:rsidRDefault="00A0038D" w:rsidP="002F68E2">
            <w:pPr>
              <w:jc w:val="right"/>
              <w:rPr>
                <w:rFonts w:ascii="Arial" w:hAnsi="Arial" w:cs="Arial"/>
                <w:sz w:val="18"/>
              </w:rPr>
            </w:pPr>
            <w:r>
              <w:rPr>
                <w:rFonts w:ascii="Arial" w:hAnsi="Arial" w:cs="Arial"/>
                <w:sz w:val="18"/>
              </w:rPr>
              <w:t>116</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377D8" w14:textId="77777777" w:rsidR="00A0038D" w:rsidRPr="00950823" w:rsidRDefault="00A0038D" w:rsidP="002F68E2">
            <w:pPr>
              <w:jc w:val="right"/>
              <w:rPr>
                <w:rFonts w:ascii="Arial" w:hAnsi="Arial" w:cs="Arial"/>
                <w:sz w:val="18"/>
              </w:rPr>
            </w:pPr>
            <w:r>
              <w:rPr>
                <w:rFonts w:ascii="Arial" w:hAnsi="Arial" w:cs="Arial"/>
                <w:sz w:val="18"/>
              </w:rPr>
              <w:t>np</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98BBB" w14:textId="77777777" w:rsidR="00A0038D" w:rsidRPr="00950823" w:rsidRDefault="00A0038D" w:rsidP="002F68E2">
            <w:pPr>
              <w:jc w:val="right"/>
              <w:rPr>
                <w:rFonts w:ascii="Arial" w:hAnsi="Arial" w:cs="Arial"/>
                <w:sz w:val="18"/>
              </w:rPr>
            </w:pPr>
            <w:r>
              <w:rPr>
                <w:rFonts w:ascii="Arial" w:hAnsi="Arial" w:cs="Arial"/>
                <w:sz w:val="18"/>
              </w:rPr>
              <w:t>60</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28549" w14:textId="77777777" w:rsidR="00A0038D" w:rsidRPr="00950823" w:rsidRDefault="00A0038D" w:rsidP="002F68E2">
            <w:pPr>
              <w:jc w:val="right"/>
              <w:rPr>
                <w:rFonts w:ascii="Arial" w:hAnsi="Arial" w:cs="Arial"/>
                <w:bCs/>
                <w:color w:val="000000"/>
                <w:sz w:val="18"/>
                <w:szCs w:val="18"/>
              </w:rPr>
            </w:pPr>
            <w:r>
              <w:rPr>
                <w:rFonts w:ascii="Arial" w:hAnsi="Arial" w:cs="Arial"/>
                <w:bCs/>
                <w:color w:val="000000"/>
                <w:sz w:val="18"/>
                <w:szCs w:val="18"/>
              </w:rPr>
              <w:t>35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02121" w14:textId="77777777" w:rsidR="00A0038D" w:rsidRPr="00950823" w:rsidRDefault="00A0038D" w:rsidP="002F68E2">
            <w:pPr>
              <w:jc w:val="center"/>
              <w:rPr>
                <w:rFonts w:ascii="Arial" w:hAnsi="Arial" w:cs="Arial"/>
                <w:bCs/>
                <w:color w:val="000000"/>
                <w:sz w:val="18"/>
                <w:szCs w:val="18"/>
              </w:rPr>
            </w:pPr>
            <w:r>
              <w:rPr>
                <w:rFonts w:ascii="Arial" w:hAnsi="Arial" w:cs="Arial"/>
                <w:bCs/>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3C023" w14:textId="77777777" w:rsidR="00A0038D" w:rsidRDefault="00A0038D" w:rsidP="002F68E2">
            <w:pPr>
              <w:jc w:val="right"/>
              <w:rPr>
                <w:rFonts w:ascii="Arial" w:hAnsi="Arial" w:cs="Arial"/>
                <w:color w:val="000000"/>
                <w:sz w:val="18"/>
                <w:szCs w:val="18"/>
              </w:rPr>
            </w:pPr>
            <w:r>
              <w:rPr>
                <w:rFonts w:ascii="Arial" w:hAnsi="Arial" w:cs="Arial"/>
                <w:color w:val="000000"/>
                <w:sz w:val="18"/>
                <w:szCs w:val="18"/>
              </w:rPr>
              <w:t xml:space="preserve">62 </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ECDB1" w14:textId="77777777" w:rsidR="00A0038D" w:rsidRPr="00950823" w:rsidRDefault="00A0038D" w:rsidP="002F68E2">
            <w:pPr>
              <w:jc w:val="right"/>
              <w:rPr>
                <w:rFonts w:ascii="Arial" w:hAnsi="Arial" w:cs="Arial"/>
                <w:sz w:val="18"/>
              </w:rPr>
            </w:pPr>
            <w:r>
              <w:rPr>
                <w:rFonts w:ascii="Arial" w:hAnsi="Arial" w:cs="Arial"/>
                <w:sz w:val="18"/>
              </w:rPr>
              <w:t>386</w:t>
            </w:r>
          </w:p>
        </w:tc>
      </w:tr>
      <w:tr w:rsidR="00A0038D" w:rsidRPr="00950823" w14:paraId="51EEF78F" w14:textId="77777777" w:rsidTr="00FE4396">
        <w:trPr>
          <w:trHeight w:val="307"/>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D7039" w14:textId="77777777" w:rsidR="00A0038D" w:rsidRPr="00950823" w:rsidRDefault="00A0038D" w:rsidP="002F68E2">
            <w:pPr>
              <w:rPr>
                <w:rFonts w:ascii="Arial" w:hAnsi="Arial" w:cs="Arial"/>
                <w:bCs/>
                <w:color w:val="000000"/>
                <w:sz w:val="18"/>
                <w:szCs w:val="18"/>
              </w:rPr>
            </w:pPr>
            <w:r w:rsidRPr="00950823">
              <w:rPr>
                <w:rFonts w:ascii="Arial" w:hAnsi="Arial" w:cs="Arial"/>
                <w:bCs/>
                <w:color w:val="000000"/>
                <w:sz w:val="18"/>
                <w:szCs w:val="18"/>
              </w:rPr>
              <w:t>All years</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70FE7" w14:textId="77777777" w:rsidR="00A0038D" w:rsidRPr="00950823" w:rsidRDefault="00A0038D" w:rsidP="002F68E2">
            <w:pPr>
              <w:jc w:val="right"/>
              <w:rPr>
                <w:rFonts w:ascii="Arial" w:hAnsi="Arial" w:cs="Arial"/>
                <w:sz w:val="18"/>
              </w:rPr>
            </w:pPr>
            <w:r>
              <w:rPr>
                <w:rFonts w:ascii="Arial" w:hAnsi="Arial" w:cs="Arial"/>
                <w:sz w:val="18"/>
              </w:rPr>
              <w:t>890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9D88D" w14:textId="77777777" w:rsidR="00A0038D" w:rsidRPr="00950823" w:rsidRDefault="00A0038D" w:rsidP="002F68E2">
            <w:pPr>
              <w:jc w:val="right"/>
              <w:rPr>
                <w:rFonts w:ascii="Arial" w:hAnsi="Arial" w:cs="Arial"/>
                <w:sz w:val="18"/>
              </w:rPr>
            </w:pPr>
            <w:r>
              <w:rPr>
                <w:rFonts w:ascii="Arial" w:hAnsi="Arial" w:cs="Arial"/>
                <w:sz w:val="18"/>
              </w:rPr>
              <w:t>420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56594" w14:textId="77777777" w:rsidR="00A0038D" w:rsidRPr="00950823" w:rsidRDefault="00A0038D" w:rsidP="002F68E2">
            <w:pPr>
              <w:jc w:val="right"/>
              <w:rPr>
                <w:rFonts w:ascii="Arial" w:hAnsi="Arial" w:cs="Arial"/>
                <w:sz w:val="18"/>
              </w:rPr>
            </w:pPr>
            <w:r>
              <w:rPr>
                <w:rFonts w:ascii="Arial" w:hAnsi="Arial" w:cs="Arial"/>
                <w:sz w:val="18"/>
              </w:rPr>
              <w:t>1019</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695C3" w14:textId="77777777" w:rsidR="00A0038D" w:rsidRPr="00950823" w:rsidRDefault="00A0038D" w:rsidP="002F68E2">
            <w:pPr>
              <w:jc w:val="right"/>
              <w:rPr>
                <w:rFonts w:ascii="Arial" w:hAnsi="Arial" w:cs="Arial"/>
                <w:sz w:val="18"/>
              </w:rPr>
            </w:pPr>
            <w:r>
              <w:rPr>
                <w:rFonts w:ascii="Arial" w:hAnsi="Arial" w:cs="Arial"/>
                <w:sz w:val="18"/>
              </w:rPr>
              <w:t>33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C401D" w14:textId="77777777" w:rsidR="00A0038D" w:rsidRPr="00950823" w:rsidRDefault="00A0038D" w:rsidP="002F68E2">
            <w:pPr>
              <w:jc w:val="right"/>
              <w:rPr>
                <w:rFonts w:ascii="Arial" w:hAnsi="Arial" w:cs="Arial"/>
                <w:sz w:val="18"/>
              </w:rPr>
            </w:pPr>
            <w:r>
              <w:rPr>
                <w:rFonts w:ascii="Arial" w:hAnsi="Arial" w:cs="Arial"/>
                <w:sz w:val="18"/>
              </w:rPr>
              <w:t>458</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4966A" w14:textId="77777777" w:rsidR="00A0038D" w:rsidRPr="00950823" w:rsidRDefault="00A0038D" w:rsidP="002F68E2">
            <w:pPr>
              <w:jc w:val="right"/>
              <w:rPr>
                <w:rFonts w:ascii="Arial" w:hAnsi="Arial" w:cs="Arial"/>
                <w:bCs/>
                <w:color w:val="000000"/>
                <w:sz w:val="18"/>
                <w:szCs w:val="18"/>
              </w:rPr>
            </w:pPr>
            <w:r>
              <w:rPr>
                <w:rFonts w:ascii="Arial" w:hAnsi="Arial" w:cs="Arial"/>
                <w:bCs/>
                <w:color w:val="000000"/>
                <w:sz w:val="18"/>
                <w:szCs w:val="18"/>
              </w:rPr>
              <w:t>248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4056" w14:textId="77777777" w:rsidR="00A0038D" w:rsidRPr="00950823" w:rsidRDefault="00A0038D" w:rsidP="002F68E2">
            <w:pPr>
              <w:jc w:val="center"/>
              <w:rPr>
                <w:rFonts w:ascii="Arial" w:hAnsi="Arial" w:cs="Arial"/>
                <w:bCs/>
                <w:color w:val="000000"/>
                <w:sz w:val="18"/>
                <w:szCs w:val="18"/>
              </w:rPr>
            </w:pPr>
            <w:r>
              <w:rPr>
                <w:rFonts w:ascii="Arial" w:hAnsi="Arial" w:cs="Arial"/>
                <w:bCs/>
                <w:color w:val="000000"/>
                <w:sz w:val="18"/>
                <w:szCs w:val="18"/>
              </w:rPr>
              <w:t>-</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02FA8" w14:textId="77777777" w:rsidR="00A0038D" w:rsidRPr="00950823" w:rsidRDefault="00A0038D" w:rsidP="002F68E2">
            <w:pPr>
              <w:jc w:val="right"/>
              <w:rPr>
                <w:rFonts w:ascii="Arial" w:hAnsi="Arial" w:cs="Arial"/>
                <w:bCs/>
                <w:color w:val="000000"/>
                <w:sz w:val="18"/>
                <w:szCs w:val="18"/>
              </w:rPr>
            </w:pPr>
            <w:r>
              <w:rPr>
                <w:rFonts w:ascii="Arial" w:hAnsi="Arial" w:cs="Arial"/>
                <w:bCs/>
                <w:color w:val="000000"/>
                <w:sz w:val="18"/>
                <w:szCs w:val="18"/>
              </w:rPr>
              <w:t>213</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12901" w14:textId="77777777" w:rsidR="00A0038D" w:rsidRPr="00950823" w:rsidRDefault="00A0038D" w:rsidP="002F68E2">
            <w:pPr>
              <w:jc w:val="right"/>
              <w:rPr>
                <w:rFonts w:ascii="Arial" w:hAnsi="Arial" w:cs="Arial"/>
                <w:sz w:val="18"/>
              </w:rPr>
            </w:pPr>
            <w:r>
              <w:rPr>
                <w:rFonts w:ascii="Arial" w:hAnsi="Arial" w:cs="Arial"/>
                <w:sz w:val="18"/>
              </w:rPr>
              <w:t>3281</w:t>
            </w:r>
          </w:p>
        </w:tc>
      </w:tr>
    </w:tbl>
    <w:p w14:paraId="713A0229" w14:textId="77777777" w:rsidR="00FE4396" w:rsidRPr="00F82582" w:rsidRDefault="00FE4396" w:rsidP="00FE4396">
      <w:pPr>
        <w:rPr>
          <w:bCs/>
          <w:color w:val="000000"/>
          <w:sz w:val="18"/>
          <w:szCs w:val="18"/>
        </w:rPr>
      </w:pPr>
      <w:r w:rsidRPr="00F82582">
        <w:rPr>
          <w:bCs/>
          <w:color w:val="000000"/>
          <w:sz w:val="18"/>
          <w:szCs w:val="18"/>
        </w:rPr>
        <w:t xml:space="preserve">*Item implemented 1 November 2012 </w:t>
      </w:r>
    </w:p>
    <w:p w14:paraId="10E2EDCD" w14:textId="77777777" w:rsidR="00F82582" w:rsidRPr="00F82582" w:rsidRDefault="00FE4396" w:rsidP="00F82582">
      <w:pPr>
        <w:rPr>
          <w:sz w:val="18"/>
          <w:szCs w:val="18"/>
        </w:rPr>
      </w:pPr>
      <w:r w:rsidRPr="00F82582">
        <w:rPr>
          <w:color w:val="000000" w:themeColor="text1"/>
          <w:sz w:val="18"/>
          <w:szCs w:val="18"/>
        </w:rPr>
        <w:t>np = not printed</w:t>
      </w:r>
      <w:r w:rsidR="00F82582" w:rsidRPr="00F82582">
        <w:rPr>
          <w:sz w:val="18"/>
          <w:szCs w:val="18"/>
        </w:rPr>
        <w:t xml:space="preserve"> </w:t>
      </w:r>
    </w:p>
    <w:p w14:paraId="3BB93B88" w14:textId="35D37FD4" w:rsidR="00F82582" w:rsidRPr="00655DCD" w:rsidRDefault="00B07B09" w:rsidP="00F82582">
      <w:pPr>
        <w:rPr>
          <w:i/>
          <w:sz w:val="18"/>
          <w:szCs w:val="18"/>
        </w:rPr>
      </w:pPr>
      <w:r>
        <w:rPr>
          <w:i/>
          <w:sz w:val="18"/>
          <w:szCs w:val="18"/>
        </w:rPr>
        <w:t>Source:</w:t>
      </w:r>
      <w:r w:rsidR="00F82582" w:rsidRPr="00655DCD">
        <w:rPr>
          <w:i/>
          <w:sz w:val="18"/>
          <w:szCs w:val="18"/>
        </w:rPr>
        <w:t>Department of Health, File: Q21109B Item 48694 utilisation 31 Jan 2018-.xl</w:t>
      </w:r>
      <w:r w:rsidR="00F82582">
        <w:rPr>
          <w:i/>
          <w:sz w:val="18"/>
          <w:szCs w:val="18"/>
        </w:rPr>
        <w:t>s</w:t>
      </w:r>
    </w:p>
    <w:p w14:paraId="3C98A518" w14:textId="12C5981F" w:rsidR="004E015F" w:rsidRDefault="004E015F" w:rsidP="00543D95">
      <w:pPr>
        <w:pStyle w:val="Heading2"/>
        <w:spacing w:before="120"/>
      </w:pPr>
      <w:r>
        <w:t>Patient breakdown</w:t>
      </w:r>
    </w:p>
    <w:p w14:paraId="194E4FDC" w14:textId="77777777" w:rsidR="00830DC3" w:rsidRDefault="00830DC3" w:rsidP="00830DC3">
      <w:r>
        <w:t xml:space="preserve">There were 152 patients who claimed item 48694 in the listing year 2012-13. </w:t>
      </w:r>
    </w:p>
    <w:p w14:paraId="6C5A7240" w14:textId="77777777" w:rsidR="00830DC3" w:rsidRDefault="00830DC3" w:rsidP="00830DC3">
      <w:r>
        <w:t xml:space="preserve">In 2013-14 the number of patients who claimed item 48694 increased to 501. </w:t>
      </w:r>
    </w:p>
    <w:p w14:paraId="64DDFE74" w14:textId="77777777" w:rsidR="00830DC3" w:rsidRDefault="00830DC3" w:rsidP="00830DC3">
      <w:r>
        <w:t xml:space="preserve">The number of patients claiming item 48694 in the years 2014-15, 2015-16 and </w:t>
      </w:r>
    </w:p>
    <w:p w14:paraId="33779610" w14:textId="77777777" w:rsidR="00830DC3" w:rsidRDefault="00830DC3" w:rsidP="00830DC3">
      <w:r>
        <w:t xml:space="preserve">2016-17 averaged 574. </w:t>
      </w:r>
      <w:r w:rsidRPr="005A6068">
        <w:t xml:space="preserve">For the period 2014-15 to 2016-17 there were 35 </w:t>
      </w:r>
      <w:r>
        <w:t xml:space="preserve">repeat </w:t>
      </w:r>
    </w:p>
    <w:p w14:paraId="57A1A80D" w14:textId="75A7035E" w:rsidR="00830DC3" w:rsidRDefault="002F68E2" w:rsidP="00830DC3">
      <w:r>
        <w:t>patients (Table 2</w:t>
      </w:r>
      <w:r w:rsidR="00830DC3" w:rsidRPr="005A6068">
        <w:t>).</w:t>
      </w:r>
    </w:p>
    <w:p w14:paraId="5A2A97DA" w14:textId="0A828C1F" w:rsidR="00830DC3" w:rsidRDefault="00830DC3" w:rsidP="00830DC3">
      <w:r>
        <w:t>The service is most frequently claimed by patients aged 35-44 and 45-54</w:t>
      </w:r>
      <w:r w:rsidR="002F68E2">
        <w:t xml:space="preserve"> (Table 3</w:t>
      </w:r>
      <w:r>
        <w:t xml:space="preserve">). </w:t>
      </w:r>
    </w:p>
    <w:p w14:paraId="1BCE99EC" w14:textId="253B84BB" w:rsidR="006029FF" w:rsidRPr="00B07B09" w:rsidRDefault="00830DC3" w:rsidP="00B07B09">
      <w:pPr>
        <w:tabs>
          <w:tab w:val="left" w:pos="709"/>
          <w:tab w:val="left" w:pos="851"/>
        </w:tabs>
        <w:spacing w:after="240"/>
      </w:pPr>
      <w:r>
        <w:t>The service is approximately claimed evenly between females and males</w:t>
      </w:r>
      <w:r w:rsidR="00392379">
        <w:t xml:space="preserve"> (Figure 2)</w:t>
      </w:r>
      <w:r w:rsidR="006029FF">
        <w:t>.</w:t>
      </w:r>
    </w:p>
    <w:p w14:paraId="0ED3D3D9" w14:textId="4B2D16C0" w:rsidR="00830DC3" w:rsidRPr="002A51D6" w:rsidRDefault="00830DC3" w:rsidP="006029FF">
      <w:pPr>
        <w:tabs>
          <w:tab w:val="left" w:pos="709"/>
          <w:tab w:val="left" w:pos="851"/>
        </w:tabs>
        <w:rPr>
          <w:color w:val="222222"/>
        </w:rPr>
      </w:pPr>
      <w:r>
        <w:rPr>
          <w:b/>
          <w:sz w:val="20"/>
        </w:rPr>
        <w:t>T</w:t>
      </w:r>
      <w:r w:rsidR="002F68E2">
        <w:rPr>
          <w:b/>
          <w:sz w:val="20"/>
        </w:rPr>
        <w:t>able 2</w:t>
      </w:r>
      <w:r w:rsidR="00B96C23">
        <w:rPr>
          <w:b/>
          <w:sz w:val="20"/>
        </w:rPr>
        <w:t xml:space="preserve">. </w:t>
      </w:r>
      <w:r>
        <w:rPr>
          <w:b/>
          <w:sz w:val="20"/>
        </w:rPr>
        <w:t xml:space="preserve"> Number of new and continuing patients who received MBS item 48694 by financial year</w:t>
      </w:r>
    </w:p>
    <w:tbl>
      <w:tblPr>
        <w:tblW w:w="8817" w:type="dxa"/>
        <w:tblInd w:w="93" w:type="dxa"/>
        <w:tblLook w:val="04A0" w:firstRow="1" w:lastRow="0" w:firstColumn="1" w:lastColumn="0" w:noHBand="0" w:noVBand="1"/>
        <w:tblDescription w:val="MBS item 48694 - data for new and continuing patients from 2012-13 up to 2016-17"/>
      </w:tblPr>
      <w:tblGrid>
        <w:gridCol w:w="2235"/>
        <w:gridCol w:w="2235"/>
        <w:gridCol w:w="2235"/>
        <w:gridCol w:w="2112"/>
      </w:tblGrid>
      <w:tr w:rsidR="00830DC3" w14:paraId="3862DD19" w14:textId="77777777" w:rsidTr="00543D95">
        <w:trPr>
          <w:trHeight w:val="420"/>
        </w:trPr>
        <w:tc>
          <w:tcPr>
            <w:tcW w:w="2235"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6F72E081" w14:textId="77777777" w:rsidR="00830DC3" w:rsidRPr="001260CA" w:rsidRDefault="00830DC3" w:rsidP="002F68E2">
            <w:pPr>
              <w:jc w:val="center"/>
              <w:rPr>
                <w:rFonts w:ascii="Arial" w:hAnsi="Arial" w:cs="Arial"/>
                <w:b/>
                <w:bCs/>
                <w:color w:val="000000"/>
                <w:sz w:val="18"/>
                <w:szCs w:val="18"/>
              </w:rPr>
            </w:pPr>
            <w:r w:rsidRPr="001260CA">
              <w:rPr>
                <w:rFonts w:ascii="Arial" w:hAnsi="Arial" w:cs="Arial"/>
                <w:b/>
                <w:bCs/>
                <w:color w:val="000000"/>
                <w:sz w:val="18"/>
                <w:szCs w:val="18"/>
              </w:rPr>
              <w:t>Financial Year</w:t>
            </w:r>
          </w:p>
        </w:tc>
        <w:tc>
          <w:tcPr>
            <w:tcW w:w="2235"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251BA94E" w14:textId="77777777" w:rsidR="00830DC3" w:rsidRPr="001260CA" w:rsidRDefault="00830DC3" w:rsidP="002F68E2">
            <w:pPr>
              <w:jc w:val="center"/>
              <w:rPr>
                <w:rFonts w:ascii="Arial" w:hAnsi="Arial" w:cs="Arial"/>
                <w:b/>
                <w:bCs/>
                <w:color w:val="000000"/>
                <w:sz w:val="18"/>
                <w:szCs w:val="18"/>
              </w:rPr>
            </w:pPr>
            <w:r w:rsidRPr="001260CA">
              <w:rPr>
                <w:rFonts w:ascii="Arial" w:hAnsi="Arial" w:cs="Arial"/>
                <w:b/>
                <w:bCs/>
                <w:color w:val="000000"/>
                <w:sz w:val="18"/>
                <w:szCs w:val="18"/>
              </w:rPr>
              <w:t>New Patients</w:t>
            </w:r>
          </w:p>
        </w:tc>
        <w:tc>
          <w:tcPr>
            <w:tcW w:w="2235"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313AD327" w14:textId="77777777" w:rsidR="00830DC3" w:rsidRPr="001260CA" w:rsidRDefault="00830DC3" w:rsidP="002F68E2">
            <w:pPr>
              <w:jc w:val="center"/>
              <w:rPr>
                <w:rFonts w:ascii="Arial" w:hAnsi="Arial" w:cs="Arial"/>
                <w:b/>
                <w:bCs/>
                <w:color w:val="000000"/>
                <w:sz w:val="18"/>
                <w:szCs w:val="18"/>
              </w:rPr>
            </w:pPr>
            <w:r>
              <w:rPr>
                <w:rFonts w:ascii="Arial" w:hAnsi="Arial" w:cs="Arial"/>
                <w:b/>
                <w:bCs/>
                <w:color w:val="000000"/>
                <w:sz w:val="18"/>
                <w:szCs w:val="18"/>
              </w:rPr>
              <w:t xml:space="preserve">Continuing </w:t>
            </w:r>
            <w:r w:rsidRPr="001260CA">
              <w:rPr>
                <w:rFonts w:ascii="Arial" w:hAnsi="Arial" w:cs="Arial"/>
                <w:b/>
                <w:bCs/>
                <w:color w:val="000000"/>
                <w:sz w:val="18"/>
                <w:szCs w:val="18"/>
              </w:rPr>
              <w:t>Patients</w:t>
            </w:r>
          </w:p>
        </w:tc>
        <w:tc>
          <w:tcPr>
            <w:tcW w:w="2112"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38C35363" w14:textId="77777777" w:rsidR="00830DC3" w:rsidRPr="001260CA" w:rsidRDefault="00830DC3" w:rsidP="002F68E2">
            <w:pPr>
              <w:jc w:val="center"/>
              <w:rPr>
                <w:rFonts w:ascii="Arial" w:hAnsi="Arial" w:cs="Arial"/>
                <w:b/>
                <w:bCs/>
                <w:color w:val="000000"/>
                <w:sz w:val="18"/>
                <w:szCs w:val="18"/>
              </w:rPr>
            </w:pPr>
            <w:r w:rsidRPr="001260CA">
              <w:rPr>
                <w:rFonts w:ascii="Arial" w:hAnsi="Arial" w:cs="Arial"/>
                <w:b/>
                <w:bCs/>
                <w:color w:val="000000"/>
                <w:sz w:val="18"/>
                <w:szCs w:val="18"/>
              </w:rPr>
              <w:t>Total Patients</w:t>
            </w:r>
          </w:p>
        </w:tc>
      </w:tr>
      <w:tr w:rsidR="00830DC3" w14:paraId="362E0DEF" w14:textId="77777777" w:rsidTr="00543D95">
        <w:trPr>
          <w:trHeight w:val="420"/>
        </w:trPr>
        <w:tc>
          <w:tcPr>
            <w:tcW w:w="2235" w:type="dxa"/>
            <w:tcBorders>
              <w:top w:val="nil"/>
              <w:left w:val="single" w:sz="4" w:space="0" w:color="000000"/>
              <w:bottom w:val="single" w:sz="4" w:space="0" w:color="000000"/>
              <w:right w:val="single" w:sz="4" w:space="0" w:color="000000"/>
            </w:tcBorders>
            <w:shd w:val="clear" w:color="000000" w:fill="FFFFFF"/>
            <w:noWrap/>
            <w:vAlign w:val="bottom"/>
          </w:tcPr>
          <w:p w14:paraId="43C8E3A5" w14:textId="77777777" w:rsidR="00830DC3" w:rsidRDefault="00830DC3" w:rsidP="002F68E2">
            <w:pPr>
              <w:rPr>
                <w:rFonts w:ascii="Arial" w:hAnsi="Arial" w:cs="Arial"/>
                <w:color w:val="000000"/>
                <w:sz w:val="18"/>
                <w:szCs w:val="18"/>
              </w:rPr>
            </w:pPr>
            <w:r>
              <w:rPr>
                <w:rFonts w:ascii="Arial" w:hAnsi="Arial" w:cs="Arial"/>
                <w:color w:val="000000"/>
                <w:sz w:val="18"/>
                <w:szCs w:val="18"/>
              </w:rPr>
              <w:t>2012-13*</w:t>
            </w:r>
          </w:p>
        </w:tc>
        <w:tc>
          <w:tcPr>
            <w:tcW w:w="2235" w:type="dxa"/>
            <w:tcBorders>
              <w:top w:val="nil"/>
              <w:left w:val="nil"/>
              <w:bottom w:val="single" w:sz="4" w:space="0" w:color="000000"/>
              <w:right w:val="single" w:sz="4" w:space="0" w:color="000000"/>
            </w:tcBorders>
            <w:shd w:val="clear" w:color="000000" w:fill="FFFFFF"/>
            <w:noWrap/>
            <w:vAlign w:val="bottom"/>
          </w:tcPr>
          <w:p w14:paraId="0CD2096F" w14:textId="77777777" w:rsidR="00830DC3" w:rsidRDefault="00830DC3" w:rsidP="002F68E2">
            <w:pPr>
              <w:jc w:val="right"/>
              <w:rPr>
                <w:rFonts w:ascii="Arial" w:hAnsi="Arial" w:cs="Arial"/>
                <w:color w:val="000000"/>
                <w:sz w:val="18"/>
                <w:szCs w:val="18"/>
              </w:rPr>
            </w:pPr>
            <w:r>
              <w:rPr>
                <w:rFonts w:ascii="Arial" w:hAnsi="Arial" w:cs="Arial"/>
                <w:color w:val="000000"/>
                <w:sz w:val="18"/>
                <w:szCs w:val="18"/>
              </w:rPr>
              <w:t xml:space="preserve">152 </w:t>
            </w:r>
          </w:p>
        </w:tc>
        <w:tc>
          <w:tcPr>
            <w:tcW w:w="2235" w:type="dxa"/>
            <w:tcBorders>
              <w:top w:val="nil"/>
              <w:left w:val="nil"/>
              <w:bottom w:val="single" w:sz="4" w:space="0" w:color="000000"/>
              <w:right w:val="single" w:sz="4" w:space="0" w:color="000000"/>
            </w:tcBorders>
            <w:shd w:val="clear" w:color="000000" w:fill="FFFFFF"/>
            <w:noWrap/>
            <w:vAlign w:val="bottom"/>
          </w:tcPr>
          <w:p w14:paraId="70C0AEA7" w14:textId="77777777" w:rsidR="00830DC3" w:rsidRDefault="00830DC3" w:rsidP="002F68E2">
            <w:pPr>
              <w:jc w:val="right"/>
              <w:rPr>
                <w:rFonts w:ascii="Arial" w:hAnsi="Arial" w:cs="Arial"/>
                <w:color w:val="000000"/>
                <w:sz w:val="18"/>
                <w:szCs w:val="18"/>
              </w:rPr>
            </w:pPr>
            <w:r>
              <w:rPr>
                <w:rFonts w:ascii="Arial" w:hAnsi="Arial" w:cs="Arial"/>
                <w:color w:val="000000"/>
                <w:sz w:val="18"/>
                <w:szCs w:val="18"/>
              </w:rPr>
              <w:t>0</w:t>
            </w:r>
          </w:p>
        </w:tc>
        <w:tc>
          <w:tcPr>
            <w:tcW w:w="2112" w:type="dxa"/>
            <w:tcBorders>
              <w:top w:val="nil"/>
              <w:left w:val="nil"/>
              <w:bottom w:val="single" w:sz="4" w:space="0" w:color="000000"/>
              <w:right w:val="single" w:sz="4" w:space="0" w:color="000000"/>
            </w:tcBorders>
            <w:shd w:val="clear" w:color="000000" w:fill="FFFFFF"/>
            <w:noWrap/>
            <w:vAlign w:val="bottom"/>
          </w:tcPr>
          <w:p w14:paraId="2AF939E0" w14:textId="77777777" w:rsidR="00830DC3" w:rsidRDefault="00830DC3" w:rsidP="002F68E2">
            <w:pPr>
              <w:jc w:val="right"/>
              <w:rPr>
                <w:rFonts w:ascii="Arial" w:hAnsi="Arial" w:cs="Arial"/>
                <w:color w:val="000000"/>
                <w:sz w:val="18"/>
                <w:szCs w:val="18"/>
              </w:rPr>
            </w:pPr>
            <w:r>
              <w:rPr>
                <w:rFonts w:ascii="Arial" w:hAnsi="Arial" w:cs="Arial"/>
                <w:color w:val="000000"/>
                <w:sz w:val="18"/>
                <w:szCs w:val="18"/>
              </w:rPr>
              <w:t xml:space="preserve">152 </w:t>
            </w:r>
          </w:p>
        </w:tc>
      </w:tr>
      <w:tr w:rsidR="00830DC3" w14:paraId="40A266D4" w14:textId="77777777" w:rsidTr="00543D95">
        <w:trPr>
          <w:trHeight w:val="420"/>
        </w:trPr>
        <w:tc>
          <w:tcPr>
            <w:tcW w:w="2235" w:type="dxa"/>
            <w:tcBorders>
              <w:top w:val="nil"/>
              <w:left w:val="single" w:sz="4" w:space="0" w:color="000000"/>
              <w:bottom w:val="single" w:sz="4" w:space="0" w:color="000000"/>
              <w:right w:val="single" w:sz="4" w:space="0" w:color="000000"/>
            </w:tcBorders>
            <w:shd w:val="clear" w:color="000000" w:fill="FFFFFF"/>
            <w:noWrap/>
            <w:vAlign w:val="bottom"/>
          </w:tcPr>
          <w:p w14:paraId="1FD94F36" w14:textId="77777777" w:rsidR="00830DC3" w:rsidRDefault="00830DC3" w:rsidP="002F68E2">
            <w:pPr>
              <w:rPr>
                <w:rFonts w:ascii="Arial" w:hAnsi="Arial" w:cs="Arial"/>
                <w:color w:val="000000"/>
                <w:sz w:val="18"/>
                <w:szCs w:val="18"/>
              </w:rPr>
            </w:pPr>
            <w:r>
              <w:rPr>
                <w:rFonts w:ascii="Arial" w:hAnsi="Arial" w:cs="Arial"/>
                <w:color w:val="000000"/>
                <w:sz w:val="18"/>
                <w:szCs w:val="18"/>
              </w:rPr>
              <w:t>2013-14</w:t>
            </w:r>
          </w:p>
        </w:tc>
        <w:tc>
          <w:tcPr>
            <w:tcW w:w="2235" w:type="dxa"/>
            <w:tcBorders>
              <w:top w:val="nil"/>
              <w:left w:val="nil"/>
              <w:bottom w:val="single" w:sz="4" w:space="0" w:color="000000"/>
              <w:right w:val="single" w:sz="4" w:space="0" w:color="000000"/>
            </w:tcBorders>
            <w:shd w:val="clear" w:color="000000" w:fill="FFFFFF"/>
            <w:noWrap/>
            <w:vAlign w:val="bottom"/>
          </w:tcPr>
          <w:p w14:paraId="6EC085BC" w14:textId="77777777" w:rsidR="00830DC3" w:rsidRDefault="00830DC3" w:rsidP="002F68E2">
            <w:pPr>
              <w:jc w:val="right"/>
              <w:rPr>
                <w:rFonts w:ascii="Arial" w:hAnsi="Arial" w:cs="Arial"/>
                <w:color w:val="000000"/>
                <w:sz w:val="18"/>
                <w:szCs w:val="18"/>
              </w:rPr>
            </w:pPr>
            <w:r>
              <w:rPr>
                <w:rFonts w:ascii="Arial" w:hAnsi="Arial" w:cs="Arial"/>
                <w:color w:val="000000"/>
                <w:sz w:val="18"/>
                <w:szCs w:val="18"/>
              </w:rPr>
              <w:t xml:space="preserve">501 </w:t>
            </w:r>
          </w:p>
        </w:tc>
        <w:tc>
          <w:tcPr>
            <w:tcW w:w="2235" w:type="dxa"/>
            <w:tcBorders>
              <w:top w:val="nil"/>
              <w:left w:val="nil"/>
              <w:bottom w:val="single" w:sz="4" w:space="0" w:color="000000"/>
              <w:right w:val="single" w:sz="4" w:space="0" w:color="000000"/>
            </w:tcBorders>
            <w:shd w:val="clear" w:color="000000" w:fill="FFFFFF"/>
            <w:noWrap/>
            <w:vAlign w:val="bottom"/>
          </w:tcPr>
          <w:p w14:paraId="6AD76332" w14:textId="77777777" w:rsidR="00830DC3" w:rsidRDefault="00830DC3" w:rsidP="002F68E2">
            <w:pPr>
              <w:jc w:val="right"/>
              <w:rPr>
                <w:rFonts w:ascii="Arial" w:hAnsi="Arial" w:cs="Arial"/>
                <w:color w:val="000000"/>
                <w:sz w:val="18"/>
                <w:szCs w:val="18"/>
              </w:rPr>
            </w:pPr>
            <w:r>
              <w:rPr>
                <w:rFonts w:ascii="Arial" w:hAnsi="Arial" w:cs="Arial"/>
                <w:color w:val="000000"/>
                <w:sz w:val="18"/>
                <w:szCs w:val="18"/>
              </w:rPr>
              <w:t>0</w:t>
            </w:r>
          </w:p>
        </w:tc>
        <w:tc>
          <w:tcPr>
            <w:tcW w:w="2112" w:type="dxa"/>
            <w:tcBorders>
              <w:top w:val="nil"/>
              <w:left w:val="nil"/>
              <w:bottom w:val="single" w:sz="4" w:space="0" w:color="000000"/>
              <w:right w:val="single" w:sz="4" w:space="0" w:color="000000"/>
            </w:tcBorders>
            <w:shd w:val="clear" w:color="000000" w:fill="FFFFFF"/>
            <w:noWrap/>
            <w:vAlign w:val="bottom"/>
          </w:tcPr>
          <w:p w14:paraId="64057690" w14:textId="77777777" w:rsidR="00830DC3" w:rsidRDefault="00830DC3" w:rsidP="002F68E2">
            <w:pPr>
              <w:jc w:val="right"/>
              <w:rPr>
                <w:rFonts w:ascii="Arial" w:hAnsi="Arial" w:cs="Arial"/>
                <w:color w:val="000000"/>
                <w:sz w:val="18"/>
                <w:szCs w:val="18"/>
              </w:rPr>
            </w:pPr>
            <w:r>
              <w:rPr>
                <w:rFonts w:ascii="Arial" w:hAnsi="Arial" w:cs="Arial"/>
                <w:color w:val="000000"/>
                <w:sz w:val="18"/>
                <w:szCs w:val="18"/>
              </w:rPr>
              <w:t xml:space="preserve">501 </w:t>
            </w:r>
          </w:p>
        </w:tc>
      </w:tr>
      <w:tr w:rsidR="00830DC3" w:rsidRPr="001260CA" w14:paraId="3B4023CE" w14:textId="77777777" w:rsidTr="00543D95">
        <w:trPr>
          <w:trHeight w:val="420"/>
        </w:trPr>
        <w:tc>
          <w:tcPr>
            <w:tcW w:w="2235" w:type="dxa"/>
            <w:tcBorders>
              <w:top w:val="nil"/>
              <w:left w:val="single" w:sz="4" w:space="0" w:color="000000"/>
              <w:bottom w:val="single" w:sz="4" w:space="0" w:color="000000"/>
              <w:right w:val="single" w:sz="4" w:space="0" w:color="000000"/>
            </w:tcBorders>
            <w:shd w:val="clear" w:color="000000" w:fill="FFFFFF"/>
            <w:noWrap/>
            <w:vAlign w:val="bottom"/>
          </w:tcPr>
          <w:p w14:paraId="314F97CD" w14:textId="77777777" w:rsidR="00830DC3" w:rsidRDefault="00830DC3" w:rsidP="002F68E2">
            <w:pPr>
              <w:rPr>
                <w:rFonts w:ascii="Arial" w:hAnsi="Arial" w:cs="Arial"/>
                <w:color w:val="000000"/>
                <w:sz w:val="18"/>
                <w:szCs w:val="18"/>
              </w:rPr>
            </w:pPr>
            <w:r>
              <w:rPr>
                <w:rFonts w:ascii="Arial" w:hAnsi="Arial" w:cs="Arial"/>
                <w:color w:val="000000"/>
                <w:sz w:val="18"/>
                <w:szCs w:val="18"/>
              </w:rPr>
              <w:t>2014-15</w:t>
            </w:r>
          </w:p>
        </w:tc>
        <w:tc>
          <w:tcPr>
            <w:tcW w:w="2235" w:type="dxa"/>
            <w:tcBorders>
              <w:top w:val="nil"/>
              <w:left w:val="nil"/>
              <w:bottom w:val="single" w:sz="4" w:space="0" w:color="000000"/>
              <w:right w:val="single" w:sz="4" w:space="0" w:color="000000"/>
            </w:tcBorders>
            <w:shd w:val="clear" w:color="000000" w:fill="FFFFFF"/>
            <w:noWrap/>
            <w:vAlign w:val="bottom"/>
          </w:tcPr>
          <w:p w14:paraId="557F6392" w14:textId="77777777" w:rsidR="00830DC3" w:rsidRDefault="00830DC3" w:rsidP="002F68E2">
            <w:pPr>
              <w:jc w:val="right"/>
              <w:rPr>
                <w:rFonts w:ascii="Arial" w:hAnsi="Arial" w:cs="Arial"/>
                <w:color w:val="000000"/>
                <w:sz w:val="18"/>
                <w:szCs w:val="18"/>
              </w:rPr>
            </w:pPr>
            <w:r>
              <w:rPr>
                <w:rFonts w:ascii="Arial" w:hAnsi="Arial" w:cs="Arial"/>
                <w:color w:val="000000"/>
                <w:sz w:val="18"/>
                <w:szCs w:val="18"/>
              </w:rPr>
              <w:t xml:space="preserve">567 </w:t>
            </w:r>
          </w:p>
        </w:tc>
        <w:tc>
          <w:tcPr>
            <w:tcW w:w="2235" w:type="dxa"/>
            <w:tcBorders>
              <w:top w:val="nil"/>
              <w:left w:val="nil"/>
              <w:bottom w:val="single" w:sz="4" w:space="0" w:color="000000"/>
              <w:right w:val="single" w:sz="4" w:space="0" w:color="000000"/>
            </w:tcBorders>
            <w:shd w:val="clear" w:color="000000" w:fill="FFFFFF"/>
            <w:noWrap/>
            <w:vAlign w:val="bottom"/>
          </w:tcPr>
          <w:p w14:paraId="131BB88D" w14:textId="77777777" w:rsidR="00830DC3" w:rsidRDefault="00830DC3" w:rsidP="002F68E2">
            <w:pPr>
              <w:jc w:val="right"/>
              <w:rPr>
                <w:rFonts w:ascii="Arial" w:hAnsi="Arial" w:cs="Arial"/>
                <w:color w:val="000000"/>
                <w:sz w:val="18"/>
                <w:szCs w:val="18"/>
              </w:rPr>
            </w:pPr>
            <w:r>
              <w:rPr>
                <w:rFonts w:ascii="Arial" w:hAnsi="Arial" w:cs="Arial"/>
                <w:color w:val="000000"/>
                <w:sz w:val="18"/>
                <w:szCs w:val="18"/>
              </w:rPr>
              <w:t xml:space="preserve">9 </w:t>
            </w:r>
          </w:p>
        </w:tc>
        <w:tc>
          <w:tcPr>
            <w:tcW w:w="2112" w:type="dxa"/>
            <w:tcBorders>
              <w:top w:val="nil"/>
              <w:left w:val="nil"/>
              <w:bottom w:val="single" w:sz="4" w:space="0" w:color="000000"/>
              <w:right w:val="single" w:sz="4" w:space="0" w:color="000000"/>
            </w:tcBorders>
            <w:shd w:val="clear" w:color="000000" w:fill="FFFFFF"/>
            <w:noWrap/>
            <w:vAlign w:val="bottom"/>
          </w:tcPr>
          <w:p w14:paraId="2983AAE7" w14:textId="77777777" w:rsidR="00830DC3" w:rsidRDefault="00830DC3" w:rsidP="002F68E2">
            <w:pPr>
              <w:jc w:val="right"/>
              <w:rPr>
                <w:rFonts w:ascii="Arial" w:hAnsi="Arial" w:cs="Arial"/>
                <w:color w:val="000000"/>
                <w:sz w:val="18"/>
                <w:szCs w:val="18"/>
              </w:rPr>
            </w:pPr>
            <w:r>
              <w:rPr>
                <w:rFonts w:ascii="Arial" w:hAnsi="Arial" w:cs="Arial"/>
                <w:color w:val="000000"/>
                <w:sz w:val="18"/>
                <w:szCs w:val="18"/>
              </w:rPr>
              <w:t xml:space="preserve">576 </w:t>
            </w:r>
          </w:p>
        </w:tc>
      </w:tr>
      <w:tr w:rsidR="00830DC3" w:rsidRPr="001260CA" w14:paraId="091031E5" w14:textId="77777777" w:rsidTr="00543D95">
        <w:trPr>
          <w:trHeight w:val="420"/>
        </w:trPr>
        <w:tc>
          <w:tcPr>
            <w:tcW w:w="2235" w:type="dxa"/>
            <w:tcBorders>
              <w:top w:val="nil"/>
              <w:left w:val="single" w:sz="4" w:space="0" w:color="000000"/>
              <w:bottom w:val="single" w:sz="4" w:space="0" w:color="000000"/>
              <w:right w:val="single" w:sz="4" w:space="0" w:color="000000"/>
            </w:tcBorders>
            <w:shd w:val="clear" w:color="000000" w:fill="FFFFFF"/>
            <w:noWrap/>
            <w:vAlign w:val="bottom"/>
          </w:tcPr>
          <w:p w14:paraId="26AA5F0B" w14:textId="77777777" w:rsidR="00830DC3" w:rsidRDefault="00830DC3" w:rsidP="002F68E2">
            <w:pPr>
              <w:rPr>
                <w:rFonts w:ascii="Arial" w:hAnsi="Arial" w:cs="Arial"/>
                <w:color w:val="000000"/>
                <w:sz w:val="18"/>
                <w:szCs w:val="18"/>
              </w:rPr>
            </w:pPr>
            <w:r>
              <w:rPr>
                <w:rFonts w:ascii="Arial" w:hAnsi="Arial" w:cs="Arial"/>
                <w:color w:val="000000"/>
                <w:sz w:val="18"/>
                <w:szCs w:val="18"/>
              </w:rPr>
              <w:t>2015-16</w:t>
            </w:r>
          </w:p>
        </w:tc>
        <w:tc>
          <w:tcPr>
            <w:tcW w:w="2235" w:type="dxa"/>
            <w:tcBorders>
              <w:top w:val="nil"/>
              <w:left w:val="nil"/>
              <w:bottom w:val="single" w:sz="4" w:space="0" w:color="000000"/>
              <w:right w:val="single" w:sz="4" w:space="0" w:color="000000"/>
            </w:tcBorders>
            <w:shd w:val="clear" w:color="000000" w:fill="FFFFFF"/>
            <w:noWrap/>
            <w:vAlign w:val="bottom"/>
          </w:tcPr>
          <w:p w14:paraId="710CEE3A" w14:textId="77777777" w:rsidR="00830DC3" w:rsidRDefault="00830DC3" w:rsidP="002F68E2">
            <w:pPr>
              <w:jc w:val="right"/>
              <w:rPr>
                <w:rFonts w:ascii="Arial" w:hAnsi="Arial" w:cs="Arial"/>
                <w:color w:val="000000"/>
                <w:sz w:val="18"/>
                <w:szCs w:val="18"/>
              </w:rPr>
            </w:pPr>
            <w:r>
              <w:rPr>
                <w:rFonts w:ascii="Arial" w:hAnsi="Arial" w:cs="Arial"/>
                <w:color w:val="000000"/>
                <w:sz w:val="18"/>
                <w:szCs w:val="18"/>
              </w:rPr>
              <w:t xml:space="preserve">559 </w:t>
            </w:r>
          </w:p>
        </w:tc>
        <w:tc>
          <w:tcPr>
            <w:tcW w:w="2235" w:type="dxa"/>
            <w:tcBorders>
              <w:top w:val="nil"/>
              <w:left w:val="nil"/>
              <w:bottom w:val="single" w:sz="4" w:space="0" w:color="000000"/>
              <w:right w:val="single" w:sz="4" w:space="0" w:color="000000"/>
            </w:tcBorders>
            <w:shd w:val="clear" w:color="000000" w:fill="FFFFFF"/>
            <w:noWrap/>
            <w:vAlign w:val="bottom"/>
          </w:tcPr>
          <w:p w14:paraId="181C20FB" w14:textId="77777777" w:rsidR="00830DC3" w:rsidRDefault="00830DC3" w:rsidP="002F68E2">
            <w:pPr>
              <w:jc w:val="right"/>
              <w:rPr>
                <w:rFonts w:ascii="Arial" w:hAnsi="Arial" w:cs="Arial"/>
                <w:color w:val="000000"/>
                <w:sz w:val="18"/>
                <w:szCs w:val="18"/>
              </w:rPr>
            </w:pPr>
            <w:r>
              <w:rPr>
                <w:rFonts w:ascii="Arial" w:hAnsi="Arial" w:cs="Arial"/>
                <w:color w:val="000000"/>
                <w:sz w:val="18"/>
                <w:szCs w:val="18"/>
              </w:rPr>
              <w:t xml:space="preserve">11 </w:t>
            </w:r>
          </w:p>
        </w:tc>
        <w:tc>
          <w:tcPr>
            <w:tcW w:w="2112" w:type="dxa"/>
            <w:tcBorders>
              <w:top w:val="nil"/>
              <w:left w:val="nil"/>
              <w:bottom w:val="single" w:sz="4" w:space="0" w:color="000000"/>
              <w:right w:val="single" w:sz="4" w:space="0" w:color="000000"/>
            </w:tcBorders>
            <w:shd w:val="clear" w:color="000000" w:fill="FFFFFF"/>
            <w:noWrap/>
            <w:vAlign w:val="bottom"/>
          </w:tcPr>
          <w:p w14:paraId="0A2A050B" w14:textId="77777777" w:rsidR="00830DC3" w:rsidRDefault="00830DC3" w:rsidP="002F68E2">
            <w:pPr>
              <w:jc w:val="right"/>
              <w:rPr>
                <w:rFonts w:ascii="Arial" w:hAnsi="Arial" w:cs="Arial"/>
                <w:color w:val="000000"/>
                <w:sz w:val="18"/>
                <w:szCs w:val="18"/>
              </w:rPr>
            </w:pPr>
            <w:r>
              <w:rPr>
                <w:rFonts w:ascii="Arial" w:hAnsi="Arial" w:cs="Arial"/>
                <w:color w:val="000000"/>
                <w:sz w:val="18"/>
                <w:szCs w:val="18"/>
              </w:rPr>
              <w:t xml:space="preserve">570 </w:t>
            </w:r>
          </w:p>
        </w:tc>
      </w:tr>
      <w:tr w:rsidR="00830DC3" w:rsidRPr="001260CA" w14:paraId="374E02C3" w14:textId="77777777" w:rsidTr="00543D95">
        <w:trPr>
          <w:trHeight w:val="420"/>
        </w:trPr>
        <w:tc>
          <w:tcPr>
            <w:tcW w:w="2235" w:type="dxa"/>
            <w:tcBorders>
              <w:top w:val="nil"/>
              <w:left w:val="single" w:sz="4" w:space="0" w:color="000000"/>
              <w:bottom w:val="single" w:sz="4" w:space="0" w:color="000000"/>
              <w:right w:val="single" w:sz="4" w:space="0" w:color="000000"/>
            </w:tcBorders>
            <w:shd w:val="clear" w:color="000000" w:fill="FFFFFF"/>
            <w:noWrap/>
            <w:vAlign w:val="bottom"/>
          </w:tcPr>
          <w:p w14:paraId="4D56C8D3" w14:textId="77777777" w:rsidR="00830DC3" w:rsidRDefault="00830DC3" w:rsidP="002F68E2">
            <w:pPr>
              <w:rPr>
                <w:rFonts w:ascii="Arial" w:hAnsi="Arial" w:cs="Arial"/>
                <w:color w:val="000000"/>
                <w:sz w:val="18"/>
                <w:szCs w:val="18"/>
              </w:rPr>
            </w:pPr>
            <w:r>
              <w:rPr>
                <w:rFonts w:ascii="Arial" w:hAnsi="Arial" w:cs="Arial"/>
                <w:color w:val="000000"/>
                <w:sz w:val="18"/>
                <w:szCs w:val="18"/>
              </w:rPr>
              <w:t>2016-17</w:t>
            </w:r>
          </w:p>
        </w:tc>
        <w:tc>
          <w:tcPr>
            <w:tcW w:w="2235" w:type="dxa"/>
            <w:tcBorders>
              <w:top w:val="nil"/>
              <w:left w:val="nil"/>
              <w:bottom w:val="single" w:sz="4" w:space="0" w:color="000000"/>
              <w:right w:val="single" w:sz="4" w:space="0" w:color="000000"/>
            </w:tcBorders>
            <w:shd w:val="clear" w:color="000000" w:fill="FFFFFF"/>
            <w:noWrap/>
            <w:vAlign w:val="bottom"/>
          </w:tcPr>
          <w:p w14:paraId="15632E0E" w14:textId="77777777" w:rsidR="00830DC3" w:rsidRDefault="00830DC3" w:rsidP="002F68E2">
            <w:pPr>
              <w:jc w:val="right"/>
              <w:rPr>
                <w:rFonts w:ascii="Arial" w:hAnsi="Arial" w:cs="Arial"/>
                <w:color w:val="000000"/>
                <w:sz w:val="18"/>
                <w:szCs w:val="18"/>
              </w:rPr>
            </w:pPr>
            <w:r>
              <w:rPr>
                <w:rFonts w:ascii="Arial" w:hAnsi="Arial" w:cs="Arial"/>
                <w:color w:val="000000"/>
                <w:sz w:val="18"/>
                <w:szCs w:val="18"/>
              </w:rPr>
              <w:t xml:space="preserve">562 </w:t>
            </w:r>
          </w:p>
        </w:tc>
        <w:tc>
          <w:tcPr>
            <w:tcW w:w="2235" w:type="dxa"/>
            <w:tcBorders>
              <w:top w:val="nil"/>
              <w:left w:val="nil"/>
              <w:bottom w:val="single" w:sz="4" w:space="0" w:color="000000"/>
              <w:right w:val="single" w:sz="4" w:space="0" w:color="000000"/>
            </w:tcBorders>
            <w:shd w:val="clear" w:color="000000" w:fill="FFFFFF"/>
            <w:noWrap/>
            <w:vAlign w:val="bottom"/>
          </w:tcPr>
          <w:p w14:paraId="18EA9C0A" w14:textId="77777777" w:rsidR="00830DC3" w:rsidRDefault="00830DC3" w:rsidP="002F68E2">
            <w:pPr>
              <w:jc w:val="right"/>
              <w:rPr>
                <w:rFonts w:ascii="Arial" w:hAnsi="Arial" w:cs="Arial"/>
                <w:color w:val="000000"/>
                <w:sz w:val="18"/>
                <w:szCs w:val="18"/>
              </w:rPr>
            </w:pPr>
            <w:r>
              <w:rPr>
                <w:rFonts w:ascii="Arial" w:hAnsi="Arial" w:cs="Arial"/>
                <w:color w:val="000000"/>
                <w:sz w:val="18"/>
                <w:szCs w:val="18"/>
              </w:rPr>
              <w:t xml:space="preserve">15 </w:t>
            </w:r>
          </w:p>
        </w:tc>
        <w:tc>
          <w:tcPr>
            <w:tcW w:w="2112" w:type="dxa"/>
            <w:tcBorders>
              <w:top w:val="nil"/>
              <w:left w:val="nil"/>
              <w:bottom w:val="single" w:sz="4" w:space="0" w:color="000000"/>
              <w:right w:val="single" w:sz="4" w:space="0" w:color="000000"/>
            </w:tcBorders>
            <w:shd w:val="clear" w:color="000000" w:fill="FFFFFF"/>
            <w:noWrap/>
            <w:vAlign w:val="bottom"/>
          </w:tcPr>
          <w:p w14:paraId="7B70F403" w14:textId="77777777" w:rsidR="00830DC3" w:rsidRDefault="00830DC3" w:rsidP="002F68E2">
            <w:pPr>
              <w:jc w:val="right"/>
              <w:rPr>
                <w:rFonts w:ascii="Arial" w:hAnsi="Arial" w:cs="Arial"/>
                <w:color w:val="000000"/>
                <w:sz w:val="18"/>
                <w:szCs w:val="18"/>
              </w:rPr>
            </w:pPr>
            <w:r>
              <w:rPr>
                <w:rFonts w:ascii="Arial" w:hAnsi="Arial" w:cs="Arial"/>
                <w:color w:val="000000"/>
                <w:sz w:val="18"/>
                <w:szCs w:val="18"/>
              </w:rPr>
              <w:t xml:space="preserve">577 </w:t>
            </w:r>
          </w:p>
        </w:tc>
      </w:tr>
    </w:tbl>
    <w:p w14:paraId="46CCCD6E" w14:textId="77777777" w:rsidR="00830DC3" w:rsidRPr="00104EBC" w:rsidRDefault="00830DC3" w:rsidP="00830DC3">
      <w:pPr>
        <w:rPr>
          <w:i/>
          <w:sz w:val="18"/>
          <w:szCs w:val="18"/>
        </w:rPr>
      </w:pPr>
      <w:r w:rsidRPr="00104EBC">
        <w:rPr>
          <w:i/>
          <w:sz w:val="18"/>
          <w:szCs w:val="18"/>
        </w:rPr>
        <w:t xml:space="preserve">Source: Department of Health, </w:t>
      </w:r>
      <w:r w:rsidRPr="00104EBC">
        <w:rPr>
          <w:i/>
          <w:color w:val="000000"/>
          <w:sz w:val="18"/>
          <w:szCs w:val="18"/>
        </w:rPr>
        <w:t>MBS Analytics Section</w:t>
      </w:r>
      <w:r w:rsidRPr="00104EBC">
        <w:rPr>
          <w:b/>
          <w:i/>
          <w:sz w:val="18"/>
          <w:szCs w:val="18"/>
        </w:rPr>
        <w:t xml:space="preserve"> </w:t>
      </w:r>
      <w:r w:rsidRPr="00104EBC">
        <w:rPr>
          <w:i/>
          <w:sz w:val="18"/>
          <w:szCs w:val="18"/>
        </w:rPr>
        <w:t>File: Q21109B Item 48694 utilisation 31 Jan 2018.xls</w:t>
      </w:r>
    </w:p>
    <w:p w14:paraId="3951DA7D" w14:textId="77777777" w:rsidR="00FE4396" w:rsidRPr="00104EBC" w:rsidRDefault="00830DC3" w:rsidP="00FE4396">
      <w:pPr>
        <w:rPr>
          <w:i/>
          <w:sz w:val="18"/>
          <w:szCs w:val="18"/>
        </w:rPr>
      </w:pPr>
      <w:r w:rsidRPr="00104EBC">
        <w:rPr>
          <w:i/>
          <w:sz w:val="18"/>
          <w:szCs w:val="18"/>
        </w:rPr>
        <w:t>* partial financial year</w:t>
      </w:r>
    </w:p>
    <w:p w14:paraId="02261893" w14:textId="1437C4DB" w:rsidR="002F68E2" w:rsidRDefault="00B96C23" w:rsidP="00FE4396">
      <w:pPr>
        <w:spacing w:before="240"/>
      </w:pPr>
      <w:r>
        <w:rPr>
          <w:b/>
          <w:sz w:val="20"/>
        </w:rPr>
        <w:lastRenderedPageBreak/>
        <w:t xml:space="preserve">Table 3. </w:t>
      </w:r>
      <w:r w:rsidR="002F68E2">
        <w:rPr>
          <w:b/>
          <w:sz w:val="20"/>
        </w:rPr>
        <w:t xml:space="preserve"> Percentage of patients receiving MBS item 48694 per age group by financial year</w:t>
      </w:r>
    </w:p>
    <w:tbl>
      <w:tblPr>
        <w:tblW w:w="8143" w:type="dxa"/>
        <w:tblInd w:w="93" w:type="dxa"/>
        <w:tblLook w:val="04A0" w:firstRow="1" w:lastRow="0" w:firstColumn="1" w:lastColumn="0" w:noHBand="0" w:noVBand="1"/>
        <w:tblDescription w:val="MBS item 48694 - data on percentage of patients receiving this service by age group from 2012-13 up to 2016-17"/>
      </w:tblPr>
      <w:tblGrid>
        <w:gridCol w:w="1745"/>
        <w:gridCol w:w="1204"/>
        <w:gridCol w:w="1021"/>
        <w:gridCol w:w="1021"/>
        <w:gridCol w:w="1021"/>
        <w:gridCol w:w="1023"/>
        <w:gridCol w:w="1108"/>
      </w:tblGrid>
      <w:tr w:rsidR="002F68E2" w14:paraId="6BD73147" w14:textId="77777777" w:rsidTr="002F68E2">
        <w:trPr>
          <w:trHeight w:val="364"/>
        </w:trPr>
        <w:tc>
          <w:tcPr>
            <w:tcW w:w="1745"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A89823E" w14:textId="77777777" w:rsidR="002F68E2" w:rsidRPr="00954F7B" w:rsidRDefault="002F68E2" w:rsidP="002F68E2">
            <w:pPr>
              <w:jc w:val="center"/>
              <w:rPr>
                <w:rFonts w:ascii="Arial" w:hAnsi="Arial" w:cs="Arial"/>
                <w:b/>
                <w:bCs/>
                <w:color w:val="000000"/>
                <w:sz w:val="18"/>
                <w:szCs w:val="18"/>
              </w:rPr>
            </w:pPr>
            <w:r w:rsidRPr="00954F7B">
              <w:rPr>
                <w:rFonts w:ascii="Arial" w:hAnsi="Arial" w:cs="Arial"/>
                <w:b/>
                <w:bCs/>
                <w:color w:val="000000"/>
                <w:sz w:val="18"/>
                <w:szCs w:val="18"/>
              </w:rPr>
              <w:t>Age range</w:t>
            </w:r>
          </w:p>
        </w:tc>
        <w:tc>
          <w:tcPr>
            <w:tcW w:w="5290" w:type="dxa"/>
            <w:gridSpan w:val="5"/>
            <w:tcBorders>
              <w:top w:val="single" w:sz="4" w:space="0" w:color="auto"/>
              <w:left w:val="nil"/>
              <w:bottom w:val="single" w:sz="4" w:space="0" w:color="auto"/>
              <w:right w:val="single" w:sz="4" w:space="0" w:color="auto"/>
            </w:tcBorders>
            <w:shd w:val="clear" w:color="000000" w:fill="8DB4E2"/>
            <w:vAlign w:val="bottom"/>
            <w:hideMark/>
          </w:tcPr>
          <w:p w14:paraId="585638E6" w14:textId="77777777" w:rsidR="002F68E2" w:rsidRPr="00954F7B" w:rsidRDefault="002F68E2" w:rsidP="002F68E2">
            <w:pPr>
              <w:jc w:val="center"/>
              <w:rPr>
                <w:rFonts w:ascii="Arial" w:hAnsi="Arial" w:cs="Arial"/>
                <w:b/>
                <w:bCs/>
                <w:color w:val="000000"/>
                <w:sz w:val="18"/>
                <w:szCs w:val="18"/>
              </w:rPr>
            </w:pPr>
            <w:r w:rsidRPr="00954F7B">
              <w:rPr>
                <w:rFonts w:ascii="Arial" w:hAnsi="Arial" w:cs="Arial"/>
                <w:b/>
                <w:bCs/>
                <w:color w:val="000000"/>
                <w:sz w:val="18"/>
                <w:szCs w:val="18"/>
              </w:rPr>
              <w:t>Financial Year</w:t>
            </w:r>
          </w:p>
        </w:tc>
        <w:tc>
          <w:tcPr>
            <w:tcW w:w="1108" w:type="dxa"/>
            <w:vMerge w:val="restart"/>
            <w:tcBorders>
              <w:top w:val="single" w:sz="4" w:space="0" w:color="auto"/>
              <w:left w:val="single" w:sz="4" w:space="0" w:color="auto"/>
              <w:bottom w:val="single" w:sz="4" w:space="0" w:color="auto"/>
              <w:right w:val="single" w:sz="4" w:space="0" w:color="auto"/>
            </w:tcBorders>
            <w:shd w:val="clear" w:color="000000" w:fill="8DB4E2"/>
            <w:noWrap/>
          </w:tcPr>
          <w:p w14:paraId="7ED1BF1C" w14:textId="77777777" w:rsidR="002F68E2" w:rsidRDefault="002F68E2" w:rsidP="002F68E2">
            <w:pPr>
              <w:jc w:val="center"/>
              <w:rPr>
                <w:rFonts w:ascii="Arial" w:hAnsi="Arial" w:cs="Arial"/>
                <w:b/>
                <w:bCs/>
                <w:color w:val="000000"/>
                <w:sz w:val="18"/>
                <w:szCs w:val="18"/>
              </w:rPr>
            </w:pPr>
          </w:p>
          <w:p w14:paraId="4F9D97D9" w14:textId="77777777" w:rsidR="002F68E2" w:rsidRPr="00954F7B" w:rsidRDefault="002F68E2" w:rsidP="002F68E2">
            <w:pPr>
              <w:jc w:val="center"/>
              <w:rPr>
                <w:rFonts w:ascii="Arial" w:hAnsi="Arial" w:cs="Arial"/>
                <w:b/>
                <w:bCs/>
                <w:color w:val="000000"/>
                <w:sz w:val="18"/>
                <w:szCs w:val="18"/>
              </w:rPr>
            </w:pPr>
            <w:r>
              <w:rPr>
                <w:rFonts w:ascii="Arial" w:hAnsi="Arial" w:cs="Arial"/>
                <w:b/>
                <w:bCs/>
                <w:color w:val="000000"/>
                <w:sz w:val="18"/>
                <w:szCs w:val="18"/>
              </w:rPr>
              <w:t>Total all years</w:t>
            </w:r>
          </w:p>
        </w:tc>
      </w:tr>
      <w:tr w:rsidR="002F68E2" w14:paraId="1139801D" w14:textId="77777777" w:rsidTr="002F68E2">
        <w:trPr>
          <w:trHeight w:val="364"/>
        </w:trPr>
        <w:tc>
          <w:tcPr>
            <w:tcW w:w="1745" w:type="dxa"/>
            <w:vMerge/>
            <w:tcBorders>
              <w:top w:val="single" w:sz="4" w:space="0" w:color="auto"/>
              <w:left w:val="single" w:sz="4" w:space="0" w:color="auto"/>
              <w:bottom w:val="single" w:sz="4" w:space="0" w:color="auto"/>
              <w:right w:val="single" w:sz="4" w:space="0" w:color="auto"/>
            </w:tcBorders>
            <w:vAlign w:val="center"/>
            <w:hideMark/>
          </w:tcPr>
          <w:p w14:paraId="398A5BA4" w14:textId="77777777" w:rsidR="002F68E2" w:rsidRPr="00954F7B" w:rsidRDefault="002F68E2" w:rsidP="002F68E2">
            <w:pPr>
              <w:rPr>
                <w:rFonts w:ascii="Arial" w:hAnsi="Arial" w:cs="Arial"/>
                <w:b/>
                <w:bCs/>
                <w:color w:val="000000"/>
                <w:sz w:val="18"/>
                <w:szCs w:val="18"/>
              </w:rPr>
            </w:pPr>
          </w:p>
        </w:tc>
        <w:tc>
          <w:tcPr>
            <w:tcW w:w="1204" w:type="dxa"/>
            <w:tcBorders>
              <w:top w:val="nil"/>
              <w:left w:val="nil"/>
              <w:bottom w:val="single" w:sz="4" w:space="0" w:color="auto"/>
              <w:right w:val="single" w:sz="4" w:space="0" w:color="auto"/>
            </w:tcBorders>
            <w:shd w:val="clear" w:color="000000" w:fill="8DB4E2"/>
            <w:noWrap/>
            <w:vAlign w:val="bottom"/>
            <w:hideMark/>
          </w:tcPr>
          <w:p w14:paraId="0BEA7D2C" w14:textId="77777777" w:rsidR="002F68E2" w:rsidRPr="00954F7B" w:rsidRDefault="002F68E2" w:rsidP="002F68E2">
            <w:pPr>
              <w:jc w:val="center"/>
              <w:rPr>
                <w:rFonts w:ascii="Arial" w:hAnsi="Arial" w:cs="Arial"/>
                <w:b/>
                <w:bCs/>
                <w:color w:val="000000"/>
                <w:sz w:val="18"/>
                <w:szCs w:val="18"/>
              </w:rPr>
            </w:pPr>
            <w:r w:rsidRPr="00954F7B">
              <w:rPr>
                <w:rFonts w:ascii="Arial" w:hAnsi="Arial" w:cs="Arial"/>
                <w:b/>
                <w:bCs/>
                <w:color w:val="000000"/>
                <w:sz w:val="18"/>
                <w:szCs w:val="18"/>
              </w:rPr>
              <w:t>2012-13</w:t>
            </w:r>
            <w:r>
              <w:rPr>
                <w:rFonts w:ascii="Arial" w:hAnsi="Arial" w:cs="Arial"/>
                <w:b/>
                <w:bCs/>
                <w:color w:val="000000"/>
                <w:sz w:val="18"/>
                <w:szCs w:val="18"/>
              </w:rPr>
              <w:t>*</w:t>
            </w:r>
          </w:p>
        </w:tc>
        <w:tc>
          <w:tcPr>
            <w:tcW w:w="1021" w:type="dxa"/>
            <w:tcBorders>
              <w:top w:val="nil"/>
              <w:left w:val="nil"/>
              <w:bottom w:val="single" w:sz="4" w:space="0" w:color="auto"/>
              <w:right w:val="single" w:sz="4" w:space="0" w:color="auto"/>
            </w:tcBorders>
            <w:shd w:val="clear" w:color="000000" w:fill="8DB4E2"/>
            <w:noWrap/>
            <w:vAlign w:val="bottom"/>
            <w:hideMark/>
          </w:tcPr>
          <w:p w14:paraId="3DD0A540" w14:textId="77777777" w:rsidR="002F68E2" w:rsidRPr="00954F7B" w:rsidRDefault="002F68E2" w:rsidP="002F68E2">
            <w:pPr>
              <w:rPr>
                <w:rFonts w:ascii="Arial" w:hAnsi="Arial" w:cs="Arial"/>
                <w:b/>
                <w:bCs/>
                <w:color w:val="000000"/>
                <w:sz w:val="18"/>
                <w:szCs w:val="18"/>
              </w:rPr>
            </w:pPr>
            <w:r w:rsidRPr="00954F7B">
              <w:rPr>
                <w:rFonts w:ascii="Arial" w:hAnsi="Arial" w:cs="Arial"/>
                <w:b/>
                <w:bCs/>
                <w:color w:val="000000"/>
                <w:sz w:val="18"/>
                <w:szCs w:val="18"/>
              </w:rPr>
              <w:t>2013-14</w:t>
            </w:r>
          </w:p>
        </w:tc>
        <w:tc>
          <w:tcPr>
            <w:tcW w:w="1021" w:type="dxa"/>
            <w:tcBorders>
              <w:top w:val="nil"/>
              <w:left w:val="nil"/>
              <w:bottom w:val="single" w:sz="4" w:space="0" w:color="auto"/>
              <w:right w:val="single" w:sz="4" w:space="0" w:color="auto"/>
            </w:tcBorders>
            <w:shd w:val="clear" w:color="000000" w:fill="8DB4E2"/>
            <w:noWrap/>
            <w:vAlign w:val="bottom"/>
            <w:hideMark/>
          </w:tcPr>
          <w:p w14:paraId="08605ECC" w14:textId="77777777" w:rsidR="002F68E2" w:rsidRPr="00954F7B" w:rsidRDefault="002F68E2" w:rsidP="002F68E2">
            <w:pPr>
              <w:rPr>
                <w:rFonts w:ascii="Arial" w:hAnsi="Arial" w:cs="Arial"/>
                <w:b/>
                <w:bCs/>
                <w:color w:val="000000"/>
                <w:sz w:val="18"/>
                <w:szCs w:val="18"/>
              </w:rPr>
            </w:pPr>
            <w:r w:rsidRPr="00954F7B">
              <w:rPr>
                <w:rFonts w:ascii="Arial" w:hAnsi="Arial" w:cs="Arial"/>
                <w:b/>
                <w:bCs/>
                <w:color w:val="000000"/>
                <w:sz w:val="18"/>
                <w:szCs w:val="18"/>
              </w:rPr>
              <w:t>2014-15</w:t>
            </w:r>
          </w:p>
        </w:tc>
        <w:tc>
          <w:tcPr>
            <w:tcW w:w="1021" w:type="dxa"/>
            <w:tcBorders>
              <w:top w:val="nil"/>
              <w:left w:val="nil"/>
              <w:bottom w:val="single" w:sz="4" w:space="0" w:color="auto"/>
              <w:right w:val="single" w:sz="4" w:space="0" w:color="auto"/>
            </w:tcBorders>
            <w:shd w:val="clear" w:color="000000" w:fill="8DB4E2"/>
            <w:noWrap/>
            <w:vAlign w:val="bottom"/>
            <w:hideMark/>
          </w:tcPr>
          <w:p w14:paraId="742163B7" w14:textId="77777777" w:rsidR="002F68E2" w:rsidRPr="00954F7B" w:rsidRDefault="002F68E2" w:rsidP="002F68E2">
            <w:pPr>
              <w:rPr>
                <w:rFonts w:ascii="Arial" w:hAnsi="Arial" w:cs="Arial"/>
                <w:b/>
                <w:bCs/>
                <w:color w:val="000000"/>
                <w:sz w:val="18"/>
                <w:szCs w:val="18"/>
              </w:rPr>
            </w:pPr>
            <w:r w:rsidRPr="00954F7B">
              <w:rPr>
                <w:rFonts w:ascii="Arial" w:hAnsi="Arial" w:cs="Arial"/>
                <w:b/>
                <w:bCs/>
                <w:color w:val="000000"/>
                <w:sz w:val="18"/>
                <w:szCs w:val="18"/>
              </w:rPr>
              <w:t>2015-16</w:t>
            </w:r>
          </w:p>
        </w:tc>
        <w:tc>
          <w:tcPr>
            <w:tcW w:w="1023" w:type="dxa"/>
            <w:tcBorders>
              <w:top w:val="nil"/>
              <w:left w:val="nil"/>
              <w:bottom w:val="single" w:sz="4" w:space="0" w:color="auto"/>
              <w:right w:val="single" w:sz="4" w:space="0" w:color="auto"/>
            </w:tcBorders>
            <w:shd w:val="clear" w:color="000000" w:fill="8DB4E2"/>
            <w:noWrap/>
            <w:vAlign w:val="bottom"/>
            <w:hideMark/>
          </w:tcPr>
          <w:p w14:paraId="3FFB58BE" w14:textId="77777777" w:rsidR="002F68E2" w:rsidRPr="00954F7B" w:rsidRDefault="002F68E2" w:rsidP="002F68E2">
            <w:pPr>
              <w:rPr>
                <w:rFonts w:ascii="Arial" w:hAnsi="Arial" w:cs="Arial"/>
                <w:b/>
                <w:bCs/>
                <w:color w:val="000000"/>
                <w:sz w:val="18"/>
                <w:szCs w:val="18"/>
              </w:rPr>
            </w:pPr>
            <w:r w:rsidRPr="00954F7B">
              <w:rPr>
                <w:rFonts w:ascii="Arial" w:hAnsi="Arial" w:cs="Arial"/>
                <w:b/>
                <w:bCs/>
                <w:color w:val="000000"/>
                <w:sz w:val="18"/>
                <w:szCs w:val="18"/>
              </w:rPr>
              <w:t>2016-17</w:t>
            </w:r>
          </w:p>
        </w:tc>
        <w:tc>
          <w:tcPr>
            <w:tcW w:w="1108" w:type="dxa"/>
            <w:vMerge/>
            <w:tcBorders>
              <w:top w:val="single" w:sz="4" w:space="0" w:color="auto"/>
              <w:left w:val="single" w:sz="4" w:space="0" w:color="auto"/>
              <w:bottom w:val="single" w:sz="4" w:space="0" w:color="auto"/>
              <w:right w:val="single" w:sz="4" w:space="0" w:color="auto"/>
            </w:tcBorders>
            <w:vAlign w:val="center"/>
          </w:tcPr>
          <w:p w14:paraId="28885534" w14:textId="77777777" w:rsidR="002F68E2" w:rsidRPr="00954F7B" w:rsidRDefault="002F68E2" w:rsidP="002F68E2">
            <w:pPr>
              <w:rPr>
                <w:rFonts w:ascii="Arial" w:hAnsi="Arial" w:cs="Arial"/>
                <w:b/>
                <w:bCs/>
                <w:color w:val="000000"/>
                <w:sz w:val="18"/>
                <w:szCs w:val="18"/>
              </w:rPr>
            </w:pPr>
          </w:p>
        </w:tc>
      </w:tr>
      <w:tr w:rsidR="002F68E2" w14:paraId="5431F7D9" w14:textId="77777777" w:rsidTr="002F68E2">
        <w:trPr>
          <w:trHeight w:val="364"/>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14:paraId="65F4924E" w14:textId="77777777" w:rsidR="002F68E2" w:rsidRPr="00954F7B" w:rsidRDefault="002F68E2" w:rsidP="002F68E2">
            <w:pPr>
              <w:rPr>
                <w:rFonts w:ascii="Arial" w:hAnsi="Arial" w:cs="Arial"/>
                <w:color w:val="000000"/>
                <w:sz w:val="18"/>
                <w:szCs w:val="18"/>
              </w:rPr>
            </w:pPr>
            <w:r>
              <w:rPr>
                <w:rFonts w:ascii="Arial" w:hAnsi="Arial" w:cs="Arial"/>
                <w:color w:val="000000"/>
                <w:sz w:val="18"/>
                <w:szCs w:val="18"/>
              </w:rPr>
              <w:t>15-24</w:t>
            </w:r>
          </w:p>
        </w:tc>
        <w:tc>
          <w:tcPr>
            <w:tcW w:w="1204" w:type="dxa"/>
            <w:tcBorders>
              <w:top w:val="nil"/>
              <w:left w:val="nil"/>
              <w:bottom w:val="single" w:sz="4" w:space="0" w:color="auto"/>
              <w:right w:val="single" w:sz="4" w:space="0" w:color="auto"/>
            </w:tcBorders>
            <w:shd w:val="clear" w:color="auto" w:fill="auto"/>
            <w:noWrap/>
            <w:vAlign w:val="center"/>
          </w:tcPr>
          <w:p w14:paraId="729D95E5"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0.8%</w:t>
            </w:r>
          </w:p>
        </w:tc>
        <w:tc>
          <w:tcPr>
            <w:tcW w:w="1021" w:type="dxa"/>
            <w:tcBorders>
              <w:top w:val="nil"/>
              <w:left w:val="nil"/>
              <w:bottom w:val="single" w:sz="4" w:space="0" w:color="auto"/>
              <w:right w:val="single" w:sz="4" w:space="0" w:color="auto"/>
            </w:tcBorders>
            <w:shd w:val="clear" w:color="auto" w:fill="auto"/>
            <w:noWrap/>
            <w:vAlign w:val="center"/>
          </w:tcPr>
          <w:p w14:paraId="228C710C"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0.4%</w:t>
            </w:r>
          </w:p>
        </w:tc>
        <w:tc>
          <w:tcPr>
            <w:tcW w:w="1021" w:type="dxa"/>
            <w:tcBorders>
              <w:top w:val="nil"/>
              <w:left w:val="nil"/>
              <w:bottom w:val="single" w:sz="4" w:space="0" w:color="auto"/>
              <w:right w:val="single" w:sz="4" w:space="0" w:color="auto"/>
            </w:tcBorders>
            <w:shd w:val="clear" w:color="auto" w:fill="auto"/>
            <w:noWrap/>
            <w:vAlign w:val="center"/>
          </w:tcPr>
          <w:p w14:paraId="00D9A0C5"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0.9%</w:t>
            </w:r>
          </w:p>
        </w:tc>
        <w:tc>
          <w:tcPr>
            <w:tcW w:w="1021" w:type="dxa"/>
            <w:tcBorders>
              <w:top w:val="nil"/>
              <w:left w:val="nil"/>
              <w:bottom w:val="single" w:sz="4" w:space="0" w:color="auto"/>
              <w:right w:val="single" w:sz="4" w:space="0" w:color="auto"/>
            </w:tcBorders>
            <w:shd w:val="clear" w:color="auto" w:fill="auto"/>
            <w:noWrap/>
            <w:vAlign w:val="center"/>
          </w:tcPr>
          <w:p w14:paraId="37F95D04"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1.0%</w:t>
            </w:r>
          </w:p>
        </w:tc>
        <w:tc>
          <w:tcPr>
            <w:tcW w:w="1023" w:type="dxa"/>
            <w:tcBorders>
              <w:top w:val="nil"/>
              <w:left w:val="nil"/>
              <w:bottom w:val="single" w:sz="4" w:space="0" w:color="auto"/>
              <w:right w:val="single" w:sz="4" w:space="0" w:color="auto"/>
            </w:tcBorders>
            <w:shd w:val="clear" w:color="auto" w:fill="auto"/>
            <w:noWrap/>
            <w:vAlign w:val="center"/>
          </w:tcPr>
          <w:p w14:paraId="747225D0"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0.7%</w:t>
            </w:r>
          </w:p>
        </w:tc>
        <w:tc>
          <w:tcPr>
            <w:tcW w:w="1108" w:type="dxa"/>
            <w:tcBorders>
              <w:top w:val="nil"/>
              <w:left w:val="nil"/>
              <w:bottom w:val="single" w:sz="4" w:space="0" w:color="auto"/>
              <w:right w:val="single" w:sz="4" w:space="0" w:color="auto"/>
            </w:tcBorders>
            <w:shd w:val="clear" w:color="auto" w:fill="auto"/>
            <w:noWrap/>
            <w:vAlign w:val="center"/>
          </w:tcPr>
          <w:p w14:paraId="5A218D2E" w14:textId="77777777" w:rsidR="002F68E2" w:rsidRPr="00954F7B" w:rsidRDefault="002F68E2" w:rsidP="002F68E2">
            <w:pPr>
              <w:rPr>
                <w:rFonts w:ascii="Arial" w:hAnsi="Arial" w:cs="Arial"/>
                <w:color w:val="000000"/>
                <w:sz w:val="18"/>
                <w:szCs w:val="18"/>
              </w:rPr>
            </w:pPr>
            <w:r>
              <w:rPr>
                <w:rFonts w:ascii="Arial" w:hAnsi="Arial" w:cs="Arial"/>
                <w:color w:val="000000"/>
                <w:sz w:val="18"/>
                <w:szCs w:val="18"/>
              </w:rPr>
              <w:t>0.8%</w:t>
            </w:r>
          </w:p>
        </w:tc>
      </w:tr>
      <w:tr w:rsidR="002F68E2" w14:paraId="0ADD6A9D" w14:textId="77777777" w:rsidTr="002F68E2">
        <w:trPr>
          <w:trHeight w:val="364"/>
        </w:trPr>
        <w:tc>
          <w:tcPr>
            <w:tcW w:w="1745" w:type="dxa"/>
            <w:tcBorders>
              <w:top w:val="nil"/>
              <w:left w:val="single" w:sz="4" w:space="0" w:color="auto"/>
              <w:bottom w:val="single" w:sz="4" w:space="0" w:color="auto"/>
              <w:right w:val="single" w:sz="4" w:space="0" w:color="auto"/>
            </w:tcBorders>
            <w:shd w:val="clear" w:color="auto" w:fill="auto"/>
            <w:noWrap/>
            <w:hideMark/>
          </w:tcPr>
          <w:p w14:paraId="1BFE2D61" w14:textId="77777777" w:rsidR="002F68E2" w:rsidRPr="003F15C5" w:rsidRDefault="002F68E2" w:rsidP="002F68E2">
            <w:pPr>
              <w:rPr>
                <w:rFonts w:ascii="Arial" w:hAnsi="Arial" w:cs="Arial"/>
                <w:sz w:val="18"/>
                <w:szCs w:val="18"/>
              </w:rPr>
            </w:pPr>
            <w:r w:rsidRPr="003F15C5">
              <w:rPr>
                <w:rFonts w:ascii="Arial" w:hAnsi="Arial" w:cs="Arial"/>
                <w:sz w:val="18"/>
                <w:szCs w:val="18"/>
              </w:rPr>
              <w:t>25-34</w:t>
            </w:r>
          </w:p>
        </w:tc>
        <w:tc>
          <w:tcPr>
            <w:tcW w:w="1204" w:type="dxa"/>
            <w:tcBorders>
              <w:top w:val="nil"/>
              <w:left w:val="nil"/>
              <w:bottom w:val="single" w:sz="4" w:space="0" w:color="auto"/>
              <w:right w:val="single" w:sz="4" w:space="0" w:color="auto"/>
            </w:tcBorders>
            <w:shd w:val="clear" w:color="auto" w:fill="auto"/>
            <w:noWrap/>
            <w:vAlign w:val="center"/>
          </w:tcPr>
          <w:p w14:paraId="011FAB26"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6.1%</w:t>
            </w:r>
          </w:p>
        </w:tc>
        <w:tc>
          <w:tcPr>
            <w:tcW w:w="1021" w:type="dxa"/>
            <w:tcBorders>
              <w:top w:val="nil"/>
              <w:left w:val="nil"/>
              <w:bottom w:val="single" w:sz="4" w:space="0" w:color="auto"/>
              <w:right w:val="single" w:sz="4" w:space="0" w:color="auto"/>
            </w:tcBorders>
            <w:shd w:val="clear" w:color="auto" w:fill="auto"/>
            <w:noWrap/>
            <w:vAlign w:val="center"/>
          </w:tcPr>
          <w:p w14:paraId="36F57A2A"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8.0%</w:t>
            </w:r>
          </w:p>
        </w:tc>
        <w:tc>
          <w:tcPr>
            <w:tcW w:w="1021" w:type="dxa"/>
            <w:tcBorders>
              <w:top w:val="nil"/>
              <w:left w:val="nil"/>
              <w:bottom w:val="single" w:sz="4" w:space="0" w:color="auto"/>
              <w:right w:val="single" w:sz="4" w:space="0" w:color="auto"/>
            </w:tcBorders>
            <w:shd w:val="clear" w:color="auto" w:fill="auto"/>
            <w:noWrap/>
            <w:vAlign w:val="center"/>
          </w:tcPr>
          <w:p w14:paraId="025C814B"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7.2%</w:t>
            </w:r>
          </w:p>
        </w:tc>
        <w:tc>
          <w:tcPr>
            <w:tcW w:w="1021" w:type="dxa"/>
            <w:tcBorders>
              <w:top w:val="nil"/>
              <w:left w:val="nil"/>
              <w:bottom w:val="single" w:sz="4" w:space="0" w:color="auto"/>
              <w:right w:val="single" w:sz="4" w:space="0" w:color="auto"/>
            </w:tcBorders>
            <w:shd w:val="clear" w:color="auto" w:fill="auto"/>
            <w:noWrap/>
            <w:vAlign w:val="center"/>
          </w:tcPr>
          <w:p w14:paraId="31D8C5A1"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7.8%</w:t>
            </w:r>
          </w:p>
        </w:tc>
        <w:tc>
          <w:tcPr>
            <w:tcW w:w="1023" w:type="dxa"/>
            <w:tcBorders>
              <w:top w:val="nil"/>
              <w:left w:val="nil"/>
              <w:bottom w:val="single" w:sz="4" w:space="0" w:color="auto"/>
              <w:right w:val="single" w:sz="4" w:space="0" w:color="auto"/>
            </w:tcBorders>
            <w:shd w:val="clear" w:color="auto" w:fill="auto"/>
            <w:noWrap/>
            <w:vAlign w:val="center"/>
          </w:tcPr>
          <w:p w14:paraId="642291D9"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7.8%</w:t>
            </w:r>
          </w:p>
        </w:tc>
        <w:tc>
          <w:tcPr>
            <w:tcW w:w="1108" w:type="dxa"/>
            <w:tcBorders>
              <w:top w:val="nil"/>
              <w:left w:val="nil"/>
              <w:bottom w:val="single" w:sz="4" w:space="0" w:color="auto"/>
              <w:right w:val="single" w:sz="4" w:space="0" w:color="auto"/>
            </w:tcBorders>
            <w:shd w:val="clear" w:color="auto" w:fill="auto"/>
            <w:noWrap/>
            <w:vAlign w:val="center"/>
          </w:tcPr>
          <w:p w14:paraId="1D4212F1" w14:textId="77777777" w:rsidR="002F68E2" w:rsidRPr="00954F7B" w:rsidRDefault="002F68E2" w:rsidP="002F68E2">
            <w:pPr>
              <w:rPr>
                <w:rFonts w:ascii="Arial" w:hAnsi="Arial" w:cs="Arial"/>
                <w:color w:val="000000"/>
                <w:sz w:val="18"/>
                <w:szCs w:val="18"/>
              </w:rPr>
            </w:pPr>
            <w:r>
              <w:rPr>
                <w:rFonts w:ascii="Arial" w:hAnsi="Arial" w:cs="Arial"/>
                <w:color w:val="000000"/>
                <w:sz w:val="18"/>
                <w:szCs w:val="18"/>
              </w:rPr>
              <w:t>7.6%</w:t>
            </w:r>
          </w:p>
        </w:tc>
      </w:tr>
      <w:tr w:rsidR="002F68E2" w14:paraId="20FFBC0D" w14:textId="77777777" w:rsidTr="002F68E2">
        <w:trPr>
          <w:trHeight w:val="364"/>
        </w:trPr>
        <w:tc>
          <w:tcPr>
            <w:tcW w:w="1745" w:type="dxa"/>
            <w:tcBorders>
              <w:top w:val="nil"/>
              <w:left w:val="single" w:sz="4" w:space="0" w:color="auto"/>
              <w:bottom w:val="single" w:sz="4" w:space="0" w:color="auto"/>
              <w:right w:val="single" w:sz="4" w:space="0" w:color="auto"/>
            </w:tcBorders>
            <w:shd w:val="clear" w:color="auto" w:fill="auto"/>
            <w:noWrap/>
            <w:hideMark/>
          </w:tcPr>
          <w:p w14:paraId="6B4FD250" w14:textId="77777777" w:rsidR="002F68E2" w:rsidRPr="003F15C5" w:rsidRDefault="002F68E2" w:rsidP="002F68E2">
            <w:pPr>
              <w:rPr>
                <w:rFonts w:ascii="Arial" w:hAnsi="Arial" w:cs="Arial"/>
                <w:sz w:val="18"/>
                <w:szCs w:val="18"/>
              </w:rPr>
            </w:pPr>
            <w:r w:rsidRPr="003F15C5">
              <w:rPr>
                <w:rFonts w:ascii="Arial" w:hAnsi="Arial" w:cs="Arial"/>
                <w:sz w:val="18"/>
                <w:szCs w:val="18"/>
              </w:rPr>
              <w:t>35-44</w:t>
            </w:r>
          </w:p>
        </w:tc>
        <w:tc>
          <w:tcPr>
            <w:tcW w:w="1204" w:type="dxa"/>
            <w:tcBorders>
              <w:top w:val="nil"/>
              <w:left w:val="nil"/>
              <w:bottom w:val="single" w:sz="4" w:space="0" w:color="auto"/>
              <w:right w:val="single" w:sz="4" w:space="0" w:color="auto"/>
            </w:tcBorders>
            <w:shd w:val="clear" w:color="auto" w:fill="auto"/>
            <w:noWrap/>
            <w:vAlign w:val="center"/>
          </w:tcPr>
          <w:p w14:paraId="704439A0" w14:textId="77777777" w:rsidR="002F68E2" w:rsidRPr="001E29DD" w:rsidRDefault="002F68E2" w:rsidP="002F68E2">
            <w:pPr>
              <w:jc w:val="right"/>
              <w:rPr>
                <w:rFonts w:ascii="Arial" w:hAnsi="Arial" w:cs="Arial"/>
                <w:color w:val="000000"/>
                <w:sz w:val="18"/>
                <w:szCs w:val="18"/>
              </w:rPr>
            </w:pPr>
            <w:r>
              <w:rPr>
                <w:rFonts w:ascii="Arial" w:hAnsi="Arial" w:cs="Arial"/>
                <w:color w:val="000000"/>
                <w:sz w:val="18"/>
                <w:szCs w:val="18"/>
              </w:rPr>
              <w:t>35.7%</w:t>
            </w:r>
          </w:p>
        </w:tc>
        <w:tc>
          <w:tcPr>
            <w:tcW w:w="1021" w:type="dxa"/>
            <w:tcBorders>
              <w:top w:val="nil"/>
              <w:left w:val="nil"/>
              <w:bottom w:val="single" w:sz="4" w:space="0" w:color="auto"/>
              <w:right w:val="single" w:sz="4" w:space="0" w:color="auto"/>
            </w:tcBorders>
            <w:shd w:val="clear" w:color="auto" w:fill="auto"/>
            <w:noWrap/>
            <w:vAlign w:val="center"/>
          </w:tcPr>
          <w:p w14:paraId="0463A4FE" w14:textId="77777777" w:rsidR="002F68E2" w:rsidRPr="001E29DD" w:rsidRDefault="002F68E2" w:rsidP="002F68E2">
            <w:pPr>
              <w:jc w:val="right"/>
              <w:rPr>
                <w:rFonts w:ascii="Arial" w:hAnsi="Arial" w:cs="Arial"/>
                <w:color w:val="000000"/>
                <w:sz w:val="18"/>
                <w:szCs w:val="18"/>
              </w:rPr>
            </w:pPr>
            <w:r w:rsidRPr="001E29DD">
              <w:rPr>
                <w:rFonts w:ascii="Arial" w:hAnsi="Arial" w:cs="Arial"/>
                <w:color w:val="000000"/>
                <w:sz w:val="18"/>
                <w:szCs w:val="18"/>
              </w:rPr>
              <w:t>32.3%</w:t>
            </w:r>
          </w:p>
        </w:tc>
        <w:tc>
          <w:tcPr>
            <w:tcW w:w="1021" w:type="dxa"/>
            <w:tcBorders>
              <w:top w:val="nil"/>
              <w:left w:val="nil"/>
              <w:bottom w:val="single" w:sz="4" w:space="0" w:color="auto"/>
              <w:right w:val="single" w:sz="4" w:space="0" w:color="auto"/>
            </w:tcBorders>
            <w:shd w:val="clear" w:color="auto" w:fill="auto"/>
            <w:noWrap/>
            <w:vAlign w:val="center"/>
          </w:tcPr>
          <w:p w14:paraId="7DBD4D1B" w14:textId="77777777" w:rsidR="002F68E2" w:rsidRPr="001E29DD" w:rsidRDefault="002F68E2" w:rsidP="002F68E2">
            <w:pPr>
              <w:jc w:val="right"/>
              <w:rPr>
                <w:rFonts w:ascii="Arial" w:hAnsi="Arial" w:cs="Arial"/>
                <w:color w:val="000000"/>
                <w:sz w:val="18"/>
                <w:szCs w:val="18"/>
              </w:rPr>
            </w:pPr>
            <w:r w:rsidRPr="001E29DD">
              <w:rPr>
                <w:rFonts w:ascii="Arial" w:hAnsi="Arial" w:cs="Arial"/>
                <w:color w:val="000000"/>
                <w:sz w:val="18"/>
                <w:szCs w:val="18"/>
              </w:rPr>
              <w:t>32.9%</w:t>
            </w:r>
          </w:p>
        </w:tc>
        <w:tc>
          <w:tcPr>
            <w:tcW w:w="1021" w:type="dxa"/>
            <w:tcBorders>
              <w:top w:val="nil"/>
              <w:left w:val="nil"/>
              <w:bottom w:val="single" w:sz="4" w:space="0" w:color="auto"/>
              <w:right w:val="single" w:sz="4" w:space="0" w:color="auto"/>
            </w:tcBorders>
            <w:shd w:val="clear" w:color="auto" w:fill="auto"/>
            <w:noWrap/>
            <w:vAlign w:val="center"/>
          </w:tcPr>
          <w:p w14:paraId="624404C9" w14:textId="77777777" w:rsidR="002F68E2" w:rsidRPr="001E29DD" w:rsidRDefault="002F68E2" w:rsidP="002F68E2">
            <w:pPr>
              <w:jc w:val="right"/>
              <w:rPr>
                <w:rFonts w:ascii="Arial" w:hAnsi="Arial" w:cs="Arial"/>
                <w:color w:val="000000"/>
                <w:sz w:val="18"/>
                <w:szCs w:val="18"/>
              </w:rPr>
            </w:pPr>
            <w:r w:rsidRPr="001E29DD">
              <w:rPr>
                <w:rFonts w:ascii="Arial" w:hAnsi="Arial" w:cs="Arial"/>
                <w:color w:val="000000"/>
                <w:sz w:val="18"/>
                <w:szCs w:val="18"/>
              </w:rPr>
              <w:t>31.4%</w:t>
            </w:r>
          </w:p>
        </w:tc>
        <w:tc>
          <w:tcPr>
            <w:tcW w:w="1023" w:type="dxa"/>
            <w:tcBorders>
              <w:top w:val="nil"/>
              <w:left w:val="nil"/>
              <w:bottom w:val="single" w:sz="4" w:space="0" w:color="auto"/>
              <w:right w:val="single" w:sz="4" w:space="0" w:color="auto"/>
            </w:tcBorders>
            <w:shd w:val="clear" w:color="auto" w:fill="auto"/>
            <w:noWrap/>
            <w:vAlign w:val="center"/>
          </w:tcPr>
          <w:p w14:paraId="66787626" w14:textId="77777777" w:rsidR="002F68E2" w:rsidRPr="001E29DD" w:rsidRDefault="002F68E2" w:rsidP="002F68E2">
            <w:pPr>
              <w:jc w:val="right"/>
              <w:rPr>
                <w:rFonts w:ascii="Arial" w:hAnsi="Arial" w:cs="Arial"/>
                <w:color w:val="000000"/>
                <w:sz w:val="18"/>
                <w:szCs w:val="18"/>
              </w:rPr>
            </w:pPr>
            <w:r w:rsidRPr="001E29DD">
              <w:rPr>
                <w:rFonts w:ascii="Arial" w:hAnsi="Arial" w:cs="Arial"/>
                <w:color w:val="000000"/>
                <w:sz w:val="18"/>
                <w:szCs w:val="18"/>
              </w:rPr>
              <w:t>30.0%</w:t>
            </w:r>
          </w:p>
        </w:tc>
        <w:tc>
          <w:tcPr>
            <w:tcW w:w="1108" w:type="dxa"/>
            <w:tcBorders>
              <w:top w:val="nil"/>
              <w:left w:val="nil"/>
              <w:bottom w:val="single" w:sz="4" w:space="0" w:color="auto"/>
              <w:right w:val="single" w:sz="4" w:space="0" w:color="auto"/>
            </w:tcBorders>
            <w:shd w:val="clear" w:color="auto" w:fill="auto"/>
            <w:noWrap/>
            <w:vAlign w:val="center"/>
          </w:tcPr>
          <w:p w14:paraId="3659758F" w14:textId="77777777" w:rsidR="002F68E2" w:rsidRPr="00954F7B" w:rsidRDefault="002F68E2" w:rsidP="002F68E2">
            <w:pPr>
              <w:rPr>
                <w:rFonts w:ascii="Arial" w:hAnsi="Arial" w:cs="Arial"/>
                <w:color w:val="000000"/>
                <w:sz w:val="18"/>
                <w:szCs w:val="18"/>
              </w:rPr>
            </w:pPr>
            <w:r>
              <w:rPr>
                <w:rFonts w:ascii="Arial" w:hAnsi="Arial" w:cs="Arial"/>
                <w:color w:val="000000"/>
                <w:sz w:val="18"/>
                <w:szCs w:val="18"/>
              </w:rPr>
              <w:t>31.8%</w:t>
            </w:r>
          </w:p>
        </w:tc>
      </w:tr>
      <w:tr w:rsidR="002F68E2" w14:paraId="1A4E5A22" w14:textId="77777777" w:rsidTr="002F68E2">
        <w:trPr>
          <w:trHeight w:val="364"/>
        </w:trPr>
        <w:tc>
          <w:tcPr>
            <w:tcW w:w="1745" w:type="dxa"/>
            <w:tcBorders>
              <w:top w:val="single" w:sz="4" w:space="0" w:color="auto"/>
              <w:left w:val="single" w:sz="4" w:space="0" w:color="auto"/>
              <w:bottom w:val="single" w:sz="4" w:space="0" w:color="auto"/>
              <w:right w:val="single" w:sz="4" w:space="0" w:color="auto"/>
            </w:tcBorders>
            <w:shd w:val="clear" w:color="auto" w:fill="auto"/>
            <w:noWrap/>
            <w:hideMark/>
          </w:tcPr>
          <w:p w14:paraId="0DDE150B" w14:textId="77777777" w:rsidR="002F68E2" w:rsidRPr="003F15C5" w:rsidRDefault="002F68E2" w:rsidP="002F68E2">
            <w:pPr>
              <w:rPr>
                <w:rFonts w:ascii="Arial" w:hAnsi="Arial" w:cs="Arial"/>
                <w:sz w:val="18"/>
                <w:szCs w:val="18"/>
              </w:rPr>
            </w:pPr>
            <w:r w:rsidRPr="003F15C5">
              <w:rPr>
                <w:rFonts w:ascii="Arial" w:hAnsi="Arial" w:cs="Arial"/>
                <w:sz w:val="18"/>
                <w:szCs w:val="18"/>
              </w:rPr>
              <w:t>45-54</w:t>
            </w:r>
          </w:p>
        </w:tc>
        <w:tc>
          <w:tcPr>
            <w:tcW w:w="1204" w:type="dxa"/>
            <w:tcBorders>
              <w:top w:val="single" w:sz="4" w:space="0" w:color="auto"/>
              <w:left w:val="nil"/>
              <w:bottom w:val="single" w:sz="4" w:space="0" w:color="auto"/>
              <w:right w:val="single" w:sz="4" w:space="0" w:color="auto"/>
            </w:tcBorders>
            <w:shd w:val="clear" w:color="auto" w:fill="auto"/>
            <w:noWrap/>
            <w:vAlign w:val="center"/>
          </w:tcPr>
          <w:p w14:paraId="1BDA0411" w14:textId="77777777" w:rsidR="002F68E2" w:rsidRPr="00954F7B" w:rsidRDefault="002F68E2" w:rsidP="002F68E2">
            <w:pPr>
              <w:jc w:val="right"/>
              <w:rPr>
                <w:rFonts w:ascii="Arial" w:hAnsi="Arial" w:cs="Arial"/>
                <w:color w:val="000000"/>
                <w:sz w:val="18"/>
                <w:szCs w:val="18"/>
              </w:rPr>
            </w:pPr>
            <w:r w:rsidRPr="001E29DD">
              <w:rPr>
                <w:rFonts w:ascii="Arial" w:hAnsi="Arial" w:cs="Arial"/>
                <w:color w:val="000000"/>
                <w:sz w:val="18"/>
                <w:szCs w:val="18"/>
              </w:rPr>
              <w:t>40.95%</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15DAB514"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36.5%</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02617CE3"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37.9%</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7100C1EA"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36.5%</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451C29B7"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37.1%</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64793E0D" w14:textId="77777777" w:rsidR="002F68E2" w:rsidRPr="00954F7B" w:rsidRDefault="002F68E2" w:rsidP="002F68E2">
            <w:pPr>
              <w:rPr>
                <w:rFonts w:ascii="Arial" w:hAnsi="Arial" w:cs="Arial"/>
                <w:color w:val="000000"/>
                <w:sz w:val="18"/>
                <w:szCs w:val="18"/>
              </w:rPr>
            </w:pPr>
            <w:r>
              <w:rPr>
                <w:rFonts w:ascii="Arial" w:hAnsi="Arial" w:cs="Arial"/>
                <w:color w:val="000000"/>
                <w:sz w:val="18"/>
                <w:szCs w:val="18"/>
              </w:rPr>
              <w:t>37.2%</w:t>
            </w:r>
          </w:p>
        </w:tc>
      </w:tr>
      <w:tr w:rsidR="002F68E2" w14:paraId="4FACDA91" w14:textId="77777777" w:rsidTr="002F68E2">
        <w:trPr>
          <w:trHeight w:val="364"/>
        </w:trPr>
        <w:tc>
          <w:tcPr>
            <w:tcW w:w="1745" w:type="dxa"/>
            <w:tcBorders>
              <w:top w:val="nil"/>
              <w:left w:val="single" w:sz="4" w:space="0" w:color="auto"/>
              <w:bottom w:val="single" w:sz="4" w:space="0" w:color="auto"/>
              <w:right w:val="single" w:sz="4" w:space="0" w:color="auto"/>
            </w:tcBorders>
            <w:shd w:val="clear" w:color="auto" w:fill="auto"/>
            <w:noWrap/>
            <w:hideMark/>
          </w:tcPr>
          <w:p w14:paraId="4AE482EC" w14:textId="77777777" w:rsidR="002F68E2" w:rsidRPr="003F15C5" w:rsidRDefault="002F68E2" w:rsidP="002F68E2">
            <w:pPr>
              <w:rPr>
                <w:rFonts w:ascii="Arial" w:hAnsi="Arial" w:cs="Arial"/>
                <w:sz w:val="18"/>
                <w:szCs w:val="18"/>
              </w:rPr>
            </w:pPr>
            <w:r w:rsidRPr="003F15C5">
              <w:rPr>
                <w:rFonts w:ascii="Arial" w:hAnsi="Arial" w:cs="Arial"/>
                <w:sz w:val="18"/>
                <w:szCs w:val="18"/>
              </w:rPr>
              <w:t>55-64</w:t>
            </w:r>
          </w:p>
        </w:tc>
        <w:tc>
          <w:tcPr>
            <w:tcW w:w="1204" w:type="dxa"/>
            <w:tcBorders>
              <w:top w:val="nil"/>
              <w:left w:val="nil"/>
              <w:bottom w:val="single" w:sz="4" w:space="0" w:color="auto"/>
              <w:right w:val="single" w:sz="4" w:space="0" w:color="auto"/>
            </w:tcBorders>
            <w:shd w:val="clear" w:color="auto" w:fill="auto"/>
            <w:noWrap/>
            <w:vAlign w:val="center"/>
          </w:tcPr>
          <w:p w14:paraId="3B7F76E5"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13.9%</w:t>
            </w:r>
          </w:p>
        </w:tc>
        <w:tc>
          <w:tcPr>
            <w:tcW w:w="1021" w:type="dxa"/>
            <w:tcBorders>
              <w:top w:val="nil"/>
              <w:left w:val="nil"/>
              <w:bottom w:val="single" w:sz="4" w:space="0" w:color="auto"/>
              <w:right w:val="single" w:sz="4" w:space="0" w:color="auto"/>
            </w:tcBorders>
            <w:shd w:val="clear" w:color="auto" w:fill="auto"/>
            <w:noWrap/>
            <w:vAlign w:val="center"/>
          </w:tcPr>
          <w:p w14:paraId="2400FCE5"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17.4%</w:t>
            </w:r>
          </w:p>
        </w:tc>
        <w:tc>
          <w:tcPr>
            <w:tcW w:w="1021" w:type="dxa"/>
            <w:tcBorders>
              <w:top w:val="nil"/>
              <w:left w:val="nil"/>
              <w:bottom w:val="single" w:sz="4" w:space="0" w:color="auto"/>
              <w:right w:val="single" w:sz="4" w:space="0" w:color="auto"/>
            </w:tcBorders>
            <w:shd w:val="clear" w:color="auto" w:fill="auto"/>
            <w:noWrap/>
            <w:vAlign w:val="center"/>
          </w:tcPr>
          <w:p w14:paraId="54F29E87"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16.1%</w:t>
            </w:r>
          </w:p>
        </w:tc>
        <w:tc>
          <w:tcPr>
            <w:tcW w:w="1021" w:type="dxa"/>
            <w:tcBorders>
              <w:top w:val="nil"/>
              <w:left w:val="nil"/>
              <w:bottom w:val="single" w:sz="4" w:space="0" w:color="auto"/>
              <w:right w:val="single" w:sz="4" w:space="0" w:color="auto"/>
            </w:tcBorders>
            <w:shd w:val="clear" w:color="auto" w:fill="auto"/>
            <w:noWrap/>
            <w:vAlign w:val="center"/>
          </w:tcPr>
          <w:p w14:paraId="7AB889DD"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17.5%</w:t>
            </w:r>
          </w:p>
        </w:tc>
        <w:tc>
          <w:tcPr>
            <w:tcW w:w="1023" w:type="dxa"/>
            <w:tcBorders>
              <w:top w:val="nil"/>
              <w:left w:val="nil"/>
              <w:bottom w:val="single" w:sz="4" w:space="0" w:color="auto"/>
              <w:right w:val="single" w:sz="4" w:space="0" w:color="auto"/>
            </w:tcBorders>
            <w:shd w:val="clear" w:color="auto" w:fill="auto"/>
            <w:noWrap/>
            <w:vAlign w:val="center"/>
          </w:tcPr>
          <w:p w14:paraId="148DE7E9"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19.1%</w:t>
            </w:r>
          </w:p>
        </w:tc>
        <w:tc>
          <w:tcPr>
            <w:tcW w:w="1108" w:type="dxa"/>
            <w:tcBorders>
              <w:top w:val="nil"/>
              <w:left w:val="nil"/>
              <w:bottom w:val="single" w:sz="4" w:space="0" w:color="auto"/>
              <w:right w:val="single" w:sz="4" w:space="0" w:color="auto"/>
            </w:tcBorders>
            <w:shd w:val="clear" w:color="auto" w:fill="auto"/>
            <w:noWrap/>
            <w:vAlign w:val="center"/>
          </w:tcPr>
          <w:p w14:paraId="23069C74" w14:textId="77777777" w:rsidR="002F68E2" w:rsidRPr="00954F7B" w:rsidRDefault="002F68E2" w:rsidP="002F68E2">
            <w:pPr>
              <w:rPr>
                <w:rFonts w:ascii="Arial" w:hAnsi="Arial" w:cs="Arial"/>
                <w:color w:val="000000"/>
                <w:sz w:val="18"/>
                <w:szCs w:val="18"/>
              </w:rPr>
            </w:pPr>
            <w:r>
              <w:rPr>
                <w:rFonts w:ascii="Arial" w:hAnsi="Arial" w:cs="Arial"/>
                <w:color w:val="000000"/>
                <w:sz w:val="18"/>
                <w:szCs w:val="18"/>
              </w:rPr>
              <w:t>17.4%</w:t>
            </w:r>
          </w:p>
        </w:tc>
      </w:tr>
      <w:tr w:rsidR="002F68E2" w14:paraId="76739AD6" w14:textId="77777777" w:rsidTr="002F68E2">
        <w:trPr>
          <w:trHeight w:val="364"/>
        </w:trPr>
        <w:tc>
          <w:tcPr>
            <w:tcW w:w="1745" w:type="dxa"/>
            <w:tcBorders>
              <w:top w:val="nil"/>
              <w:left w:val="single" w:sz="4" w:space="0" w:color="auto"/>
              <w:bottom w:val="single" w:sz="4" w:space="0" w:color="auto"/>
              <w:right w:val="single" w:sz="4" w:space="0" w:color="auto"/>
            </w:tcBorders>
            <w:shd w:val="clear" w:color="auto" w:fill="auto"/>
            <w:noWrap/>
            <w:hideMark/>
          </w:tcPr>
          <w:p w14:paraId="3549D101" w14:textId="77777777" w:rsidR="002F68E2" w:rsidRPr="003F15C5" w:rsidRDefault="002F68E2" w:rsidP="002F68E2">
            <w:pPr>
              <w:rPr>
                <w:rFonts w:ascii="Arial" w:hAnsi="Arial" w:cs="Arial"/>
                <w:sz w:val="18"/>
                <w:szCs w:val="18"/>
              </w:rPr>
            </w:pPr>
            <w:r w:rsidRPr="003F15C5">
              <w:rPr>
                <w:rFonts w:ascii="Arial" w:hAnsi="Arial" w:cs="Arial"/>
                <w:sz w:val="18"/>
                <w:szCs w:val="18"/>
              </w:rPr>
              <w:t>65-74</w:t>
            </w:r>
          </w:p>
        </w:tc>
        <w:tc>
          <w:tcPr>
            <w:tcW w:w="1204" w:type="dxa"/>
            <w:tcBorders>
              <w:top w:val="nil"/>
              <w:left w:val="nil"/>
              <w:bottom w:val="single" w:sz="4" w:space="0" w:color="auto"/>
              <w:right w:val="single" w:sz="4" w:space="0" w:color="auto"/>
            </w:tcBorders>
            <w:shd w:val="clear" w:color="auto" w:fill="auto"/>
            <w:noWrap/>
            <w:vAlign w:val="center"/>
          </w:tcPr>
          <w:p w14:paraId="6BE3F584"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2.6%</w:t>
            </w:r>
          </w:p>
        </w:tc>
        <w:tc>
          <w:tcPr>
            <w:tcW w:w="1021" w:type="dxa"/>
            <w:tcBorders>
              <w:top w:val="nil"/>
              <w:left w:val="nil"/>
              <w:bottom w:val="single" w:sz="4" w:space="0" w:color="auto"/>
              <w:right w:val="single" w:sz="4" w:space="0" w:color="auto"/>
            </w:tcBorders>
            <w:shd w:val="clear" w:color="auto" w:fill="auto"/>
            <w:noWrap/>
            <w:vAlign w:val="center"/>
          </w:tcPr>
          <w:p w14:paraId="234EC736"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5.2%</w:t>
            </w:r>
          </w:p>
        </w:tc>
        <w:tc>
          <w:tcPr>
            <w:tcW w:w="1021" w:type="dxa"/>
            <w:tcBorders>
              <w:top w:val="nil"/>
              <w:left w:val="nil"/>
              <w:bottom w:val="single" w:sz="4" w:space="0" w:color="auto"/>
              <w:right w:val="single" w:sz="4" w:space="0" w:color="auto"/>
            </w:tcBorders>
            <w:shd w:val="clear" w:color="auto" w:fill="auto"/>
            <w:noWrap/>
            <w:vAlign w:val="center"/>
          </w:tcPr>
          <w:p w14:paraId="203D18A5"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4.5%</w:t>
            </w:r>
          </w:p>
        </w:tc>
        <w:tc>
          <w:tcPr>
            <w:tcW w:w="1021" w:type="dxa"/>
            <w:tcBorders>
              <w:top w:val="nil"/>
              <w:left w:val="nil"/>
              <w:bottom w:val="single" w:sz="4" w:space="0" w:color="auto"/>
              <w:right w:val="single" w:sz="4" w:space="0" w:color="auto"/>
            </w:tcBorders>
            <w:shd w:val="clear" w:color="auto" w:fill="auto"/>
            <w:noWrap/>
            <w:vAlign w:val="center"/>
          </w:tcPr>
          <w:p w14:paraId="62E723FE"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5.5%</w:t>
            </w:r>
          </w:p>
        </w:tc>
        <w:tc>
          <w:tcPr>
            <w:tcW w:w="1023" w:type="dxa"/>
            <w:tcBorders>
              <w:top w:val="nil"/>
              <w:left w:val="nil"/>
              <w:bottom w:val="single" w:sz="4" w:space="0" w:color="auto"/>
              <w:right w:val="single" w:sz="4" w:space="0" w:color="auto"/>
            </w:tcBorders>
            <w:shd w:val="clear" w:color="auto" w:fill="auto"/>
            <w:noWrap/>
            <w:vAlign w:val="center"/>
          </w:tcPr>
          <w:p w14:paraId="585CAE00"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4.8%</w:t>
            </w:r>
          </w:p>
        </w:tc>
        <w:tc>
          <w:tcPr>
            <w:tcW w:w="1108" w:type="dxa"/>
            <w:tcBorders>
              <w:top w:val="nil"/>
              <w:left w:val="nil"/>
              <w:bottom w:val="single" w:sz="4" w:space="0" w:color="auto"/>
              <w:right w:val="single" w:sz="4" w:space="0" w:color="auto"/>
            </w:tcBorders>
            <w:shd w:val="clear" w:color="auto" w:fill="auto"/>
            <w:noWrap/>
            <w:vAlign w:val="center"/>
          </w:tcPr>
          <w:p w14:paraId="768C10F6" w14:textId="77777777" w:rsidR="002F68E2" w:rsidRPr="00954F7B" w:rsidRDefault="002F68E2" w:rsidP="002F68E2">
            <w:pPr>
              <w:rPr>
                <w:rFonts w:ascii="Arial" w:hAnsi="Arial" w:cs="Arial"/>
                <w:color w:val="000000"/>
                <w:sz w:val="18"/>
                <w:szCs w:val="18"/>
              </w:rPr>
            </w:pPr>
            <w:r>
              <w:rPr>
                <w:rFonts w:ascii="Arial" w:hAnsi="Arial" w:cs="Arial"/>
                <w:color w:val="000000"/>
                <w:sz w:val="18"/>
                <w:szCs w:val="18"/>
              </w:rPr>
              <w:t>4.9%</w:t>
            </w:r>
          </w:p>
        </w:tc>
      </w:tr>
      <w:tr w:rsidR="002F68E2" w14:paraId="086C20DE" w14:textId="77777777" w:rsidTr="002F68E2">
        <w:trPr>
          <w:trHeight w:val="364"/>
        </w:trPr>
        <w:tc>
          <w:tcPr>
            <w:tcW w:w="1745" w:type="dxa"/>
            <w:tcBorders>
              <w:top w:val="nil"/>
              <w:left w:val="single" w:sz="4" w:space="0" w:color="auto"/>
              <w:bottom w:val="single" w:sz="4" w:space="0" w:color="auto"/>
              <w:right w:val="single" w:sz="4" w:space="0" w:color="auto"/>
            </w:tcBorders>
            <w:shd w:val="clear" w:color="auto" w:fill="auto"/>
            <w:noWrap/>
            <w:hideMark/>
          </w:tcPr>
          <w:p w14:paraId="4C07EC1E" w14:textId="77777777" w:rsidR="002F68E2" w:rsidRPr="003F15C5" w:rsidRDefault="002F68E2" w:rsidP="002F68E2">
            <w:pPr>
              <w:rPr>
                <w:rFonts w:ascii="Arial" w:hAnsi="Arial" w:cs="Arial"/>
                <w:sz w:val="18"/>
                <w:szCs w:val="18"/>
              </w:rPr>
            </w:pPr>
            <w:r w:rsidRPr="003F15C5">
              <w:rPr>
                <w:rFonts w:ascii="Arial" w:hAnsi="Arial" w:cs="Arial"/>
                <w:sz w:val="18"/>
                <w:szCs w:val="18"/>
              </w:rPr>
              <w:t>75-84</w:t>
            </w:r>
          </w:p>
        </w:tc>
        <w:tc>
          <w:tcPr>
            <w:tcW w:w="1204" w:type="dxa"/>
            <w:tcBorders>
              <w:top w:val="nil"/>
              <w:left w:val="nil"/>
              <w:bottom w:val="single" w:sz="4" w:space="0" w:color="auto"/>
              <w:right w:val="single" w:sz="4" w:space="0" w:color="auto"/>
            </w:tcBorders>
            <w:shd w:val="clear" w:color="auto" w:fill="auto"/>
            <w:noWrap/>
            <w:vAlign w:val="center"/>
          </w:tcPr>
          <w:p w14:paraId="66FA15C9"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0.0%</w:t>
            </w:r>
          </w:p>
        </w:tc>
        <w:tc>
          <w:tcPr>
            <w:tcW w:w="1021" w:type="dxa"/>
            <w:tcBorders>
              <w:top w:val="nil"/>
              <w:left w:val="nil"/>
              <w:bottom w:val="single" w:sz="4" w:space="0" w:color="auto"/>
              <w:right w:val="single" w:sz="4" w:space="0" w:color="auto"/>
            </w:tcBorders>
            <w:shd w:val="clear" w:color="auto" w:fill="auto"/>
            <w:noWrap/>
            <w:vAlign w:val="center"/>
          </w:tcPr>
          <w:p w14:paraId="2322A686"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0.2%</w:t>
            </w:r>
          </w:p>
        </w:tc>
        <w:tc>
          <w:tcPr>
            <w:tcW w:w="1021" w:type="dxa"/>
            <w:tcBorders>
              <w:top w:val="nil"/>
              <w:left w:val="nil"/>
              <w:bottom w:val="single" w:sz="4" w:space="0" w:color="auto"/>
              <w:right w:val="single" w:sz="4" w:space="0" w:color="auto"/>
            </w:tcBorders>
            <w:shd w:val="clear" w:color="auto" w:fill="auto"/>
            <w:noWrap/>
            <w:vAlign w:val="center"/>
          </w:tcPr>
          <w:p w14:paraId="035B28BE"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0.4%</w:t>
            </w:r>
          </w:p>
        </w:tc>
        <w:tc>
          <w:tcPr>
            <w:tcW w:w="1021" w:type="dxa"/>
            <w:tcBorders>
              <w:top w:val="nil"/>
              <w:left w:val="nil"/>
              <w:bottom w:val="single" w:sz="4" w:space="0" w:color="auto"/>
              <w:right w:val="single" w:sz="4" w:space="0" w:color="auto"/>
            </w:tcBorders>
            <w:shd w:val="clear" w:color="auto" w:fill="auto"/>
            <w:noWrap/>
            <w:vAlign w:val="center"/>
          </w:tcPr>
          <w:p w14:paraId="5B36AE21"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0.3%</w:t>
            </w:r>
          </w:p>
        </w:tc>
        <w:tc>
          <w:tcPr>
            <w:tcW w:w="1023" w:type="dxa"/>
            <w:tcBorders>
              <w:top w:val="nil"/>
              <w:left w:val="nil"/>
              <w:bottom w:val="single" w:sz="4" w:space="0" w:color="auto"/>
              <w:right w:val="single" w:sz="4" w:space="0" w:color="auto"/>
            </w:tcBorders>
            <w:shd w:val="clear" w:color="auto" w:fill="auto"/>
            <w:noWrap/>
            <w:vAlign w:val="center"/>
          </w:tcPr>
          <w:p w14:paraId="5BC30F2A"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0.5%</w:t>
            </w:r>
          </w:p>
        </w:tc>
        <w:tc>
          <w:tcPr>
            <w:tcW w:w="1108" w:type="dxa"/>
            <w:tcBorders>
              <w:top w:val="nil"/>
              <w:left w:val="nil"/>
              <w:bottom w:val="single" w:sz="4" w:space="0" w:color="auto"/>
              <w:right w:val="single" w:sz="4" w:space="0" w:color="auto"/>
            </w:tcBorders>
            <w:shd w:val="clear" w:color="auto" w:fill="auto"/>
            <w:noWrap/>
            <w:vAlign w:val="center"/>
          </w:tcPr>
          <w:p w14:paraId="65299CAA" w14:textId="77777777" w:rsidR="002F68E2" w:rsidRPr="00954F7B" w:rsidRDefault="002F68E2" w:rsidP="002F68E2">
            <w:pPr>
              <w:rPr>
                <w:rFonts w:ascii="Arial" w:hAnsi="Arial" w:cs="Arial"/>
                <w:color w:val="000000"/>
                <w:sz w:val="18"/>
                <w:szCs w:val="18"/>
              </w:rPr>
            </w:pPr>
            <w:r>
              <w:rPr>
                <w:rFonts w:ascii="Arial" w:hAnsi="Arial" w:cs="Arial"/>
                <w:color w:val="000000"/>
                <w:sz w:val="18"/>
                <w:szCs w:val="18"/>
              </w:rPr>
              <w:t>0.3%</w:t>
            </w:r>
          </w:p>
        </w:tc>
      </w:tr>
      <w:tr w:rsidR="002F68E2" w14:paraId="013B7A2A" w14:textId="77777777" w:rsidTr="002F68E2">
        <w:trPr>
          <w:trHeight w:val="364"/>
        </w:trPr>
        <w:tc>
          <w:tcPr>
            <w:tcW w:w="1745" w:type="dxa"/>
            <w:tcBorders>
              <w:top w:val="nil"/>
              <w:left w:val="single" w:sz="4" w:space="0" w:color="auto"/>
              <w:bottom w:val="single" w:sz="4" w:space="0" w:color="auto"/>
              <w:right w:val="single" w:sz="4" w:space="0" w:color="auto"/>
            </w:tcBorders>
            <w:shd w:val="clear" w:color="auto" w:fill="auto"/>
            <w:noWrap/>
            <w:hideMark/>
          </w:tcPr>
          <w:p w14:paraId="3735A8D6" w14:textId="77777777" w:rsidR="002F68E2" w:rsidRPr="003F15C5" w:rsidRDefault="002F68E2" w:rsidP="002F68E2">
            <w:pPr>
              <w:rPr>
                <w:rFonts w:ascii="Arial" w:hAnsi="Arial" w:cs="Arial"/>
                <w:sz w:val="18"/>
                <w:szCs w:val="18"/>
              </w:rPr>
            </w:pPr>
            <w:r w:rsidRPr="003F15C5">
              <w:rPr>
                <w:rFonts w:ascii="Arial" w:hAnsi="Arial" w:cs="Arial"/>
                <w:sz w:val="18"/>
                <w:szCs w:val="18"/>
              </w:rPr>
              <w:t>+85</w:t>
            </w:r>
          </w:p>
        </w:tc>
        <w:tc>
          <w:tcPr>
            <w:tcW w:w="1204" w:type="dxa"/>
            <w:tcBorders>
              <w:top w:val="nil"/>
              <w:left w:val="nil"/>
              <w:bottom w:val="single" w:sz="4" w:space="0" w:color="auto"/>
              <w:right w:val="single" w:sz="4" w:space="0" w:color="auto"/>
            </w:tcBorders>
            <w:shd w:val="clear" w:color="auto" w:fill="auto"/>
            <w:noWrap/>
            <w:vAlign w:val="center"/>
          </w:tcPr>
          <w:p w14:paraId="209AD876"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0.0%</w:t>
            </w:r>
          </w:p>
        </w:tc>
        <w:tc>
          <w:tcPr>
            <w:tcW w:w="1021" w:type="dxa"/>
            <w:tcBorders>
              <w:top w:val="nil"/>
              <w:left w:val="nil"/>
              <w:bottom w:val="single" w:sz="4" w:space="0" w:color="auto"/>
              <w:right w:val="single" w:sz="4" w:space="0" w:color="auto"/>
            </w:tcBorders>
            <w:shd w:val="clear" w:color="auto" w:fill="auto"/>
            <w:noWrap/>
            <w:vAlign w:val="center"/>
          </w:tcPr>
          <w:p w14:paraId="6F6EDB9D"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0.0%</w:t>
            </w:r>
          </w:p>
        </w:tc>
        <w:tc>
          <w:tcPr>
            <w:tcW w:w="1021" w:type="dxa"/>
            <w:tcBorders>
              <w:top w:val="nil"/>
              <w:left w:val="nil"/>
              <w:bottom w:val="single" w:sz="4" w:space="0" w:color="auto"/>
              <w:right w:val="single" w:sz="4" w:space="0" w:color="auto"/>
            </w:tcBorders>
            <w:shd w:val="clear" w:color="auto" w:fill="auto"/>
            <w:noWrap/>
            <w:vAlign w:val="center"/>
          </w:tcPr>
          <w:p w14:paraId="0AEC1172"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0.2%</w:t>
            </w:r>
          </w:p>
        </w:tc>
        <w:tc>
          <w:tcPr>
            <w:tcW w:w="1021" w:type="dxa"/>
            <w:tcBorders>
              <w:top w:val="nil"/>
              <w:left w:val="nil"/>
              <w:bottom w:val="single" w:sz="4" w:space="0" w:color="auto"/>
              <w:right w:val="single" w:sz="4" w:space="0" w:color="auto"/>
            </w:tcBorders>
            <w:shd w:val="clear" w:color="auto" w:fill="auto"/>
            <w:noWrap/>
            <w:vAlign w:val="center"/>
          </w:tcPr>
          <w:p w14:paraId="1D65FC30"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0.0%</w:t>
            </w:r>
          </w:p>
        </w:tc>
        <w:tc>
          <w:tcPr>
            <w:tcW w:w="1023" w:type="dxa"/>
            <w:tcBorders>
              <w:top w:val="nil"/>
              <w:left w:val="nil"/>
              <w:bottom w:val="single" w:sz="4" w:space="0" w:color="auto"/>
              <w:right w:val="single" w:sz="4" w:space="0" w:color="auto"/>
            </w:tcBorders>
            <w:shd w:val="clear" w:color="auto" w:fill="auto"/>
            <w:noWrap/>
            <w:vAlign w:val="center"/>
          </w:tcPr>
          <w:p w14:paraId="6C8872A2" w14:textId="77777777" w:rsidR="002F68E2" w:rsidRPr="00954F7B" w:rsidRDefault="002F68E2" w:rsidP="002F68E2">
            <w:pPr>
              <w:jc w:val="right"/>
              <w:rPr>
                <w:rFonts w:ascii="Arial" w:hAnsi="Arial" w:cs="Arial"/>
                <w:color w:val="000000"/>
                <w:sz w:val="18"/>
                <w:szCs w:val="18"/>
              </w:rPr>
            </w:pPr>
            <w:r>
              <w:rPr>
                <w:rFonts w:ascii="Arial" w:hAnsi="Arial" w:cs="Arial"/>
                <w:color w:val="000000"/>
                <w:sz w:val="18"/>
                <w:szCs w:val="18"/>
              </w:rPr>
              <w:t>0.0%</w:t>
            </w:r>
          </w:p>
        </w:tc>
        <w:tc>
          <w:tcPr>
            <w:tcW w:w="1108" w:type="dxa"/>
            <w:tcBorders>
              <w:top w:val="nil"/>
              <w:left w:val="nil"/>
              <w:bottom w:val="single" w:sz="4" w:space="0" w:color="auto"/>
              <w:right w:val="single" w:sz="4" w:space="0" w:color="auto"/>
            </w:tcBorders>
            <w:shd w:val="clear" w:color="auto" w:fill="auto"/>
            <w:noWrap/>
            <w:vAlign w:val="center"/>
          </w:tcPr>
          <w:p w14:paraId="49A2AFB4" w14:textId="77777777" w:rsidR="002F68E2" w:rsidRPr="00954F7B" w:rsidRDefault="002F68E2" w:rsidP="002F68E2">
            <w:pPr>
              <w:rPr>
                <w:rFonts w:ascii="Arial" w:hAnsi="Arial" w:cs="Arial"/>
                <w:color w:val="000000"/>
                <w:sz w:val="18"/>
                <w:szCs w:val="18"/>
              </w:rPr>
            </w:pPr>
            <w:r>
              <w:rPr>
                <w:rFonts w:ascii="Arial" w:hAnsi="Arial" w:cs="Arial"/>
                <w:color w:val="000000"/>
                <w:sz w:val="18"/>
                <w:szCs w:val="18"/>
              </w:rPr>
              <w:t>0.0%</w:t>
            </w:r>
          </w:p>
        </w:tc>
      </w:tr>
    </w:tbl>
    <w:p w14:paraId="61CA54B4" w14:textId="77777777" w:rsidR="002F68E2" w:rsidRPr="00104EBC" w:rsidRDefault="002F68E2" w:rsidP="00104EBC">
      <w:pPr>
        <w:spacing w:after="240"/>
        <w:rPr>
          <w:i/>
          <w:sz w:val="18"/>
          <w:szCs w:val="18"/>
        </w:rPr>
      </w:pPr>
      <w:r w:rsidRPr="00104EBC">
        <w:rPr>
          <w:i/>
          <w:sz w:val="18"/>
          <w:szCs w:val="18"/>
        </w:rPr>
        <w:t>Source: Medicare Statistics Online, accessed 12 April 2018</w:t>
      </w:r>
    </w:p>
    <w:p w14:paraId="140E1C9F" w14:textId="77777777" w:rsidR="00BF7E05" w:rsidRDefault="00BF7E05" w:rsidP="002F68E2">
      <w:pPr>
        <w:rPr>
          <w:b/>
          <w:noProof/>
        </w:rPr>
      </w:pPr>
    </w:p>
    <w:p w14:paraId="4B41E1C5" w14:textId="7A157BF1" w:rsidR="002F68E2" w:rsidRPr="00B4066A" w:rsidRDefault="00E93780" w:rsidP="002F68E2">
      <w:pPr>
        <w:rPr>
          <w:b/>
          <w:noProof/>
        </w:rPr>
      </w:pPr>
      <w:r>
        <w:rPr>
          <w:b/>
          <w:noProof/>
        </w:rPr>
        <w:t>a</w:t>
      </w:r>
      <w:r w:rsidR="002F68E2" w:rsidRPr="00B4066A">
        <w:rPr>
          <w:b/>
          <w:noProof/>
        </w:rPr>
        <w:t>)</w:t>
      </w:r>
    </w:p>
    <w:p w14:paraId="611FB769" w14:textId="77777777" w:rsidR="008914AB" w:rsidRDefault="002F68E2" w:rsidP="008914AB">
      <w:pPr>
        <w:rPr>
          <w:b/>
          <w:noProof/>
        </w:rPr>
      </w:pPr>
      <w:r>
        <w:rPr>
          <w:noProof/>
        </w:rPr>
        <w:drawing>
          <wp:inline distT="0" distB="0" distL="0" distR="0" wp14:anchorId="428C9D41" wp14:editId="6CBEDBE5">
            <wp:extent cx="4457700" cy="2352675"/>
            <wp:effectExtent l="0" t="0" r="0" b="9525"/>
            <wp:docPr id="8" name="Picture 1" descr="Medicare Item 48694 processed from July 2012 to Jun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edicare Item 48694 processed from July 2012 to June 2013"/>
                    <pic:cNvPicPr>
                      <a:picLocks noChangeAspect="1" noChangeArrowheads="1"/>
                    </pic:cNvPicPr>
                  </pic:nvPicPr>
                  <pic:blipFill rotWithShape="1">
                    <a:blip r:embed="rId12">
                      <a:extLst>
                        <a:ext uri="{28A0092B-C50C-407E-A947-70E740481C1C}">
                          <a14:useLocalDpi xmlns:a14="http://schemas.microsoft.com/office/drawing/2010/main" val="0"/>
                        </a:ext>
                      </a:extLst>
                    </a:blip>
                    <a:srcRect t="4861"/>
                    <a:stretch/>
                  </pic:blipFill>
                  <pic:spPr bwMode="auto">
                    <a:xfrm>
                      <a:off x="0" y="0"/>
                      <a:ext cx="4457799" cy="2352727"/>
                    </a:xfrm>
                    <a:prstGeom prst="rect">
                      <a:avLst/>
                    </a:prstGeom>
                    <a:noFill/>
                    <a:extLst/>
                  </pic:spPr>
                </pic:pic>
              </a:graphicData>
            </a:graphic>
          </wp:inline>
        </w:drawing>
      </w:r>
    </w:p>
    <w:p w14:paraId="69D0CCE7" w14:textId="6DA9B831" w:rsidR="008914AB" w:rsidRDefault="008914AB" w:rsidP="008914AB">
      <w:pPr>
        <w:rPr>
          <w:b/>
          <w:noProof/>
        </w:rPr>
      </w:pPr>
      <w:r>
        <w:rPr>
          <w:b/>
          <w:noProof/>
        </w:rPr>
        <w:t>b</w:t>
      </w:r>
      <w:r w:rsidRPr="00B4066A">
        <w:rPr>
          <w:b/>
          <w:noProof/>
        </w:rPr>
        <w:t>)</w:t>
      </w:r>
    </w:p>
    <w:p w14:paraId="5D8866E8" w14:textId="43B4BD83" w:rsidR="002F68E2" w:rsidRPr="00B4066A" w:rsidRDefault="008914AB" w:rsidP="008914AB">
      <w:pPr>
        <w:rPr>
          <w:b/>
          <w:noProof/>
        </w:rPr>
      </w:pPr>
      <w:r>
        <w:rPr>
          <w:noProof/>
        </w:rPr>
        <w:drawing>
          <wp:inline distT="0" distB="0" distL="0" distR="0" wp14:anchorId="7B2D56A4" wp14:editId="1561B9CE">
            <wp:extent cx="4733925" cy="2694303"/>
            <wp:effectExtent l="0" t="0" r="0" b="0"/>
            <wp:docPr id="9" name="Picture 2" descr="Medicare Item 48694 processed from July 2013 to Jun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edicare Item 48694 processed from July 2013 to June 2014"/>
                    <pic:cNvPicPr>
                      <a:picLocks noChangeAspect="1" noChangeArrowheads="1"/>
                    </pic:cNvPicPr>
                  </pic:nvPicPr>
                  <pic:blipFill rotWithShape="1">
                    <a:blip r:embed="rId13">
                      <a:extLst>
                        <a:ext uri="{28A0092B-C50C-407E-A947-70E740481C1C}">
                          <a14:useLocalDpi xmlns:a14="http://schemas.microsoft.com/office/drawing/2010/main" val="0"/>
                        </a:ext>
                      </a:extLst>
                    </a:blip>
                    <a:srcRect t="6019"/>
                    <a:stretch/>
                  </pic:blipFill>
                  <pic:spPr bwMode="auto">
                    <a:xfrm>
                      <a:off x="0" y="0"/>
                      <a:ext cx="4748839" cy="2702792"/>
                    </a:xfrm>
                    <a:prstGeom prst="rect">
                      <a:avLst/>
                    </a:prstGeom>
                    <a:noFill/>
                    <a:extLst/>
                  </pic:spPr>
                </pic:pic>
              </a:graphicData>
            </a:graphic>
          </wp:inline>
        </w:drawing>
      </w:r>
      <w:r w:rsidR="009036EC">
        <w:rPr>
          <w:b/>
          <w:noProof/>
        </w:rPr>
        <w:br w:type="page"/>
      </w:r>
    </w:p>
    <w:p w14:paraId="3979F266" w14:textId="77777777" w:rsidR="002F68E2" w:rsidRPr="00B4066A" w:rsidRDefault="002F68E2" w:rsidP="002F68E2">
      <w:pPr>
        <w:rPr>
          <w:b/>
          <w:noProof/>
        </w:rPr>
      </w:pPr>
      <w:r>
        <w:rPr>
          <w:b/>
          <w:noProof/>
        </w:rPr>
        <w:lastRenderedPageBreak/>
        <w:t>c</w:t>
      </w:r>
      <w:r w:rsidRPr="00B4066A">
        <w:rPr>
          <w:b/>
          <w:noProof/>
        </w:rPr>
        <w:t>)</w:t>
      </w:r>
    </w:p>
    <w:p w14:paraId="2FCAB236" w14:textId="77777777" w:rsidR="00044BD3" w:rsidRDefault="002F68E2" w:rsidP="00044BD3">
      <w:pPr>
        <w:spacing w:before="720"/>
        <w:rPr>
          <w:b/>
          <w:noProof/>
        </w:rPr>
      </w:pPr>
      <w:r>
        <w:rPr>
          <w:noProof/>
        </w:rPr>
        <w:drawing>
          <wp:inline distT="0" distB="0" distL="0" distR="0" wp14:anchorId="7F7BD146" wp14:editId="4C185A5F">
            <wp:extent cx="4867275" cy="2266950"/>
            <wp:effectExtent l="0" t="0" r="9525" b="0"/>
            <wp:docPr id="4" name="Picture 3" descr="Medicare Item 48694 processed from July 2014 to Jun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Medicare Item 48694 processed from July 2014 to June 2015"/>
                    <pic:cNvPicPr>
                      <a:picLocks noChangeAspect="1" noChangeArrowheads="1"/>
                    </pic:cNvPicPr>
                  </pic:nvPicPr>
                  <pic:blipFill rotWithShape="1">
                    <a:blip r:embed="rId14">
                      <a:extLst>
                        <a:ext uri="{28A0092B-C50C-407E-A947-70E740481C1C}">
                          <a14:useLocalDpi xmlns:a14="http://schemas.microsoft.com/office/drawing/2010/main" val="0"/>
                        </a:ext>
                      </a:extLst>
                    </a:blip>
                    <a:srcRect t="5093"/>
                    <a:stretch/>
                  </pic:blipFill>
                  <pic:spPr bwMode="auto">
                    <a:xfrm>
                      <a:off x="0" y="0"/>
                      <a:ext cx="4871990" cy="2269146"/>
                    </a:xfrm>
                    <a:prstGeom prst="rect">
                      <a:avLst/>
                    </a:prstGeom>
                    <a:noFill/>
                    <a:extLst/>
                  </pic:spPr>
                </pic:pic>
              </a:graphicData>
            </a:graphic>
          </wp:inline>
        </w:drawing>
      </w:r>
    </w:p>
    <w:p w14:paraId="0A4E7439" w14:textId="0E239457" w:rsidR="002F68E2" w:rsidRPr="00B4066A" w:rsidRDefault="002F68E2" w:rsidP="00044BD3">
      <w:pPr>
        <w:spacing w:before="720"/>
        <w:rPr>
          <w:b/>
          <w:noProof/>
        </w:rPr>
      </w:pPr>
      <w:r>
        <w:rPr>
          <w:b/>
          <w:noProof/>
        </w:rPr>
        <w:t>d</w:t>
      </w:r>
      <w:r w:rsidRPr="00B4066A">
        <w:rPr>
          <w:b/>
          <w:noProof/>
        </w:rPr>
        <w:t>)</w:t>
      </w:r>
    </w:p>
    <w:p w14:paraId="767EF169" w14:textId="77777777" w:rsidR="00DB1C44" w:rsidRDefault="002F68E2" w:rsidP="00033253">
      <w:pPr>
        <w:rPr>
          <w:b/>
          <w:noProof/>
        </w:rPr>
      </w:pPr>
      <w:r>
        <w:rPr>
          <w:noProof/>
        </w:rPr>
        <w:drawing>
          <wp:inline distT="0" distB="0" distL="0" distR="0" wp14:anchorId="5D4FD696" wp14:editId="5AE81DCB">
            <wp:extent cx="5057775" cy="2381250"/>
            <wp:effectExtent l="0" t="0" r="9525" b="0"/>
            <wp:docPr id="10" name="Picture 6" descr="Medicare Item 48694 processed from July 2015 to Ju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Medicare Item 48694 processed from July 2015 to June 2016"/>
                    <pic:cNvPicPr>
                      <a:picLocks noChangeAspect="1" noChangeArrowheads="1"/>
                    </pic:cNvPicPr>
                  </pic:nvPicPr>
                  <pic:blipFill rotWithShape="1">
                    <a:blip r:embed="rId15">
                      <a:extLst>
                        <a:ext uri="{28A0092B-C50C-407E-A947-70E740481C1C}">
                          <a14:useLocalDpi xmlns:a14="http://schemas.microsoft.com/office/drawing/2010/main" val="0"/>
                        </a:ext>
                      </a:extLst>
                    </a:blip>
                    <a:srcRect t="5093"/>
                    <a:stretch/>
                  </pic:blipFill>
                  <pic:spPr bwMode="auto">
                    <a:xfrm>
                      <a:off x="0" y="0"/>
                      <a:ext cx="5072662" cy="2388259"/>
                    </a:xfrm>
                    <a:prstGeom prst="rect">
                      <a:avLst/>
                    </a:prstGeom>
                    <a:noFill/>
                    <a:extLst/>
                  </pic:spPr>
                </pic:pic>
              </a:graphicData>
            </a:graphic>
          </wp:inline>
        </w:drawing>
      </w:r>
    </w:p>
    <w:p w14:paraId="29F16317" w14:textId="7F004EE3" w:rsidR="002F68E2" w:rsidRPr="00B4066A" w:rsidRDefault="002F68E2" w:rsidP="00033253">
      <w:pPr>
        <w:rPr>
          <w:b/>
          <w:noProof/>
        </w:rPr>
      </w:pPr>
      <w:r>
        <w:rPr>
          <w:b/>
          <w:noProof/>
        </w:rPr>
        <w:t>e</w:t>
      </w:r>
      <w:r w:rsidRPr="00B4066A">
        <w:rPr>
          <w:b/>
          <w:noProof/>
        </w:rPr>
        <w:t>)</w:t>
      </w:r>
    </w:p>
    <w:p w14:paraId="2C733629" w14:textId="21B5C02D" w:rsidR="002F68E2" w:rsidRPr="00F54797" w:rsidRDefault="008914AB" w:rsidP="002F68E2">
      <w:r>
        <w:rPr>
          <w:noProof/>
        </w:rPr>
        <w:drawing>
          <wp:inline distT="0" distB="0" distL="0" distR="0" wp14:anchorId="549A3485" wp14:editId="3ADDB8AB">
            <wp:extent cx="4939748" cy="2286000"/>
            <wp:effectExtent l="0" t="0" r="0" b="0"/>
            <wp:docPr id="5" name="Picture 4" descr="Medicare Item 48694 processed from July 2016 to Jun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edicare Item 48694 processed from July 2016 to June 2017"/>
                    <pic:cNvPicPr>
                      <a:picLocks noChangeAspect="1" noChangeArrowheads="1"/>
                    </pic:cNvPicPr>
                  </pic:nvPicPr>
                  <pic:blipFill rotWithShape="1">
                    <a:blip r:embed="rId16">
                      <a:extLst>
                        <a:ext uri="{28A0092B-C50C-407E-A947-70E740481C1C}">
                          <a14:useLocalDpi xmlns:a14="http://schemas.microsoft.com/office/drawing/2010/main" val="0"/>
                        </a:ext>
                      </a:extLst>
                    </a:blip>
                    <a:srcRect t="6004"/>
                    <a:stretch/>
                  </pic:blipFill>
                  <pic:spPr bwMode="auto">
                    <a:xfrm>
                      <a:off x="0" y="0"/>
                      <a:ext cx="4950625" cy="2291034"/>
                    </a:xfrm>
                    <a:prstGeom prst="rect">
                      <a:avLst/>
                    </a:prstGeom>
                    <a:noFill/>
                    <a:extLst/>
                  </pic:spPr>
                </pic:pic>
              </a:graphicData>
            </a:graphic>
          </wp:inline>
        </w:drawing>
      </w:r>
    </w:p>
    <w:p w14:paraId="5AF17D56" w14:textId="0C397C64" w:rsidR="002F68E2" w:rsidRPr="002719DC" w:rsidRDefault="00104EBC" w:rsidP="002719DC">
      <w:pPr>
        <w:rPr>
          <w:b/>
          <w:sz w:val="20"/>
        </w:rPr>
      </w:pPr>
      <w:r w:rsidRPr="002719DC">
        <w:rPr>
          <w:b/>
          <w:sz w:val="20"/>
        </w:rPr>
        <w:t>Figure</w:t>
      </w:r>
      <w:r w:rsidR="00392379">
        <w:rPr>
          <w:b/>
          <w:sz w:val="20"/>
        </w:rPr>
        <w:t xml:space="preserve"> </w:t>
      </w:r>
      <w:r w:rsidRPr="002719DC">
        <w:rPr>
          <w:b/>
          <w:sz w:val="20"/>
        </w:rPr>
        <w:t>2</w:t>
      </w:r>
      <w:r w:rsidR="002F68E2" w:rsidRPr="002719DC">
        <w:rPr>
          <w:b/>
          <w:sz w:val="20"/>
        </w:rPr>
        <w:t>: Demographic profile for MBS item 48694 for (a) 2012-13, (b) 2013-14, (c) 2014-15,</w:t>
      </w:r>
    </w:p>
    <w:p w14:paraId="7D624027" w14:textId="77777777" w:rsidR="002F68E2" w:rsidRPr="002719DC" w:rsidRDefault="002F68E2" w:rsidP="002719DC">
      <w:pPr>
        <w:rPr>
          <w:b/>
          <w:sz w:val="20"/>
        </w:rPr>
      </w:pPr>
      <w:r w:rsidRPr="002719DC">
        <w:rPr>
          <w:b/>
          <w:sz w:val="20"/>
        </w:rPr>
        <w:t xml:space="preserve"> (d) 2015-16, and (e) 2016-17 </w:t>
      </w:r>
    </w:p>
    <w:p w14:paraId="695D6BF6" w14:textId="7DB48AB3" w:rsidR="00BF7E05" w:rsidRPr="00B07B09" w:rsidRDefault="002F68E2" w:rsidP="00B07B09">
      <w:pPr>
        <w:rPr>
          <w:i/>
        </w:rPr>
      </w:pPr>
      <w:r w:rsidRPr="008D442C">
        <w:rPr>
          <w:i/>
          <w:sz w:val="18"/>
        </w:rPr>
        <w:t>Source: Medicare Statistics Online, accessed 12 April 2018</w:t>
      </w:r>
    </w:p>
    <w:p w14:paraId="05D4F505" w14:textId="77777777" w:rsidR="002F68E2" w:rsidRPr="00044BD3" w:rsidRDefault="004E015F" w:rsidP="00033253">
      <w:pPr>
        <w:pStyle w:val="Heading2"/>
        <w:spacing w:before="240"/>
      </w:pPr>
      <w:r w:rsidRPr="00044BD3">
        <w:lastRenderedPageBreak/>
        <w:t>Practitioner breakdown</w:t>
      </w:r>
      <w:r w:rsidR="002F68E2" w:rsidRPr="00044BD3">
        <w:t xml:space="preserve"> </w:t>
      </w:r>
    </w:p>
    <w:p w14:paraId="1B31FD83" w14:textId="4E9FD335" w:rsidR="002719DC" w:rsidRPr="00B07B09" w:rsidRDefault="00044BD3" w:rsidP="00B07B09">
      <w:pPr>
        <w:spacing w:after="240"/>
      </w:pPr>
      <w:r>
        <w:t>T</w:t>
      </w:r>
      <w:r w:rsidR="002F68E2" w:rsidRPr="00044BD3">
        <w:t>here has been an increase in the number of practitioners providing services under item 48694. In 2012-13 there were 47 practitioners providing services, increasing to102 practitioners in 2016-17</w:t>
      </w:r>
      <w:r w:rsidR="006029FF">
        <w:t xml:space="preserve"> (Table 4)</w:t>
      </w:r>
      <w:r w:rsidR="002F68E2" w:rsidRPr="00044BD3">
        <w:t>. Services under item 48694 are provided by spinal surgeons, a combination of neurosurgeons and orthopaedic sur</w:t>
      </w:r>
      <w:r w:rsidR="006029FF">
        <w:t>geons</w:t>
      </w:r>
      <w:r w:rsidR="00533928">
        <w:t>.</w:t>
      </w:r>
      <w:r w:rsidR="006029FF">
        <w:t xml:space="preserve"> </w:t>
      </w:r>
      <w:r w:rsidR="002F68E2" w:rsidRPr="00044BD3">
        <w:t>About 60% of practitioners provi</w:t>
      </w:r>
      <w:r w:rsidR="006029FF">
        <w:t>ded 90% of all services (Table 5</w:t>
      </w:r>
      <w:r w:rsidR="002F68E2" w:rsidRPr="00044BD3">
        <w:t>). Neurosurgeons provided close</w:t>
      </w:r>
      <w:r w:rsidR="006029FF">
        <w:t xml:space="preserve"> to 75% of the services (Table 6</w:t>
      </w:r>
      <w:r w:rsidR="002F68E2" w:rsidRPr="00044BD3">
        <w:t>).</w:t>
      </w:r>
    </w:p>
    <w:p w14:paraId="78304280" w14:textId="1FEA0469" w:rsidR="002F68E2" w:rsidRPr="002719DC" w:rsidRDefault="000475D1" w:rsidP="002719DC">
      <w:pPr>
        <w:rPr>
          <w:b/>
          <w:sz w:val="20"/>
        </w:rPr>
      </w:pPr>
      <w:r w:rsidRPr="002719DC">
        <w:rPr>
          <w:b/>
          <w:sz w:val="20"/>
        </w:rPr>
        <w:t xml:space="preserve">Table 4. </w:t>
      </w:r>
      <w:r w:rsidR="002F68E2" w:rsidRPr="002719DC">
        <w:rPr>
          <w:b/>
          <w:sz w:val="20"/>
        </w:rPr>
        <w:t xml:space="preserve"> Number of practitioners providing services under item 48694 from 2012-13 to 2016-17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MBS item 48694 - number of practitioners providing services under this item from 2012-13 up to 2016-17"/>
      </w:tblPr>
      <w:tblGrid>
        <w:gridCol w:w="2763"/>
        <w:gridCol w:w="1951"/>
        <w:gridCol w:w="1951"/>
        <w:gridCol w:w="1699"/>
      </w:tblGrid>
      <w:tr w:rsidR="002F68E2" w:rsidRPr="00842CF5" w14:paraId="5B3E18B9" w14:textId="77777777" w:rsidTr="0012059F">
        <w:trPr>
          <w:trHeight w:val="589"/>
        </w:trPr>
        <w:tc>
          <w:tcPr>
            <w:tcW w:w="2763" w:type="dxa"/>
            <w:shd w:val="clear" w:color="auto" w:fill="8DB3E2" w:themeFill="text2" w:themeFillTint="66"/>
            <w:vAlign w:val="center"/>
          </w:tcPr>
          <w:p w14:paraId="6E74149E" w14:textId="77777777" w:rsidR="002F68E2" w:rsidRPr="00842CF5" w:rsidRDefault="002F68E2" w:rsidP="002F68E2">
            <w:pPr>
              <w:jc w:val="center"/>
              <w:rPr>
                <w:rFonts w:ascii="Arial" w:hAnsi="Arial" w:cs="Arial"/>
                <w:b/>
                <w:bCs/>
                <w:sz w:val="18"/>
                <w:szCs w:val="18"/>
              </w:rPr>
            </w:pPr>
            <w:r w:rsidRPr="00842CF5">
              <w:rPr>
                <w:rFonts w:ascii="Arial" w:hAnsi="Arial" w:cs="Arial"/>
                <w:b/>
                <w:bCs/>
                <w:sz w:val="18"/>
                <w:szCs w:val="18"/>
              </w:rPr>
              <w:t>Financial year</w:t>
            </w:r>
          </w:p>
        </w:tc>
        <w:tc>
          <w:tcPr>
            <w:tcW w:w="1951" w:type="dxa"/>
            <w:shd w:val="clear" w:color="auto" w:fill="8DB3E2" w:themeFill="text2" w:themeFillTint="66"/>
            <w:vAlign w:val="center"/>
          </w:tcPr>
          <w:p w14:paraId="7647F5CB" w14:textId="77777777" w:rsidR="002F68E2" w:rsidRPr="00842CF5" w:rsidRDefault="002F68E2" w:rsidP="002F68E2">
            <w:pPr>
              <w:jc w:val="center"/>
              <w:rPr>
                <w:rFonts w:ascii="Arial" w:hAnsi="Arial" w:cs="Arial"/>
                <w:b/>
                <w:bCs/>
                <w:sz w:val="18"/>
                <w:szCs w:val="18"/>
              </w:rPr>
            </w:pPr>
            <w:r w:rsidRPr="00842CF5">
              <w:rPr>
                <w:rFonts w:ascii="Arial" w:hAnsi="Arial" w:cs="Arial"/>
                <w:b/>
                <w:bCs/>
                <w:sz w:val="18"/>
                <w:szCs w:val="18"/>
              </w:rPr>
              <w:t>Practitioners</w:t>
            </w:r>
          </w:p>
        </w:tc>
        <w:tc>
          <w:tcPr>
            <w:tcW w:w="1951" w:type="dxa"/>
            <w:shd w:val="clear" w:color="auto" w:fill="8DB3E2" w:themeFill="text2" w:themeFillTint="66"/>
            <w:vAlign w:val="center"/>
          </w:tcPr>
          <w:p w14:paraId="41AD6B73" w14:textId="77777777" w:rsidR="002F68E2" w:rsidRPr="00842CF5" w:rsidRDefault="002F68E2" w:rsidP="002F68E2">
            <w:pPr>
              <w:jc w:val="center"/>
              <w:rPr>
                <w:rFonts w:ascii="Arial" w:hAnsi="Arial" w:cs="Arial"/>
                <w:b/>
                <w:bCs/>
                <w:sz w:val="18"/>
                <w:szCs w:val="18"/>
              </w:rPr>
            </w:pPr>
            <w:r w:rsidRPr="00842CF5">
              <w:rPr>
                <w:rFonts w:ascii="Arial" w:hAnsi="Arial" w:cs="Arial"/>
                <w:b/>
                <w:bCs/>
                <w:sz w:val="18"/>
                <w:szCs w:val="18"/>
              </w:rPr>
              <w:t>Services</w:t>
            </w:r>
          </w:p>
        </w:tc>
        <w:tc>
          <w:tcPr>
            <w:tcW w:w="1699" w:type="dxa"/>
            <w:shd w:val="clear" w:color="auto" w:fill="8DB3E2" w:themeFill="text2" w:themeFillTint="66"/>
            <w:vAlign w:val="center"/>
          </w:tcPr>
          <w:p w14:paraId="34FFFA9D" w14:textId="77777777" w:rsidR="002F68E2" w:rsidRPr="00842CF5" w:rsidRDefault="002F68E2" w:rsidP="002F68E2">
            <w:pPr>
              <w:jc w:val="center"/>
              <w:rPr>
                <w:rFonts w:ascii="Arial" w:hAnsi="Arial" w:cs="Arial"/>
                <w:b/>
                <w:bCs/>
                <w:sz w:val="18"/>
                <w:szCs w:val="18"/>
              </w:rPr>
            </w:pPr>
            <w:r w:rsidRPr="00842CF5">
              <w:rPr>
                <w:rFonts w:ascii="Arial" w:hAnsi="Arial" w:cs="Arial"/>
                <w:b/>
                <w:bCs/>
                <w:sz w:val="18"/>
                <w:szCs w:val="18"/>
              </w:rPr>
              <w:t>Average</w:t>
            </w:r>
          </w:p>
        </w:tc>
      </w:tr>
      <w:tr w:rsidR="002F68E2" w:rsidRPr="00842CF5" w14:paraId="44245808" w14:textId="77777777" w:rsidTr="0012059F">
        <w:trPr>
          <w:trHeight w:val="350"/>
        </w:trPr>
        <w:tc>
          <w:tcPr>
            <w:tcW w:w="2763" w:type="dxa"/>
            <w:tcBorders>
              <w:top w:val="single" w:sz="4" w:space="0" w:color="auto"/>
              <w:left w:val="single" w:sz="4" w:space="0" w:color="auto"/>
              <w:bottom w:val="single" w:sz="4" w:space="0" w:color="auto"/>
              <w:right w:val="single" w:sz="4" w:space="0" w:color="auto"/>
            </w:tcBorders>
            <w:shd w:val="clear" w:color="000000" w:fill="FFFFFF"/>
            <w:vAlign w:val="center"/>
          </w:tcPr>
          <w:p w14:paraId="78475A2E" w14:textId="77777777" w:rsidR="002F68E2" w:rsidRPr="00AD15FE" w:rsidRDefault="002F68E2" w:rsidP="002F68E2">
            <w:pPr>
              <w:rPr>
                <w:rFonts w:ascii="Arial" w:hAnsi="Arial" w:cs="Arial"/>
                <w:bCs/>
                <w:sz w:val="18"/>
                <w:szCs w:val="18"/>
              </w:rPr>
            </w:pPr>
            <w:r w:rsidRPr="00AD15FE">
              <w:rPr>
                <w:rFonts w:ascii="Arial" w:hAnsi="Arial" w:cs="Arial"/>
                <w:bCs/>
                <w:sz w:val="18"/>
                <w:szCs w:val="18"/>
              </w:rPr>
              <w:t>2012-13*</w:t>
            </w:r>
          </w:p>
        </w:tc>
        <w:tc>
          <w:tcPr>
            <w:tcW w:w="1951" w:type="dxa"/>
            <w:tcBorders>
              <w:top w:val="single" w:sz="4" w:space="0" w:color="auto"/>
              <w:left w:val="single" w:sz="4" w:space="0" w:color="auto"/>
              <w:bottom w:val="single" w:sz="4" w:space="0" w:color="auto"/>
              <w:right w:val="single" w:sz="4" w:space="0" w:color="auto"/>
            </w:tcBorders>
            <w:shd w:val="clear" w:color="000000" w:fill="FFFFFF"/>
            <w:vAlign w:val="bottom"/>
          </w:tcPr>
          <w:p w14:paraId="645B82E8" w14:textId="77777777" w:rsidR="002F68E2" w:rsidRPr="00AD15FE" w:rsidRDefault="002F68E2" w:rsidP="002F68E2">
            <w:pPr>
              <w:jc w:val="right"/>
              <w:rPr>
                <w:rFonts w:ascii="Arial" w:hAnsi="Arial" w:cs="Arial"/>
                <w:color w:val="000000"/>
                <w:sz w:val="18"/>
                <w:szCs w:val="18"/>
              </w:rPr>
            </w:pPr>
            <w:r w:rsidRPr="00AD15FE">
              <w:rPr>
                <w:rFonts w:ascii="Arial" w:hAnsi="Arial" w:cs="Arial"/>
                <w:color w:val="000000"/>
                <w:sz w:val="18"/>
                <w:szCs w:val="18"/>
              </w:rPr>
              <w:t xml:space="preserve">47 </w:t>
            </w:r>
          </w:p>
        </w:tc>
        <w:tc>
          <w:tcPr>
            <w:tcW w:w="1951" w:type="dxa"/>
            <w:tcBorders>
              <w:top w:val="single" w:sz="4" w:space="0" w:color="auto"/>
              <w:left w:val="single" w:sz="4" w:space="0" w:color="auto"/>
              <w:bottom w:val="single" w:sz="4" w:space="0" w:color="auto"/>
              <w:right w:val="single" w:sz="4" w:space="0" w:color="auto"/>
            </w:tcBorders>
            <w:shd w:val="clear" w:color="000000" w:fill="FFFFFF"/>
            <w:vAlign w:val="bottom"/>
          </w:tcPr>
          <w:p w14:paraId="25B9E336" w14:textId="77777777" w:rsidR="002F68E2" w:rsidRPr="00AD15FE" w:rsidRDefault="002F68E2" w:rsidP="002F68E2">
            <w:pPr>
              <w:jc w:val="right"/>
              <w:rPr>
                <w:rFonts w:ascii="Arial" w:hAnsi="Arial" w:cs="Arial"/>
                <w:color w:val="000000"/>
                <w:sz w:val="18"/>
                <w:szCs w:val="18"/>
              </w:rPr>
            </w:pPr>
            <w:r w:rsidRPr="00AD15FE">
              <w:rPr>
                <w:rFonts w:ascii="Arial" w:hAnsi="Arial" w:cs="Arial"/>
                <w:color w:val="000000"/>
                <w:sz w:val="18"/>
                <w:szCs w:val="18"/>
              </w:rPr>
              <w:t xml:space="preserve">152 </w:t>
            </w:r>
          </w:p>
        </w:tc>
        <w:tc>
          <w:tcPr>
            <w:tcW w:w="1699" w:type="dxa"/>
            <w:tcBorders>
              <w:top w:val="single" w:sz="4" w:space="0" w:color="auto"/>
              <w:left w:val="single" w:sz="4" w:space="0" w:color="auto"/>
              <w:bottom w:val="single" w:sz="4" w:space="0" w:color="auto"/>
              <w:right w:val="single" w:sz="4" w:space="0" w:color="auto"/>
            </w:tcBorders>
            <w:shd w:val="clear" w:color="000000" w:fill="FFFFFF"/>
            <w:vAlign w:val="bottom"/>
          </w:tcPr>
          <w:p w14:paraId="674E5BCB" w14:textId="77777777" w:rsidR="002F68E2" w:rsidRPr="00AD15FE" w:rsidRDefault="002F68E2" w:rsidP="002F68E2">
            <w:pPr>
              <w:jc w:val="right"/>
              <w:rPr>
                <w:rFonts w:ascii="Arial" w:hAnsi="Arial" w:cs="Arial"/>
                <w:color w:val="000000"/>
                <w:sz w:val="18"/>
                <w:szCs w:val="18"/>
              </w:rPr>
            </w:pPr>
            <w:r w:rsidRPr="00AD15FE">
              <w:rPr>
                <w:rFonts w:ascii="Arial" w:hAnsi="Arial" w:cs="Arial"/>
                <w:color w:val="000000"/>
                <w:sz w:val="18"/>
                <w:szCs w:val="18"/>
              </w:rPr>
              <w:t xml:space="preserve">3.2 </w:t>
            </w:r>
          </w:p>
        </w:tc>
      </w:tr>
      <w:tr w:rsidR="002F68E2" w:rsidRPr="00842CF5" w14:paraId="37707192" w14:textId="77777777" w:rsidTr="0012059F">
        <w:trPr>
          <w:trHeight w:val="350"/>
        </w:trPr>
        <w:tc>
          <w:tcPr>
            <w:tcW w:w="2763" w:type="dxa"/>
            <w:tcBorders>
              <w:top w:val="single" w:sz="4" w:space="0" w:color="auto"/>
              <w:left w:val="single" w:sz="4" w:space="0" w:color="auto"/>
              <w:bottom w:val="single" w:sz="4" w:space="0" w:color="auto"/>
              <w:right w:val="single" w:sz="4" w:space="0" w:color="auto"/>
            </w:tcBorders>
            <w:shd w:val="clear" w:color="000000" w:fill="FFFFFF"/>
            <w:vAlign w:val="center"/>
          </w:tcPr>
          <w:p w14:paraId="41520A37" w14:textId="77777777" w:rsidR="002F68E2" w:rsidRPr="00842CF5" w:rsidRDefault="002F68E2" w:rsidP="002F68E2">
            <w:pPr>
              <w:rPr>
                <w:rFonts w:ascii="Arial" w:hAnsi="Arial" w:cs="Arial"/>
                <w:bCs/>
                <w:sz w:val="18"/>
                <w:szCs w:val="18"/>
              </w:rPr>
            </w:pPr>
            <w:r w:rsidRPr="00842CF5">
              <w:rPr>
                <w:rFonts w:ascii="Arial" w:hAnsi="Arial" w:cs="Arial"/>
                <w:bCs/>
                <w:sz w:val="18"/>
                <w:szCs w:val="18"/>
              </w:rPr>
              <w:t>2013-14</w:t>
            </w:r>
          </w:p>
        </w:tc>
        <w:tc>
          <w:tcPr>
            <w:tcW w:w="1951" w:type="dxa"/>
            <w:tcBorders>
              <w:top w:val="single" w:sz="4" w:space="0" w:color="auto"/>
              <w:left w:val="single" w:sz="4" w:space="0" w:color="auto"/>
              <w:bottom w:val="single" w:sz="4" w:space="0" w:color="auto"/>
              <w:right w:val="single" w:sz="4" w:space="0" w:color="auto"/>
            </w:tcBorders>
            <w:shd w:val="clear" w:color="000000" w:fill="FFFFFF"/>
            <w:vAlign w:val="bottom"/>
          </w:tcPr>
          <w:p w14:paraId="035EBB9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79 </w:t>
            </w:r>
          </w:p>
        </w:tc>
        <w:tc>
          <w:tcPr>
            <w:tcW w:w="1951" w:type="dxa"/>
            <w:tcBorders>
              <w:top w:val="single" w:sz="4" w:space="0" w:color="auto"/>
              <w:left w:val="single" w:sz="4" w:space="0" w:color="auto"/>
              <w:bottom w:val="single" w:sz="4" w:space="0" w:color="auto"/>
              <w:right w:val="single" w:sz="4" w:space="0" w:color="auto"/>
            </w:tcBorders>
            <w:shd w:val="clear" w:color="000000" w:fill="FFFFFF"/>
            <w:vAlign w:val="bottom"/>
          </w:tcPr>
          <w:p w14:paraId="64507BD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503 </w:t>
            </w:r>
          </w:p>
        </w:tc>
        <w:tc>
          <w:tcPr>
            <w:tcW w:w="1699" w:type="dxa"/>
            <w:tcBorders>
              <w:top w:val="single" w:sz="4" w:space="0" w:color="auto"/>
              <w:left w:val="single" w:sz="4" w:space="0" w:color="auto"/>
              <w:bottom w:val="single" w:sz="4" w:space="0" w:color="auto"/>
              <w:right w:val="single" w:sz="4" w:space="0" w:color="auto"/>
            </w:tcBorders>
            <w:shd w:val="clear" w:color="000000" w:fill="FFFFFF"/>
            <w:vAlign w:val="bottom"/>
          </w:tcPr>
          <w:p w14:paraId="7EAC6A2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6.4 </w:t>
            </w:r>
          </w:p>
        </w:tc>
      </w:tr>
      <w:tr w:rsidR="002F68E2" w:rsidRPr="00842CF5" w14:paraId="4A213C83" w14:textId="77777777" w:rsidTr="0012059F">
        <w:trPr>
          <w:trHeight w:val="350"/>
        </w:trPr>
        <w:tc>
          <w:tcPr>
            <w:tcW w:w="2763" w:type="dxa"/>
            <w:tcBorders>
              <w:top w:val="single" w:sz="4" w:space="0" w:color="auto"/>
              <w:left w:val="single" w:sz="4" w:space="0" w:color="auto"/>
              <w:bottom w:val="single" w:sz="4" w:space="0" w:color="auto"/>
              <w:right w:val="single" w:sz="4" w:space="0" w:color="auto"/>
            </w:tcBorders>
            <w:shd w:val="clear" w:color="000000" w:fill="FFFFFF"/>
            <w:vAlign w:val="center"/>
          </w:tcPr>
          <w:p w14:paraId="6FC1B1FF" w14:textId="77777777" w:rsidR="002F68E2" w:rsidRPr="00842CF5" w:rsidRDefault="002F68E2" w:rsidP="002F68E2">
            <w:pPr>
              <w:rPr>
                <w:rFonts w:ascii="Arial" w:hAnsi="Arial" w:cs="Arial"/>
                <w:bCs/>
                <w:sz w:val="18"/>
                <w:szCs w:val="18"/>
              </w:rPr>
            </w:pPr>
            <w:r w:rsidRPr="00842CF5">
              <w:rPr>
                <w:rFonts w:ascii="Arial" w:hAnsi="Arial" w:cs="Arial"/>
                <w:bCs/>
                <w:sz w:val="18"/>
                <w:szCs w:val="18"/>
              </w:rPr>
              <w:t>2014-15</w:t>
            </w:r>
          </w:p>
        </w:tc>
        <w:tc>
          <w:tcPr>
            <w:tcW w:w="1951" w:type="dxa"/>
            <w:tcBorders>
              <w:top w:val="single" w:sz="4" w:space="0" w:color="auto"/>
              <w:left w:val="single" w:sz="4" w:space="0" w:color="auto"/>
              <w:bottom w:val="single" w:sz="4" w:space="0" w:color="auto"/>
              <w:right w:val="single" w:sz="4" w:space="0" w:color="auto"/>
            </w:tcBorders>
            <w:shd w:val="clear" w:color="000000" w:fill="FFFFFF"/>
            <w:vAlign w:val="bottom"/>
          </w:tcPr>
          <w:p w14:paraId="74D67A2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94 </w:t>
            </w:r>
          </w:p>
        </w:tc>
        <w:tc>
          <w:tcPr>
            <w:tcW w:w="1951" w:type="dxa"/>
            <w:tcBorders>
              <w:top w:val="single" w:sz="4" w:space="0" w:color="auto"/>
              <w:left w:val="single" w:sz="4" w:space="0" w:color="auto"/>
              <w:bottom w:val="single" w:sz="4" w:space="0" w:color="auto"/>
              <w:right w:val="single" w:sz="4" w:space="0" w:color="auto"/>
            </w:tcBorders>
            <w:shd w:val="clear" w:color="000000" w:fill="FFFFFF"/>
            <w:vAlign w:val="bottom"/>
          </w:tcPr>
          <w:p w14:paraId="6319D17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579 </w:t>
            </w:r>
          </w:p>
        </w:tc>
        <w:tc>
          <w:tcPr>
            <w:tcW w:w="1699" w:type="dxa"/>
            <w:tcBorders>
              <w:top w:val="single" w:sz="4" w:space="0" w:color="auto"/>
              <w:left w:val="single" w:sz="4" w:space="0" w:color="auto"/>
              <w:bottom w:val="single" w:sz="4" w:space="0" w:color="auto"/>
              <w:right w:val="single" w:sz="4" w:space="0" w:color="auto"/>
            </w:tcBorders>
            <w:shd w:val="clear" w:color="000000" w:fill="FFFFFF"/>
            <w:vAlign w:val="bottom"/>
          </w:tcPr>
          <w:p w14:paraId="70856FD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6.2 </w:t>
            </w:r>
          </w:p>
        </w:tc>
      </w:tr>
      <w:tr w:rsidR="002F68E2" w:rsidRPr="00842CF5" w14:paraId="7B350ADF" w14:textId="77777777" w:rsidTr="0012059F">
        <w:trPr>
          <w:trHeight w:val="350"/>
        </w:trPr>
        <w:tc>
          <w:tcPr>
            <w:tcW w:w="2763" w:type="dxa"/>
            <w:tcBorders>
              <w:top w:val="single" w:sz="4" w:space="0" w:color="auto"/>
              <w:left w:val="single" w:sz="4" w:space="0" w:color="auto"/>
              <w:bottom w:val="single" w:sz="4" w:space="0" w:color="auto"/>
              <w:right w:val="single" w:sz="4" w:space="0" w:color="auto"/>
            </w:tcBorders>
            <w:shd w:val="clear" w:color="000000" w:fill="FFFFFF"/>
            <w:vAlign w:val="center"/>
          </w:tcPr>
          <w:p w14:paraId="781B5583" w14:textId="77777777" w:rsidR="002F68E2" w:rsidRPr="00842CF5" w:rsidRDefault="002F68E2" w:rsidP="002F68E2">
            <w:pPr>
              <w:rPr>
                <w:rFonts w:ascii="Arial" w:hAnsi="Arial" w:cs="Arial"/>
                <w:bCs/>
                <w:sz w:val="18"/>
                <w:szCs w:val="18"/>
              </w:rPr>
            </w:pPr>
            <w:r w:rsidRPr="00842CF5">
              <w:rPr>
                <w:rFonts w:ascii="Arial" w:hAnsi="Arial" w:cs="Arial"/>
                <w:bCs/>
                <w:sz w:val="18"/>
                <w:szCs w:val="18"/>
              </w:rPr>
              <w:t>2015-16</w:t>
            </w:r>
          </w:p>
        </w:tc>
        <w:tc>
          <w:tcPr>
            <w:tcW w:w="1951" w:type="dxa"/>
            <w:tcBorders>
              <w:top w:val="single" w:sz="4" w:space="0" w:color="auto"/>
              <w:left w:val="single" w:sz="4" w:space="0" w:color="auto"/>
              <w:bottom w:val="single" w:sz="4" w:space="0" w:color="auto"/>
              <w:right w:val="single" w:sz="4" w:space="0" w:color="auto"/>
            </w:tcBorders>
            <w:shd w:val="clear" w:color="000000" w:fill="FFFFFF"/>
            <w:vAlign w:val="bottom"/>
          </w:tcPr>
          <w:p w14:paraId="4BAC805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92 </w:t>
            </w:r>
          </w:p>
        </w:tc>
        <w:tc>
          <w:tcPr>
            <w:tcW w:w="1951" w:type="dxa"/>
            <w:tcBorders>
              <w:top w:val="single" w:sz="4" w:space="0" w:color="auto"/>
              <w:left w:val="single" w:sz="4" w:space="0" w:color="auto"/>
              <w:bottom w:val="single" w:sz="4" w:space="0" w:color="auto"/>
              <w:right w:val="single" w:sz="4" w:space="0" w:color="auto"/>
            </w:tcBorders>
            <w:shd w:val="clear" w:color="000000" w:fill="FFFFFF"/>
            <w:vAlign w:val="bottom"/>
          </w:tcPr>
          <w:p w14:paraId="33C39BB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574 </w:t>
            </w:r>
          </w:p>
        </w:tc>
        <w:tc>
          <w:tcPr>
            <w:tcW w:w="1699" w:type="dxa"/>
            <w:tcBorders>
              <w:top w:val="single" w:sz="4" w:space="0" w:color="auto"/>
              <w:left w:val="single" w:sz="4" w:space="0" w:color="auto"/>
              <w:bottom w:val="single" w:sz="4" w:space="0" w:color="auto"/>
              <w:right w:val="single" w:sz="4" w:space="0" w:color="auto"/>
            </w:tcBorders>
            <w:shd w:val="clear" w:color="000000" w:fill="FFFFFF"/>
            <w:vAlign w:val="bottom"/>
          </w:tcPr>
          <w:p w14:paraId="723876D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6.2 </w:t>
            </w:r>
          </w:p>
        </w:tc>
      </w:tr>
      <w:tr w:rsidR="002F68E2" w:rsidRPr="00842CF5" w14:paraId="076AD657" w14:textId="77777777" w:rsidTr="0012059F">
        <w:trPr>
          <w:trHeight w:val="350"/>
        </w:trPr>
        <w:tc>
          <w:tcPr>
            <w:tcW w:w="2763" w:type="dxa"/>
            <w:tcBorders>
              <w:top w:val="single" w:sz="4" w:space="0" w:color="auto"/>
              <w:left w:val="single" w:sz="4" w:space="0" w:color="auto"/>
              <w:bottom w:val="single" w:sz="4" w:space="0" w:color="auto"/>
              <w:right w:val="single" w:sz="4" w:space="0" w:color="auto"/>
            </w:tcBorders>
            <w:shd w:val="clear" w:color="000000" w:fill="FFFFFF"/>
            <w:vAlign w:val="center"/>
          </w:tcPr>
          <w:p w14:paraId="3CEF0054" w14:textId="77777777" w:rsidR="002F68E2" w:rsidRPr="00842CF5" w:rsidRDefault="002F68E2" w:rsidP="002F68E2">
            <w:pPr>
              <w:rPr>
                <w:rFonts w:ascii="Arial" w:hAnsi="Arial" w:cs="Arial"/>
                <w:bCs/>
                <w:sz w:val="18"/>
                <w:szCs w:val="18"/>
              </w:rPr>
            </w:pPr>
            <w:r w:rsidRPr="00842CF5">
              <w:rPr>
                <w:rFonts w:ascii="Arial" w:hAnsi="Arial" w:cs="Arial"/>
                <w:bCs/>
                <w:sz w:val="18"/>
                <w:szCs w:val="18"/>
              </w:rPr>
              <w:t>2016-17</w:t>
            </w:r>
          </w:p>
        </w:tc>
        <w:tc>
          <w:tcPr>
            <w:tcW w:w="1951" w:type="dxa"/>
            <w:tcBorders>
              <w:top w:val="single" w:sz="4" w:space="0" w:color="auto"/>
              <w:left w:val="single" w:sz="4" w:space="0" w:color="auto"/>
              <w:bottom w:val="single" w:sz="4" w:space="0" w:color="auto"/>
              <w:right w:val="single" w:sz="4" w:space="0" w:color="auto"/>
            </w:tcBorders>
            <w:shd w:val="clear" w:color="000000" w:fill="FFFFFF"/>
            <w:vAlign w:val="bottom"/>
          </w:tcPr>
          <w:p w14:paraId="37EC5EF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102 </w:t>
            </w:r>
          </w:p>
        </w:tc>
        <w:tc>
          <w:tcPr>
            <w:tcW w:w="1951" w:type="dxa"/>
            <w:tcBorders>
              <w:top w:val="single" w:sz="4" w:space="0" w:color="auto"/>
              <w:left w:val="single" w:sz="4" w:space="0" w:color="auto"/>
              <w:bottom w:val="single" w:sz="4" w:space="0" w:color="auto"/>
              <w:right w:val="single" w:sz="4" w:space="0" w:color="auto"/>
            </w:tcBorders>
            <w:shd w:val="clear" w:color="000000" w:fill="FFFFFF"/>
            <w:vAlign w:val="bottom"/>
          </w:tcPr>
          <w:p w14:paraId="020442B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584 </w:t>
            </w:r>
          </w:p>
        </w:tc>
        <w:tc>
          <w:tcPr>
            <w:tcW w:w="1699" w:type="dxa"/>
            <w:tcBorders>
              <w:top w:val="single" w:sz="4" w:space="0" w:color="auto"/>
              <w:left w:val="single" w:sz="4" w:space="0" w:color="auto"/>
              <w:bottom w:val="single" w:sz="4" w:space="0" w:color="auto"/>
              <w:right w:val="single" w:sz="4" w:space="0" w:color="auto"/>
            </w:tcBorders>
            <w:shd w:val="clear" w:color="000000" w:fill="FFFFFF"/>
            <w:vAlign w:val="bottom"/>
          </w:tcPr>
          <w:p w14:paraId="7880FCB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5.7 </w:t>
            </w:r>
          </w:p>
        </w:tc>
      </w:tr>
    </w:tbl>
    <w:p w14:paraId="4998A489" w14:textId="77777777" w:rsidR="00C67F0A" w:rsidRPr="00C67F0A" w:rsidRDefault="002F68E2" w:rsidP="00C67F0A">
      <w:pPr>
        <w:rPr>
          <w:sz w:val="18"/>
          <w:szCs w:val="18"/>
        </w:rPr>
      </w:pPr>
      <w:r w:rsidRPr="00C67F0A">
        <w:t>*</w:t>
      </w:r>
      <w:r w:rsidRPr="00C67F0A">
        <w:rPr>
          <w:sz w:val="18"/>
          <w:szCs w:val="18"/>
        </w:rPr>
        <w:t>partial financial year</w:t>
      </w:r>
      <w:r w:rsidR="00033253" w:rsidRPr="00C67F0A">
        <w:rPr>
          <w:sz w:val="18"/>
          <w:szCs w:val="18"/>
        </w:rPr>
        <w:t xml:space="preserve"> </w:t>
      </w:r>
    </w:p>
    <w:p w14:paraId="18D54A86" w14:textId="7FECFBE6" w:rsidR="00C67F0A" w:rsidRPr="008D442C" w:rsidRDefault="00C67F0A" w:rsidP="00DB1C44">
      <w:pPr>
        <w:rPr>
          <w:i/>
          <w:sz w:val="18"/>
          <w:szCs w:val="18"/>
        </w:rPr>
      </w:pPr>
      <w:r w:rsidRPr="008D442C">
        <w:rPr>
          <w:i/>
          <w:color w:val="000000"/>
          <w:sz w:val="18"/>
          <w:szCs w:val="18"/>
        </w:rPr>
        <w:t xml:space="preserve">Source: Department of Health </w:t>
      </w:r>
      <w:r w:rsidRPr="008D442C">
        <w:rPr>
          <w:i/>
          <w:sz w:val="18"/>
          <w:szCs w:val="18"/>
        </w:rPr>
        <w:t>File: Q21109B Item 48694 utilisation 31 Jan 2018.xls</w:t>
      </w:r>
    </w:p>
    <w:p w14:paraId="65D75FD7" w14:textId="0D473739" w:rsidR="002F68E2" w:rsidRPr="002F68E2" w:rsidRDefault="00033253" w:rsidP="00033253">
      <w:pPr>
        <w:tabs>
          <w:tab w:val="left" w:pos="7938"/>
        </w:tabs>
        <w:spacing w:before="120"/>
        <w:rPr>
          <w:b/>
          <w:sz w:val="20"/>
        </w:rPr>
      </w:pPr>
      <w:r>
        <w:rPr>
          <w:b/>
          <w:sz w:val="20"/>
        </w:rPr>
        <w:t>T</w:t>
      </w:r>
      <w:r w:rsidR="000475D1">
        <w:rPr>
          <w:b/>
          <w:sz w:val="20"/>
        </w:rPr>
        <w:t xml:space="preserve">able 5. </w:t>
      </w:r>
      <w:r w:rsidR="002F68E2" w:rsidRPr="002F68E2">
        <w:rPr>
          <w:b/>
          <w:sz w:val="20"/>
        </w:rPr>
        <w:t xml:space="preserve"> Cumulative percentage of medical practitioners providing item 48694 and how many services each percentile accounts for in 2012-13 to 2016-17 financial years</w:t>
      </w:r>
    </w:p>
    <w:tbl>
      <w:tblPr>
        <w:tblW w:w="8441" w:type="dxa"/>
        <w:tblInd w:w="93" w:type="dxa"/>
        <w:tblLook w:val="04A0" w:firstRow="1" w:lastRow="0" w:firstColumn="1" w:lastColumn="0" w:noHBand="0" w:noVBand="1"/>
        <w:tblDescription w:val="MBS item 48694 - cumulative percentatge data on medical practitioners providing this service from 2012-13 up to 2016-17"/>
      </w:tblPr>
      <w:tblGrid>
        <w:gridCol w:w="1335"/>
        <w:gridCol w:w="1534"/>
        <w:gridCol w:w="1428"/>
        <w:gridCol w:w="1428"/>
        <w:gridCol w:w="1428"/>
        <w:gridCol w:w="1288"/>
      </w:tblGrid>
      <w:tr w:rsidR="002F68E2" w14:paraId="24608E4B" w14:textId="77777777" w:rsidTr="00033253">
        <w:trPr>
          <w:trHeight w:val="570"/>
        </w:trPr>
        <w:tc>
          <w:tcPr>
            <w:tcW w:w="13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284A1C3" w14:textId="77777777" w:rsidR="002F68E2" w:rsidRPr="00954F7B" w:rsidRDefault="002F68E2" w:rsidP="002F68E2">
            <w:pPr>
              <w:jc w:val="center"/>
              <w:rPr>
                <w:rFonts w:ascii="Arial" w:hAnsi="Arial" w:cs="Arial"/>
                <w:b/>
                <w:bCs/>
                <w:sz w:val="18"/>
                <w:szCs w:val="18"/>
              </w:rPr>
            </w:pPr>
            <w:r w:rsidRPr="00954F7B">
              <w:rPr>
                <w:rFonts w:ascii="Arial" w:hAnsi="Arial" w:cs="Arial"/>
                <w:b/>
                <w:bCs/>
                <w:sz w:val="18"/>
                <w:szCs w:val="18"/>
              </w:rPr>
              <w:t>Provider Cumulative %</w:t>
            </w:r>
          </w:p>
        </w:tc>
        <w:tc>
          <w:tcPr>
            <w:tcW w:w="15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53E637A" w14:textId="77777777" w:rsidR="002F68E2" w:rsidRPr="00954F7B" w:rsidRDefault="002F68E2" w:rsidP="002F68E2">
            <w:pPr>
              <w:jc w:val="center"/>
              <w:rPr>
                <w:rFonts w:ascii="Arial" w:hAnsi="Arial" w:cs="Arial"/>
                <w:b/>
                <w:bCs/>
                <w:sz w:val="18"/>
                <w:szCs w:val="18"/>
              </w:rPr>
            </w:pPr>
            <w:r w:rsidRPr="00954F7B">
              <w:rPr>
                <w:rFonts w:ascii="Arial" w:hAnsi="Arial" w:cs="Arial"/>
                <w:b/>
                <w:bCs/>
                <w:sz w:val="18"/>
                <w:szCs w:val="18"/>
              </w:rPr>
              <w:t>2012-13</w:t>
            </w:r>
            <w:r>
              <w:rPr>
                <w:rFonts w:ascii="Arial" w:hAnsi="Arial" w:cs="Arial"/>
                <w:b/>
                <w:bCs/>
                <w:sz w:val="18"/>
                <w:szCs w:val="18"/>
              </w:rPr>
              <w:t>*</w:t>
            </w:r>
          </w:p>
        </w:tc>
        <w:tc>
          <w:tcPr>
            <w:tcW w:w="142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57AE42F" w14:textId="77777777" w:rsidR="002F68E2" w:rsidRPr="00954F7B" w:rsidRDefault="002F68E2" w:rsidP="002F68E2">
            <w:pPr>
              <w:jc w:val="center"/>
              <w:rPr>
                <w:rFonts w:ascii="Arial" w:hAnsi="Arial" w:cs="Arial"/>
                <w:b/>
                <w:bCs/>
                <w:sz w:val="18"/>
                <w:szCs w:val="18"/>
              </w:rPr>
            </w:pPr>
            <w:r w:rsidRPr="00954F7B">
              <w:rPr>
                <w:rFonts w:ascii="Arial" w:hAnsi="Arial" w:cs="Arial"/>
                <w:b/>
                <w:bCs/>
                <w:sz w:val="18"/>
                <w:szCs w:val="18"/>
              </w:rPr>
              <w:t>2013-14</w:t>
            </w:r>
          </w:p>
        </w:tc>
        <w:tc>
          <w:tcPr>
            <w:tcW w:w="142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690C701" w14:textId="77777777" w:rsidR="002F68E2" w:rsidRPr="00954F7B" w:rsidRDefault="002F68E2" w:rsidP="002F68E2">
            <w:pPr>
              <w:jc w:val="center"/>
              <w:rPr>
                <w:rFonts w:ascii="Arial" w:hAnsi="Arial" w:cs="Arial"/>
                <w:b/>
                <w:bCs/>
                <w:sz w:val="18"/>
                <w:szCs w:val="18"/>
              </w:rPr>
            </w:pPr>
            <w:r w:rsidRPr="00954F7B">
              <w:rPr>
                <w:rFonts w:ascii="Arial" w:hAnsi="Arial" w:cs="Arial"/>
                <w:b/>
                <w:bCs/>
                <w:sz w:val="18"/>
                <w:szCs w:val="18"/>
              </w:rPr>
              <w:t>2014-15</w:t>
            </w:r>
          </w:p>
        </w:tc>
        <w:tc>
          <w:tcPr>
            <w:tcW w:w="142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B2F225E" w14:textId="77777777" w:rsidR="002F68E2" w:rsidRPr="00954F7B" w:rsidRDefault="002F68E2" w:rsidP="002F68E2">
            <w:pPr>
              <w:jc w:val="center"/>
              <w:rPr>
                <w:rFonts w:ascii="Arial" w:hAnsi="Arial" w:cs="Arial"/>
                <w:b/>
                <w:bCs/>
                <w:sz w:val="18"/>
                <w:szCs w:val="18"/>
              </w:rPr>
            </w:pPr>
            <w:r w:rsidRPr="00954F7B">
              <w:rPr>
                <w:rFonts w:ascii="Arial" w:hAnsi="Arial" w:cs="Arial"/>
                <w:b/>
                <w:bCs/>
                <w:sz w:val="18"/>
                <w:szCs w:val="18"/>
              </w:rPr>
              <w:t>2015-16</w:t>
            </w:r>
          </w:p>
        </w:tc>
        <w:tc>
          <w:tcPr>
            <w:tcW w:w="1288" w:type="dxa"/>
            <w:tcBorders>
              <w:top w:val="single" w:sz="4" w:space="0" w:color="auto"/>
              <w:left w:val="nil"/>
              <w:bottom w:val="single" w:sz="4" w:space="0" w:color="auto"/>
              <w:right w:val="single" w:sz="4" w:space="0" w:color="auto"/>
            </w:tcBorders>
            <w:shd w:val="clear" w:color="auto" w:fill="8DB3E2" w:themeFill="text2" w:themeFillTint="66"/>
            <w:vAlign w:val="center"/>
          </w:tcPr>
          <w:p w14:paraId="6A46420B" w14:textId="77777777" w:rsidR="002F68E2" w:rsidRPr="00954F7B" w:rsidRDefault="002F68E2" w:rsidP="002F68E2">
            <w:pPr>
              <w:jc w:val="center"/>
              <w:rPr>
                <w:rFonts w:ascii="Arial" w:hAnsi="Arial" w:cs="Arial"/>
                <w:b/>
                <w:bCs/>
                <w:sz w:val="18"/>
                <w:szCs w:val="18"/>
              </w:rPr>
            </w:pPr>
            <w:r w:rsidRPr="00954F7B">
              <w:rPr>
                <w:rFonts w:ascii="Arial" w:hAnsi="Arial" w:cs="Arial"/>
                <w:b/>
                <w:bCs/>
                <w:sz w:val="18"/>
                <w:szCs w:val="18"/>
              </w:rPr>
              <w:t xml:space="preserve">2016-17 </w:t>
            </w:r>
          </w:p>
        </w:tc>
      </w:tr>
      <w:tr w:rsidR="002F68E2" w14:paraId="582D7DD6" w14:textId="77777777" w:rsidTr="00033253">
        <w:trPr>
          <w:trHeight w:val="238"/>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273F951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10%</w:t>
            </w:r>
          </w:p>
        </w:tc>
        <w:tc>
          <w:tcPr>
            <w:tcW w:w="1534" w:type="dxa"/>
            <w:tcBorders>
              <w:top w:val="nil"/>
              <w:left w:val="nil"/>
              <w:bottom w:val="single" w:sz="4" w:space="0" w:color="auto"/>
              <w:right w:val="single" w:sz="4" w:space="0" w:color="auto"/>
            </w:tcBorders>
            <w:shd w:val="clear" w:color="000000" w:fill="FFFFFF"/>
            <w:noWrap/>
            <w:vAlign w:val="bottom"/>
          </w:tcPr>
          <w:p w14:paraId="4D48200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40.3 </w:t>
            </w:r>
          </w:p>
        </w:tc>
        <w:tc>
          <w:tcPr>
            <w:tcW w:w="1428" w:type="dxa"/>
            <w:tcBorders>
              <w:top w:val="nil"/>
              <w:left w:val="nil"/>
              <w:bottom w:val="single" w:sz="4" w:space="0" w:color="auto"/>
              <w:right w:val="single" w:sz="4" w:space="0" w:color="auto"/>
            </w:tcBorders>
            <w:shd w:val="clear" w:color="000000" w:fill="FFFFFF"/>
            <w:noWrap/>
            <w:vAlign w:val="bottom"/>
          </w:tcPr>
          <w:p w14:paraId="6302542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38.3 </w:t>
            </w:r>
          </w:p>
        </w:tc>
        <w:tc>
          <w:tcPr>
            <w:tcW w:w="1428" w:type="dxa"/>
            <w:tcBorders>
              <w:top w:val="nil"/>
              <w:left w:val="nil"/>
              <w:bottom w:val="single" w:sz="4" w:space="0" w:color="auto"/>
              <w:right w:val="single" w:sz="4" w:space="0" w:color="auto"/>
            </w:tcBorders>
            <w:shd w:val="clear" w:color="000000" w:fill="FFFFFF"/>
            <w:noWrap/>
            <w:vAlign w:val="bottom"/>
          </w:tcPr>
          <w:p w14:paraId="6B628C2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40.7 </w:t>
            </w:r>
          </w:p>
        </w:tc>
        <w:tc>
          <w:tcPr>
            <w:tcW w:w="1428" w:type="dxa"/>
            <w:tcBorders>
              <w:top w:val="nil"/>
              <w:left w:val="nil"/>
              <w:bottom w:val="single" w:sz="4" w:space="0" w:color="auto"/>
              <w:right w:val="single" w:sz="4" w:space="0" w:color="auto"/>
            </w:tcBorders>
            <w:shd w:val="clear" w:color="000000" w:fill="FFFFFF"/>
            <w:noWrap/>
            <w:vAlign w:val="bottom"/>
          </w:tcPr>
          <w:p w14:paraId="3EA7419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35.6 </w:t>
            </w:r>
          </w:p>
        </w:tc>
        <w:tc>
          <w:tcPr>
            <w:tcW w:w="1288" w:type="dxa"/>
            <w:tcBorders>
              <w:top w:val="single" w:sz="4" w:space="0" w:color="auto"/>
              <w:left w:val="nil"/>
              <w:bottom w:val="single" w:sz="4" w:space="0" w:color="auto"/>
              <w:right w:val="single" w:sz="4" w:space="0" w:color="auto"/>
            </w:tcBorders>
            <w:shd w:val="clear" w:color="000000" w:fill="FFFFFF"/>
            <w:vAlign w:val="bottom"/>
          </w:tcPr>
          <w:p w14:paraId="318BB86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36.1 </w:t>
            </w:r>
          </w:p>
        </w:tc>
      </w:tr>
      <w:tr w:rsidR="002F68E2" w14:paraId="0A2948B9" w14:textId="77777777" w:rsidTr="00033253">
        <w:trPr>
          <w:trHeight w:val="238"/>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64416CB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20%</w:t>
            </w:r>
          </w:p>
        </w:tc>
        <w:tc>
          <w:tcPr>
            <w:tcW w:w="1534" w:type="dxa"/>
            <w:tcBorders>
              <w:top w:val="nil"/>
              <w:left w:val="nil"/>
              <w:bottom w:val="single" w:sz="4" w:space="0" w:color="auto"/>
              <w:right w:val="single" w:sz="4" w:space="0" w:color="auto"/>
            </w:tcBorders>
            <w:shd w:val="clear" w:color="000000" w:fill="FFFFFF"/>
            <w:noWrap/>
            <w:vAlign w:val="bottom"/>
          </w:tcPr>
          <w:p w14:paraId="3CF4402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55.7 </w:t>
            </w:r>
          </w:p>
        </w:tc>
        <w:tc>
          <w:tcPr>
            <w:tcW w:w="1428" w:type="dxa"/>
            <w:tcBorders>
              <w:top w:val="nil"/>
              <w:left w:val="nil"/>
              <w:bottom w:val="single" w:sz="4" w:space="0" w:color="auto"/>
              <w:right w:val="single" w:sz="4" w:space="0" w:color="auto"/>
            </w:tcBorders>
            <w:shd w:val="clear" w:color="000000" w:fill="FFFFFF"/>
            <w:noWrap/>
            <w:vAlign w:val="bottom"/>
          </w:tcPr>
          <w:p w14:paraId="014E27A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59.2 </w:t>
            </w:r>
          </w:p>
        </w:tc>
        <w:tc>
          <w:tcPr>
            <w:tcW w:w="1428" w:type="dxa"/>
            <w:tcBorders>
              <w:top w:val="nil"/>
              <w:left w:val="nil"/>
              <w:bottom w:val="single" w:sz="4" w:space="0" w:color="auto"/>
              <w:right w:val="single" w:sz="4" w:space="0" w:color="auto"/>
            </w:tcBorders>
            <w:shd w:val="clear" w:color="000000" w:fill="FFFFFF"/>
            <w:noWrap/>
            <w:vAlign w:val="bottom"/>
          </w:tcPr>
          <w:p w14:paraId="2E542BC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60.6 </w:t>
            </w:r>
          </w:p>
        </w:tc>
        <w:tc>
          <w:tcPr>
            <w:tcW w:w="1428" w:type="dxa"/>
            <w:tcBorders>
              <w:top w:val="nil"/>
              <w:left w:val="nil"/>
              <w:bottom w:val="single" w:sz="4" w:space="0" w:color="auto"/>
              <w:right w:val="single" w:sz="4" w:space="0" w:color="auto"/>
            </w:tcBorders>
            <w:shd w:val="clear" w:color="000000" w:fill="FFFFFF"/>
            <w:noWrap/>
            <w:vAlign w:val="bottom"/>
          </w:tcPr>
          <w:p w14:paraId="6E21342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56.2 </w:t>
            </w:r>
          </w:p>
        </w:tc>
        <w:tc>
          <w:tcPr>
            <w:tcW w:w="1288" w:type="dxa"/>
            <w:tcBorders>
              <w:top w:val="single" w:sz="4" w:space="0" w:color="auto"/>
              <w:left w:val="nil"/>
              <w:bottom w:val="single" w:sz="4" w:space="0" w:color="auto"/>
              <w:right w:val="single" w:sz="4" w:space="0" w:color="auto"/>
            </w:tcBorders>
            <w:shd w:val="clear" w:color="000000" w:fill="FFFFFF"/>
            <w:vAlign w:val="bottom"/>
          </w:tcPr>
          <w:p w14:paraId="0ADAE25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56.4 </w:t>
            </w:r>
          </w:p>
        </w:tc>
      </w:tr>
      <w:tr w:rsidR="002F68E2" w14:paraId="703F86D0" w14:textId="77777777" w:rsidTr="00033253">
        <w:trPr>
          <w:trHeight w:val="238"/>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6CD7880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30%</w:t>
            </w:r>
          </w:p>
        </w:tc>
        <w:tc>
          <w:tcPr>
            <w:tcW w:w="1534" w:type="dxa"/>
            <w:tcBorders>
              <w:top w:val="nil"/>
              <w:left w:val="nil"/>
              <w:bottom w:val="single" w:sz="4" w:space="0" w:color="auto"/>
              <w:right w:val="single" w:sz="4" w:space="0" w:color="auto"/>
            </w:tcBorders>
            <w:shd w:val="clear" w:color="000000" w:fill="FFFFFF"/>
            <w:noWrap/>
            <w:vAlign w:val="bottom"/>
          </w:tcPr>
          <w:p w14:paraId="238A051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68.0 </w:t>
            </w:r>
          </w:p>
        </w:tc>
        <w:tc>
          <w:tcPr>
            <w:tcW w:w="1428" w:type="dxa"/>
            <w:tcBorders>
              <w:top w:val="nil"/>
              <w:left w:val="nil"/>
              <w:bottom w:val="single" w:sz="4" w:space="0" w:color="auto"/>
              <w:right w:val="single" w:sz="4" w:space="0" w:color="auto"/>
            </w:tcBorders>
            <w:shd w:val="clear" w:color="000000" w:fill="FFFFFF"/>
            <w:noWrap/>
            <w:vAlign w:val="bottom"/>
          </w:tcPr>
          <w:p w14:paraId="00F295D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73.3 </w:t>
            </w:r>
          </w:p>
        </w:tc>
        <w:tc>
          <w:tcPr>
            <w:tcW w:w="1428" w:type="dxa"/>
            <w:tcBorders>
              <w:top w:val="nil"/>
              <w:left w:val="nil"/>
              <w:bottom w:val="single" w:sz="4" w:space="0" w:color="auto"/>
              <w:right w:val="single" w:sz="4" w:space="0" w:color="auto"/>
            </w:tcBorders>
            <w:shd w:val="clear" w:color="000000" w:fill="FFFFFF"/>
            <w:noWrap/>
            <w:vAlign w:val="bottom"/>
          </w:tcPr>
          <w:p w14:paraId="756AC89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73.8 </w:t>
            </w:r>
          </w:p>
        </w:tc>
        <w:tc>
          <w:tcPr>
            <w:tcW w:w="1428" w:type="dxa"/>
            <w:tcBorders>
              <w:top w:val="nil"/>
              <w:left w:val="nil"/>
              <w:bottom w:val="single" w:sz="4" w:space="0" w:color="auto"/>
              <w:right w:val="single" w:sz="4" w:space="0" w:color="auto"/>
            </w:tcBorders>
            <w:shd w:val="clear" w:color="000000" w:fill="FFFFFF"/>
            <w:noWrap/>
            <w:vAlign w:val="bottom"/>
          </w:tcPr>
          <w:p w14:paraId="1C9F571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70.9 </w:t>
            </w:r>
          </w:p>
        </w:tc>
        <w:tc>
          <w:tcPr>
            <w:tcW w:w="1288" w:type="dxa"/>
            <w:tcBorders>
              <w:top w:val="single" w:sz="4" w:space="0" w:color="auto"/>
              <w:left w:val="nil"/>
              <w:bottom w:val="single" w:sz="4" w:space="0" w:color="auto"/>
              <w:right w:val="single" w:sz="4" w:space="0" w:color="auto"/>
            </w:tcBorders>
            <w:shd w:val="clear" w:color="000000" w:fill="FFFFFF"/>
            <w:vAlign w:val="bottom"/>
          </w:tcPr>
          <w:p w14:paraId="27DD4F7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69.1 </w:t>
            </w:r>
          </w:p>
        </w:tc>
      </w:tr>
      <w:tr w:rsidR="002F68E2" w14:paraId="12F4245B" w14:textId="77777777" w:rsidTr="00033253">
        <w:trPr>
          <w:trHeight w:val="238"/>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5023C4E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40%</w:t>
            </w:r>
          </w:p>
        </w:tc>
        <w:tc>
          <w:tcPr>
            <w:tcW w:w="1534" w:type="dxa"/>
            <w:tcBorders>
              <w:top w:val="nil"/>
              <w:left w:val="nil"/>
              <w:bottom w:val="single" w:sz="4" w:space="0" w:color="auto"/>
              <w:right w:val="single" w:sz="4" w:space="0" w:color="auto"/>
            </w:tcBorders>
            <w:shd w:val="clear" w:color="000000" w:fill="FFFFFF"/>
            <w:noWrap/>
            <w:vAlign w:val="bottom"/>
          </w:tcPr>
          <w:p w14:paraId="0746E9E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77.9 </w:t>
            </w:r>
          </w:p>
        </w:tc>
        <w:tc>
          <w:tcPr>
            <w:tcW w:w="1428" w:type="dxa"/>
            <w:tcBorders>
              <w:top w:val="nil"/>
              <w:left w:val="nil"/>
              <w:bottom w:val="single" w:sz="4" w:space="0" w:color="auto"/>
              <w:right w:val="single" w:sz="4" w:space="0" w:color="auto"/>
            </w:tcBorders>
            <w:shd w:val="clear" w:color="000000" w:fill="FFFFFF"/>
            <w:noWrap/>
            <w:vAlign w:val="bottom"/>
          </w:tcPr>
          <w:p w14:paraId="46881E0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81.9 </w:t>
            </w:r>
          </w:p>
        </w:tc>
        <w:tc>
          <w:tcPr>
            <w:tcW w:w="1428" w:type="dxa"/>
            <w:tcBorders>
              <w:top w:val="nil"/>
              <w:left w:val="nil"/>
              <w:bottom w:val="single" w:sz="4" w:space="0" w:color="auto"/>
              <w:right w:val="single" w:sz="4" w:space="0" w:color="auto"/>
            </w:tcBorders>
            <w:shd w:val="clear" w:color="000000" w:fill="FFFFFF"/>
            <w:noWrap/>
            <w:vAlign w:val="bottom"/>
          </w:tcPr>
          <w:p w14:paraId="6EF4EDF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82.3 </w:t>
            </w:r>
          </w:p>
        </w:tc>
        <w:tc>
          <w:tcPr>
            <w:tcW w:w="1428" w:type="dxa"/>
            <w:tcBorders>
              <w:top w:val="nil"/>
              <w:left w:val="nil"/>
              <w:bottom w:val="single" w:sz="4" w:space="0" w:color="auto"/>
              <w:right w:val="single" w:sz="4" w:space="0" w:color="auto"/>
            </w:tcBorders>
            <w:shd w:val="clear" w:color="000000" w:fill="FFFFFF"/>
            <w:noWrap/>
            <w:vAlign w:val="bottom"/>
          </w:tcPr>
          <w:p w14:paraId="4559635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81.4 </w:t>
            </w:r>
          </w:p>
        </w:tc>
        <w:tc>
          <w:tcPr>
            <w:tcW w:w="1288" w:type="dxa"/>
            <w:tcBorders>
              <w:top w:val="single" w:sz="4" w:space="0" w:color="auto"/>
              <w:left w:val="nil"/>
              <w:bottom w:val="single" w:sz="4" w:space="0" w:color="auto"/>
              <w:right w:val="single" w:sz="4" w:space="0" w:color="auto"/>
            </w:tcBorders>
            <w:shd w:val="clear" w:color="000000" w:fill="FFFFFF"/>
            <w:vAlign w:val="bottom"/>
          </w:tcPr>
          <w:p w14:paraId="1144AED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77.8 </w:t>
            </w:r>
          </w:p>
        </w:tc>
      </w:tr>
      <w:tr w:rsidR="002F68E2" w14:paraId="3F17E7C9" w14:textId="77777777" w:rsidTr="00033253">
        <w:trPr>
          <w:trHeight w:val="238"/>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37E0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50%</w:t>
            </w:r>
          </w:p>
        </w:tc>
        <w:tc>
          <w:tcPr>
            <w:tcW w:w="1534" w:type="dxa"/>
            <w:tcBorders>
              <w:top w:val="single" w:sz="4" w:space="0" w:color="auto"/>
              <w:left w:val="nil"/>
              <w:bottom w:val="single" w:sz="4" w:space="0" w:color="auto"/>
              <w:right w:val="single" w:sz="4" w:space="0" w:color="auto"/>
            </w:tcBorders>
            <w:shd w:val="clear" w:color="000000" w:fill="FFFFFF"/>
            <w:noWrap/>
            <w:vAlign w:val="bottom"/>
          </w:tcPr>
          <w:p w14:paraId="5BA639D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84.2 </w:t>
            </w:r>
          </w:p>
        </w:tc>
        <w:tc>
          <w:tcPr>
            <w:tcW w:w="1428" w:type="dxa"/>
            <w:tcBorders>
              <w:top w:val="single" w:sz="4" w:space="0" w:color="auto"/>
              <w:left w:val="nil"/>
              <w:bottom w:val="single" w:sz="4" w:space="0" w:color="auto"/>
              <w:right w:val="single" w:sz="4" w:space="0" w:color="auto"/>
            </w:tcBorders>
            <w:shd w:val="clear" w:color="000000" w:fill="FFFFFF"/>
            <w:noWrap/>
            <w:vAlign w:val="bottom"/>
          </w:tcPr>
          <w:p w14:paraId="1304E30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88.0 </w:t>
            </w:r>
          </w:p>
        </w:tc>
        <w:tc>
          <w:tcPr>
            <w:tcW w:w="1428" w:type="dxa"/>
            <w:tcBorders>
              <w:top w:val="single" w:sz="4" w:space="0" w:color="auto"/>
              <w:left w:val="nil"/>
              <w:bottom w:val="single" w:sz="4" w:space="0" w:color="auto"/>
              <w:right w:val="single" w:sz="4" w:space="0" w:color="auto"/>
            </w:tcBorders>
            <w:shd w:val="clear" w:color="000000" w:fill="FFFFFF"/>
            <w:noWrap/>
            <w:vAlign w:val="bottom"/>
          </w:tcPr>
          <w:p w14:paraId="3D85CCF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87.6 </w:t>
            </w:r>
          </w:p>
        </w:tc>
        <w:tc>
          <w:tcPr>
            <w:tcW w:w="1428" w:type="dxa"/>
            <w:tcBorders>
              <w:top w:val="single" w:sz="4" w:space="0" w:color="auto"/>
              <w:left w:val="nil"/>
              <w:bottom w:val="single" w:sz="4" w:space="0" w:color="auto"/>
              <w:right w:val="single" w:sz="4" w:space="0" w:color="auto"/>
            </w:tcBorders>
            <w:shd w:val="clear" w:color="000000" w:fill="FFFFFF"/>
            <w:noWrap/>
            <w:vAlign w:val="bottom"/>
          </w:tcPr>
          <w:p w14:paraId="5116237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88.3 </w:t>
            </w:r>
          </w:p>
        </w:tc>
        <w:tc>
          <w:tcPr>
            <w:tcW w:w="1288" w:type="dxa"/>
            <w:tcBorders>
              <w:top w:val="single" w:sz="4" w:space="0" w:color="auto"/>
              <w:left w:val="nil"/>
              <w:bottom w:val="single" w:sz="4" w:space="0" w:color="auto"/>
              <w:right w:val="single" w:sz="4" w:space="0" w:color="auto"/>
            </w:tcBorders>
            <w:shd w:val="clear" w:color="000000" w:fill="FFFFFF"/>
            <w:vAlign w:val="bottom"/>
          </w:tcPr>
          <w:p w14:paraId="595C258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84.8 </w:t>
            </w:r>
          </w:p>
        </w:tc>
      </w:tr>
      <w:tr w:rsidR="002F68E2" w14:paraId="7E570D16" w14:textId="77777777" w:rsidTr="00033253">
        <w:trPr>
          <w:trHeight w:val="238"/>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1323D1A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60%</w:t>
            </w:r>
          </w:p>
        </w:tc>
        <w:tc>
          <w:tcPr>
            <w:tcW w:w="1534" w:type="dxa"/>
            <w:tcBorders>
              <w:top w:val="nil"/>
              <w:left w:val="nil"/>
              <w:bottom w:val="single" w:sz="4" w:space="0" w:color="auto"/>
              <w:right w:val="single" w:sz="4" w:space="0" w:color="auto"/>
            </w:tcBorders>
            <w:shd w:val="clear" w:color="000000" w:fill="FFFFFF"/>
            <w:noWrap/>
            <w:vAlign w:val="bottom"/>
          </w:tcPr>
          <w:p w14:paraId="602EC00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87.6 </w:t>
            </w:r>
          </w:p>
        </w:tc>
        <w:tc>
          <w:tcPr>
            <w:tcW w:w="1428" w:type="dxa"/>
            <w:tcBorders>
              <w:top w:val="nil"/>
              <w:left w:val="nil"/>
              <w:bottom w:val="single" w:sz="4" w:space="0" w:color="auto"/>
              <w:right w:val="single" w:sz="4" w:space="0" w:color="auto"/>
            </w:tcBorders>
            <w:shd w:val="clear" w:color="000000" w:fill="FFFFFF"/>
            <w:noWrap/>
            <w:vAlign w:val="bottom"/>
          </w:tcPr>
          <w:p w14:paraId="7C895D2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92.2 </w:t>
            </w:r>
          </w:p>
        </w:tc>
        <w:tc>
          <w:tcPr>
            <w:tcW w:w="1428" w:type="dxa"/>
            <w:tcBorders>
              <w:top w:val="nil"/>
              <w:left w:val="nil"/>
              <w:bottom w:val="single" w:sz="4" w:space="0" w:color="auto"/>
              <w:right w:val="single" w:sz="4" w:space="0" w:color="auto"/>
            </w:tcBorders>
            <w:shd w:val="clear" w:color="000000" w:fill="FFFFFF"/>
            <w:noWrap/>
            <w:vAlign w:val="bottom"/>
          </w:tcPr>
          <w:p w14:paraId="3CC86DA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91.5 </w:t>
            </w:r>
          </w:p>
        </w:tc>
        <w:tc>
          <w:tcPr>
            <w:tcW w:w="1428" w:type="dxa"/>
            <w:tcBorders>
              <w:top w:val="nil"/>
              <w:left w:val="nil"/>
              <w:bottom w:val="single" w:sz="4" w:space="0" w:color="auto"/>
              <w:right w:val="single" w:sz="4" w:space="0" w:color="auto"/>
            </w:tcBorders>
            <w:shd w:val="clear" w:color="000000" w:fill="FFFFFF"/>
            <w:noWrap/>
            <w:vAlign w:val="bottom"/>
          </w:tcPr>
          <w:p w14:paraId="70226AB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92.8 </w:t>
            </w:r>
          </w:p>
        </w:tc>
        <w:tc>
          <w:tcPr>
            <w:tcW w:w="1288" w:type="dxa"/>
            <w:tcBorders>
              <w:top w:val="single" w:sz="4" w:space="0" w:color="auto"/>
              <w:left w:val="nil"/>
              <w:bottom w:val="single" w:sz="4" w:space="0" w:color="auto"/>
              <w:right w:val="single" w:sz="4" w:space="0" w:color="auto"/>
            </w:tcBorders>
            <w:shd w:val="clear" w:color="000000" w:fill="FFFFFF"/>
            <w:vAlign w:val="bottom"/>
          </w:tcPr>
          <w:p w14:paraId="7364D54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90.3 </w:t>
            </w:r>
          </w:p>
        </w:tc>
      </w:tr>
      <w:tr w:rsidR="002F68E2" w14:paraId="1B4811E3" w14:textId="77777777" w:rsidTr="00033253">
        <w:trPr>
          <w:trHeight w:val="238"/>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6C9DEE6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70%</w:t>
            </w:r>
          </w:p>
        </w:tc>
        <w:tc>
          <w:tcPr>
            <w:tcW w:w="1534" w:type="dxa"/>
            <w:tcBorders>
              <w:top w:val="nil"/>
              <w:left w:val="nil"/>
              <w:bottom w:val="single" w:sz="4" w:space="0" w:color="auto"/>
              <w:right w:val="single" w:sz="4" w:space="0" w:color="auto"/>
            </w:tcBorders>
            <w:shd w:val="clear" w:color="000000" w:fill="FFFFFF"/>
            <w:noWrap/>
            <w:vAlign w:val="bottom"/>
          </w:tcPr>
          <w:p w14:paraId="01D0483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90.7 </w:t>
            </w:r>
          </w:p>
        </w:tc>
        <w:tc>
          <w:tcPr>
            <w:tcW w:w="1428" w:type="dxa"/>
            <w:tcBorders>
              <w:top w:val="nil"/>
              <w:left w:val="nil"/>
              <w:bottom w:val="single" w:sz="4" w:space="0" w:color="auto"/>
              <w:right w:val="single" w:sz="4" w:space="0" w:color="auto"/>
            </w:tcBorders>
            <w:shd w:val="clear" w:color="000000" w:fill="FFFFFF"/>
            <w:noWrap/>
            <w:vAlign w:val="bottom"/>
          </w:tcPr>
          <w:p w14:paraId="2E6FAC5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95.3 </w:t>
            </w:r>
          </w:p>
        </w:tc>
        <w:tc>
          <w:tcPr>
            <w:tcW w:w="1428" w:type="dxa"/>
            <w:tcBorders>
              <w:top w:val="nil"/>
              <w:left w:val="nil"/>
              <w:bottom w:val="single" w:sz="4" w:space="0" w:color="auto"/>
              <w:right w:val="single" w:sz="4" w:space="0" w:color="auto"/>
            </w:tcBorders>
            <w:shd w:val="clear" w:color="000000" w:fill="FFFFFF"/>
            <w:noWrap/>
            <w:vAlign w:val="bottom"/>
          </w:tcPr>
          <w:p w14:paraId="0D3271B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94.7 </w:t>
            </w:r>
          </w:p>
        </w:tc>
        <w:tc>
          <w:tcPr>
            <w:tcW w:w="1428" w:type="dxa"/>
            <w:tcBorders>
              <w:top w:val="nil"/>
              <w:left w:val="nil"/>
              <w:bottom w:val="single" w:sz="4" w:space="0" w:color="auto"/>
              <w:right w:val="single" w:sz="4" w:space="0" w:color="auto"/>
            </w:tcBorders>
            <w:shd w:val="clear" w:color="000000" w:fill="FFFFFF"/>
            <w:noWrap/>
            <w:vAlign w:val="bottom"/>
          </w:tcPr>
          <w:p w14:paraId="6340BB7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95.2 </w:t>
            </w:r>
          </w:p>
        </w:tc>
        <w:tc>
          <w:tcPr>
            <w:tcW w:w="1288" w:type="dxa"/>
            <w:tcBorders>
              <w:top w:val="single" w:sz="4" w:space="0" w:color="auto"/>
              <w:left w:val="nil"/>
              <w:bottom w:val="single" w:sz="4" w:space="0" w:color="auto"/>
              <w:right w:val="single" w:sz="4" w:space="0" w:color="auto"/>
            </w:tcBorders>
            <w:shd w:val="clear" w:color="000000" w:fill="FFFFFF"/>
            <w:vAlign w:val="bottom"/>
          </w:tcPr>
          <w:p w14:paraId="4563A89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94.1 </w:t>
            </w:r>
          </w:p>
        </w:tc>
      </w:tr>
      <w:tr w:rsidR="002F68E2" w14:paraId="5526AC0F" w14:textId="77777777" w:rsidTr="00033253">
        <w:trPr>
          <w:trHeight w:val="238"/>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36E2E13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80%</w:t>
            </w:r>
          </w:p>
        </w:tc>
        <w:tc>
          <w:tcPr>
            <w:tcW w:w="1534" w:type="dxa"/>
            <w:tcBorders>
              <w:top w:val="nil"/>
              <w:left w:val="nil"/>
              <w:bottom w:val="single" w:sz="4" w:space="0" w:color="auto"/>
              <w:right w:val="single" w:sz="4" w:space="0" w:color="auto"/>
            </w:tcBorders>
            <w:shd w:val="clear" w:color="000000" w:fill="FFFFFF"/>
            <w:noWrap/>
            <w:vAlign w:val="bottom"/>
          </w:tcPr>
          <w:p w14:paraId="38E609B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93.8 </w:t>
            </w:r>
          </w:p>
        </w:tc>
        <w:tc>
          <w:tcPr>
            <w:tcW w:w="1428" w:type="dxa"/>
            <w:tcBorders>
              <w:top w:val="nil"/>
              <w:left w:val="nil"/>
              <w:bottom w:val="single" w:sz="4" w:space="0" w:color="auto"/>
              <w:right w:val="single" w:sz="4" w:space="0" w:color="auto"/>
            </w:tcBorders>
            <w:shd w:val="clear" w:color="000000" w:fill="FFFFFF"/>
            <w:noWrap/>
            <w:vAlign w:val="bottom"/>
          </w:tcPr>
          <w:p w14:paraId="6C0E8C9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96.9 </w:t>
            </w:r>
          </w:p>
        </w:tc>
        <w:tc>
          <w:tcPr>
            <w:tcW w:w="1428" w:type="dxa"/>
            <w:tcBorders>
              <w:top w:val="nil"/>
              <w:left w:val="nil"/>
              <w:bottom w:val="single" w:sz="4" w:space="0" w:color="auto"/>
              <w:right w:val="single" w:sz="4" w:space="0" w:color="auto"/>
            </w:tcBorders>
            <w:shd w:val="clear" w:color="000000" w:fill="FFFFFF"/>
            <w:noWrap/>
            <w:vAlign w:val="bottom"/>
          </w:tcPr>
          <w:p w14:paraId="0533522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96.8 </w:t>
            </w:r>
          </w:p>
        </w:tc>
        <w:tc>
          <w:tcPr>
            <w:tcW w:w="1428" w:type="dxa"/>
            <w:tcBorders>
              <w:top w:val="nil"/>
              <w:left w:val="nil"/>
              <w:bottom w:val="single" w:sz="4" w:space="0" w:color="auto"/>
              <w:right w:val="single" w:sz="4" w:space="0" w:color="auto"/>
            </w:tcBorders>
            <w:shd w:val="clear" w:color="000000" w:fill="FFFFFF"/>
            <w:noWrap/>
            <w:vAlign w:val="bottom"/>
          </w:tcPr>
          <w:p w14:paraId="1CE41E0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96.8 </w:t>
            </w:r>
          </w:p>
        </w:tc>
        <w:tc>
          <w:tcPr>
            <w:tcW w:w="1288" w:type="dxa"/>
            <w:tcBorders>
              <w:top w:val="single" w:sz="4" w:space="0" w:color="auto"/>
              <w:left w:val="nil"/>
              <w:bottom w:val="single" w:sz="4" w:space="0" w:color="auto"/>
              <w:right w:val="single" w:sz="4" w:space="0" w:color="auto"/>
            </w:tcBorders>
            <w:shd w:val="clear" w:color="000000" w:fill="FFFFFF"/>
            <w:vAlign w:val="bottom"/>
          </w:tcPr>
          <w:p w14:paraId="765FD2C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96.5 </w:t>
            </w:r>
          </w:p>
        </w:tc>
      </w:tr>
      <w:tr w:rsidR="002F68E2" w14:paraId="73C2ADA4" w14:textId="77777777" w:rsidTr="00033253">
        <w:trPr>
          <w:trHeight w:val="238"/>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47A38E1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90%</w:t>
            </w:r>
          </w:p>
        </w:tc>
        <w:tc>
          <w:tcPr>
            <w:tcW w:w="1534" w:type="dxa"/>
            <w:tcBorders>
              <w:top w:val="nil"/>
              <w:left w:val="nil"/>
              <w:bottom w:val="single" w:sz="4" w:space="0" w:color="auto"/>
              <w:right w:val="single" w:sz="4" w:space="0" w:color="auto"/>
            </w:tcBorders>
            <w:shd w:val="clear" w:color="000000" w:fill="FFFFFF"/>
            <w:noWrap/>
            <w:vAlign w:val="bottom"/>
          </w:tcPr>
          <w:p w14:paraId="688F15F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96.9 </w:t>
            </w:r>
          </w:p>
        </w:tc>
        <w:tc>
          <w:tcPr>
            <w:tcW w:w="1428" w:type="dxa"/>
            <w:tcBorders>
              <w:top w:val="nil"/>
              <w:left w:val="nil"/>
              <w:bottom w:val="single" w:sz="4" w:space="0" w:color="auto"/>
              <w:right w:val="single" w:sz="4" w:space="0" w:color="auto"/>
            </w:tcBorders>
            <w:shd w:val="clear" w:color="000000" w:fill="FFFFFF"/>
            <w:noWrap/>
            <w:vAlign w:val="bottom"/>
          </w:tcPr>
          <w:p w14:paraId="544AB07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98.4 </w:t>
            </w:r>
          </w:p>
        </w:tc>
        <w:tc>
          <w:tcPr>
            <w:tcW w:w="1428" w:type="dxa"/>
            <w:tcBorders>
              <w:top w:val="nil"/>
              <w:left w:val="nil"/>
              <w:bottom w:val="single" w:sz="4" w:space="0" w:color="auto"/>
              <w:right w:val="single" w:sz="4" w:space="0" w:color="auto"/>
            </w:tcBorders>
            <w:shd w:val="clear" w:color="000000" w:fill="FFFFFF"/>
            <w:noWrap/>
            <w:vAlign w:val="bottom"/>
          </w:tcPr>
          <w:p w14:paraId="5060E29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98.4 </w:t>
            </w:r>
          </w:p>
        </w:tc>
        <w:tc>
          <w:tcPr>
            <w:tcW w:w="1428" w:type="dxa"/>
            <w:tcBorders>
              <w:top w:val="nil"/>
              <w:left w:val="nil"/>
              <w:bottom w:val="single" w:sz="4" w:space="0" w:color="auto"/>
              <w:right w:val="single" w:sz="4" w:space="0" w:color="auto"/>
            </w:tcBorders>
            <w:shd w:val="clear" w:color="000000" w:fill="FFFFFF"/>
            <w:noWrap/>
            <w:vAlign w:val="bottom"/>
          </w:tcPr>
          <w:p w14:paraId="2FE132B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98.4 </w:t>
            </w:r>
          </w:p>
        </w:tc>
        <w:tc>
          <w:tcPr>
            <w:tcW w:w="1288" w:type="dxa"/>
            <w:tcBorders>
              <w:top w:val="single" w:sz="4" w:space="0" w:color="auto"/>
              <w:left w:val="nil"/>
              <w:bottom w:val="single" w:sz="4" w:space="0" w:color="auto"/>
              <w:right w:val="single" w:sz="4" w:space="0" w:color="auto"/>
            </w:tcBorders>
            <w:shd w:val="clear" w:color="000000" w:fill="FFFFFF"/>
            <w:vAlign w:val="bottom"/>
          </w:tcPr>
          <w:p w14:paraId="6D626B7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98.3 </w:t>
            </w:r>
          </w:p>
        </w:tc>
      </w:tr>
      <w:tr w:rsidR="002F68E2" w:rsidRPr="009A1CB0" w14:paraId="1725E4D1" w14:textId="77777777" w:rsidTr="00033253">
        <w:trPr>
          <w:trHeight w:val="56"/>
        </w:trPr>
        <w:tc>
          <w:tcPr>
            <w:tcW w:w="1335" w:type="dxa"/>
            <w:tcBorders>
              <w:top w:val="nil"/>
              <w:left w:val="single" w:sz="4" w:space="0" w:color="auto"/>
              <w:bottom w:val="single" w:sz="4" w:space="0" w:color="auto"/>
              <w:right w:val="single" w:sz="4" w:space="0" w:color="auto"/>
            </w:tcBorders>
            <w:shd w:val="clear" w:color="auto" w:fill="auto"/>
            <w:noWrap/>
            <w:vAlign w:val="bottom"/>
          </w:tcPr>
          <w:p w14:paraId="0E8C69F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99%</w:t>
            </w:r>
          </w:p>
        </w:tc>
        <w:tc>
          <w:tcPr>
            <w:tcW w:w="1534" w:type="dxa"/>
            <w:tcBorders>
              <w:top w:val="nil"/>
              <w:left w:val="nil"/>
              <w:bottom w:val="single" w:sz="4" w:space="0" w:color="auto"/>
              <w:right w:val="single" w:sz="4" w:space="0" w:color="auto"/>
            </w:tcBorders>
            <w:shd w:val="clear" w:color="000000" w:fill="FFFFFF"/>
            <w:noWrap/>
            <w:vAlign w:val="bottom"/>
          </w:tcPr>
          <w:p w14:paraId="3BC8CB5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99.7 </w:t>
            </w:r>
          </w:p>
        </w:tc>
        <w:tc>
          <w:tcPr>
            <w:tcW w:w="1428" w:type="dxa"/>
            <w:tcBorders>
              <w:top w:val="nil"/>
              <w:left w:val="nil"/>
              <w:bottom w:val="single" w:sz="4" w:space="0" w:color="auto"/>
              <w:right w:val="single" w:sz="4" w:space="0" w:color="auto"/>
            </w:tcBorders>
            <w:shd w:val="clear" w:color="000000" w:fill="FFFFFF"/>
            <w:noWrap/>
            <w:vAlign w:val="bottom"/>
          </w:tcPr>
          <w:p w14:paraId="212CC5E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99.8 </w:t>
            </w:r>
          </w:p>
        </w:tc>
        <w:tc>
          <w:tcPr>
            <w:tcW w:w="1428" w:type="dxa"/>
            <w:tcBorders>
              <w:top w:val="nil"/>
              <w:left w:val="nil"/>
              <w:bottom w:val="single" w:sz="4" w:space="0" w:color="auto"/>
              <w:right w:val="single" w:sz="4" w:space="0" w:color="auto"/>
            </w:tcBorders>
            <w:shd w:val="clear" w:color="000000" w:fill="FFFFFF"/>
            <w:noWrap/>
            <w:vAlign w:val="bottom"/>
          </w:tcPr>
          <w:p w14:paraId="4DB21DB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99.8 </w:t>
            </w:r>
          </w:p>
        </w:tc>
        <w:tc>
          <w:tcPr>
            <w:tcW w:w="1428" w:type="dxa"/>
            <w:tcBorders>
              <w:top w:val="nil"/>
              <w:left w:val="nil"/>
              <w:bottom w:val="single" w:sz="4" w:space="0" w:color="auto"/>
              <w:right w:val="single" w:sz="4" w:space="0" w:color="auto"/>
            </w:tcBorders>
            <w:shd w:val="clear" w:color="000000" w:fill="FFFFFF"/>
            <w:noWrap/>
            <w:vAlign w:val="bottom"/>
          </w:tcPr>
          <w:p w14:paraId="4529EE2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99.8 </w:t>
            </w:r>
          </w:p>
        </w:tc>
        <w:tc>
          <w:tcPr>
            <w:tcW w:w="1288" w:type="dxa"/>
            <w:tcBorders>
              <w:top w:val="single" w:sz="4" w:space="0" w:color="auto"/>
              <w:left w:val="nil"/>
              <w:bottom w:val="single" w:sz="4" w:space="0" w:color="auto"/>
              <w:right w:val="single" w:sz="4" w:space="0" w:color="auto"/>
            </w:tcBorders>
            <w:shd w:val="clear" w:color="000000" w:fill="FFFFFF"/>
            <w:vAlign w:val="bottom"/>
          </w:tcPr>
          <w:p w14:paraId="74A2731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99.8 </w:t>
            </w:r>
          </w:p>
        </w:tc>
      </w:tr>
    </w:tbl>
    <w:p w14:paraId="35E1420E" w14:textId="77777777" w:rsidR="00C67F0A" w:rsidRPr="00C67F0A" w:rsidRDefault="002F68E2" w:rsidP="00C67F0A">
      <w:pPr>
        <w:rPr>
          <w:color w:val="000000"/>
          <w:sz w:val="18"/>
          <w:szCs w:val="18"/>
        </w:rPr>
      </w:pPr>
      <w:r w:rsidRPr="00C67F0A">
        <w:t>*</w:t>
      </w:r>
      <w:r w:rsidRPr="00C67F0A">
        <w:rPr>
          <w:sz w:val="18"/>
          <w:szCs w:val="18"/>
        </w:rPr>
        <w:t xml:space="preserve"> partial financial year</w:t>
      </w:r>
      <w:r w:rsidR="00C67F0A" w:rsidRPr="00C67F0A">
        <w:rPr>
          <w:color w:val="000000"/>
          <w:sz w:val="18"/>
          <w:szCs w:val="18"/>
        </w:rPr>
        <w:t xml:space="preserve"> </w:t>
      </w:r>
    </w:p>
    <w:p w14:paraId="0D2FAB1C" w14:textId="19D52C58" w:rsidR="00DB1C44" w:rsidRPr="00B07B09" w:rsidRDefault="00C67F0A" w:rsidP="00B07B09">
      <w:pPr>
        <w:spacing w:after="240"/>
        <w:rPr>
          <w:i/>
          <w:sz w:val="18"/>
          <w:szCs w:val="18"/>
        </w:rPr>
      </w:pPr>
      <w:r w:rsidRPr="008D442C">
        <w:rPr>
          <w:i/>
          <w:color w:val="000000"/>
          <w:sz w:val="18"/>
          <w:szCs w:val="18"/>
        </w:rPr>
        <w:t xml:space="preserve">Source: Department of Health </w:t>
      </w:r>
      <w:r w:rsidRPr="008D442C">
        <w:rPr>
          <w:i/>
          <w:sz w:val="18"/>
          <w:szCs w:val="18"/>
        </w:rPr>
        <w:t>File: Q21109B Item 48694 utilisation 31 Jan 2018.xls</w:t>
      </w:r>
    </w:p>
    <w:p w14:paraId="706CAB34" w14:textId="7E60D173" w:rsidR="002F68E2" w:rsidRPr="002719DC" w:rsidRDefault="002F68E2" w:rsidP="002719DC">
      <w:pPr>
        <w:rPr>
          <w:b/>
          <w:i/>
          <w:sz w:val="20"/>
        </w:rPr>
      </w:pPr>
      <w:r w:rsidRPr="002719DC">
        <w:rPr>
          <w:b/>
          <w:sz w:val="20"/>
        </w:rPr>
        <w:t>Table</w:t>
      </w:r>
      <w:r w:rsidR="00A61CFC" w:rsidRPr="002719DC">
        <w:rPr>
          <w:b/>
          <w:sz w:val="20"/>
        </w:rPr>
        <w:t xml:space="preserve"> </w:t>
      </w:r>
      <w:r w:rsidRPr="002719DC">
        <w:rPr>
          <w:b/>
          <w:sz w:val="20"/>
        </w:rPr>
        <w:t>6</w:t>
      </w:r>
      <w:r w:rsidR="000475D1" w:rsidRPr="002719DC">
        <w:rPr>
          <w:b/>
          <w:sz w:val="20"/>
        </w:rPr>
        <w:t xml:space="preserve">. </w:t>
      </w:r>
      <w:r w:rsidRPr="002719DC">
        <w:rPr>
          <w:b/>
          <w:sz w:val="20"/>
        </w:rPr>
        <w:t xml:space="preserve"> Number of services by provider specialty under item 48694 between 2012-13* and 2016-17 by financial years</w:t>
      </w:r>
    </w:p>
    <w:tbl>
      <w:tblPr>
        <w:tblW w:w="8379" w:type="dxa"/>
        <w:tblInd w:w="93" w:type="dxa"/>
        <w:tblLayout w:type="fixed"/>
        <w:tblLook w:val="04A0" w:firstRow="1" w:lastRow="0" w:firstColumn="1" w:lastColumn="0" w:noHBand="0" w:noVBand="1"/>
        <w:tblDescription w:val="MBS item 48694 - data by provider specialty"/>
      </w:tblPr>
      <w:tblGrid>
        <w:gridCol w:w="6819"/>
        <w:gridCol w:w="1560"/>
      </w:tblGrid>
      <w:tr w:rsidR="002F68E2" w14:paraId="13A5ACFA" w14:textId="77777777" w:rsidTr="0012059F">
        <w:trPr>
          <w:trHeight w:val="714"/>
        </w:trPr>
        <w:tc>
          <w:tcPr>
            <w:tcW w:w="68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13F0E886" w14:textId="77777777" w:rsidR="002F68E2" w:rsidRDefault="002F68E2" w:rsidP="002F68E2">
            <w:pPr>
              <w:jc w:val="center"/>
              <w:rPr>
                <w:rFonts w:ascii="Arial" w:hAnsi="Arial" w:cs="Arial"/>
                <w:b/>
                <w:bCs/>
                <w:color w:val="000000" w:themeColor="text1"/>
                <w:sz w:val="18"/>
                <w:szCs w:val="18"/>
              </w:rPr>
            </w:pPr>
          </w:p>
          <w:p w14:paraId="1C151AA6" w14:textId="77777777" w:rsidR="002F68E2" w:rsidRPr="006C5AE6" w:rsidRDefault="002F68E2" w:rsidP="002F68E2">
            <w:pPr>
              <w:jc w:val="center"/>
              <w:rPr>
                <w:rFonts w:ascii="Arial" w:hAnsi="Arial" w:cs="Arial"/>
                <w:b/>
                <w:bCs/>
                <w:color w:val="000000" w:themeColor="text1"/>
                <w:sz w:val="18"/>
                <w:szCs w:val="18"/>
              </w:rPr>
            </w:pPr>
            <w:r w:rsidRPr="006C5AE6">
              <w:rPr>
                <w:rFonts w:ascii="Arial" w:hAnsi="Arial" w:cs="Arial"/>
                <w:b/>
                <w:bCs/>
                <w:color w:val="000000" w:themeColor="text1"/>
                <w:sz w:val="18"/>
                <w:szCs w:val="18"/>
              </w:rPr>
              <w:t>Derived Major Specialty</w:t>
            </w:r>
          </w:p>
        </w:tc>
        <w:tc>
          <w:tcPr>
            <w:tcW w:w="1560" w:type="dxa"/>
            <w:tcBorders>
              <w:top w:val="single" w:sz="4" w:space="0" w:color="000000"/>
              <w:left w:val="nil"/>
              <w:bottom w:val="single" w:sz="4" w:space="0" w:color="000000"/>
              <w:right w:val="single" w:sz="4" w:space="0" w:color="000000"/>
            </w:tcBorders>
            <w:shd w:val="clear" w:color="auto" w:fill="8DB3E2" w:themeFill="text2" w:themeFillTint="66"/>
            <w:hideMark/>
          </w:tcPr>
          <w:p w14:paraId="70AC0E18" w14:textId="77777777" w:rsidR="002F68E2" w:rsidRPr="006C5AE6" w:rsidRDefault="002F68E2" w:rsidP="002F68E2">
            <w:pPr>
              <w:jc w:val="center"/>
              <w:rPr>
                <w:rFonts w:ascii="Arial" w:hAnsi="Arial" w:cs="Arial"/>
                <w:b/>
                <w:bCs/>
                <w:color w:val="000000" w:themeColor="text1"/>
                <w:sz w:val="18"/>
                <w:szCs w:val="18"/>
              </w:rPr>
            </w:pPr>
            <w:r w:rsidRPr="006C5AE6">
              <w:rPr>
                <w:rFonts w:ascii="Arial" w:hAnsi="Arial" w:cs="Arial"/>
                <w:b/>
                <w:bCs/>
                <w:color w:val="000000" w:themeColor="text1"/>
                <w:sz w:val="18"/>
                <w:szCs w:val="18"/>
              </w:rPr>
              <w:t>Number of services</w:t>
            </w:r>
          </w:p>
        </w:tc>
      </w:tr>
      <w:tr w:rsidR="002F68E2" w14:paraId="7E1C4AD3" w14:textId="77777777" w:rsidTr="0012059F">
        <w:trPr>
          <w:trHeight w:val="318"/>
        </w:trPr>
        <w:tc>
          <w:tcPr>
            <w:tcW w:w="681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5E9A8D8" w14:textId="77777777" w:rsidR="002F68E2" w:rsidRPr="00A85CEE" w:rsidRDefault="002F68E2" w:rsidP="002F68E2">
            <w:pPr>
              <w:rPr>
                <w:rFonts w:ascii="Arial" w:hAnsi="Arial" w:cs="Arial"/>
                <w:color w:val="000000"/>
                <w:sz w:val="18"/>
                <w:szCs w:val="18"/>
              </w:rPr>
            </w:pPr>
            <w:r>
              <w:rPr>
                <w:rFonts w:ascii="Arial" w:hAnsi="Arial" w:cs="Arial"/>
                <w:color w:val="000000"/>
                <w:sz w:val="18"/>
                <w:szCs w:val="18"/>
              </w:rPr>
              <w:t xml:space="preserve">Total </w:t>
            </w:r>
            <w:r w:rsidRPr="00A85CEE">
              <w:rPr>
                <w:rFonts w:ascii="Arial" w:hAnsi="Arial" w:cs="Arial"/>
                <w:color w:val="000000"/>
                <w:sz w:val="18"/>
                <w:szCs w:val="18"/>
              </w:rPr>
              <w:t>Combined</w:t>
            </w:r>
          </w:p>
        </w:tc>
        <w:tc>
          <w:tcPr>
            <w:tcW w:w="1560" w:type="dxa"/>
            <w:tcBorders>
              <w:top w:val="nil"/>
              <w:left w:val="nil"/>
              <w:bottom w:val="single" w:sz="4" w:space="0" w:color="000000"/>
              <w:right w:val="single" w:sz="4" w:space="0" w:color="000000"/>
            </w:tcBorders>
            <w:shd w:val="clear" w:color="000000" w:fill="FFFFFF"/>
            <w:noWrap/>
            <w:vAlign w:val="bottom"/>
            <w:hideMark/>
          </w:tcPr>
          <w:p w14:paraId="7FFF3EE1" w14:textId="77777777" w:rsidR="002F68E2" w:rsidRPr="00A85CEE" w:rsidRDefault="002F68E2" w:rsidP="002F68E2">
            <w:pPr>
              <w:jc w:val="right"/>
              <w:rPr>
                <w:rFonts w:ascii="Arial" w:hAnsi="Arial" w:cs="Arial"/>
                <w:color w:val="000000"/>
                <w:sz w:val="18"/>
                <w:szCs w:val="18"/>
              </w:rPr>
            </w:pPr>
            <w:r w:rsidRPr="00A85CEE">
              <w:rPr>
                <w:rFonts w:ascii="Arial" w:hAnsi="Arial" w:cs="Arial"/>
                <w:color w:val="000000"/>
                <w:sz w:val="18"/>
                <w:szCs w:val="18"/>
              </w:rPr>
              <w:t xml:space="preserve">2392 </w:t>
            </w:r>
          </w:p>
        </w:tc>
      </w:tr>
      <w:tr w:rsidR="002F68E2" w14:paraId="5C50E5F1" w14:textId="77777777" w:rsidTr="0012059F">
        <w:trPr>
          <w:trHeight w:val="318"/>
        </w:trPr>
        <w:tc>
          <w:tcPr>
            <w:tcW w:w="681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E6F820E" w14:textId="77777777" w:rsidR="002F68E2" w:rsidRPr="00A85CEE" w:rsidRDefault="002F68E2" w:rsidP="002F68E2">
            <w:pPr>
              <w:rPr>
                <w:rFonts w:ascii="Arial" w:hAnsi="Arial" w:cs="Arial"/>
                <w:color w:val="000000"/>
                <w:sz w:val="18"/>
                <w:szCs w:val="18"/>
              </w:rPr>
            </w:pPr>
            <w:r w:rsidRPr="00A85CEE">
              <w:rPr>
                <w:rFonts w:ascii="Arial" w:hAnsi="Arial" w:cs="Arial"/>
                <w:color w:val="000000"/>
                <w:sz w:val="18"/>
                <w:szCs w:val="18"/>
              </w:rPr>
              <w:t>Specialist - Surgery - Neurosurgery</w:t>
            </w:r>
          </w:p>
        </w:tc>
        <w:tc>
          <w:tcPr>
            <w:tcW w:w="1560" w:type="dxa"/>
            <w:tcBorders>
              <w:top w:val="nil"/>
              <w:left w:val="nil"/>
              <w:bottom w:val="single" w:sz="4" w:space="0" w:color="000000"/>
              <w:right w:val="single" w:sz="4" w:space="0" w:color="000000"/>
            </w:tcBorders>
            <w:shd w:val="clear" w:color="000000" w:fill="FFFFFF"/>
            <w:noWrap/>
            <w:vAlign w:val="bottom"/>
            <w:hideMark/>
          </w:tcPr>
          <w:p w14:paraId="36DD213D" w14:textId="77777777" w:rsidR="002F68E2" w:rsidRPr="00A85CEE" w:rsidRDefault="002F68E2" w:rsidP="002F68E2">
            <w:pPr>
              <w:jc w:val="right"/>
              <w:rPr>
                <w:rFonts w:ascii="Arial" w:hAnsi="Arial" w:cs="Arial"/>
                <w:color w:val="000000"/>
                <w:sz w:val="18"/>
                <w:szCs w:val="18"/>
              </w:rPr>
            </w:pPr>
            <w:r w:rsidRPr="00A85CEE">
              <w:rPr>
                <w:rFonts w:ascii="Arial" w:hAnsi="Arial" w:cs="Arial"/>
                <w:color w:val="000000"/>
                <w:sz w:val="18"/>
                <w:szCs w:val="18"/>
              </w:rPr>
              <w:t xml:space="preserve">1784 </w:t>
            </w:r>
          </w:p>
        </w:tc>
      </w:tr>
      <w:tr w:rsidR="002F68E2" w14:paraId="2A1619A0" w14:textId="77777777" w:rsidTr="0012059F">
        <w:trPr>
          <w:trHeight w:val="318"/>
        </w:trPr>
        <w:tc>
          <w:tcPr>
            <w:tcW w:w="6819"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6924504" w14:textId="77777777" w:rsidR="002F68E2" w:rsidRPr="00A85CEE" w:rsidRDefault="002F68E2" w:rsidP="002F68E2">
            <w:pPr>
              <w:rPr>
                <w:rFonts w:ascii="Arial" w:hAnsi="Arial" w:cs="Arial"/>
                <w:color w:val="000000"/>
                <w:sz w:val="18"/>
                <w:szCs w:val="18"/>
              </w:rPr>
            </w:pPr>
            <w:r w:rsidRPr="00A85CEE">
              <w:rPr>
                <w:rFonts w:ascii="Arial" w:hAnsi="Arial" w:cs="Arial"/>
                <w:color w:val="000000"/>
                <w:sz w:val="18"/>
                <w:szCs w:val="18"/>
              </w:rPr>
              <w:t>Specialist - Surgery - Orthopaedic Surgery</w:t>
            </w:r>
          </w:p>
        </w:tc>
        <w:tc>
          <w:tcPr>
            <w:tcW w:w="1560" w:type="dxa"/>
            <w:tcBorders>
              <w:top w:val="nil"/>
              <w:left w:val="nil"/>
              <w:bottom w:val="single" w:sz="4" w:space="0" w:color="000000"/>
              <w:right w:val="single" w:sz="4" w:space="0" w:color="000000"/>
            </w:tcBorders>
            <w:shd w:val="clear" w:color="000000" w:fill="FFFFFF"/>
            <w:noWrap/>
            <w:vAlign w:val="bottom"/>
            <w:hideMark/>
          </w:tcPr>
          <w:p w14:paraId="546E6499" w14:textId="77777777" w:rsidR="002F68E2" w:rsidRPr="00A85CEE" w:rsidRDefault="002F68E2" w:rsidP="002F68E2">
            <w:pPr>
              <w:jc w:val="right"/>
              <w:rPr>
                <w:rFonts w:ascii="Arial" w:hAnsi="Arial" w:cs="Arial"/>
                <w:color w:val="000000"/>
                <w:sz w:val="18"/>
                <w:szCs w:val="18"/>
              </w:rPr>
            </w:pPr>
            <w:r w:rsidRPr="00A85CEE">
              <w:rPr>
                <w:rFonts w:ascii="Arial" w:hAnsi="Arial" w:cs="Arial"/>
                <w:color w:val="000000"/>
                <w:sz w:val="18"/>
                <w:szCs w:val="18"/>
              </w:rPr>
              <w:t>607</w:t>
            </w:r>
          </w:p>
        </w:tc>
      </w:tr>
    </w:tbl>
    <w:p w14:paraId="77705055" w14:textId="77777777" w:rsidR="00C67F0A" w:rsidRDefault="002F68E2" w:rsidP="00C67F0A">
      <w:pPr>
        <w:rPr>
          <w:sz w:val="18"/>
          <w:szCs w:val="18"/>
        </w:rPr>
      </w:pPr>
      <w:r w:rsidRPr="009763C8">
        <w:t>*</w:t>
      </w:r>
      <w:r w:rsidRPr="009763C8">
        <w:rPr>
          <w:sz w:val="18"/>
          <w:szCs w:val="18"/>
        </w:rPr>
        <w:t>partial financial year</w:t>
      </w:r>
      <w:r w:rsidR="00C67F0A" w:rsidRPr="00C67F0A">
        <w:rPr>
          <w:sz w:val="18"/>
          <w:szCs w:val="18"/>
        </w:rPr>
        <w:t xml:space="preserve"> </w:t>
      </w:r>
    </w:p>
    <w:p w14:paraId="19F9549C" w14:textId="62D5078F" w:rsidR="00DB1C44" w:rsidRPr="00B07B09" w:rsidRDefault="00C67F0A">
      <w:pPr>
        <w:rPr>
          <w:i/>
          <w:sz w:val="18"/>
          <w:szCs w:val="18"/>
        </w:rPr>
      </w:pPr>
      <w:r>
        <w:rPr>
          <w:i/>
          <w:sz w:val="18"/>
          <w:szCs w:val="18"/>
        </w:rPr>
        <w:t xml:space="preserve">Source: Department of Health </w:t>
      </w:r>
      <w:r w:rsidRPr="00C67F0A">
        <w:rPr>
          <w:i/>
          <w:sz w:val="18"/>
          <w:szCs w:val="18"/>
        </w:rPr>
        <w:t xml:space="preserve">File: Q21109B Item 48694 utilisation 31 Jan 2018.xls. </w:t>
      </w:r>
      <w:bookmarkStart w:id="1" w:name="_Toc465347395"/>
      <w:r w:rsidR="00DB1C44">
        <w:br w:type="page"/>
      </w:r>
    </w:p>
    <w:p w14:paraId="0952FEF9" w14:textId="49DF6382" w:rsidR="004E015F" w:rsidRDefault="004E015F" w:rsidP="00C67F0A">
      <w:pPr>
        <w:pStyle w:val="Heading2"/>
        <w:spacing w:before="240"/>
      </w:pPr>
      <w:r w:rsidRPr="00457F5E">
        <w:lastRenderedPageBreak/>
        <w:t>Co-claiming</w:t>
      </w:r>
      <w:bookmarkEnd w:id="1"/>
    </w:p>
    <w:p w14:paraId="1CE78DD8" w14:textId="7BCB27D5" w:rsidR="002719DC" w:rsidRPr="00B07B09" w:rsidRDefault="002F68E2" w:rsidP="00B07B09">
      <w:pPr>
        <w:spacing w:after="240"/>
      </w:pPr>
      <w:r w:rsidRPr="0080163E">
        <w:t xml:space="preserve">The service is commonly co-claimed with item </w:t>
      </w:r>
      <w:r>
        <w:t>40330 and item 6009</w:t>
      </w:r>
      <w:r w:rsidR="00533928">
        <w:t xml:space="preserve"> (Tables 7-11)</w:t>
      </w:r>
      <w:r>
        <w:t>.</w:t>
      </w:r>
    </w:p>
    <w:p w14:paraId="2D91D967" w14:textId="1DFEEE69" w:rsidR="00DB1C44" w:rsidRPr="00B07B09" w:rsidRDefault="00DB1C44" w:rsidP="00B07B09">
      <w:pPr>
        <w:spacing w:after="240"/>
        <w:rPr>
          <w:i/>
          <w:sz w:val="20"/>
        </w:rPr>
      </w:pPr>
      <w:r w:rsidRPr="008D442C">
        <w:rPr>
          <w:i/>
          <w:sz w:val="20"/>
        </w:rPr>
        <w:t>Source</w:t>
      </w:r>
      <w:r>
        <w:rPr>
          <w:i/>
          <w:sz w:val="20"/>
        </w:rPr>
        <w:t xml:space="preserve"> for tables 7-11:</w:t>
      </w:r>
      <w:r w:rsidRPr="008D442C">
        <w:rPr>
          <w:i/>
          <w:sz w:val="20"/>
        </w:rPr>
        <w:t xml:space="preserve"> Department of Health,</w:t>
      </w:r>
      <w:r w:rsidRPr="008D442C">
        <w:rPr>
          <w:i/>
          <w:sz w:val="18"/>
          <w:szCs w:val="18"/>
        </w:rPr>
        <w:t xml:space="preserve"> </w:t>
      </w:r>
      <w:r>
        <w:rPr>
          <w:i/>
          <w:sz w:val="18"/>
          <w:szCs w:val="18"/>
        </w:rPr>
        <w:t xml:space="preserve">Medical Benefits Division, Primary Care and Diagnostics Branch, </w:t>
      </w:r>
      <w:r w:rsidRPr="008D442C">
        <w:rPr>
          <w:i/>
          <w:sz w:val="20"/>
        </w:rPr>
        <w:t>File:</w:t>
      </w:r>
      <w:r w:rsidRPr="008D442C">
        <w:rPr>
          <w:i/>
        </w:rPr>
        <w:t xml:space="preserve"> </w:t>
      </w:r>
      <w:r w:rsidRPr="008D442C">
        <w:rPr>
          <w:i/>
          <w:sz w:val="20"/>
        </w:rPr>
        <w:t>Q21109B Item 48694 utilisation 31 Jan 2018.xls</w:t>
      </w:r>
    </w:p>
    <w:p w14:paraId="52BAEB0D" w14:textId="0593456F" w:rsidR="002F68E2" w:rsidRPr="002719DC" w:rsidRDefault="002F68E2" w:rsidP="002719DC">
      <w:pPr>
        <w:rPr>
          <w:b/>
          <w:sz w:val="20"/>
        </w:rPr>
      </w:pPr>
      <w:r w:rsidRPr="002719DC">
        <w:rPr>
          <w:b/>
          <w:sz w:val="20"/>
        </w:rPr>
        <w:t>Table 7</w:t>
      </w:r>
      <w:r w:rsidR="000475D1" w:rsidRPr="002719DC">
        <w:rPr>
          <w:b/>
          <w:sz w:val="20"/>
        </w:rPr>
        <w:t xml:space="preserve">. </w:t>
      </w:r>
      <w:r w:rsidRPr="002719DC">
        <w:rPr>
          <w:b/>
          <w:sz w:val="20"/>
        </w:rPr>
        <w:t xml:space="preserve"> Instances of co-claiming with MBS item 48694 in 2012-13*</w:t>
      </w:r>
    </w:p>
    <w:tbl>
      <w:tblPr>
        <w:tblW w:w="9220" w:type="dxa"/>
        <w:tblInd w:w="-34" w:type="dxa"/>
        <w:tblLayout w:type="fixed"/>
        <w:tblLook w:val="04A0" w:firstRow="1" w:lastRow="0" w:firstColumn="1" w:lastColumn="0" w:noHBand="0" w:noVBand="1"/>
      </w:tblPr>
      <w:tblGrid>
        <w:gridCol w:w="575"/>
        <w:gridCol w:w="2762"/>
        <w:gridCol w:w="1219"/>
        <w:gridCol w:w="967"/>
        <w:gridCol w:w="1361"/>
        <w:gridCol w:w="1003"/>
        <w:gridCol w:w="1333"/>
      </w:tblGrid>
      <w:tr w:rsidR="002F68E2" w14:paraId="6F4C1DC1" w14:textId="77777777" w:rsidTr="008914AB">
        <w:trPr>
          <w:trHeight w:val="1050"/>
        </w:trPr>
        <w:tc>
          <w:tcPr>
            <w:tcW w:w="57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7D8281D"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w:t>
            </w:r>
          </w:p>
        </w:tc>
        <w:tc>
          <w:tcPr>
            <w:tcW w:w="276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A87CAEE"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Items</w:t>
            </w:r>
          </w:p>
        </w:tc>
        <w:tc>
          <w:tcPr>
            <w:tcW w:w="121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68109F6"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Episodes</w:t>
            </w:r>
          </w:p>
        </w:tc>
        <w:tc>
          <w:tcPr>
            <w:tcW w:w="96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F682C16"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Services</w:t>
            </w:r>
          </w:p>
        </w:tc>
        <w:tc>
          <w:tcPr>
            <w:tcW w:w="136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A701C49"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Schedule Fee for combination</w:t>
            </w:r>
          </w:p>
        </w:tc>
        <w:tc>
          <w:tcPr>
            <w:tcW w:w="100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9FA039E"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Number of patients</w:t>
            </w:r>
          </w:p>
        </w:tc>
        <w:tc>
          <w:tcPr>
            <w:tcW w:w="133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769C234"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 of episodes</w:t>
            </w:r>
          </w:p>
        </w:tc>
      </w:tr>
      <w:tr w:rsidR="002F68E2" w14:paraId="39380051" w14:textId="77777777" w:rsidTr="008914AB">
        <w:trPr>
          <w:trHeight w:val="329"/>
        </w:trPr>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561E5F49"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1</w:t>
            </w:r>
          </w:p>
        </w:tc>
        <w:tc>
          <w:tcPr>
            <w:tcW w:w="2762" w:type="dxa"/>
            <w:tcBorders>
              <w:top w:val="nil"/>
              <w:left w:val="nil"/>
              <w:bottom w:val="single" w:sz="4" w:space="0" w:color="auto"/>
              <w:right w:val="single" w:sz="4" w:space="0" w:color="auto"/>
            </w:tcBorders>
            <w:shd w:val="clear" w:color="000000" w:fill="FFFFFF"/>
            <w:noWrap/>
            <w:vAlign w:val="bottom"/>
          </w:tcPr>
          <w:p w14:paraId="663A5C31"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color w:val="000000"/>
                <w:sz w:val="18"/>
                <w:szCs w:val="18"/>
              </w:rPr>
              <w:t>,40330</w:t>
            </w:r>
          </w:p>
        </w:tc>
        <w:tc>
          <w:tcPr>
            <w:tcW w:w="1219" w:type="dxa"/>
            <w:tcBorders>
              <w:top w:val="nil"/>
              <w:left w:val="nil"/>
              <w:bottom w:val="single" w:sz="4" w:space="0" w:color="000000"/>
              <w:right w:val="single" w:sz="4" w:space="0" w:color="000000"/>
            </w:tcBorders>
            <w:shd w:val="clear" w:color="auto" w:fill="auto"/>
            <w:noWrap/>
            <w:vAlign w:val="bottom"/>
          </w:tcPr>
          <w:p w14:paraId="67EFBA7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29 </w:t>
            </w:r>
          </w:p>
        </w:tc>
        <w:tc>
          <w:tcPr>
            <w:tcW w:w="967" w:type="dxa"/>
            <w:tcBorders>
              <w:top w:val="nil"/>
              <w:left w:val="nil"/>
              <w:bottom w:val="single" w:sz="4" w:space="0" w:color="000000"/>
              <w:right w:val="single" w:sz="4" w:space="0" w:color="000000"/>
            </w:tcBorders>
            <w:shd w:val="clear" w:color="auto" w:fill="auto"/>
            <w:noWrap/>
            <w:vAlign w:val="bottom"/>
          </w:tcPr>
          <w:p w14:paraId="72D21C7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58</w:t>
            </w:r>
          </w:p>
        </w:tc>
        <w:tc>
          <w:tcPr>
            <w:tcW w:w="1361" w:type="dxa"/>
            <w:tcBorders>
              <w:top w:val="nil"/>
              <w:left w:val="nil"/>
              <w:bottom w:val="single" w:sz="4" w:space="0" w:color="000000"/>
              <w:right w:val="single" w:sz="4" w:space="0" w:color="000000"/>
            </w:tcBorders>
            <w:shd w:val="clear" w:color="auto" w:fill="auto"/>
            <w:noWrap/>
            <w:vAlign w:val="bottom"/>
          </w:tcPr>
          <w:p w14:paraId="019AA68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$45,246 </w:t>
            </w:r>
          </w:p>
        </w:tc>
        <w:tc>
          <w:tcPr>
            <w:tcW w:w="1003" w:type="dxa"/>
            <w:tcBorders>
              <w:top w:val="nil"/>
              <w:left w:val="nil"/>
              <w:bottom w:val="single" w:sz="4" w:space="0" w:color="000000"/>
              <w:right w:val="single" w:sz="4" w:space="0" w:color="000000"/>
            </w:tcBorders>
            <w:shd w:val="clear" w:color="auto" w:fill="auto"/>
            <w:noWrap/>
            <w:vAlign w:val="bottom"/>
          </w:tcPr>
          <w:p w14:paraId="24F40DD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29 </w:t>
            </w:r>
          </w:p>
        </w:tc>
        <w:tc>
          <w:tcPr>
            <w:tcW w:w="1333" w:type="dxa"/>
            <w:tcBorders>
              <w:top w:val="nil"/>
              <w:left w:val="nil"/>
              <w:bottom w:val="single" w:sz="4" w:space="0" w:color="000000"/>
              <w:right w:val="single" w:sz="4" w:space="0" w:color="000000"/>
            </w:tcBorders>
            <w:shd w:val="clear" w:color="auto" w:fill="auto"/>
            <w:noWrap/>
            <w:vAlign w:val="bottom"/>
          </w:tcPr>
          <w:p w14:paraId="41C4E2A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19.08% </w:t>
            </w:r>
          </w:p>
        </w:tc>
      </w:tr>
      <w:tr w:rsidR="002F68E2" w14:paraId="407667FA" w14:textId="77777777" w:rsidTr="008914AB">
        <w:trPr>
          <w:trHeight w:val="329"/>
        </w:trPr>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3470E4EA"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2</w:t>
            </w:r>
          </w:p>
        </w:tc>
        <w:tc>
          <w:tcPr>
            <w:tcW w:w="2762" w:type="dxa"/>
            <w:tcBorders>
              <w:top w:val="nil"/>
              <w:left w:val="nil"/>
              <w:bottom w:val="single" w:sz="4" w:space="0" w:color="auto"/>
              <w:right w:val="single" w:sz="4" w:space="0" w:color="auto"/>
            </w:tcBorders>
            <w:shd w:val="clear" w:color="000000" w:fill="FFFFFF"/>
            <w:noWrap/>
            <w:vAlign w:val="bottom"/>
          </w:tcPr>
          <w:p w14:paraId="6A0AB567"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color w:val="000000"/>
                <w:sz w:val="18"/>
                <w:szCs w:val="18"/>
              </w:rPr>
              <w:t>, 6009,40330</w:t>
            </w:r>
          </w:p>
        </w:tc>
        <w:tc>
          <w:tcPr>
            <w:tcW w:w="1219" w:type="dxa"/>
            <w:tcBorders>
              <w:top w:val="nil"/>
              <w:left w:val="nil"/>
              <w:bottom w:val="single" w:sz="4" w:space="0" w:color="000000"/>
              <w:right w:val="single" w:sz="4" w:space="0" w:color="000000"/>
            </w:tcBorders>
            <w:shd w:val="clear" w:color="auto" w:fill="auto"/>
            <w:noWrap/>
            <w:vAlign w:val="bottom"/>
          </w:tcPr>
          <w:p w14:paraId="37DE2CC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16 </w:t>
            </w:r>
          </w:p>
        </w:tc>
        <w:tc>
          <w:tcPr>
            <w:tcW w:w="967" w:type="dxa"/>
            <w:tcBorders>
              <w:top w:val="nil"/>
              <w:left w:val="nil"/>
              <w:bottom w:val="single" w:sz="4" w:space="0" w:color="000000"/>
              <w:right w:val="single" w:sz="4" w:space="0" w:color="000000"/>
            </w:tcBorders>
            <w:shd w:val="clear" w:color="auto" w:fill="auto"/>
            <w:noWrap/>
            <w:vAlign w:val="bottom"/>
          </w:tcPr>
          <w:p w14:paraId="61697C0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48</w:t>
            </w:r>
          </w:p>
        </w:tc>
        <w:tc>
          <w:tcPr>
            <w:tcW w:w="1361" w:type="dxa"/>
            <w:tcBorders>
              <w:top w:val="nil"/>
              <w:left w:val="nil"/>
              <w:bottom w:val="single" w:sz="4" w:space="0" w:color="000000"/>
              <w:right w:val="single" w:sz="4" w:space="0" w:color="000000"/>
            </w:tcBorders>
            <w:shd w:val="clear" w:color="auto" w:fill="auto"/>
            <w:noWrap/>
            <w:vAlign w:val="bottom"/>
          </w:tcPr>
          <w:p w14:paraId="26C8044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$25,651 </w:t>
            </w:r>
          </w:p>
        </w:tc>
        <w:tc>
          <w:tcPr>
            <w:tcW w:w="1003" w:type="dxa"/>
            <w:tcBorders>
              <w:top w:val="nil"/>
              <w:left w:val="nil"/>
              <w:bottom w:val="single" w:sz="4" w:space="0" w:color="000000"/>
              <w:right w:val="single" w:sz="4" w:space="0" w:color="000000"/>
            </w:tcBorders>
            <w:shd w:val="clear" w:color="auto" w:fill="auto"/>
            <w:noWrap/>
            <w:vAlign w:val="bottom"/>
          </w:tcPr>
          <w:p w14:paraId="62596C5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16 </w:t>
            </w:r>
          </w:p>
        </w:tc>
        <w:tc>
          <w:tcPr>
            <w:tcW w:w="1333" w:type="dxa"/>
            <w:tcBorders>
              <w:top w:val="nil"/>
              <w:left w:val="nil"/>
              <w:bottom w:val="single" w:sz="4" w:space="0" w:color="000000"/>
              <w:right w:val="single" w:sz="4" w:space="0" w:color="000000"/>
            </w:tcBorders>
            <w:shd w:val="clear" w:color="auto" w:fill="auto"/>
            <w:noWrap/>
            <w:vAlign w:val="bottom"/>
          </w:tcPr>
          <w:p w14:paraId="1B9F11B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10.53% </w:t>
            </w:r>
          </w:p>
        </w:tc>
      </w:tr>
      <w:tr w:rsidR="002F68E2" w14:paraId="3936AC58" w14:textId="77777777" w:rsidTr="008914AB">
        <w:trPr>
          <w:trHeight w:val="329"/>
        </w:trPr>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197FAFE6"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3</w:t>
            </w:r>
          </w:p>
        </w:tc>
        <w:tc>
          <w:tcPr>
            <w:tcW w:w="2762" w:type="dxa"/>
            <w:tcBorders>
              <w:top w:val="nil"/>
              <w:left w:val="nil"/>
              <w:bottom w:val="single" w:sz="4" w:space="0" w:color="auto"/>
              <w:right w:val="single" w:sz="4" w:space="0" w:color="auto"/>
            </w:tcBorders>
            <w:shd w:val="clear" w:color="000000" w:fill="FFFFFF"/>
            <w:noWrap/>
            <w:vAlign w:val="bottom"/>
          </w:tcPr>
          <w:p w14:paraId="528BC85F" w14:textId="77777777" w:rsidR="002F68E2" w:rsidRPr="00986D36" w:rsidRDefault="002F68E2" w:rsidP="002F68E2">
            <w:pPr>
              <w:rPr>
                <w:rFonts w:ascii="Arial" w:hAnsi="Arial" w:cs="Arial"/>
                <w:b/>
                <w:color w:val="000000"/>
                <w:sz w:val="18"/>
                <w:szCs w:val="18"/>
              </w:rPr>
            </w:pPr>
            <w:r w:rsidRPr="00986D36">
              <w:rPr>
                <w:rFonts w:ascii="Arial" w:hAnsi="Arial" w:cs="Arial"/>
                <w:b/>
                <w:color w:val="000000"/>
                <w:sz w:val="18"/>
                <w:szCs w:val="18"/>
              </w:rPr>
              <w:t>48694</w:t>
            </w:r>
          </w:p>
        </w:tc>
        <w:tc>
          <w:tcPr>
            <w:tcW w:w="1219" w:type="dxa"/>
            <w:tcBorders>
              <w:top w:val="nil"/>
              <w:left w:val="nil"/>
              <w:bottom w:val="single" w:sz="4" w:space="0" w:color="000000"/>
              <w:right w:val="single" w:sz="4" w:space="0" w:color="000000"/>
            </w:tcBorders>
            <w:shd w:val="clear" w:color="000000" w:fill="FFFFFF"/>
            <w:noWrap/>
            <w:vAlign w:val="bottom"/>
          </w:tcPr>
          <w:p w14:paraId="5792B8B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 </w:t>
            </w:r>
          </w:p>
        </w:tc>
        <w:tc>
          <w:tcPr>
            <w:tcW w:w="967" w:type="dxa"/>
            <w:tcBorders>
              <w:top w:val="nil"/>
              <w:left w:val="nil"/>
              <w:bottom w:val="single" w:sz="4" w:space="0" w:color="000000"/>
              <w:right w:val="single" w:sz="4" w:space="0" w:color="000000"/>
            </w:tcBorders>
            <w:shd w:val="clear" w:color="auto" w:fill="auto"/>
            <w:noWrap/>
            <w:vAlign w:val="bottom"/>
          </w:tcPr>
          <w:p w14:paraId="32C5BE1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15</w:t>
            </w:r>
          </w:p>
        </w:tc>
        <w:tc>
          <w:tcPr>
            <w:tcW w:w="1361" w:type="dxa"/>
            <w:tcBorders>
              <w:top w:val="nil"/>
              <w:left w:val="nil"/>
              <w:bottom w:val="single" w:sz="4" w:space="0" w:color="000000"/>
              <w:right w:val="single" w:sz="4" w:space="0" w:color="000000"/>
            </w:tcBorders>
            <w:shd w:val="clear" w:color="auto" w:fill="auto"/>
            <w:noWrap/>
            <w:vAlign w:val="bottom"/>
          </w:tcPr>
          <w:p w14:paraId="67196DB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$16,241 </w:t>
            </w:r>
          </w:p>
        </w:tc>
        <w:tc>
          <w:tcPr>
            <w:tcW w:w="1003" w:type="dxa"/>
            <w:tcBorders>
              <w:top w:val="nil"/>
              <w:left w:val="nil"/>
              <w:bottom w:val="single" w:sz="4" w:space="0" w:color="000000"/>
              <w:right w:val="single" w:sz="4" w:space="0" w:color="000000"/>
            </w:tcBorders>
            <w:shd w:val="clear" w:color="000000" w:fill="FFFFFF"/>
            <w:noWrap/>
            <w:vAlign w:val="bottom"/>
          </w:tcPr>
          <w:p w14:paraId="5593C42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 </w:t>
            </w:r>
          </w:p>
        </w:tc>
        <w:tc>
          <w:tcPr>
            <w:tcW w:w="1333" w:type="dxa"/>
            <w:tcBorders>
              <w:top w:val="nil"/>
              <w:left w:val="nil"/>
              <w:bottom w:val="single" w:sz="4" w:space="0" w:color="000000"/>
              <w:right w:val="single" w:sz="4" w:space="0" w:color="000000"/>
            </w:tcBorders>
            <w:shd w:val="clear" w:color="auto" w:fill="auto"/>
            <w:noWrap/>
            <w:vAlign w:val="bottom"/>
          </w:tcPr>
          <w:p w14:paraId="20D8D38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9.87% </w:t>
            </w:r>
          </w:p>
        </w:tc>
      </w:tr>
      <w:tr w:rsidR="002F68E2" w14:paraId="39DFF8EC" w14:textId="77777777" w:rsidTr="008914AB">
        <w:trPr>
          <w:trHeight w:val="329"/>
        </w:trPr>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017E7374"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4</w:t>
            </w:r>
          </w:p>
        </w:tc>
        <w:tc>
          <w:tcPr>
            <w:tcW w:w="2762" w:type="dxa"/>
            <w:tcBorders>
              <w:top w:val="nil"/>
              <w:left w:val="nil"/>
              <w:bottom w:val="single" w:sz="4" w:space="0" w:color="auto"/>
              <w:right w:val="single" w:sz="4" w:space="0" w:color="auto"/>
            </w:tcBorders>
            <w:shd w:val="clear" w:color="000000" w:fill="FFFFFF"/>
            <w:noWrap/>
            <w:vAlign w:val="bottom"/>
          </w:tcPr>
          <w:p w14:paraId="6B1FE78E"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color w:val="000000"/>
                <w:sz w:val="18"/>
                <w:szCs w:val="18"/>
              </w:rPr>
              <w:t>, 6011,40330</w:t>
            </w:r>
          </w:p>
        </w:tc>
        <w:tc>
          <w:tcPr>
            <w:tcW w:w="1219" w:type="dxa"/>
            <w:tcBorders>
              <w:top w:val="nil"/>
              <w:left w:val="nil"/>
              <w:bottom w:val="single" w:sz="4" w:space="0" w:color="000000"/>
              <w:right w:val="single" w:sz="4" w:space="0" w:color="000000"/>
            </w:tcBorders>
            <w:shd w:val="clear" w:color="000000" w:fill="FFFFFF"/>
            <w:noWrap/>
            <w:vAlign w:val="bottom"/>
          </w:tcPr>
          <w:p w14:paraId="4203183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 </w:t>
            </w:r>
          </w:p>
        </w:tc>
        <w:tc>
          <w:tcPr>
            <w:tcW w:w="967" w:type="dxa"/>
            <w:tcBorders>
              <w:top w:val="nil"/>
              <w:left w:val="nil"/>
              <w:bottom w:val="single" w:sz="4" w:space="0" w:color="000000"/>
              <w:right w:val="single" w:sz="4" w:space="0" w:color="000000"/>
            </w:tcBorders>
            <w:shd w:val="clear" w:color="auto" w:fill="auto"/>
            <w:noWrap/>
            <w:vAlign w:val="bottom"/>
          </w:tcPr>
          <w:p w14:paraId="0BC3DA8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45</w:t>
            </w:r>
          </w:p>
        </w:tc>
        <w:tc>
          <w:tcPr>
            <w:tcW w:w="1361" w:type="dxa"/>
            <w:tcBorders>
              <w:top w:val="nil"/>
              <w:left w:val="nil"/>
              <w:bottom w:val="single" w:sz="4" w:space="0" w:color="000000"/>
              <w:right w:val="single" w:sz="4" w:space="0" w:color="000000"/>
            </w:tcBorders>
            <w:shd w:val="clear" w:color="auto" w:fill="auto"/>
            <w:noWrap/>
            <w:vAlign w:val="bottom"/>
          </w:tcPr>
          <w:p w14:paraId="73A2645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$24,686 </w:t>
            </w:r>
          </w:p>
        </w:tc>
        <w:tc>
          <w:tcPr>
            <w:tcW w:w="1003" w:type="dxa"/>
            <w:tcBorders>
              <w:top w:val="nil"/>
              <w:left w:val="nil"/>
              <w:bottom w:val="single" w:sz="4" w:space="0" w:color="000000"/>
              <w:right w:val="single" w:sz="4" w:space="0" w:color="000000"/>
            </w:tcBorders>
            <w:shd w:val="clear" w:color="000000" w:fill="FFFFFF"/>
            <w:noWrap/>
            <w:vAlign w:val="bottom"/>
          </w:tcPr>
          <w:p w14:paraId="37F184B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 </w:t>
            </w:r>
          </w:p>
        </w:tc>
        <w:tc>
          <w:tcPr>
            <w:tcW w:w="1333" w:type="dxa"/>
            <w:tcBorders>
              <w:top w:val="nil"/>
              <w:left w:val="nil"/>
              <w:bottom w:val="single" w:sz="4" w:space="0" w:color="000000"/>
              <w:right w:val="single" w:sz="4" w:space="0" w:color="000000"/>
            </w:tcBorders>
            <w:shd w:val="clear" w:color="auto" w:fill="auto"/>
            <w:noWrap/>
            <w:vAlign w:val="bottom"/>
          </w:tcPr>
          <w:p w14:paraId="477DA2E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9.87% </w:t>
            </w:r>
          </w:p>
        </w:tc>
      </w:tr>
      <w:tr w:rsidR="002F68E2" w14:paraId="03225DC3" w14:textId="77777777" w:rsidTr="008914AB">
        <w:trPr>
          <w:trHeight w:val="329"/>
        </w:trPr>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605D509F"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5</w:t>
            </w:r>
          </w:p>
        </w:tc>
        <w:tc>
          <w:tcPr>
            <w:tcW w:w="2762" w:type="dxa"/>
            <w:tcBorders>
              <w:top w:val="nil"/>
              <w:left w:val="nil"/>
              <w:bottom w:val="single" w:sz="4" w:space="0" w:color="auto"/>
              <w:right w:val="single" w:sz="4" w:space="0" w:color="auto"/>
            </w:tcBorders>
            <w:shd w:val="clear" w:color="000000" w:fill="FFFFFF"/>
            <w:noWrap/>
            <w:vAlign w:val="bottom"/>
          </w:tcPr>
          <w:p w14:paraId="76EACA43"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color w:val="000000"/>
                <w:sz w:val="18"/>
                <w:szCs w:val="18"/>
              </w:rPr>
              <w:t>, 48242,48669,48684</w:t>
            </w:r>
          </w:p>
        </w:tc>
        <w:tc>
          <w:tcPr>
            <w:tcW w:w="1219" w:type="dxa"/>
            <w:tcBorders>
              <w:top w:val="nil"/>
              <w:left w:val="nil"/>
              <w:bottom w:val="single" w:sz="4" w:space="0" w:color="000000"/>
              <w:right w:val="single" w:sz="4" w:space="0" w:color="000000"/>
            </w:tcBorders>
            <w:shd w:val="clear" w:color="000000" w:fill="FFFFFF"/>
            <w:noWrap/>
            <w:vAlign w:val="bottom"/>
          </w:tcPr>
          <w:p w14:paraId="285E58C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 </w:t>
            </w:r>
          </w:p>
        </w:tc>
        <w:tc>
          <w:tcPr>
            <w:tcW w:w="967" w:type="dxa"/>
            <w:tcBorders>
              <w:top w:val="nil"/>
              <w:left w:val="nil"/>
              <w:bottom w:val="single" w:sz="4" w:space="0" w:color="000000"/>
              <w:right w:val="single" w:sz="4" w:space="0" w:color="000000"/>
            </w:tcBorders>
            <w:shd w:val="clear" w:color="auto" w:fill="auto"/>
            <w:noWrap/>
            <w:vAlign w:val="bottom"/>
          </w:tcPr>
          <w:p w14:paraId="4680046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36 </w:t>
            </w:r>
          </w:p>
        </w:tc>
        <w:tc>
          <w:tcPr>
            <w:tcW w:w="1361" w:type="dxa"/>
            <w:tcBorders>
              <w:top w:val="nil"/>
              <w:left w:val="nil"/>
              <w:bottom w:val="single" w:sz="4" w:space="0" w:color="000000"/>
              <w:right w:val="single" w:sz="4" w:space="0" w:color="000000"/>
            </w:tcBorders>
            <w:shd w:val="clear" w:color="auto" w:fill="auto"/>
            <w:noWrap/>
            <w:vAlign w:val="bottom"/>
          </w:tcPr>
          <w:p w14:paraId="383511B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$21,501 </w:t>
            </w:r>
          </w:p>
        </w:tc>
        <w:tc>
          <w:tcPr>
            <w:tcW w:w="1003" w:type="dxa"/>
            <w:tcBorders>
              <w:top w:val="nil"/>
              <w:left w:val="nil"/>
              <w:bottom w:val="single" w:sz="4" w:space="0" w:color="000000"/>
              <w:right w:val="single" w:sz="4" w:space="0" w:color="000000"/>
            </w:tcBorders>
            <w:shd w:val="clear" w:color="000000" w:fill="FFFFFF"/>
            <w:noWrap/>
            <w:vAlign w:val="bottom"/>
          </w:tcPr>
          <w:p w14:paraId="66F6A6AC" w14:textId="77777777" w:rsidR="002F68E2" w:rsidRDefault="002F68E2" w:rsidP="002F68E2">
            <w:pPr>
              <w:jc w:val="right"/>
              <w:rPr>
                <w:rFonts w:ascii="Arial" w:hAnsi="Arial" w:cs="Arial"/>
                <w:color w:val="000000"/>
                <w:sz w:val="18"/>
                <w:szCs w:val="18"/>
              </w:rPr>
            </w:pPr>
            <w:r w:rsidRPr="001D4CA5">
              <w:rPr>
                <w:rFonts w:ascii="Arial" w:hAnsi="Arial" w:cs="Arial"/>
                <w:color w:val="000000"/>
                <w:sz w:val="18"/>
                <w:szCs w:val="18"/>
              </w:rPr>
              <w:t xml:space="preserve">7 </w:t>
            </w:r>
          </w:p>
        </w:tc>
        <w:tc>
          <w:tcPr>
            <w:tcW w:w="1333" w:type="dxa"/>
            <w:tcBorders>
              <w:top w:val="nil"/>
              <w:left w:val="nil"/>
              <w:bottom w:val="single" w:sz="4" w:space="0" w:color="000000"/>
              <w:right w:val="single" w:sz="4" w:space="0" w:color="000000"/>
            </w:tcBorders>
            <w:shd w:val="clear" w:color="auto" w:fill="auto"/>
            <w:noWrap/>
            <w:vAlign w:val="bottom"/>
          </w:tcPr>
          <w:p w14:paraId="1F650FF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5.92% </w:t>
            </w:r>
          </w:p>
        </w:tc>
      </w:tr>
      <w:tr w:rsidR="002F68E2" w:rsidRPr="009A4436" w14:paraId="1DDCD8F1" w14:textId="77777777" w:rsidTr="008914AB">
        <w:trPr>
          <w:trHeight w:val="329"/>
        </w:trPr>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5873ABF3" w14:textId="77777777" w:rsidR="002F68E2" w:rsidRPr="00AA4871" w:rsidRDefault="002F68E2" w:rsidP="002F68E2">
            <w:pPr>
              <w:jc w:val="right"/>
              <w:rPr>
                <w:rFonts w:ascii="Arial" w:hAnsi="Arial" w:cs="Arial"/>
                <w:sz w:val="18"/>
                <w:szCs w:val="18"/>
              </w:rPr>
            </w:pPr>
            <w:r w:rsidRPr="00AA4871">
              <w:rPr>
                <w:rFonts w:ascii="Arial" w:hAnsi="Arial" w:cs="Arial"/>
                <w:sz w:val="18"/>
                <w:szCs w:val="18"/>
              </w:rPr>
              <w:t>6</w:t>
            </w:r>
          </w:p>
        </w:tc>
        <w:tc>
          <w:tcPr>
            <w:tcW w:w="2762" w:type="dxa"/>
            <w:tcBorders>
              <w:top w:val="nil"/>
              <w:left w:val="nil"/>
              <w:bottom w:val="single" w:sz="4" w:space="0" w:color="auto"/>
              <w:right w:val="single" w:sz="4" w:space="0" w:color="auto"/>
            </w:tcBorders>
            <w:shd w:val="clear" w:color="000000" w:fill="FFFFFF"/>
            <w:noWrap/>
            <w:vAlign w:val="bottom"/>
          </w:tcPr>
          <w:p w14:paraId="68986643" w14:textId="77777777" w:rsidR="002F68E2" w:rsidRPr="00AA4871" w:rsidRDefault="002F68E2" w:rsidP="002F68E2">
            <w:pPr>
              <w:rPr>
                <w:rFonts w:ascii="Arial" w:hAnsi="Arial" w:cs="Arial"/>
                <w:color w:val="000000"/>
                <w:sz w:val="18"/>
                <w:szCs w:val="18"/>
              </w:rPr>
            </w:pPr>
            <w:r w:rsidRPr="00986D36">
              <w:rPr>
                <w:rFonts w:ascii="Arial" w:hAnsi="Arial" w:cs="Arial"/>
                <w:b/>
                <w:color w:val="000000"/>
                <w:sz w:val="18"/>
                <w:szCs w:val="18"/>
              </w:rPr>
              <w:t>4869</w:t>
            </w:r>
            <w:r>
              <w:rPr>
                <w:rFonts w:ascii="Arial" w:hAnsi="Arial" w:cs="Arial"/>
                <w:b/>
                <w:color w:val="000000"/>
                <w:sz w:val="18"/>
                <w:szCs w:val="18"/>
              </w:rPr>
              <w:t>4,</w:t>
            </w:r>
            <w:r w:rsidRPr="00AA4871">
              <w:rPr>
                <w:rFonts w:ascii="Arial" w:hAnsi="Arial" w:cs="Arial"/>
                <w:color w:val="000000"/>
                <w:sz w:val="18"/>
                <w:szCs w:val="18"/>
              </w:rPr>
              <w:t xml:space="preserve"> 6011</w:t>
            </w:r>
          </w:p>
        </w:tc>
        <w:tc>
          <w:tcPr>
            <w:tcW w:w="1219" w:type="dxa"/>
            <w:tcBorders>
              <w:top w:val="nil"/>
              <w:left w:val="nil"/>
              <w:bottom w:val="single" w:sz="4" w:space="0" w:color="000000"/>
              <w:right w:val="single" w:sz="4" w:space="0" w:color="000000"/>
            </w:tcBorders>
            <w:shd w:val="clear" w:color="000000" w:fill="FFFFFF"/>
            <w:noWrap/>
            <w:vAlign w:val="bottom"/>
          </w:tcPr>
          <w:p w14:paraId="39981924" w14:textId="77777777" w:rsidR="002F68E2" w:rsidRPr="00AA4871" w:rsidRDefault="002F68E2" w:rsidP="002F68E2">
            <w:pPr>
              <w:jc w:val="right"/>
              <w:rPr>
                <w:rFonts w:ascii="Arial" w:hAnsi="Arial" w:cs="Arial"/>
                <w:color w:val="000000"/>
                <w:sz w:val="18"/>
                <w:szCs w:val="18"/>
              </w:rPr>
            </w:pPr>
            <w:r>
              <w:rPr>
                <w:rFonts w:ascii="Arial" w:hAnsi="Arial" w:cs="Arial"/>
                <w:color w:val="000000"/>
                <w:sz w:val="18"/>
                <w:szCs w:val="18"/>
              </w:rPr>
              <w:t>7</w:t>
            </w:r>
            <w:r w:rsidRPr="00AA4871">
              <w:rPr>
                <w:rFonts w:ascii="Arial" w:hAnsi="Arial" w:cs="Arial"/>
                <w:color w:val="000000"/>
                <w:sz w:val="18"/>
                <w:szCs w:val="18"/>
              </w:rPr>
              <w:t xml:space="preserve"> </w:t>
            </w:r>
          </w:p>
        </w:tc>
        <w:tc>
          <w:tcPr>
            <w:tcW w:w="967" w:type="dxa"/>
            <w:tcBorders>
              <w:top w:val="nil"/>
              <w:left w:val="nil"/>
              <w:bottom w:val="single" w:sz="4" w:space="0" w:color="000000"/>
              <w:right w:val="single" w:sz="4" w:space="0" w:color="000000"/>
            </w:tcBorders>
            <w:shd w:val="clear" w:color="auto" w:fill="auto"/>
            <w:noWrap/>
            <w:vAlign w:val="bottom"/>
          </w:tcPr>
          <w:p w14:paraId="1B095D23" w14:textId="77777777" w:rsidR="002F68E2" w:rsidRPr="00AA4871" w:rsidRDefault="002F68E2" w:rsidP="002F68E2">
            <w:pPr>
              <w:jc w:val="right"/>
              <w:rPr>
                <w:rFonts w:ascii="Arial" w:hAnsi="Arial" w:cs="Arial"/>
                <w:color w:val="000000"/>
                <w:sz w:val="18"/>
                <w:szCs w:val="18"/>
              </w:rPr>
            </w:pPr>
            <w:r>
              <w:rPr>
                <w:rFonts w:ascii="Arial" w:hAnsi="Arial" w:cs="Arial"/>
                <w:color w:val="000000"/>
                <w:sz w:val="18"/>
                <w:szCs w:val="18"/>
              </w:rPr>
              <w:t>14</w:t>
            </w:r>
          </w:p>
        </w:tc>
        <w:tc>
          <w:tcPr>
            <w:tcW w:w="1361" w:type="dxa"/>
            <w:tcBorders>
              <w:top w:val="nil"/>
              <w:left w:val="nil"/>
              <w:bottom w:val="single" w:sz="4" w:space="0" w:color="000000"/>
              <w:right w:val="single" w:sz="4" w:space="0" w:color="000000"/>
            </w:tcBorders>
            <w:shd w:val="clear" w:color="auto" w:fill="auto"/>
            <w:noWrap/>
            <w:vAlign w:val="bottom"/>
          </w:tcPr>
          <w:p w14:paraId="5146C023" w14:textId="77777777" w:rsidR="002F68E2" w:rsidRPr="00AA4871" w:rsidRDefault="002F68E2" w:rsidP="002F68E2">
            <w:pPr>
              <w:jc w:val="right"/>
              <w:rPr>
                <w:rFonts w:ascii="Arial" w:hAnsi="Arial" w:cs="Arial"/>
                <w:color w:val="000000"/>
                <w:sz w:val="18"/>
                <w:szCs w:val="18"/>
              </w:rPr>
            </w:pPr>
            <w:r w:rsidRPr="00AA4871">
              <w:rPr>
                <w:rFonts w:ascii="Arial" w:hAnsi="Arial" w:cs="Arial"/>
                <w:color w:val="000000"/>
                <w:sz w:val="18"/>
                <w:szCs w:val="18"/>
              </w:rPr>
              <w:t xml:space="preserve">$8,178 </w:t>
            </w:r>
          </w:p>
        </w:tc>
        <w:tc>
          <w:tcPr>
            <w:tcW w:w="1003" w:type="dxa"/>
            <w:tcBorders>
              <w:top w:val="nil"/>
              <w:left w:val="nil"/>
              <w:bottom w:val="single" w:sz="4" w:space="0" w:color="000000"/>
              <w:right w:val="single" w:sz="4" w:space="0" w:color="000000"/>
            </w:tcBorders>
            <w:shd w:val="clear" w:color="000000" w:fill="FFFFFF"/>
            <w:noWrap/>
            <w:vAlign w:val="bottom"/>
          </w:tcPr>
          <w:p w14:paraId="2245CFF0" w14:textId="77777777" w:rsidR="002F68E2" w:rsidRPr="00AA4871" w:rsidRDefault="002F68E2" w:rsidP="002F68E2">
            <w:pPr>
              <w:jc w:val="right"/>
              <w:rPr>
                <w:rFonts w:ascii="Arial" w:hAnsi="Arial" w:cs="Arial"/>
                <w:color w:val="000000"/>
                <w:sz w:val="18"/>
                <w:szCs w:val="18"/>
              </w:rPr>
            </w:pPr>
            <w:r>
              <w:rPr>
                <w:rFonts w:ascii="Arial" w:hAnsi="Arial" w:cs="Arial"/>
                <w:color w:val="000000"/>
                <w:sz w:val="18"/>
                <w:szCs w:val="18"/>
              </w:rPr>
              <w:t xml:space="preserve">7 </w:t>
            </w:r>
          </w:p>
        </w:tc>
        <w:tc>
          <w:tcPr>
            <w:tcW w:w="1333" w:type="dxa"/>
            <w:tcBorders>
              <w:top w:val="nil"/>
              <w:left w:val="nil"/>
              <w:bottom w:val="single" w:sz="4" w:space="0" w:color="000000"/>
              <w:right w:val="single" w:sz="4" w:space="0" w:color="000000"/>
            </w:tcBorders>
            <w:shd w:val="clear" w:color="auto" w:fill="auto"/>
            <w:noWrap/>
            <w:vAlign w:val="bottom"/>
          </w:tcPr>
          <w:p w14:paraId="6B470021" w14:textId="77777777" w:rsidR="002F68E2" w:rsidRPr="00AA4871" w:rsidRDefault="002F68E2" w:rsidP="002F68E2">
            <w:pPr>
              <w:jc w:val="right"/>
              <w:rPr>
                <w:rFonts w:ascii="Arial" w:hAnsi="Arial" w:cs="Arial"/>
                <w:color w:val="000000"/>
                <w:sz w:val="18"/>
                <w:szCs w:val="18"/>
              </w:rPr>
            </w:pPr>
            <w:r w:rsidRPr="00AA4871">
              <w:rPr>
                <w:rFonts w:ascii="Arial" w:hAnsi="Arial" w:cs="Arial"/>
                <w:color w:val="000000"/>
                <w:sz w:val="18"/>
                <w:szCs w:val="18"/>
              </w:rPr>
              <w:t xml:space="preserve">4.61% </w:t>
            </w:r>
          </w:p>
        </w:tc>
      </w:tr>
      <w:tr w:rsidR="002F68E2" w14:paraId="3216EB73" w14:textId="77777777" w:rsidTr="008914AB">
        <w:trPr>
          <w:trHeight w:val="329"/>
        </w:trPr>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3C7B5F0E"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7</w:t>
            </w:r>
          </w:p>
        </w:tc>
        <w:tc>
          <w:tcPr>
            <w:tcW w:w="2762" w:type="dxa"/>
            <w:tcBorders>
              <w:top w:val="nil"/>
              <w:left w:val="nil"/>
              <w:bottom w:val="single" w:sz="4" w:space="0" w:color="auto"/>
              <w:right w:val="single" w:sz="4" w:space="0" w:color="auto"/>
            </w:tcBorders>
            <w:shd w:val="clear" w:color="000000" w:fill="FFFFFF"/>
            <w:noWrap/>
            <w:vAlign w:val="bottom"/>
          </w:tcPr>
          <w:p w14:paraId="63FA7D31" w14:textId="77777777" w:rsidR="002F68E2" w:rsidRPr="00AA4871" w:rsidRDefault="002F68E2" w:rsidP="002F68E2">
            <w:pPr>
              <w:rPr>
                <w:rFonts w:ascii="Arial" w:hAnsi="Arial" w:cs="Arial"/>
                <w:color w:val="000000"/>
                <w:sz w:val="18"/>
                <w:szCs w:val="18"/>
              </w:rPr>
            </w:pPr>
            <w:r w:rsidRPr="00986D36">
              <w:rPr>
                <w:rFonts w:ascii="Arial" w:hAnsi="Arial" w:cs="Arial"/>
                <w:b/>
                <w:color w:val="000000"/>
                <w:sz w:val="18"/>
                <w:szCs w:val="18"/>
              </w:rPr>
              <w:t>4869</w:t>
            </w:r>
            <w:r>
              <w:rPr>
                <w:rFonts w:ascii="Arial" w:hAnsi="Arial" w:cs="Arial"/>
                <w:b/>
                <w:color w:val="000000"/>
                <w:sz w:val="18"/>
                <w:szCs w:val="18"/>
              </w:rPr>
              <w:t>4,</w:t>
            </w:r>
            <w:r w:rsidRPr="00AA4871">
              <w:rPr>
                <w:rFonts w:ascii="Arial" w:hAnsi="Arial" w:cs="Arial"/>
                <w:color w:val="000000"/>
                <w:sz w:val="18"/>
                <w:szCs w:val="18"/>
              </w:rPr>
              <w:t>48242,48660,48684</w:t>
            </w:r>
          </w:p>
        </w:tc>
        <w:tc>
          <w:tcPr>
            <w:tcW w:w="1219" w:type="dxa"/>
            <w:tcBorders>
              <w:top w:val="nil"/>
              <w:left w:val="nil"/>
              <w:bottom w:val="single" w:sz="4" w:space="0" w:color="000000"/>
              <w:right w:val="single" w:sz="4" w:space="0" w:color="000000"/>
            </w:tcBorders>
            <w:shd w:val="clear" w:color="000000" w:fill="FFFFFF"/>
            <w:noWrap/>
            <w:vAlign w:val="bottom"/>
          </w:tcPr>
          <w:p w14:paraId="1BA1AA3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 </w:t>
            </w:r>
          </w:p>
        </w:tc>
        <w:tc>
          <w:tcPr>
            <w:tcW w:w="967" w:type="dxa"/>
            <w:tcBorders>
              <w:top w:val="nil"/>
              <w:left w:val="nil"/>
              <w:bottom w:val="single" w:sz="4" w:space="0" w:color="000000"/>
              <w:right w:val="single" w:sz="4" w:space="0" w:color="000000"/>
            </w:tcBorders>
            <w:shd w:val="clear" w:color="auto" w:fill="auto"/>
            <w:noWrap/>
            <w:vAlign w:val="bottom"/>
          </w:tcPr>
          <w:p w14:paraId="240C3C5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28 </w:t>
            </w:r>
          </w:p>
        </w:tc>
        <w:tc>
          <w:tcPr>
            <w:tcW w:w="1361" w:type="dxa"/>
            <w:tcBorders>
              <w:top w:val="nil"/>
              <w:left w:val="nil"/>
              <w:bottom w:val="single" w:sz="4" w:space="0" w:color="000000"/>
              <w:right w:val="single" w:sz="4" w:space="0" w:color="000000"/>
            </w:tcBorders>
            <w:shd w:val="clear" w:color="auto" w:fill="auto"/>
            <w:noWrap/>
            <w:vAlign w:val="bottom"/>
          </w:tcPr>
          <w:p w14:paraId="047414E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$14,087 </w:t>
            </w:r>
          </w:p>
        </w:tc>
        <w:tc>
          <w:tcPr>
            <w:tcW w:w="1003" w:type="dxa"/>
            <w:tcBorders>
              <w:top w:val="nil"/>
              <w:left w:val="nil"/>
              <w:bottom w:val="single" w:sz="4" w:space="0" w:color="000000"/>
              <w:right w:val="single" w:sz="4" w:space="0" w:color="000000"/>
            </w:tcBorders>
            <w:shd w:val="clear" w:color="000000" w:fill="FFFFFF"/>
            <w:noWrap/>
            <w:vAlign w:val="bottom"/>
          </w:tcPr>
          <w:p w14:paraId="74528AF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 </w:t>
            </w:r>
          </w:p>
        </w:tc>
        <w:tc>
          <w:tcPr>
            <w:tcW w:w="1333" w:type="dxa"/>
            <w:tcBorders>
              <w:top w:val="nil"/>
              <w:left w:val="nil"/>
              <w:bottom w:val="single" w:sz="4" w:space="0" w:color="000000"/>
              <w:right w:val="single" w:sz="4" w:space="0" w:color="000000"/>
            </w:tcBorders>
            <w:shd w:val="clear" w:color="auto" w:fill="auto"/>
            <w:noWrap/>
            <w:vAlign w:val="bottom"/>
          </w:tcPr>
          <w:p w14:paraId="1DAA875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4.61% </w:t>
            </w:r>
          </w:p>
        </w:tc>
      </w:tr>
      <w:tr w:rsidR="002F68E2" w14:paraId="2CC50235" w14:textId="77777777" w:rsidTr="008914AB">
        <w:trPr>
          <w:trHeight w:val="329"/>
        </w:trPr>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34536243"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8</w:t>
            </w:r>
          </w:p>
        </w:tc>
        <w:tc>
          <w:tcPr>
            <w:tcW w:w="2762" w:type="dxa"/>
            <w:tcBorders>
              <w:top w:val="nil"/>
              <w:left w:val="nil"/>
              <w:bottom w:val="single" w:sz="4" w:space="0" w:color="auto"/>
              <w:right w:val="single" w:sz="4" w:space="0" w:color="auto"/>
            </w:tcBorders>
            <w:shd w:val="clear" w:color="000000" w:fill="FFFFFF"/>
            <w:noWrap/>
            <w:vAlign w:val="bottom"/>
          </w:tcPr>
          <w:p w14:paraId="7DED62C0" w14:textId="77777777" w:rsidR="002F68E2" w:rsidRPr="00AA4871" w:rsidRDefault="002F68E2" w:rsidP="002F68E2">
            <w:pPr>
              <w:rPr>
                <w:rFonts w:ascii="Arial" w:hAnsi="Arial" w:cs="Arial"/>
                <w:color w:val="000000"/>
                <w:sz w:val="18"/>
                <w:szCs w:val="18"/>
              </w:rPr>
            </w:pPr>
            <w:r w:rsidRPr="00986D36">
              <w:rPr>
                <w:rFonts w:ascii="Arial" w:hAnsi="Arial" w:cs="Arial"/>
                <w:b/>
                <w:color w:val="000000"/>
                <w:sz w:val="18"/>
                <w:szCs w:val="18"/>
              </w:rPr>
              <w:t>4869</w:t>
            </w:r>
            <w:r>
              <w:rPr>
                <w:rFonts w:ascii="Arial" w:hAnsi="Arial" w:cs="Arial"/>
                <w:b/>
                <w:color w:val="000000"/>
                <w:sz w:val="18"/>
                <w:szCs w:val="18"/>
              </w:rPr>
              <w:t>4,</w:t>
            </w:r>
            <w:r w:rsidRPr="00AA4871">
              <w:rPr>
                <w:rFonts w:ascii="Arial" w:hAnsi="Arial" w:cs="Arial"/>
                <w:color w:val="000000"/>
                <w:sz w:val="18"/>
                <w:szCs w:val="18"/>
              </w:rPr>
              <w:t>40330,48660,48684</w:t>
            </w:r>
          </w:p>
        </w:tc>
        <w:tc>
          <w:tcPr>
            <w:tcW w:w="1219" w:type="dxa"/>
            <w:tcBorders>
              <w:top w:val="nil"/>
              <w:left w:val="nil"/>
              <w:bottom w:val="single" w:sz="4" w:space="0" w:color="000000"/>
              <w:right w:val="single" w:sz="4" w:space="0" w:color="000000"/>
            </w:tcBorders>
            <w:shd w:val="clear" w:color="000000" w:fill="FFFFFF"/>
            <w:noWrap/>
            <w:vAlign w:val="bottom"/>
          </w:tcPr>
          <w:p w14:paraId="16F26BB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 </w:t>
            </w:r>
          </w:p>
        </w:tc>
        <w:tc>
          <w:tcPr>
            <w:tcW w:w="967" w:type="dxa"/>
            <w:tcBorders>
              <w:top w:val="nil"/>
              <w:left w:val="nil"/>
              <w:bottom w:val="single" w:sz="4" w:space="0" w:color="000000"/>
              <w:right w:val="single" w:sz="4" w:space="0" w:color="000000"/>
            </w:tcBorders>
            <w:shd w:val="clear" w:color="auto" w:fill="auto"/>
            <w:noWrap/>
            <w:vAlign w:val="bottom"/>
          </w:tcPr>
          <w:p w14:paraId="6D1B310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20 </w:t>
            </w:r>
          </w:p>
        </w:tc>
        <w:tc>
          <w:tcPr>
            <w:tcW w:w="1361" w:type="dxa"/>
            <w:tcBorders>
              <w:top w:val="nil"/>
              <w:left w:val="nil"/>
              <w:bottom w:val="single" w:sz="4" w:space="0" w:color="000000"/>
              <w:right w:val="single" w:sz="4" w:space="0" w:color="000000"/>
            </w:tcBorders>
            <w:shd w:val="clear" w:color="auto" w:fill="auto"/>
            <w:noWrap/>
            <w:vAlign w:val="bottom"/>
          </w:tcPr>
          <w:p w14:paraId="4733F84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$10,491 </w:t>
            </w:r>
          </w:p>
        </w:tc>
        <w:tc>
          <w:tcPr>
            <w:tcW w:w="1003" w:type="dxa"/>
            <w:tcBorders>
              <w:top w:val="nil"/>
              <w:left w:val="nil"/>
              <w:bottom w:val="single" w:sz="4" w:space="0" w:color="000000"/>
              <w:right w:val="single" w:sz="4" w:space="0" w:color="000000"/>
            </w:tcBorders>
            <w:shd w:val="clear" w:color="000000" w:fill="FFFFFF"/>
            <w:noWrap/>
            <w:vAlign w:val="bottom"/>
          </w:tcPr>
          <w:p w14:paraId="2FC8EB3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 </w:t>
            </w:r>
          </w:p>
        </w:tc>
        <w:tc>
          <w:tcPr>
            <w:tcW w:w="1333" w:type="dxa"/>
            <w:tcBorders>
              <w:top w:val="nil"/>
              <w:left w:val="nil"/>
              <w:bottom w:val="single" w:sz="4" w:space="0" w:color="000000"/>
              <w:right w:val="single" w:sz="4" w:space="0" w:color="000000"/>
            </w:tcBorders>
            <w:shd w:val="clear" w:color="auto" w:fill="auto"/>
            <w:noWrap/>
            <w:vAlign w:val="bottom"/>
          </w:tcPr>
          <w:p w14:paraId="49F3E5D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3.29% </w:t>
            </w:r>
          </w:p>
        </w:tc>
      </w:tr>
      <w:tr w:rsidR="002F68E2" w14:paraId="61307D4B" w14:textId="77777777" w:rsidTr="008914AB">
        <w:trPr>
          <w:trHeight w:val="329"/>
        </w:trPr>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1CF27F53"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9</w:t>
            </w:r>
          </w:p>
        </w:tc>
        <w:tc>
          <w:tcPr>
            <w:tcW w:w="2762" w:type="dxa"/>
            <w:tcBorders>
              <w:top w:val="nil"/>
              <w:left w:val="nil"/>
              <w:bottom w:val="single" w:sz="4" w:space="0" w:color="auto"/>
              <w:right w:val="single" w:sz="4" w:space="0" w:color="auto"/>
            </w:tcBorders>
            <w:shd w:val="clear" w:color="000000" w:fill="FFFFFF"/>
            <w:noWrap/>
            <w:vAlign w:val="bottom"/>
          </w:tcPr>
          <w:p w14:paraId="1E0B655A" w14:textId="77777777" w:rsidR="002F68E2" w:rsidRPr="00AA4871" w:rsidRDefault="002F68E2" w:rsidP="002F68E2">
            <w:pPr>
              <w:rPr>
                <w:rFonts w:ascii="Arial" w:hAnsi="Arial" w:cs="Arial"/>
                <w:color w:val="000000"/>
                <w:sz w:val="18"/>
                <w:szCs w:val="18"/>
              </w:rPr>
            </w:pPr>
            <w:r w:rsidRPr="00986D36">
              <w:rPr>
                <w:rFonts w:ascii="Arial" w:hAnsi="Arial" w:cs="Arial"/>
                <w:b/>
                <w:color w:val="000000"/>
                <w:sz w:val="18"/>
                <w:szCs w:val="18"/>
              </w:rPr>
              <w:t>4869</w:t>
            </w:r>
            <w:r>
              <w:rPr>
                <w:rFonts w:ascii="Arial" w:hAnsi="Arial" w:cs="Arial"/>
                <w:b/>
                <w:color w:val="000000"/>
                <w:sz w:val="18"/>
                <w:szCs w:val="18"/>
              </w:rPr>
              <w:t>4,</w:t>
            </w:r>
            <w:r w:rsidRPr="00AA4871">
              <w:rPr>
                <w:rFonts w:ascii="Arial" w:hAnsi="Arial" w:cs="Arial"/>
                <w:color w:val="000000"/>
                <w:sz w:val="18"/>
                <w:szCs w:val="18"/>
              </w:rPr>
              <w:t>6011,40330,48639</w:t>
            </w:r>
          </w:p>
        </w:tc>
        <w:tc>
          <w:tcPr>
            <w:tcW w:w="1219" w:type="dxa"/>
            <w:tcBorders>
              <w:top w:val="nil"/>
              <w:left w:val="nil"/>
              <w:bottom w:val="single" w:sz="4" w:space="0" w:color="000000"/>
              <w:right w:val="single" w:sz="4" w:space="0" w:color="000000"/>
            </w:tcBorders>
            <w:shd w:val="clear" w:color="000000" w:fill="FFFFFF"/>
            <w:noWrap/>
            <w:vAlign w:val="bottom"/>
          </w:tcPr>
          <w:p w14:paraId="363BEB2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 </w:t>
            </w:r>
          </w:p>
        </w:tc>
        <w:tc>
          <w:tcPr>
            <w:tcW w:w="967" w:type="dxa"/>
            <w:tcBorders>
              <w:top w:val="nil"/>
              <w:left w:val="nil"/>
              <w:bottom w:val="single" w:sz="4" w:space="0" w:color="000000"/>
              <w:right w:val="single" w:sz="4" w:space="0" w:color="000000"/>
            </w:tcBorders>
            <w:shd w:val="clear" w:color="auto" w:fill="auto"/>
            <w:noWrap/>
            <w:vAlign w:val="bottom"/>
          </w:tcPr>
          <w:p w14:paraId="33B8757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21 </w:t>
            </w:r>
          </w:p>
        </w:tc>
        <w:tc>
          <w:tcPr>
            <w:tcW w:w="1361" w:type="dxa"/>
            <w:tcBorders>
              <w:top w:val="nil"/>
              <w:left w:val="nil"/>
              <w:bottom w:val="single" w:sz="4" w:space="0" w:color="000000"/>
              <w:right w:val="single" w:sz="4" w:space="0" w:color="000000"/>
            </w:tcBorders>
            <w:shd w:val="clear" w:color="auto" w:fill="auto"/>
            <w:noWrap/>
            <w:vAlign w:val="bottom"/>
          </w:tcPr>
          <w:p w14:paraId="467ED7E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$10,911 </w:t>
            </w:r>
          </w:p>
        </w:tc>
        <w:tc>
          <w:tcPr>
            <w:tcW w:w="1003" w:type="dxa"/>
            <w:tcBorders>
              <w:top w:val="nil"/>
              <w:left w:val="nil"/>
              <w:bottom w:val="single" w:sz="4" w:space="0" w:color="000000"/>
              <w:right w:val="single" w:sz="4" w:space="0" w:color="000000"/>
            </w:tcBorders>
            <w:shd w:val="clear" w:color="000000" w:fill="FFFFFF"/>
            <w:noWrap/>
            <w:vAlign w:val="bottom"/>
          </w:tcPr>
          <w:p w14:paraId="0B2CAC6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 </w:t>
            </w:r>
          </w:p>
        </w:tc>
        <w:tc>
          <w:tcPr>
            <w:tcW w:w="1333" w:type="dxa"/>
            <w:tcBorders>
              <w:top w:val="nil"/>
              <w:left w:val="nil"/>
              <w:bottom w:val="single" w:sz="4" w:space="0" w:color="000000"/>
              <w:right w:val="single" w:sz="4" w:space="0" w:color="000000"/>
            </w:tcBorders>
            <w:shd w:val="clear" w:color="auto" w:fill="auto"/>
            <w:noWrap/>
            <w:vAlign w:val="bottom"/>
          </w:tcPr>
          <w:p w14:paraId="4BDFBBB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2.63% </w:t>
            </w:r>
          </w:p>
        </w:tc>
      </w:tr>
      <w:tr w:rsidR="002F68E2" w14:paraId="4F42BD66" w14:textId="77777777" w:rsidTr="008914AB">
        <w:trPr>
          <w:trHeight w:val="329"/>
        </w:trPr>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1C439A16" w14:textId="77777777" w:rsidR="002F68E2" w:rsidRPr="00127D35" w:rsidRDefault="002F68E2" w:rsidP="002F68E2">
            <w:pPr>
              <w:jc w:val="right"/>
              <w:rPr>
                <w:rFonts w:ascii="Arial" w:hAnsi="Arial" w:cs="Arial"/>
                <w:sz w:val="18"/>
                <w:szCs w:val="18"/>
              </w:rPr>
            </w:pPr>
            <w:r>
              <w:rPr>
                <w:rFonts w:ascii="Arial" w:hAnsi="Arial" w:cs="Arial"/>
                <w:sz w:val="18"/>
                <w:szCs w:val="18"/>
              </w:rPr>
              <w:t>10</w:t>
            </w:r>
          </w:p>
        </w:tc>
        <w:tc>
          <w:tcPr>
            <w:tcW w:w="2762" w:type="dxa"/>
            <w:tcBorders>
              <w:top w:val="nil"/>
              <w:left w:val="nil"/>
              <w:bottom w:val="single" w:sz="4" w:space="0" w:color="auto"/>
              <w:right w:val="single" w:sz="4" w:space="0" w:color="auto"/>
            </w:tcBorders>
            <w:shd w:val="clear" w:color="000000" w:fill="FFFFFF"/>
            <w:noWrap/>
            <w:vAlign w:val="bottom"/>
          </w:tcPr>
          <w:p w14:paraId="687B10C9" w14:textId="77777777" w:rsidR="002F68E2" w:rsidRPr="00AA4871" w:rsidRDefault="002F68E2" w:rsidP="002F68E2">
            <w:pPr>
              <w:rPr>
                <w:rFonts w:ascii="Arial" w:hAnsi="Arial" w:cs="Arial"/>
                <w:color w:val="000000"/>
                <w:sz w:val="18"/>
                <w:szCs w:val="18"/>
              </w:rPr>
            </w:pPr>
            <w:r w:rsidRPr="00986D36">
              <w:rPr>
                <w:rFonts w:ascii="Arial" w:hAnsi="Arial" w:cs="Arial"/>
                <w:b/>
                <w:color w:val="000000"/>
                <w:sz w:val="18"/>
                <w:szCs w:val="18"/>
              </w:rPr>
              <w:t>4869</w:t>
            </w:r>
            <w:r>
              <w:rPr>
                <w:rFonts w:ascii="Arial" w:hAnsi="Arial" w:cs="Arial"/>
                <w:b/>
                <w:color w:val="000000"/>
                <w:sz w:val="18"/>
                <w:szCs w:val="18"/>
              </w:rPr>
              <w:t>4,</w:t>
            </w:r>
            <w:r w:rsidRPr="00AA4871">
              <w:rPr>
                <w:rFonts w:ascii="Arial" w:hAnsi="Arial" w:cs="Arial"/>
                <w:color w:val="000000"/>
                <w:sz w:val="18"/>
                <w:szCs w:val="18"/>
              </w:rPr>
              <w:t>105,40330,48660,48684</w:t>
            </w:r>
          </w:p>
        </w:tc>
        <w:tc>
          <w:tcPr>
            <w:tcW w:w="1219" w:type="dxa"/>
            <w:tcBorders>
              <w:top w:val="nil"/>
              <w:left w:val="nil"/>
              <w:bottom w:val="single" w:sz="4" w:space="0" w:color="000000"/>
              <w:right w:val="single" w:sz="4" w:space="0" w:color="000000"/>
            </w:tcBorders>
            <w:shd w:val="clear" w:color="000000" w:fill="FFFFFF"/>
            <w:noWrap/>
            <w:vAlign w:val="bottom"/>
          </w:tcPr>
          <w:p w14:paraId="543FE43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 </w:t>
            </w:r>
          </w:p>
        </w:tc>
        <w:tc>
          <w:tcPr>
            <w:tcW w:w="967" w:type="dxa"/>
            <w:tcBorders>
              <w:top w:val="nil"/>
              <w:left w:val="nil"/>
              <w:bottom w:val="single" w:sz="4" w:space="0" w:color="000000"/>
              <w:right w:val="single" w:sz="4" w:space="0" w:color="000000"/>
            </w:tcBorders>
            <w:shd w:val="clear" w:color="auto" w:fill="auto"/>
            <w:noWrap/>
            <w:vAlign w:val="bottom"/>
          </w:tcPr>
          <w:p w14:paraId="3222A26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 </w:t>
            </w:r>
          </w:p>
        </w:tc>
        <w:tc>
          <w:tcPr>
            <w:tcW w:w="1361" w:type="dxa"/>
            <w:tcBorders>
              <w:top w:val="nil"/>
              <w:left w:val="nil"/>
              <w:bottom w:val="single" w:sz="4" w:space="0" w:color="000000"/>
              <w:right w:val="single" w:sz="4" w:space="0" w:color="000000"/>
            </w:tcBorders>
            <w:shd w:val="clear" w:color="auto" w:fill="auto"/>
            <w:noWrap/>
            <w:vAlign w:val="bottom"/>
          </w:tcPr>
          <w:p w14:paraId="75BCA7B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$6,424 </w:t>
            </w:r>
          </w:p>
        </w:tc>
        <w:tc>
          <w:tcPr>
            <w:tcW w:w="1003" w:type="dxa"/>
            <w:tcBorders>
              <w:top w:val="nil"/>
              <w:left w:val="nil"/>
              <w:bottom w:val="single" w:sz="4" w:space="0" w:color="000000"/>
              <w:right w:val="single" w:sz="4" w:space="0" w:color="000000"/>
            </w:tcBorders>
            <w:shd w:val="clear" w:color="000000" w:fill="FFFFFF"/>
            <w:noWrap/>
            <w:vAlign w:val="bottom"/>
          </w:tcPr>
          <w:p w14:paraId="617A61E8" w14:textId="77777777" w:rsidR="002F68E2" w:rsidRDefault="002F68E2" w:rsidP="002F68E2">
            <w:pPr>
              <w:jc w:val="right"/>
              <w:rPr>
                <w:rFonts w:ascii="Arial" w:hAnsi="Arial" w:cs="Arial"/>
                <w:color w:val="000000"/>
                <w:sz w:val="18"/>
                <w:szCs w:val="18"/>
              </w:rPr>
            </w:pPr>
            <w:r w:rsidRPr="001D4CA5">
              <w:rPr>
                <w:rFonts w:ascii="Arial" w:hAnsi="Arial" w:cs="Arial"/>
                <w:color w:val="000000"/>
                <w:sz w:val="18"/>
                <w:szCs w:val="18"/>
              </w:rPr>
              <w:t xml:space="preserve">7 </w:t>
            </w:r>
          </w:p>
        </w:tc>
        <w:tc>
          <w:tcPr>
            <w:tcW w:w="1333" w:type="dxa"/>
            <w:tcBorders>
              <w:top w:val="nil"/>
              <w:left w:val="nil"/>
              <w:bottom w:val="single" w:sz="4" w:space="0" w:color="000000"/>
              <w:right w:val="single" w:sz="4" w:space="0" w:color="000000"/>
            </w:tcBorders>
            <w:shd w:val="clear" w:color="auto" w:fill="auto"/>
            <w:noWrap/>
            <w:vAlign w:val="bottom"/>
          </w:tcPr>
          <w:p w14:paraId="2F0AE01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1.97% </w:t>
            </w:r>
          </w:p>
        </w:tc>
      </w:tr>
    </w:tbl>
    <w:p w14:paraId="6A40EB4A" w14:textId="69AEA179" w:rsidR="00ED22AD" w:rsidRPr="00B07B09" w:rsidRDefault="002F68E2" w:rsidP="00B07B09">
      <w:pPr>
        <w:tabs>
          <w:tab w:val="left" w:pos="8080"/>
        </w:tabs>
        <w:spacing w:after="240"/>
        <w:ind w:right="227"/>
        <w:rPr>
          <w:sz w:val="18"/>
          <w:szCs w:val="18"/>
        </w:rPr>
      </w:pPr>
      <w:r w:rsidRPr="009763C8">
        <w:t>*</w:t>
      </w:r>
      <w:r w:rsidRPr="009763C8">
        <w:rPr>
          <w:sz w:val="18"/>
          <w:szCs w:val="18"/>
        </w:rPr>
        <w:t xml:space="preserve"> partial financial year</w:t>
      </w:r>
    </w:p>
    <w:p w14:paraId="7732325B" w14:textId="6E7155C6" w:rsidR="002F68E2" w:rsidRPr="002719DC" w:rsidRDefault="002F68E2" w:rsidP="008914AB">
      <w:pPr>
        <w:tabs>
          <w:tab w:val="left" w:pos="8080"/>
        </w:tabs>
        <w:ind w:right="227"/>
        <w:rPr>
          <w:b/>
          <w:sz w:val="20"/>
        </w:rPr>
      </w:pPr>
      <w:r w:rsidRPr="002719DC">
        <w:rPr>
          <w:b/>
          <w:sz w:val="20"/>
        </w:rPr>
        <w:t>Table 8</w:t>
      </w:r>
      <w:r w:rsidR="000475D1" w:rsidRPr="002719DC">
        <w:rPr>
          <w:b/>
          <w:sz w:val="20"/>
        </w:rPr>
        <w:t xml:space="preserve">. </w:t>
      </w:r>
      <w:r w:rsidRPr="002719DC">
        <w:rPr>
          <w:b/>
          <w:sz w:val="20"/>
        </w:rPr>
        <w:t>Instances of co-claiming with MBS item 48694 in 2013-14</w:t>
      </w:r>
    </w:p>
    <w:tbl>
      <w:tblPr>
        <w:tblW w:w="9411" w:type="dxa"/>
        <w:tblInd w:w="-176" w:type="dxa"/>
        <w:tblLayout w:type="fixed"/>
        <w:tblLook w:val="04A0" w:firstRow="1" w:lastRow="0" w:firstColumn="1" w:lastColumn="0" w:noHBand="0" w:noVBand="1"/>
      </w:tblPr>
      <w:tblGrid>
        <w:gridCol w:w="939"/>
        <w:gridCol w:w="2626"/>
        <w:gridCol w:w="1283"/>
        <w:gridCol w:w="999"/>
        <w:gridCol w:w="1425"/>
        <w:gridCol w:w="998"/>
        <w:gridCol w:w="1141"/>
      </w:tblGrid>
      <w:tr w:rsidR="002F68E2" w14:paraId="4EFF86A5" w14:textId="77777777" w:rsidTr="008914AB">
        <w:trPr>
          <w:trHeight w:val="997"/>
        </w:trPr>
        <w:tc>
          <w:tcPr>
            <w:tcW w:w="9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BC2D487"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w:t>
            </w:r>
          </w:p>
        </w:tc>
        <w:tc>
          <w:tcPr>
            <w:tcW w:w="262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C602877"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Items</w:t>
            </w:r>
          </w:p>
        </w:tc>
        <w:tc>
          <w:tcPr>
            <w:tcW w:w="128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FFD4CDF"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Episodes</w:t>
            </w:r>
          </w:p>
        </w:tc>
        <w:tc>
          <w:tcPr>
            <w:tcW w:w="99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37AF993"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Services</w:t>
            </w:r>
          </w:p>
        </w:tc>
        <w:tc>
          <w:tcPr>
            <w:tcW w:w="142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FC57243"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Schedule Fee for combination</w:t>
            </w:r>
          </w:p>
        </w:tc>
        <w:tc>
          <w:tcPr>
            <w:tcW w:w="99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4BD69D4"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Number of patients</w:t>
            </w:r>
          </w:p>
        </w:tc>
        <w:tc>
          <w:tcPr>
            <w:tcW w:w="114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191BCAA"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 of episodes</w:t>
            </w:r>
          </w:p>
        </w:tc>
      </w:tr>
      <w:tr w:rsidR="002F68E2" w14:paraId="2D38289A" w14:textId="77777777" w:rsidTr="008914AB">
        <w:trPr>
          <w:trHeight w:val="311"/>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14:paraId="3BDD4D52"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1</w:t>
            </w:r>
          </w:p>
        </w:tc>
        <w:tc>
          <w:tcPr>
            <w:tcW w:w="2626" w:type="dxa"/>
            <w:tcBorders>
              <w:top w:val="nil"/>
              <w:left w:val="nil"/>
              <w:bottom w:val="single" w:sz="4" w:space="0" w:color="auto"/>
              <w:right w:val="single" w:sz="4" w:space="0" w:color="auto"/>
            </w:tcBorders>
            <w:shd w:val="clear" w:color="000000" w:fill="FFFFFF"/>
            <w:noWrap/>
            <w:vAlign w:val="bottom"/>
          </w:tcPr>
          <w:p w14:paraId="33EC1EE1"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40330</w:t>
            </w:r>
          </w:p>
        </w:tc>
        <w:tc>
          <w:tcPr>
            <w:tcW w:w="1283" w:type="dxa"/>
            <w:tcBorders>
              <w:top w:val="nil"/>
              <w:left w:val="nil"/>
              <w:bottom w:val="single" w:sz="4" w:space="0" w:color="000000"/>
              <w:right w:val="single" w:sz="4" w:space="0" w:color="000000"/>
            </w:tcBorders>
            <w:shd w:val="clear" w:color="auto" w:fill="auto"/>
            <w:noWrap/>
            <w:vAlign w:val="bottom"/>
          </w:tcPr>
          <w:p w14:paraId="04695A4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119 </w:t>
            </w:r>
          </w:p>
        </w:tc>
        <w:tc>
          <w:tcPr>
            <w:tcW w:w="999" w:type="dxa"/>
            <w:tcBorders>
              <w:top w:val="nil"/>
              <w:left w:val="nil"/>
              <w:bottom w:val="single" w:sz="4" w:space="0" w:color="000000"/>
              <w:right w:val="single" w:sz="4" w:space="0" w:color="000000"/>
            </w:tcBorders>
            <w:shd w:val="clear" w:color="auto" w:fill="auto"/>
            <w:noWrap/>
            <w:vAlign w:val="bottom"/>
          </w:tcPr>
          <w:p w14:paraId="58B94D0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238 </w:t>
            </w:r>
          </w:p>
        </w:tc>
        <w:tc>
          <w:tcPr>
            <w:tcW w:w="1425" w:type="dxa"/>
            <w:tcBorders>
              <w:top w:val="nil"/>
              <w:left w:val="nil"/>
              <w:bottom w:val="single" w:sz="4" w:space="0" w:color="000000"/>
              <w:right w:val="single" w:sz="4" w:space="0" w:color="000000"/>
            </w:tcBorders>
            <w:shd w:val="clear" w:color="auto" w:fill="auto"/>
            <w:noWrap/>
            <w:vAlign w:val="bottom"/>
          </w:tcPr>
          <w:p w14:paraId="57CBF8D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$185,664 </w:t>
            </w:r>
          </w:p>
        </w:tc>
        <w:tc>
          <w:tcPr>
            <w:tcW w:w="998" w:type="dxa"/>
            <w:tcBorders>
              <w:top w:val="nil"/>
              <w:left w:val="nil"/>
              <w:bottom w:val="single" w:sz="4" w:space="0" w:color="000000"/>
              <w:right w:val="single" w:sz="4" w:space="0" w:color="000000"/>
            </w:tcBorders>
            <w:shd w:val="clear" w:color="auto" w:fill="auto"/>
            <w:noWrap/>
            <w:vAlign w:val="bottom"/>
          </w:tcPr>
          <w:p w14:paraId="4715B23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119 </w:t>
            </w:r>
          </w:p>
        </w:tc>
        <w:tc>
          <w:tcPr>
            <w:tcW w:w="1141" w:type="dxa"/>
            <w:tcBorders>
              <w:top w:val="nil"/>
              <w:left w:val="nil"/>
              <w:bottom w:val="single" w:sz="4" w:space="0" w:color="000000"/>
              <w:right w:val="single" w:sz="4" w:space="0" w:color="000000"/>
            </w:tcBorders>
            <w:shd w:val="clear" w:color="auto" w:fill="auto"/>
            <w:noWrap/>
            <w:vAlign w:val="bottom"/>
          </w:tcPr>
          <w:p w14:paraId="2662894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23.66% </w:t>
            </w:r>
          </w:p>
        </w:tc>
      </w:tr>
      <w:tr w:rsidR="002F68E2" w14:paraId="33485760" w14:textId="77777777" w:rsidTr="008914AB">
        <w:trPr>
          <w:trHeight w:val="311"/>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14:paraId="5E7A794E"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2</w:t>
            </w:r>
          </w:p>
        </w:tc>
        <w:tc>
          <w:tcPr>
            <w:tcW w:w="2626" w:type="dxa"/>
            <w:tcBorders>
              <w:top w:val="nil"/>
              <w:left w:val="nil"/>
              <w:bottom w:val="single" w:sz="4" w:space="0" w:color="auto"/>
              <w:right w:val="single" w:sz="4" w:space="0" w:color="auto"/>
            </w:tcBorders>
            <w:shd w:val="clear" w:color="000000" w:fill="FFFFFF"/>
            <w:noWrap/>
            <w:vAlign w:val="bottom"/>
          </w:tcPr>
          <w:p w14:paraId="1B8C8B9E"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 xml:space="preserve"> 6009,40330</w:t>
            </w:r>
          </w:p>
        </w:tc>
        <w:tc>
          <w:tcPr>
            <w:tcW w:w="1283" w:type="dxa"/>
            <w:tcBorders>
              <w:top w:val="nil"/>
              <w:left w:val="nil"/>
              <w:bottom w:val="single" w:sz="4" w:space="0" w:color="000000"/>
              <w:right w:val="single" w:sz="4" w:space="0" w:color="000000"/>
            </w:tcBorders>
            <w:shd w:val="clear" w:color="auto" w:fill="auto"/>
            <w:noWrap/>
            <w:vAlign w:val="bottom"/>
          </w:tcPr>
          <w:p w14:paraId="79D4DD8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38 </w:t>
            </w:r>
          </w:p>
        </w:tc>
        <w:tc>
          <w:tcPr>
            <w:tcW w:w="999" w:type="dxa"/>
            <w:tcBorders>
              <w:top w:val="nil"/>
              <w:left w:val="nil"/>
              <w:bottom w:val="single" w:sz="4" w:space="0" w:color="000000"/>
              <w:right w:val="single" w:sz="4" w:space="0" w:color="000000"/>
            </w:tcBorders>
            <w:shd w:val="clear" w:color="auto" w:fill="auto"/>
            <w:noWrap/>
            <w:vAlign w:val="bottom"/>
          </w:tcPr>
          <w:p w14:paraId="76444A0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114 </w:t>
            </w:r>
          </w:p>
        </w:tc>
        <w:tc>
          <w:tcPr>
            <w:tcW w:w="1425" w:type="dxa"/>
            <w:tcBorders>
              <w:top w:val="nil"/>
              <w:left w:val="nil"/>
              <w:bottom w:val="single" w:sz="4" w:space="0" w:color="000000"/>
              <w:right w:val="single" w:sz="4" w:space="0" w:color="000000"/>
            </w:tcBorders>
            <w:shd w:val="clear" w:color="auto" w:fill="auto"/>
            <w:noWrap/>
            <w:vAlign w:val="bottom"/>
          </w:tcPr>
          <w:p w14:paraId="34D9E13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$60,922 </w:t>
            </w:r>
          </w:p>
        </w:tc>
        <w:tc>
          <w:tcPr>
            <w:tcW w:w="998" w:type="dxa"/>
            <w:tcBorders>
              <w:top w:val="nil"/>
              <w:left w:val="nil"/>
              <w:bottom w:val="single" w:sz="4" w:space="0" w:color="000000"/>
              <w:right w:val="single" w:sz="4" w:space="0" w:color="000000"/>
            </w:tcBorders>
            <w:shd w:val="clear" w:color="auto" w:fill="auto"/>
            <w:noWrap/>
            <w:vAlign w:val="bottom"/>
          </w:tcPr>
          <w:p w14:paraId="25A1C4A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38 </w:t>
            </w:r>
          </w:p>
        </w:tc>
        <w:tc>
          <w:tcPr>
            <w:tcW w:w="1141" w:type="dxa"/>
            <w:tcBorders>
              <w:top w:val="nil"/>
              <w:left w:val="nil"/>
              <w:bottom w:val="single" w:sz="4" w:space="0" w:color="000000"/>
              <w:right w:val="single" w:sz="4" w:space="0" w:color="000000"/>
            </w:tcBorders>
            <w:shd w:val="clear" w:color="auto" w:fill="auto"/>
            <w:noWrap/>
            <w:vAlign w:val="bottom"/>
          </w:tcPr>
          <w:p w14:paraId="4A0169E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7.55% </w:t>
            </w:r>
          </w:p>
        </w:tc>
      </w:tr>
      <w:tr w:rsidR="002F68E2" w14:paraId="18CA148D" w14:textId="77777777" w:rsidTr="008914AB">
        <w:trPr>
          <w:trHeight w:val="311"/>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14:paraId="794CC7E7"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3</w:t>
            </w:r>
          </w:p>
        </w:tc>
        <w:tc>
          <w:tcPr>
            <w:tcW w:w="2626" w:type="dxa"/>
            <w:tcBorders>
              <w:top w:val="nil"/>
              <w:left w:val="nil"/>
              <w:bottom w:val="single" w:sz="4" w:space="0" w:color="auto"/>
              <w:right w:val="single" w:sz="4" w:space="0" w:color="auto"/>
            </w:tcBorders>
            <w:shd w:val="clear" w:color="000000" w:fill="FFFFFF"/>
            <w:noWrap/>
            <w:vAlign w:val="bottom"/>
          </w:tcPr>
          <w:p w14:paraId="119DD471"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 xml:space="preserve"> 6011,40330</w:t>
            </w:r>
          </w:p>
        </w:tc>
        <w:tc>
          <w:tcPr>
            <w:tcW w:w="1283" w:type="dxa"/>
            <w:tcBorders>
              <w:top w:val="nil"/>
              <w:left w:val="nil"/>
              <w:bottom w:val="single" w:sz="4" w:space="0" w:color="000000"/>
              <w:right w:val="single" w:sz="4" w:space="0" w:color="000000"/>
            </w:tcBorders>
            <w:shd w:val="clear" w:color="000000" w:fill="FFFFFF"/>
            <w:noWrap/>
            <w:vAlign w:val="bottom"/>
          </w:tcPr>
          <w:p w14:paraId="6EEBBFB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35 </w:t>
            </w:r>
          </w:p>
        </w:tc>
        <w:tc>
          <w:tcPr>
            <w:tcW w:w="999" w:type="dxa"/>
            <w:tcBorders>
              <w:top w:val="nil"/>
              <w:left w:val="nil"/>
              <w:bottom w:val="single" w:sz="4" w:space="0" w:color="000000"/>
              <w:right w:val="single" w:sz="4" w:space="0" w:color="000000"/>
            </w:tcBorders>
            <w:shd w:val="clear" w:color="auto" w:fill="auto"/>
            <w:noWrap/>
            <w:vAlign w:val="bottom"/>
          </w:tcPr>
          <w:p w14:paraId="65262F4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105 </w:t>
            </w:r>
          </w:p>
        </w:tc>
        <w:tc>
          <w:tcPr>
            <w:tcW w:w="1425" w:type="dxa"/>
            <w:tcBorders>
              <w:top w:val="nil"/>
              <w:left w:val="nil"/>
              <w:bottom w:val="single" w:sz="4" w:space="0" w:color="000000"/>
              <w:right w:val="single" w:sz="4" w:space="0" w:color="000000"/>
            </w:tcBorders>
            <w:shd w:val="clear" w:color="auto" w:fill="auto"/>
            <w:noWrap/>
            <w:vAlign w:val="bottom"/>
          </w:tcPr>
          <w:p w14:paraId="04EFF32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$57,601 </w:t>
            </w:r>
          </w:p>
        </w:tc>
        <w:tc>
          <w:tcPr>
            <w:tcW w:w="998" w:type="dxa"/>
            <w:tcBorders>
              <w:top w:val="nil"/>
              <w:left w:val="nil"/>
              <w:bottom w:val="single" w:sz="4" w:space="0" w:color="000000"/>
              <w:right w:val="single" w:sz="4" w:space="0" w:color="000000"/>
            </w:tcBorders>
            <w:shd w:val="clear" w:color="000000" w:fill="FFFFFF"/>
            <w:noWrap/>
            <w:vAlign w:val="bottom"/>
          </w:tcPr>
          <w:p w14:paraId="044F385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35 </w:t>
            </w:r>
          </w:p>
        </w:tc>
        <w:tc>
          <w:tcPr>
            <w:tcW w:w="1141" w:type="dxa"/>
            <w:tcBorders>
              <w:top w:val="nil"/>
              <w:left w:val="nil"/>
              <w:bottom w:val="single" w:sz="4" w:space="0" w:color="000000"/>
              <w:right w:val="single" w:sz="4" w:space="0" w:color="000000"/>
            </w:tcBorders>
            <w:shd w:val="clear" w:color="auto" w:fill="auto"/>
            <w:noWrap/>
            <w:vAlign w:val="bottom"/>
          </w:tcPr>
          <w:p w14:paraId="6E323FE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6.96% </w:t>
            </w:r>
          </w:p>
        </w:tc>
      </w:tr>
      <w:tr w:rsidR="002F68E2" w14:paraId="0F94D9C3" w14:textId="77777777" w:rsidTr="008914AB">
        <w:trPr>
          <w:trHeight w:val="311"/>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14:paraId="1B832F54"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4</w:t>
            </w:r>
          </w:p>
        </w:tc>
        <w:tc>
          <w:tcPr>
            <w:tcW w:w="2626" w:type="dxa"/>
            <w:tcBorders>
              <w:top w:val="nil"/>
              <w:left w:val="nil"/>
              <w:bottom w:val="single" w:sz="4" w:space="0" w:color="auto"/>
              <w:right w:val="single" w:sz="4" w:space="0" w:color="auto"/>
            </w:tcBorders>
            <w:shd w:val="clear" w:color="000000" w:fill="FFFFFF"/>
            <w:noWrap/>
            <w:vAlign w:val="bottom"/>
          </w:tcPr>
          <w:p w14:paraId="12BB75A5"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p>
        </w:tc>
        <w:tc>
          <w:tcPr>
            <w:tcW w:w="1283" w:type="dxa"/>
            <w:tcBorders>
              <w:top w:val="nil"/>
              <w:left w:val="nil"/>
              <w:bottom w:val="single" w:sz="4" w:space="0" w:color="000000"/>
              <w:right w:val="single" w:sz="4" w:space="0" w:color="000000"/>
            </w:tcBorders>
            <w:shd w:val="clear" w:color="000000" w:fill="FFFFFF"/>
            <w:noWrap/>
            <w:vAlign w:val="bottom"/>
          </w:tcPr>
          <w:p w14:paraId="3C9D036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30 </w:t>
            </w:r>
          </w:p>
        </w:tc>
        <w:tc>
          <w:tcPr>
            <w:tcW w:w="999" w:type="dxa"/>
            <w:tcBorders>
              <w:top w:val="nil"/>
              <w:left w:val="nil"/>
              <w:bottom w:val="single" w:sz="4" w:space="0" w:color="000000"/>
              <w:right w:val="single" w:sz="4" w:space="0" w:color="000000"/>
            </w:tcBorders>
            <w:shd w:val="clear" w:color="auto" w:fill="auto"/>
            <w:noWrap/>
            <w:vAlign w:val="bottom"/>
          </w:tcPr>
          <w:p w14:paraId="6E982C5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30 </w:t>
            </w:r>
          </w:p>
        </w:tc>
        <w:tc>
          <w:tcPr>
            <w:tcW w:w="1425" w:type="dxa"/>
            <w:tcBorders>
              <w:top w:val="nil"/>
              <w:left w:val="nil"/>
              <w:bottom w:val="single" w:sz="4" w:space="0" w:color="000000"/>
              <w:right w:val="single" w:sz="4" w:space="0" w:color="000000"/>
            </w:tcBorders>
            <w:shd w:val="clear" w:color="auto" w:fill="auto"/>
            <w:noWrap/>
            <w:vAlign w:val="bottom"/>
          </w:tcPr>
          <w:p w14:paraId="5EE98F4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$32,481 </w:t>
            </w:r>
          </w:p>
        </w:tc>
        <w:tc>
          <w:tcPr>
            <w:tcW w:w="998" w:type="dxa"/>
            <w:tcBorders>
              <w:top w:val="nil"/>
              <w:left w:val="nil"/>
              <w:bottom w:val="single" w:sz="4" w:space="0" w:color="000000"/>
              <w:right w:val="single" w:sz="4" w:space="0" w:color="000000"/>
            </w:tcBorders>
            <w:shd w:val="clear" w:color="000000" w:fill="FFFFFF"/>
            <w:noWrap/>
            <w:vAlign w:val="bottom"/>
          </w:tcPr>
          <w:p w14:paraId="412A348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29 </w:t>
            </w:r>
          </w:p>
        </w:tc>
        <w:tc>
          <w:tcPr>
            <w:tcW w:w="1141" w:type="dxa"/>
            <w:tcBorders>
              <w:top w:val="nil"/>
              <w:left w:val="nil"/>
              <w:bottom w:val="single" w:sz="4" w:space="0" w:color="000000"/>
              <w:right w:val="single" w:sz="4" w:space="0" w:color="000000"/>
            </w:tcBorders>
            <w:shd w:val="clear" w:color="auto" w:fill="auto"/>
            <w:noWrap/>
            <w:vAlign w:val="bottom"/>
          </w:tcPr>
          <w:p w14:paraId="0B2E703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5.96% </w:t>
            </w:r>
          </w:p>
        </w:tc>
      </w:tr>
      <w:tr w:rsidR="002F68E2" w14:paraId="3F486C5B" w14:textId="77777777" w:rsidTr="008914AB">
        <w:trPr>
          <w:trHeight w:val="311"/>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14:paraId="5C72BC25"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5</w:t>
            </w:r>
          </w:p>
        </w:tc>
        <w:tc>
          <w:tcPr>
            <w:tcW w:w="2626" w:type="dxa"/>
            <w:tcBorders>
              <w:top w:val="nil"/>
              <w:left w:val="nil"/>
              <w:bottom w:val="single" w:sz="4" w:space="0" w:color="auto"/>
              <w:right w:val="single" w:sz="4" w:space="0" w:color="auto"/>
            </w:tcBorders>
            <w:shd w:val="clear" w:color="000000" w:fill="FFFFFF"/>
            <w:noWrap/>
            <w:vAlign w:val="bottom"/>
          </w:tcPr>
          <w:p w14:paraId="38A8BB06"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40330,48660,48684</w:t>
            </w:r>
          </w:p>
        </w:tc>
        <w:tc>
          <w:tcPr>
            <w:tcW w:w="1283" w:type="dxa"/>
            <w:tcBorders>
              <w:top w:val="nil"/>
              <w:left w:val="nil"/>
              <w:bottom w:val="single" w:sz="4" w:space="0" w:color="000000"/>
              <w:right w:val="single" w:sz="4" w:space="0" w:color="000000"/>
            </w:tcBorders>
            <w:shd w:val="clear" w:color="000000" w:fill="FFFFFF"/>
            <w:noWrap/>
            <w:vAlign w:val="bottom"/>
          </w:tcPr>
          <w:p w14:paraId="3C1B980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23 </w:t>
            </w:r>
          </w:p>
        </w:tc>
        <w:tc>
          <w:tcPr>
            <w:tcW w:w="999" w:type="dxa"/>
            <w:tcBorders>
              <w:top w:val="nil"/>
              <w:left w:val="nil"/>
              <w:bottom w:val="single" w:sz="4" w:space="0" w:color="000000"/>
              <w:right w:val="single" w:sz="4" w:space="0" w:color="000000"/>
            </w:tcBorders>
            <w:shd w:val="clear" w:color="auto" w:fill="auto"/>
            <w:noWrap/>
            <w:vAlign w:val="bottom"/>
          </w:tcPr>
          <w:p w14:paraId="09A3AC3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92 </w:t>
            </w:r>
          </w:p>
        </w:tc>
        <w:tc>
          <w:tcPr>
            <w:tcW w:w="1425" w:type="dxa"/>
            <w:tcBorders>
              <w:top w:val="nil"/>
              <w:left w:val="nil"/>
              <w:bottom w:val="single" w:sz="4" w:space="0" w:color="000000"/>
              <w:right w:val="single" w:sz="4" w:space="0" w:color="000000"/>
            </w:tcBorders>
            <w:shd w:val="clear" w:color="auto" w:fill="auto"/>
            <w:noWrap/>
            <w:vAlign w:val="bottom"/>
          </w:tcPr>
          <w:p w14:paraId="6711AC5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$48,259 </w:t>
            </w:r>
          </w:p>
        </w:tc>
        <w:tc>
          <w:tcPr>
            <w:tcW w:w="998" w:type="dxa"/>
            <w:tcBorders>
              <w:top w:val="nil"/>
              <w:left w:val="nil"/>
              <w:bottom w:val="single" w:sz="4" w:space="0" w:color="000000"/>
              <w:right w:val="single" w:sz="4" w:space="0" w:color="000000"/>
            </w:tcBorders>
            <w:shd w:val="clear" w:color="000000" w:fill="FFFFFF"/>
            <w:noWrap/>
            <w:vAlign w:val="bottom"/>
          </w:tcPr>
          <w:p w14:paraId="2C0E607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23 </w:t>
            </w:r>
          </w:p>
        </w:tc>
        <w:tc>
          <w:tcPr>
            <w:tcW w:w="1141" w:type="dxa"/>
            <w:tcBorders>
              <w:top w:val="nil"/>
              <w:left w:val="nil"/>
              <w:bottom w:val="single" w:sz="4" w:space="0" w:color="000000"/>
              <w:right w:val="single" w:sz="4" w:space="0" w:color="000000"/>
            </w:tcBorders>
            <w:shd w:val="clear" w:color="auto" w:fill="auto"/>
            <w:noWrap/>
            <w:vAlign w:val="bottom"/>
          </w:tcPr>
          <w:p w14:paraId="3E96EE8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4.57% </w:t>
            </w:r>
          </w:p>
        </w:tc>
      </w:tr>
      <w:tr w:rsidR="002F68E2" w14:paraId="036331AA" w14:textId="77777777" w:rsidTr="008914AB">
        <w:trPr>
          <w:trHeight w:val="311"/>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14:paraId="5871C050"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6</w:t>
            </w:r>
          </w:p>
        </w:tc>
        <w:tc>
          <w:tcPr>
            <w:tcW w:w="2626" w:type="dxa"/>
            <w:tcBorders>
              <w:top w:val="nil"/>
              <w:left w:val="nil"/>
              <w:bottom w:val="single" w:sz="4" w:space="0" w:color="auto"/>
              <w:right w:val="single" w:sz="4" w:space="0" w:color="auto"/>
            </w:tcBorders>
            <w:shd w:val="clear" w:color="000000" w:fill="FFFFFF"/>
            <w:noWrap/>
            <w:vAlign w:val="bottom"/>
          </w:tcPr>
          <w:p w14:paraId="1EEBB46D"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48669,48684</w:t>
            </w:r>
          </w:p>
        </w:tc>
        <w:tc>
          <w:tcPr>
            <w:tcW w:w="1283" w:type="dxa"/>
            <w:tcBorders>
              <w:top w:val="nil"/>
              <w:left w:val="nil"/>
              <w:bottom w:val="single" w:sz="4" w:space="0" w:color="000000"/>
              <w:right w:val="single" w:sz="4" w:space="0" w:color="000000"/>
            </w:tcBorders>
            <w:shd w:val="clear" w:color="000000" w:fill="FFFFFF"/>
            <w:noWrap/>
            <w:vAlign w:val="bottom"/>
          </w:tcPr>
          <w:p w14:paraId="53757AA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23 </w:t>
            </w:r>
          </w:p>
        </w:tc>
        <w:tc>
          <w:tcPr>
            <w:tcW w:w="999" w:type="dxa"/>
            <w:tcBorders>
              <w:top w:val="nil"/>
              <w:left w:val="nil"/>
              <w:bottom w:val="single" w:sz="4" w:space="0" w:color="000000"/>
              <w:right w:val="single" w:sz="4" w:space="0" w:color="000000"/>
            </w:tcBorders>
            <w:shd w:val="clear" w:color="auto" w:fill="auto"/>
            <w:noWrap/>
            <w:vAlign w:val="bottom"/>
          </w:tcPr>
          <w:p w14:paraId="5CEE8C2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69 </w:t>
            </w:r>
          </w:p>
        </w:tc>
        <w:tc>
          <w:tcPr>
            <w:tcW w:w="1425" w:type="dxa"/>
            <w:tcBorders>
              <w:top w:val="nil"/>
              <w:left w:val="nil"/>
              <w:bottom w:val="single" w:sz="4" w:space="0" w:color="000000"/>
              <w:right w:val="single" w:sz="4" w:space="0" w:color="000000"/>
            </w:tcBorders>
            <w:shd w:val="clear" w:color="auto" w:fill="auto"/>
            <w:noWrap/>
            <w:vAlign w:val="bottom"/>
          </w:tcPr>
          <w:p w14:paraId="4684160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$51,422 </w:t>
            </w:r>
          </w:p>
        </w:tc>
        <w:tc>
          <w:tcPr>
            <w:tcW w:w="998" w:type="dxa"/>
            <w:tcBorders>
              <w:top w:val="nil"/>
              <w:left w:val="nil"/>
              <w:bottom w:val="single" w:sz="4" w:space="0" w:color="000000"/>
              <w:right w:val="single" w:sz="4" w:space="0" w:color="000000"/>
            </w:tcBorders>
            <w:shd w:val="clear" w:color="000000" w:fill="FFFFFF"/>
            <w:noWrap/>
            <w:vAlign w:val="bottom"/>
          </w:tcPr>
          <w:p w14:paraId="544CE9A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23 </w:t>
            </w:r>
          </w:p>
        </w:tc>
        <w:tc>
          <w:tcPr>
            <w:tcW w:w="1141" w:type="dxa"/>
            <w:tcBorders>
              <w:top w:val="nil"/>
              <w:left w:val="nil"/>
              <w:bottom w:val="single" w:sz="4" w:space="0" w:color="000000"/>
              <w:right w:val="single" w:sz="4" w:space="0" w:color="000000"/>
            </w:tcBorders>
            <w:shd w:val="clear" w:color="auto" w:fill="auto"/>
            <w:noWrap/>
            <w:vAlign w:val="bottom"/>
          </w:tcPr>
          <w:p w14:paraId="25AD460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4.57% </w:t>
            </w:r>
          </w:p>
        </w:tc>
      </w:tr>
      <w:tr w:rsidR="002F68E2" w14:paraId="2EB9F6B0" w14:textId="77777777" w:rsidTr="008914AB">
        <w:trPr>
          <w:trHeight w:val="311"/>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14:paraId="0F74FB10"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7</w:t>
            </w:r>
          </w:p>
        </w:tc>
        <w:tc>
          <w:tcPr>
            <w:tcW w:w="2626" w:type="dxa"/>
            <w:tcBorders>
              <w:top w:val="nil"/>
              <w:left w:val="nil"/>
              <w:bottom w:val="single" w:sz="4" w:space="0" w:color="auto"/>
              <w:right w:val="single" w:sz="4" w:space="0" w:color="auto"/>
            </w:tcBorders>
            <w:shd w:val="clear" w:color="000000" w:fill="FFFFFF"/>
            <w:noWrap/>
            <w:vAlign w:val="bottom"/>
          </w:tcPr>
          <w:p w14:paraId="15D0400D"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 xml:space="preserve"> 6011,40330,48639</w:t>
            </w:r>
          </w:p>
        </w:tc>
        <w:tc>
          <w:tcPr>
            <w:tcW w:w="1283" w:type="dxa"/>
            <w:tcBorders>
              <w:top w:val="nil"/>
              <w:left w:val="nil"/>
              <w:bottom w:val="single" w:sz="4" w:space="0" w:color="000000"/>
              <w:right w:val="single" w:sz="4" w:space="0" w:color="000000"/>
            </w:tcBorders>
            <w:shd w:val="clear" w:color="000000" w:fill="FFFFFF"/>
            <w:noWrap/>
            <w:vAlign w:val="bottom"/>
          </w:tcPr>
          <w:p w14:paraId="7135DEC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 </w:t>
            </w:r>
          </w:p>
        </w:tc>
        <w:tc>
          <w:tcPr>
            <w:tcW w:w="999" w:type="dxa"/>
            <w:tcBorders>
              <w:top w:val="nil"/>
              <w:left w:val="nil"/>
              <w:bottom w:val="single" w:sz="4" w:space="0" w:color="000000"/>
              <w:right w:val="single" w:sz="4" w:space="0" w:color="000000"/>
            </w:tcBorders>
            <w:shd w:val="clear" w:color="auto" w:fill="auto"/>
            <w:noWrap/>
            <w:vAlign w:val="bottom"/>
          </w:tcPr>
          <w:p w14:paraId="3AB0710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100 </w:t>
            </w:r>
          </w:p>
        </w:tc>
        <w:tc>
          <w:tcPr>
            <w:tcW w:w="1425" w:type="dxa"/>
            <w:tcBorders>
              <w:top w:val="nil"/>
              <w:left w:val="nil"/>
              <w:bottom w:val="single" w:sz="4" w:space="0" w:color="000000"/>
              <w:right w:val="single" w:sz="4" w:space="0" w:color="000000"/>
            </w:tcBorders>
            <w:shd w:val="clear" w:color="auto" w:fill="auto"/>
            <w:noWrap/>
            <w:vAlign w:val="bottom"/>
          </w:tcPr>
          <w:p w14:paraId="1DEBFED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$51,843 </w:t>
            </w:r>
          </w:p>
        </w:tc>
        <w:tc>
          <w:tcPr>
            <w:tcW w:w="998" w:type="dxa"/>
            <w:tcBorders>
              <w:top w:val="nil"/>
              <w:left w:val="nil"/>
              <w:bottom w:val="single" w:sz="4" w:space="0" w:color="000000"/>
              <w:right w:val="single" w:sz="4" w:space="0" w:color="000000"/>
            </w:tcBorders>
            <w:shd w:val="clear" w:color="000000" w:fill="FFFFFF"/>
            <w:noWrap/>
            <w:vAlign w:val="bottom"/>
          </w:tcPr>
          <w:p w14:paraId="019B6E6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 </w:t>
            </w:r>
          </w:p>
        </w:tc>
        <w:tc>
          <w:tcPr>
            <w:tcW w:w="1141" w:type="dxa"/>
            <w:tcBorders>
              <w:top w:val="nil"/>
              <w:left w:val="nil"/>
              <w:bottom w:val="single" w:sz="4" w:space="0" w:color="000000"/>
              <w:right w:val="single" w:sz="4" w:space="0" w:color="000000"/>
            </w:tcBorders>
            <w:shd w:val="clear" w:color="auto" w:fill="auto"/>
            <w:noWrap/>
            <w:vAlign w:val="bottom"/>
          </w:tcPr>
          <w:p w14:paraId="42E6E3B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3.78% </w:t>
            </w:r>
          </w:p>
        </w:tc>
      </w:tr>
      <w:tr w:rsidR="002F68E2" w14:paraId="331C940F" w14:textId="77777777" w:rsidTr="008914AB">
        <w:trPr>
          <w:trHeight w:val="311"/>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14:paraId="2F3986C5"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8</w:t>
            </w:r>
          </w:p>
        </w:tc>
        <w:tc>
          <w:tcPr>
            <w:tcW w:w="2626" w:type="dxa"/>
            <w:tcBorders>
              <w:top w:val="nil"/>
              <w:left w:val="nil"/>
              <w:bottom w:val="single" w:sz="4" w:space="0" w:color="auto"/>
              <w:right w:val="single" w:sz="4" w:space="0" w:color="auto"/>
            </w:tcBorders>
            <w:shd w:val="clear" w:color="000000" w:fill="FFFFFF"/>
            <w:noWrap/>
            <w:vAlign w:val="bottom"/>
          </w:tcPr>
          <w:p w14:paraId="4CF3FC52"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48660,48684</w:t>
            </w:r>
          </w:p>
        </w:tc>
        <w:tc>
          <w:tcPr>
            <w:tcW w:w="1283" w:type="dxa"/>
            <w:tcBorders>
              <w:top w:val="nil"/>
              <w:left w:val="nil"/>
              <w:bottom w:val="single" w:sz="4" w:space="0" w:color="000000"/>
              <w:right w:val="single" w:sz="4" w:space="0" w:color="000000"/>
            </w:tcBorders>
            <w:shd w:val="clear" w:color="000000" w:fill="FFFFFF"/>
            <w:noWrap/>
            <w:vAlign w:val="bottom"/>
          </w:tcPr>
          <w:p w14:paraId="4723BDF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16 </w:t>
            </w:r>
          </w:p>
        </w:tc>
        <w:tc>
          <w:tcPr>
            <w:tcW w:w="999" w:type="dxa"/>
            <w:tcBorders>
              <w:top w:val="nil"/>
              <w:left w:val="nil"/>
              <w:bottom w:val="single" w:sz="4" w:space="0" w:color="000000"/>
              <w:right w:val="single" w:sz="4" w:space="0" w:color="000000"/>
            </w:tcBorders>
            <w:shd w:val="clear" w:color="auto" w:fill="auto"/>
            <w:noWrap/>
            <w:vAlign w:val="bottom"/>
          </w:tcPr>
          <w:p w14:paraId="413A8C7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48 </w:t>
            </w:r>
          </w:p>
        </w:tc>
        <w:tc>
          <w:tcPr>
            <w:tcW w:w="1425" w:type="dxa"/>
            <w:tcBorders>
              <w:top w:val="nil"/>
              <w:left w:val="nil"/>
              <w:bottom w:val="single" w:sz="4" w:space="0" w:color="000000"/>
              <w:right w:val="single" w:sz="4" w:space="0" w:color="000000"/>
            </w:tcBorders>
            <w:shd w:val="clear" w:color="auto" w:fill="auto"/>
            <w:noWrap/>
            <w:vAlign w:val="bottom"/>
          </w:tcPr>
          <w:p w14:paraId="7E2B506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$29,751 </w:t>
            </w:r>
          </w:p>
        </w:tc>
        <w:tc>
          <w:tcPr>
            <w:tcW w:w="998" w:type="dxa"/>
            <w:tcBorders>
              <w:top w:val="nil"/>
              <w:left w:val="nil"/>
              <w:bottom w:val="single" w:sz="4" w:space="0" w:color="000000"/>
              <w:right w:val="single" w:sz="4" w:space="0" w:color="000000"/>
            </w:tcBorders>
            <w:shd w:val="clear" w:color="000000" w:fill="FFFFFF"/>
            <w:noWrap/>
            <w:vAlign w:val="bottom"/>
          </w:tcPr>
          <w:p w14:paraId="5EB8487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16 </w:t>
            </w:r>
          </w:p>
        </w:tc>
        <w:tc>
          <w:tcPr>
            <w:tcW w:w="1141" w:type="dxa"/>
            <w:tcBorders>
              <w:top w:val="nil"/>
              <w:left w:val="nil"/>
              <w:bottom w:val="single" w:sz="4" w:space="0" w:color="000000"/>
              <w:right w:val="single" w:sz="4" w:space="0" w:color="000000"/>
            </w:tcBorders>
            <w:shd w:val="clear" w:color="auto" w:fill="auto"/>
            <w:noWrap/>
            <w:vAlign w:val="bottom"/>
          </w:tcPr>
          <w:p w14:paraId="5EC127B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3.18% </w:t>
            </w:r>
          </w:p>
        </w:tc>
      </w:tr>
      <w:tr w:rsidR="002F68E2" w14:paraId="37178F00" w14:textId="77777777" w:rsidTr="008914AB">
        <w:trPr>
          <w:trHeight w:val="311"/>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14:paraId="6A68C65C"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9</w:t>
            </w:r>
          </w:p>
        </w:tc>
        <w:tc>
          <w:tcPr>
            <w:tcW w:w="2626" w:type="dxa"/>
            <w:tcBorders>
              <w:top w:val="nil"/>
              <w:left w:val="nil"/>
              <w:bottom w:val="single" w:sz="4" w:space="0" w:color="auto"/>
              <w:right w:val="single" w:sz="4" w:space="0" w:color="auto"/>
            </w:tcBorders>
            <w:shd w:val="clear" w:color="000000" w:fill="FFFFFF"/>
            <w:noWrap/>
            <w:vAlign w:val="bottom"/>
          </w:tcPr>
          <w:p w14:paraId="508E9921"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 xml:space="preserve"> 6011,40331</w:t>
            </w:r>
          </w:p>
        </w:tc>
        <w:tc>
          <w:tcPr>
            <w:tcW w:w="1283" w:type="dxa"/>
            <w:tcBorders>
              <w:top w:val="nil"/>
              <w:left w:val="nil"/>
              <w:bottom w:val="single" w:sz="4" w:space="0" w:color="000000"/>
              <w:right w:val="single" w:sz="4" w:space="0" w:color="000000"/>
            </w:tcBorders>
            <w:shd w:val="clear" w:color="000000" w:fill="FFFFFF"/>
            <w:noWrap/>
            <w:vAlign w:val="bottom"/>
          </w:tcPr>
          <w:p w14:paraId="09955B7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 </w:t>
            </w:r>
          </w:p>
        </w:tc>
        <w:tc>
          <w:tcPr>
            <w:tcW w:w="999" w:type="dxa"/>
            <w:tcBorders>
              <w:top w:val="nil"/>
              <w:left w:val="nil"/>
              <w:bottom w:val="single" w:sz="4" w:space="0" w:color="000000"/>
              <w:right w:val="single" w:sz="4" w:space="0" w:color="000000"/>
            </w:tcBorders>
            <w:shd w:val="clear" w:color="auto" w:fill="auto"/>
            <w:noWrap/>
            <w:vAlign w:val="bottom"/>
          </w:tcPr>
          <w:p w14:paraId="41E1800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45 </w:t>
            </w:r>
          </w:p>
        </w:tc>
        <w:tc>
          <w:tcPr>
            <w:tcW w:w="1425" w:type="dxa"/>
            <w:tcBorders>
              <w:top w:val="nil"/>
              <w:left w:val="nil"/>
              <w:bottom w:val="single" w:sz="4" w:space="0" w:color="000000"/>
              <w:right w:val="single" w:sz="4" w:space="0" w:color="000000"/>
            </w:tcBorders>
            <w:shd w:val="clear" w:color="auto" w:fill="auto"/>
            <w:noWrap/>
            <w:vAlign w:val="bottom"/>
          </w:tcPr>
          <w:p w14:paraId="02F84F3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$24,686 </w:t>
            </w:r>
          </w:p>
        </w:tc>
        <w:tc>
          <w:tcPr>
            <w:tcW w:w="998" w:type="dxa"/>
            <w:tcBorders>
              <w:top w:val="nil"/>
              <w:left w:val="nil"/>
              <w:bottom w:val="single" w:sz="4" w:space="0" w:color="000000"/>
              <w:right w:val="single" w:sz="4" w:space="0" w:color="000000"/>
            </w:tcBorders>
            <w:shd w:val="clear" w:color="000000" w:fill="FFFFFF"/>
            <w:noWrap/>
            <w:vAlign w:val="bottom"/>
          </w:tcPr>
          <w:p w14:paraId="0B03312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 </w:t>
            </w:r>
          </w:p>
        </w:tc>
        <w:tc>
          <w:tcPr>
            <w:tcW w:w="1141" w:type="dxa"/>
            <w:tcBorders>
              <w:top w:val="nil"/>
              <w:left w:val="nil"/>
              <w:bottom w:val="single" w:sz="4" w:space="0" w:color="000000"/>
              <w:right w:val="single" w:sz="4" w:space="0" w:color="000000"/>
            </w:tcBorders>
            <w:shd w:val="clear" w:color="auto" w:fill="auto"/>
            <w:noWrap/>
            <w:vAlign w:val="bottom"/>
          </w:tcPr>
          <w:p w14:paraId="1481153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2.98% </w:t>
            </w:r>
          </w:p>
        </w:tc>
      </w:tr>
      <w:tr w:rsidR="002F68E2" w14:paraId="404D0646" w14:textId="77777777" w:rsidTr="008914AB">
        <w:trPr>
          <w:trHeight w:val="311"/>
        </w:trPr>
        <w:tc>
          <w:tcPr>
            <w:tcW w:w="939" w:type="dxa"/>
            <w:tcBorders>
              <w:top w:val="nil"/>
              <w:left w:val="single" w:sz="4" w:space="0" w:color="auto"/>
              <w:bottom w:val="single" w:sz="4" w:space="0" w:color="auto"/>
              <w:right w:val="single" w:sz="4" w:space="0" w:color="auto"/>
            </w:tcBorders>
            <w:shd w:val="clear" w:color="000000" w:fill="FFFFFF"/>
            <w:noWrap/>
            <w:vAlign w:val="center"/>
          </w:tcPr>
          <w:p w14:paraId="1DD5CE27" w14:textId="77777777" w:rsidR="002F68E2" w:rsidRPr="00127D35" w:rsidRDefault="002F68E2" w:rsidP="002F68E2">
            <w:pPr>
              <w:jc w:val="right"/>
              <w:rPr>
                <w:rFonts w:ascii="Arial" w:hAnsi="Arial" w:cs="Arial"/>
                <w:sz w:val="18"/>
                <w:szCs w:val="18"/>
              </w:rPr>
            </w:pPr>
            <w:r>
              <w:rPr>
                <w:rFonts w:ascii="Arial" w:hAnsi="Arial" w:cs="Arial"/>
                <w:sz w:val="18"/>
                <w:szCs w:val="18"/>
              </w:rPr>
              <w:t>10</w:t>
            </w:r>
          </w:p>
        </w:tc>
        <w:tc>
          <w:tcPr>
            <w:tcW w:w="2626" w:type="dxa"/>
            <w:tcBorders>
              <w:top w:val="nil"/>
              <w:left w:val="nil"/>
              <w:bottom w:val="single" w:sz="4" w:space="0" w:color="auto"/>
              <w:right w:val="single" w:sz="4" w:space="0" w:color="auto"/>
            </w:tcBorders>
            <w:shd w:val="clear" w:color="000000" w:fill="FFFFFF"/>
            <w:noWrap/>
            <w:vAlign w:val="bottom"/>
          </w:tcPr>
          <w:p w14:paraId="2E52738E"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 xml:space="preserve"> 6009,40330,40333</w:t>
            </w:r>
          </w:p>
        </w:tc>
        <w:tc>
          <w:tcPr>
            <w:tcW w:w="1283" w:type="dxa"/>
            <w:tcBorders>
              <w:top w:val="nil"/>
              <w:left w:val="nil"/>
              <w:bottom w:val="single" w:sz="4" w:space="0" w:color="000000"/>
              <w:right w:val="single" w:sz="4" w:space="0" w:color="000000"/>
            </w:tcBorders>
            <w:shd w:val="clear" w:color="000000" w:fill="FFFFFF"/>
            <w:noWrap/>
            <w:vAlign w:val="bottom"/>
          </w:tcPr>
          <w:p w14:paraId="2C27C9B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14 </w:t>
            </w:r>
          </w:p>
        </w:tc>
        <w:tc>
          <w:tcPr>
            <w:tcW w:w="999" w:type="dxa"/>
            <w:tcBorders>
              <w:top w:val="nil"/>
              <w:left w:val="nil"/>
              <w:bottom w:val="single" w:sz="4" w:space="0" w:color="000000"/>
              <w:right w:val="single" w:sz="4" w:space="0" w:color="000000"/>
            </w:tcBorders>
            <w:shd w:val="clear" w:color="auto" w:fill="auto"/>
            <w:noWrap/>
            <w:vAlign w:val="bottom"/>
          </w:tcPr>
          <w:p w14:paraId="0D71E44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56 </w:t>
            </w:r>
          </w:p>
        </w:tc>
        <w:tc>
          <w:tcPr>
            <w:tcW w:w="1425" w:type="dxa"/>
            <w:tcBorders>
              <w:top w:val="nil"/>
              <w:left w:val="nil"/>
              <w:bottom w:val="single" w:sz="4" w:space="0" w:color="000000"/>
              <w:right w:val="single" w:sz="4" w:space="0" w:color="000000"/>
            </w:tcBorders>
            <w:shd w:val="clear" w:color="auto" w:fill="auto"/>
            <w:noWrap/>
            <w:vAlign w:val="bottom"/>
          </w:tcPr>
          <w:p w14:paraId="654FEC4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$25,235 </w:t>
            </w:r>
          </w:p>
        </w:tc>
        <w:tc>
          <w:tcPr>
            <w:tcW w:w="998" w:type="dxa"/>
            <w:tcBorders>
              <w:top w:val="nil"/>
              <w:left w:val="nil"/>
              <w:bottom w:val="single" w:sz="4" w:space="0" w:color="000000"/>
              <w:right w:val="single" w:sz="4" w:space="0" w:color="000000"/>
            </w:tcBorders>
            <w:shd w:val="clear" w:color="000000" w:fill="FFFFFF"/>
            <w:noWrap/>
            <w:vAlign w:val="bottom"/>
          </w:tcPr>
          <w:p w14:paraId="46287A9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14 </w:t>
            </w:r>
          </w:p>
        </w:tc>
        <w:tc>
          <w:tcPr>
            <w:tcW w:w="1141" w:type="dxa"/>
            <w:tcBorders>
              <w:top w:val="nil"/>
              <w:left w:val="nil"/>
              <w:bottom w:val="single" w:sz="4" w:space="0" w:color="000000"/>
              <w:right w:val="single" w:sz="4" w:space="0" w:color="000000"/>
            </w:tcBorders>
            <w:shd w:val="clear" w:color="auto" w:fill="auto"/>
            <w:noWrap/>
            <w:vAlign w:val="bottom"/>
          </w:tcPr>
          <w:p w14:paraId="19F3FD6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2.78% </w:t>
            </w:r>
          </w:p>
        </w:tc>
      </w:tr>
    </w:tbl>
    <w:p w14:paraId="745E9F2C" w14:textId="5536B575" w:rsidR="00DB1C44" w:rsidRDefault="000E146D">
      <w:pPr>
        <w:rPr>
          <w:b/>
          <w:sz w:val="20"/>
        </w:rPr>
      </w:pPr>
      <w:r w:rsidRPr="002719DC">
        <w:rPr>
          <w:b/>
          <w:sz w:val="20"/>
        </w:rPr>
        <w:t xml:space="preserve"> </w:t>
      </w:r>
      <w:r w:rsidR="00DB1C44">
        <w:rPr>
          <w:b/>
          <w:sz w:val="20"/>
        </w:rPr>
        <w:br w:type="page"/>
      </w:r>
    </w:p>
    <w:p w14:paraId="15050EFC" w14:textId="76494811" w:rsidR="002F68E2" w:rsidRPr="002719DC" w:rsidRDefault="000475D1" w:rsidP="002719DC">
      <w:pPr>
        <w:rPr>
          <w:b/>
          <w:sz w:val="20"/>
        </w:rPr>
      </w:pPr>
      <w:r w:rsidRPr="002719DC">
        <w:rPr>
          <w:b/>
          <w:sz w:val="20"/>
        </w:rPr>
        <w:lastRenderedPageBreak/>
        <w:t>Table</w:t>
      </w:r>
      <w:r w:rsidR="009A458E" w:rsidRPr="002719DC">
        <w:rPr>
          <w:b/>
          <w:sz w:val="20"/>
        </w:rPr>
        <w:t xml:space="preserve"> </w:t>
      </w:r>
      <w:r w:rsidR="002F68E2" w:rsidRPr="002719DC">
        <w:rPr>
          <w:b/>
          <w:sz w:val="20"/>
        </w:rPr>
        <w:t>9</w:t>
      </w:r>
      <w:r w:rsidRPr="002719DC">
        <w:rPr>
          <w:b/>
          <w:sz w:val="20"/>
        </w:rPr>
        <w:t xml:space="preserve">. </w:t>
      </w:r>
      <w:r w:rsidR="002F68E2" w:rsidRPr="002719DC">
        <w:rPr>
          <w:b/>
          <w:sz w:val="20"/>
        </w:rPr>
        <w:t xml:space="preserve"> Instances of co-claiming with MBS item 48694 in 2014-15 </w:t>
      </w:r>
    </w:p>
    <w:tbl>
      <w:tblPr>
        <w:tblW w:w="9960" w:type="dxa"/>
        <w:tblInd w:w="-176" w:type="dxa"/>
        <w:tblLayout w:type="fixed"/>
        <w:tblLook w:val="04A0" w:firstRow="1" w:lastRow="0" w:firstColumn="1" w:lastColumn="0" w:noHBand="0" w:noVBand="1"/>
      </w:tblPr>
      <w:tblGrid>
        <w:gridCol w:w="755"/>
        <w:gridCol w:w="3018"/>
        <w:gridCol w:w="1357"/>
        <w:gridCol w:w="1058"/>
        <w:gridCol w:w="1509"/>
        <w:gridCol w:w="1056"/>
        <w:gridCol w:w="1207"/>
      </w:tblGrid>
      <w:tr w:rsidR="002F68E2" w14:paraId="405993F9" w14:textId="77777777" w:rsidTr="008914AB">
        <w:trPr>
          <w:trHeight w:val="1026"/>
        </w:trPr>
        <w:tc>
          <w:tcPr>
            <w:tcW w:w="75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E1C8A06"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w:t>
            </w:r>
          </w:p>
        </w:tc>
        <w:tc>
          <w:tcPr>
            <w:tcW w:w="301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7E7F607"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Items</w:t>
            </w:r>
          </w:p>
        </w:tc>
        <w:tc>
          <w:tcPr>
            <w:tcW w:w="135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8D628F6"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Episodes</w:t>
            </w:r>
          </w:p>
        </w:tc>
        <w:tc>
          <w:tcPr>
            <w:tcW w:w="105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AEE249C"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Services</w:t>
            </w:r>
          </w:p>
        </w:tc>
        <w:tc>
          <w:tcPr>
            <w:tcW w:w="150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CFF33D6"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Schedule Fee for combination</w:t>
            </w:r>
          </w:p>
        </w:tc>
        <w:tc>
          <w:tcPr>
            <w:tcW w:w="105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574774E"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Number of patients</w:t>
            </w:r>
          </w:p>
        </w:tc>
        <w:tc>
          <w:tcPr>
            <w:tcW w:w="120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011A7A8" w14:textId="77777777" w:rsidR="002F68E2" w:rsidRPr="00127D35" w:rsidRDefault="002F68E2" w:rsidP="002F68E2">
            <w:pPr>
              <w:jc w:val="center"/>
              <w:rPr>
                <w:rFonts w:ascii="Arial" w:hAnsi="Arial" w:cs="Arial"/>
                <w:b/>
                <w:bCs/>
                <w:sz w:val="18"/>
                <w:szCs w:val="18"/>
              </w:rPr>
            </w:pPr>
            <w:r w:rsidRPr="00127D35">
              <w:rPr>
                <w:rFonts w:ascii="Arial" w:hAnsi="Arial" w:cs="Arial"/>
                <w:b/>
                <w:bCs/>
                <w:sz w:val="18"/>
                <w:szCs w:val="18"/>
              </w:rPr>
              <w:t>% of episodes</w:t>
            </w:r>
          </w:p>
        </w:tc>
      </w:tr>
      <w:tr w:rsidR="002F68E2" w14:paraId="74053C72" w14:textId="77777777" w:rsidTr="008914AB">
        <w:trPr>
          <w:trHeight w:val="319"/>
        </w:trPr>
        <w:tc>
          <w:tcPr>
            <w:tcW w:w="755" w:type="dxa"/>
            <w:tcBorders>
              <w:top w:val="nil"/>
              <w:left w:val="single" w:sz="4" w:space="0" w:color="auto"/>
              <w:bottom w:val="single" w:sz="4" w:space="0" w:color="auto"/>
              <w:right w:val="single" w:sz="4" w:space="0" w:color="auto"/>
            </w:tcBorders>
            <w:shd w:val="clear" w:color="000000" w:fill="FFFFFF"/>
            <w:noWrap/>
            <w:vAlign w:val="center"/>
            <w:hideMark/>
          </w:tcPr>
          <w:p w14:paraId="478E9D49"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1</w:t>
            </w:r>
          </w:p>
        </w:tc>
        <w:tc>
          <w:tcPr>
            <w:tcW w:w="3018" w:type="dxa"/>
            <w:tcBorders>
              <w:top w:val="nil"/>
              <w:left w:val="nil"/>
              <w:bottom w:val="single" w:sz="4" w:space="0" w:color="auto"/>
              <w:right w:val="single" w:sz="4" w:space="0" w:color="auto"/>
            </w:tcBorders>
            <w:shd w:val="clear" w:color="000000" w:fill="FFFFFF"/>
            <w:noWrap/>
            <w:vAlign w:val="bottom"/>
          </w:tcPr>
          <w:p w14:paraId="4534DB3A"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40330.</w:t>
            </w:r>
          </w:p>
        </w:tc>
        <w:tc>
          <w:tcPr>
            <w:tcW w:w="1357" w:type="dxa"/>
            <w:tcBorders>
              <w:top w:val="nil"/>
              <w:left w:val="nil"/>
              <w:bottom w:val="single" w:sz="4" w:space="0" w:color="000000"/>
              <w:right w:val="single" w:sz="4" w:space="0" w:color="000000"/>
            </w:tcBorders>
            <w:shd w:val="clear" w:color="auto" w:fill="auto"/>
            <w:noWrap/>
            <w:vAlign w:val="bottom"/>
          </w:tcPr>
          <w:p w14:paraId="17CB148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129 </w:t>
            </w:r>
          </w:p>
        </w:tc>
        <w:tc>
          <w:tcPr>
            <w:tcW w:w="1058" w:type="dxa"/>
            <w:tcBorders>
              <w:top w:val="nil"/>
              <w:left w:val="nil"/>
              <w:bottom w:val="single" w:sz="4" w:space="0" w:color="000000"/>
              <w:right w:val="single" w:sz="4" w:space="0" w:color="000000"/>
            </w:tcBorders>
            <w:shd w:val="clear" w:color="auto" w:fill="auto"/>
            <w:noWrap/>
            <w:vAlign w:val="bottom"/>
          </w:tcPr>
          <w:p w14:paraId="64DEDAA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258 </w:t>
            </w:r>
          </w:p>
        </w:tc>
        <w:tc>
          <w:tcPr>
            <w:tcW w:w="1509" w:type="dxa"/>
            <w:tcBorders>
              <w:top w:val="nil"/>
              <w:left w:val="nil"/>
              <w:bottom w:val="single" w:sz="4" w:space="0" w:color="000000"/>
              <w:right w:val="single" w:sz="4" w:space="0" w:color="000000"/>
            </w:tcBorders>
            <w:shd w:val="clear" w:color="auto" w:fill="auto"/>
            <w:noWrap/>
            <w:vAlign w:val="bottom"/>
          </w:tcPr>
          <w:p w14:paraId="547621B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$201,266 </w:t>
            </w:r>
          </w:p>
        </w:tc>
        <w:tc>
          <w:tcPr>
            <w:tcW w:w="1056" w:type="dxa"/>
            <w:tcBorders>
              <w:top w:val="nil"/>
              <w:left w:val="nil"/>
              <w:bottom w:val="single" w:sz="4" w:space="0" w:color="000000"/>
              <w:right w:val="single" w:sz="4" w:space="0" w:color="000000"/>
            </w:tcBorders>
            <w:shd w:val="clear" w:color="auto" w:fill="auto"/>
            <w:noWrap/>
            <w:vAlign w:val="bottom"/>
          </w:tcPr>
          <w:p w14:paraId="52F7368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129 </w:t>
            </w:r>
          </w:p>
        </w:tc>
        <w:tc>
          <w:tcPr>
            <w:tcW w:w="1207" w:type="dxa"/>
            <w:tcBorders>
              <w:top w:val="nil"/>
              <w:left w:val="nil"/>
              <w:bottom w:val="single" w:sz="4" w:space="0" w:color="000000"/>
              <w:right w:val="single" w:sz="4" w:space="0" w:color="000000"/>
            </w:tcBorders>
            <w:shd w:val="clear" w:color="auto" w:fill="auto"/>
            <w:noWrap/>
            <w:vAlign w:val="bottom"/>
          </w:tcPr>
          <w:p w14:paraId="70F4A25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22.28% </w:t>
            </w:r>
          </w:p>
        </w:tc>
      </w:tr>
      <w:tr w:rsidR="002F68E2" w14:paraId="59AA5C98" w14:textId="77777777" w:rsidTr="008914AB">
        <w:trPr>
          <w:trHeight w:val="319"/>
        </w:trPr>
        <w:tc>
          <w:tcPr>
            <w:tcW w:w="755" w:type="dxa"/>
            <w:tcBorders>
              <w:top w:val="nil"/>
              <w:left w:val="single" w:sz="4" w:space="0" w:color="auto"/>
              <w:bottom w:val="single" w:sz="4" w:space="0" w:color="auto"/>
              <w:right w:val="single" w:sz="4" w:space="0" w:color="auto"/>
            </w:tcBorders>
            <w:shd w:val="clear" w:color="000000" w:fill="FFFFFF"/>
            <w:noWrap/>
            <w:vAlign w:val="center"/>
            <w:hideMark/>
          </w:tcPr>
          <w:p w14:paraId="07ECD4E2"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2</w:t>
            </w:r>
          </w:p>
        </w:tc>
        <w:tc>
          <w:tcPr>
            <w:tcW w:w="3018" w:type="dxa"/>
            <w:tcBorders>
              <w:top w:val="nil"/>
              <w:left w:val="nil"/>
              <w:bottom w:val="single" w:sz="4" w:space="0" w:color="auto"/>
              <w:right w:val="single" w:sz="4" w:space="0" w:color="auto"/>
            </w:tcBorders>
            <w:shd w:val="clear" w:color="000000" w:fill="FFFFFF"/>
            <w:noWrap/>
            <w:vAlign w:val="bottom"/>
          </w:tcPr>
          <w:p w14:paraId="23AF9222"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6009,40330.</w:t>
            </w:r>
          </w:p>
        </w:tc>
        <w:tc>
          <w:tcPr>
            <w:tcW w:w="1357" w:type="dxa"/>
            <w:tcBorders>
              <w:top w:val="nil"/>
              <w:left w:val="nil"/>
              <w:bottom w:val="single" w:sz="4" w:space="0" w:color="000000"/>
              <w:right w:val="single" w:sz="4" w:space="0" w:color="000000"/>
            </w:tcBorders>
            <w:shd w:val="clear" w:color="000000" w:fill="FFFFFF"/>
            <w:noWrap/>
            <w:vAlign w:val="bottom"/>
          </w:tcPr>
          <w:p w14:paraId="2185E66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71 </w:t>
            </w:r>
          </w:p>
        </w:tc>
        <w:tc>
          <w:tcPr>
            <w:tcW w:w="1058" w:type="dxa"/>
            <w:tcBorders>
              <w:top w:val="nil"/>
              <w:left w:val="nil"/>
              <w:bottom w:val="single" w:sz="4" w:space="0" w:color="000000"/>
              <w:right w:val="single" w:sz="4" w:space="0" w:color="000000"/>
            </w:tcBorders>
            <w:shd w:val="clear" w:color="000000" w:fill="FFFFFF"/>
            <w:noWrap/>
            <w:vAlign w:val="bottom"/>
          </w:tcPr>
          <w:p w14:paraId="28E43B1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214 </w:t>
            </w:r>
          </w:p>
        </w:tc>
        <w:tc>
          <w:tcPr>
            <w:tcW w:w="1509" w:type="dxa"/>
            <w:tcBorders>
              <w:top w:val="nil"/>
              <w:left w:val="nil"/>
              <w:bottom w:val="single" w:sz="4" w:space="0" w:color="000000"/>
              <w:right w:val="single" w:sz="4" w:space="0" w:color="000000"/>
            </w:tcBorders>
            <w:shd w:val="clear" w:color="000000" w:fill="FFFFFF"/>
            <w:noWrap/>
            <w:vAlign w:val="bottom"/>
          </w:tcPr>
          <w:p w14:paraId="56BC5E2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$114,066 </w:t>
            </w:r>
          </w:p>
        </w:tc>
        <w:tc>
          <w:tcPr>
            <w:tcW w:w="1056" w:type="dxa"/>
            <w:tcBorders>
              <w:top w:val="nil"/>
              <w:left w:val="nil"/>
              <w:bottom w:val="single" w:sz="4" w:space="0" w:color="000000"/>
              <w:right w:val="single" w:sz="4" w:space="0" w:color="000000"/>
            </w:tcBorders>
            <w:shd w:val="clear" w:color="000000" w:fill="FFFFFF"/>
            <w:noWrap/>
            <w:vAlign w:val="bottom"/>
          </w:tcPr>
          <w:p w14:paraId="1375458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69 </w:t>
            </w:r>
          </w:p>
        </w:tc>
        <w:tc>
          <w:tcPr>
            <w:tcW w:w="1207" w:type="dxa"/>
            <w:tcBorders>
              <w:top w:val="nil"/>
              <w:left w:val="nil"/>
              <w:bottom w:val="single" w:sz="4" w:space="0" w:color="000000"/>
              <w:right w:val="single" w:sz="4" w:space="0" w:color="000000"/>
            </w:tcBorders>
            <w:shd w:val="clear" w:color="auto" w:fill="auto"/>
            <w:noWrap/>
            <w:vAlign w:val="bottom"/>
          </w:tcPr>
          <w:p w14:paraId="14FA195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12.26% </w:t>
            </w:r>
          </w:p>
        </w:tc>
      </w:tr>
      <w:tr w:rsidR="002F68E2" w14:paraId="176E5B8C" w14:textId="77777777" w:rsidTr="008914AB">
        <w:trPr>
          <w:trHeight w:val="319"/>
        </w:trPr>
        <w:tc>
          <w:tcPr>
            <w:tcW w:w="755" w:type="dxa"/>
            <w:tcBorders>
              <w:top w:val="nil"/>
              <w:left w:val="single" w:sz="4" w:space="0" w:color="auto"/>
              <w:bottom w:val="single" w:sz="4" w:space="0" w:color="auto"/>
              <w:right w:val="single" w:sz="4" w:space="0" w:color="auto"/>
            </w:tcBorders>
            <w:shd w:val="clear" w:color="000000" w:fill="FFFFFF"/>
            <w:noWrap/>
            <w:vAlign w:val="center"/>
            <w:hideMark/>
          </w:tcPr>
          <w:p w14:paraId="77AF0C15"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3</w:t>
            </w:r>
          </w:p>
        </w:tc>
        <w:tc>
          <w:tcPr>
            <w:tcW w:w="3018" w:type="dxa"/>
            <w:tcBorders>
              <w:top w:val="nil"/>
              <w:left w:val="nil"/>
              <w:bottom w:val="single" w:sz="4" w:space="0" w:color="auto"/>
              <w:right w:val="single" w:sz="4" w:space="0" w:color="auto"/>
            </w:tcBorders>
            <w:shd w:val="clear" w:color="000000" w:fill="FFFFFF"/>
            <w:noWrap/>
            <w:vAlign w:val="bottom"/>
          </w:tcPr>
          <w:p w14:paraId="116F6BCE"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6011,40330.</w:t>
            </w:r>
          </w:p>
        </w:tc>
        <w:tc>
          <w:tcPr>
            <w:tcW w:w="1357" w:type="dxa"/>
            <w:tcBorders>
              <w:top w:val="nil"/>
              <w:left w:val="nil"/>
              <w:bottom w:val="single" w:sz="4" w:space="0" w:color="000000"/>
              <w:right w:val="single" w:sz="4" w:space="0" w:color="000000"/>
            </w:tcBorders>
            <w:shd w:val="clear" w:color="000000" w:fill="FFFFFF"/>
            <w:noWrap/>
            <w:vAlign w:val="bottom"/>
          </w:tcPr>
          <w:p w14:paraId="7A87802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39 </w:t>
            </w:r>
          </w:p>
        </w:tc>
        <w:tc>
          <w:tcPr>
            <w:tcW w:w="1058" w:type="dxa"/>
            <w:tcBorders>
              <w:top w:val="nil"/>
              <w:left w:val="nil"/>
              <w:bottom w:val="single" w:sz="4" w:space="0" w:color="000000"/>
              <w:right w:val="single" w:sz="4" w:space="0" w:color="000000"/>
            </w:tcBorders>
            <w:shd w:val="clear" w:color="000000" w:fill="FFFFFF"/>
            <w:noWrap/>
            <w:vAlign w:val="bottom"/>
          </w:tcPr>
          <w:p w14:paraId="3B4C022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118 </w:t>
            </w:r>
          </w:p>
        </w:tc>
        <w:tc>
          <w:tcPr>
            <w:tcW w:w="1509" w:type="dxa"/>
            <w:tcBorders>
              <w:top w:val="nil"/>
              <w:left w:val="nil"/>
              <w:bottom w:val="single" w:sz="4" w:space="0" w:color="000000"/>
              <w:right w:val="single" w:sz="4" w:space="0" w:color="000000"/>
            </w:tcBorders>
            <w:shd w:val="clear" w:color="000000" w:fill="FFFFFF"/>
            <w:noWrap/>
            <w:vAlign w:val="bottom"/>
          </w:tcPr>
          <w:p w14:paraId="6DFA7B0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$65,139 </w:t>
            </w:r>
          </w:p>
        </w:tc>
        <w:tc>
          <w:tcPr>
            <w:tcW w:w="1056" w:type="dxa"/>
            <w:tcBorders>
              <w:top w:val="nil"/>
              <w:left w:val="nil"/>
              <w:bottom w:val="single" w:sz="4" w:space="0" w:color="000000"/>
              <w:right w:val="single" w:sz="4" w:space="0" w:color="000000"/>
            </w:tcBorders>
            <w:shd w:val="clear" w:color="000000" w:fill="FFFFFF"/>
            <w:noWrap/>
            <w:vAlign w:val="bottom"/>
          </w:tcPr>
          <w:p w14:paraId="3D4EFA5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39 </w:t>
            </w:r>
          </w:p>
        </w:tc>
        <w:tc>
          <w:tcPr>
            <w:tcW w:w="1207" w:type="dxa"/>
            <w:tcBorders>
              <w:top w:val="nil"/>
              <w:left w:val="nil"/>
              <w:bottom w:val="single" w:sz="4" w:space="0" w:color="000000"/>
              <w:right w:val="single" w:sz="4" w:space="0" w:color="000000"/>
            </w:tcBorders>
            <w:shd w:val="clear" w:color="auto" w:fill="auto"/>
            <w:noWrap/>
            <w:vAlign w:val="bottom"/>
          </w:tcPr>
          <w:p w14:paraId="19E5941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6.74% </w:t>
            </w:r>
          </w:p>
        </w:tc>
      </w:tr>
      <w:tr w:rsidR="002F68E2" w14:paraId="1D07E94F" w14:textId="77777777" w:rsidTr="008914AB">
        <w:trPr>
          <w:trHeight w:val="319"/>
        </w:trPr>
        <w:tc>
          <w:tcPr>
            <w:tcW w:w="755" w:type="dxa"/>
            <w:tcBorders>
              <w:top w:val="nil"/>
              <w:left w:val="single" w:sz="4" w:space="0" w:color="auto"/>
              <w:bottom w:val="single" w:sz="4" w:space="0" w:color="auto"/>
              <w:right w:val="single" w:sz="4" w:space="0" w:color="auto"/>
            </w:tcBorders>
            <w:shd w:val="clear" w:color="000000" w:fill="FFFFFF"/>
            <w:noWrap/>
            <w:vAlign w:val="center"/>
            <w:hideMark/>
          </w:tcPr>
          <w:p w14:paraId="7FBAB7A3"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4</w:t>
            </w:r>
          </w:p>
        </w:tc>
        <w:tc>
          <w:tcPr>
            <w:tcW w:w="3018" w:type="dxa"/>
            <w:tcBorders>
              <w:top w:val="nil"/>
              <w:left w:val="nil"/>
              <w:bottom w:val="single" w:sz="4" w:space="0" w:color="auto"/>
              <w:right w:val="single" w:sz="4" w:space="0" w:color="auto"/>
            </w:tcBorders>
            <w:shd w:val="clear" w:color="000000" w:fill="FFFFFF"/>
            <w:noWrap/>
            <w:vAlign w:val="bottom"/>
          </w:tcPr>
          <w:p w14:paraId="3923E7BE"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p>
        </w:tc>
        <w:tc>
          <w:tcPr>
            <w:tcW w:w="1357" w:type="dxa"/>
            <w:tcBorders>
              <w:top w:val="nil"/>
              <w:left w:val="nil"/>
              <w:bottom w:val="single" w:sz="4" w:space="0" w:color="000000"/>
              <w:right w:val="single" w:sz="4" w:space="0" w:color="000000"/>
            </w:tcBorders>
            <w:shd w:val="clear" w:color="000000" w:fill="FFFFFF"/>
            <w:noWrap/>
            <w:vAlign w:val="bottom"/>
          </w:tcPr>
          <w:p w14:paraId="317E43B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27 </w:t>
            </w:r>
          </w:p>
        </w:tc>
        <w:tc>
          <w:tcPr>
            <w:tcW w:w="1058" w:type="dxa"/>
            <w:tcBorders>
              <w:top w:val="nil"/>
              <w:left w:val="nil"/>
              <w:bottom w:val="single" w:sz="4" w:space="0" w:color="000000"/>
              <w:right w:val="single" w:sz="4" w:space="0" w:color="000000"/>
            </w:tcBorders>
            <w:shd w:val="clear" w:color="000000" w:fill="FFFFFF"/>
            <w:noWrap/>
            <w:vAlign w:val="bottom"/>
          </w:tcPr>
          <w:p w14:paraId="53F84ED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27 </w:t>
            </w:r>
          </w:p>
        </w:tc>
        <w:tc>
          <w:tcPr>
            <w:tcW w:w="1509" w:type="dxa"/>
            <w:tcBorders>
              <w:top w:val="nil"/>
              <w:left w:val="nil"/>
              <w:bottom w:val="single" w:sz="4" w:space="0" w:color="000000"/>
              <w:right w:val="single" w:sz="4" w:space="0" w:color="000000"/>
            </w:tcBorders>
            <w:shd w:val="clear" w:color="000000" w:fill="FFFFFF"/>
            <w:noWrap/>
            <w:vAlign w:val="bottom"/>
          </w:tcPr>
          <w:p w14:paraId="77F68BD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$29,233 </w:t>
            </w:r>
          </w:p>
        </w:tc>
        <w:tc>
          <w:tcPr>
            <w:tcW w:w="1056" w:type="dxa"/>
            <w:tcBorders>
              <w:top w:val="nil"/>
              <w:left w:val="nil"/>
              <w:bottom w:val="single" w:sz="4" w:space="0" w:color="000000"/>
              <w:right w:val="single" w:sz="4" w:space="0" w:color="000000"/>
            </w:tcBorders>
            <w:shd w:val="clear" w:color="000000" w:fill="FFFFFF"/>
            <w:noWrap/>
            <w:vAlign w:val="bottom"/>
          </w:tcPr>
          <w:p w14:paraId="486088B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26 </w:t>
            </w:r>
          </w:p>
        </w:tc>
        <w:tc>
          <w:tcPr>
            <w:tcW w:w="1207" w:type="dxa"/>
            <w:tcBorders>
              <w:top w:val="nil"/>
              <w:left w:val="nil"/>
              <w:bottom w:val="single" w:sz="4" w:space="0" w:color="000000"/>
              <w:right w:val="single" w:sz="4" w:space="0" w:color="000000"/>
            </w:tcBorders>
            <w:shd w:val="clear" w:color="auto" w:fill="auto"/>
            <w:noWrap/>
            <w:vAlign w:val="bottom"/>
          </w:tcPr>
          <w:p w14:paraId="3A6A59E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4.66% </w:t>
            </w:r>
          </w:p>
        </w:tc>
      </w:tr>
      <w:tr w:rsidR="002F68E2" w14:paraId="22B0A54C" w14:textId="77777777" w:rsidTr="008914AB">
        <w:trPr>
          <w:trHeight w:val="319"/>
        </w:trPr>
        <w:tc>
          <w:tcPr>
            <w:tcW w:w="755" w:type="dxa"/>
            <w:tcBorders>
              <w:top w:val="nil"/>
              <w:left w:val="single" w:sz="4" w:space="0" w:color="auto"/>
              <w:bottom w:val="single" w:sz="4" w:space="0" w:color="auto"/>
              <w:right w:val="single" w:sz="4" w:space="0" w:color="auto"/>
            </w:tcBorders>
            <w:shd w:val="clear" w:color="000000" w:fill="FFFFFF"/>
            <w:noWrap/>
            <w:vAlign w:val="center"/>
            <w:hideMark/>
          </w:tcPr>
          <w:p w14:paraId="538E2EE0"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5</w:t>
            </w:r>
          </w:p>
        </w:tc>
        <w:tc>
          <w:tcPr>
            <w:tcW w:w="3018" w:type="dxa"/>
            <w:tcBorders>
              <w:top w:val="nil"/>
              <w:left w:val="nil"/>
              <w:bottom w:val="single" w:sz="4" w:space="0" w:color="auto"/>
              <w:right w:val="single" w:sz="4" w:space="0" w:color="auto"/>
            </w:tcBorders>
            <w:shd w:val="clear" w:color="000000" w:fill="FFFFFF"/>
            <w:noWrap/>
            <w:vAlign w:val="bottom"/>
          </w:tcPr>
          <w:p w14:paraId="10A9238A"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40330,48660,48684.</w:t>
            </w:r>
          </w:p>
        </w:tc>
        <w:tc>
          <w:tcPr>
            <w:tcW w:w="1357" w:type="dxa"/>
            <w:tcBorders>
              <w:top w:val="nil"/>
              <w:left w:val="nil"/>
              <w:bottom w:val="single" w:sz="4" w:space="0" w:color="000000"/>
              <w:right w:val="single" w:sz="4" w:space="0" w:color="000000"/>
            </w:tcBorders>
            <w:shd w:val="clear" w:color="000000" w:fill="FFFFFF"/>
            <w:noWrap/>
            <w:vAlign w:val="bottom"/>
          </w:tcPr>
          <w:p w14:paraId="43C528A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26 </w:t>
            </w:r>
          </w:p>
        </w:tc>
        <w:tc>
          <w:tcPr>
            <w:tcW w:w="1058" w:type="dxa"/>
            <w:tcBorders>
              <w:top w:val="nil"/>
              <w:left w:val="nil"/>
              <w:bottom w:val="single" w:sz="4" w:space="0" w:color="000000"/>
              <w:right w:val="single" w:sz="4" w:space="0" w:color="000000"/>
            </w:tcBorders>
            <w:shd w:val="clear" w:color="000000" w:fill="FFFFFF"/>
            <w:noWrap/>
            <w:vAlign w:val="bottom"/>
          </w:tcPr>
          <w:p w14:paraId="7DB50EA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104 </w:t>
            </w:r>
          </w:p>
        </w:tc>
        <w:tc>
          <w:tcPr>
            <w:tcW w:w="1509" w:type="dxa"/>
            <w:tcBorders>
              <w:top w:val="nil"/>
              <w:left w:val="nil"/>
              <w:bottom w:val="single" w:sz="4" w:space="0" w:color="000000"/>
              <w:right w:val="single" w:sz="4" w:space="0" w:color="000000"/>
            </w:tcBorders>
            <w:shd w:val="clear" w:color="000000" w:fill="FFFFFF"/>
            <w:noWrap/>
            <w:vAlign w:val="bottom"/>
          </w:tcPr>
          <w:p w14:paraId="26008FF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$54,553 </w:t>
            </w:r>
          </w:p>
        </w:tc>
        <w:tc>
          <w:tcPr>
            <w:tcW w:w="1056" w:type="dxa"/>
            <w:tcBorders>
              <w:top w:val="nil"/>
              <w:left w:val="nil"/>
              <w:bottom w:val="single" w:sz="4" w:space="0" w:color="000000"/>
              <w:right w:val="single" w:sz="4" w:space="0" w:color="000000"/>
            </w:tcBorders>
            <w:shd w:val="clear" w:color="000000" w:fill="FFFFFF"/>
            <w:noWrap/>
            <w:vAlign w:val="bottom"/>
          </w:tcPr>
          <w:p w14:paraId="7E9FA21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26 </w:t>
            </w:r>
          </w:p>
        </w:tc>
        <w:tc>
          <w:tcPr>
            <w:tcW w:w="1207" w:type="dxa"/>
            <w:tcBorders>
              <w:top w:val="nil"/>
              <w:left w:val="nil"/>
              <w:bottom w:val="single" w:sz="4" w:space="0" w:color="000000"/>
              <w:right w:val="single" w:sz="4" w:space="0" w:color="000000"/>
            </w:tcBorders>
            <w:shd w:val="clear" w:color="auto" w:fill="auto"/>
            <w:noWrap/>
            <w:vAlign w:val="bottom"/>
          </w:tcPr>
          <w:p w14:paraId="4D1B12E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4.49% </w:t>
            </w:r>
          </w:p>
        </w:tc>
      </w:tr>
      <w:tr w:rsidR="002F68E2" w14:paraId="0D9CEC09" w14:textId="77777777" w:rsidTr="008914AB">
        <w:trPr>
          <w:trHeight w:val="319"/>
        </w:trPr>
        <w:tc>
          <w:tcPr>
            <w:tcW w:w="755" w:type="dxa"/>
            <w:tcBorders>
              <w:top w:val="nil"/>
              <w:left w:val="single" w:sz="4" w:space="0" w:color="auto"/>
              <w:bottom w:val="single" w:sz="4" w:space="0" w:color="auto"/>
              <w:right w:val="single" w:sz="4" w:space="0" w:color="auto"/>
            </w:tcBorders>
            <w:shd w:val="clear" w:color="000000" w:fill="FFFFFF"/>
            <w:noWrap/>
            <w:vAlign w:val="center"/>
            <w:hideMark/>
          </w:tcPr>
          <w:p w14:paraId="6DC220BC"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6</w:t>
            </w:r>
          </w:p>
        </w:tc>
        <w:tc>
          <w:tcPr>
            <w:tcW w:w="3018" w:type="dxa"/>
            <w:tcBorders>
              <w:top w:val="nil"/>
              <w:left w:val="nil"/>
              <w:bottom w:val="single" w:sz="4" w:space="0" w:color="auto"/>
              <w:right w:val="single" w:sz="4" w:space="0" w:color="auto"/>
            </w:tcBorders>
            <w:shd w:val="clear" w:color="000000" w:fill="FFFFFF"/>
            <w:noWrap/>
            <w:vAlign w:val="bottom"/>
          </w:tcPr>
          <w:p w14:paraId="4B6EBB1E"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48669,48684.</w:t>
            </w:r>
          </w:p>
        </w:tc>
        <w:tc>
          <w:tcPr>
            <w:tcW w:w="1357" w:type="dxa"/>
            <w:tcBorders>
              <w:top w:val="nil"/>
              <w:left w:val="nil"/>
              <w:bottom w:val="single" w:sz="4" w:space="0" w:color="000000"/>
              <w:right w:val="single" w:sz="4" w:space="0" w:color="000000"/>
            </w:tcBorders>
            <w:shd w:val="clear" w:color="000000" w:fill="FFFFFF"/>
            <w:noWrap/>
            <w:vAlign w:val="bottom"/>
          </w:tcPr>
          <w:p w14:paraId="720D3A3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22 </w:t>
            </w:r>
          </w:p>
        </w:tc>
        <w:tc>
          <w:tcPr>
            <w:tcW w:w="1058" w:type="dxa"/>
            <w:tcBorders>
              <w:top w:val="nil"/>
              <w:left w:val="nil"/>
              <w:bottom w:val="single" w:sz="4" w:space="0" w:color="000000"/>
              <w:right w:val="single" w:sz="4" w:space="0" w:color="000000"/>
            </w:tcBorders>
            <w:shd w:val="clear" w:color="000000" w:fill="FFFFFF"/>
            <w:noWrap/>
            <w:vAlign w:val="bottom"/>
          </w:tcPr>
          <w:p w14:paraId="0080869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67 </w:t>
            </w:r>
          </w:p>
        </w:tc>
        <w:tc>
          <w:tcPr>
            <w:tcW w:w="1509" w:type="dxa"/>
            <w:tcBorders>
              <w:top w:val="nil"/>
              <w:left w:val="nil"/>
              <w:bottom w:val="single" w:sz="4" w:space="0" w:color="000000"/>
              <w:right w:val="single" w:sz="4" w:space="0" w:color="000000"/>
            </w:tcBorders>
            <w:shd w:val="clear" w:color="000000" w:fill="FFFFFF"/>
            <w:noWrap/>
            <w:vAlign w:val="bottom"/>
          </w:tcPr>
          <w:p w14:paraId="5DB8F4F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$49,650 </w:t>
            </w:r>
          </w:p>
        </w:tc>
        <w:tc>
          <w:tcPr>
            <w:tcW w:w="1056" w:type="dxa"/>
            <w:tcBorders>
              <w:top w:val="nil"/>
              <w:left w:val="nil"/>
              <w:bottom w:val="single" w:sz="4" w:space="0" w:color="000000"/>
              <w:right w:val="single" w:sz="4" w:space="0" w:color="000000"/>
            </w:tcBorders>
            <w:shd w:val="clear" w:color="000000" w:fill="FFFFFF"/>
            <w:noWrap/>
            <w:vAlign w:val="bottom"/>
          </w:tcPr>
          <w:p w14:paraId="1B99E5C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22 </w:t>
            </w:r>
          </w:p>
        </w:tc>
        <w:tc>
          <w:tcPr>
            <w:tcW w:w="1207" w:type="dxa"/>
            <w:tcBorders>
              <w:top w:val="nil"/>
              <w:left w:val="nil"/>
              <w:bottom w:val="single" w:sz="4" w:space="0" w:color="000000"/>
              <w:right w:val="single" w:sz="4" w:space="0" w:color="000000"/>
            </w:tcBorders>
            <w:shd w:val="clear" w:color="auto" w:fill="auto"/>
            <w:noWrap/>
            <w:vAlign w:val="bottom"/>
          </w:tcPr>
          <w:p w14:paraId="7A11880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3.80% </w:t>
            </w:r>
          </w:p>
        </w:tc>
      </w:tr>
      <w:tr w:rsidR="002F68E2" w14:paraId="041D139E" w14:textId="77777777" w:rsidTr="008914AB">
        <w:trPr>
          <w:trHeight w:val="319"/>
        </w:trPr>
        <w:tc>
          <w:tcPr>
            <w:tcW w:w="755" w:type="dxa"/>
            <w:tcBorders>
              <w:top w:val="nil"/>
              <w:left w:val="single" w:sz="4" w:space="0" w:color="auto"/>
              <w:bottom w:val="single" w:sz="4" w:space="0" w:color="auto"/>
              <w:right w:val="single" w:sz="4" w:space="0" w:color="auto"/>
            </w:tcBorders>
            <w:shd w:val="clear" w:color="000000" w:fill="FFFFFF"/>
            <w:noWrap/>
            <w:vAlign w:val="center"/>
            <w:hideMark/>
          </w:tcPr>
          <w:p w14:paraId="5817C73F" w14:textId="77777777" w:rsidR="002F68E2" w:rsidRPr="00127D35" w:rsidRDefault="002F68E2" w:rsidP="002F68E2">
            <w:pPr>
              <w:jc w:val="right"/>
              <w:rPr>
                <w:rFonts w:ascii="Arial" w:hAnsi="Arial" w:cs="Arial"/>
                <w:sz w:val="18"/>
                <w:szCs w:val="18"/>
              </w:rPr>
            </w:pPr>
            <w:r w:rsidRPr="00127D35">
              <w:rPr>
                <w:rFonts w:ascii="Arial" w:hAnsi="Arial" w:cs="Arial"/>
                <w:sz w:val="18"/>
                <w:szCs w:val="18"/>
              </w:rPr>
              <w:t>7</w:t>
            </w:r>
          </w:p>
        </w:tc>
        <w:tc>
          <w:tcPr>
            <w:tcW w:w="3018" w:type="dxa"/>
            <w:tcBorders>
              <w:top w:val="nil"/>
              <w:left w:val="nil"/>
              <w:bottom w:val="single" w:sz="4" w:space="0" w:color="auto"/>
              <w:right w:val="single" w:sz="4" w:space="0" w:color="auto"/>
            </w:tcBorders>
            <w:shd w:val="clear" w:color="000000" w:fill="FFFFFF"/>
            <w:noWrap/>
            <w:vAlign w:val="bottom"/>
          </w:tcPr>
          <w:p w14:paraId="23439BA6"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6009,40330,48660,48684</w:t>
            </w:r>
          </w:p>
        </w:tc>
        <w:tc>
          <w:tcPr>
            <w:tcW w:w="1357" w:type="dxa"/>
            <w:tcBorders>
              <w:top w:val="nil"/>
              <w:left w:val="nil"/>
              <w:bottom w:val="single" w:sz="4" w:space="0" w:color="000000"/>
              <w:right w:val="single" w:sz="4" w:space="0" w:color="000000"/>
            </w:tcBorders>
            <w:shd w:val="clear" w:color="000000" w:fill="FFFFFF"/>
            <w:noWrap/>
            <w:vAlign w:val="bottom"/>
          </w:tcPr>
          <w:p w14:paraId="73B6E80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 </w:t>
            </w:r>
          </w:p>
        </w:tc>
        <w:tc>
          <w:tcPr>
            <w:tcW w:w="1058" w:type="dxa"/>
            <w:tcBorders>
              <w:top w:val="nil"/>
              <w:left w:val="nil"/>
              <w:bottom w:val="single" w:sz="4" w:space="0" w:color="000000"/>
              <w:right w:val="single" w:sz="4" w:space="0" w:color="000000"/>
            </w:tcBorders>
            <w:shd w:val="clear" w:color="000000" w:fill="FFFFFF"/>
            <w:noWrap/>
            <w:vAlign w:val="bottom"/>
          </w:tcPr>
          <w:p w14:paraId="4AF01B4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95 </w:t>
            </w:r>
          </w:p>
        </w:tc>
        <w:tc>
          <w:tcPr>
            <w:tcW w:w="1509" w:type="dxa"/>
            <w:tcBorders>
              <w:top w:val="nil"/>
              <w:left w:val="nil"/>
              <w:bottom w:val="single" w:sz="4" w:space="0" w:color="000000"/>
              <w:right w:val="single" w:sz="4" w:space="0" w:color="000000"/>
            </w:tcBorders>
            <w:shd w:val="clear" w:color="000000" w:fill="FFFFFF"/>
            <w:noWrap/>
            <w:vAlign w:val="bottom"/>
          </w:tcPr>
          <w:p w14:paraId="7853384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$42,646 </w:t>
            </w:r>
          </w:p>
        </w:tc>
        <w:tc>
          <w:tcPr>
            <w:tcW w:w="1056" w:type="dxa"/>
            <w:tcBorders>
              <w:top w:val="nil"/>
              <w:left w:val="nil"/>
              <w:bottom w:val="single" w:sz="4" w:space="0" w:color="000000"/>
              <w:right w:val="single" w:sz="4" w:space="0" w:color="000000"/>
            </w:tcBorders>
            <w:shd w:val="clear" w:color="000000" w:fill="FFFFFF"/>
            <w:noWrap/>
            <w:vAlign w:val="bottom"/>
          </w:tcPr>
          <w:p w14:paraId="2BA1D7B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 </w:t>
            </w:r>
          </w:p>
        </w:tc>
        <w:tc>
          <w:tcPr>
            <w:tcW w:w="1207" w:type="dxa"/>
            <w:tcBorders>
              <w:top w:val="nil"/>
              <w:left w:val="nil"/>
              <w:bottom w:val="single" w:sz="4" w:space="0" w:color="000000"/>
              <w:right w:val="single" w:sz="4" w:space="0" w:color="000000"/>
            </w:tcBorders>
            <w:shd w:val="clear" w:color="auto" w:fill="auto"/>
            <w:noWrap/>
            <w:vAlign w:val="bottom"/>
          </w:tcPr>
          <w:p w14:paraId="7ADCCFC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3.28% </w:t>
            </w:r>
          </w:p>
        </w:tc>
      </w:tr>
      <w:tr w:rsidR="002F68E2" w14:paraId="74EAD05B" w14:textId="77777777" w:rsidTr="008914AB">
        <w:trPr>
          <w:trHeight w:val="319"/>
        </w:trPr>
        <w:tc>
          <w:tcPr>
            <w:tcW w:w="755" w:type="dxa"/>
            <w:tcBorders>
              <w:top w:val="nil"/>
              <w:left w:val="single" w:sz="4" w:space="0" w:color="auto"/>
              <w:bottom w:val="single" w:sz="4" w:space="0" w:color="auto"/>
              <w:right w:val="single" w:sz="4" w:space="0" w:color="auto"/>
            </w:tcBorders>
            <w:shd w:val="clear" w:color="000000" w:fill="FFFFFF"/>
            <w:noWrap/>
            <w:vAlign w:val="center"/>
            <w:hideMark/>
          </w:tcPr>
          <w:p w14:paraId="6A863896" w14:textId="77777777" w:rsidR="002F68E2" w:rsidRPr="00127D35" w:rsidRDefault="002F68E2" w:rsidP="002F68E2">
            <w:pPr>
              <w:jc w:val="right"/>
              <w:rPr>
                <w:rFonts w:ascii="Arial" w:hAnsi="Arial" w:cs="Arial"/>
                <w:sz w:val="18"/>
                <w:szCs w:val="18"/>
              </w:rPr>
            </w:pPr>
            <w:r>
              <w:rPr>
                <w:rFonts w:ascii="Arial" w:hAnsi="Arial" w:cs="Arial"/>
                <w:sz w:val="18"/>
                <w:szCs w:val="18"/>
              </w:rPr>
              <w:t>8</w:t>
            </w:r>
          </w:p>
        </w:tc>
        <w:tc>
          <w:tcPr>
            <w:tcW w:w="3018" w:type="dxa"/>
            <w:tcBorders>
              <w:top w:val="nil"/>
              <w:left w:val="nil"/>
              <w:bottom w:val="single" w:sz="4" w:space="0" w:color="auto"/>
              <w:right w:val="single" w:sz="4" w:space="0" w:color="auto"/>
            </w:tcBorders>
            <w:shd w:val="clear" w:color="000000" w:fill="FFFFFF"/>
            <w:noWrap/>
            <w:vAlign w:val="bottom"/>
          </w:tcPr>
          <w:p w14:paraId="3A35C86E" w14:textId="77777777" w:rsidR="002F68E2" w:rsidRPr="00C57197" w:rsidRDefault="002F68E2" w:rsidP="002F68E2">
            <w:pPr>
              <w:rPr>
                <w:rFonts w:ascii="Arial" w:hAnsi="Arial" w:cs="Arial"/>
                <w:b/>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6011,40331.</w:t>
            </w:r>
          </w:p>
        </w:tc>
        <w:tc>
          <w:tcPr>
            <w:tcW w:w="1357" w:type="dxa"/>
            <w:tcBorders>
              <w:top w:val="nil"/>
              <w:left w:val="nil"/>
              <w:bottom w:val="single" w:sz="4" w:space="0" w:color="000000"/>
              <w:right w:val="single" w:sz="4" w:space="0" w:color="000000"/>
            </w:tcBorders>
            <w:shd w:val="clear" w:color="000000" w:fill="FFFFFF"/>
            <w:noWrap/>
            <w:vAlign w:val="bottom"/>
          </w:tcPr>
          <w:p w14:paraId="3C56FA0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 </w:t>
            </w:r>
          </w:p>
        </w:tc>
        <w:tc>
          <w:tcPr>
            <w:tcW w:w="1058" w:type="dxa"/>
            <w:tcBorders>
              <w:top w:val="nil"/>
              <w:left w:val="nil"/>
              <w:bottom w:val="single" w:sz="4" w:space="0" w:color="000000"/>
              <w:right w:val="single" w:sz="4" w:space="0" w:color="000000"/>
            </w:tcBorders>
            <w:shd w:val="clear" w:color="000000" w:fill="FFFFFF"/>
            <w:noWrap/>
            <w:vAlign w:val="bottom"/>
          </w:tcPr>
          <w:p w14:paraId="6FC3B99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45 </w:t>
            </w:r>
          </w:p>
        </w:tc>
        <w:tc>
          <w:tcPr>
            <w:tcW w:w="1509" w:type="dxa"/>
            <w:tcBorders>
              <w:top w:val="nil"/>
              <w:left w:val="nil"/>
              <w:bottom w:val="single" w:sz="4" w:space="0" w:color="000000"/>
              <w:right w:val="single" w:sz="4" w:space="0" w:color="000000"/>
            </w:tcBorders>
            <w:shd w:val="clear" w:color="000000" w:fill="FFFFFF"/>
            <w:noWrap/>
            <w:vAlign w:val="bottom"/>
          </w:tcPr>
          <w:p w14:paraId="42B47D4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$24,686 </w:t>
            </w:r>
          </w:p>
        </w:tc>
        <w:tc>
          <w:tcPr>
            <w:tcW w:w="1056" w:type="dxa"/>
            <w:tcBorders>
              <w:top w:val="nil"/>
              <w:left w:val="nil"/>
              <w:bottom w:val="single" w:sz="4" w:space="0" w:color="000000"/>
              <w:right w:val="single" w:sz="4" w:space="0" w:color="000000"/>
            </w:tcBorders>
            <w:shd w:val="clear" w:color="000000" w:fill="FFFFFF"/>
            <w:noWrap/>
            <w:vAlign w:val="bottom"/>
          </w:tcPr>
          <w:p w14:paraId="2137AE8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 </w:t>
            </w:r>
          </w:p>
        </w:tc>
        <w:tc>
          <w:tcPr>
            <w:tcW w:w="1207" w:type="dxa"/>
            <w:tcBorders>
              <w:top w:val="nil"/>
              <w:left w:val="nil"/>
              <w:bottom w:val="single" w:sz="4" w:space="0" w:color="000000"/>
              <w:right w:val="single" w:sz="4" w:space="0" w:color="000000"/>
            </w:tcBorders>
            <w:shd w:val="clear" w:color="auto" w:fill="auto"/>
            <w:noWrap/>
            <w:vAlign w:val="bottom"/>
          </w:tcPr>
          <w:p w14:paraId="702FCD7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2.59% </w:t>
            </w:r>
          </w:p>
        </w:tc>
      </w:tr>
      <w:tr w:rsidR="002F68E2" w14:paraId="70F1F5A6" w14:textId="77777777" w:rsidTr="008914AB">
        <w:trPr>
          <w:trHeight w:val="319"/>
        </w:trPr>
        <w:tc>
          <w:tcPr>
            <w:tcW w:w="755" w:type="dxa"/>
            <w:tcBorders>
              <w:top w:val="nil"/>
              <w:left w:val="single" w:sz="4" w:space="0" w:color="auto"/>
              <w:bottom w:val="single" w:sz="4" w:space="0" w:color="auto"/>
              <w:right w:val="single" w:sz="4" w:space="0" w:color="auto"/>
            </w:tcBorders>
            <w:shd w:val="clear" w:color="000000" w:fill="FFFFFF"/>
            <w:noWrap/>
            <w:vAlign w:val="center"/>
            <w:hideMark/>
          </w:tcPr>
          <w:p w14:paraId="6F4829D1" w14:textId="77777777" w:rsidR="002F68E2" w:rsidRPr="00127D35" w:rsidRDefault="002F68E2" w:rsidP="002F68E2">
            <w:pPr>
              <w:jc w:val="right"/>
              <w:rPr>
                <w:rFonts w:ascii="Arial" w:hAnsi="Arial" w:cs="Arial"/>
                <w:sz w:val="18"/>
                <w:szCs w:val="18"/>
              </w:rPr>
            </w:pPr>
            <w:r>
              <w:rPr>
                <w:rFonts w:ascii="Arial" w:hAnsi="Arial" w:cs="Arial"/>
                <w:sz w:val="18"/>
                <w:szCs w:val="18"/>
              </w:rPr>
              <w:t>9</w:t>
            </w:r>
          </w:p>
        </w:tc>
        <w:tc>
          <w:tcPr>
            <w:tcW w:w="3018" w:type="dxa"/>
            <w:tcBorders>
              <w:top w:val="nil"/>
              <w:left w:val="nil"/>
              <w:bottom w:val="single" w:sz="4" w:space="0" w:color="auto"/>
              <w:right w:val="single" w:sz="4" w:space="0" w:color="auto"/>
            </w:tcBorders>
            <w:shd w:val="clear" w:color="000000" w:fill="FFFFFF"/>
            <w:noWrap/>
            <w:vAlign w:val="bottom"/>
          </w:tcPr>
          <w:p w14:paraId="3E793362" w14:textId="77777777" w:rsidR="002F68E2" w:rsidRPr="00C57197" w:rsidRDefault="002F68E2" w:rsidP="002F68E2">
            <w:pPr>
              <w:rPr>
                <w:rFonts w:ascii="Arial" w:hAnsi="Arial" w:cs="Arial"/>
                <w:b/>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 xml:space="preserve"> 105,40330,48660,48684</w:t>
            </w:r>
          </w:p>
        </w:tc>
        <w:tc>
          <w:tcPr>
            <w:tcW w:w="1357" w:type="dxa"/>
            <w:tcBorders>
              <w:top w:val="nil"/>
              <w:left w:val="nil"/>
              <w:bottom w:val="single" w:sz="4" w:space="0" w:color="000000"/>
              <w:right w:val="single" w:sz="4" w:space="0" w:color="000000"/>
            </w:tcBorders>
            <w:shd w:val="clear" w:color="000000" w:fill="FFFFFF"/>
            <w:noWrap/>
            <w:vAlign w:val="bottom"/>
          </w:tcPr>
          <w:p w14:paraId="4AB5053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14 </w:t>
            </w:r>
          </w:p>
        </w:tc>
        <w:tc>
          <w:tcPr>
            <w:tcW w:w="1058" w:type="dxa"/>
            <w:tcBorders>
              <w:top w:val="nil"/>
              <w:left w:val="nil"/>
              <w:bottom w:val="single" w:sz="4" w:space="0" w:color="000000"/>
              <w:right w:val="single" w:sz="4" w:space="0" w:color="000000"/>
            </w:tcBorders>
            <w:shd w:val="clear" w:color="000000" w:fill="FFFFFF"/>
            <w:noWrap/>
            <w:vAlign w:val="bottom"/>
          </w:tcPr>
          <w:p w14:paraId="1D95642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70 </w:t>
            </w:r>
          </w:p>
        </w:tc>
        <w:tc>
          <w:tcPr>
            <w:tcW w:w="1509" w:type="dxa"/>
            <w:tcBorders>
              <w:top w:val="nil"/>
              <w:left w:val="nil"/>
              <w:bottom w:val="single" w:sz="4" w:space="0" w:color="000000"/>
              <w:right w:val="single" w:sz="4" w:space="0" w:color="000000"/>
            </w:tcBorders>
            <w:shd w:val="clear" w:color="000000" w:fill="FFFFFF"/>
            <w:noWrap/>
            <w:vAlign w:val="bottom"/>
          </w:tcPr>
          <w:p w14:paraId="072ED70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$29,977 </w:t>
            </w:r>
          </w:p>
        </w:tc>
        <w:tc>
          <w:tcPr>
            <w:tcW w:w="1056" w:type="dxa"/>
            <w:tcBorders>
              <w:top w:val="nil"/>
              <w:left w:val="nil"/>
              <w:bottom w:val="single" w:sz="4" w:space="0" w:color="000000"/>
              <w:right w:val="single" w:sz="4" w:space="0" w:color="000000"/>
            </w:tcBorders>
            <w:shd w:val="clear" w:color="000000" w:fill="FFFFFF"/>
            <w:noWrap/>
            <w:vAlign w:val="bottom"/>
          </w:tcPr>
          <w:p w14:paraId="2AFAD76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14 </w:t>
            </w:r>
          </w:p>
        </w:tc>
        <w:tc>
          <w:tcPr>
            <w:tcW w:w="1207" w:type="dxa"/>
            <w:tcBorders>
              <w:top w:val="nil"/>
              <w:left w:val="nil"/>
              <w:bottom w:val="single" w:sz="4" w:space="0" w:color="000000"/>
              <w:right w:val="single" w:sz="4" w:space="0" w:color="000000"/>
            </w:tcBorders>
            <w:shd w:val="clear" w:color="auto" w:fill="auto"/>
            <w:noWrap/>
            <w:vAlign w:val="bottom"/>
          </w:tcPr>
          <w:p w14:paraId="7426009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2.42% </w:t>
            </w:r>
          </w:p>
        </w:tc>
      </w:tr>
      <w:tr w:rsidR="002F68E2" w14:paraId="11E5C8B6" w14:textId="77777777" w:rsidTr="008914AB">
        <w:trPr>
          <w:trHeight w:val="269"/>
        </w:trPr>
        <w:tc>
          <w:tcPr>
            <w:tcW w:w="755" w:type="dxa"/>
            <w:tcBorders>
              <w:top w:val="nil"/>
              <w:left w:val="single" w:sz="4" w:space="0" w:color="auto"/>
              <w:bottom w:val="single" w:sz="4" w:space="0" w:color="auto"/>
              <w:right w:val="single" w:sz="4" w:space="0" w:color="auto"/>
            </w:tcBorders>
            <w:shd w:val="clear" w:color="000000" w:fill="FFFFFF"/>
            <w:noWrap/>
            <w:vAlign w:val="center"/>
            <w:hideMark/>
          </w:tcPr>
          <w:p w14:paraId="0D69DC1E" w14:textId="77777777" w:rsidR="002F68E2" w:rsidRPr="00127D35" w:rsidRDefault="002F68E2" w:rsidP="002F68E2">
            <w:pPr>
              <w:jc w:val="right"/>
              <w:rPr>
                <w:rFonts w:ascii="Arial" w:hAnsi="Arial" w:cs="Arial"/>
                <w:sz w:val="18"/>
                <w:szCs w:val="18"/>
              </w:rPr>
            </w:pPr>
            <w:r>
              <w:rPr>
                <w:rFonts w:ascii="Arial" w:hAnsi="Arial" w:cs="Arial"/>
                <w:sz w:val="18"/>
                <w:szCs w:val="18"/>
              </w:rPr>
              <w:t>10</w:t>
            </w:r>
          </w:p>
        </w:tc>
        <w:tc>
          <w:tcPr>
            <w:tcW w:w="3018" w:type="dxa"/>
            <w:tcBorders>
              <w:top w:val="nil"/>
              <w:left w:val="nil"/>
              <w:bottom w:val="single" w:sz="4" w:space="0" w:color="auto"/>
              <w:right w:val="single" w:sz="4" w:space="0" w:color="auto"/>
            </w:tcBorders>
            <w:shd w:val="clear" w:color="000000" w:fill="FFFFFF"/>
            <w:noWrap/>
            <w:vAlign w:val="bottom"/>
          </w:tcPr>
          <w:p w14:paraId="312E1349" w14:textId="77777777" w:rsidR="002F68E2" w:rsidRPr="00C57197" w:rsidRDefault="002F68E2" w:rsidP="002F68E2">
            <w:pPr>
              <w:rPr>
                <w:rFonts w:ascii="Arial" w:hAnsi="Arial" w:cs="Arial"/>
                <w:b/>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105,40330.</w:t>
            </w:r>
          </w:p>
        </w:tc>
        <w:tc>
          <w:tcPr>
            <w:tcW w:w="1357" w:type="dxa"/>
            <w:tcBorders>
              <w:top w:val="nil"/>
              <w:left w:val="nil"/>
              <w:bottom w:val="single" w:sz="4" w:space="0" w:color="000000"/>
              <w:right w:val="single" w:sz="4" w:space="0" w:color="000000"/>
            </w:tcBorders>
            <w:shd w:val="clear" w:color="000000" w:fill="FFFFFF"/>
            <w:noWrap/>
            <w:vAlign w:val="bottom"/>
          </w:tcPr>
          <w:p w14:paraId="4FA6ADB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14 </w:t>
            </w:r>
          </w:p>
        </w:tc>
        <w:tc>
          <w:tcPr>
            <w:tcW w:w="1058" w:type="dxa"/>
            <w:tcBorders>
              <w:top w:val="nil"/>
              <w:left w:val="nil"/>
              <w:bottom w:val="single" w:sz="4" w:space="0" w:color="000000"/>
              <w:right w:val="single" w:sz="4" w:space="0" w:color="000000"/>
            </w:tcBorders>
            <w:shd w:val="clear" w:color="000000" w:fill="FFFFFF"/>
            <w:noWrap/>
            <w:vAlign w:val="bottom"/>
          </w:tcPr>
          <w:p w14:paraId="48620E6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42 </w:t>
            </w:r>
          </w:p>
        </w:tc>
        <w:tc>
          <w:tcPr>
            <w:tcW w:w="1509" w:type="dxa"/>
            <w:tcBorders>
              <w:top w:val="nil"/>
              <w:left w:val="nil"/>
              <w:bottom w:val="single" w:sz="4" w:space="0" w:color="000000"/>
              <w:right w:val="single" w:sz="4" w:space="0" w:color="000000"/>
            </w:tcBorders>
            <w:shd w:val="clear" w:color="000000" w:fill="FFFFFF"/>
            <w:noWrap/>
            <w:vAlign w:val="bottom"/>
          </w:tcPr>
          <w:p w14:paraId="74D0757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$22,445 </w:t>
            </w:r>
          </w:p>
        </w:tc>
        <w:tc>
          <w:tcPr>
            <w:tcW w:w="1056" w:type="dxa"/>
            <w:tcBorders>
              <w:top w:val="nil"/>
              <w:left w:val="nil"/>
              <w:bottom w:val="single" w:sz="4" w:space="0" w:color="000000"/>
              <w:right w:val="single" w:sz="4" w:space="0" w:color="000000"/>
            </w:tcBorders>
            <w:shd w:val="clear" w:color="000000" w:fill="FFFFFF"/>
            <w:noWrap/>
            <w:vAlign w:val="bottom"/>
          </w:tcPr>
          <w:p w14:paraId="7C37387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14 </w:t>
            </w:r>
          </w:p>
        </w:tc>
        <w:tc>
          <w:tcPr>
            <w:tcW w:w="1207" w:type="dxa"/>
            <w:tcBorders>
              <w:top w:val="nil"/>
              <w:left w:val="nil"/>
              <w:bottom w:val="single" w:sz="4" w:space="0" w:color="000000"/>
              <w:right w:val="single" w:sz="4" w:space="0" w:color="000000"/>
            </w:tcBorders>
            <w:shd w:val="clear" w:color="auto" w:fill="auto"/>
            <w:noWrap/>
            <w:vAlign w:val="bottom"/>
          </w:tcPr>
          <w:p w14:paraId="6D7DE5C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2.42% </w:t>
            </w:r>
          </w:p>
        </w:tc>
      </w:tr>
    </w:tbl>
    <w:p w14:paraId="50ED9EAF" w14:textId="2E9D000C" w:rsidR="002F68E2" w:rsidRPr="002719DC" w:rsidRDefault="002F68E2" w:rsidP="00B07B09">
      <w:pPr>
        <w:spacing w:before="240"/>
        <w:rPr>
          <w:b/>
          <w:sz w:val="20"/>
        </w:rPr>
      </w:pPr>
      <w:r w:rsidRPr="002719DC">
        <w:rPr>
          <w:b/>
          <w:sz w:val="20"/>
        </w:rPr>
        <w:t>Table</w:t>
      </w:r>
      <w:r w:rsidR="000475D1" w:rsidRPr="002719DC">
        <w:rPr>
          <w:b/>
          <w:sz w:val="20"/>
        </w:rPr>
        <w:t xml:space="preserve"> </w:t>
      </w:r>
      <w:r w:rsidRPr="002719DC">
        <w:rPr>
          <w:b/>
          <w:sz w:val="20"/>
        </w:rPr>
        <w:t>10</w:t>
      </w:r>
      <w:r w:rsidR="000475D1" w:rsidRPr="002719DC">
        <w:rPr>
          <w:b/>
          <w:sz w:val="20"/>
        </w:rPr>
        <w:t xml:space="preserve">. </w:t>
      </w:r>
      <w:r w:rsidRPr="002719DC">
        <w:rPr>
          <w:b/>
          <w:sz w:val="20"/>
        </w:rPr>
        <w:t xml:space="preserve"> Instances of co-claiming with MBS item 48694 in 2015-16 </w:t>
      </w:r>
    </w:p>
    <w:tbl>
      <w:tblPr>
        <w:tblW w:w="10040" w:type="dxa"/>
        <w:tblInd w:w="-176" w:type="dxa"/>
        <w:tblLayout w:type="fixed"/>
        <w:tblLook w:val="04A0" w:firstRow="1" w:lastRow="0" w:firstColumn="1" w:lastColumn="0" w:noHBand="0" w:noVBand="1"/>
      </w:tblPr>
      <w:tblGrid>
        <w:gridCol w:w="762"/>
        <w:gridCol w:w="3042"/>
        <w:gridCol w:w="1368"/>
        <w:gridCol w:w="1066"/>
        <w:gridCol w:w="1520"/>
        <w:gridCol w:w="1065"/>
        <w:gridCol w:w="1217"/>
      </w:tblGrid>
      <w:tr w:rsidR="002F68E2" w14:paraId="1E122B92" w14:textId="77777777" w:rsidTr="008914AB">
        <w:trPr>
          <w:trHeight w:val="1032"/>
        </w:trPr>
        <w:tc>
          <w:tcPr>
            <w:tcW w:w="7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6ED84A7" w14:textId="77777777" w:rsidR="002F68E2" w:rsidRPr="00213197" w:rsidRDefault="002F68E2" w:rsidP="002F68E2">
            <w:pPr>
              <w:jc w:val="center"/>
              <w:rPr>
                <w:rFonts w:ascii="Arial" w:hAnsi="Arial" w:cs="Arial"/>
                <w:b/>
                <w:bCs/>
                <w:sz w:val="18"/>
                <w:szCs w:val="18"/>
              </w:rPr>
            </w:pPr>
            <w:r w:rsidRPr="00213197">
              <w:rPr>
                <w:rFonts w:ascii="Arial" w:hAnsi="Arial" w:cs="Arial"/>
                <w:b/>
                <w:bCs/>
                <w:sz w:val="18"/>
                <w:szCs w:val="18"/>
              </w:rPr>
              <w:t>#</w:t>
            </w:r>
          </w:p>
        </w:tc>
        <w:tc>
          <w:tcPr>
            <w:tcW w:w="304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106D5C8" w14:textId="77777777" w:rsidR="002F68E2" w:rsidRPr="00213197" w:rsidRDefault="002F68E2" w:rsidP="002F68E2">
            <w:pPr>
              <w:jc w:val="center"/>
              <w:rPr>
                <w:rFonts w:ascii="Arial" w:hAnsi="Arial" w:cs="Arial"/>
                <w:b/>
                <w:bCs/>
                <w:sz w:val="18"/>
                <w:szCs w:val="18"/>
              </w:rPr>
            </w:pPr>
            <w:r w:rsidRPr="00213197">
              <w:rPr>
                <w:rFonts w:ascii="Arial" w:hAnsi="Arial" w:cs="Arial"/>
                <w:b/>
                <w:bCs/>
                <w:sz w:val="18"/>
                <w:szCs w:val="18"/>
              </w:rPr>
              <w:t>Items</w:t>
            </w:r>
          </w:p>
        </w:tc>
        <w:tc>
          <w:tcPr>
            <w:tcW w:w="136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E442EB4" w14:textId="77777777" w:rsidR="002F68E2" w:rsidRPr="00213197" w:rsidRDefault="002F68E2" w:rsidP="002F68E2">
            <w:pPr>
              <w:jc w:val="center"/>
              <w:rPr>
                <w:rFonts w:ascii="Arial" w:hAnsi="Arial" w:cs="Arial"/>
                <w:b/>
                <w:bCs/>
                <w:sz w:val="18"/>
                <w:szCs w:val="18"/>
              </w:rPr>
            </w:pPr>
            <w:r w:rsidRPr="00213197">
              <w:rPr>
                <w:rFonts w:ascii="Arial" w:hAnsi="Arial" w:cs="Arial"/>
                <w:b/>
                <w:bCs/>
                <w:sz w:val="18"/>
                <w:szCs w:val="18"/>
              </w:rPr>
              <w:t>Episodes</w:t>
            </w:r>
          </w:p>
        </w:tc>
        <w:tc>
          <w:tcPr>
            <w:tcW w:w="106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8C06916" w14:textId="77777777" w:rsidR="002F68E2" w:rsidRPr="00213197" w:rsidRDefault="002F68E2" w:rsidP="002F68E2">
            <w:pPr>
              <w:jc w:val="center"/>
              <w:rPr>
                <w:rFonts w:ascii="Arial" w:hAnsi="Arial" w:cs="Arial"/>
                <w:b/>
                <w:bCs/>
                <w:sz w:val="18"/>
                <w:szCs w:val="18"/>
              </w:rPr>
            </w:pPr>
            <w:r w:rsidRPr="00213197">
              <w:rPr>
                <w:rFonts w:ascii="Arial" w:hAnsi="Arial" w:cs="Arial"/>
                <w:b/>
                <w:bCs/>
                <w:sz w:val="18"/>
                <w:szCs w:val="18"/>
              </w:rPr>
              <w:t>Services</w:t>
            </w:r>
          </w:p>
        </w:tc>
        <w:tc>
          <w:tcPr>
            <w:tcW w:w="15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88C4596" w14:textId="77777777" w:rsidR="002F68E2" w:rsidRPr="00213197" w:rsidRDefault="002F68E2" w:rsidP="002F68E2">
            <w:pPr>
              <w:jc w:val="center"/>
              <w:rPr>
                <w:rFonts w:ascii="Arial" w:hAnsi="Arial" w:cs="Arial"/>
                <w:b/>
                <w:bCs/>
                <w:sz w:val="18"/>
                <w:szCs w:val="18"/>
              </w:rPr>
            </w:pPr>
            <w:r w:rsidRPr="00213197">
              <w:rPr>
                <w:rFonts w:ascii="Arial" w:hAnsi="Arial" w:cs="Arial"/>
                <w:b/>
                <w:bCs/>
                <w:sz w:val="18"/>
                <w:szCs w:val="18"/>
              </w:rPr>
              <w:t>Schedule Fee for combination</w:t>
            </w:r>
          </w:p>
        </w:tc>
        <w:tc>
          <w:tcPr>
            <w:tcW w:w="106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856681A" w14:textId="77777777" w:rsidR="002F68E2" w:rsidRPr="00213197" w:rsidRDefault="002F68E2" w:rsidP="002F68E2">
            <w:pPr>
              <w:jc w:val="center"/>
              <w:rPr>
                <w:rFonts w:ascii="Arial" w:hAnsi="Arial" w:cs="Arial"/>
                <w:b/>
                <w:bCs/>
                <w:sz w:val="18"/>
                <w:szCs w:val="18"/>
              </w:rPr>
            </w:pPr>
            <w:r w:rsidRPr="00213197">
              <w:rPr>
                <w:rFonts w:ascii="Arial" w:hAnsi="Arial" w:cs="Arial"/>
                <w:b/>
                <w:bCs/>
                <w:sz w:val="18"/>
                <w:szCs w:val="18"/>
              </w:rPr>
              <w:t>Number of patients</w:t>
            </w:r>
          </w:p>
        </w:tc>
        <w:tc>
          <w:tcPr>
            <w:tcW w:w="121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5E49AC4" w14:textId="77777777" w:rsidR="002F68E2" w:rsidRPr="00213197" w:rsidRDefault="002F68E2" w:rsidP="002F68E2">
            <w:pPr>
              <w:jc w:val="center"/>
              <w:rPr>
                <w:rFonts w:ascii="Arial" w:hAnsi="Arial" w:cs="Arial"/>
                <w:b/>
                <w:bCs/>
                <w:sz w:val="18"/>
                <w:szCs w:val="18"/>
              </w:rPr>
            </w:pPr>
            <w:r w:rsidRPr="00213197">
              <w:rPr>
                <w:rFonts w:ascii="Arial" w:hAnsi="Arial" w:cs="Arial"/>
                <w:b/>
                <w:bCs/>
                <w:sz w:val="18"/>
                <w:szCs w:val="18"/>
              </w:rPr>
              <w:t>% of episodes</w:t>
            </w:r>
          </w:p>
        </w:tc>
      </w:tr>
      <w:tr w:rsidR="002F68E2" w14:paraId="222666EE" w14:textId="77777777" w:rsidTr="008914AB">
        <w:trPr>
          <w:trHeight w:val="322"/>
        </w:trPr>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3A1E35C3" w14:textId="77777777" w:rsidR="002F68E2" w:rsidRPr="00213197" w:rsidRDefault="002F68E2" w:rsidP="002F68E2">
            <w:pPr>
              <w:jc w:val="right"/>
              <w:rPr>
                <w:rFonts w:ascii="Arial" w:hAnsi="Arial" w:cs="Arial"/>
                <w:sz w:val="18"/>
                <w:szCs w:val="18"/>
              </w:rPr>
            </w:pPr>
            <w:r w:rsidRPr="00213197">
              <w:rPr>
                <w:rFonts w:ascii="Arial" w:hAnsi="Arial" w:cs="Arial"/>
                <w:sz w:val="18"/>
                <w:szCs w:val="18"/>
              </w:rPr>
              <w:t>1</w:t>
            </w:r>
          </w:p>
        </w:tc>
        <w:tc>
          <w:tcPr>
            <w:tcW w:w="3042" w:type="dxa"/>
            <w:tcBorders>
              <w:top w:val="nil"/>
              <w:left w:val="nil"/>
              <w:bottom w:val="single" w:sz="4" w:space="0" w:color="auto"/>
              <w:right w:val="single" w:sz="4" w:space="0" w:color="auto"/>
            </w:tcBorders>
            <w:shd w:val="clear" w:color="000000" w:fill="FFFFFF"/>
            <w:noWrap/>
            <w:vAlign w:val="bottom"/>
          </w:tcPr>
          <w:p w14:paraId="34015CBF"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40330</w:t>
            </w:r>
          </w:p>
        </w:tc>
        <w:tc>
          <w:tcPr>
            <w:tcW w:w="1368" w:type="dxa"/>
            <w:tcBorders>
              <w:top w:val="nil"/>
              <w:left w:val="nil"/>
              <w:bottom w:val="single" w:sz="4" w:space="0" w:color="000000"/>
              <w:right w:val="single" w:sz="4" w:space="0" w:color="000000"/>
            </w:tcBorders>
            <w:shd w:val="clear" w:color="auto" w:fill="auto"/>
            <w:noWrap/>
            <w:vAlign w:val="bottom"/>
          </w:tcPr>
          <w:p w14:paraId="334FDC3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153 </w:t>
            </w:r>
          </w:p>
        </w:tc>
        <w:tc>
          <w:tcPr>
            <w:tcW w:w="1066" w:type="dxa"/>
            <w:tcBorders>
              <w:top w:val="nil"/>
              <w:left w:val="nil"/>
              <w:bottom w:val="single" w:sz="4" w:space="0" w:color="000000"/>
              <w:right w:val="single" w:sz="4" w:space="0" w:color="000000"/>
            </w:tcBorders>
            <w:shd w:val="clear" w:color="auto" w:fill="auto"/>
            <w:noWrap/>
            <w:vAlign w:val="bottom"/>
          </w:tcPr>
          <w:p w14:paraId="19C0C34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306 </w:t>
            </w:r>
          </w:p>
        </w:tc>
        <w:tc>
          <w:tcPr>
            <w:tcW w:w="1520" w:type="dxa"/>
            <w:tcBorders>
              <w:top w:val="nil"/>
              <w:left w:val="nil"/>
              <w:bottom w:val="single" w:sz="4" w:space="0" w:color="000000"/>
              <w:right w:val="single" w:sz="4" w:space="0" w:color="000000"/>
            </w:tcBorders>
            <w:shd w:val="clear" w:color="auto" w:fill="auto"/>
            <w:noWrap/>
            <w:vAlign w:val="bottom"/>
          </w:tcPr>
          <w:p w14:paraId="130FB68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$239,188 </w:t>
            </w:r>
          </w:p>
        </w:tc>
        <w:tc>
          <w:tcPr>
            <w:tcW w:w="1065" w:type="dxa"/>
            <w:tcBorders>
              <w:top w:val="nil"/>
              <w:left w:val="nil"/>
              <w:bottom w:val="single" w:sz="4" w:space="0" w:color="000000"/>
              <w:right w:val="single" w:sz="4" w:space="0" w:color="000000"/>
            </w:tcBorders>
            <w:shd w:val="clear" w:color="auto" w:fill="auto"/>
            <w:noWrap/>
            <w:vAlign w:val="bottom"/>
          </w:tcPr>
          <w:p w14:paraId="5CDA6D6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151 </w:t>
            </w:r>
          </w:p>
        </w:tc>
        <w:tc>
          <w:tcPr>
            <w:tcW w:w="1217" w:type="dxa"/>
            <w:tcBorders>
              <w:top w:val="nil"/>
              <w:left w:val="nil"/>
              <w:bottom w:val="single" w:sz="4" w:space="0" w:color="000000"/>
              <w:right w:val="single" w:sz="4" w:space="0" w:color="000000"/>
            </w:tcBorders>
            <w:shd w:val="clear" w:color="auto" w:fill="auto"/>
            <w:noWrap/>
            <w:vAlign w:val="bottom"/>
          </w:tcPr>
          <w:p w14:paraId="42A3D4C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26.66% </w:t>
            </w:r>
          </w:p>
        </w:tc>
      </w:tr>
      <w:tr w:rsidR="002F68E2" w14:paraId="72E8F091" w14:textId="77777777" w:rsidTr="008914AB">
        <w:trPr>
          <w:trHeight w:val="322"/>
        </w:trPr>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36477860" w14:textId="77777777" w:rsidR="002F68E2" w:rsidRPr="00213197" w:rsidRDefault="002F68E2" w:rsidP="002F68E2">
            <w:pPr>
              <w:jc w:val="right"/>
              <w:rPr>
                <w:rFonts w:ascii="Arial" w:hAnsi="Arial" w:cs="Arial"/>
                <w:sz w:val="18"/>
                <w:szCs w:val="18"/>
              </w:rPr>
            </w:pPr>
            <w:r w:rsidRPr="00213197">
              <w:rPr>
                <w:rFonts w:ascii="Arial" w:hAnsi="Arial" w:cs="Arial"/>
                <w:sz w:val="18"/>
                <w:szCs w:val="18"/>
              </w:rPr>
              <w:t>2</w:t>
            </w:r>
          </w:p>
        </w:tc>
        <w:tc>
          <w:tcPr>
            <w:tcW w:w="3042" w:type="dxa"/>
            <w:tcBorders>
              <w:top w:val="nil"/>
              <w:left w:val="nil"/>
              <w:bottom w:val="single" w:sz="4" w:space="0" w:color="auto"/>
              <w:right w:val="single" w:sz="4" w:space="0" w:color="auto"/>
            </w:tcBorders>
            <w:shd w:val="clear" w:color="000000" w:fill="FFFFFF"/>
            <w:noWrap/>
            <w:vAlign w:val="bottom"/>
          </w:tcPr>
          <w:p w14:paraId="6EE1D264"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6009,40330</w:t>
            </w:r>
          </w:p>
        </w:tc>
        <w:tc>
          <w:tcPr>
            <w:tcW w:w="1368" w:type="dxa"/>
            <w:tcBorders>
              <w:top w:val="nil"/>
              <w:left w:val="nil"/>
              <w:bottom w:val="single" w:sz="4" w:space="0" w:color="000000"/>
              <w:right w:val="single" w:sz="4" w:space="0" w:color="000000"/>
            </w:tcBorders>
            <w:shd w:val="clear" w:color="000000" w:fill="FFFFFF"/>
            <w:noWrap/>
            <w:vAlign w:val="bottom"/>
          </w:tcPr>
          <w:p w14:paraId="6851262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50 </w:t>
            </w:r>
          </w:p>
        </w:tc>
        <w:tc>
          <w:tcPr>
            <w:tcW w:w="1066" w:type="dxa"/>
            <w:tcBorders>
              <w:top w:val="nil"/>
              <w:left w:val="nil"/>
              <w:bottom w:val="single" w:sz="4" w:space="0" w:color="000000"/>
              <w:right w:val="single" w:sz="4" w:space="0" w:color="000000"/>
            </w:tcBorders>
            <w:shd w:val="clear" w:color="000000" w:fill="FFFFFF"/>
            <w:noWrap/>
            <w:vAlign w:val="bottom"/>
          </w:tcPr>
          <w:p w14:paraId="0C31D90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150 </w:t>
            </w:r>
          </w:p>
        </w:tc>
        <w:tc>
          <w:tcPr>
            <w:tcW w:w="1520" w:type="dxa"/>
            <w:tcBorders>
              <w:top w:val="nil"/>
              <w:left w:val="nil"/>
              <w:bottom w:val="single" w:sz="4" w:space="0" w:color="000000"/>
              <w:right w:val="single" w:sz="4" w:space="0" w:color="000000"/>
            </w:tcBorders>
            <w:shd w:val="clear" w:color="000000" w:fill="FFFFFF"/>
            <w:noWrap/>
            <w:vAlign w:val="bottom"/>
          </w:tcPr>
          <w:p w14:paraId="6F5F84C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$80,160 </w:t>
            </w:r>
          </w:p>
        </w:tc>
        <w:tc>
          <w:tcPr>
            <w:tcW w:w="1065" w:type="dxa"/>
            <w:tcBorders>
              <w:top w:val="nil"/>
              <w:left w:val="nil"/>
              <w:bottom w:val="single" w:sz="4" w:space="0" w:color="000000"/>
              <w:right w:val="single" w:sz="4" w:space="0" w:color="000000"/>
            </w:tcBorders>
            <w:shd w:val="clear" w:color="000000" w:fill="FFFFFF"/>
            <w:noWrap/>
            <w:vAlign w:val="bottom"/>
          </w:tcPr>
          <w:p w14:paraId="3E74EE8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50 </w:t>
            </w:r>
          </w:p>
        </w:tc>
        <w:tc>
          <w:tcPr>
            <w:tcW w:w="1217" w:type="dxa"/>
            <w:tcBorders>
              <w:top w:val="nil"/>
              <w:left w:val="nil"/>
              <w:bottom w:val="single" w:sz="4" w:space="0" w:color="000000"/>
              <w:right w:val="single" w:sz="4" w:space="0" w:color="000000"/>
            </w:tcBorders>
            <w:shd w:val="clear" w:color="000000" w:fill="FFFFFF"/>
            <w:noWrap/>
            <w:vAlign w:val="bottom"/>
          </w:tcPr>
          <w:p w14:paraId="26F07C9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8.71% </w:t>
            </w:r>
          </w:p>
        </w:tc>
      </w:tr>
      <w:tr w:rsidR="002F68E2" w14:paraId="020B0DC4" w14:textId="77777777" w:rsidTr="008914AB">
        <w:trPr>
          <w:trHeight w:val="322"/>
        </w:trPr>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6D61D599" w14:textId="77777777" w:rsidR="002F68E2" w:rsidRPr="00213197" w:rsidRDefault="002F68E2" w:rsidP="002F68E2">
            <w:pPr>
              <w:jc w:val="right"/>
              <w:rPr>
                <w:rFonts w:ascii="Arial" w:hAnsi="Arial" w:cs="Arial"/>
                <w:sz w:val="18"/>
                <w:szCs w:val="18"/>
              </w:rPr>
            </w:pPr>
            <w:r w:rsidRPr="00213197">
              <w:rPr>
                <w:rFonts w:ascii="Arial" w:hAnsi="Arial" w:cs="Arial"/>
                <w:sz w:val="18"/>
                <w:szCs w:val="18"/>
              </w:rPr>
              <w:t>3</w:t>
            </w:r>
          </w:p>
        </w:tc>
        <w:tc>
          <w:tcPr>
            <w:tcW w:w="3042" w:type="dxa"/>
            <w:tcBorders>
              <w:top w:val="nil"/>
              <w:left w:val="nil"/>
              <w:bottom w:val="single" w:sz="4" w:space="0" w:color="auto"/>
              <w:right w:val="single" w:sz="4" w:space="0" w:color="auto"/>
            </w:tcBorders>
            <w:shd w:val="clear" w:color="000000" w:fill="FFFFFF"/>
            <w:noWrap/>
            <w:vAlign w:val="bottom"/>
          </w:tcPr>
          <w:p w14:paraId="5D4C3036"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40330,48660,48684</w:t>
            </w:r>
          </w:p>
        </w:tc>
        <w:tc>
          <w:tcPr>
            <w:tcW w:w="1368" w:type="dxa"/>
            <w:tcBorders>
              <w:top w:val="nil"/>
              <w:left w:val="nil"/>
              <w:bottom w:val="single" w:sz="4" w:space="0" w:color="000000"/>
              <w:right w:val="single" w:sz="4" w:space="0" w:color="000000"/>
            </w:tcBorders>
            <w:shd w:val="clear" w:color="000000" w:fill="FFFFFF"/>
            <w:noWrap/>
            <w:vAlign w:val="bottom"/>
          </w:tcPr>
          <w:p w14:paraId="4EE27B8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34 </w:t>
            </w:r>
          </w:p>
        </w:tc>
        <w:tc>
          <w:tcPr>
            <w:tcW w:w="1066" w:type="dxa"/>
            <w:tcBorders>
              <w:top w:val="nil"/>
              <w:left w:val="nil"/>
              <w:bottom w:val="single" w:sz="4" w:space="0" w:color="000000"/>
              <w:right w:val="single" w:sz="4" w:space="0" w:color="000000"/>
            </w:tcBorders>
            <w:shd w:val="clear" w:color="000000" w:fill="FFFFFF"/>
            <w:noWrap/>
            <w:vAlign w:val="bottom"/>
          </w:tcPr>
          <w:p w14:paraId="61A9EA2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136 </w:t>
            </w:r>
          </w:p>
        </w:tc>
        <w:tc>
          <w:tcPr>
            <w:tcW w:w="1520" w:type="dxa"/>
            <w:tcBorders>
              <w:top w:val="nil"/>
              <w:left w:val="nil"/>
              <w:bottom w:val="single" w:sz="4" w:space="0" w:color="000000"/>
              <w:right w:val="single" w:sz="4" w:space="0" w:color="000000"/>
            </w:tcBorders>
            <w:shd w:val="clear" w:color="000000" w:fill="FFFFFF"/>
            <w:noWrap/>
            <w:vAlign w:val="bottom"/>
          </w:tcPr>
          <w:p w14:paraId="4E8964B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$71,574 </w:t>
            </w:r>
          </w:p>
        </w:tc>
        <w:tc>
          <w:tcPr>
            <w:tcW w:w="1065" w:type="dxa"/>
            <w:tcBorders>
              <w:top w:val="nil"/>
              <w:left w:val="nil"/>
              <w:bottom w:val="single" w:sz="4" w:space="0" w:color="000000"/>
              <w:right w:val="single" w:sz="4" w:space="0" w:color="000000"/>
            </w:tcBorders>
            <w:shd w:val="clear" w:color="000000" w:fill="FFFFFF"/>
            <w:noWrap/>
            <w:vAlign w:val="bottom"/>
          </w:tcPr>
          <w:p w14:paraId="07E8917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34 </w:t>
            </w:r>
          </w:p>
        </w:tc>
        <w:tc>
          <w:tcPr>
            <w:tcW w:w="1217" w:type="dxa"/>
            <w:tcBorders>
              <w:top w:val="nil"/>
              <w:left w:val="nil"/>
              <w:bottom w:val="single" w:sz="4" w:space="0" w:color="000000"/>
              <w:right w:val="single" w:sz="4" w:space="0" w:color="000000"/>
            </w:tcBorders>
            <w:shd w:val="clear" w:color="000000" w:fill="FFFFFF"/>
            <w:noWrap/>
            <w:vAlign w:val="bottom"/>
          </w:tcPr>
          <w:p w14:paraId="0020B6A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5.92% </w:t>
            </w:r>
          </w:p>
        </w:tc>
      </w:tr>
      <w:tr w:rsidR="002F68E2" w14:paraId="446092EF" w14:textId="77777777" w:rsidTr="008914AB">
        <w:trPr>
          <w:trHeight w:val="322"/>
        </w:trPr>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7D1BD26C" w14:textId="77777777" w:rsidR="002F68E2" w:rsidRPr="00213197" w:rsidRDefault="002F68E2" w:rsidP="002F68E2">
            <w:pPr>
              <w:jc w:val="right"/>
              <w:rPr>
                <w:rFonts w:ascii="Arial" w:hAnsi="Arial" w:cs="Arial"/>
                <w:sz w:val="18"/>
                <w:szCs w:val="18"/>
              </w:rPr>
            </w:pPr>
            <w:r w:rsidRPr="00213197">
              <w:rPr>
                <w:rFonts w:ascii="Arial" w:hAnsi="Arial" w:cs="Arial"/>
                <w:sz w:val="18"/>
                <w:szCs w:val="18"/>
              </w:rPr>
              <w:t>4</w:t>
            </w:r>
          </w:p>
        </w:tc>
        <w:tc>
          <w:tcPr>
            <w:tcW w:w="3042" w:type="dxa"/>
            <w:tcBorders>
              <w:top w:val="nil"/>
              <w:left w:val="nil"/>
              <w:bottom w:val="single" w:sz="4" w:space="0" w:color="auto"/>
              <w:right w:val="single" w:sz="4" w:space="0" w:color="auto"/>
            </w:tcBorders>
            <w:shd w:val="clear" w:color="000000" w:fill="FFFFFF"/>
            <w:noWrap/>
            <w:vAlign w:val="bottom"/>
          </w:tcPr>
          <w:p w14:paraId="2F64669F"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6011,40330</w:t>
            </w:r>
          </w:p>
        </w:tc>
        <w:tc>
          <w:tcPr>
            <w:tcW w:w="1368" w:type="dxa"/>
            <w:tcBorders>
              <w:top w:val="nil"/>
              <w:left w:val="nil"/>
              <w:bottom w:val="single" w:sz="4" w:space="0" w:color="000000"/>
              <w:right w:val="single" w:sz="4" w:space="0" w:color="000000"/>
            </w:tcBorders>
            <w:shd w:val="clear" w:color="000000" w:fill="FFFFFF"/>
            <w:noWrap/>
            <w:vAlign w:val="bottom"/>
          </w:tcPr>
          <w:p w14:paraId="39C19CE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32 </w:t>
            </w:r>
          </w:p>
        </w:tc>
        <w:tc>
          <w:tcPr>
            <w:tcW w:w="1066" w:type="dxa"/>
            <w:tcBorders>
              <w:top w:val="nil"/>
              <w:left w:val="nil"/>
              <w:bottom w:val="single" w:sz="4" w:space="0" w:color="000000"/>
              <w:right w:val="single" w:sz="4" w:space="0" w:color="000000"/>
            </w:tcBorders>
            <w:shd w:val="clear" w:color="000000" w:fill="FFFFFF"/>
            <w:noWrap/>
            <w:vAlign w:val="bottom"/>
          </w:tcPr>
          <w:p w14:paraId="53AC49A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96 </w:t>
            </w:r>
          </w:p>
        </w:tc>
        <w:tc>
          <w:tcPr>
            <w:tcW w:w="1520" w:type="dxa"/>
            <w:tcBorders>
              <w:top w:val="nil"/>
              <w:left w:val="nil"/>
              <w:bottom w:val="single" w:sz="4" w:space="0" w:color="000000"/>
              <w:right w:val="single" w:sz="4" w:space="0" w:color="000000"/>
            </w:tcBorders>
            <w:shd w:val="clear" w:color="000000" w:fill="FFFFFF"/>
            <w:noWrap/>
            <w:vAlign w:val="bottom"/>
          </w:tcPr>
          <w:p w14:paraId="1391F39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$52,664 </w:t>
            </w:r>
          </w:p>
        </w:tc>
        <w:tc>
          <w:tcPr>
            <w:tcW w:w="1065" w:type="dxa"/>
            <w:tcBorders>
              <w:top w:val="nil"/>
              <w:left w:val="nil"/>
              <w:bottom w:val="single" w:sz="4" w:space="0" w:color="000000"/>
              <w:right w:val="single" w:sz="4" w:space="0" w:color="000000"/>
            </w:tcBorders>
            <w:shd w:val="clear" w:color="000000" w:fill="FFFFFF"/>
            <w:noWrap/>
            <w:vAlign w:val="bottom"/>
          </w:tcPr>
          <w:p w14:paraId="613BC27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32 </w:t>
            </w:r>
          </w:p>
        </w:tc>
        <w:tc>
          <w:tcPr>
            <w:tcW w:w="1217" w:type="dxa"/>
            <w:tcBorders>
              <w:top w:val="nil"/>
              <w:left w:val="nil"/>
              <w:bottom w:val="single" w:sz="4" w:space="0" w:color="000000"/>
              <w:right w:val="single" w:sz="4" w:space="0" w:color="000000"/>
            </w:tcBorders>
            <w:shd w:val="clear" w:color="000000" w:fill="FFFFFF"/>
            <w:noWrap/>
            <w:vAlign w:val="bottom"/>
          </w:tcPr>
          <w:p w14:paraId="4CA0802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5.57% </w:t>
            </w:r>
          </w:p>
        </w:tc>
      </w:tr>
      <w:tr w:rsidR="002F68E2" w14:paraId="07A932E5" w14:textId="77777777" w:rsidTr="008914AB">
        <w:trPr>
          <w:trHeight w:val="322"/>
        </w:trPr>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47F1BAF5" w14:textId="77777777" w:rsidR="002F68E2" w:rsidRPr="00213197" w:rsidRDefault="002F68E2" w:rsidP="002F68E2">
            <w:pPr>
              <w:jc w:val="right"/>
              <w:rPr>
                <w:rFonts w:ascii="Arial" w:hAnsi="Arial" w:cs="Arial"/>
                <w:sz w:val="18"/>
                <w:szCs w:val="18"/>
              </w:rPr>
            </w:pPr>
            <w:r w:rsidRPr="00213197">
              <w:rPr>
                <w:rFonts w:ascii="Arial" w:hAnsi="Arial" w:cs="Arial"/>
                <w:sz w:val="18"/>
                <w:szCs w:val="18"/>
              </w:rPr>
              <w:t>5</w:t>
            </w:r>
          </w:p>
        </w:tc>
        <w:tc>
          <w:tcPr>
            <w:tcW w:w="3042" w:type="dxa"/>
            <w:tcBorders>
              <w:top w:val="nil"/>
              <w:left w:val="nil"/>
              <w:bottom w:val="single" w:sz="4" w:space="0" w:color="auto"/>
              <w:right w:val="single" w:sz="4" w:space="0" w:color="auto"/>
            </w:tcBorders>
            <w:shd w:val="clear" w:color="000000" w:fill="FFFFFF"/>
            <w:noWrap/>
            <w:vAlign w:val="bottom"/>
          </w:tcPr>
          <w:p w14:paraId="1F9E2492"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 xml:space="preserve"> 105,40330</w:t>
            </w:r>
          </w:p>
        </w:tc>
        <w:tc>
          <w:tcPr>
            <w:tcW w:w="1368" w:type="dxa"/>
            <w:tcBorders>
              <w:top w:val="nil"/>
              <w:left w:val="nil"/>
              <w:bottom w:val="single" w:sz="4" w:space="0" w:color="000000"/>
              <w:right w:val="single" w:sz="4" w:space="0" w:color="000000"/>
            </w:tcBorders>
            <w:shd w:val="clear" w:color="000000" w:fill="FFFFFF"/>
            <w:noWrap/>
            <w:vAlign w:val="bottom"/>
          </w:tcPr>
          <w:p w14:paraId="10EDA72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26 </w:t>
            </w:r>
          </w:p>
        </w:tc>
        <w:tc>
          <w:tcPr>
            <w:tcW w:w="1066" w:type="dxa"/>
            <w:tcBorders>
              <w:top w:val="nil"/>
              <w:left w:val="nil"/>
              <w:bottom w:val="single" w:sz="4" w:space="0" w:color="000000"/>
              <w:right w:val="single" w:sz="4" w:space="0" w:color="000000"/>
            </w:tcBorders>
            <w:shd w:val="clear" w:color="000000" w:fill="FFFFFF"/>
            <w:noWrap/>
            <w:vAlign w:val="bottom"/>
          </w:tcPr>
          <w:p w14:paraId="0832E3F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79 </w:t>
            </w:r>
          </w:p>
        </w:tc>
        <w:tc>
          <w:tcPr>
            <w:tcW w:w="1520" w:type="dxa"/>
            <w:tcBorders>
              <w:top w:val="nil"/>
              <w:left w:val="nil"/>
              <w:bottom w:val="single" w:sz="4" w:space="0" w:color="000000"/>
              <w:right w:val="single" w:sz="4" w:space="0" w:color="000000"/>
            </w:tcBorders>
            <w:shd w:val="clear" w:color="000000" w:fill="FFFFFF"/>
            <w:noWrap/>
            <w:vAlign w:val="bottom"/>
          </w:tcPr>
          <w:p w14:paraId="235FDE7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$41,726 </w:t>
            </w:r>
          </w:p>
        </w:tc>
        <w:tc>
          <w:tcPr>
            <w:tcW w:w="1065" w:type="dxa"/>
            <w:tcBorders>
              <w:top w:val="nil"/>
              <w:left w:val="nil"/>
              <w:bottom w:val="single" w:sz="4" w:space="0" w:color="000000"/>
              <w:right w:val="single" w:sz="4" w:space="0" w:color="000000"/>
            </w:tcBorders>
            <w:shd w:val="clear" w:color="000000" w:fill="FFFFFF"/>
            <w:noWrap/>
            <w:vAlign w:val="bottom"/>
          </w:tcPr>
          <w:p w14:paraId="2FE7028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26 </w:t>
            </w:r>
          </w:p>
        </w:tc>
        <w:tc>
          <w:tcPr>
            <w:tcW w:w="1217" w:type="dxa"/>
            <w:tcBorders>
              <w:top w:val="nil"/>
              <w:left w:val="nil"/>
              <w:bottom w:val="single" w:sz="4" w:space="0" w:color="000000"/>
              <w:right w:val="single" w:sz="4" w:space="0" w:color="000000"/>
            </w:tcBorders>
            <w:shd w:val="clear" w:color="000000" w:fill="FFFFFF"/>
            <w:noWrap/>
            <w:vAlign w:val="bottom"/>
          </w:tcPr>
          <w:p w14:paraId="4C58D9D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4.53% </w:t>
            </w:r>
          </w:p>
        </w:tc>
      </w:tr>
      <w:tr w:rsidR="002F68E2" w14:paraId="3DF971AE" w14:textId="77777777" w:rsidTr="008914AB">
        <w:trPr>
          <w:trHeight w:val="322"/>
        </w:trPr>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01123A5C" w14:textId="77777777" w:rsidR="002F68E2" w:rsidRPr="00213197" w:rsidRDefault="002F68E2" w:rsidP="002F68E2">
            <w:pPr>
              <w:jc w:val="right"/>
              <w:rPr>
                <w:rFonts w:ascii="Arial" w:hAnsi="Arial" w:cs="Arial"/>
                <w:sz w:val="18"/>
                <w:szCs w:val="18"/>
              </w:rPr>
            </w:pPr>
            <w:r w:rsidRPr="00213197">
              <w:rPr>
                <w:rFonts w:ascii="Arial" w:hAnsi="Arial" w:cs="Arial"/>
                <w:sz w:val="18"/>
                <w:szCs w:val="18"/>
              </w:rPr>
              <w:t>6</w:t>
            </w:r>
          </w:p>
        </w:tc>
        <w:tc>
          <w:tcPr>
            <w:tcW w:w="3042" w:type="dxa"/>
            <w:tcBorders>
              <w:top w:val="nil"/>
              <w:left w:val="nil"/>
              <w:bottom w:val="single" w:sz="4" w:space="0" w:color="auto"/>
              <w:right w:val="single" w:sz="4" w:space="0" w:color="auto"/>
            </w:tcBorders>
            <w:shd w:val="clear" w:color="000000" w:fill="FFFFFF"/>
            <w:noWrap/>
            <w:vAlign w:val="bottom"/>
          </w:tcPr>
          <w:p w14:paraId="3355939F"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p>
        </w:tc>
        <w:tc>
          <w:tcPr>
            <w:tcW w:w="1368" w:type="dxa"/>
            <w:tcBorders>
              <w:top w:val="nil"/>
              <w:left w:val="nil"/>
              <w:bottom w:val="single" w:sz="4" w:space="0" w:color="000000"/>
              <w:right w:val="single" w:sz="4" w:space="0" w:color="000000"/>
            </w:tcBorders>
            <w:shd w:val="clear" w:color="000000" w:fill="FFFFFF"/>
            <w:noWrap/>
            <w:vAlign w:val="bottom"/>
          </w:tcPr>
          <w:p w14:paraId="750CF71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23 </w:t>
            </w:r>
          </w:p>
        </w:tc>
        <w:tc>
          <w:tcPr>
            <w:tcW w:w="1066" w:type="dxa"/>
            <w:tcBorders>
              <w:top w:val="nil"/>
              <w:left w:val="nil"/>
              <w:bottom w:val="single" w:sz="4" w:space="0" w:color="000000"/>
              <w:right w:val="single" w:sz="4" w:space="0" w:color="000000"/>
            </w:tcBorders>
            <w:shd w:val="clear" w:color="000000" w:fill="FFFFFF"/>
            <w:noWrap/>
            <w:vAlign w:val="bottom"/>
          </w:tcPr>
          <w:p w14:paraId="0D6FA81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23 </w:t>
            </w:r>
          </w:p>
        </w:tc>
        <w:tc>
          <w:tcPr>
            <w:tcW w:w="1520" w:type="dxa"/>
            <w:tcBorders>
              <w:top w:val="nil"/>
              <w:left w:val="nil"/>
              <w:bottom w:val="single" w:sz="4" w:space="0" w:color="000000"/>
              <w:right w:val="single" w:sz="4" w:space="0" w:color="000000"/>
            </w:tcBorders>
            <w:shd w:val="clear" w:color="000000" w:fill="FFFFFF"/>
            <w:noWrap/>
            <w:vAlign w:val="bottom"/>
          </w:tcPr>
          <w:p w14:paraId="0F8FAF0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$24,902 </w:t>
            </w:r>
          </w:p>
        </w:tc>
        <w:tc>
          <w:tcPr>
            <w:tcW w:w="1065" w:type="dxa"/>
            <w:tcBorders>
              <w:top w:val="nil"/>
              <w:left w:val="nil"/>
              <w:bottom w:val="single" w:sz="4" w:space="0" w:color="000000"/>
              <w:right w:val="single" w:sz="4" w:space="0" w:color="000000"/>
            </w:tcBorders>
            <w:shd w:val="clear" w:color="000000" w:fill="FFFFFF"/>
            <w:noWrap/>
            <w:vAlign w:val="bottom"/>
          </w:tcPr>
          <w:p w14:paraId="163B70D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23 </w:t>
            </w:r>
          </w:p>
        </w:tc>
        <w:tc>
          <w:tcPr>
            <w:tcW w:w="1217" w:type="dxa"/>
            <w:tcBorders>
              <w:top w:val="nil"/>
              <w:left w:val="nil"/>
              <w:bottom w:val="single" w:sz="4" w:space="0" w:color="000000"/>
              <w:right w:val="single" w:sz="4" w:space="0" w:color="000000"/>
            </w:tcBorders>
            <w:shd w:val="clear" w:color="000000" w:fill="FFFFFF"/>
            <w:noWrap/>
            <w:vAlign w:val="bottom"/>
          </w:tcPr>
          <w:p w14:paraId="0165EB1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4.01% </w:t>
            </w:r>
          </w:p>
        </w:tc>
      </w:tr>
      <w:tr w:rsidR="002F68E2" w14:paraId="72EF54F2" w14:textId="77777777" w:rsidTr="008914AB">
        <w:trPr>
          <w:trHeight w:val="322"/>
        </w:trPr>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258AF841" w14:textId="77777777" w:rsidR="002F68E2" w:rsidRPr="00213197" w:rsidRDefault="002F68E2" w:rsidP="002F68E2">
            <w:pPr>
              <w:jc w:val="right"/>
              <w:rPr>
                <w:rFonts w:ascii="Arial" w:hAnsi="Arial" w:cs="Arial"/>
                <w:sz w:val="18"/>
                <w:szCs w:val="18"/>
              </w:rPr>
            </w:pPr>
            <w:r w:rsidRPr="00213197">
              <w:rPr>
                <w:rFonts w:ascii="Arial" w:hAnsi="Arial" w:cs="Arial"/>
                <w:sz w:val="18"/>
                <w:szCs w:val="18"/>
              </w:rPr>
              <w:t>7</w:t>
            </w:r>
          </w:p>
        </w:tc>
        <w:tc>
          <w:tcPr>
            <w:tcW w:w="3042" w:type="dxa"/>
            <w:tcBorders>
              <w:top w:val="nil"/>
              <w:left w:val="nil"/>
              <w:bottom w:val="single" w:sz="4" w:space="0" w:color="auto"/>
              <w:right w:val="single" w:sz="4" w:space="0" w:color="auto"/>
            </w:tcBorders>
            <w:shd w:val="clear" w:color="000000" w:fill="FFFFFF"/>
            <w:noWrap/>
            <w:vAlign w:val="bottom"/>
          </w:tcPr>
          <w:p w14:paraId="5F62A4F6"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48669,48684</w:t>
            </w:r>
          </w:p>
        </w:tc>
        <w:tc>
          <w:tcPr>
            <w:tcW w:w="1368" w:type="dxa"/>
            <w:tcBorders>
              <w:top w:val="nil"/>
              <w:left w:val="nil"/>
              <w:bottom w:val="single" w:sz="4" w:space="0" w:color="000000"/>
              <w:right w:val="single" w:sz="4" w:space="0" w:color="000000"/>
            </w:tcBorders>
            <w:shd w:val="clear" w:color="000000" w:fill="FFFFFF"/>
            <w:noWrap/>
            <w:vAlign w:val="bottom"/>
          </w:tcPr>
          <w:p w14:paraId="665F58E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16 </w:t>
            </w:r>
          </w:p>
        </w:tc>
        <w:tc>
          <w:tcPr>
            <w:tcW w:w="1066" w:type="dxa"/>
            <w:tcBorders>
              <w:top w:val="nil"/>
              <w:left w:val="nil"/>
              <w:bottom w:val="single" w:sz="4" w:space="0" w:color="000000"/>
              <w:right w:val="single" w:sz="4" w:space="0" w:color="000000"/>
            </w:tcBorders>
            <w:shd w:val="clear" w:color="000000" w:fill="FFFFFF"/>
            <w:noWrap/>
            <w:vAlign w:val="bottom"/>
          </w:tcPr>
          <w:p w14:paraId="72E30A4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48 </w:t>
            </w:r>
          </w:p>
        </w:tc>
        <w:tc>
          <w:tcPr>
            <w:tcW w:w="1520" w:type="dxa"/>
            <w:tcBorders>
              <w:top w:val="nil"/>
              <w:left w:val="nil"/>
              <w:bottom w:val="single" w:sz="4" w:space="0" w:color="000000"/>
              <w:right w:val="single" w:sz="4" w:space="0" w:color="000000"/>
            </w:tcBorders>
            <w:shd w:val="clear" w:color="000000" w:fill="FFFFFF"/>
            <w:noWrap/>
            <w:vAlign w:val="bottom"/>
          </w:tcPr>
          <w:p w14:paraId="0B0D6C7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$35,775 </w:t>
            </w:r>
          </w:p>
        </w:tc>
        <w:tc>
          <w:tcPr>
            <w:tcW w:w="1065" w:type="dxa"/>
            <w:tcBorders>
              <w:top w:val="nil"/>
              <w:left w:val="nil"/>
              <w:bottom w:val="single" w:sz="4" w:space="0" w:color="000000"/>
              <w:right w:val="single" w:sz="4" w:space="0" w:color="000000"/>
            </w:tcBorders>
            <w:shd w:val="clear" w:color="000000" w:fill="FFFFFF"/>
            <w:noWrap/>
            <w:vAlign w:val="bottom"/>
          </w:tcPr>
          <w:p w14:paraId="1D0770B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16 </w:t>
            </w:r>
          </w:p>
        </w:tc>
        <w:tc>
          <w:tcPr>
            <w:tcW w:w="1217" w:type="dxa"/>
            <w:tcBorders>
              <w:top w:val="nil"/>
              <w:left w:val="nil"/>
              <w:bottom w:val="single" w:sz="4" w:space="0" w:color="000000"/>
              <w:right w:val="single" w:sz="4" w:space="0" w:color="000000"/>
            </w:tcBorders>
            <w:shd w:val="clear" w:color="000000" w:fill="FFFFFF"/>
            <w:noWrap/>
            <w:vAlign w:val="bottom"/>
          </w:tcPr>
          <w:p w14:paraId="417CFC7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2.79% </w:t>
            </w:r>
          </w:p>
        </w:tc>
      </w:tr>
      <w:tr w:rsidR="002F68E2" w14:paraId="74200E2C" w14:textId="77777777" w:rsidTr="008914AB">
        <w:trPr>
          <w:trHeight w:val="322"/>
        </w:trPr>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629ACCAF" w14:textId="77777777" w:rsidR="002F68E2" w:rsidRPr="00213197" w:rsidRDefault="002F68E2" w:rsidP="002F68E2">
            <w:pPr>
              <w:jc w:val="right"/>
              <w:rPr>
                <w:rFonts w:ascii="Arial" w:hAnsi="Arial" w:cs="Arial"/>
                <w:sz w:val="18"/>
                <w:szCs w:val="18"/>
              </w:rPr>
            </w:pPr>
            <w:r w:rsidRPr="00213197">
              <w:rPr>
                <w:rFonts w:ascii="Arial" w:hAnsi="Arial" w:cs="Arial"/>
                <w:sz w:val="18"/>
                <w:szCs w:val="18"/>
              </w:rPr>
              <w:t>8</w:t>
            </w:r>
          </w:p>
        </w:tc>
        <w:tc>
          <w:tcPr>
            <w:tcW w:w="3042" w:type="dxa"/>
            <w:tcBorders>
              <w:top w:val="nil"/>
              <w:left w:val="nil"/>
              <w:bottom w:val="single" w:sz="4" w:space="0" w:color="auto"/>
              <w:right w:val="single" w:sz="4" w:space="0" w:color="auto"/>
            </w:tcBorders>
            <w:shd w:val="clear" w:color="000000" w:fill="FFFFFF"/>
            <w:noWrap/>
            <w:vAlign w:val="bottom"/>
          </w:tcPr>
          <w:p w14:paraId="67AB50AE"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48660,48684</w:t>
            </w:r>
          </w:p>
        </w:tc>
        <w:tc>
          <w:tcPr>
            <w:tcW w:w="1368" w:type="dxa"/>
            <w:tcBorders>
              <w:top w:val="nil"/>
              <w:left w:val="nil"/>
              <w:bottom w:val="single" w:sz="4" w:space="0" w:color="000000"/>
              <w:right w:val="single" w:sz="4" w:space="0" w:color="000000"/>
            </w:tcBorders>
            <w:shd w:val="clear" w:color="000000" w:fill="FFFFFF"/>
            <w:noWrap/>
            <w:vAlign w:val="bottom"/>
          </w:tcPr>
          <w:p w14:paraId="32430DC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14 </w:t>
            </w:r>
          </w:p>
        </w:tc>
        <w:tc>
          <w:tcPr>
            <w:tcW w:w="1066" w:type="dxa"/>
            <w:tcBorders>
              <w:top w:val="nil"/>
              <w:left w:val="nil"/>
              <w:bottom w:val="single" w:sz="4" w:space="0" w:color="000000"/>
              <w:right w:val="single" w:sz="4" w:space="0" w:color="000000"/>
            </w:tcBorders>
            <w:shd w:val="clear" w:color="000000" w:fill="FFFFFF"/>
            <w:noWrap/>
            <w:vAlign w:val="bottom"/>
          </w:tcPr>
          <w:p w14:paraId="5173B08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42 </w:t>
            </w:r>
          </w:p>
        </w:tc>
        <w:tc>
          <w:tcPr>
            <w:tcW w:w="1520" w:type="dxa"/>
            <w:tcBorders>
              <w:top w:val="nil"/>
              <w:left w:val="nil"/>
              <w:bottom w:val="single" w:sz="4" w:space="0" w:color="000000"/>
              <w:right w:val="single" w:sz="4" w:space="0" w:color="000000"/>
            </w:tcBorders>
            <w:shd w:val="clear" w:color="000000" w:fill="FFFFFF"/>
            <w:noWrap/>
            <w:vAlign w:val="bottom"/>
          </w:tcPr>
          <w:p w14:paraId="5E4912B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$26,032 </w:t>
            </w:r>
          </w:p>
        </w:tc>
        <w:tc>
          <w:tcPr>
            <w:tcW w:w="1065" w:type="dxa"/>
            <w:tcBorders>
              <w:top w:val="nil"/>
              <w:left w:val="nil"/>
              <w:bottom w:val="single" w:sz="4" w:space="0" w:color="000000"/>
              <w:right w:val="single" w:sz="4" w:space="0" w:color="000000"/>
            </w:tcBorders>
            <w:shd w:val="clear" w:color="000000" w:fill="FFFFFF"/>
            <w:noWrap/>
            <w:vAlign w:val="bottom"/>
          </w:tcPr>
          <w:p w14:paraId="345F321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14 </w:t>
            </w:r>
          </w:p>
        </w:tc>
        <w:tc>
          <w:tcPr>
            <w:tcW w:w="1217" w:type="dxa"/>
            <w:tcBorders>
              <w:top w:val="nil"/>
              <w:left w:val="nil"/>
              <w:bottom w:val="single" w:sz="4" w:space="0" w:color="000000"/>
              <w:right w:val="single" w:sz="4" w:space="0" w:color="000000"/>
            </w:tcBorders>
            <w:shd w:val="clear" w:color="000000" w:fill="FFFFFF"/>
            <w:noWrap/>
            <w:vAlign w:val="bottom"/>
          </w:tcPr>
          <w:p w14:paraId="4310BC9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2.44% </w:t>
            </w:r>
          </w:p>
        </w:tc>
      </w:tr>
      <w:tr w:rsidR="002F68E2" w:rsidRPr="00213197" w14:paraId="31BF4580" w14:textId="77777777" w:rsidTr="008914AB">
        <w:trPr>
          <w:trHeight w:val="322"/>
        </w:trPr>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0CCCB0F6" w14:textId="77777777" w:rsidR="002F68E2" w:rsidRPr="00213197" w:rsidRDefault="002F68E2" w:rsidP="002F68E2">
            <w:pPr>
              <w:jc w:val="right"/>
              <w:rPr>
                <w:rFonts w:ascii="Arial" w:hAnsi="Arial" w:cs="Arial"/>
                <w:sz w:val="18"/>
                <w:szCs w:val="18"/>
              </w:rPr>
            </w:pPr>
            <w:r>
              <w:rPr>
                <w:rFonts w:ascii="Arial" w:hAnsi="Arial" w:cs="Arial"/>
                <w:sz w:val="18"/>
                <w:szCs w:val="18"/>
              </w:rPr>
              <w:t>9</w:t>
            </w:r>
          </w:p>
        </w:tc>
        <w:tc>
          <w:tcPr>
            <w:tcW w:w="3042" w:type="dxa"/>
            <w:tcBorders>
              <w:top w:val="nil"/>
              <w:left w:val="nil"/>
              <w:bottom w:val="single" w:sz="4" w:space="0" w:color="auto"/>
              <w:right w:val="single" w:sz="4" w:space="0" w:color="auto"/>
            </w:tcBorders>
            <w:shd w:val="clear" w:color="000000" w:fill="FFFFFF"/>
            <w:noWrap/>
            <w:vAlign w:val="bottom"/>
          </w:tcPr>
          <w:p w14:paraId="23AD9454"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 xml:space="preserve"> 105,40330,48660,48684</w:t>
            </w:r>
          </w:p>
        </w:tc>
        <w:tc>
          <w:tcPr>
            <w:tcW w:w="1368" w:type="dxa"/>
            <w:tcBorders>
              <w:top w:val="nil"/>
              <w:left w:val="nil"/>
              <w:bottom w:val="single" w:sz="4" w:space="0" w:color="000000"/>
              <w:right w:val="single" w:sz="4" w:space="0" w:color="000000"/>
            </w:tcBorders>
            <w:shd w:val="clear" w:color="000000" w:fill="FFFFFF"/>
            <w:noWrap/>
            <w:vAlign w:val="bottom"/>
          </w:tcPr>
          <w:p w14:paraId="55200E8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12 </w:t>
            </w:r>
          </w:p>
        </w:tc>
        <w:tc>
          <w:tcPr>
            <w:tcW w:w="1066" w:type="dxa"/>
            <w:tcBorders>
              <w:top w:val="nil"/>
              <w:left w:val="nil"/>
              <w:bottom w:val="single" w:sz="4" w:space="0" w:color="000000"/>
              <w:right w:val="single" w:sz="4" w:space="0" w:color="000000"/>
            </w:tcBorders>
            <w:shd w:val="clear" w:color="000000" w:fill="FFFFFF"/>
            <w:noWrap/>
            <w:vAlign w:val="bottom"/>
          </w:tcPr>
          <w:p w14:paraId="49D9BA0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60 </w:t>
            </w:r>
          </w:p>
        </w:tc>
        <w:tc>
          <w:tcPr>
            <w:tcW w:w="1520" w:type="dxa"/>
            <w:tcBorders>
              <w:top w:val="nil"/>
              <w:left w:val="nil"/>
              <w:bottom w:val="single" w:sz="4" w:space="0" w:color="000000"/>
              <w:right w:val="single" w:sz="4" w:space="0" w:color="000000"/>
            </w:tcBorders>
            <w:shd w:val="clear" w:color="000000" w:fill="FFFFFF"/>
            <w:noWrap/>
            <w:vAlign w:val="bottom"/>
          </w:tcPr>
          <w:p w14:paraId="40C2F48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$25,694 </w:t>
            </w:r>
          </w:p>
        </w:tc>
        <w:tc>
          <w:tcPr>
            <w:tcW w:w="1065" w:type="dxa"/>
            <w:tcBorders>
              <w:top w:val="nil"/>
              <w:left w:val="nil"/>
              <w:bottom w:val="single" w:sz="4" w:space="0" w:color="000000"/>
              <w:right w:val="single" w:sz="4" w:space="0" w:color="000000"/>
            </w:tcBorders>
            <w:shd w:val="clear" w:color="000000" w:fill="FFFFFF"/>
            <w:noWrap/>
            <w:vAlign w:val="bottom"/>
          </w:tcPr>
          <w:p w14:paraId="122C22F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12 </w:t>
            </w:r>
          </w:p>
        </w:tc>
        <w:tc>
          <w:tcPr>
            <w:tcW w:w="1217" w:type="dxa"/>
            <w:tcBorders>
              <w:top w:val="nil"/>
              <w:left w:val="nil"/>
              <w:bottom w:val="single" w:sz="4" w:space="0" w:color="000000"/>
              <w:right w:val="single" w:sz="4" w:space="0" w:color="000000"/>
            </w:tcBorders>
            <w:shd w:val="clear" w:color="000000" w:fill="FFFFFF"/>
            <w:noWrap/>
            <w:vAlign w:val="bottom"/>
          </w:tcPr>
          <w:p w14:paraId="4246D0A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2.09% </w:t>
            </w:r>
          </w:p>
        </w:tc>
      </w:tr>
      <w:tr w:rsidR="002F68E2" w:rsidRPr="00213197" w14:paraId="7944F63A" w14:textId="77777777" w:rsidTr="008914AB">
        <w:trPr>
          <w:trHeight w:val="322"/>
        </w:trPr>
        <w:tc>
          <w:tcPr>
            <w:tcW w:w="762" w:type="dxa"/>
            <w:tcBorders>
              <w:top w:val="nil"/>
              <w:left w:val="single" w:sz="4" w:space="0" w:color="auto"/>
              <w:bottom w:val="single" w:sz="4" w:space="0" w:color="auto"/>
              <w:right w:val="single" w:sz="4" w:space="0" w:color="auto"/>
            </w:tcBorders>
            <w:shd w:val="clear" w:color="000000" w:fill="FFFFFF"/>
            <w:noWrap/>
            <w:vAlign w:val="center"/>
            <w:hideMark/>
          </w:tcPr>
          <w:p w14:paraId="11DA0722" w14:textId="77777777" w:rsidR="002F68E2" w:rsidRPr="00213197" w:rsidRDefault="002F68E2" w:rsidP="002F68E2">
            <w:pPr>
              <w:jc w:val="right"/>
              <w:rPr>
                <w:rFonts w:ascii="Arial" w:hAnsi="Arial" w:cs="Arial"/>
                <w:sz w:val="18"/>
                <w:szCs w:val="18"/>
              </w:rPr>
            </w:pPr>
            <w:r>
              <w:rPr>
                <w:rFonts w:ascii="Arial" w:hAnsi="Arial" w:cs="Arial"/>
                <w:sz w:val="18"/>
                <w:szCs w:val="18"/>
              </w:rPr>
              <w:t>10</w:t>
            </w:r>
          </w:p>
        </w:tc>
        <w:tc>
          <w:tcPr>
            <w:tcW w:w="3042" w:type="dxa"/>
            <w:tcBorders>
              <w:top w:val="nil"/>
              <w:left w:val="nil"/>
              <w:bottom w:val="single" w:sz="4" w:space="0" w:color="auto"/>
              <w:right w:val="single" w:sz="4" w:space="0" w:color="auto"/>
            </w:tcBorders>
            <w:shd w:val="clear" w:color="000000" w:fill="FFFFFF"/>
            <w:noWrap/>
            <w:vAlign w:val="bottom"/>
          </w:tcPr>
          <w:p w14:paraId="74506FB3"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 xml:space="preserve"> 6011,40330,48639</w:t>
            </w:r>
          </w:p>
        </w:tc>
        <w:tc>
          <w:tcPr>
            <w:tcW w:w="1368" w:type="dxa"/>
            <w:tcBorders>
              <w:top w:val="nil"/>
              <w:left w:val="nil"/>
              <w:bottom w:val="single" w:sz="4" w:space="0" w:color="000000"/>
              <w:right w:val="single" w:sz="4" w:space="0" w:color="000000"/>
            </w:tcBorders>
            <w:shd w:val="clear" w:color="000000" w:fill="FFFFFF"/>
            <w:noWrap/>
            <w:vAlign w:val="bottom"/>
          </w:tcPr>
          <w:p w14:paraId="4CDA29C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12 </w:t>
            </w:r>
          </w:p>
        </w:tc>
        <w:tc>
          <w:tcPr>
            <w:tcW w:w="1066" w:type="dxa"/>
            <w:tcBorders>
              <w:top w:val="nil"/>
              <w:left w:val="nil"/>
              <w:bottom w:val="single" w:sz="4" w:space="0" w:color="000000"/>
              <w:right w:val="single" w:sz="4" w:space="0" w:color="000000"/>
            </w:tcBorders>
            <w:shd w:val="clear" w:color="000000" w:fill="FFFFFF"/>
            <w:noWrap/>
            <w:vAlign w:val="bottom"/>
          </w:tcPr>
          <w:p w14:paraId="6880910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59 </w:t>
            </w:r>
          </w:p>
        </w:tc>
        <w:tc>
          <w:tcPr>
            <w:tcW w:w="1520" w:type="dxa"/>
            <w:tcBorders>
              <w:top w:val="nil"/>
              <w:left w:val="nil"/>
              <w:bottom w:val="single" w:sz="4" w:space="0" w:color="000000"/>
              <w:right w:val="single" w:sz="4" w:space="0" w:color="000000"/>
            </w:tcBorders>
            <w:shd w:val="clear" w:color="000000" w:fill="FFFFFF"/>
            <w:noWrap/>
            <w:vAlign w:val="bottom"/>
          </w:tcPr>
          <w:p w14:paraId="2748911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$31,298 </w:t>
            </w:r>
          </w:p>
        </w:tc>
        <w:tc>
          <w:tcPr>
            <w:tcW w:w="1065" w:type="dxa"/>
            <w:tcBorders>
              <w:top w:val="nil"/>
              <w:left w:val="nil"/>
              <w:bottom w:val="single" w:sz="4" w:space="0" w:color="000000"/>
              <w:right w:val="single" w:sz="4" w:space="0" w:color="000000"/>
            </w:tcBorders>
            <w:shd w:val="clear" w:color="000000" w:fill="FFFFFF"/>
            <w:noWrap/>
            <w:vAlign w:val="bottom"/>
          </w:tcPr>
          <w:p w14:paraId="25F1CC4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12 </w:t>
            </w:r>
          </w:p>
        </w:tc>
        <w:tc>
          <w:tcPr>
            <w:tcW w:w="1217" w:type="dxa"/>
            <w:tcBorders>
              <w:top w:val="nil"/>
              <w:left w:val="nil"/>
              <w:bottom w:val="single" w:sz="4" w:space="0" w:color="000000"/>
              <w:right w:val="single" w:sz="4" w:space="0" w:color="000000"/>
            </w:tcBorders>
            <w:shd w:val="clear" w:color="000000" w:fill="FFFFFF"/>
            <w:noWrap/>
            <w:vAlign w:val="bottom"/>
          </w:tcPr>
          <w:p w14:paraId="4836CC3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2.09% </w:t>
            </w:r>
          </w:p>
        </w:tc>
      </w:tr>
    </w:tbl>
    <w:p w14:paraId="520244A1" w14:textId="22488BAF" w:rsidR="002F68E2" w:rsidRPr="002719DC" w:rsidRDefault="002F68E2" w:rsidP="00B07B09">
      <w:pPr>
        <w:spacing w:before="240"/>
        <w:rPr>
          <w:b/>
          <w:sz w:val="20"/>
        </w:rPr>
      </w:pPr>
      <w:r w:rsidRPr="002719DC">
        <w:rPr>
          <w:b/>
          <w:sz w:val="20"/>
        </w:rPr>
        <w:t>Table 11</w:t>
      </w:r>
      <w:r w:rsidR="000475D1" w:rsidRPr="002719DC">
        <w:rPr>
          <w:b/>
          <w:sz w:val="20"/>
        </w:rPr>
        <w:t xml:space="preserve">. </w:t>
      </w:r>
      <w:r w:rsidRPr="002719DC">
        <w:rPr>
          <w:b/>
          <w:sz w:val="20"/>
        </w:rPr>
        <w:t xml:space="preserve"> Instances of co-claiming with MBS item 48694 in 2016-17 </w:t>
      </w:r>
    </w:p>
    <w:tbl>
      <w:tblPr>
        <w:tblW w:w="10107" w:type="dxa"/>
        <w:tblInd w:w="-176" w:type="dxa"/>
        <w:tblLayout w:type="fixed"/>
        <w:tblLook w:val="04A0" w:firstRow="1" w:lastRow="0" w:firstColumn="1" w:lastColumn="0" w:noHBand="0" w:noVBand="1"/>
      </w:tblPr>
      <w:tblGrid>
        <w:gridCol w:w="936"/>
        <w:gridCol w:w="3044"/>
        <w:gridCol w:w="1226"/>
        <w:gridCol w:w="1073"/>
        <w:gridCol w:w="1530"/>
        <w:gridCol w:w="1072"/>
        <w:gridCol w:w="1226"/>
      </w:tblGrid>
      <w:tr w:rsidR="008914AB" w14:paraId="4E0616EC" w14:textId="77777777" w:rsidTr="008914AB">
        <w:trPr>
          <w:trHeight w:val="1121"/>
        </w:trPr>
        <w:tc>
          <w:tcPr>
            <w:tcW w:w="93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C0FC807" w14:textId="77777777" w:rsidR="002F68E2" w:rsidRPr="00213197" w:rsidRDefault="002F68E2" w:rsidP="002F68E2">
            <w:pPr>
              <w:jc w:val="center"/>
              <w:rPr>
                <w:rFonts w:ascii="Arial" w:hAnsi="Arial" w:cs="Arial"/>
                <w:b/>
                <w:bCs/>
                <w:sz w:val="18"/>
                <w:szCs w:val="18"/>
              </w:rPr>
            </w:pPr>
            <w:r w:rsidRPr="00213197">
              <w:rPr>
                <w:rFonts w:ascii="Arial" w:hAnsi="Arial" w:cs="Arial"/>
                <w:b/>
                <w:bCs/>
                <w:sz w:val="18"/>
                <w:szCs w:val="18"/>
              </w:rPr>
              <w:t>#</w:t>
            </w:r>
          </w:p>
        </w:tc>
        <w:tc>
          <w:tcPr>
            <w:tcW w:w="304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47991D4" w14:textId="77777777" w:rsidR="002F68E2" w:rsidRPr="00213197" w:rsidRDefault="002F68E2" w:rsidP="002F68E2">
            <w:pPr>
              <w:jc w:val="center"/>
              <w:rPr>
                <w:rFonts w:ascii="Arial" w:hAnsi="Arial" w:cs="Arial"/>
                <w:b/>
                <w:bCs/>
                <w:sz w:val="18"/>
                <w:szCs w:val="18"/>
              </w:rPr>
            </w:pPr>
            <w:r w:rsidRPr="00213197">
              <w:rPr>
                <w:rFonts w:ascii="Arial" w:hAnsi="Arial" w:cs="Arial"/>
                <w:b/>
                <w:bCs/>
                <w:sz w:val="18"/>
                <w:szCs w:val="18"/>
              </w:rPr>
              <w:t>Items</w:t>
            </w:r>
          </w:p>
        </w:tc>
        <w:tc>
          <w:tcPr>
            <w:tcW w:w="122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6DC5154" w14:textId="77777777" w:rsidR="002F68E2" w:rsidRPr="00213197" w:rsidRDefault="002F68E2" w:rsidP="002F68E2">
            <w:pPr>
              <w:jc w:val="center"/>
              <w:rPr>
                <w:rFonts w:ascii="Arial" w:hAnsi="Arial" w:cs="Arial"/>
                <w:b/>
                <w:bCs/>
                <w:sz w:val="18"/>
                <w:szCs w:val="18"/>
              </w:rPr>
            </w:pPr>
            <w:r w:rsidRPr="00213197">
              <w:rPr>
                <w:rFonts w:ascii="Arial" w:hAnsi="Arial" w:cs="Arial"/>
                <w:b/>
                <w:bCs/>
                <w:sz w:val="18"/>
                <w:szCs w:val="18"/>
              </w:rPr>
              <w:t>Episodes</w:t>
            </w:r>
          </w:p>
        </w:tc>
        <w:tc>
          <w:tcPr>
            <w:tcW w:w="107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D28B8CA" w14:textId="77777777" w:rsidR="002F68E2" w:rsidRPr="00213197" w:rsidRDefault="002F68E2" w:rsidP="002F68E2">
            <w:pPr>
              <w:jc w:val="center"/>
              <w:rPr>
                <w:rFonts w:ascii="Arial" w:hAnsi="Arial" w:cs="Arial"/>
                <w:b/>
                <w:bCs/>
                <w:sz w:val="18"/>
                <w:szCs w:val="18"/>
              </w:rPr>
            </w:pPr>
            <w:r w:rsidRPr="00213197">
              <w:rPr>
                <w:rFonts w:ascii="Arial" w:hAnsi="Arial" w:cs="Arial"/>
                <w:b/>
                <w:bCs/>
                <w:sz w:val="18"/>
                <w:szCs w:val="18"/>
              </w:rPr>
              <w:t>Services</w:t>
            </w:r>
          </w:p>
        </w:tc>
        <w:tc>
          <w:tcPr>
            <w:tcW w:w="153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E45FCD8" w14:textId="77777777" w:rsidR="002F68E2" w:rsidRPr="00213197" w:rsidRDefault="002F68E2" w:rsidP="002F68E2">
            <w:pPr>
              <w:jc w:val="center"/>
              <w:rPr>
                <w:rFonts w:ascii="Arial" w:hAnsi="Arial" w:cs="Arial"/>
                <w:b/>
                <w:bCs/>
                <w:sz w:val="18"/>
                <w:szCs w:val="18"/>
              </w:rPr>
            </w:pPr>
            <w:r w:rsidRPr="00213197">
              <w:rPr>
                <w:rFonts w:ascii="Arial" w:hAnsi="Arial" w:cs="Arial"/>
                <w:b/>
                <w:bCs/>
                <w:sz w:val="18"/>
                <w:szCs w:val="18"/>
              </w:rPr>
              <w:t>Schedule Fee for combination</w:t>
            </w:r>
          </w:p>
        </w:tc>
        <w:tc>
          <w:tcPr>
            <w:tcW w:w="107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E01ADAE" w14:textId="77777777" w:rsidR="002F68E2" w:rsidRPr="00213197" w:rsidRDefault="002F68E2" w:rsidP="002F68E2">
            <w:pPr>
              <w:jc w:val="center"/>
              <w:rPr>
                <w:rFonts w:ascii="Arial" w:hAnsi="Arial" w:cs="Arial"/>
                <w:b/>
                <w:bCs/>
                <w:sz w:val="18"/>
                <w:szCs w:val="18"/>
              </w:rPr>
            </w:pPr>
            <w:r w:rsidRPr="00213197">
              <w:rPr>
                <w:rFonts w:ascii="Arial" w:hAnsi="Arial" w:cs="Arial"/>
                <w:b/>
                <w:bCs/>
                <w:sz w:val="18"/>
                <w:szCs w:val="18"/>
              </w:rPr>
              <w:t>Number of patients</w:t>
            </w:r>
          </w:p>
        </w:tc>
        <w:tc>
          <w:tcPr>
            <w:tcW w:w="122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170C36E" w14:textId="77777777" w:rsidR="002F68E2" w:rsidRPr="00213197" w:rsidRDefault="002F68E2" w:rsidP="002F68E2">
            <w:pPr>
              <w:jc w:val="center"/>
              <w:rPr>
                <w:rFonts w:ascii="Arial" w:hAnsi="Arial" w:cs="Arial"/>
                <w:b/>
                <w:bCs/>
                <w:sz w:val="18"/>
                <w:szCs w:val="18"/>
              </w:rPr>
            </w:pPr>
            <w:r w:rsidRPr="00213197">
              <w:rPr>
                <w:rFonts w:ascii="Arial" w:hAnsi="Arial" w:cs="Arial"/>
                <w:b/>
                <w:bCs/>
                <w:sz w:val="18"/>
                <w:szCs w:val="18"/>
              </w:rPr>
              <w:t>% of episodes</w:t>
            </w:r>
          </w:p>
        </w:tc>
      </w:tr>
      <w:tr w:rsidR="008914AB" w14:paraId="439B867A" w14:textId="77777777" w:rsidTr="008914AB">
        <w:trPr>
          <w:trHeight w:val="351"/>
        </w:trPr>
        <w:tc>
          <w:tcPr>
            <w:tcW w:w="936" w:type="dxa"/>
            <w:tcBorders>
              <w:top w:val="nil"/>
              <w:left w:val="single" w:sz="4" w:space="0" w:color="auto"/>
              <w:bottom w:val="single" w:sz="4" w:space="0" w:color="auto"/>
              <w:right w:val="single" w:sz="4" w:space="0" w:color="auto"/>
            </w:tcBorders>
            <w:shd w:val="clear" w:color="000000" w:fill="FFFFFF"/>
            <w:noWrap/>
            <w:vAlign w:val="center"/>
            <w:hideMark/>
          </w:tcPr>
          <w:p w14:paraId="5AAA2BE8" w14:textId="77777777" w:rsidR="002F68E2" w:rsidRPr="00213197" w:rsidRDefault="002F68E2" w:rsidP="002F68E2">
            <w:pPr>
              <w:jc w:val="right"/>
              <w:rPr>
                <w:rFonts w:ascii="Arial" w:hAnsi="Arial" w:cs="Arial"/>
                <w:sz w:val="18"/>
                <w:szCs w:val="18"/>
              </w:rPr>
            </w:pPr>
            <w:r w:rsidRPr="00213197">
              <w:rPr>
                <w:rFonts w:ascii="Arial" w:hAnsi="Arial" w:cs="Arial"/>
                <w:sz w:val="18"/>
                <w:szCs w:val="18"/>
              </w:rPr>
              <w:t>1</w:t>
            </w:r>
          </w:p>
        </w:tc>
        <w:tc>
          <w:tcPr>
            <w:tcW w:w="3044" w:type="dxa"/>
            <w:tcBorders>
              <w:top w:val="nil"/>
              <w:left w:val="nil"/>
              <w:bottom w:val="single" w:sz="4" w:space="0" w:color="auto"/>
              <w:right w:val="single" w:sz="4" w:space="0" w:color="auto"/>
            </w:tcBorders>
            <w:shd w:val="clear" w:color="000000" w:fill="FFFFFF"/>
            <w:noWrap/>
            <w:vAlign w:val="bottom"/>
          </w:tcPr>
          <w:p w14:paraId="4D634AC2"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40330</w:t>
            </w:r>
          </w:p>
        </w:tc>
        <w:tc>
          <w:tcPr>
            <w:tcW w:w="1226" w:type="dxa"/>
            <w:tcBorders>
              <w:top w:val="nil"/>
              <w:left w:val="nil"/>
              <w:bottom w:val="single" w:sz="4" w:space="0" w:color="000000"/>
              <w:right w:val="single" w:sz="4" w:space="0" w:color="000000"/>
            </w:tcBorders>
            <w:shd w:val="clear" w:color="auto" w:fill="auto"/>
            <w:noWrap/>
            <w:vAlign w:val="bottom"/>
          </w:tcPr>
          <w:p w14:paraId="7537C86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174 </w:t>
            </w:r>
          </w:p>
        </w:tc>
        <w:tc>
          <w:tcPr>
            <w:tcW w:w="1073" w:type="dxa"/>
            <w:tcBorders>
              <w:top w:val="nil"/>
              <w:left w:val="nil"/>
              <w:bottom w:val="single" w:sz="4" w:space="0" w:color="000000"/>
              <w:right w:val="single" w:sz="4" w:space="0" w:color="000000"/>
            </w:tcBorders>
            <w:shd w:val="clear" w:color="auto" w:fill="auto"/>
            <w:noWrap/>
            <w:vAlign w:val="bottom"/>
          </w:tcPr>
          <w:p w14:paraId="780FB55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348 </w:t>
            </w:r>
          </w:p>
        </w:tc>
        <w:tc>
          <w:tcPr>
            <w:tcW w:w="1530" w:type="dxa"/>
            <w:tcBorders>
              <w:top w:val="nil"/>
              <w:left w:val="nil"/>
              <w:bottom w:val="single" w:sz="4" w:space="0" w:color="000000"/>
              <w:right w:val="single" w:sz="4" w:space="0" w:color="000000"/>
            </w:tcBorders>
            <w:shd w:val="clear" w:color="auto" w:fill="auto"/>
            <w:noWrap/>
            <w:vAlign w:val="bottom"/>
          </w:tcPr>
          <w:p w14:paraId="0DABAA3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$271,475 </w:t>
            </w:r>
          </w:p>
        </w:tc>
        <w:tc>
          <w:tcPr>
            <w:tcW w:w="1072" w:type="dxa"/>
            <w:tcBorders>
              <w:top w:val="nil"/>
              <w:left w:val="nil"/>
              <w:bottom w:val="single" w:sz="4" w:space="0" w:color="000000"/>
              <w:right w:val="single" w:sz="4" w:space="0" w:color="000000"/>
            </w:tcBorders>
            <w:shd w:val="clear" w:color="auto" w:fill="auto"/>
            <w:noWrap/>
            <w:vAlign w:val="bottom"/>
          </w:tcPr>
          <w:p w14:paraId="0DACAB1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173 </w:t>
            </w:r>
          </w:p>
        </w:tc>
        <w:tc>
          <w:tcPr>
            <w:tcW w:w="1226" w:type="dxa"/>
            <w:tcBorders>
              <w:top w:val="nil"/>
              <w:left w:val="nil"/>
              <w:bottom w:val="single" w:sz="4" w:space="0" w:color="000000"/>
              <w:right w:val="single" w:sz="4" w:space="0" w:color="000000"/>
            </w:tcBorders>
            <w:shd w:val="clear" w:color="auto" w:fill="auto"/>
            <w:noWrap/>
            <w:vAlign w:val="bottom"/>
          </w:tcPr>
          <w:p w14:paraId="342D297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29.79% </w:t>
            </w:r>
          </w:p>
        </w:tc>
      </w:tr>
      <w:tr w:rsidR="008914AB" w14:paraId="4F0F5728" w14:textId="77777777" w:rsidTr="008914AB">
        <w:trPr>
          <w:trHeight w:val="351"/>
        </w:trPr>
        <w:tc>
          <w:tcPr>
            <w:tcW w:w="936" w:type="dxa"/>
            <w:tcBorders>
              <w:top w:val="nil"/>
              <w:left w:val="single" w:sz="4" w:space="0" w:color="auto"/>
              <w:bottom w:val="single" w:sz="4" w:space="0" w:color="auto"/>
              <w:right w:val="single" w:sz="4" w:space="0" w:color="auto"/>
            </w:tcBorders>
            <w:shd w:val="clear" w:color="000000" w:fill="FFFFFF"/>
            <w:noWrap/>
            <w:vAlign w:val="center"/>
            <w:hideMark/>
          </w:tcPr>
          <w:p w14:paraId="4082D987" w14:textId="77777777" w:rsidR="002F68E2" w:rsidRPr="00213197" w:rsidRDefault="002F68E2" w:rsidP="002F68E2">
            <w:pPr>
              <w:jc w:val="right"/>
              <w:rPr>
                <w:rFonts w:ascii="Arial" w:hAnsi="Arial" w:cs="Arial"/>
                <w:sz w:val="18"/>
                <w:szCs w:val="18"/>
              </w:rPr>
            </w:pPr>
            <w:r w:rsidRPr="00213197">
              <w:rPr>
                <w:rFonts w:ascii="Arial" w:hAnsi="Arial" w:cs="Arial"/>
                <w:sz w:val="18"/>
                <w:szCs w:val="18"/>
              </w:rPr>
              <w:t>2</w:t>
            </w:r>
          </w:p>
        </w:tc>
        <w:tc>
          <w:tcPr>
            <w:tcW w:w="3044" w:type="dxa"/>
            <w:tcBorders>
              <w:top w:val="nil"/>
              <w:left w:val="nil"/>
              <w:bottom w:val="single" w:sz="4" w:space="0" w:color="auto"/>
              <w:right w:val="single" w:sz="4" w:space="0" w:color="auto"/>
            </w:tcBorders>
            <w:shd w:val="clear" w:color="000000" w:fill="FFFFFF"/>
            <w:noWrap/>
            <w:vAlign w:val="bottom"/>
          </w:tcPr>
          <w:p w14:paraId="76DFD666"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 xml:space="preserve"> 6009,40330</w:t>
            </w:r>
          </w:p>
        </w:tc>
        <w:tc>
          <w:tcPr>
            <w:tcW w:w="1226" w:type="dxa"/>
            <w:tcBorders>
              <w:top w:val="nil"/>
              <w:left w:val="nil"/>
              <w:bottom w:val="single" w:sz="4" w:space="0" w:color="000000"/>
              <w:right w:val="single" w:sz="4" w:space="0" w:color="000000"/>
            </w:tcBorders>
            <w:shd w:val="clear" w:color="000000" w:fill="FFFFFF"/>
            <w:noWrap/>
            <w:vAlign w:val="bottom"/>
          </w:tcPr>
          <w:p w14:paraId="0430F66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49 </w:t>
            </w:r>
          </w:p>
        </w:tc>
        <w:tc>
          <w:tcPr>
            <w:tcW w:w="1073" w:type="dxa"/>
            <w:tcBorders>
              <w:top w:val="nil"/>
              <w:left w:val="nil"/>
              <w:bottom w:val="single" w:sz="4" w:space="0" w:color="000000"/>
              <w:right w:val="single" w:sz="4" w:space="0" w:color="000000"/>
            </w:tcBorders>
            <w:shd w:val="clear" w:color="000000" w:fill="FFFFFF"/>
            <w:noWrap/>
            <w:vAlign w:val="bottom"/>
          </w:tcPr>
          <w:p w14:paraId="65697DB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147 </w:t>
            </w:r>
          </w:p>
        </w:tc>
        <w:tc>
          <w:tcPr>
            <w:tcW w:w="1530" w:type="dxa"/>
            <w:tcBorders>
              <w:top w:val="nil"/>
              <w:left w:val="nil"/>
              <w:bottom w:val="single" w:sz="4" w:space="0" w:color="000000"/>
              <w:right w:val="single" w:sz="4" w:space="0" w:color="000000"/>
            </w:tcBorders>
            <w:shd w:val="clear" w:color="000000" w:fill="FFFFFF"/>
            <w:noWrap/>
            <w:vAlign w:val="bottom"/>
          </w:tcPr>
          <w:p w14:paraId="1B09E84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$78,557 </w:t>
            </w:r>
          </w:p>
        </w:tc>
        <w:tc>
          <w:tcPr>
            <w:tcW w:w="1072" w:type="dxa"/>
            <w:tcBorders>
              <w:top w:val="nil"/>
              <w:left w:val="nil"/>
              <w:bottom w:val="single" w:sz="4" w:space="0" w:color="000000"/>
              <w:right w:val="single" w:sz="4" w:space="0" w:color="000000"/>
            </w:tcBorders>
            <w:shd w:val="clear" w:color="000000" w:fill="FFFFFF"/>
            <w:noWrap/>
            <w:vAlign w:val="bottom"/>
          </w:tcPr>
          <w:p w14:paraId="6621724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49 </w:t>
            </w:r>
          </w:p>
        </w:tc>
        <w:tc>
          <w:tcPr>
            <w:tcW w:w="1226" w:type="dxa"/>
            <w:tcBorders>
              <w:top w:val="nil"/>
              <w:left w:val="nil"/>
              <w:bottom w:val="single" w:sz="4" w:space="0" w:color="000000"/>
              <w:right w:val="single" w:sz="4" w:space="0" w:color="000000"/>
            </w:tcBorders>
            <w:shd w:val="clear" w:color="000000" w:fill="FFFFFF"/>
            <w:noWrap/>
            <w:vAlign w:val="bottom"/>
          </w:tcPr>
          <w:p w14:paraId="2C297F8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8.39% </w:t>
            </w:r>
          </w:p>
        </w:tc>
      </w:tr>
      <w:tr w:rsidR="008914AB" w14:paraId="4FFE2E6E" w14:textId="77777777" w:rsidTr="008914AB">
        <w:trPr>
          <w:trHeight w:val="351"/>
        </w:trPr>
        <w:tc>
          <w:tcPr>
            <w:tcW w:w="936" w:type="dxa"/>
            <w:tcBorders>
              <w:top w:val="nil"/>
              <w:left w:val="single" w:sz="4" w:space="0" w:color="auto"/>
              <w:bottom w:val="single" w:sz="4" w:space="0" w:color="auto"/>
              <w:right w:val="single" w:sz="4" w:space="0" w:color="auto"/>
            </w:tcBorders>
            <w:shd w:val="clear" w:color="000000" w:fill="FFFFFF"/>
            <w:noWrap/>
            <w:vAlign w:val="center"/>
            <w:hideMark/>
          </w:tcPr>
          <w:p w14:paraId="1A8F7AF1" w14:textId="77777777" w:rsidR="002F68E2" w:rsidRPr="00213197" w:rsidRDefault="002F68E2" w:rsidP="002F68E2">
            <w:pPr>
              <w:jc w:val="right"/>
              <w:rPr>
                <w:rFonts w:ascii="Arial" w:hAnsi="Arial" w:cs="Arial"/>
                <w:sz w:val="18"/>
                <w:szCs w:val="18"/>
              </w:rPr>
            </w:pPr>
            <w:r w:rsidRPr="00213197">
              <w:rPr>
                <w:rFonts w:ascii="Arial" w:hAnsi="Arial" w:cs="Arial"/>
                <w:sz w:val="18"/>
                <w:szCs w:val="18"/>
              </w:rPr>
              <w:t>3</w:t>
            </w:r>
          </w:p>
        </w:tc>
        <w:tc>
          <w:tcPr>
            <w:tcW w:w="3044" w:type="dxa"/>
            <w:tcBorders>
              <w:top w:val="nil"/>
              <w:left w:val="nil"/>
              <w:bottom w:val="single" w:sz="4" w:space="0" w:color="auto"/>
              <w:right w:val="single" w:sz="4" w:space="0" w:color="auto"/>
            </w:tcBorders>
            <w:shd w:val="clear" w:color="000000" w:fill="FFFFFF"/>
            <w:noWrap/>
            <w:vAlign w:val="bottom"/>
          </w:tcPr>
          <w:p w14:paraId="0D6C2820"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p>
        </w:tc>
        <w:tc>
          <w:tcPr>
            <w:tcW w:w="1226" w:type="dxa"/>
            <w:tcBorders>
              <w:top w:val="nil"/>
              <w:left w:val="nil"/>
              <w:bottom w:val="single" w:sz="4" w:space="0" w:color="000000"/>
              <w:right w:val="single" w:sz="4" w:space="0" w:color="000000"/>
            </w:tcBorders>
            <w:shd w:val="clear" w:color="000000" w:fill="FFFFFF"/>
            <w:noWrap/>
            <w:vAlign w:val="bottom"/>
          </w:tcPr>
          <w:p w14:paraId="094C0C6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25 </w:t>
            </w:r>
          </w:p>
        </w:tc>
        <w:tc>
          <w:tcPr>
            <w:tcW w:w="1073" w:type="dxa"/>
            <w:tcBorders>
              <w:top w:val="nil"/>
              <w:left w:val="nil"/>
              <w:bottom w:val="single" w:sz="4" w:space="0" w:color="000000"/>
              <w:right w:val="single" w:sz="4" w:space="0" w:color="000000"/>
            </w:tcBorders>
            <w:shd w:val="clear" w:color="000000" w:fill="FFFFFF"/>
            <w:noWrap/>
            <w:vAlign w:val="bottom"/>
          </w:tcPr>
          <w:p w14:paraId="458558E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25 </w:t>
            </w:r>
          </w:p>
        </w:tc>
        <w:tc>
          <w:tcPr>
            <w:tcW w:w="1530" w:type="dxa"/>
            <w:tcBorders>
              <w:top w:val="nil"/>
              <w:left w:val="nil"/>
              <w:bottom w:val="single" w:sz="4" w:space="0" w:color="000000"/>
              <w:right w:val="single" w:sz="4" w:space="0" w:color="000000"/>
            </w:tcBorders>
            <w:shd w:val="clear" w:color="000000" w:fill="FFFFFF"/>
            <w:noWrap/>
            <w:vAlign w:val="bottom"/>
          </w:tcPr>
          <w:p w14:paraId="27B1B08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$27,068 </w:t>
            </w:r>
          </w:p>
        </w:tc>
        <w:tc>
          <w:tcPr>
            <w:tcW w:w="1072" w:type="dxa"/>
            <w:tcBorders>
              <w:top w:val="nil"/>
              <w:left w:val="nil"/>
              <w:bottom w:val="single" w:sz="4" w:space="0" w:color="000000"/>
              <w:right w:val="single" w:sz="4" w:space="0" w:color="000000"/>
            </w:tcBorders>
            <w:shd w:val="clear" w:color="000000" w:fill="FFFFFF"/>
            <w:noWrap/>
            <w:vAlign w:val="bottom"/>
          </w:tcPr>
          <w:p w14:paraId="66CDED8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25 </w:t>
            </w:r>
          </w:p>
        </w:tc>
        <w:tc>
          <w:tcPr>
            <w:tcW w:w="1226" w:type="dxa"/>
            <w:tcBorders>
              <w:top w:val="nil"/>
              <w:left w:val="nil"/>
              <w:bottom w:val="single" w:sz="4" w:space="0" w:color="000000"/>
              <w:right w:val="single" w:sz="4" w:space="0" w:color="000000"/>
            </w:tcBorders>
            <w:shd w:val="clear" w:color="000000" w:fill="FFFFFF"/>
            <w:noWrap/>
            <w:vAlign w:val="bottom"/>
          </w:tcPr>
          <w:p w14:paraId="051D4C2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4.28% </w:t>
            </w:r>
          </w:p>
        </w:tc>
      </w:tr>
      <w:tr w:rsidR="008914AB" w14:paraId="4361579E" w14:textId="77777777" w:rsidTr="008914AB">
        <w:trPr>
          <w:trHeight w:val="351"/>
        </w:trPr>
        <w:tc>
          <w:tcPr>
            <w:tcW w:w="936" w:type="dxa"/>
            <w:tcBorders>
              <w:top w:val="nil"/>
              <w:left w:val="single" w:sz="4" w:space="0" w:color="auto"/>
              <w:bottom w:val="single" w:sz="4" w:space="0" w:color="auto"/>
              <w:right w:val="single" w:sz="4" w:space="0" w:color="auto"/>
            </w:tcBorders>
            <w:shd w:val="clear" w:color="000000" w:fill="FFFFFF"/>
            <w:noWrap/>
            <w:vAlign w:val="center"/>
            <w:hideMark/>
          </w:tcPr>
          <w:p w14:paraId="654824C0" w14:textId="77777777" w:rsidR="002F68E2" w:rsidRPr="00213197" w:rsidRDefault="002F68E2" w:rsidP="002F68E2">
            <w:pPr>
              <w:jc w:val="right"/>
              <w:rPr>
                <w:rFonts w:ascii="Arial" w:hAnsi="Arial" w:cs="Arial"/>
                <w:sz w:val="18"/>
                <w:szCs w:val="18"/>
              </w:rPr>
            </w:pPr>
            <w:r w:rsidRPr="00213197">
              <w:rPr>
                <w:rFonts w:ascii="Arial" w:hAnsi="Arial" w:cs="Arial"/>
                <w:sz w:val="18"/>
                <w:szCs w:val="18"/>
              </w:rPr>
              <w:t>4</w:t>
            </w:r>
          </w:p>
        </w:tc>
        <w:tc>
          <w:tcPr>
            <w:tcW w:w="3044" w:type="dxa"/>
            <w:tcBorders>
              <w:top w:val="nil"/>
              <w:left w:val="nil"/>
              <w:bottom w:val="single" w:sz="4" w:space="0" w:color="auto"/>
              <w:right w:val="single" w:sz="4" w:space="0" w:color="auto"/>
            </w:tcBorders>
            <w:shd w:val="clear" w:color="000000" w:fill="FFFFFF"/>
            <w:noWrap/>
            <w:vAlign w:val="bottom"/>
          </w:tcPr>
          <w:p w14:paraId="1BB6BE15"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6011,40330</w:t>
            </w:r>
          </w:p>
        </w:tc>
        <w:tc>
          <w:tcPr>
            <w:tcW w:w="1226" w:type="dxa"/>
            <w:tcBorders>
              <w:top w:val="nil"/>
              <w:left w:val="nil"/>
              <w:bottom w:val="single" w:sz="4" w:space="0" w:color="000000"/>
              <w:right w:val="single" w:sz="4" w:space="0" w:color="000000"/>
            </w:tcBorders>
            <w:shd w:val="clear" w:color="000000" w:fill="FFFFFF"/>
            <w:noWrap/>
            <w:vAlign w:val="bottom"/>
          </w:tcPr>
          <w:p w14:paraId="4CA6E76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24 </w:t>
            </w:r>
          </w:p>
        </w:tc>
        <w:tc>
          <w:tcPr>
            <w:tcW w:w="1073" w:type="dxa"/>
            <w:tcBorders>
              <w:top w:val="nil"/>
              <w:left w:val="nil"/>
              <w:bottom w:val="single" w:sz="4" w:space="0" w:color="000000"/>
              <w:right w:val="single" w:sz="4" w:space="0" w:color="000000"/>
            </w:tcBorders>
            <w:shd w:val="clear" w:color="000000" w:fill="FFFFFF"/>
            <w:noWrap/>
            <w:vAlign w:val="bottom"/>
          </w:tcPr>
          <w:p w14:paraId="3A08F22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72 </w:t>
            </w:r>
          </w:p>
        </w:tc>
        <w:tc>
          <w:tcPr>
            <w:tcW w:w="1530" w:type="dxa"/>
            <w:tcBorders>
              <w:top w:val="nil"/>
              <w:left w:val="nil"/>
              <w:bottom w:val="single" w:sz="4" w:space="0" w:color="000000"/>
              <w:right w:val="single" w:sz="4" w:space="0" w:color="000000"/>
            </w:tcBorders>
            <w:shd w:val="clear" w:color="000000" w:fill="FFFFFF"/>
            <w:noWrap/>
            <w:vAlign w:val="bottom"/>
          </w:tcPr>
          <w:p w14:paraId="043D91F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$39,498 </w:t>
            </w:r>
          </w:p>
        </w:tc>
        <w:tc>
          <w:tcPr>
            <w:tcW w:w="1072" w:type="dxa"/>
            <w:tcBorders>
              <w:top w:val="nil"/>
              <w:left w:val="nil"/>
              <w:bottom w:val="single" w:sz="4" w:space="0" w:color="000000"/>
              <w:right w:val="single" w:sz="4" w:space="0" w:color="000000"/>
            </w:tcBorders>
            <w:shd w:val="clear" w:color="000000" w:fill="FFFFFF"/>
            <w:noWrap/>
            <w:vAlign w:val="bottom"/>
          </w:tcPr>
          <w:p w14:paraId="491475A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24 </w:t>
            </w:r>
          </w:p>
        </w:tc>
        <w:tc>
          <w:tcPr>
            <w:tcW w:w="1226" w:type="dxa"/>
            <w:tcBorders>
              <w:top w:val="nil"/>
              <w:left w:val="nil"/>
              <w:bottom w:val="single" w:sz="4" w:space="0" w:color="000000"/>
              <w:right w:val="single" w:sz="4" w:space="0" w:color="000000"/>
            </w:tcBorders>
            <w:shd w:val="clear" w:color="000000" w:fill="FFFFFF"/>
            <w:noWrap/>
            <w:vAlign w:val="bottom"/>
          </w:tcPr>
          <w:p w14:paraId="30F1B2B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4.11% </w:t>
            </w:r>
          </w:p>
        </w:tc>
      </w:tr>
      <w:tr w:rsidR="008914AB" w14:paraId="785F8FE3" w14:textId="77777777" w:rsidTr="008914AB">
        <w:trPr>
          <w:trHeight w:val="351"/>
        </w:trPr>
        <w:tc>
          <w:tcPr>
            <w:tcW w:w="936" w:type="dxa"/>
            <w:tcBorders>
              <w:top w:val="nil"/>
              <w:left w:val="single" w:sz="4" w:space="0" w:color="auto"/>
              <w:bottom w:val="single" w:sz="4" w:space="0" w:color="auto"/>
              <w:right w:val="single" w:sz="4" w:space="0" w:color="auto"/>
            </w:tcBorders>
            <w:shd w:val="clear" w:color="000000" w:fill="FFFFFF"/>
            <w:noWrap/>
            <w:vAlign w:val="center"/>
            <w:hideMark/>
          </w:tcPr>
          <w:p w14:paraId="086B1308" w14:textId="77777777" w:rsidR="002F68E2" w:rsidRPr="00213197" w:rsidRDefault="002F68E2" w:rsidP="002F68E2">
            <w:pPr>
              <w:jc w:val="right"/>
              <w:rPr>
                <w:rFonts w:ascii="Arial" w:hAnsi="Arial" w:cs="Arial"/>
                <w:sz w:val="18"/>
                <w:szCs w:val="18"/>
              </w:rPr>
            </w:pPr>
            <w:r w:rsidRPr="00213197">
              <w:rPr>
                <w:rFonts w:ascii="Arial" w:hAnsi="Arial" w:cs="Arial"/>
                <w:sz w:val="18"/>
                <w:szCs w:val="18"/>
              </w:rPr>
              <w:t>5</w:t>
            </w:r>
          </w:p>
        </w:tc>
        <w:tc>
          <w:tcPr>
            <w:tcW w:w="3044" w:type="dxa"/>
            <w:tcBorders>
              <w:top w:val="nil"/>
              <w:left w:val="nil"/>
              <w:bottom w:val="single" w:sz="4" w:space="0" w:color="auto"/>
              <w:right w:val="single" w:sz="4" w:space="0" w:color="auto"/>
            </w:tcBorders>
            <w:shd w:val="clear" w:color="000000" w:fill="FFFFFF"/>
            <w:noWrap/>
            <w:vAlign w:val="bottom"/>
          </w:tcPr>
          <w:p w14:paraId="0EC5CA17"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40330,48660,48684</w:t>
            </w:r>
          </w:p>
        </w:tc>
        <w:tc>
          <w:tcPr>
            <w:tcW w:w="1226" w:type="dxa"/>
            <w:tcBorders>
              <w:top w:val="nil"/>
              <w:left w:val="nil"/>
              <w:bottom w:val="single" w:sz="4" w:space="0" w:color="000000"/>
              <w:right w:val="single" w:sz="4" w:space="0" w:color="000000"/>
            </w:tcBorders>
            <w:shd w:val="clear" w:color="000000" w:fill="FFFFFF"/>
            <w:noWrap/>
            <w:vAlign w:val="bottom"/>
          </w:tcPr>
          <w:p w14:paraId="54E67FF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22 </w:t>
            </w:r>
          </w:p>
        </w:tc>
        <w:tc>
          <w:tcPr>
            <w:tcW w:w="1073" w:type="dxa"/>
            <w:tcBorders>
              <w:top w:val="nil"/>
              <w:left w:val="nil"/>
              <w:bottom w:val="single" w:sz="4" w:space="0" w:color="000000"/>
              <w:right w:val="single" w:sz="4" w:space="0" w:color="000000"/>
            </w:tcBorders>
            <w:shd w:val="clear" w:color="000000" w:fill="FFFFFF"/>
            <w:noWrap/>
            <w:vAlign w:val="bottom"/>
          </w:tcPr>
          <w:p w14:paraId="29C7F5A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88 </w:t>
            </w:r>
          </w:p>
        </w:tc>
        <w:tc>
          <w:tcPr>
            <w:tcW w:w="1530" w:type="dxa"/>
            <w:tcBorders>
              <w:top w:val="nil"/>
              <w:left w:val="nil"/>
              <w:bottom w:val="single" w:sz="4" w:space="0" w:color="000000"/>
              <w:right w:val="single" w:sz="4" w:space="0" w:color="000000"/>
            </w:tcBorders>
            <w:shd w:val="clear" w:color="000000" w:fill="FFFFFF"/>
            <w:noWrap/>
            <w:vAlign w:val="bottom"/>
          </w:tcPr>
          <w:p w14:paraId="7727059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$46,160 </w:t>
            </w:r>
          </w:p>
        </w:tc>
        <w:tc>
          <w:tcPr>
            <w:tcW w:w="1072" w:type="dxa"/>
            <w:tcBorders>
              <w:top w:val="nil"/>
              <w:left w:val="nil"/>
              <w:bottom w:val="single" w:sz="4" w:space="0" w:color="000000"/>
              <w:right w:val="single" w:sz="4" w:space="0" w:color="000000"/>
            </w:tcBorders>
            <w:shd w:val="clear" w:color="000000" w:fill="FFFFFF"/>
            <w:noWrap/>
            <w:vAlign w:val="bottom"/>
          </w:tcPr>
          <w:p w14:paraId="2F0E657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22 </w:t>
            </w:r>
          </w:p>
        </w:tc>
        <w:tc>
          <w:tcPr>
            <w:tcW w:w="1226" w:type="dxa"/>
            <w:tcBorders>
              <w:top w:val="nil"/>
              <w:left w:val="nil"/>
              <w:bottom w:val="single" w:sz="4" w:space="0" w:color="000000"/>
              <w:right w:val="single" w:sz="4" w:space="0" w:color="000000"/>
            </w:tcBorders>
            <w:shd w:val="clear" w:color="000000" w:fill="FFFFFF"/>
            <w:noWrap/>
            <w:vAlign w:val="bottom"/>
          </w:tcPr>
          <w:p w14:paraId="565790E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3.77% </w:t>
            </w:r>
          </w:p>
        </w:tc>
      </w:tr>
      <w:tr w:rsidR="008914AB" w14:paraId="36FA7397" w14:textId="77777777" w:rsidTr="008914AB">
        <w:trPr>
          <w:trHeight w:val="351"/>
        </w:trPr>
        <w:tc>
          <w:tcPr>
            <w:tcW w:w="936" w:type="dxa"/>
            <w:tcBorders>
              <w:top w:val="nil"/>
              <w:left w:val="single" w:sz="4" w:space="0" w:color="auto"/>
              <w:bottom w:val="single" w:sz="4" w:space="0" w:color="auto"/>
              <w:right w:val="single" w:sz="4" w:space="0" w:color="auto"/>
            </w:tcBorders>
            <w:shd w:val="clear" w:color="000000" w:fill="FFFFFF"/>
            <w:noWrap/>
            <w:vAlign w:val="center"/>
            <w:hideMark/>
          </w:tcPr>
          <w:p w14:paraId="051FF5B9" w14:textId="77777777" w:rsidR="002F68E2" w:rsidRPr="00213197" w:rsidRDefault="002F68E2" w:rsidP="002F68E2">
            <w:pPr>
              <w:jc w:val="right"/>
              <w:rPr>
                <w:rFonts w:ascii="Arial" w:hAnsi="Arial" w:cs="Arial"/>
                <w:sz w:val="18"/>
                <w:szCs w:val="18"/>
              </w:rPr>
            </w:pPr>
            <w:r w:rsidRPr="00213197">
              <w:rPr>
                <w:rFonts w:ascii="Arial" w:hAnsi="Arial" w:cs="Arial"/>
                <w:sz w:val="18"/>
                <w:szCs w:val="18"/>
              </w:rPr>
              <w:t>6</w:t>
            </w:r>
          </w:p>
        </w:tc>
        <w:tc>
          <w:tcPr>
            <w:tcW w:w="3044" w:type="dxa"/>
            <w:tcBorders>
              <w:top w:val="nil"/>
              <w:left w:val="nil"/>
              <w:bottom w:val="single" w:sz="4" w:space="0" w:color="auto"/>
              <w:right w:val="single" w:sz="4" w:space="0" w:color="auto"/>
            </w:tcBorders>
            <w:shd w:val="clear" w:color="000000" w:fill="FFFFFF"/>
            <w:noWrap/>
            <w:vAlign w:val="bottom"/>
          </w:tcPr>
          <w:p w14:paraId="3622703B"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color w:val="000000"/>
                <w:sz w:val="18"/>
                <w:szCs w:val="18"/>
              </w:rPr>
              <w:t>,105,40330</w:t>
            </w:r>
          </w:p>
        </w:tc>
        <w:tc>
          <w:tcPr>
            <w:tcW w:w="1226" w:type="dxa"/>
            <w:tcBorders>
              <w:top w:val="nil"/>
              <w:left w:val="nil"/>
              <w:bottom w:val="single" w:sz="4" w:space="0" w:color="000000"/>
              <w:right w:val="single" w:sz="4" w:space="0" w:color="000000"/>
            </w:tcBorders>
            <w:shd w:val="clear" w:color="000000" w:fill="FFFFFF"/>
            <w:noWrap/>
            <w:vAlign w:val="bottom"/>
          </w:tcPr>
          <w:p w14:paraId="62385FD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18 </w:t>
            </w:r>
          </w:p>
        </w:tc>
        <w:tc>
          <w:tcPr>
            <w:tcW w:w="1073" w:type="dxa"/>
            <w:tcBorders>
              <w:top w:val="nil"/>
              <w:left w:val="nil"/>
              <w:bottom w:val="single" w:sz="4" w:space="0" w:color="000000"/>
              <w:right w:val="single" w:sz="4" w:space="0" w:color="000000"/>
            </w:tcBorders>
            <w:shd w:val="clear" w:color="000000" w:fill="FFFFFF"/>
            <w:noWrap/>
            <w:vAlign w:val="bottom"/>
          </w:tcPr>
          <w:p w14:paraId="27C1EE8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54 </w:t>
            </w:r>
          </w:p>
        </w:tc>
        <w:tc>
          <w:tcPr>
            <w:tcW w:w="1530" w:type="dxa"/>
            <w:tcBorders>
              <w:top w:val="nil"/>
              <w:left w:val="nil"/>
              <w:bottom w:val="single" w:sz="4" w:space="0" w:color="000000"/>
              <w:right w:val="single" w:sz="4" w:space="0" w:color="000000"/>
            </w:tcBorders>
            <w:shd w:val="clear" w:color="000000" w:fill="FFFFFF"/>
            <w:noWrap/>
            <w:vAlign w:val="bottom"/>
          </w:tcPr>
          <w:p w14:paraId="55E9BEE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$28,858 </w:t>
            </w:r>
          </w:p>
        </w:tc>
        <w:tc>
          <w:tcPr>
            <w:tcW w:w="1072" w:type="dxa"/>
            <w:tcBorders>
              <w:top w:val="nil"/>
              <w:left w:val="nil"/>
              <w:bottom w:val="single" w:sz="4" w:space="0" w:color="000000"/>
              <w:right w:val="single" w:sz="4" w:space="0" w:color="000000"/>
            </w:tcBorders>
            <w:shd w:val="clear" w:color="000000" w:fill="FFFFFF"/>
            <w:noWrap/>
            <w:vAlign w:val="bottom"/>
          </w:tcPr>
          <w:p w14:paraId="034DDE1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18 </w:t>
            </w:r>
          </w:p>
        </w:tc>
        <w:tc>
          <w:tcPr>
            <w:tcW w:w="1226" w:type="dxa"/>
            <w:tcBorders>
              <w:top w:val="nil"/>
              <w:left w:val="nil"/>
              <w:bottom w:val="single" w:sz="4" w:space="0" w:color="000000"/>
              <w:right w:val="single" w:sz="4" w:space="0" w:color="000000"/>
            </w:tcBorders>
            <w:shd w:val="clear" w:color="000000" w:fill="FFFFFF"/>
            <w:noWrap/>
            <w:vAlign w:val="bottom"/>
          </w:tcPr>
          <w:p w14:paraId="5D4EE6D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3.08% </w:t>
            </w:r>
          </w:p>
        </w:tc>
      </w:tr>
      <w:tr w:rsidR="008914AB" w14:paraId="2DF270DA" w14:textId="77777777" w:rsidTr="008914AB">
        <w:trPr>
          <w:trHeight w:val="351"/>
        </w:trPr>
        <w:tc>
          <w:tcPr>
            <w:tcW w:w="936" w:type="dxa"/>
            <w:tcBorders>
              <w:top w:val="nil"/>
              <w:left w:val="single" w:sz="4" w:space="0" w:color="auto"/>
              <w:bottom w:val="single" w:sz="4" w:space="0" w:color="000000"/>
              <w:right w:val="single" w:sz="4" w:space="0" w:color="auto"/>
            </w:tcBorders>
            <w:shd w:val="clear" w:color="000000" w:fill="FFFFFF"/>
            <w:noWrap/>
            <w:vAlign w:val="center"/>
            <w:hideMark/>
          </w:tcPr>
          <w:p w14:paraId="41313C26" w14:textId="77777777" w:rsidR="002F68E2" w:rsidRPr="00213197" w:rsidRDefault="002F68E2" w:rsidP="002F68E2">
            <w:pPr>
              <w:jc w:val="right"/>
              <w:rPr>
                <w:rFonts w:ascii="Arial" w:hAnsi="Arial" w:cs="Arial"/>
                <w:sz w:val="18"/>
                <w:szCs w:val="18"/>
              </w:rPr>
            </w:pPr>
            <w:r w:rsidRPr="00213197">
              <w:rPr>
                <w:rFonts w:ascii="Arial" w:hAnsi="Arial" w:cs="Arial"/>
                <w:sz w:val="18"/>
                <w:szCs w:val="18"/>
              </w:rPr>
              <w:t>7</w:t>
            </w:r>
          </w:p>
        </w:tc>
        <w:tc>
          <w:tcPr>
            <w:tcW w:w="3044" w:type="dxa"/>
            <w:tcBorders>
              <w:top w:val="nil"/>
              <w:left w:val="nil"/>
              <w:bottom w:val="single" w:sz="4" w:space="0" w:color="000000"/>
              <w:right w:val="single" w:sz="4" w:space="0" w:color="auto"/>
            </w:tcBorders>
            <w:shd w:val="clear" w:color="000000" w:fill="FFFFFF"/>
            <w:noWrap/>
            <w:vAlign w:val="bottom"/>
          </w:tcPr>
          <w:p w14:paraId="18DD64E9"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 xml:space="preserve"> 105,40330,48660,48684</w:t>
            </w:r>
          </w:p>
        </w:tc>
        <w:tc>
          <w:tcPr>
            <w:tcW w:w="1226" w:type="dxa"/>
            <w:tcBorders>
              <w:top w:val="nil"/>
              <w:left w:val="nil"/>
              <w:bottom w:val="single" w:sz="4" w:space="0" w:color="000000"/>
              <w:right w:val="single" w:sz="4" w:space="0" w:color="000000"/>
            </w:tcBorders>
            <w:shd w:val="clear" w:color="000000" w:fill="FFFFFF"/>
            <w:noWrap/>
            <w:vAlign w:val="bottom"/>
          </w:tcPr>
          <w:p w14:paraId="0074EFB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 </w:t>
            </w:r>
          </w:p>
        </w:tc>
        <w:tc>
          <w:tcPr>
            <w:tcW w:w="1073" w:type="dxa"/>
            <w:tcBorders>
              <w:top w:val="nil"/>
              <w:left w:val="nil"/>
              <w:bottom w:val="single" w:sz="4" w:space="0" w:color="000000"/>
              <w:right w:val="single" w:sz="4" w:space="0" w:color="000000"/>
            </w:tcBorders>
            <w:shd w:val="clear" w:color="000000" w:fill="FFFFFF"/>
            <w:noWrap/>
            <w:vAlign w:val="bottom"/>
          </w:tcPr>
          <w:p w14:paraId="211D651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86 </w:t>
            </w:r>
          </w:p>
        </w:tc>
        <w:tc>
          <w:tcPr>
            <w:tcW w:w="1530" w:type="dxa"/>
            <w:tcBorders>
              <w:top w:val="nil"/>
              <w:left w:val="nil"/>
              <w:bottom w:val="single" w:sz="4" w:space="0" w:color="000000"/>
              <w:right w:val="single" w:sz="4" w:space="0" w:color="000000"/>
            </w:tcBorders>
            <w:shd w:val="clear" w:color="000000" w:fill="FFFFFF"/>
            <w:noWrap/>
            <w:vAlign w:val="bottom"/>
          </w:tcPr>
          <w:p w14:paraId="7FBB4DB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$36,639 </w:t>
            </w:r>
          </w:p>
        </w:tc>
        <w:tc>
          <w:tcPr>
            <w:tcW w:w="1072" w:type="dxa"/>
            <w:tcBorders>
              <w:top w:val="nil"/>
              <w:left w:val="nil"/>
              <w:bottom w:val="single" w:sz="4" w:space="0" w:color="000000"/>
              <w:right w:val="single" w:sz="4" w:space="0" w:color="000000"/>
            </w:tcBorders>
            <w:shd w:val="clear" w:color="000000" w:fill="FFFFFF"/>
            <w:noWrap/>
            <w:vAlign w:val="bottom"/>
          </w:tcPr>
          <w:p w14:paraId="4FA1333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 </w:t>
            </w:r>
          </w:p>
        </w:tc>
        <w:tc>
          <w:tcPr>
            <w:tcW w:w="1226" w:type="dxa"/>
            <w:tcBorders>
              <w:top w:val="nil"/>
              <w:left w:val="nil"/>
              <w:bottom w:val="single" w:sz="4" w:space="0" w:color="000000"/>
              <w:right w:val="single" w:sz="4" w:space="0" w:color="000000"/>
            </w:tcBorders>
            <w:shd w:val="clear" w:color="000000" w:fill="FFFFFF"/>
            <w:noWrap/>
            <w:vAlign w:val="bottom"/>
          </w:tcPr>
          <w:p w14:paraId="7636C36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2.91% </w:t>
            </w:r>
          </w:p>
        </w:tc>
      </w:tr>
      <w:tr w:rsidR="008914AB" w14:paraId="629A5937" w14:textId="77777777" w:rsidTr="008914AB">
        <w:trPr>
          <w:trHeight w:val="351"/>
        </w:trPr>
        <w:tc>
          <w:tcPr>
            <w:tcW w:w="936" w:type="dxa"/>
            <w:tcBorders>
              <w:top w:val="single" w:sz="4" w:space="0" w:color="000000"/>
              <w:left w:val="single" w:sz="4" w:space="0" w:color="auto"/>
              <w:bottom w:val="single" w:sz="4" w:space="0" w:color="auto"/>
              <w:right w:val="single" w:sz="4" w:space="0" w:color="auto"/>
            </w:tcBorders>
            <w:shd w:val="clear" w:color="000000" w:fill="FFFFFF"/>
            <w:noWrap/>
            <w:vAlign w:val="center"/>
            <w:hideMark/>
          </w:tcPr>
          <w:p w14:paraId="48E02466" w14:textId="77777777" w:rsidR="002F68E2" w:rsidRPr="00213197" w:rsidRDefault="002F68E2" w:rsidP="002F68E2">
            <w:pPr>
              <w:jc w:val="right"/>
              <w:rPr>
                <w:rFonts w:ascii="Arial" w:hAnsi="Arial" w:cs="Arial"/>
                <w:sz w:val="18"/>
                <w:szCs w:val="18"/>
              </w:rPr>
            </w:pPr>
            <w:r w:rsidRPr="00213197">
              <w:rPr>
                <w:rFonts w:ascii="Arial" w:hAnsi="Arial" w:cs="Arial"/>
                <w:sz w:val="18"/>
                <w:szCs w:val="18"/>
              </w:rPr>
              <w:t>8</w:t>
            </w:r>
          </w:p>
        </w:tc>
        <w:tc>
          <w:tcPr>
            <w:tcW w:w="3044" w:type="dxa"/>
            <w:tcBorders>
              <w:top w:val="single" w:sz="4" w:space="0" w:color="000000"/>
              <w:left w:val="nil"/>
              <w:bottom w:val="single" w:sz="4" w:space="0" w:color="auto"/>
              <w:right w:val="single" w:sz="4" w:space="0" w:color="auto"/>
            </w:tcBorders>
            <w:shd w:val="clear" w:color="000000" w:fill="FFFFFF"/>
            <w:noWrap/>
            <w:vAlign w:val="bottom"/>
          </w:tcPr>
          <w:p w14:paraId="59E148A7"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 xml:space="preserve">, </w:t>
            </w:r>
            <w:r>
              <w:rPr>
                <w:rFonts w:ascii="Arial" w:hAnsi="Arial" w:cs="Arial"/>
                <w:color w:val="000000"/>
                <w:sz w:val="18"/>
                <w:szCs w:val="18"/>
              </w:rPr>
              <w:t>40331,40333</w:t>
            </w:r>
          </w:p>
        </w:tc>
        <w:tc>
          <w:tcPr>
            <w:tcW w:w="1226" w:type="dxa"/>
            <w:tcBorders>
              <w:top w:val="single" w:sz="4" w:space="0" w:color="000000"/>
              <w:left w:val="nil"/>
              <w:bottom w:val="single" w:sz="4" w:space="0" w:color="000000"/>
              <w:right w:val="single" w:sz="4" w:space="0" w:color="000000"/>
            </w:tcBorders>
            <w:shd w:val="clear" w:color="000000" w:fill="FFFFFF"/>
            <w:noWrap/>
            <w:vAlign w:val="bottom"/>
          </w:tcPr>
          <w:p w14:paraId="32AD023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 </w:t>
            </w:r>
          </w:p>
        </w:tc>
        <w:tc>
          <w:tcPr>
            <w:tcW w:w="1073" w:type="dxa"/>
            <w:tcBorders>
              <w:top w:val="single" w:sz="4" w:space="0" w:color="000000"/>
              <w:left w:val="nil"/>
              <w:bottom w:val="single" w:sz="4" w:space="0" w:color="000000"/>
              <w:right w:val="single" w:sz="4" w:space="0" w:color="000000"/>
            </w:tcBorders>
            <w:shd w:val="clear" w:color="000000" w:fill="FFFFFF"/>
            <w:noWrap/>
            <w:vAlign w:val="bottom"/>
          </w:tcPr>
          <w:p w14:paraId="323ABFC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45 </w:t>
            </w:r>
          </w:p>
        </w:tc>
        <w:tc>
          <w:tcPr>
            <w:tcW w:w="1530" w:type="dxa"/>
            <w:tcBorders>
              <w:top w:val="single" w:sz="4" w:space="0" w:color="000000"/>
              <w:left w:val="nil"/>
              <w:bottom w:val="single" w:sz="4" w:space="0" w:color="000000"/>
              <w:right w:val="single" w:sz="4" w:space="0" w:color="000000"/>
            </w:tcBorders>
            <w:shd w:val="clear" w:color="000000" w:fill="FFFFFF"/>
            <w:noWrap/>
            <w:vAlign w:val="bottom"/>
          </w:tcPr>
          <w:p w14:paraId="12DB762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$26,393 </w:t>
            </w:r>
          </w:p>
        </w:tc>
        <w:tc>
          <w:tcPr>
            <w:tcW w:w="1072" w:type="dxa"/>
            <w:tcBorders>
              <w:top w:val="single" w:sz="4" w:space="0" w:color="000000"/>
              <w:left w:val="nil"/>
              <w:bottom w:val="single" w:sz="4" w:space="0" w:color="000000"/>
              <w:right w:val="single" w:sz="4" w:space="0" w:color="000000"/>
            </w:tcBorders>
            <w:shd w:val="clear" w:color="000000" w:fill="FFFFFF"/>
            <w:noWrap/>
            <w:vAlign w:val="bottom"/>
          </w:tcPr>
          <w:p w14:paraId="084FA51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14 </w:t>
            </w:r>
          </w:p>
        </w:tc>
        <w:tc>
          <w:tcPr>
            <w:tcW w:w="1226" w:type="dxa"/>
            <w:tcBorders>
              <w:top w:val="single" w:sz="4" w:space="0" w:color="000000"/>
              <w:left w:val="nil"/>
              <w:bottom w:val="single" w:sz="4" w:space="0" w:color="000000"/>
              <w:right w:val="single" w:sz="4" w:space="0" w:color="000000"/>
            </w:tcBorders>
            <w:shd w:val="clear" w:color="000000" w:fill="FFFFFF"/>
            <w:noWrap/>
            <w:vAlign w:val="bottom"/>
          </w:tcPr>
          <w:p w14:paraId="727DE3D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2.57% </w:t>
            </w:r>
          </w:p>
        </w:tc>
      </w:tr>
      <w:tr w:rsidR="008914AB" w:rsidRPr="00213197" w14:paraId="3EF9DC9F" w14:textId="77777777" w:rsidTr="008914AB">
        <w:trPr>
          <w:trHeight w:val="351"/>
        </w:trPr>
        <w:tc>
          <w:tcPr>
            <w:tcW w:w="936" w:type="dxa"/>
            <w:tcBorders>
              <w:top w:val="nil"/>
              <w:left w:val="single" w:sz="4" w:space="0" w:color="auto"/>
              <w:bottom w:val="single" w:sz="4" w:space="0" w:color="auto"/>
              <w:right w:val="single" w:sz="4" w:space="0" w:color="auto"/>
            </w:tcBorders>
            <w:shd w:val="clear" w:color="000000" w:fill="FFFFFF"/>
            <w:noWrap/>
            <w:vAlign w:val="center"/>
            <w:hideMark/>
          </w:tcPr>
          <w:p w14:paraId="565D6FF7" w14:textId="77777777" w:rsidR="002F68E2" w:rsidRPr="00213197" w:rsidRDefault="002F68E2" w:rsidP="002F68E2">
            <w:pPr>
              <w:jc w:val="right"/>
              <w:rPr>
                <w:rFonts w:ascii="Arial" w:hAnsi="Arial" w:cs="Arial"/>
                <w:sz w:val="18"/>
                <w:szCs w:val="18"/>
              </w:rPr>
            </w:pPr>
            <w:r>
              <w:rPr>
                <w:rFonts w:ascii="Arial" w:hAnsi="Arial" w:cs="Arial"/>
                <w:sz w:val="18"/>
                <w:szCs w:val="18"/>
              </w:rPr>
              <w:t>9</w:t>
            </w:r>
          </w:p>
        </w:tc>
        <w:tc>
          <w:tcPr>
            <w:tcW w:w="3044" w:type="dxa"/>
            <w:tcBorders>
              <w:top w:val="nil"/>
              <w:left w:val="nil"/>
              <w:bottom w:val="single" w:sz="4" w:space="0" w:color="auto"/>
              <w:right w:val="single" w:sz="4" w:space="0" w:color="auto"/>
            </w:tcBorders>
            <w:shd w:val="clear" w:color="000000" w:fill="FFFFFF"/>
            <w:noWrap/>
            <w:vAlign w:val="bottom"/>
          </w:tcPr>
          <w:p w14:paraId="599D4087"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48669,48684</w:t>
            </w:r>
          </w:p>
        </w:tc>
        <w:tc>
          <w:tcPr>
            <w:tcW w:w="1226" w:type="dxa"/>
            <w:tcBorders>
              <w:top w:val="nil"/>
              <w:left w:val="nil"/>
              <w:bottom w:val="single" w:sz="4" w:space="0" w:color="000000"/>
              <w:right w:val="single" w:sz="4" w:space="0" w:color="000000"/>
            </w:tcBorders>
            <w:shd w:val="clear" w:color="000000" w:fill="FFFFFF"/>
            <w:noWrap/>
            <w:vAlign w:val="bottom"/>
          </w:tcPr>
          <w:p w14:paraId="00C1672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14 </w:t>
            </w:r>
          </w:p>
        </w:tc>
        <w:tc>
          <w:tcPr>
            <w:tcW w:w="1073" w:type="dxa"/>
            <w:tcBorders>
              <w:top w:val="nil"/>
              <w:left w:val="nil"/>
              <w:bottom w:val="single" w:sz="4" w:space="0" w:color="000000"/>
              <w:right w:val="single" w:sz="4" w:space="0" w:color="000000"/>
            </w:tcBorders>
            <w:shd w:val="clear" w:color="000000" w:fill="FFFFFF"/>
            <w:noWrap/>
            <w:vAlign w:val="bottom"/>
          </w:tcPr>
          <w:p w14:paraId="169F943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42 </w:t>
            </w:r>
          </w:p>
        </w:tc>
        <w:tc>
          <w:tcPr>
            <w:tcW w:w="1530" w:type="dxa"/>
            <w:tcBorders>
              <w:top w:val="nil"/>
              <w:left w:val="nil"/>
              <w:bottom w:val="single" w:sz="4" w:space="0" w:color="000000"/>
              <w:right w:val="single" w:sz="4" w:space="0" w:color="000000"/>
            </w:tcBorders>
            <w:shd w:val="clear" w:color="000000" w:fill="FFFFFF"/>
            <w:noWrap/>
            <w:vAlign w:val="bottom"/>
          </w:tcPr>
          <w:p w14:paraId="0305F9A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$31,303 </w:t>
            </w:r>
          </w:p>
        </w:tc>
        <w:tc>
          <w:tcPr>
            <w:tcW w:w="1072" w:type="dxa"/>
            <w:tcBorders>
              <w:top w:val="nil"/>
              <w:left w:val="nil"/>
              <w:bottom w:val="single" w:sz="4" w:space="0" w:color="000000"/>
              <w:right w:val="single" w:sz="4" w:space="0" w:color="000000"/>
            </w:tcBorders>
            <w:shd w:val="clear" w:color="000000" w:fill="FFFFFF"/>
            <w:noWrap/>
            <w:vAlign w:val="bottom"/>
          </w:tcPr>
          <w:p w14:paraId="1746F0F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14 </w:t>
            </w:r>
          </w:p>
        </w:tc>
        <w:tc>
          <w:tcPr>
            <w:tcW w:w="1226" w:type="dxa"/>
            <w:tcBorders>
              <w:top w:val="nil"/>
              <w:left w:val="nil"/>
              <w:bottom w:val="single" w:sz="4" w:space="0" w:color="000000"/>
              <w:right w:val="single" w:sz="4" w:space="0" w:color="000000"/>
            </w:tcBorders>
            <w:shd w:val="clear" w:color="000000" w:fill="FFFFFF"/>
            <w:noWrap/>
            <w:vAlign w:val="bottom"/>
          </w:tcPr>
          <w:p w14:paraId="17980B6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2.40% </w:t>
            </w:r>
          </w:p>
        </w:tc>
      </w:tr>
      <w:tr w:rsidR="008914AB" w:rsidRPr="00213197" w14:paraId="5EEB1DA1" w14:textId="77777777" w:rsidTr="008914AB">
        <w:trPr>
          <w:trHeight w:val="351"/>
        </w:trPr>
        <w:tc>
          <w:tcPr>
            <w:tcW w:w="936" w:type="dxa"/>
            <w:tcBorders>
              <w:top w:val="nil"/>
              <w:left w:val="single" w:sz="4" w:space="0" w:color="auto"/>
              <w:bottom w:val="single" w:sz="4" w:space="0" w:color="auto"/>
              <w:right w:val="single" w:sz="4" w:space="0" w:color="auto"/>
            </w:tcBorders>
            <w:shd w:val="clear" w:color="000000" w:fill="FFFFFF"/>
            <w:noWrap/>
            <w:vAlign w:val="center"/>
            <w:hideMark/>
          </w:tcPr>
          <w:p w14:paraId="1291A76E" w14:textId="77777777" w:rsidR="002F68E2" w:rsidRPr="00213197" w:rsidRDefault="002F68E2" w:rsidP="002F68E2">
            <w:pPr>
              <w:jc w:val="right"/>
              <w:rPr>
                <w:rFonts w:ascii="Arial" w:hAnsi="Arial" w:cs="Arial"/>
                <w:sz w:val="18"/>
                <w:szCs w:val="18"/>
              </w:rPr>
            </w:pPr>
            <w:r>
              <w:rPr>
                <w:rFonts w:ascii="Arial" w:hAnsi="Arial" w:cs="Arial"/>
                <w:sz w:val="18"/>
                <w:szCs w:val="18"/>
              </w:rPr>
              <w:t>10</w:t>
            </w:r>
          </w:p>
        </w:tc>
        <w:tc>
          <w:tcPr>
            <w:tcW w:w="3044" w:type="dxa"/>
            <w:tcBorders>
              <w:top w:val="nil"/>
              <w:left w:val="nil"/>
              <w:bottom w:val="single" w:sz="4" w:space="0" w:color="auto"/>
              <w:right w:val="single" w:sz="4" w:space="0" w:color="auto"/>
            </w:tcBorders>
            <w:shd w:val="clear" w:color="000000" w:fill="FFFFFF"/>
            <w:noWrap/>
            <w:vAlign w:val="bottom"/>
          </w:tcPr>
          <w:p w14:paraId="78D0D2CA" w14:textId="77777777" w:rsidR="002F68E2" w:rsidRDefault="002F68E2" w:rsidP="002F68E2">
            <w:pPr>
              <w:rPr>
                <w:rFonts w:ascii="Arial" w:hAnsi="Arial" w:cs="Arial"/>
                <w:color w:val="000000"/>
                <w:sz w:val="18"/>
                <w:szCs w:val="18"/>
              </w:rPr>
            </w:pPr>
            <w:r w:rsidRPr="00986D36">
              <w:rPr>
                <w:rFonts w:ascii="Arial" w:hAnsi="Arial" w:cs="Arial"/>
                <w:b/>
                <w:color w:val="000000"/>
                <w:sz w:val="18"/>
                <w:szCs w:val="18"/>
              </w:rPr>
              <w:t>48694</w:t>
            </w:r>
            <w:r>
              <w:rPr>
                <w:rFonts w:ascii="Arial" w:hAnsi="Arial" w:cs="Arial"/>
                <w:b/>
                <w:color w:val="000000"/>
                <w:sz w:val="18"/>
                <w:szCs w:val="18"/>
              </w:rPr>
              <w:t>,</w:t>
            </w:r>
            <w:r>
              <w:rPr>
                <w:rFonts w:ascii="Arial" w:hAnsi="Arial" w:cs="Arial"/>
                <w:color w:val="000000"/>
                <w:sz w:val="18"/>
                <w:szCs w:val="18"/>
              </w:rPr>
              <w:t>40330,60509</w:t>
            </w:r>
          </w:p>
        </w:tc>
        <w:tc>
          <w:tcPr>
            <w:tcW w:w="1226" w:type="dxa"/>
            <w:tcBorders>
              <w:top w:val="nil"/>
              <w:left w:val="nil"/>
              <w:bottom w:val="single" w:sz="4" w:space="0" w:color="000000"/>
              <w:right w:val="single" w:sz="4" w:space="0" w:color="000000"/>
            </w:tcBorders>
            <w:shd w:val="clear" w:color="000000" w:fill="FFFFFF"/>
            <w:noWrap/>
            <w:vAlign w:val="bottom"/>
          </w:tcPr>
          <w:p w14:paraId="7E33998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13 </w:t>
            </w:r>
          </w:p>
        </w:tc>
        <w:tc>
          <w:tcPr>
            <w:tcW w:w="1073" w:type="dxa"/>
            <w:tcBorders>
              <w:top w:val="nil"/>
              <w:left w:val="nil"/>
              <w:bottom w:val="single" w:sz="4" w:space="0" w:color="000000"/>
              <w:right w:val="single" w:sz="4" w:space="0" w:color="000000"/>
            </w:tcBorders>
            <w:shd w:val="clear" w:color="000000" w:fill="FFFFFF"/>
            <w:noWrap/>
            <w:vAlign w:val="bottom"/>
          </w:tcPr>
          <w:p w14:paraId="1C968DF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39 </w:t>
            </w:r>
          </w:p>
        </w:tc>
        <w:tc>
          <w:tcPr>
            <w:tcW w:w="1530" w:type="dxa"/>
            <w:tcBorders>
              <w:top w:val="nil"/>
              <w:left w:val="nil"/>
              <w:bottom w:val="single" w:sz="4" w:space="0" w:color="000000"/>
              <w:right w:val="single" w:sz="4" w:space="0" w:color="000000"/>
            </w:tcBorders>
            <w:shd w:val="clear" w:color="000000" w:fill="FFFFFF"/>
            <w:noWrap/>
            <w:vAlign w:val="bottom"/>
          </w:tcPr>
          <w:p w14:paraId="56D10B2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$21,503 </w:t>
            </w:r>
          </w:p>
        </w:tc>
        <w:tc>
          <w:tcPr>
            <w:tcW w:w="1072" w:type="dxa"/>
            <w:tcBorders>
              <w:top w:val="nil"/>
              <w:left w:val="nil"/>
              <w:bottom w:val="single" w:sz="4" w:space="0" w:color="000000"/>
              <w:right w:val="single" w:sz="4" w:space="0" w:color="000000"/>
            </w:tcBorders>
            <w:shd w:val="clear" w:color="000000" w:fill="FFFFFF"/>
            <w:noWrap/>
            <w:vAlign w:val="bottom"/>
          </w:tcPr>
          <w:p w14:paraId="2CA6C45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13 </w:t>
            </w:r>
          </w:p>
        </w:tc>
        <w:tc>
          <w:tcPr>
            <w:tcW w:w="1226" w:type="dxa"/>
            <w:tcBorders>
              <w:top w:val="nil"/>
              <w:left w:val="nil"/>
              <w:bottom w:val="single" w:sz="4" w:space="0" w:color="000000"/>
              <w:right w:val="single" w:sz="4" w:space="0" w:color="000000"/>
            </w:tcBorders>
            <w:shd w:val="clear" w:color="000000" w:fill="FFFFFF"/>
            <w:noWrap/>
            <w:vAlign w:val="bottom"/>
          </w:tcPr>
          <w:p w14:paraId="14C8302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2.23% </w:t>
            </w:r>
          </w:p>
        </w:tc>
      </w:tr>
    </w:tbl>
    <w:p w14:paraId="42A4BC07" w14:textId="3EBE2340" w:rsidR="00A91AFD" w:rsidRDefault="004E015F" w:rsidP="000475D1">
      <w:pPr>
        <w:pStyle w:val="Heading2"/>
        <w:spacing w:before="0"/>
      </w:pPr>
      <w:r>
        <w:lastRenderedPageBreak/>
        <w:t>Data on fee charged</w:t>
      </w:r>
    </w:p>
    <w:p w14:paraId="02A26450" w14:textId="36F8B964" w:rsidR="00806AA2" w:rsidRDefault="002F68E2" w:rsidP="002F68E2">
      <w:r w:rsidRPr="00396F1D">
        <w:t>The information provided on fees below is a snapshot of how the item is being claimed in practice. Data has not been printed for states and territo</w:t>
      </w:r>
      <w:r w:rsidR="00B07B09">
        <w:t>ries with low service volumes.</w:t>
      </w:r>
    </w:p>
    <w:p w14:paraId="02339D2E" w14:textId="0495D1E8" w:rsidR="00E93780" w:rsidRDefault="002F68E2" w:rsidP="002F68E2">
      <w:pPr>
        <w:rPr>
          <w:color w:val="222222"/>
        </w:rPr>
      </w:pPr>
      <w:r w:rsidRPr="00396F1D">
        <w:rPr>
          <w:color w:val="000000" w:themeColor="text1"/>
        </w:rPr>
        <w:t xml:space="preserve">The 75% benefit for item </w:t>
      </w:r>
      <w:r>
        <w:rPr>
          <w:color w:val="000000" w:themeColor="text1"/>
        </w:rPr>
        <w:t>48694</w:t>
      </w:r>
      <w:r w:rsidRPr="00396F1D">
        <w:rPr>
          <w:color w:val="000000" w:themeColor="text1"/>
        </w:rPr>
        <w:t xml:space="preserve"> is $</w:t>
      </w:r>
      <w:r w:rsidRPr="00333CD2">
        <w:rPr>
          <w:color w:val="222222"/>
        </w:rPr>
        <w:t>812.05</w:t>
      </w:r>
      <w:r>
        <w:rPr>
          <w:color w:val="222222"/>
        </w:rPr>
        <w:t>.</w:t>
      </w:r>
    </w:p>
    <w:p w14:paraId="37FD0EF5" w14:textId="701CFFA1" w:rsidR="00E93780" w:rsidRDefault="002F68E2" w:rsidP="00B07B09">
      <w:pPr>
        <w:spacing w:before="240" w:after="240"/>
        <w:rPr>
          <w:color w:val="222222"/>
        </w:rPr>
      </w:pPr>
      <w:r>
        <w:rPr>
          <w:color w:val="222222"/>
        </w:rPr>
        <w:t>The national average fee for the period 2013-14 to 2016-17 is relatively constant, around $2,750 to $2,800 (Table 4). There was variation in the fees charged by practitioners, with fees increasing to $6,178 for those practitioners charging at the 95</w:t>
      </w:r>
      <w:r w:rsidRPr="00703825">
        <w:rPr>
          <w:color w:val="222222"/>
          <w:vertAlign w:val="superscript"/>
        </w:rPr>
        <w:t>th</w:t>
      </w:r>
      <w:r>
        <w:rPr>
          <w:color w:val="222222"/>
        </w:rPr>
        <w:t xml:space="preserve"> percentile in 2016-17. </w:t>
      </w:r>
    </w:p>
    <w:p w14:paraId="519AA915" w14:textId="517A80CD" w:rsidR="002F68E2" w:rsidRDefault="002F68E2" w:rsidP="00B07B09">
      <w:pPr>
        <w:spacing w:after="240"/>
        <w:rPr>
          <w:color w:val="222222"/>
        </w:rPr>
      </w:pPr>
      <w:r>
        <w:rPr>
          <w:color w:val="222222"/>
        </w:rPr>
        <w:t xml:space="preserve">The Australian Capital Territory (ACT) recorded the highest average fees </w:t>
      </w:r>
      <w:r>
        <w:rPr>
          <w:color w:val="000000"/>
        </w:rPr>
        <w:t xml:space="preserve">for the years 2014-15, 2015-16 and 2016-17 - $5,848, </w:t>
      </w:r>
      <w:r w:rsidRPr="00136D42">
        <w:rPr>
          <w:color w:val="000000"/>
        </w:rPr>
        <w:t>$5,694</w:t>
      </w:r>
      <w:r>
        <w:rPr>
          <w:color w:val="000000"/>
        </w:rPr>
        <w:t xml:space="preserve"> </w:t>
      </w:r>
      <w:r w:rsidRPr="00136D42">
        <w:rPr>
          <w:color w:val="000000"/>
        </w:rPr>
        <w:t>and $5,958</w:t>
      </w:r>
      <w:r>
        <w:rPr>
          <w:color w:val="000000"/>
        </w:rPr>
        <w:t xml:space="preserve"> respectively, these fees are approximately $3,000 over the national average. Though the ACT recorded the highest average fees it had</w:t>
      </w:r>
      <w:r w:rsidRPr="00030769">
        <w:rPr>
          <w:color w:val="000000"/>
        </w:rPr>
        <w:t xml:space="preserve"> </w:t>
      </w:r>
      <w:r>
        <w:rPr>
          <w:color w:val="000000"/>
        </w:rPr>
        <w:t>only the third highest service vo</w:t>
      </w:r>
      <w:r w:rsidR="00E93780">
        <w:rPr>
          <w:color w:val="000000"/>
        </w:rPr>
        <w:t>lumes (Table 12</w:t>
      </w:r>
      <w:r>
        <w:rPr>
          <w:color w:val="000000"/>
        </w:rPr>
        <w:t xml:space="preserve">). </w:t>
      </w:r>
    </w:p>
    <w:p w14:paraId="1CA5A854" w14:textId="5E818B7B" w:rsidR="00E93780" w:rsidRDefault="002F68E2" w:rsidP="00B07B09">
      <w:pPr>
        <w:spacing w:after="240"/>
        <w:rPr>
          <w:color w:val="000000"/>
        </w:rPr>
      </w:pPr>
      <w:r>
        <w:rPr>
          <w:color w:val="222222"/>
        </w:rPr>
        <w:t xml:space="preserve">Of the states with the highest utilisation rates - Queensland, New South Wales, Victoria and Western Australia - average fees were higher in New South Wales and Queensland than in Victorian and Western Australia. In Queensland the average fee was above the national average, whereas, </w:t>
      </w:r>
      <w:r>
        <w:rPr>
          <w:color w:val="000000"/>
        </w:rPr>
        <w:t xml:space="preserve">in </w:t>
      </w:r>
      <w:r>
        <w:rPr>
          <w:color w:val="222222"/>
        </w:rPr>
        <w:t xml:space="preserve">New South Wales, Victoria and Western Australia </w:t>
      </w:r>
      <w:r>
        <w:rPr>
          <w:color w:val="000000"/>
        </w:rPr>
        <w:t xml:space="preserve">average fees </w:t>
      </w:r>
      <w:r>
        <w:rPr>
          <w:color w:val="222222"/>
        </w:rPr>
        <w:t xml:space="preserve">were </w:t>
      </w:r>
      <w:r>
        <w:rPr>
          <w:color w:val="000000"/>
        </w:rPr>
        <w:t>bel</w:t>
      </w:r>
      <w:r w:rsidR="00E93780">
        <w:rPr>
          <w:color w:val="000000"/>
        </w:rPr>
        <w:t>ow the national average (Table 12</w:t>
      </w:r>
      <w:r>
        <w:rPr>
          <w:color w:val="000000"/>
        </w:rPr>
        <w:t>).</w:t>
      </w:r>
    </w:p>
    <w:p w14:paraId="2D300EDC" w14:textId="2EDB57B9" w:rsidR="007E7881" w:rsidRDefault="002F68E2" w:rsidP="007E7881">
      <w:pPr>
        <w:spacing w:after="240"/>
        <w:rPr>
          <w:color w:val="222222"/>
        </w:rPr>
      </w:pPr>
      <w:r>
        <w:rPr>
          <w:color w:val="222222"/>
        </w:rPr>
        <w:t>Nationally, services are rarely bulk billed.</w:t>
      </w:r>
      <w:r w:rsidR="007E7881">
        <w:rPr>
          <w:color w:val="222222"/>
        </w:rPr>
        <w:br w:type="page"/>
      </w:r>
    </w:p>
    <w:p w14:paraId="3649ADD4" w14:textId="77777777" w:rsidR="00237308" w:rsidRDefault="00237308" w:rsidP="00B07B09">
      <w:pPr>
        <w:spacing w:after="240"/>
        <w:rPr>
          <w:color w:val="222222"/>
        </w:rPr>
      </w:pPr>
    </w:p>
    <w:p w14:paraId="42F694EF" w14:textId="2482F9AC" w:rsidR="002F68E2" w:rsidRDefault="00E93780" w:rsidP="002F68E2">
      <w:pPr>
        <w:rPr>
          <w:i/>
          <w:sz w:val="18"/>
          <w:szCs w:val="18"/>
        </w:rPr>
      </w:pPr>
      <w:r>
        <w:rPr>
          <w:b/>
          <w:sz w:val="20"/>
        </w:rPr>
        <w:t>Table 12</w:t>
      </w:r>
      <w:r w:rsidR="000475D1">
        <w:rPr>
          <w:b/>
          <w:sz w:val="20"/>
        </w:rPr>
        <w:t>.</w:t>
      </w:r>
      <w:r w:rsidR="002F68E2">
        <w:rPr>
          <w:b/>
          <w:sz w:val="20"/>
        </w:rPr>
        <w:t xml:space="preserve"> </w:t>
      </w:r>
      <w:r w:rsidR="002F68E2" w:rsidRPr="0074196C">
        <w:rPr>
          <w:b/>
          <w:sz w:val="20"/>
        </w:rPr>
        <w:t>Statistics on fees charged for MBS item 48694 for 201</w:t>
      </w:r>
      <w:r w:rsidR="002F68E2">
        <w:rPr>
          <w:b/>
          <w:sz w:val="20"/>
        </w:rPr>
        <w:t>3-14 to 2016 -</w:t>
      </w:r>
      <w:r w:rsidR="002F68E2" w:rsidRPr="0074196C">
        <w:rPr>
          <w:b/>
          <w:sz w:val="20"/>
        </w:rPr>
        <w:t xml:space="preserve">17 by date of </w:t>
      </w:r>
      <w:r w:rsidR="002F68E2">
        <w:rPr>
          <w:b/>
          <w:sz w:val="20"/>
        </w:rPr>
        <w:t>s</w:t>
      </w:r>
      <w:r w:rsidR="002F68E2" w:rsidRPr="0074196C">
        <w:rPr>
          <w:b/>
          <w:sz w:val="20"/>
        </w:rPr>
        <w:t>ervice</w:t>
      </w:r>
    </w:p>
    <w:tbl>
      <w:tblPr>
        <w:tblpPr w:leftFromText="180" w:rightFromText="180" w:vertAnchor="text" w:horzAnchor="margin" w:tblpXSpec="center" w:tblpY="84"/>
        <w:tblW w:w="10809" w:type="dxa"/>
        <w:tblLook w:val="04A0" w:firstRow="1" w:lastRow="0" w:firstColumn="1" w:lastColumn="0" w:noHBand="0" w:noVBand="1"/>
        <w:tblDescription w:val="MBS item 48694 - data on fees charged per state from 2013-14 up to 2016-17"/>
      </w:tblPr>
      <w:tblGrid>
        <w:gridCol w:w="737"/>
        <w:gridCol w:w="1156"/>
        <w:gridCol w:w="1091"/>
        <w:gridCol w:w="1194"/>
        <w:gridCol w:w="1108"/>
        <w:gridCol w:w="1108"/>
        <w:gridCol w:w="1108"/>
        <w:gridCol w:w="1091"/>
        <w:gridCol w:w="1108"/>
        <w:gridCol w:w="1108"/>
      </w:tblGrid>
      <w:tr w:rsidR="002F68E2" w:rsidRPr="00964F50" w14:paraId="612D76F3" w14:textId="77777777" w:rsidTr="006E7FBB">
        <w:trPr>
          <w:trHeight w:val="221"/>
        </w:trPr>
        <w:tc>
          <w:tcPr>
            <w:tcW w:w="1893" w:type="dxa"/>
            <w:gridSpan w:val="2"/>
            <w:tcBorders>
              <w:top w:val="nil"/>
              <w:left w:val="nil"/>
              <w:right w:val="single" w:sz="12" w:space="0" w:color="auto"/>
            </w:tcBorders>
            <w:vAlign w:val="center"/>
          </w:tcPr>
          <w:p w14:paraId="08BC7EB4" w14:textId="77777777" w:rsidR="002F68E2" w:rsidRPr="00964F50" w:rsidRDefault="002F68E2" w:rsidP="002F68E2">
            <w:pPr>
              <w:rPr>
                <w:rFonts w:ascii="Arial" w:hAnsi="Arial" w:cs="Arial"/>
                <w:color w:val="000000"/>
                <w:sz w:val="22"/>
                <w:szCs w:val="22"/>
              </w:rPr>
            </w:pPr>
          </w:p>
        </w:tc>
        <w:tc>
          <w:tcPr>
            <w:tcW w:w="8916" w:type="dxa"/>
            <w:gridSpan w:val="8"/>
            <w:tcBorders>
              <w:top w:val="single" w:sz="12" w:space="0" w:color="auto"/>
              <w:left w:val="single" w:sz="12" w:space="0" w:color="auto"/>
              <w:bottom w:val="single" w:sz="12" w:space="0" w:color="auto"/>
              <w:right w:val="single" w:sz="12" w:space="0" w:color="auto"/>
            </w:tcBorders>
            <w:shd w:val="clear" w:color="auto" w:fill="8DB3E2" w:themeFill="text2" w:themeFillTint="66"/>
            <w:noWrap/>
            <w:vAlign w:val="bottom"/>
          </w:tcPr>
          <w:p w14:paraId="425565C1" w14:textId="77777777" w:rsidR="002F68E2" w:rsidRPr="00964F50" w:rsidRDefault="002F68E2" w:rsidP="002F68E2">
            <w:pPr>
              <w:jc w:val="center"/>
              <w:rPr>
                <w:rFonts w:ascii="Arial" w:hAnsi="Arial" w:cs="Arial"/>
                <w:b/>
                <w:bCs/>
                <w:sz w:val="18"/>
                <w:szCs w:val="22"/>
              </w:rPr>
            </w:pPr>
            <w:r w:rsidRPr="00964F50">
              <w:rPr>
                <w:rFonts w:ascii="Arial" w:hAnsi="Arial" w:cs="Arial"/>
                <w:b/>
                <w:bCs/>
                <w:sz w:val="18"/>
                <w:szCs w:val="22"/>
              </w:rPr>
              <w:t>Provider State/Territory</w:t>
            </w:r>
          </w:p>
        </w:tc>
      </w:tr>
      <w:tr w:rsidR="002F68E2" w:rsidRPr="00964F50" w14:paraId="0119E09F" w14:textId="77777777" w:rsidTr="000E146D">
        <w:trPr>
          <w:trHeight w:val="247"/>
        </w:trPr>
        <w:tc>
          <w:tcPr>
            <w:tcW w:w="1893" w:type="dxa"/>
            <w:gridSpan w:val="2"/>
            <w:tcBorders>
              <w:left w:val="nil"/>
              <w:bottom w:val="single" w:sz="12" w:space="0" w:color="auto"/>
              <w:right w:val="single" w:sz="12" w:space="0" w:color="auto"/>
            </w:tcBorders>
            <w:vAlign w:val="center"/>
            <w:hideMark/>
          </w:tcPr>
          <w:p w14:paraId="28394050" w14:textId="77777777" w:rsidR="002F68E2" w:rsidRPr="00964F50" w:rsidRDefault="002F68E2" w:rsidP="002F68E2">
            <w:pPr>
              <w:rPr>
                <w:rFonts w:ascii="Arial" w:hAnsi="Arial" w:cs="Arial"/>
                <w:color w:val="000000"/>
                <w:sz w:val="22"/>
                <w:szCs w:val="22"/>
              </w:rPr>
            </w:pPr>
          </w:p>
        </w:tc>
        <w:tc>
          <w:tcPr>
            <w:tcW w:w="1091" w:type="dxa"/>
            <w:tcBorders>
              <w:top w:val="single" w:sz="12" w:space="0" w:color="auto"/>
              <w:left w:val="single" w:sz="12" w:space="0" w:color="auto"/>
              <w:bottom w:val="single" w:sz="12" w:space="0" w:color="auto"/>
              <w:right w:val="single" w:sz="4" w:space="0" w:color="auto"/>
            </w:tcBorders>
            <w:shd w:val="clear" w:color="auto" w:fill="8DB3E2" w:themeFill="text2" w:themeFillTint="66"/>
            <w:noWrap/>
            <w:vAlign w:val="bottom"/>
            <w:hideMark/>
          </w:tcPr>
          <w:p w14:paraId="37651674" w14:textId="77777777" w:rsidR="002F68E2" w:rsidRPr="00964F50" w:rsidRDefault="002F68E2" w:rsidP="002F68E2">
            <w:pPr>
              <w:jc w:val="center"/>
              <w:rPr>
                <w:rFonts w:ascii="Arial" w:hAnsi="Arial" w:cs="Arial"/>
                <w:b/>
                <w:bCs/>
                <w:sz w:val="18"/>
                <w:szCs w:val="22"/>
              </w:rPr>
            </w:pPr>
            <w:r w:rsidRPr="00964F50">
              <w:rPr>
                <w:rFonts w:ascii="Arial" w:hAnsi="Arial" w:cs="Arial"/>
                <w:b/>
                <w:bCs/>
                <w:sz w:val="18"/>
                <w:szCs w:val="22"/>
              </w:rPr>
              <w:t>NSW</w:t>
            </w:r>
          </w:p>
        </w:tc>
        <w:tc>
          <w:tcPr>
            <w:tcW w:w="1194" w:type="dxa"/>
            <w:tcBorders>
              <w:top w:val="single" w:sz="12" w:space="0" w:color="auto"/>
              <w:left w:val="nil"/>
              <w:bottom w:val="single" w:sz="12" w:space="0" w:color="auto"/>
              <w:right w:val="single" w:sz="4" w:space="0" w:color="auto"/>
            </w:tcBorders>
            <w:shd w:val="clear" w:color="auto" w:fill="8DB3E2" w:themeFill="text2" w:themeFillTint="66"/>
            <w:noWrap/>
            <w:vAlign w:val="bottom"/>
            <w:hideMark/>
          </w:tcPr>
          <w:p w14:paraId="3C1B2E5E" w14:textId="77777777" w:rsidR="002F68E2" w:rsidRPr="00964F50" w:rsidRDefault="002F68E2" w:rsidP="002F68E2">
            <w:pPr>
              <w:jc w:val="center"/>
              <w:rPr>
                <w:rFonts w:ascii="Arial" w:hAnsi="Arial" w:cs="Arial"/>
                <w:b/>
                <w:bCs/>
                <w:sz w:val="18"/>
                <w:szCs w:val="22"/>
              </w:rPr>
            </w:pPr>
            <w:r>
              <w:rPr>
                <w:rFonts w:ascii="Arial" w:hAnsi="Arial" w:cs="Arial"/>
                <w:b/>
                <w:bCs/>
                <w:sz w:val="18"/>
                <w:szCs w:val="22"/>
              </w:rPr>
              <w:t>VIC</w:t>
            </w:r>
          </w:p>
        </w:tc>
        <w:tc>
          <w:tcPr>
            <w:tcW w:w="1108" w:type="dxa"/>
            <w:tcBorders>
              <w:top w:val="single" w:sz="12" w:space="0" w:color="auto"/>
              <w:left w:val="nil"/>
              <w:bottom w:val="single" w:sz="12" w:space="0" w:color="auto"/>
              <w:right w:val="single" w:sz="4" w:space="0" w:color="auto"/>
            </w:tcBorders>
            <w:shd w:val="clear" w:color="auto" w:fill="8DB3E2" w:themeFill="text2" w:themeFillTint="66"/>
            <w:noWrap/>
            <w:vAlign w:val="bottom"/>
            <w:hideMark/>
          </w:tcPr>
          <w:p w14:paraId="79CE97E6" w14:textId="77777777" w:rsidR="002F68E2" w:rsidRPr="00964F50" w:rsidRDefault="002F68E2" w:rsidP="002F68E2">
            <w:pPr>
              <w:jc w:val="center"/>
              <w:rPr>
                <w:rFonts w:ascii="Arial" w:hAnsi="Arial" w:cs="Arial"/>
                <w:b/>
                <w:bCs/>
                <w:sz w:val="18"/>
                <w:szCs w:val="22"/>
              </w:rPr>
            </w:pPr>
            <w:r>
              <w:rPr>
                <w:rFonts w:ascii="Arial" w:hAnsi="Arial" w:cs="Arial"/>
                <w:b/>
                <w:bCs/>
                <w:sz w:val="18"/>
                <w:szCs w:val="22"/>
              </w:rPr>
              <w:t>QLD</w:t>
            </w:r>
          </w:p>
        </w:tc>
        <w:tc>
          <w:tcPr>
            <w:tcW w:w="1108" w:type="dxa"/>
            <w:tcBorders>
              <w:top w:val="single" w:sz="12" w:space="0" w:color="auto"/>
              <w:left w:val="nil"/>
              <w:bottom w:val="single" w:sz="12" w:space="0" w:color="auto"/>
              <w:right w:val="single" w:sz="4" w:space="0" w:color="auto"/>
            </w:tcBorders>
            <w:shd w:val="clear" w:color="auto" w:fill="8DB3E2" w:themeFill="text2" w:themeFillTint="66"/>
            <w:noWrap/>
            <w:vAlign w:val="bottom"/>
            <w:hideMark/>
          </w:tcPr>
          <w:p w14:paraId="05A644E6" w14:textId="77777777" w:rsidR="002F68E2" w:rsidRPr="00964F50" w:rsidRDefault="002F68E2" w:rsidP="002F68E2">
            <w:pPr>
              <w:jc w:val="center"/>
              <w:rPr>
                <w:rFonts w:ascii="Arial" w:hAnsi="Arial" w:cs="Arial"/>
                <w:b/>
                <w:bCs/>
                <w:sz w:val="18"/>
                <w:szCs w:val="22"/>
              </w:rPr>
            </w:pPr>
            <w:r w:rsidRPr="00964F50">
              <w:rPr>
                <w:rFonts w:ascii="Arial" w:hAnsi="Arial" w:cs="Arial"/>
                <w:b/>
                <w:bCs/>
                <w:sz w:val="18"/>
                <w:szCs w:val="22"/>
              </w:rPr>
              <w:t>SA</w:t>
            </w:r>
          </w:p>
        </w:tc>
        <w:tc>
          <w:tcPr>
            <w:tcW w:w="1108" w:type="dxa"/>
            <w:tcBorders>
              <w:top w:val="single" w:sz="12" w:space="0" w:color="auto"/>
              <w:left w:val="nil"/>
              <w:bottom w:val="single" w:sz="12" w:space="0" w:color="auto"/>
              <w:right w:val="single" w:sz="4" w:space="0" w:color="auto"/>
            </w:tcBorders>
            <w:shd w:val="clear" w:color="auto" w:fill="8DB3E2" w:themeFill="text2" w:themeFillTint="66"/>
            <w:noWrap/>
            <w:vAlign w:val="bottom"/>
            <w:hideMark/>
          </w:tcPr>
          <w:p w14:paraId="56ADE613" w14:textId="77777777" w:rsidR="002F68E2" w:rsidRPr="00964F50" w:rsidRDefault="002F68E2" w:rsidP="002F68E2">
            <w:pPr>
              <w:jc w:val="center"/>
              <w:rPr>
                <w:rFonts w:ascii="Arial" w:hAnsi="Arial" w:cs="Arial"/>
                <w:b/>
                <w:bCs/>
                <w:sz w:val="18"/>
                <w:szCs w:val="22"/>
              </w:rPr>
            </w:pPr>
            <w:r w:rsidRPr="00964F50">
              <w:rPr>
                <w:rFonts w:ascii="Arial" w:hAnsi="Arial" w:cs="Arial"/>
                <w:b/>
                <w:bCs/>
                <w:sz w:val="18"/>
                <w:szCs w:val="22"/>
              </w:rPr>
              <w:t>WA</w:t>
            </w:r>
          </w:p>
        </w:tc>
        <w:tc>
          <w:tcPr>
            <w:tcW w:w="1091" w:type="dxa"/>
            <w:tcBorders>
              <w:top w:val="single" w:sz="4" w:space="0" w:color="auto"/>
              <w:left w:val="nil"/>
              <w:bottom w:val="single" w:sz="12" w:space="0" w:color="auto"/>
              <w:right w:val="single" w:sz="4" w:space="0" w:color="auto"/>
            </w:tcBorders>
            <w:shd w:val="clear" w:color="auto" w:fill="8DB3E2" w:themeFill="text2" w:themeFillTint="66"/>
          </w:tcPr>
          <w:p w14:paraId="68603B6B" w14:textId="77777777" w:rsidR="002F68E2" w:rsidRDefault="002F68E2" w:rsidP="002F68E2">
            <w:pPr>
              <w:jc w:val="center"/>
              <w:rPr>
                <w:rFonts w:ascii="Arial" w:hAnsi="Arial" w:cs="Arial"/>
                <w:b/>
                <w:bCs/>
                <w:sz w:val="18"/>
                <w:szCs w:val="22"/>
              </w:rPr>
            </w:pPr>
          </w:p>
          <w:p w14:paraId="4ED473E0" w14:textId="77777777" w:rsidR="002F68E2" w:rsidRPr="00964F50" w:rsidRDefault="002F68E2" w:rsidP="002F68E2">
            <w:pPr>
              <w:jc w:val="center"/>
              <w:rPr>
                <w:rFonts w:ascii="Arial" w:hAnsi="Arial" w:cs="Arial"/>
                <w:b/>
                <w:bCs/>
                <w:sz w:val="18"/>
                <w:szCs w:val="22"/>
              </w:rPr>
            </w:pPr>
            <w:r>
              <w:rPr>
                <w:rFonts w:ascii="Arial" w:hAnsi="Arial" w:cs="Arial"/>
                <w:b/>
                <w:bCs/>
                <w:sz w:val="18"/>
                <w:szCs w:val="22"/>
              </w:rPr>
              <w:t>TAS</w:t>
            </w:r>
          </w:p>
        </w:tc>
        <w:tc>
          <w:tcPr>
            <w:tcW w:w="1108" w:type="dxa"/>
            <w:tcBorders>
              <w:top w:val="single" w:sz="12" w:space="0" w:color="auto"/>
              <w:left w:val="single" w:sz="4" w:space="0" w:color="auto"/>
              <w:bottom w:val="single" w:sz="12" w:space="0" w:color="auto"/>
              <w:right w:val="single" w:sz="4" w:space="0" w:color="auto"/>
            </w:tcBorders>
            <w:shd w:val="clear" w:color="auto" w:fill="8DB3E2" w:themeFill="text2" w:themeFillTint="66"/>
            <w:noWrap/>
            <w:vAlign w:val="bottom"/>
            <w:hideMark/>
          </w:tcPr>
          <w:p w14:paraId="476E49D1" w14:textId="77777777" w:rsidR="002F68E2" w:rsidRPr="00964F50" w:rsidRDefault="002F68E2" w:rsidP="002F68E2">
            <w:pPr>
              <w:jc w:val="center"/>
              <w:rPr>
                <w:rFonts w:ascii="Arial" w:hAnsi="Arial" w:cs="Arial"/>
                <w:b/>
                <w:bCs/>
                <w:sz w:val="18"/>
                <w:szCs w:val="22"/>
              </w:rPr>
            </w:pPr>
            <w:r w:rsidRPr="00964F50">
              <w:rPr>
                <w:rFonts w:ascii="Arial" w:hAnsi="Arial" w:cs="Arial"/>
                <w:b/>
                <w:bCs/>
                <w:sz w:val="18"/>
                <w:szCs w:val="22"/>
              </w:rPr>
              <w:t>ACT</w:t>
            </w:r>
          </w:p>
        </w:tc>
        <w:tc>
          <w:tcPr>
            <w:tcW w:w="1108" w:type="dxa"/>
            <w:tcBorders>
              <w:top w:val="single" w:sz="12" w:space="0" w:color="auto"/>
              <w:left w:val="nil"/>
              <w:bottom w:val="single" w:sz="12" w:space="0" w:color="auto"/>
              <w:right w:val="single" w:sz="12" w:space="0" w:color="auto"/>
            </w:tcBorders>
            <w:shd w:val="clear" w:color="auto" w:fill="8DB3E2" w:themeFill="text2" w:themeFillTint="66"/>
            <w:noWrap/>
            <w:vAlign w:val="bottom"/>
            <w:hideMark/>
          </w:tcPr>
          <w:p w14:paraId="6D12B0EA" w14:textId="77777777" w:rsidR="002F68E2" w:rsidRPr="00964F50" w:rsidRDefault="002F68E2" w:rsidP="002F68E2">
            <w:pPr>
              <w:jc w:val="center"/>
              <w:rPr>
                <w:rFonts w:ascii="Arial" w:hAnsi="Arial" w:cs="Arial"/>
                <w:b/>
                <w:bCs/>
                <w:sz w:val="18"/>
                <w:szCs w:val="22"/>
              </w:rPr>
            </w:pPr>
            <w:r w:rsidRPr="00964F50">
              <w:rPr>
                <w:rFonts w:ascii="Arial" w:hAnsi="Arial" w:cs="Arial"/>
                <w:b/>
                <w:bCs/>
                <w:sz w:val="18"/>
                <w:szCs w:val="22"/>
              </w:rPr>
              <w:t>AUS</w:t>
            </w:r>
          </w:p>
        </w:tc>
      </w:tr>
      <w:tr w:rsidR="002F68E2" w:rsidRPr="00964F50" w14:paraId="14D40C37" w14:textId="77777777" w:rsidTr="006E7FBB">
        <w:trPr>
          <w:trHeight w:val="369"/>
        </w:trPr>
        <w:tc>
          <w:tcPr>
            <w:tcW w:w="737" w:type="dxa"/>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14:paraId="58CADE8B" w14:textId="77777777" w:rsidR="002F68E2" w:rsidRPr="00964F50" w:rsidRDefault="002F68E2" w:rsidP="002F68E2">
            <w:pPr>
              <w:jc w:val="center"/>
              <w:rPr>
                <w:rFonts w:ascii="Arial" w:hAnsi="Arial" w:cs="Arial"/>
                <w:b/>
                <w:bCs/>
                <w:color w:val="000000"/>
                <w:sz w:val="18"/>
                <w:szCs w:val="18"/>
              </w:rPr>
            </w:pPr>
            <w:r>
              <w:rPr>
                <w:rFonts w:ascii="Arial" w:hAnsi="Arial" w:cs="Arial"/>
                <w:b/>
                <w:bCs/>
                <w:color w:val="000000"/>
                <w:sz w:val="18"/>
                <w:szCs w:val="18"/>
              </w:rPr>
              <w:t>2013-14</w:t>
            </w:r>
          </w:p>
        </w:tc>
        <w:tc>
          <w:tcPr>
            <w:tcW w:w="1156"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9C86FD5"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 xml:space="preserve">Average Fee </w:t>
            </w:r>
          </w:p>
        </w:tc>
        <w:tc>
          <w:tcPr>
            <w:tcW w:w="1091" w:type="dxa"/>
            <w:tcBorders>
              <w:top w:val="single" w:sz="12" w:space="0" w:color="auto"/>
              <w:left w:val="nil"/>
              <w:bottom w:val="single" w:sz="4" w:space="0" w:color="000000"/>
              <w:right w:val="single" w:sz="4" w:space="0" w:color="000000"/>
            </w:tcBorders>
            <w:shd w:val="clear" w:color="000000" w:fill="FFFFFF"/>
            <w:noWrap/>
            <w:vAlign w:val="bottom"/>
          </w:tcPr>
          <w:p w14:paraId="197734EB" w14:textId="77777777" w:rsidR="002F68E2" w:rsidRPr="008A4B00" w:rsidRDefault="002F68E2" w:rsidP="002F68E2">
            <w:pPr>
              <w:jc w:val="right"/>
              <w:rPr>
                <w:rFonts w:ascii="Arial" w:hAnsi="Arial" w:cs="Arial"/>
                <w:color w:val="000000"/>
                <w:sz w:val="18"/>
                <w:szCs w:val="18"/>
              </w:rPr>
            </w:pPr>
            <w:r w:rsidRPr="008A4B00">
              <w:rPr>
                <w:rFonts w:ascii="Arial" w:hAnsi="Arial" w:cs="Arial"/>
                <w:color w:val="000000"/>
                <w:sz w:val="18"/>
                <w:szCs w:val="18"/>
              </w:rPr>
              <w:t xml:space="preserve">$2,975.03 </w:t>
            </w:r>
          </w:p>
        </w:tc>
        <w:tc>
          <w:tcPr>
            <w:tcW w:w="1194" w:type="dxa"/>
            <w:tcBorders>
              <w:top w:val="single" w:sz="12" w:space="0" w:color="auto"/>
              <w:left w:val="nil"/>
              <w:bottom w:val="single" w:sz="4" w:space="0" w:color="000000"/>
              <w:right w:val="single" w:sz="4" w:space="0" w:color="000000"/>
            </w:tcBorders>
            <w:shd w:val="clear" w:color="000000" w:fill="FFFFFF"/>
            <w:noWrap/>
            <w:vAlign w:val="bottom"/>
          </w:tcPr>
          <w:p w14:paraId="0D35DC7D" w14:textId="77777777" w:rsidR="002F68E2" w:rsidRPr="00F6116A" w:rsidRDefault="002F68E2" w:rsidP="002F68E2">
            <w:pPr>
              <w:jc w:val="right"/>
              <w:rPr>
                <w:rFonts w:ascii="Arial" w:hAnsi="Arial" w:cs="Arial"/>
                <w:color w:val="000000"/>
                <w:sz w:val="18"/>
                <w:szCs w:val="18"/>
              </w:rPr>
            </w:pPr>
            <w:r w:rsidRPr="00F6116A">
              <w:rPr>
                <w:rFonts w:ascii="Arial" w:hAnsi="Arial" w:cs="Arial"/>
                <w:color w:val="000000"/>
                <w:sz w:val="18"/>
                <w:szCs w:val="18"/>
              </w:rPr>
              <w:t xml:space="preserve">$1,789.30 </w:t>
            </w:r>
          </w:p>
        </w:tc>
        <w:tc>
          <w:tcPr>
            <w:tcW w:w="1108" w:type="dxa"/>
            <w:tcBorders>
              <w:top w:val="single" w:sz="12" w:space="0" w:color="auto"/>
              <w:left w:val="nil"/>
              <w:bottom w:val="single" w:sz="4" w:space="0" w:color="000000"/>
              <w:right w:val="single" w:sz="4" w:space="0" w:color="000000"/>
            </w:tcBorders>
            <w:shd w:val="clear" w:color="000000" w:fill="FFFFFF"/>
            <w:noWrap/>
            <w:vAlign w:val="bottom"/>
          </w:tcPr>
          <w:p w14:paraId="665854F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$3,300.58 </w:t>
            </w:r>
          </w:p>
        </w:tc>
        <w:tc>
          <w:tcPr>
            <w:tcW w:w="1108" w:type="dxa"/>
            <w:tcBorders>
              <w:top w:val="single" w:sz="12" w:space="0" w:color="auto"/>
              <w:left w:val="nil"/>
              <w:bottom w:val="single" w:sz="4" w:space="0" w:color="000000"/>
              <w:right w:val="single" w:sz="4" w:space="0" w:color="000000"/>
            </w:tcBorders>
            <w:shd w:val="clear" w:color="000000" w:fill="FFFFFF"/>
            <w:noWrap/>
            <w:vAlign w:val="bottom"/>
          </w:tcPr>
          <w:p w14:paraId="65C0725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$1,926.40 </w:t>
            </w:r>
          </w:p>
        </w:tc>
        <w:tc>
          <w:tcPr>
            <w:tcW w:w="1108" w:type="dxa"/>
            <w:tcBorders>
              <w:top w:val="single" w:sz="12" w:space="0" w:color="auto"/>
              <w:left w:val="nil"/>
              <w:bottom w:val="single" w:sz="4" w:space="0" w:color="000000"/>
              <w:right w:val="single" w:sz="4" w:space="0" w:color="auto"/>
            </w:tcBorders>
            <w:shd w:val="clear" w:color="000000" w:fill="FFFFFF"/>
            <w:noWrap/>
            <w:vAlign w:val="bottom"/>
          </w:tcPr>
          <w:p w14:paraId="22EFD2B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$1,636.88 </w:t>
            </w:r>
          </w:p>
        </w:tc>
        <w:tc>
          <w:tcPr>
            <w:tcW w:w="1091" w:type="dxa"/>
            <w:tcBorders>
              <w:top w:val="single" w:sz="12" w:space="0" w:color="auto"/>
              <w:left w:val="single" w:sz="4" w:space="0" w:color="auto"/>
              <w:bottom w:val="single" w:sz="4" w:space="0" w:color="auto"/>
              <w:right w:val="single" w:sz="4" w:space="0" w:color="auto"/>
            </w:tcBorders>
            <w:shd w:val="clear" w:color="000000" w:fill="FFFFFF"/>
            <w:vAlign w:val="bottom"/>
          </w:tcPr>
          <w:p w14:paraId="65749A03" w14:textId="77777777" w:rsidR="002F68E2" w:rsidRPr="00655DCD" w:rsidRDefault="002F68E2" w:rsidP="002F68E2">
            <w:pPr>
              <w:jc w:val="right"/>
              <w:rPr>
                <w:rFonts w:ascii="Arial" w:hAnsi="Arial" w:cs="Arial"/>
                <w:color w:val="000000"/>
                <w:sz w:val="18"/>
                <w:szCs w:val="18"/>
                <w:highlight w:val="red"/>
              </w:rPr>
            </w:pPr>
            <w:r w:rsidRPr="008A4B00">
              <w:rPr>
                <w:rFonts w:ascii="Arial" w:hAnsi="Arial" w:cs="Arial"/>
                <w:color w:val="000000"/>
                <w:sz w:val="18"/>
                <w:szCs w:val="18"/>
              </w:rPr>
              <w:t xml:space="preserve">$3,798.43 </w:t>
            </w:r>
          </w:p>
        </w:tc>
        <w:tc>
          <w:tcPr>
            <w:tcW w:w="1108" w:type="dxa"/>
            <w:tcBorders>
              <w:top w:val="single" w:sz="12" w:space="0" w:color="auto"/>
              <w:left w:val="single" w:sz="4" w:space="0" w:color="auto"/>
              <w:bottom w:val="single" w:sz="4" w:space="0" w:color="000000"/>
              <w:right w:val="single" w:sz="4" w:space="0" w:color="000000"/>
            </w:tcBorders>
            <w:shd w:val="clear" w:color="000000" w:fill="FFFFFF"/>
            <w:noWrap/>
            <w:vAlign w:val="bottom"/>
          </w:tcPr>
          <w:p w14:paraId="454560DF" w14:textId="77777777" w:rsidR="002F68E2" w:rsidRDefault="002F68E2" w:rsidP="002F68E2">
            <w:pPr>
              <w:rPr>
                <w:rFonts w:ascii="Calibri" w:hAnsi="Calibri"/>
                <w:color w:val="000000"/>
                <w:sz w:val="22"/>
                <w:szCs w:val="22"/>
              </w:rPr>
            </w:pPr>
            <w:r w:rsidRPr="00A67967">
              <w:rPr>
                <w:rFonts w:ascii="Arial" w:hAnsi="Arial" w:cs="Arial"/>
                <w:color w:val="000000"/>
                <w:sz w:val="18"/>
                <w:szCs w:val="18"/>
              </w:rPr>
              <w:t>$3,723.35</w:t>
            </w:r>
            <w:r>
              <w:rPr>
                <w:rFonts w:ascii="Arial" w:hAnsi="Arial" w:cs="Arial"/>
                <w:color w:val="000000"/>
                <w:sz w:val="18"/>
                <w:szCs w:val="18"/>
              </w:rPr>
              <w:t xml:space="preserve"> </w:t>
            </w:r>
          </w:p>
        </w:tc>
        <w:tc>
          <w:tcPr>
            <w:tcW w:w="1108" w:type="dxa"/>
            <w:tcBorders>
              <w:top w:val="single" w:sz="12" w:space="0" w:color="auto"/>
              <w:left w:val="nil"/>
              <w:bottom w:val="single" w:sz="4" w:space="0" w:color="000000"/>
              <w:right w:val="single" w:sz="12" w:space="0" w:color="auto"/>
            </w:tcBorders>
            <w:shd w:val="clear" w:color="000000" w:fill="FFFFFF"/>
            <w:noWrap/>
            <w:vAlign w:val="bottom"/>
          </w:tcPr>
          <w:p w14:paraId="11A2278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$2,798.00 </w:t>
            </w:r>
          </w:p>
        </w:tc>
      </w:tr>
      <w:tr w:rsidR="002F68E2" w:rsidRPr="00964F50" w14:paraId="2F1DAD35" w14:textId="77777777" w:rsidTr="006E7FBB">
        <w:trPr>
          <w:trHeight w:val="369"/>
        </w:trPr>
        <w:tc>
          <w:tcPr>
            <w:tcW w:w="737" w:type="dxa"/>
            <w:vMerge/>
            <w:tcBorders>
              <w:top w:val="nil"/>
              <w:left w:val="single" w:sz="12" w:space="0" w:color="auto"/>
              <w:bottom w:val="single" w:sz="4" w:space="0" w:color="000000"/>
              <w:right w:val="single" w:sz="12" w:space="0" w:color="auto"/>
            </w:tcBorders>
            <w:vAlign w:val="center"/>
            <w:hideMark/>
          </w:tcPr>
          <w:p w14:paraId="25E5521B"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4" w:space="0" w:color="auto"/>
              <w:right w:val="single" w:sz="4" w:space="0" w:color="auto"/>
            </w:tcBorders>
            <w:shd w:val="clear" w:color="auto" w:fill="auto"/>
            <w:vAlign w:val="center"/>
            <w:hideMark/>
          </w:tcPr>
          <w:p w14:paraId="698B8B28"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Standard Deviation</w:t>
            </w:r>
          </w:p>
        </w:tc>
        <w:tc>
          <w:tcPr>
            <w:tcW w:w="1091" w:type="dxa"/>
            <w:tcBorders>
              <w:top w:val="nil"/>
              <w:left w:val="nil"/>
              <w:bottom w:val="single" w:sz="4" w:space="0" w:color="000000"/>
              <w:right w:val="single" w:sz="4" w:space="0" w:color="000000"/>
            </w:tcBorders>
            <w:shd w:val="clear" w:color="000000" w:fill="FFFFFF"/>
            <w:noWrap/>
            <w:vAlign w:val="bottom"/>
          </w:tcPr>
          <w:p w14:paraId="296663F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$1,968.71 </w:t>
            </w:r>
          </w:p>
        </w:tc>
        <w:tc>
          <w:tcPr>
            <w:tcW w:w="1194" w:type="dxa"/>
            <w:tcBorders>
              <w:top w:val="nil"/>
              <w:left w:val="nil"/>
              <w:bottom w:val="single" w:sz="4" w:space="0" w:color="000000"/>
              <w:right w:val="single" w:sz="4" w:space="0" w:color="000000"/>
            </w:tcBorders>
            <w:shd w:val="clear" w:color="000000" w:fill="FFFFFF"/>
            <w:noWrap/>
            <w:vAlign w:val="bottom"/>
          </w:tcPr>
          <w:p w14:paraId="5815937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$1,652.25 </w:t>
            </w:r>
          </w:p>
        </w:tc>
        <w:tc>
          <w:tcPr>
            <w:tcW w:w="1108" w:type="dxa"/>
            <w:tcBorders>
              <w:top w:val="nil"/>
              <w:left w:val="nil"/>
              <w:bottom w:val="single" w:sz="4" w:space="0" w:color="000000"/>
              <w:right w:val="single" w:sz="4" w:space="0" w:color="000000"/>
            </w:tcBorders>
            <w:shd w:val="clear" w:color="000000" w:fill="FFFFFF"/>
            <w:noWrap/>
            <w:vAlign w:val="bottom"/>
          </w:tcPr>
          <w:p w14:paraId="4EC6C71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$1,726.39 </w:t>
            </w:r>
          </w:p>
        </w:tc>
        <w:tc>
          <w:tcPr>
            <w:tcW w:w="1108" w:type="dxa"/>
            <w:tcBorders>
              <w:top w:val="nil"/>
              <w:left w:val="nil"/>
              <w:bottom w:val="single" w:sz="4" w:space="0" w:color="000000"/>
              <w:right w:val="single" w:sz="4" w:space="0" w:color="000000"/>
            </w:tcBorders>
            <w:shd w:val="clear" w:color="000000" w:fill="FFFFFF"/>
            <w:noWrap/>
            <w:vAlign w:val="bottom"/>
          </w:tcPr>
          <w:p w14:paraId="3AD0CA8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$1,851.90 </w:t>
            </w:r>
          </w:p>
        </w:tc>
        <w:tc>
          <w:tcPr>
            <w:tcW w:w="1108" w:type="dxa"/>
            <w:tcBorders>
              <w:top w:val="nil"/>
              <w:left w:val="nil"/>
              <w:bottom w:val="single" w:sz="4" w:space="0" w:color="000000"/>
              <w:right w:val="single" w:sz="4" w:space="0" w:color="auto"/>
            </w:tcBorders>
            <w:shd w:val="clear" w:color="000000" w:fill="FFFFFF"/>
            <w:noWrap/>
            <w:vAlign w:val="bottom"/>
          </w:tcPr>
          <w:p w14:paraId="76F6323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$961.56 </w:t>
            </w:r>
          </w:p>
        </w:tc>
        <w:tc>
          <w:tcPr>
            <w:tcW w:w="1091" w:type="dxa"/>
            <w:tcBorders>
              <w:top w:val="single" w:sz="4" w:space="0" w:color="auto"/>
              <w:left w:val="single" w:sz="4" w:space="0" w:color="auto"/>
              <w:bottom w:val="single" w:sz="4" w:space="0" w:color="auto"/>
              <w:right w:val="single" w:sz="4" w:space="0" w:color="auto"/>
            </w:tcBorders>
            <w:shd w:val="clear" w:color="000000" w:fill="FFFFFF"/>
            <w:vAlign w:val="bottom"/>
          </w:tcPr>
          <w:p w14:paraId="5DF2843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$1,652.25 </w:t>
            </w:r>
          </w:p>
        </w:tc>
        <w:tc>
          <w:tcPr>
            <w:tcW w:w="1108" w:type="dxa"/>
            <w:tcBorders>
              <w:top w:val="nil"/>
              <w:left w:val="single" w:sz="4" w:space="0" w:color="auto"/>
              <w:bottom w:val="single" w:sz="4" w:space="0" w:color="000000"/>
              <w:right w:val="single" w:sz="4" w:space="0" w:color="000000"/>
            </w:tcBorders>
            <w:shd w:val="clear" w:color="000000" w:fill="FFFFFF"/>
            <w:noWrap/>
            <w:vAlign w:val="bottom"/>
          </w:tcPr>
          <w:p w14:paraId="3BC7DA79" w14:textId="77777777" w:rsidR="002F68E2" w:rsidRDefault="002F68E2" w:rsidP="002F68E2">
            <w:pPr>
              <w:rPr>
                <w:rFonts w:ascii="Calibri" w:hAnsi="Calibri"/>
                <w:color w:val="000000"/>
                <w:sz w:val="22"/>
                <w:szCs w:val="22"/>
              </w:rPr>
            </w:pPr>
            <w:r>
              <w:rPr>
                <w:rFonts w:ascii="Arial" w:hAnsi="Arial" w:cs="Arial"/>
                <w:color w:val="000000"/>
                <w:sz w:val="18"/>
                <w:szCs w:val="18"/>
              </w:rPr>
              <w:t xml:space="preserve">$2,901.33 </w:t>
            </w:r>
          </w:p>
        </w:tc>
        <w:tc>
          <w:tcPr>
            <w:tcW w:w="1108" w:type="dxa"/>
            <w:tcBorders>
              <w:top w:val="nil"/>
              <w:left w:val="nil"/>
              <w:bottom w:val="single" w:sz="4" w:space="0" w:color="000000"/>
              <w:right w:val="single" w:sz="12" w:space="0" w:color="auto"/>
            </w:tcBorders>
            <w:shd w:val="clear" w:color="000000" w:fill="FFFFFF"/>
            <w:noWrap/>
            <w:vAlign w:val="bottom"/>
          </w:tcPr>
          <w:p w14:paraId="7D15244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$1,832.59 </w:t>
            </w:r>
          </w:p>
        </w:tc>
      </w:tr>
      <w:tr w:rsidR="002F68E2" w:rsidRPr="00964F50" w14:paraId="55241A57" w14:textId="77777777" w:rsidTr="006E7FBB">
        <w:trPr>
          <w:trHeight w:val="369"/>
        </w:trPr>
        <w:tc>
          <w:tcPr>
            <w:tcW w:w="737" w:type="dxa"/>
            <w:vMerge/>
            <w:tcBorders>
              <w:top w:val="nil"/>
              <w:left w:val="single" w:sz="12" w:space="0" w:color="auto"/>
              <w:bottom w:val="single" w:sz="4" w:space="0" w:color="000000"/>
              <w:right w:val="single" w:sz="12" w:space="0" w:color="auto"/>
            </w:tcBorders>
            <w:vAlign w:val="center"/>
          </w:tcPr>
          <w:p w14:paraId="208A9602"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4" w:space="0" w:color="auto"/>
              <w:right w:val="single" w:sz="4" w:space="0" w:color="auto"/>
            </w:tcBorders>
            <w:shd w:val="clear" w:color="auto" w:fill="auto"/>
            <w:vAlign w:val="center"/>
          </w:tcPr>
          <w:p w14:paraId="7FA996B3"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 xml:space="preserve">25th Percentile Fee </w:t>
            </w:r>
          </w:p>
        </w:tc>
        <w:tc>
          <w:tcPr>
            <w:tcW w:w="1091" w:type="dxa"/>
            <w:tcBorders>
              <w:top w:val="nil"/>
              <w:left w:val="nil"/>
              <w:bottom w:val="single" w:sz="4" w:space="0" w:color="000000"/>
              <w:right w:val="single" w:sz="4" w:space="0" w:color="000000"/>
            </w:tcBorders>
            <w:shd w:val="clear" w:color="000000" w:fill="FFFFFF"/>
            <w:noWrap/>
            <w:vAlign w:val="bottom"/>
          </w:tcPr>
          <w:p w14:paraId="2807584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$1,643.65 </w:t>
            </w:r>
          </w:p>
        </w:tc>
        <w:tc>
          <w:tcPr>
            <w:tcW w:w="1194" w:type="dxa"/>
            <w:tcBorders>
              <w:top w:val="nil"/>
              <w:left w:val="nil"/>
              <w:bottom w:val="single" w:sz="4" w:space="0" w:color="000000"/>
              <w:right w:val="single" w:sz="4" w:space="0" w:color="000000"/>
            </w:tcBorders>
            <w:shd w:val="clear" w:color="000000" w:fill="FFFFFF"/>
            <w:noWrap/>
            <w:vAlign w:val="bottom"/>
          </w:tcPr>
          <w:p w14:paraId="3CD24A0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$500.05 </w:t>
            </w:r>
          </w:p>
        </w:tc>
        <w:tc>
          <w:tcPr>
            <w:tcW w:w="1108" w:type="dxa"/>
            <w:tcBorders>
              <w:top w:val="nil"/>
              <w:left w:val="nil"/>
              <w:bottom w:val="single" w:sz="4" w:space="0" w:color="000000"/>
              <w:right w:val="single" w:sz="4" w:space="0" w:color="000000"/>
            </w:tcBorders>
            <w:shd w:val="clear" w:color="000000" w:fill="FFFFFF"/>
            <w:noWrap/>
            <w:vAlign w:val="bottom"/>
          </w:tcPr>
          <w:p w14:paraId="6A6EA4C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$1,756.85 </w:t>
            </w:r>
          </w:p>
        </w:tc>
        <w:tc>
          <w:tcPr>
            <w:tcW w:w="1108" w:type="dxa"/>
            <w:tcBorders>
              <w:top w:val="nil"/>
              <w:left w:val="nil"/>
              <w:bottom w:val="single" w:sz="4" w:space="0" w:color="000000"/>
              <w:right w:val="single" w:sz="4" w:space="0" w:color="000000"/>
            </w:tcBorders>
            <w:shd w:val="clear" w:color="000000" w:fill="FFFFFF"/>
            <w:noWrap/>
            <w:vAlign w:val="bottom"/>
          </w:tcPr>
          <w:p w14:paraId="31B4C6B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4" w:space="0" w:color="auto"/>
            </w:tcBorders>
            <w:shd w:val="clear" w:color="000000" w:fill="FFFFFF"/>
            <w:noWrap/>
            <w:vAlign w:val="bottom"/>
          </w:tcPr>
          <w:p w14:paraId="7F37C1C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$1,082.70 </w:t>
            </w:r>
          </w:p>
        </w:tc>
        <w:tc>
          <w:tcPr>
            <w:tcW w:w="1091" w:type="dxa"/>
            <w:tcBorders>
              <w:top w:val="single" w:sz="4" w:space="0" w:color="auto"/>
              <w:left w:val="single" w:sz="4" w:space="0" w:color="auto"/>
              <w:bottom w:val="single" w:sz="4" w:space="0" w:color="auto"/>
              <w:right w:val="single" w:sz="4" w:space="0" w:color="auto"/>
            </w:tcBorders>
            <w:shd w:val="clear" w:color="000000" w:fill="FFFFFF"/>
            <w:vAlign w:val="bottom"/>
          </w:tcPr>
          <w:p w14:paraId="1910E53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$500.05 </w:t>
            </w:r>
          </w:p>
        </w:tc>
        <w:tc>
          <w:tcPr>
            <w:tcW w:w="1108" w:type="dxa"/>
            <w:tcBorders>
              <w:top w:val="nil"/>
              <w:left w:val="single" w:sz="4" w:space="0" w:color="auto"/>
              <w:bottom w:val="single" w:sz="4" w:space="0" w:color="000000"/>
              <w:right w:val="single" w:sz="4" w:space="0" w:color="000000"/>
            </w:tcBorders>
            <w:shd w:val="clear" w:color="000000" w:fill="FFFFFF"/>
            <w:noWrap/>
            <w:vAlign w:val="bottom"/>
          </w:tcPr>
          <w:p w14:paraId="3835B88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12" w:space="0" w:color="auto"/>
            </w:tcBorders>
            <w:shd w:val="clear" w:color="000000" w:fill="FFFFFF"/>
            <w:noWrap/>
            <w:vAlign w:val="bottom"/>
          </w:tcPr>
          <w:p w14:paraId="7FF42B0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$1,498.05 </w:t>
            </w:r>
          </w:p>
        </w:tc>
      </w:tr>
      <w:tr w:rsidR="002F68E2" w:rsidRPr="00964F50" w14:paraId="1A875729" w14:textId="77777777" w:rsidTr="006E7FBB">
        <w:trPr>
          <w:trHeight w:val="369"/>
        </w:trPr>
        <w:tc>
          <w:tcPr>
            <w:tcW w:w="737" w:type="dxa"/>
            <w:vMerge/>
            <w:tcBorders>
              <w:top w:val="nil"/>
              <w:left w:val="single" w:sz="12" w:space="0" w:color="auto"/>
              <w:bottom w:val="single" w:sz="4" w:space="0" w:color="000000"/>
              <w:right w:val="single" w:sz="12" w:space="0" w:color="auto"/>
            </w:tcBorders>
            <w:vAlign w:val="center"/>
            <w:hideMark/>
          </w:tcPr>
          <w:p w14:paraId="6513513F"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4" w:space="0" w:color="auto"/>
              <w:right w:val="single" w:sz="4" w:space="0" w:color="auto"/>
            </w:tcBorders>
            <w:shd w:val="clear" w:color="auto" w:fill="auto"/>
            <w:vAlign w:val="center"/>
            <w:hideMark/>
          </w:tcPr>
          <w:p w14:paraId="3120CF54"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Median</w:t>
            </w:r>
          </w:p>
        </w:tc>
        <w:tc>
          <w:tcPr>
            <w:tcW w:w="1091" w:type="dxa"/>
            <w:tcBorders>
              <w:top w:val="nil"/>
              <w:left w:val="nil"/>
              <w:bottom w:val="single" w:sz="4" w:space="0" w:color="000000"/>
              <w:right w:val="single" w:sz="4" w:space="0" w:color="000000"/>
            </w:tcBorders>
            <w:shd w:val="clear" w:color="000000" w:fill="FFFFFF"/>
            <w:noWrap/>
            <w:vAlign w:val="bottom"/>
          </w:tcPr>
          <w:p w14:paraId="52BEA38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$1,889.45 </w:t>
            </w:r>
          </w:p>
        </w:tc>
        <w:tc>
          <w:tcPr>
            <w:tcW w:w="1194" w:type="dxa"/>
            <w:tcBorders>
              <w:top w:val="nil"/>
              <w:left w:val="nil"/>
              <w:bottom w:val="single" w:sz="4" w:space="0" w:color="000000"/>
              <w:right w:val="single" w:sz="4" w:space="0" w:color="000000"/>
            </w:tcBorders>
            <w:shd w:val="clear" w:color="000000" w:fill="FFFFFF"/>
            <w:noWrap/>
            <w:vAlign w:val="bottom"/>
          </w:tcPr>
          <w:p w14:paraId="76936B7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$1,544.85 </w:t>
            </w:r>
          </w:p>
        </w:tc>
        <w:tc>
          <w:tcPr>
            <w:tcW w:w="1108" w:type="dxa"/>
            <w:tcBorders>
              <w:top w:val="nil"/>
              <w:left w:val="nil"/>
              <w:bottom w:val="single" w:sz="4" w:space="0" w:color="000000"/>
              <w:right w:val="single" w:sz="4" w:space="0" w:color="000000"/>
            </w:tcBorders>
            <w:shd w:val="clear" w:color="000000" w:fill="FFFFFF"/>
            <w:noWrap/>
            <w:vAlign w:val="bottom"/>
          </w:tcPr>
          <w:p w14:paraId="108ED21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$3,142.85 </w:t>
            </w:r>
          </w:p>
        </w:tc>
        <w:tc>
          <w:tcPr>
            <w:tcW w:w="1108" w:type="dxa"/>
            <w:tcBorders>
              <w:top w:val="nil"/>
              <w:left w:val="nil"/>
              <w:bottom w:val="single" w:sz="4" w:space="0" w:color="000000"/>
              <w:right w:val="single" w:sz="4" w:space="0" w:color="000000"/>
            </w:tcBorders>
            <w:shd w:val="clear" w:color="000000" w:fill="FFFFFF"/>
            <w:noWrap/>
            <w:vAlign w:val="bottom"/>
          </w:tcPr>
          <w:p w14:paraId="521F24D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4" w:space="0" w:color="auto"/>
            </w:tcBorders>
            <w:shd w:val="clear" w:color="000000" w:fill="FFFFFF"/>
            <w:noWrap/>
            <w:vAlign w:val="bottom"/>
          </w:tcPr>
          <w:p w14:paraId="0FD5D79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$1,643.65 </w:t>
            </w:r>
          </w:p>
        </w:tc>
        <w:tc>
          <w:tcPr>
            <w:tcW w:w="1091" w:type="dxa"/>
            <w:tcBorders>
              <w:top w:val="single" w:sz="4" w:space="0" w:color="auto"/>
              <w:left w:val="single" w:sz="4" w:space="0" w:color="auto"/>
              <w:bottom w:val="single" w:sz="4" w:space="0" w:color="auto"/>
              <w:right w:val="single" w:sz="4" w:space="0" w:color="auto"/>
            </w:tcBorders>
            <w:shd w:val="clear" w:color="000000" w:fill="FFFFFF"/>
            <w:vAlign w:val="bottom"/>
          </w:tcPr>
          <w:p w14:paraId="19BCF3F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$1,544.85 </w:t>
            </w:r>
          </w:p>
        </w:tc>
        <w:tc>
          <w:tcPr>
            <w:tcW w:w="1108" w:type="dxa"/>
            <w:tcBorders>
              <w:top w:val="nil"/>
              <w:left w:val="single" w:sz="4" w:space="0" w:color="auto"/>
              <w:bottom w:val="single" w:sz="4" w:space="0" w:color="000000"/>
              <w:right w:val="single" w:sz="4" w:space="0" w:color="000000"/>
            </w:tcBorders>
            <w:shd w:val="clear" w:color="000000" w:fill="FFFFFF"/>
            <w:noWrap/>
            <w:vAlign w:val="bottom"/>
          </w:tcPr>
          <w:p w14:paraId="00E7BCA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12" w:space="0" w:color="auto"/>
            </w:tcBorders>
            <w:shd w:val="clear" w:color="000000" w:fill="FFFFFF"/>
            <w:noWrap/>
            <w:vAlign w:val="bottom"/>
          </w:tcPr>
          <w:p w14:paraId="553CDA1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$1,762.00 </w:t>
            </w:r>
          </w:p>
        </w:tc>
      </w:tr>
      <w:tr w:rsidR="002F68E2" w:rsidRPr="00964F50" w14:paraId="05121A39" w14:textId="77777777" w:rsidTr="006E7FBB">
        <w:trPr>
          <w:trHeight w:val="369"/>
        </w:trPr>
        <w:tc>
          <w:tcPr>
            <w:tcW w:w="737" w:type="dxa"/>
            <w:vMerge/>
            <w:tcBorders>
              <w:top w:val="nil"/>
              <w:left w:val="single" w:sz="12" w:space="0" w:color="auto"/>
              <w:bottom w:val="single" w:sz="4" w:space="0" w:color="000000"/>
              <w:right w:val="single" w:sz="12" w:space="0" w:color="auto"/>
            </w:tcBorders>
            <w:vAlign w:val="center"/>
            <w:hideMark/>
          </w:tcPr>
          <w:p w14:paraId="552784AE"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4" w:space="0" w:color="auto"/>
              <w:right w:val="single" w:sz="4" w:space="0" w:color="auto"/>
            </w:tcBorders>
            <w:shd w:val="clear" w:color="auto" w:fill="auto"/>
            <w:vAlign w:val="center"/>
            <w:hideMark/>
          </w:tcPr>
          <w:p w14:paraId="6819D74F"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95th Percentile fee*</w:t>
            </w:r>
          </w:p>
        </w:tc>
        <w:tc>
          <w:tcPr>
            <w:tcW w:w="1091" w:type="dxa"/>
            <w:tcBorders>
              <w:top w:val="nil"/>
              <w:left w:val="nil"/>
              <w:bottom w:val="single" w:sz="4" w:space="0" w:color="000000"/>
              <w:right w:val="single" w:sz="4" w:space="0" w:color="000000"/>
            </w:tcBorders>
            <w:shd w:val="clear" w:color="000000" w:fill="FFFFFF"/>
            <w:noWrap/>
            <w:vAlign w:val="bottom"/>
          </w:tcPr>
          <w:p w14:paraId="4265D23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$5,999.90 </w:t>
            </w:r>
          </w:p>
        </w:tc>
        <w:tc>
          <w:tcPr>
            <w:tcW w:w="1194" w:type="dxa"/>
            <w:tcBorders>
              <w:top w:val="nil"/>
              <w:left w:val="nil"/>
              <w:bottom w:val="single" w:sz="4" w:space="0" w:color="000000"/>
              <w:right w:val="single" w:sz="4" w:space="0" w:color="000000"/>
            </w:tcBorders>
            <w:shd w:val="clear" w:color="000000" w:fill="FFFFFF"/>
            <w:noWrap/>
            <w:vAlign w:val="bottom"/>
          </w:tcPr>
          <w:p w14:paraId="573E134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$5,107.40 </w:t>
            </w:r>
          </w:p>
        </w:tc>
        <w:tc>
          <w:tcPr>
            <w:tcW w:w="1108" w:type="dxa"/>
            <w:tcBorders>
              <w:top w:val="nil"/>
              <w:left w:val="nil"/>
              <w:bottom w:val="single" w:sz="4" w:space="0" w:color="000000"/>
              <w:right w:val="single" w:sz="4" w:space="0" w:color="000000"/>
            </w:tcBorders>
            <w:shd w:val="clear" w:color="000000" w:fill="FFFFFF"/>
            <w:noWrap/>
            <w:vAlign w:val="bottom"/>
          </w:tcPr>
          <w:p w14:paraId="03770E8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$5,833.75 </w:t>
            </w:r>
          </w:p>
        </w:tc>
        <w:tc>
          <w:tcPr>
            <w:tcW w:w="1108" w:type="dxa"/>
            <w:tcBorders>
              <w:top w:val="nil"/>
              <w:left w:val="nil"/>
              <w:bottom w:val="single" w:sz="4" w:space="0" w:color="000000"/>
              <w:right w:val="single" w:sz="4" w:space="0" w:color="000000"/>
            </w:tcBorders>
            <w:shd w:val="clear" w:color="000000" w:fill="FFFFFF"/>
            <w:noWrap/>
            <w:vAlign w:val="bottom"/>
          </w:tcPr>
          <w:p w14:paraId="0973E75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4" w:space="0" w:color="auto"/>
            </w:tcBorders>
            <w:shd w:val="clear" w:color="000000" w:fill="FFFFFF"/>
            <w:noWrap/>
            <w:vAlign w:val="bottom"/>
          </w:tcPr>
          <w:p w14:paraId="3E7EE03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$4,082.70 </w:t>
            </w:r>
          </w:p>
        </w:tc>
        <w:tc>
          <w:tcPr>
            <w:tcW w:w="1091" w:type="dxa"/>
            <w:tcBorders>
              <w:top w:val="single" w:sz="4" w:space="0" w:color="auto"/>
              <w:left w:val="single" w:sz="4" w:space="0" w:color="auto"/>
              <w:bottom w:val="single" w:sz="4" w:space="0" w:color="auto"/>
              <w:right w:val="single" w:sz="4" w:space="0" w:color="auto"/>
            </w:tcBorders>
            <w:shd w:val="clear" w:color="000000" w:fill="FFFFFF"/>
            <w:vAlign w:val="bottom"/>
          </w:tcPr>
          <w:p w14:paraId="246BFE7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$5,107.40 </w:t>
            </w:r>
          </w:p>
        </w:tc>
        <w:tc>
          <w:tcPr>
            <w:tcW w:w="1108" w:type="dxa"/>
            <w:tcBorders>
              <w:top w:val="nil"/>
              <w:left w:val="single" w:sz="4" w:space="0" w:color="auto"/>
              <w:bottom w:val="single" w:sz="4" w:space="0" w:color="000000"/>
              <w:right w:val="single" w:sz="4" w:space="0" w:color="000000"/>
            </w:tcBorders>
            <w:shd w:val="clear" w:color="000000" w:fill="FFFFFF"/>
            <w:noWrap/>
            <w:vAlign w:val="bottom"/>
          </w:tcPr>
          <w:p w14:paraId="5E0CD67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12" w:space="0" w:color="auto"/>
            </w:tcBorders>
            <w:shd w:val="clear" w:color="000000" w:fill="FFFFFF"/>
            <w:noWrap/>
            <w:vAlign w:val="bottom"/>
          </w:tcPr>
          <w:p w14:paraId="2D8C93E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$6,258.65 </w:t>
            </w:r>
          </w:p>
        </w:tc>
      </w:tr>
      <w:tr w:rsidR="002F68E2" w:rsidRPr="00964F50" w14:paraId="20815C32" w14:textId="77777777" w:rsidTr="006E7FBB">
        <w:trPr>
          <w:trHeight w:val="369"/>
        </w:trPr>
        <w:tc>
          <w:tcPr>
            <w:tcW w:w="737" w:type="dxa"/>
            <w:vMerge/>
            <w:tcBorders>
              <w:top w:val="nil"/>
              <w:left w:val="single" w:sz="12" w:space="0" w:color="auto"/>
              <w:bottom w:val="single" w:sz="12" w:space="0" w:color="auto"/>
              <w:right w:val="single" w:sz="12" w:space="0" w:color="auto"/>
            </w:tcBorders>
            <w:vAlign w:val="center"/>
            <w:hideMark/>
          </w:tcPr>
          <w:p w14:paraId="2284BD5F"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12" w:space="0" w:color="auto"/>
              <w:right w:val="single" w:sz="4" w:space="0" w:color="auto"/>
            </w:tcBorders>
            <w:shd w:val="clear" w:color="auto" w:fill="auto"/>
            <w:vAlign w:val="center"/>
            <w:hideMark/>
          </w:tcPr>
          <w:p w14:paraId="5961B5FC"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Bulk Billed rate</w:t>
            </w:r>
          </w:p>
        </w:tc>
        <w:tc>
          <w:tcPr>
            <w:tcW w:w="1091" w:type="dxa"/>
            <w:tcBorders>
              <w:top w:val="nil"/>
              <w:left w:val="nil"/>
              <w:bottom w:val="single" w:sz="12" w:space="0" w:color="auto"/>
              <w:right w:val="single" w:sz="4" w:space="0" w:color="000000"/>
            </w:tcBorders>
            <w:shd w:val="clear" w:color="000000" w:fill="FFFFFF"/>
            <w:noWrap/>
            <w:vAlign w:val="bottom"/>
          </w:tcPr>
          <w:p w14:paraId="148F6189" w14:textId="77777777" w:rsidR="002F68E2" w:rsidRPr="00D42C35" w:rsidRDefault="002F68E2" w:rsidP="009036EC">
            <w:pPr>
              <w:rPr>
                <w:rFonts w:ascii="Arial" w:hAnsi="Arial" w:cs="Arial"/>
                <w:color w:val="000000"/>
                <w:sz w:val="18"/>
                <w:szCs w:val="18"/>
              </w:rPr>
            </w:pPr>
            <w:r w:rsidRPr="00D42C35">
              <w:rPr>
                <w:rFonts w:ascii="Arial" w:hAnsi="Arial" w:cs="Arial"/>
                <w:color w:val="000000"/>
                <w:sz w:val="18"/>
                <w:szCs w:val="18"/>
              </w:rPr>
              <w:t>0.0%</w:t>
            </w:r>
          </w:p>
        </w:tc>
        <w:tc>
          <w:tcPr>
            <w:tcW w:w="1194" w:type="dxa"/>
            <w:tcBorders>
              <w:top w:val="nil"/>
              <w:left w:val="nil"/>
              <w:bottom w:val="single" w:sz="12" w:space="0" w:color="auto"/>
              <w:right w:val="single" w:sz="4" w:space="0" w:color="000000"/>
            </w:tcBorders>
            <w:shd w:val="clear" w:color="000000" w:fill="FFFFFF"/>
            <w:noWrap/>
            <w:vAlign w:val="bottom"/>
          </w:tcPr>
          <w:p w14:paraId="5B9D8834" w14:textId="77777777" w:rsidR="002F68E2" w:rsidRPr="00D42C35" w:rsidRDefault="002F68E2" w:rsidP="009036EC">
            <w:pPr>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nil"/>
              <w:bottom w:val="single" w:sz="12" w:space="0" w:color="auto"/>
              <w:right w:val="single" w:sz="4" w:space="0" w:color="000000"/>
            </w:tcBorders>
            <w:shd w:val="clear" w:color="000000" w:fill="FFFFFF"/>
            <w:noWrap/>
            <w:vAlign w:val="bottom"/>
          </w:tcPr>
          <w:p w14:paraId="457F1F03" w14:textId="77777777" w:rsidR="002F68E2" w:rsidRPr="00D42C35" w:rsidRDefault="002F68E2" w:rsidP="009036EC">
            <w:pPr>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nil"/>
              <w:bottom w:val="single" w:sz="12" w:space="0" w:color="auto"/>
              <w:right w:val="single" w:sz="4" w:space="0" w:color="000000"/>
            </w:tcBorders>
            <w:shd w:val="clear" w:color="000000" w:fill="FFFFFF"/>
            <w:noWrap/>
            <w:vAlign w:val="bottom"/>
          </w:tcPr>
          <w:p w14:paraId="38D5940D" w14:textId="6A500DF2" w:rsidR="002F68E2" w:rsidRPr="00D42C35" w:rsidRDefault="009036EC" w:rsidP="009036EC">
            <w:pPr>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nil"/>
              <w:bottom w:val="single" w:sz="12" w:space="0" w:color="auto"/>
              <w:right w:val="single" w:sz="4" w:space="0" w:color="auto"/>
            </w:tcBorders>
            <w:shd w:val="clear" w:color="000000" w:fill="FFFFFF"/>
            <w:noWrap/>
            <w:vAlign w:val="bottom"/>
          </w:tcPr>
          <w:p w14:paraId="749D8804" w14:textId="77777777" w:rsidR="002F68E2" w:rsidRPr="00D42C35" w:rsidRDefault="002F68E2" w:rsidP="009036EC">
            <w:pPr>
              <w:rPr>
                <w:rFonts w:ascii="Arial" w:hAnsi="Arial" w:cs="Arial"/>
                <w:color w:val="000000"/>
                <w:sz w:val="18"/>
                <w:szCs w:val="18"/>
              </w:rPr>
            </w:pPr>
            <w:r w:rsidRPr="00D42C35">
              <w:rPr>
                <w:rFonts w:ascii="Arial" w:hAnsi="Arial" w:cs="Arial"/>
                <w:color w:val="000000"/>
                <w:sz w:val="18"/>
                <w:szCs w:val="18"/>
              </w:rPr>
              <w:t>0.0%</w:t>
            </w:r>
          </w:p>
        </w:tc>
        <w:tc>
          <w:tcPr>
            <w:tcW w:w="1091" w:type="dxa"/>
            <w:tcBorders>
              <w:top w:val="single" w:sz="4" w:space="0" w:color="auto"/>
              <w:left w:val="single" w:sz="4" w:space="0" w:color="auto"/>
              <w:bottom w:val="single" w:sz="12" w:space="0" w:color="auto"/>
              <w:right w:val="single" w:sz="4" w:space="0" w:color="auto"/>
            </w:tcBorders>
            <w:shd w:val="clear" w:color="000000" w:fill="FFFFFF"/>
            <w:vAlign w:val="bottom"/>
          </w:tcPr>
          <w:p w14:paraId="5A7804BA" w14:textId="77777777" w:rsidR="002F68E2" w:rsidRPr="00D42C35" w:rsidRDefault="002F68E2" w:rsidP="009036EC">
            <w:pPr>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single" w:sz="4" w:space="0" w:color="auto"/>
              <w:bottom w:val="single" w:sz="12" w:space="0" w:color="auto"/>
              <w:right w:val="single" w:sz="4" w:space="0" w:color="000000"/>
            </w:tcBorders>
            <w:shd w:val="clear" w:color="000000" w:fill="FFFFFF"/>
            <w:noWrap/>
            <w:vAlign w:val="bottom"/>
          </w:tcPr>
          <w:p w14:paraId="495A3667" w14:textId="77777777" w:rsidR="002F68E2" w:rsidRPr="00D42C35" w:rsidRDefault="002F68E2" w:rsidP="009036EC">
            <w:pPr>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nil"/>
              <w:bottom w:val="single" w:sz="12" w:space="0" w:color="auto"/>
              <w:right w:val="single" w:sz="12" w:space="0" w:color="auto"/>
            </w:tcBorders>
            <w:shd w:val="clear" w:color="000000" w:fill="FFFFFF"/>
            <w:noWrap/>
            <w:vAlign w:val="bottom"/>
          </w:tcPr>
          <w:p w14:paraId="24E5D74D" w14:textId="77777777" w:rsidR="002F68E2" w:rsidRPr="00D42C35" w:rsidRDefault="002F68E2" w:rsidP="009036EC">
            <w:pPr>
              <w:rPr>
                <w:rFonts w:ascii="Arial" w:hAnsi="Arial" w:cs="Arial"/>
                <w:color w:val="000000"/>
                <w:sz w:val="18"/>
                <w:szCs w:val="18"/>
              </w:rPr>
            </w:pPr>
            <w:r w:rsidRPr="00D42C35">
              <w:rPr>
                <w:rFonts w:ascii="Arial" w:hAnsi="Arial" w:cs="Arial"/>
                <w:color w:val="000000"/>
                <w:sz w:val="18"/>
                <w:szCs w:val="18"/>
              </w:rPr>
              <w:t>0.0%</w:t>
            </w:r>
          </w:p>
        </w:tc>
      </w:tr>
      <w:tr w:rsidR="002F68E2" w:rsidRPr="00964F50" w14:paraId="2689F6DD" w14:textId="77777777" w:rsidTr="006E7FBB">
        <w:trPr>
          <w:trHeight w:val="369"/>
        </w:trPr>
        <w:tc>
          <w:tcPr>
            <w:tcW w:w="737"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DBABEFC" w14:textId="77777777" w:rsidR="002F68E2" w:rsidRPr="00964F50" w:rsidRDefault="002F68E2" w:rsidP="002F68E2">
            <w:pPr>
              <w:jc w:val="center"/>
              <w:rPr>
                <w:rFonts w:ascii="Arial" w:hAnsi="Arial" w:cs="Arial"/>
                <w:b/>
                <w:bCs/>
                <w:color w:val="000000"/>
                <w:sz w:val="18"/>
                <w:szCs w:val="18"/>
              </w:rPr>
            </w:pPr>
            <w:r>
              <w:rPr>
                <w:rFonts w:ascii="Arial" w:hAnsi="Arial" w:cs="Arial"/>
                <w:b/>
                <w:bCs/>
                <w:color w:val="000000"/>
                <w:sz w:val="18"/>
                <w:szCs w:val="18"/>
              </w:rPr>
              <w:t>2014-15</w:t>
            </w:r>
          </w:p>
        </w:tc>
        <w:tc>
          <w:tcPr>
            <w:tcW w:w="1156"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203D94B4"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 xml:space="preserve">Average Fee </w:t>
            </w:r>
          </w:p>
        </w:tc>
        <w:tc>
          <w:tcPr>
            <w:tcW w:w="1091" w:type="dxa"/>
            <w:tcBorders>
              <w:top w:val="single" w:sz="12" w:space="0" w:color="auto"/>
              <w:left w:val="nil"/>
              <w:bottom w:val="single" w:sz="4" w:space="0" w:color="000000"/>
              <w:right w:val="single" w:sz="4" w:space="0" w:color="000000"/>
            </w:tcBorders>
            <w:shd w:val="clear" w:color="000000" w:fill="FFFFFF"/>
            <w:noWrap/>
            <w:vAlign w:val="bottom"/>
          </w:tcPr>
          <w:p w14:paraId="757E77FB" w14:textId="77777777" w:rsidR="002F68E2" w:rsidRPr="008A4B00" w:rsidRDefault="002F68E2" w:rsidP="002F68E2">
            <w:pPr>
              <w:jc w:val="right"/>
              <w:rPr>
                <w:rFonts w:ascii="Arial" w:hAnsi="Arial" w:cs="Arial"/>
                <w:color w:val="000000"/>
                <w:sz w:val="18"/>
                <w:szCs w:val="18"/>
              </w:rPr>
            </w:pPr>
            <w:r w:rsidRPr="008A4B00">
              <w:rPr>
                <w:rFonts w:ascii="Arial" w:hAnsi="Arial" w:cs="Arial"/>
                <w:color w:val="000000"/>
                <w:sz w:val="18"/>
                <w:szCs w:val="18"/>
              </w:rPr>
              <w:t xml:space="preserve">$2,361.55 </w:t>
            </w:r>
          </w:p>
        </w:tc>
        <w:tc>
          <w:tcPr>
            <w:tcW w:w="1194" w:type="dxa"/>
            <w:tcBorders>
              <w:top w:val="single" w:sz="12" w:space="0" w:color="auto"/>
              <w:left w:val="nil"/>
              <w:bottom w:val="single" w:sz="4" w:space="0" w:color="000000"/>
              <w:right w:val="single" w:sz="4" w:space="0" w:color="000000"/>
            </w:tcBorders>
            <w:shd w:val="clear" w:color="000000" w:fill="FFFFFF"/>
            <w:noWrap/>
            <w:vAlign w:val="bottom"/>
          </w:tcPr>
          <w:p w14:paraId="0FCDDA0A" w14:textId="77777777" w:rsidR="002F68E2" w:rsidRPr="008A4B00" w:rsidRDefault="002F68E2" w:rsidP="002F68E2">
            <w:pPr>
              <w:jc w:val="right"/>
              <w:rPr>
                <w:rFonts w:ascii="Arial" w:hAnsi="Arial" w:cs="Arial"/>
                <w:color w:val="000000"/>
                <w:sz w:val="18"/>
                <w:szCs w:val="18"/>
              </w:rPr>
            </w:pPr>
            <w:r w:rsidRPr="008A4B00">
              <w:rPr>
                <w:rFonts w:ascii="Arial" w:hAnsi="Arial" w:cs="Arial"/>
                <w:color w:val="000000"/>
                <w:sz w:val="18"/>
                <w:szCs w:val="18"/>
              </w:rPr>
              <w:t xml:space="preserve">$1,649.60 </w:t>
            </w:r>
          </w:p>
        </w:tc>
        <w:tc>
          <w:tcPr>
            <w:tcW w:w="1108" w:type="dxa"/>
            <w:tcBorders>
              <w:top w:val="single" w:sz="12" w:space="0" w:color="auto"/>
              <w:left w:val="nil"/>
              <w:bottom w:val="single" w:sz="4" w:space="0" w:color="000000"/>
              <w:right w:val="single" w:sz="4" w:space="0" w:color="000000"/>
            </w:tcBorders>
            <w:shd w:val="clear" w:color="000000" w:fill="FFFFFF"/>
            <w:noWrap/>
            <w:vAlign w:val="bottom"/>
          </w:tcPr>
          <w:p w14:paraId="67325CD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$3,850.78 </w:t>
            </w:r>
          </w:p>
        </w:tc>
        <w:tc>
          <w:tcPr>
            <w:tcW w:w="1108" w:type="dxa"/>
            <w:tcBorders>
              <w:top w:val="single" w:sz="12" w:space="0" w:color="auto"/>
              <w:left w:val="nil"/>
              <w:bottom w:val="single" w:sz="4" w:space="0" w:color="000000"/>
              <w:right w:val="single" w:sz="4" w:space="0" w:color="000000"/>
            </w:tcBorders>
            <w:shd w:val="clear" w:color="000000" w:fill="FFFFFF"/>
            <w:noWrap/>
            <w:vAlign w:val="bottom"/>
          </w:tcPr>
          <w:p w14:paraId="1221831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$1,599.74 </w:t>
            </w:r>
          </w:p>
        </w:tc>
        <w:tc>
          <w:tcPr>
            <w:tcW w:w="1108" w:type="dxa"/>
            <w:tcBorders>
              <w:top w:val="single" w:sz="12" w:space="0" w:color="auto"/>
              <w:left w:val="nil"/>
              <w:bottom w:val="single" w:sz="4" w:space="0" w:color="000000"/>
              <w:right w:val="single" w:sz="4" w:space="0" w:color="auto"/>
            </w:tcBorders>
            <w:shd w:val="clear" w:color="000000" w:fill="FFFFFF"/>
            <w:noWrap/>
            <w:vAlign w:val="bottom"/>
          </w:tcPr>
          <w:p w14:paraId="2AAE1BE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$1,528.71 </w:t>
            </w:r>
          </w:p>
        </w:tc>
        <w:tc>
          <w:tcPr>
            <w:tcW w:w="1091" w:type="dxa"/>
            <w:tcBorders>
              <w:top w:val="single" w:sz="12" w:space="0" w:color="auto"/>
              <w:left w:val="single" w:sz="4" w:space="0" w:color="auto"/>
              <w:bottom w:val="single" w:sz="4" w:space="0" w:color="auto"/>
              <w:right w:val="single" w:sz="4" w:space="0" w:color="auto"/>
            </w:tcBorders>
            <w:shd w:val="clear" w:color="000000" w:fill="FFFFFF"/>
            <w:vAlign w:val="bottom"/>
          </w:tcPr>
          <w:p w14:paraId="74709ED7" w14:textId="77777777" w:rsidR="002F68E2" w:rsidRDefault="002F68E2" w:rsidP="002F68E2">
            <w:pPr>
              <w:jc w:val="right"/>
              <w:rPr>
                <w:rFonts w:ascii="Arial" w:hAnsi="Arial" w:cs="Arial"/>
                <w:color w:val="000000"/>
                <w:sz w:val="18"/>
                <w:szCs w:val="18"/>
              </w:rPr>
            </w:pPr>
            <w:r w:rsidRPr="008A4B00">
              <w:rPr>
                <w:rFonts w:ascii="Arial" w:hAnsi="Arial" w:cs="Arial"/>
                <w:color w:val="000000"/>
                <w:sz w:val="18"/>
                <w:szCs w:val="18"/>
              </w:rPr>
              <w:t>$3,251.99</w:t>
            </w:r>
            <w:r>
              <w:rPr>
                <w:rFonts w:ascii="Arial" w:hAnsi="Arial" w:cs="Arial"/>
                <w:color w:val="000000"/>
                <w:sz w:val="18"/>
                <w:szCs w:val="18"/>
              </w:rPr>
              <w:t xml:space="preserve"> </w:t>
            </w:r>
          </w:p>
        </w:tc>
        <w:tc>
          <w:tcPr>
            <w:tcW w:w="1108" w:type="dxa"/>
            <w:tcBorders>
              <w:top w:val="single" w:sz="12" w:space="0" w:color="auto"/>
              <w:left w:val="single" w:sz="4" w:space="0" w:color="auto"/>
              <w:bottom w:val="single" w:sz="4" w:space="0" w:color="000000"/>
              <w:right w:val="single" w:sz="4" w:space="0" w:color="000000"/>
            </w:tcBorders>
            <w:shd w:val="clear" w:color="000000" w:fill="FFFFFF"/>
            <w:noWrap/>
            <w:vAlign w:val="bottom"/>
          </w:tcPr>
          <w:p w14:paraId="1F8A93F8" w14:textId="77777777" w:rsidR="002F68E2" w:rsidRDefault="002F68E2" w:rsidP="002F68E2">
            <w:pPr>
              <w:jc w:val="right"/>
              <w:rPr>
                <w:rFonts w:ascii="Arial" w:hAnsi="Arial" w:cs="Arial"/>
                <w:color w:val="000000"/>
                <w:sz w:val="18"/>
                <w:szCs w:val="18"/>
              </w:rPr>
            </w:pPr>
            <w:r w:rsidRPr="00A67967">
              <w:rPr>
                <w:rFonts w:ascii="Arial" w:hAnsi="Arial" w:cs="Arial"/>
                <w:color w:val="000000"/>
                <w:sz w:val="18"/>
                <w:szCs w:val="18"/>
              </w:rPr>
              <w:t>$5,848.95</w:t>
            </w:r>
            <w:r>
              <w:rPr>
                <w:rFonts w:ascii="Arial" w:hAnsi="Arial" w:cs="Arial"/>
                <w:color w:val="000000"/>
                <w:sz w:val="18"/>
                <w:szCs w:val="18"/>
              </w:rPr>
              <w:t xml:space="preserve"> </w:t>
            </w:r>
          </w:p>
        </w:tc>
        <w:tc>
          <w:tcPr>
            <w:tcW w:w="1108" w:type="dxa"/>
            <w:tcBorders>
              <w:top w:val="single" w:sz="12" w:space="0" w:color="auto"/>
              <w:left w:val="nil"/>
              <w:bottom w:val="single" w:sz="4" w:space="0" w:color="000000"/>
              <w:right w:val="single" w:sz="12" w:space="0" w:color="auto"/>
            </w:tcBorders>
            <w:shd w:val="clear" w:color="000000" w:fill="FFFFFF"/>
            <w:noWrap/>
            <w:vAlign w:val="bottom"/>
          </w:tcPr>
          <w:p w14:paraId="225B604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$2,766.97 </w:t>
            </w:r>
          </w:p>
        </w:tc>
      </w:tr>
      <w:tr w:rsidR="002F68E2" w:rsidRPr="00964F50" w14:paraId="1931A1FE" w14:textId="77777777" w:rsidTr="006E7FBB">
        <w:trPr>
          <w:trHeight w:val="369"/>
        </w:trPr>
        <w:tc>
          <w:tcPr>
            <w:tcW w:w="737" w:type="dxa"/>
            <w:vMerge/>
            <w:tcBorders>
              <w:top w:val="nil"/>
              <w:left w:val="single" w:sz="12" w:space="0" w:color="auto"/>
              <w:bottom w:val="single" w:sz="4" w:space="0" w:color="auto"/>
              <w:right w:val="single" w:sz="12" w:space="0" w:color="auto"/>
            </w:tcBorders>
            <w:vAlign w:val="center"/>
            <w:hideMark/>
          </w:tcPr>
          <w:p w14:paraId="15D0390E"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4" w:space="0" w:color="auto"/>
              <w:right w:val="single" w:sz="4" w:space="0" w:color="auto"/>
            </w:tcBorders>
            <w:shd w:val="clear" w:color="auto" w:fill="auto"/>
            <w:vAlign w:val="center"/>
            <w:hideMark/>
          </w:tcPr>
          <w:p w14:paraId="70298D79"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Standard deviation</w:t>
            </w:r>
          </w:p>
        </w:tc>
        <w:tc>
          <w:tcPr>
            <w:tcW w:w="1091" w:type="dxa"/>
            <w:tcBorders>
              <w:top w:val="nil"/>
              <w:left w:val="nil"/>
              <w:bottom w:val="single" w:sz="4" w:space="0" w:color="000000"/>
              <w:right w:val="single" w:sz="4" w:space="0" w:color="000000"/>
            </w:tcBorders>
            <w:shd w:val="clear" w:color="000000" w:fill="FFFFFF"/>
            <w:noWrap/>
            <w:vAlign w:val="bottom"/>
          </w:tcPr>
          <w:p w14:paraId="05254E6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$1,799.07 </w:t>
            </w:r>
          </w:p>
        </w:tc>
        <w:tc>
          <w:tcPr>
            <w:tcW w:w="1194" w:type="dxa"/>
            <w:tcBorders>
              <w:top w:val="nil"/>
              <w:left w:val="nil"/>
              <w:bottom w:val="single" w:sz="4" w:space="0" w:color="000000"/>
              <w:right w:val="single" w:sz="4" w:space="0" w:color="000000"/>
            </w:tcBorders>
            <w:shd w:val="clear" w:color="000000" w:fill="FFFFFF"/>
            <w:noWrap/>
            <w:vAlign w:val="bottom"/>
          </w:tcPr>
          <w:p w14:paraId="033E5BA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$1,330.28 </w:t>
            </w:r>
          </w:p>
        </w:tc>
        <w:tc>
          <w:tcPr>
            <w:tcW w:w="1108" w:type="dxa"/>
            <w:tcBorders>
              <w:top w:val="nil"/>
              <w:left w:val="nil"/>
              <w:bottom w:val="single" w:sz="4" w:space="0" w:color="000000"/>
              <w:right w:val="single" w:sz="4" w:space="0" w:color="000000"/>
            </w:tcBorders>
            <w:shd w:val="clear" w:color="000000" w:fill="FFFFFF"/>
            <w:noWrap/>
            <w:vAlign w:val="bottom"/>
          </w:tcPr>
          <w:p w14:paraId="0A4DF38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$1,902.75 </w:t>
            </w:r>
          </w:p>
        </w:tc>
        <w:tc>
          <w:tcPr>
            <w:tcW w:w="1108" w:type="dxa"/>
            <w:tcBorders>
              <w:top w:val="nil"/>
              <w:left w:val="nil"/>
              <w:bottom w:val="single" w:sz="4" w:space="0" w:color="000000"/>
              <w:right w:val="single" w:sz="4" w:space="0" w:color="000000"/>
            </w:tcBorders>
            <w:shd w:val="clear" w:color="000000" w:fill="FFFFFF"/>
            <w:noWrap/>
            <w:vAlign w:val="bottom"/>
          </w:tcPr>
          <w:p w14:paraId="6B8432D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$324.65 </w:t>
            </w:r>
          </w:p>
        </w:tc>
        <w:tc>
          <w:tcPr>
            <w:tcW w:w="1108" w:type="dxa"/>
            <w:tcBorders>
              <w:top w:val="nil"/>
              <w:left w:val="nil"/>
              <w:bottom w:val="single" w:sz="4" w:space="0" w:color="000000"/>
              <w:right w:val="single" w:sz="4" w:space="0" w:color="auto"/>
            </w:tcBorders>
            <w:shd w:val="clear" w:color="000000" w:fill="FFFFFF"/>
            <w:noWrap/>
            <w:vAlign w:val="bottom"/>
          </w:tcPr>
          <w:p w14:paraId="499E9CA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$618.17 </w:t>
            </w:r>
          </w:p>
        </w:tc>
        <w:tc>
          <w:tcPr>
            <w:tcW w:w="1091" w:type="dxa"/>
            <w:tcBorders>
              <w:top w:val="single" w:sz="4" w:space="0" w:color="auto"/>
              <w:left w:val="single" w:sz="4" w:space="0" w:color="auto"/>
              <w:bottom w:val="single" w:sz="4" w:space="0" w:color="auto"/>
              <w:right w:val="single" w:sz="4" w:space="0" w:color="auto"/>
            </w:tcBorders>
            <w:shd w:val="clear" w:color="000000" w:fill="FFFFFF"/>
            <w:vAlign w:val="bottom"/>
          </w:tcPr>
          <w:p w14:paraId="64EBFB9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$1,808.72 </w:t>
            </w:r>
          </w:p>
        </w:tc>
        <w:tc>
          <w:tcPr>
            <w:tcW w:w="1108" w:type="dxa"/>
            <w:tcBorders>
              <w:top w:val="nil"/>
              <w:left w:val="single" w:sz="4" w:space="0" w:color="auto"/>
              <w:bottom w:val="single" w:sz="4" w:space="0" w:color="000000"/>
              <w:right w:val="single" w:sz="4" w:space="0" w:color="000000"/>
            </w:tcBorders>
            <w:shd w:val="clear" w:color="000000" w:fill="FFFFFF"/>
            <w:noWrap/>
            <w:vAlign w:val="bottom"/>
          </w:tcPr>
          <w:p w14:paraId="4C1FE30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$104.72 </w:t>
            </w:r>
          </w:p>
        </w:tc>
        <w:tc>
          <w:tcPr>
            <w:tcW w:w="1108" w:type="dxa"/>
            <w:tcBorders>
              <w:top w:val="nil"/>
              <w:left w:val="nil"/>
              <w:bottom w:val="single" w:sz="4" w:space="0" w:color="000000"/>
              <w:right w:val="single" w:sz="12" w:space="0" w:color="auto"/>
            </w:tcBorders>
            <w:shd w:val="clear" w:color="000000" w:fill="FFFFFF"/>
            <w:noWrap/>
            <w:vAlign w:val="bottom"/>
          </w:tcPr>
          <w:p w14:paraId="7E54E06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$1,901.33 </w:t>
            </w:r>
          </w:p>
        </w:tc>
      </w:tr>
      <w:tr w:rsidR="002F68E2" w:rsidRPr="00964F50" w14:paraId="06BBE74A" w14:textId="77777777" w:rsidTr="006E7FBB">
        <w:trPr>
          <w:trHeight w:val="369"/>
        </w:trPr>
        <w:tc>
          <w:tcPr>
            <w:tcW w:w="737" w:type="dxa"/>
            <w:vMerge/>
            <w:tcBorders>
              <w:top w:val="nil"/>
              <w:left w:val="single" w:sz="12" w:space="0" w:color="auto"/>
              <w:bottom w:val="single" w:sz="4" w:space="0" w:color="auto"/>
              <w:right w:val="single" w:sz="12" w:space="0" w:color="auto"/>
            </w:tcBorders>
            <w:vAlign w:val="center"/>
          </w:tcPr>
          <w:p w14:paraId="20204732"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4" w:space="0" w:color="auto"/>
              <w:right w:val="single" w:sz="4" w:space="0" w:color="auto"/>
            </w:tcBorders>
            <w:shd w:val="clear" w:color="auto" w:fill="auto"/>
            <w:vAlign w:val="center"/>
          </w:tcPr>
          <w:p w14:paraId="11580C4E"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25th Percentile Fee</w:t>
            </w:r>
          </w:p>
        </w:tc>
        <w:tc>
          <w:tcPr>
            <w:tcW w:w="1091" w:type="dxa"/>
            <w:tcBorders>
              <w:top w:val="nil"/>
              <w:left w:val="nil"/>
              <w:bottom w:val="single" w:sz="4" w:space="0" w:color="000000"/>
              <w:right w:val="single" w:sz="4" w:space="0" w:color="000000"/>
            </w:tcBorders>
            <w:shd w:val="clear" w:color="000000" w:fill="FFFFFF"/>
            <w:noWrap/>
            <w:vAlign w:val="bottom"/>
          </w:tcPr>
          <w:p w14:paraId="79DCB63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$958.45 </w:t>
            </w:r>
          </w:p>
        </w:tc>
        <w:tc>
          <w:tcPr>
            <w:tcW w:w="1194" w:type="dxa"/>
            <w:tcBorders>
              <w:top w:val="nil"/>
              <w:left w:val="nil"/>
              <w:bottom w:val="single" w:sz="4" w:space="0" w:color="000000"/>
              <w:right w:val="single" w:sz="4" w:space="0" w:color="000000"/>
            </w:tcBorders>
            <w:shd w:val="clear" w:color="000000" w:fill="FFFFFF"/>
            <w:noWrap/>
            <w:vAlign w:val="bottom"/>
          </w:tcPr>
          <w:p w14:paraId="234770C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$649.65 </w:t>
            </w:r>
          </w:p>
        </w:tc>
        <w:tc>
          <w:tcPr>
            <w:tcW w:w="1108" w:type="dxa"/>
            <w:tcBorders>
              <w:top w:val="nil"/>
              <w:left w:val="nil"/>
              <w:bottom w:val="single" w:sz="4" w:space="0" w:color="000000"/>
              <w:right w:val="single" w:sz="4" w:space="0" w:color="000000"/>
            </w:tcBorders>
            <w:shd w:val="clear" w:color="000000" w:fill="FFFFFF"/>
            <w:noWrap/>
            <w:vAlign w:val="bottom"/>
          </w:tcPr>
          <w:p w14:paraId="06BEC52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$2,199.30 </w:t>
            </w:r>
          </w:p>
        </w:tc>
        <w:tc>
          <w:tcPr>
            <w:tcW w:w="1108" w:type="dxa"/>
            <w:tcBorders>
              <w:top w:val="nil"/>
              <w:left w:val="nil"/>
              <w:bottom w:val="single" w:sz="4" w:space="0" w:color="000000"/>
              <w:right w:val="single" w:sz="4" w:space="0" w:color="000000"/>
            </w:tcBorders>
            <w:shd w:val="clear" w:color="000000" w:fill="FFFFFF"/>
            <w:noWrap/>
            <w:vAlign w:val="bottom"/>
          </w:tcPr>
          <w:p w14:paraId="5F9F60B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4" w:space="0" w:color="auto"/>
            </w:tcBorders>
            <w:shd w:val="clear" w:color="000000" w:fill="FFFFFF"/>
            <w:noWrap/>
            <w:vAlign w:val="bottom"/>
          </w:tcPr>
          <w:p w14:paraId="004DE84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$872.35 </w:t>
            </w:r>
          </w:p>
        </w:tc>
        <w:tc>
          <w:tcPr>
            <w:tcW w:w="1091" w:type="dxa"/>
            <w:tcBorders>
              <w:top w:val="single" w:sz="4" w:space="0" w:color="auto"/>
              <w:left w:val="single" w:sz="4" w:space="0" w:color="auto"/>
              <w:bottom w:val="single" w:sz="4" w:space="0" w:color="auto"/>
              <w:right w:val="single" w:sz="4" w:space="0" w:color="auto"/>
            </w:tcBorders>
            <w:shd w:val="clear" w:color="000000" w:fill="FFFFFF"/>
            <w:vAlign w:val="bottom"/>
          </w:tcPr>
          <w:p w14:paraId="47D4D48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$1,945.60 </w:t>
            </w:r>
          </w:p>
        </w:tc>
        <w:tc>
          <w:tcPr>
            <w:tcW w:w="1108" w:type="dxa"/>
            <w:tcBorders>
              <w:top w:val="nil"/>
              <w:left w:val="single" w:sz="4" w:space="0" w:color="auto"/>
              <w:bottom w:val="single" w:sz="4" w:space="0" w:color="000000"/>
              <w:right w:val="single" w:sz="4" w:space="0" w:color="000000"/>
            </w:tcBorders>
            <w:shd w:val="clear" w:color="000000" w:fill="FFFFFF"/>
            <w:noWrap/>
            <w:vAlign w:val="bottom"/>
          </w:tcPr>
          <w:p w14:paraId="4AEAAFC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12" w:space="0" w:color="auto"/>
            </w:tcBorders>
            <w:shd w:val="clear" w:color="000000" w:fill="FFFFFF"/>
            <w:noWrap/>
            <w:vAlign w:val="bottom"/>
          </w:tcPr>
          <w:p w14:paraId="2866B1B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$1,586.10 </w:t>
            </w:r>
          </w:p>
        </w:tc>
      </w:tr>
      <w:tr w:rsidR="002F68E2" w:rsidRPr="00964F50" w14:paraId="7EA7A98C" w14:textId="77777777" w:rsidTr="006E7FBB">
        <w:trPr>
          <w:trHeight w:val="369"/>
        </w:trPr>
        <w:tc>
          <w:tcPr>
            <w:tcW w:w="737" w:type="dxa"/>
            <w:vMerge/>
            <w:tcBorders>
              <w:top w:val="nil"/>
              <w:left w:val="single" w:sz="12" w:space="0" w:color="auto"/>
              <w:bottom w:val="single" w:sz="4" w:space="0" w:color="auto"/>
              <w:right w:val="single" w:sz="12" w:space="0" w:color="auto"/>
            </w:tcBorders>
            <w:vAlign w:val="center"/>
            <w:hideMark/>
          </w:tcPr>
          <w:p w14:paraId="71A4AB64"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4" w:space="0" w:color="auto"/>
              <w:right w:val="single" w:sz="4" w:space="0" w:color="auto"/>
            </w:tcBorders>
            <w:shd w:val="clear" w:color="auto" w:fill="auto"/>
            <w:vAlign w:val="center"/>
            <w:hideMark/>
          </w:tcPr>
          <w:p w14:paraId="55500D4B"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Median</w:t>
            </w:r>
          </w:p>
        </w:tc>
        <w:tc>
          <w:tcPr>
            <w:tcW w:w="1091" w:type="dxa"/>
            <w:tcBorders>
              <w:top w:val="nil"/>
              <w:left w:val="nil"/>
              <w:bottom w:val="single" w:sz="4" w:space="0" w:color="000000"/>
              <w:right w:val="single" w:sz="4" w:space="0" w:color="000000"/>
            </w:tcBorders>
            <w:shd w:val="clear" w:color="000000" w:fill="FFFFFF"/>
            <w:noWrap/>
            <w:vAlign w:val="bottom"/>
          </w:tcPr>
          <w:p w14:paraId="7B1ADAB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$1,734.95 </w:t>
            </w:r>
          </w:p>
        </w:tc>
        <w:tc>
          <w:tcPr>
            <w:tcW w:w="1194" w:type="dxa"/>
            <w:tcBorders>
              <w:top w:val="nil"/>
              <w:left w:val="nil"/>
              <w:bottom w:val="single" w:sz="4" w:space="0" w:color="000000"/>
              <w:right w:val="single" w:sz="4" w:space="0" w:color="000000"/>
            </w:tcBorders>
            <w:shd w:val="clear" w:color="000000" w:fill="FFFFFF"/>
            <w:noWrap/>
            <w:vAlign w:val="bottom"/>
          </w:tcPr>
          <w:p w14:paraId="5045DB4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$1,562.90 </w:t>
            </w:r>
          </w:p>
        </w:tc>
        <w:tc>
          <w:tcPr>
            <w:tcW w:w="1108" w:type="dxa"/>
            <w:tcBorders>
              <w:top w:val="nil"/>
              <w:left w:val="nil"/>
              <w:bottom w:val="single" w:sz="4" w:space="0" w:color="000000"/>
              <w:right w:val="single" w:sz="4" w:space="0" w:color="000000"/>
            </w:tcBorders>
            <w:shd w:val="clear" w:color="000000" w:fill="FFFFFF"/>
            <w:noWrap/>
            <w:vAlign w:val="bottom"/>
          </w:tcPr>
          <w:p w14:paraId="22FAE8A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$3,906.85 </w:t>
            </w:r>
          </w:p>
        </w:tc>
        <w:tc>
          <w:tcPr>
            <w:tcW w:w="1108" w:type="dxa"/>
            <w:tcBorders>
              <w:top w:val="nil"/>
              <w:left w:val="nil"/>
              <w:bottom w:val="single" w:sz="4" w:space="0" w:color="000000"/>
              <w:right w:val="single" w:sz="4" w:space="0" w:color="000000"/>
            </w:tcBorders>
            <w:shd w:val="clear" w:color="000000" w:fill="FFFFFF"/>
            <w:noWrap/>
            <w:vAlign w:val="bottom"/>
          </w:tcPr>
          <w:p w14:paraId="0EBAF8D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4" w:space="0" w:color="auto"/>
            </w:tcBorders>
            <w:shd w:val="clear" w:color="000000" w:fill="FFFFFF"/>
            <w:noWrap/>
            <w:vAlign w:val="bottom"/>
          </w:tcPr>
          <w:p w14:paraId="35E8810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$1,710.65 </w:t>
            </w:r>
          </w:p>
        </w:tc>
        <w:tc>
          <w:tcPr>
            <w:tcW w:w="1091" w:type="dxa"/>
            <w:tcBorders>
              <w:top w:val="single" w:sz="4" w:space="0" w:color="auto"/>
              <w:left w:val="single" w:sz="4" w:space="0" w:color="auto"/>
              <w:bottom w:val="single" w:sz="4" w:space="0" w:color="auto"/>
              <w:right w:val="single" w:sz="4" w:space="0" w:color="auto"/>
            </w:tcBorders>
            <w:shd w:val="clear" w:color="000000" w:fill="FFFFFF"/>
            <w:vAlign w:val="bottom"/>
          </w:tcPr>
          <w:p w14:paraId="33ABDE1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$2,620.35 </w:t>
            </w:r>
          </w:p>
        </w:tc>
        <w:tc>
          <w:tcPr>
            <w:tcW w:w="1108" w:type="dxa"/>
            <w:tcBorders>
              <w:top w:val="nil"/>
              <w:left w:val="single" w:sz="4" w:space="0" w:color="auto"/>
              <w:bottom w:val="single" w:sz="4" w:space="0" w:color="000000"/>
              <w:right w:val="single" w:sz="4" w:space="0" w:color="000000"/>
            </w:tcBorders>
            <w:shd w:val="clear" w:color="000000" w:fill="FFFFFF"/>
            <w:noWrap/>
            <w:vAlign w:val="bottom"/>
          </w:tcPr>
          <w:p w14:paraId="6373D05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12" w:space="0" w:color="auto"/>
            </w:tcBorders>
            <w:shd w:val="clear" w:color="000000" w:fill="FFFFFF"/>
            <w:noWrap/>
            <w:vAlign w:val="bottom"/>
          </w:tcPr>
          <w:p w14:paraId="6D0BF44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$1,906.60 </w:t>
            </w:r>
          </w:p>
        </w:tc>
      </w:tr>
      <w:tr w:rsidR="002F68E2" w:rsidRPr="00964F50" w14:paraId="631CCA01" w14:textId="77777777" w:rsidTr="006E7FBB">
        <w:trPr>
          <w:trHeight w:val="369"/>
        </w:trPr>
        <w:tc>
          <w:tcPr>
            <w:tcW w:w="737" w:type="dxa"/>
            <w:vMerge/>
            <w:tcBorders>
              <w:top w:val="nil"/>
              <w:left w:val="single" w:sz="12" w:space="0" w:color="auto"/>
              <w:bottom w:val="single" w:sz="4" w:space="0" w:color="auto"/>
              <w:right w:val="single" w:sz="12" w:space="0" w:color="auto"/>
            </w:tcBorders>
            <w:vAlign w:val="center"/>
            <w:hideMark/>
          </w:tcPr>
          <w:p w14:paraId="01206B01"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4" w:space="0" w:color="auto"/>
              <w:right w:val="single" w:sz="4" w:space="0" w:color="auto"/>
            </w:tcBorders>
            <w:shd w:val="clear" w:color="auto" w:fill="auto"/>
            <w:vAlign w:val="center"/>
            <w:hideMark/>
          </w:tcPr>
          <w:p w14:paraId="53B5C4AD"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95th Percentile fee*</w:t>
            </w:r>
          </w:p>
        </w:tc>
        <w:tc>
          <w:tcPr>
            <w:tcW w:w="1091" w:type="dxa"/>
            <w:tcBorders>
              <w:top w:val="nil"/>
              <w:left w:val="nil"/>
              <w:bottom w:val="single" w:sz="4" w:space="0" w:color="000000"/>
              <w:right w:val="single" w:sz="4" w:space="0" w:color="000000"/>
            </w:tcBorders>
            <w:shd w:val="clear" w:color="000000" w:fill="FFFFFF"/>
            <w:noWrap/>
            <w:vAlign w:val="bottom"/>
          </w:tcPr>
          <w:p w14:paraId="7F470D5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$6,442.40 </w:t>
            </w:r>
          </w:p>
        </w:tc>
        <w:tc>
          <w:tcPr>
            <w:tcW w:w="1194" w:type="dxa"/>
            <w:tcBorders>
              <w:top w:val="nil"/>
              <w:left w:val="nil"/>
              <w:bottom w:val="single" w:sz="4" w:space="0" w:color="000000"/>
              <w:right w:val="single" w:sz="4" w:space="0" w:color="000000"/>
            </w:tcBorders>
            <w:shd w:val="clear" w:color="000000" w:fill="FFFFFF"/>
            <w:noWrap/>
            <w:vAlign w:val="bottom"/>
          </w:tcPr>
          <w:p w14:paraId="63D7CED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$5,107.40 </w:t>
            </w:r>
          </w:p>
        </w:tc>
        <w:tc>
          <w:tcPr>
            <w:tcW w:w="1108" w:type="dxa"/>
            <w:tcBorders>
              <w:top w:val="nil"/>
              <w:left w:val="nil"/>
              <w:bottom w:val="single" w:sz="4" w:space="0" w:color="000000"/>
              <w:right w:val="single" w:sz="4" w:space="0" w:color="000000"/>
            </w:tcBorders>
            <w:shd w:val="clear" w:color="000000" w:fill="FFFFFF"/>
            <w:noWrap/>
            <w:vAlign w:val="bottom"/>
          </w:tcPr>
          <w:p w14:paraId="69281C0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$5,923.00 </w:t>
            </w:r>
          </w:p>
        </w:tc>
        <w:tc>
          <w:tcPr>
            <w:tcW w:w="1108" w:type="dxa"/>
            <w:tcBorders>
              <w:top w:val="nil"/>
              <w:left w:val="nil"/>
              <w:bottom w:val="single" w:sz="4" w:space="0" w:color="000000"/>
              <w:right w:val="single" w:sz="4" w:space="0" w:color="000000"/>
            </w:tcBorders>
            <w:shd w:val="clear" w:color="000000" w:fill="FFFFFF"/>
            <w:noWrap/>
            <w:vAlign w:val="bottom"/>
          </w:tcPr>
          <w:p w14:paraId="42C8ECC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4" w:space="0" w:color="auto"/>
            </w:tcBorders>
            <w:shd w:val="clear" w:color="000000" w:fill="FFFFFF"/>
            <w:noWrap/>
            <w:vAlign w:val="bottom"/>
          </w:tcPr>
          <w:p w14:paraId="3131324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$2,143.65 </w:t>
            </w:r>
          </w:p>
        </w:tc>
        <w:tc>
          <w:tcPr>
            <w:tcW w:w="1091" w:type="dxa"/>
            <w:tcBorders>
              <w:top w:val="single" w:sz="4" w:space="0" w:color="auto"/>
              <w:left w:val="single" w:sz="4" w:space="0" w:color="auto"/>
              <w:bottom w:val="single" w:sz="4" w:space="0" w:color="auto"/>
              <w:right w:val="single" w:sz="4" w:space="0" w:color="auto"/>
            </w:tcBorders>
            <w:shd w:val="clear" w:color="000000" w:fill="FFFFFF"/>
            <w:vAlign w:val="bottom"/>
          </w:tcPr>
          <w:p w14:paraId="4763151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$6,352.40 </w:t>
            </w:r>
          </w:p>
        </w:tc>
        <w:tc>
          <w:tcPr>
            <w:tcW w:w="1108" w:type="dxa"/>
            <w:tcBorders>
              <w:top w:val="nil"/>
              <w:left w:val="single" w:sz="4" w:space="0" w:color="auto"/>
              <w:bottom w:val="single" w:sz="4" w:space="0" w:color="000000"/>
              <w:right w:val="single" w:sz="4" w:space="0" w:color="000000"/>
            </w:tcBorders>
            <w:shd w:val="clear" w:color="000000" w:fill="FFFFFF"/>
            <w:noWrap/>
            <w:vAlign w:val="bottom"/>
          </w:tcPr>
          <w:p w14:paraId="3F2D669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12" w:space="0" w:color="auto"/>
            </w:tcBorders>
            <w:shd w:val="clear" w:color="000000" w:fill="FFFFFF"/>
            <w:noWrap/>
            <w:vAlign w:val="bottom"/>
          </w:tcPr>
          <w:p w14:paraId="4BC5175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$5,923.00 </w:t>
            </w:r>
          </w:p>
        </w:tc>
      </w:tr>
      <w:tr w:rsidR="002F68E2" w:rsidRPr="00964F50" w14:paraId="2ADE064E" w14:textId="77777777" w:rsidTr="006E7FBB">
        <w:trPr>
          <w:trHeight w:val="369"/>
        </w:trPr>
        <w:tc>
          <w:tcPr>
            <w:tcW w:w="737" w:type="dxa"/>
            <w:vMerge/>
            <w:tcBorders>
              <w:top w:val="nil"/>
              <w:left w:val="single" w:sz="12" w:space="0" w:color="auto"/>
              <w:bottom w:val="single" w:sz="12" w:space="0" w:color="auto"/>
              <w:right w:val="single" w:sz="12" w:space="0" w:color="auto"/>
            </w:tcBorders>
            <w:vAlign w:val="center"/>
            <w:hideMark/>
          </w:tcPr>
          <w:p w14:paraId="627E760E"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12" w:space="0" w:color="auto"/>
              <w:right w:val="single" w:sz="4" w:space="0" w:color="auto"/>
            </w:tcBorders>
            <w:shd w:val="clear" w:color="auto" w:fill="auto"/>
            <w:vAlign w:val="center"/>
            <w:hideMark/>
          </w:tcPr>
          <w:p w14:paraId="2883F44B"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Bulk Billed rate</w:t>
            </w:r>
          </w:p>
        </w:tc>
        <w:tc>
          <w:tcPr>
            <w:tcW w:w="1091" w:type="dxa"/>
            <w:tcBorders>
              <w:top w:val="nil"/>
              <w:left w:val="nil"/>
              <w:bottom w:val="single" w:sz="12" w:space="0" w:color="auto"/>
              <w:right w:val="single" w:sz="4" w:space="0" w:color="000000"/>
            </w:tcBorders>
            <w:shd w:val="clear" w:color="000000" w:fill="FFFFFF"/>
            <w:noWrap/>
            <w:vAlign w:val="bottom"/>
          </w:tcPr>
          <w:p w14:paraId="693FA8BA"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194" w:type="dxa"/>
            <w:tcBorders>
              <w:top w:val="nil"/>
              <w:left w:val="nil"/>
              <w:bottom w:val="single" w:sz="12" w:space="0" w:color="auto"/>
              <w:right w:val="single" w:sz="4" w:space="0" w:color="000000"/>
            </w:tcBorders>
            <w:shd w:val="clear" w:color="000000" w:fill="FFFFFF"/>
            <w:noWrap/>
            <w:vAlign w:val="bottom"/>
          </w:tcPr>
          <w:p w14:paraId="4A38CC59"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nil"/>
              <w:bottom w:val="single" w:sz="12" w:space="0" w:color="auto"/>
              <w:right w:val="single" w:sz="4" w:space="0" w:color="000000"/>
            </w:tcBorders>
            <w:shd w:val="clear" w:color="000000" w:fill="FFFFFF"/>
            <w:noWrap/>
            <w:vAlign w:val="bottom"/>
          </w:tcPr>
          <w:p w14:paraId="000457F0"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nil"/>
              <w:bottom w:val="single" w:sz="12" w:space="0" w:color="auto"/>
              <w:right w:val="single" w:sz="4" w:space="0" w:color="000000"/>
            </w:tcBorders>
            <w:shd w:val="clear" w:color="000000" w:fill="FFFFFF"/>
            <w:noWrap/>
            <w:vAlign w:val="bottom"/>
          </w:tcPr>
          <w:p w14:paraId="41AE515A"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nil"/>
              <w:bottom w:val="single" w:sz="12" w:space="0" w:color="auto"/>
              <w:right w:val="single" w:sz="4" w:space="0" w:color="auto"/>
            </w:tcBorders>
            <w:shd w:val="clear" w:color="000000" w:fill="FFFFFF"/>
            <w:noWrap/>
            <w:vAlign w:val="bottom"/>
          </w:tcPr>
          <w:p w14:paraId="5773C841"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091" w:type="dxa"/>
            <w:tcBorders>
              <w:top w:val="single" w:sz="4" w:space="0" w:color="auto"/>
              <w:left w:val="single" w:sz="4" w:space="0" w:color="auto"/>
              <w:bottom w:val="single" w:sz="12" w:space="0" w:color="auto"/>
              <w:right w:val="single" w:sz="4" w:space="0" w:color="auto"/>
            </w:tcBorders>
            <w:shd w:val="clear" w:color="000000" w:fill="FFFFFF"/>
            <w:vAlign w:val="bottom"/>
          </w:tcPr>
          <w:p w14:paraId="0FD65629"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single" w:sz="4" w:space="0" w:color="auto"/>
              <w:bottom w:val="single" w:sz="12" w:space="0" w:color="auto"/>
              <w:right w:val="single" w:sz="4" w:space="0" w:color="000000"/>
            </w:tcBorders>
            <w:shd w:val="clear" w:color="000000" w:fill="FFFFFF"/>
            <w:noWrap/>
            <w:vAlign w:val="bottom"/>
          </w:tcPr>
          <w:p w14:paraId="2CB40FA1"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nil"/>
              <w:bottom w:val="single" w:sz="12" w:space="0" w:color="auto"/>
              <w:right w:val="single" w:sz="12" w:space="0" w:color="auto"/>
            </w:tcBorders>
            <w:shd w:val="clear" w:color="000000" w:fill="FFFFFF"/>
            <w:noWrap/>
            <w:vAlign w:val="bottom"/>
          </w:tcPr>
          <w:p w14:paraId="12C857D3"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r>
      <w:tr w:rsidR="002F68E2" w:rsidRPr="00964F50" w14:paraId="351636B9" w14:textId="77777777" w:rsidTr="006E7FBB">
        <w:trPr>
          <w:trHeight w:val="369"/>
        </w:trPr>
        <w:tc>
          <w:tcPr>
            <w:tcW w:w="737"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2A4B135" w14:textId="77777777" w:rsidR="002F68E2" w:rsidRPr="00964F50" w:rsidRDefault="002F68E2" w:rsidP="002F68E2">
            <w:pPr>
              <w:jc w:val="center"/>
              <w:rPr>
                <w:rFonts w:ascii="Arial" w:hAnsi="Arial" w:cs="Arial"/>
                <w:b/>
                <w:bCs/>
                <w:color w:val="000000"/>
                <w:sz w:val="18"/>
                <w:szCs w:val="18"/>
              </w:rPr>
            </w:pPr>
            <w:r>
              <w:rPr>
                <w:rFonts w:ascii="Arial" w:hAnsi="Arial" w:cs="Arial"/>
                <w:b/>
                <w:bCs/>
                <w:color w:val="000000"/>
                <w:sz w:val="18"/>
                <w:szCs w:val="18"/>
              </w:rPr>
              <w:t>2015-16</w:t>
            </w:r>
          </w:p>
        </w:tc>
        <w:tc>
          <w:tcPr>
            <w:tcW w:w="1156"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232F140D"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 xml:space="preserve">Average Fee </w:t>
            </w:r>
          </w:p>
        </w:tc>
        <w:tc>
          <w:tcPr>
            <w:tcW w:w="1091" w:type="dxa"/>
            <w:tcBorders>
              <w:top w:val="single" w:sz="12" w:space="0" w:color="auto"/>
              <w:left w:val="nil"/>
              <w:bottom w:val="single" w:sz="4" w:space="0" w:color="000000"/>
              <w:right w:val="single" w:sz="4" w:space="0" w:color="000000"/>
            </w:tcBorders>
            <w:shd w:val="clear" w:color="000000" w:fill="FFFFFF"/>
            <w:noWrap/>
            <w:vAlign w:val="bottom"/>
          </w:tcPr>
          <w:p w14:paraId="6020E95F" w14:textId="77777777" w:rsidR="002F68E2" w:rsidRPr="008A4B00" w:rsidRDefault="002F68E2" w:rsidP="002F68E2">
            <w:pPr>
              <w:jc w:val="right"/>
              <w:rPr>
                <w:rFonts w:ascii="Arial" w:hAnsi="Arial" w:cs="Arial"/>
                <w:color w:val="000000"/>
                <w:sz w:val="18"/>
                <w:szCs w:val="18"/>
              </w:rPr>
            </w:pPr>
            <w:r w:rsidRPr="008A4B00">
              <w:rPr>
                <w:rFonts w:ascii="Arial" w:hAnsi="Arial" w:cs="Arial"/>
                <w:color w:val="000000"/>
                <w:sz w:val="18"/>
                <w:szCs w:val="18"/>
              </w:rPr>
              <w:t xml:space="preserve">$2,528.27 </w:t>
            </w:r>
          </w:p>
        </w:tc>
        <w:tc>
          <w:tcPr>
            <w:tcW w:w="1194" w:type="dxa"/>
            <w:tcBorders>
              <w:top w:val="single" w:sz="12" w:space="0" w:color="auto"/>
              <w:left w:val="nil"/>
              <w:bottom w:val="single" w:sz="4" w:space="0" w:color="000000"/>
              <w:right w:val="single" w:sz="4" w:space="0" w:color="000000"/>
            </w:tcBorders>
            <w:shd w:val="clear" w:color="000000" w:fill="FFFFFF"/>
            <w:noWrap/>
            <w:vAlign w:val="bottom"/>
          </w:tcPr>
          <w:p w14:paraId="69A5D99F" w14:textId="77777777" w:rsidR="002F68E2" w:rsidRPr="008A4B00" w:rsidRDefault="002F68E2" w:rsidP="002F68E2">
            <w:pPr>
              <w:jc w:val="right"/>
              <w:rPr>
                <w:rFonts w:ascii="Arial" w:hAnsi="Arial" w:cs="Arial"/>
                <w:color w:val="000000"/>
                <w:sz w:val="18"/>
                <w:szCs w:val="18"/>
              </w:rPr>
            </w:pPr>
            <w:r w:rsidRPr="008A4B00">
              <w:rPr>
                <w:rFonts w:ascii="Arial" w:hAnsi="Arial" w:cs="Arial"/>
                <w:color w:val="000000"/>
                <w:sz w:val="18"/>
                <w:szCs w:val="18"/>
              </w:rPr>
              <w:t xml:space="preserve">$1,841.72 </w:t>
            </w:r>
          </w:p>
        </w:tc>
        <w:tc>
          <w:tcPr>
            <w:tcW w:w="1108" w:type="dxa"/>
            <w:tcBorders>
              <w:top w:val="single" w:sz="12" w:space="0" w:color="auto"/>
              <w:left w:val="nil"/>
              <w:bottom w:val="single" w:sz="4" w:space="0" w:color="000000"/>
              <w:right w:val="single" w:sz="4" w:space="0" w:color="000000"/>
            </w:tcBorders>
            <w:shd w:val="clear" w:color="000000" w:fill="FFFFFF"/>
            <w:noWrap/>
            <w:vAlign w:val="bottom"/>
          </w:tcPr>
          <w:p w14:paraId="1A9A891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$3,662.53 </w:t>
            </w:r>
          </w:p>
        </w:tc>
        <w:tc>
          <w:tcPr>
            <w:tcW w:w="1108" w:type="dxa"/>
            <w:tcBorders>
              <w:top w:val="single" w:sz="12" w:space="0" w:color="auto"/>
              <w:left w:val="nil"/>
              <w:bottom w:val="single" w:sz="4" w:space="0" w:color="000000"/>
              <w:right w:val="single" w:sz="4" w:space="0" w:color="000000"/>
            </w:tcBorders>
            <w:shd w:val="clear" w:color="000000" w:fill="FFFFFF"/>
            <w:noWrap/>
            <w:vAlign w:val="bottom"/>
          </w:tcPr>
          <w:p w14:paraId="358B345E"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$2,433.72 </w:t>
            </w:r>
          </w:p>
        </w:tc>
        <w:tc>
          <w:tcPr>
            <w:tcW w:w="1108" w:type="dxa"/>
            <w:tcBorders>
              <w:top w:val="single" w:sz="12" w:space="0" w:color="auto"/>
              <w:left w:val="nil"/>
              <w:bottom w:val="single" w:sz="4" w:space="0" w:color="000000"/>
              <w:right w:val="single" w:sz="4" w:space="0" w:color="auto"/>
            </w:tcBorders>
            <w:shd w:val="clear" w:color="000000" w:fill="FFFFFF"/>
            <w:noWrap/>
            <w:vAlign w:val="bottom"/>
          </w:tcPr>
          <w:p w14:paraId="3864C64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$1,584.27 </w:t>
            </w:r>
          </w:p>
        </w:tc>
        <w:tc>
          <w:tcPr>
            <w:tcW w:w="1091" w:type="dxa"/>
            <w:tcBorders>
              <w:top w:val="single" w:sz="12" w:space="0" w:color="auto"/>
              <w:left w:val="single" w:sz="4" w:space="0" w:color="auto"/>
              <w:bottom w:val="single" w:sz="4" w:space="0" w:color="auto"/>
              <w:right w:val="single" w:sz="4" w:space="0" w:color="auto"/>
            </w:tcBorders>
            <w:shd w:val="clear" w:color="000000" w:fill="FFFFFF"/>
            <w:vAlign w:val="bottom"/>
          </w:tcPr>
          <w:p w14:paraId="0D175A41" w14:textId="77777777" w:rsidR="002F68E2" w:rsidRDefault="002F68E2" w:rsidP="002F68E2">
            <w:pPr>
              <w:jc w:val="right"/>
              <w:rPr>
                <w:rFonts w:ascii="Arial" w:hAnsi="Arial" w:cs="Arial"/>
                <w:color w:val="000000"/>
                <w:sz w:val="18"/>
                <w:szCs w:val="18"/>
              </w:rPr>
            </w:pPr>
            <w:r w:rsidRPr="008A4B00">
              <w:rPr>
                <w:rFonts w:ascii="Arial" w:hAnsi="Arial" w:cs="Arial"/>
                <w:color w:val="000000"/>
                <w:sz w:val="18"/>
                <w:szCs w:val="18"/>
              </w:rPr>
              <w:t>$3,391.01</w:t>
            </w:r>
            <w:r>
              <w:rPr>
                <w:rFonts w:ascii="Arial" w:hAnsi="Arial" w:cs="Arial"/>
                <w:color w:val="000000"/>
                <w:sz w:val="18"/>
                <w:szCs w:val="18"/>
              </w:rPr>
              <w:t xml:space="preserve"> </w:t>
            </w:r>
          </w:p>
        </w:tc>
        <w:tc>
          <w:tcPr>
            <w:tcW w:w="1108" w:type="dxa"/>
            <w:tcBorders>
              <w:top w:val="single" w:sz="12" w:space="0" w:color="auto"/>
              <w:left w:val="single" w:sz="4" w:space="0" w:color="auto"/>
              <w:bottom w:val="single" w:sz="4" w:space="0" w:color="000000"/>
              <w:right w:val="single" w:sz="4" w:space="0" w:color="000000"/>
            </w:tcBorders>
            <w:shd w:val="clear" w:color="000000" w:fill="FFFFFF"/>
            <w:noWrap/>
            <w:vAlign w:val="bottom"/>
          </w:tcPr>
          <w:p w14:paraId="53EE1587" w14:textId="77777777" w:rsidR="002F68E2" w:rsidRDefault="002F68E2" w:rsidP="002F68E2">
            <w:pPr>
              <w:jc w:val="right"/>
              <w:rPr>
                <w:rFonts w:ascii="Arial" w:hAnsi="Arial" w:cs="Arial"/>
                <w:color w:val="000000"/>
                <w:sz w:val="18"/>
                <w:szCs w:val="18"/>
              </w:rPr>
            </w:pPr>
            <w:r w:rsidRPr="00A67967">
              <w:rPr>
                <w:rFonts w:ascii="Arial" w:hAnsi="Arial" w:cs="Arial"/>
                <w:color w:val="000000"/>
                <w:sz w:val="18"/>
                <w:szCs w:val="18"/>
              </w:rPr>
              <w:t>$5,694.40</w:t>
            </w:r>
            <w:r>
              <w:rPr>
                <w:rFonts w:ascii="Arial" w:hAnsi="Arial" w:cs="Arial"/>
                <w:color w:val="000000"/>
                <w:sz w:val="18"/>
                <w:szCs w:val="18"/>
              </w:rPr>
              <w:t xml:space="preserve"> </w:t>
            </w:r>
          </w:p>
        </w:tc>
        <w:tc>
          <w:tcPr>
            <w:tcW w:w="1108" w:type="dxa"/>
            <w:tcBorders>
              <w:top w:val="single" w:sz="12" w:space="0" w:color="auto"/>
              <w:left w:val="nil"/>
              <w:bottom w:val="single" w:sz="4" w:space="0" w:color="000000"/>
              <w:right w:val="single" w:sz="12" w:space="0" w:color="auto"/>
            </w:tcBorders>
            <w:shd w:val="clear" w:color="000000" w:fill="FFFFFF"/>
            <w:noWrap/>
            <w:vAlign w:val="bottom"/>
          </w:tcPr>
          <w:p w14:paraId="6FBCB26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$2,779.10 </w:t>
            </w:r>
          </w:p>
        </w:tc>
      </w:tr>
      <w:tr w:rsidR="002F68E2" w:rsidRPr="00964F50" w14:paraId="5E9B4889" w14:textId="77777777" w:rsidTr="006E7FBB">
        <w:trPr>
          <w:trHeight w:val="369"/>
        </w:trPr>
        <w:tc>
          <w:tcPr>
            <w:tcW w:w="737" w:type="dxa"/>
            <w:vMerge/>
            <w:tcBorders>
              <w:top w:val="nil"/>
              <w:left w:val="single" w:sz="12" w:space="0" w:color="auto"/>
              <w:bottom w:val="single" w:sz="4" w:space="0" w:color="auto"/>
              <w:right w:val="single" w:sz="12" w:space="0" w:color="auto"/>
            </w:tcBorders>
            <w:vAlign w:val="center"/>
            <w:hideMark/>
          </w:tcPr>
          <w:p w14:paraId="303E2E5A"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4" w:space="0" w:color="auto"/>
              <w:right w:val="single" w:sz="4" w:space="0" w:color="auto"/>
            </w:tcBorders>
            <w:shd w:val="clear" w:color="auto" w:fill="auto"/>
            <w:vAlign w:val="center"/>
            <w:hideMark/>
          </w:tcPr>
          <w:p w14:paraId="5C84EFAF"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Standard deviation</w:t>
            </w:r>
          </w:p>
        </w:tc>
        <w:tc>
          <w:tcPr>
            <w:tcW w:w="1091" w:type="dxa"/>
            <w:tcBorders>
              <w:top w:val="nil"/>
              <w:left w:val="nil"/>
              <w:bottom w:val="single" w:sz="4" w:space="0" w:color="000000"/>
              <w:right w:val="single" w:sz="4" w:space="0" w:color="000000"/>
            </w:tcBorders>
            <w:shd w:val="clear" w:color="000000" w:fill="FFFFFF"/>
            <w:noWrap/>
            <w:vAlign w:val="bottom"/>
          </w:tcPr>
          <w:p w14:paraId="72EC073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$1,917.47 </w:t>
            </w:r>
          </w:p>
        </w:tc>
        <w:tc>
          <w:tcPr>
            <w:tcW w:w="1194" w:type="dxa"/>
            <w:tcBorders>
              <w:top w:val="nil"/>
              <w:left w:val="nil"/>
              <w:bottom w:val="single" w:sz="4" w:space="0" w:color="000000"/>
              <w:right w:val="single" w:sz="4" w:space="0" w:color="000000"/>
            </w:tcBorders>
            <w:shd w:val="clear" w:color="000000" w:fill="FFFFFF"/>
            <w:noWrap/>
            <w:vAlign w:val="bottom"/>
          </w:tcPr>
          <w:p w14:paraId="63DE498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$1,546.39 </w:t>
            </w:r>
          </w:p>
        </w:tc>
        <w:tc>
          <w:tcPr>
            <w:tcW w:w="1108" w:type="dxa"/>
            <w:tcBorders>
              <w:top w:val="nil"/>
              <w:left w:val="nil"/>
              <w:bottom w:val="single" w:sz="4" w:space="0" w:color="000000"/>
              <w:right w:val="single" w:sz="4" w:space="0" w:color="000000"/>
            </w:tcBorders>
            <w:shd w:val="clear" w:color="000000" w:fill="FFFFFF"/>
            <w:noWrap/>
            <w:vAlign w:val="bottom"/>
          </w:tcPr>
          <w:p w14:paraId="61B7E43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$1,991.34 </w:t>
            </w:r>
          </w:p>
        </w:tc>
        <w:tc>
          <w:tcPr>
            <w:tcW w:w="1108" w:type="dxa"/>
            <w:tcBorders>
              <w:top w:val="nil"/>
              <w:left w:val="nil"/>
              <w:bottom w:val="single" w:sz="4" w:space="0" w:color="000000"/>
              <w:right w:val="single" w:sz="4" w:space="0" w:color="000000"/>
            </w:tcBorders>
            <w:shd w:val="clear" w:color="000000" w:fill="FFFFFF"/>
            <w:noWrap/>
            <w:vAlign w:val="bottom"/>
          </w:tcPr>
          <w:p w14:paraId="66BAC47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$1,843.98 </w:t>
            </w:r>
          </w:p>
        </w:tc>
        <w:tc>
          <w:tcPr>
            <w:tcW w:w="1108" w:type="dxa"/>
            <w:tcBorders>
              <w:top w:val="nil"/>
              <w:left w:val="nil"/>
              <w:bottom w:val="single" w:sz="4" w:space="0" w:color="000000"/>
              <w:right w:val="single" w:sz="4" w:space="0" w:color="auto"/>
            </w:tcBorders>
            <w:shd w:val="clear" w:color="000000" w:fill="FFFFFF"/>
            <w:noWrap/>
            <w:vAlign w:val="bottom"/>
          </w:tcPr>
          <w:p w14:paraId="26108CD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$956.67 </w:t>
            </w:r>
          </w:p>
        </w:tc>
        <w:tc>
          <w:tcPr>
            <w:tcW w:w="1091" w:type="dxa"/>
            <w:tcBorders>
              <w:top w:val="single" w:sz="4" w:space="0" w:color="auto"/>
              <w:left w:val="single" w:sz="4" w:space="0" w:color="auto"/>
              <w:bottom w:val="single" w:sz="4" w:space="0" w:color="auto"/>
              <w:right w:val="single" w:sz="4" w:space="0" w:color="auto"/>
            </w:tcBorders>
            <w:shd w:val="clear" w:color="000000" w:fill="FFFFFF"/>
            <w:vAlign w:val="bottom"/>
          </w:tcPr>
          <w:p w14:paraId="63F8962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$1,880.10 </w:t>
            </w:r>
          </w:p>
        </w:tc>
        <w:tc>
          <w:tcPr>
            <w:tcW w:w="1108" w:type="dxa"/>
            <w:tcBorders>
              <w:top w:val="nil"/>
              <w:left w:val="single" w:sz="4" w:space="0" w:color="auto"/>
              <w:bottom w:val="single" w:sz="4" w:space="0" w:color="000000"/>
              <w:right w:val="single" w:sz="4" w:space="0" w:color="000000"/>
            </w:tcBorders>
            <w:shd w:val="clear" w:color="000000" w:fill="FFFFFF"/>
            <w:noWrap/>
            <w:vAlign w:val="bottom"/>
          </w:tcPr>
          <w:p w14:paraId="52A56C4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$750.77 </w:t>
            </w:r>
          </w:p>
        </w:tc>
        <w:tc>
          <w:tcPr>
            <w:tcW w:w="1108" w:type="dxa"/>
            <w:tcBorders>
              <w:top w:val="nil"/>
              <w:left w:val="nil"/>
              <w:bottom w:val="single" w:sz="4" w:space="0" w:color="000000"/>
              <w:right w:val="single" w:sz="12" w:space="0" w:color="auto"/>
            </w:tcBorders>
            <w:shd w:val="clear" w:color="000000" w:fill="FFFFFF"/>
            <w:noWrap/>
            <w:vAlign w:val="bottom"/>
          </w:tcPr>
          <w:p w14:paraId="2F36A66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$1,960.22 </w:t>
            </w:r>
          </w:p>
        </w:tc>
      </w:tr>
      <w:tr w:rsidR="002F68E2" w:rsidRPr="00964F50" w14:paraId="3B41828C" w14:textId="77777777" w:rsidTr="006E7FBB">
        <w:trPr>
          <w:trHeight w:val="369"/>
        </w:trPr>
        <w:tc>
          <w:tcPr>
            <w:tcW w:w="737" w:type="dxa"/>
            <w:vMerge/>
            <w:tcBorders>
              <w:top w:val="nil"/>
              <w:left w:val="single" w:sz="12" w:space="0" w:color="auto"/>
              <w:bottom w:val="single" w:sz="4" w:space="0" w:color="auto"/>
              <w:right w:val="single" w:sz="12" w:space="0" w:color="auto"/>
            </w:tcBorders>
            <w:vAlign w:val="center"/>
          </w:tcPr>
          <w:p w14:paraId="063A9EAB"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4" w:space="0" w:color="auto"/>
              <w:right w:val="single" w:sz="4" w:space="0" w:color="auto"/>
            </w:tcBorders>
            <w:shd w:val="clear" w:color="auto" w:fill="auto"/>
            <w:vAlign w:val="center"/>
          </w:tcPr>
          <w:p w14:paraId="11E5B302"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25th Percentile Fee</w:t>
            </w:r>
          </w:p>
        </w:tc>
        <w:tc>
          <w:tcPr>
            <w:tcW w:w="1091" w:type="dxa"/>
            <w:tcBorders>
              <w:top w:val="nil"/>
              <w:left w:val="nil"/>
              <w:bottom w:val="single" w:sz="4" w:space="0" w:color="000000"/>
              <w:right w:val="single" w:sz="4" w:space="0" w:color="000000"/>
            </w:tcBorders>
            <w:shd w:val="clear" w:color="000000" w:fill="FFFFFF"/>
            <w:noWrap/>
            <w:vAlign w:val="bottom"/>
          </w:tcPr>
          <w:p w14:paraId="3410FFA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$1,082.70 </w:t>
            </w:r>
          </w:p>
        </w:tc>
        <w:tc>
          <w:tcPr>
            <w:tcW w:w="1194" w:type="dxa"/>
            <w:tcBorders>
              <w:top w:val="nil"/>
              <w:left w:val="nil"/>
              <w:bottom w:val="single" w:sz="4" w:space="0" w:color="000000"/>
              <w:right w:val="single" w:sz="4" w:space="0" w:color="000000"/>
            </w:tcBorders>
            <w:shd w:val="clear" w:color="000000" w:fill="FFFFFF"/>
            <w:noWrap/>
            <w:vAlign w:val="bottom"/>
          </w:tcPr>
          <w:p w14:paraId="0B2BD4A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$787.60 </w:t>
            </w:r>
          </w:p>
        </w:tc>
        <w:tc>
          <w:tcPr>
            <w:tcW w:w="1108" w:type="dxa"/>
            <w:tcBorders>
              <w:top w:val="nil"/>
              <w:left w:val="nil"/>
              <w:bottom w:val="single" w:sz="4" w:space="0" w:color="000000"/>
              <w:right w:val="single" w:sz="4" w:space="0" w:color="000000"/>
            </w:tcBorders>
            <w:shd w:val="clear" w:color="000000" w:fill="FFFFFF"/>
            <w:noWrap/>
            <w:vAlign w:val="bottom"/>
          </w:tcPr>
          <w:p w14:paraId="2B88D1B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$1,719.45 </w:t>
            </w:r>
          </w:p>
        </w:tc>
        <w:tc>
          <w:tcPr>
            <w:tcW w:w="1108" w:type="dxa"/>
            <w:tcBorders>
              <w:top w:val="nil"/>
              <w:left w:val="nil"/>
              <w:bottom w:val="single" w:sz="4" w:space="0" w:color="000000"/>
              <w:right w:val="single" w:sz="4" w:space="0" w:color="000000"/>
            </w:tcBorders>
            <w:shd w:val="clear" w:color="000000" w:fill="FFFFFF"/>
            <w:noWrap/>
            <w:vAlign w:val="bottom"/>
          </w:tcPr>
          <w:p w14:paraId="3AE35B2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4" w:space="0" w:color="auto"/>
            </w:tcBorders>
            <w:shd w:val="clear" w:color="000000" w:fill="FFFFFF"/>
            <w:noWrap/>
            <w:vAlign w:val="bottom"/>
          </w:tcPr>
          <w:p w14:paraId="3F2C23E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$872.35 </w:t>
            </w:r>
          </w:p>
        </w:tc>
        <w:tc>
          <w:tcPr>
            <w:tcW w:w="1091" w:type="dxa"/>
            <w:tcBorders>
              <w:top w:val="single" w:sz="4" w:space="0" w:color="auto"/>
              <w:left w:val="single" w:sz="4" w:space="0" w:color="auto"/>
              <w:bottom w:val="single" w:sz="4" w:space="0" w:color="auto"/>
              <w:right w:val="single" w:sz="4" w:space="0" w:color="auto"/>
            </w:tcBorders>
            <w:shd w:val="clear" w:color="000000" w:fill="FFFFFF"/>
            <w:vAlign w:val="bottom"/>
          </w:tcPr>
          <w:p w14:paraId="1B696A9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$1,972.00 </w:t>
            </w:r>
          </w:p>
        </w:tc>
        <w:tc>
          <w:tcPr>
            <w:tcW w:w="1108" w:type="dxa"/>
            <w:tcBorders>
              <w:top w:val="nil"/>
              <w:left w:val="single" w:sz="4" w:space="0" w:color="auto"/>
              <w:bottom w:val="single" w:sz="4" w:space="0" w:color="000000"/>
              <w:right w:val="single" w:sz="4" w:space="0" w:color="000000"/>
            </w:tcBorders>
            <w:shd w:val="clear" w:color="000000" w:fill="FFFFFF"/>
            <w:noWrap/>
            <w:vAlign w:val="bottom"/>
          </w:tcPr>
          <w:p w14:paraId="362B2CB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12" w:space="0" w:color="auto"/>
            </w:tcBorders>
            <w:shd w:val="clear" w:color="000000" w:fill="FFFFFF"/>
            <w:noWrap/>
            <w:vAlign w:val="bottom"/>
          </w:tcPr>
          <w:p w14:paraId="315F977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$1,172.75 </w:t>
            </w:r>
          </w:p>
        </w:tc>
      </w:tr>
      <w:tr w:rsidR="002F68E2" w:rsidRPr="00964F50" w14:paraId="3445951F" w14:textId="77777777" w:rsidTr="006E7FBB">
        <w:trPr>
          <w:trHeight w:val="369"/>
        </w:trPr>
        <w:tc>
          <w:tcPr>
            <w:tcW w:w="737" w:type="dxa"/>
            <w:vMerge/>
            <w:tcBorders>
              <w:top w:val="nil"/>
              <w:left w:val="single" w:sz="12" w:space="0" w:color="auto"/>
              <w:bottom w:val="single" w:sz="4" w:space="0" w:color="auto"/>
              <w:right w:val="single" w:sz="12" w:space="0" w:color="auto"/>
            </w:tcBorders>
            <w:vAlign w:val="center"/>
            <w:hideMark/>
          </w:tcPr>
          <w:p w14:paraId="5B3A0D0C"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4" w:space="0" w:color="auto"/>
              <w:right w:val="single" w:sz="4" w:space="0" w:color="auto"/>
            </w:tcBorders>
            <w:shd w:val="clear" w:color="auto" w:fill="auto"/>
            <w:vAlign w:val="center"/>
            <w:hideMark/>
          </w:tcPr>
          <w:p w14:paraId="5D137D8B"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Median</w:t>
            </w:r>
          </w:p>
        </w:tc>
        <w:tc>
          <w:tcPr>
            <w:tcW w:w="1091" w:type="dxa"/>
            <w:tcBorders>
              <w:top w:val="nil"/>
              <w:left w:val="nil"/>
              <w:bottom w:val="single" w:sz="4" w:space="0" w:color="000000"/>
              <w:right w:val="single" w:sz="4" w:space="0" w:color="000000"/>
            </w:tcBorders>
            <w:shd w:val="clear" w:color="000000" w:fill="FFFFFF"/>
            <w:noWrap/>
            <w:vAlign w:val="bottom"/>
          </w:tcPr>
          <w:p w14:paraId="4FC424D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$1,720.70 </w:t>
            </w:r>
          </w:p>
        </w:tc>
        <w:tc>
          <w:tcPr>
            <w:tcW w:w="1194" w:type="dxa"/>
            <w:tcBorders>
              <w:top w:val="nil"/>
              <w:left w:val="nil"/>
              <w:bottom w:val="single" w:sz="4" w:space="0" w:color="000000"/>
              <w:right w:val="single" w:sz="4" w:space="0" w:color="000000"/>
            </w:tcBorders>
            <w:shd w:val="clear" w:color="000000" w:fill="FFFFFF"/>
            <w:noWrap/>
            <w:vAlign w:val="bottom"/>
          </w:tcPr>
          <w:p w14:paraId="32C578A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$1,643.65 </w:t>
            </w:r>
          </w:p>
        </w:tc>
        <w:tc>
          <w:tcPr>
            <w:tcW w:w="1108" w:type="dxa"/>
            <w:tcBorders>
              <w:top w:val="nil"/>
              <w:left w:val="nil"/>
              <w:bottom w:val="single" w:sz="4" w:space="0" w:color="000000"/>
              <w:right w:val="single" w:sz="4" w:space="0" w:color="000000"/>
            </w:tcBorders>
            <w:shd w:val="clear" w:color="000000" w:fill="FFFFFF"/>
            <w:noWrap/>
            <w:vAlign w:val="bottom"/>
          </w:tcPr>
          <w:p w14:paraId="5CB1D1B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$3,906.00 </w:t>
            </w:r>
          </w:p>
        </w:tc>
        <w:tc>
          <w:tcPr>
            <w:tcW w:w="1108" w:type="dxa"/>
            <w:tcBorders>
              <w:top w:val="nil"/>
              <w:left w:val="nil"/>
              <w:bottom w:val="single" w:sz="4" w:space="0" w:color="000000"/>
              <w:right w:val="single" w:sz="4" w:space="0" w:color="000000"/>
            </w:tcBorders>
            <w:shd w:val="clear" w:color="000000" w:fill="FFFFFF"/>
            <w:noWrap/>
            <w:vAlign w:val="bottom"/>
          </w:tcPr>
          <w:p w14:paraId="2CC744C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4" w:space="0" w:color="auto"/>
            </w:tcBorders>
            <w:shd w:val="clear" w:color="000000" w:fill="FFFFFF"/>
            <w:noWrap/>
            <w:vAlign w:val="bottom"/>
          </w:tcPr>
          <w:p w14:paraId="73A6645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$1,643.65 </w:t>
            </w:r>
          </w:p>
        </w:tc>
        <w:tc>
          <w:tcPr>
            <w:tcW w:w="1091" w:type="dxa"/>
            <w:tcBorders>
              <w:top w:val="single" w:sz="4" w:space="0" w:color="auto"/>
              <w:left w:val="single" w:sz="4" w:space="0" w:color="auto"/>
              <w:bottom w:val="single" w:sz="4" w:space="0" w:color="auto"/>
              <w:right w:val="single" w:sz="4" w:space="0" w:color="auto"/>
            </w:tcBorders>
            <w:shd w:val="clear" w:color="000000" w:fill="FFFFFF"/>
            <w:vAlign w:val="bottom"/>
          </w:tcPr>
          <w:p w14:paraId="5163C2C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$2,295.90 </w:t>
            </w:r>
          </w:p>
        </w:tc>
        <w:tc>
          <w:tcPr>
            <w:tcW w:w="1108" w:type="dxa"/>
            <w:tcBorders>
              <w:top w:val="nil"/>
              <w:left w:val="single" w:sz="4" w:space="0" w:color="auto"/>
              <w:bottom w:val="single" w:sz="4" w:space="0" w:color="000000"/>
              <w:right w:val="single" w:sz="4" w:space="0" w:color="000000"/>
            </w:tcBorders>
            <w:shd w:val="clear" w:color="000000" w:fill="FFFFFF"/>
            <w:noWrap/>
            <w:vAlign w:val="bottom"/>
          </w:tcPr>
          <w:p w14:paraId="7B344B7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12" w:space="0" w:color="auto"/>
            </w:tcBorders>
            <w:shd w:val="clear" w:color="000000" w:fill="FFFFFF"/>
            <w:noWrap/>
            <w:vAlign w:val="bottom"/>
          </w:tcPr>
          <w:p w14:paraId="203F379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$1,800.20 </w:t>
            </w:r>
          </w:p>
        </w:tc>
      </w:tr>
      <w:tr w:rsidR="002F68E2" w:rsidRPr="00964F50" w14:paraId="31737D2B" w14:textId="77777777" w:rsidTr="006E7FBB">
        <w:trPr>
          <w:trHeight w:val="369"/>
        </w:trPr>
        <w:tc>
          <w:tcPr>
            <w:tcW w:w="737" w:type="dxa"/>
            <w:vMerge/>
            <w:tcBorders>
              <w:top w:val="nil"/>
              <w:left w:val="single" w:sz="12" w:space="0" w:color="auto"/>
              <w:bottom w:val="single" w:sz="4" w:space="0" w:color="auto"/>
              <w:right w:val="single" w:sz="12" w:space="0" w:color="auto"/>
            </w:tcBorders>
            <w:vAlign w:val="center"/>
            <w:hideMark/>
          </w:tcPr>
          <w:p w14:paraId="6C768F3D"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4" w:space="0" w:color="auto"/>
              <w:right w:val="single" w:sz="4" w:space="0" w:color="auto"/>
            </w:tcBorders>
            <w:shd w:val="clear" w:color="auto" w:fill="auto"/>
            <w:vAlign w:val="center"/>
            <w:hideMark/>
          </w:tcPr>
          <w:p w14:paraId="1B621438"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95th Percentile fee*</w:t>
            </w:r>
          </w:p>
        </w:tc>
        <w:tc>
          <w:tcPr>
            <w:tcW w:w="1091" w:type="dxa"/>
            <w:tcBorders>
              <w:top w:val="nil"/>
              <w:left w:val="nil"/>
              <w:bottom w:val="single" w:sz="4" w:space="0" w:color="000000"/>
              <w:right w:val="single" w:sz="4" w:space="0" w:color="000000"/>
            </w:tcBorders>
            <w:shd w:val="clear" w:color="000000" w:fill="FFFFFF"/>
            <w:noWrap/>
            <w:vAlign w:val="bottom"/>
          </w:tcPr>
          <w:p w14:paraId="1CAE61F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$7,000.55 </w:t>
            </w:r>
          </w:p>
        </w:tc>
        <w:tc>
          <w:tcPr>
            <w:tcW w:w="1194" w:type="dxa"/>
            <w:tcBorders>
              <w:top w:val="nil"/>
              <w:left w:val="nil"/>
              <w:bottom w:val="single" w:sz="4" w:space="0" w:color="000000"/>
              <w:right w:val="single" w:sz="4" w:space="0" w:color="000000"/>
            </w:tcBorders>
            <w:shd w:val="clear" w:color="000000" w:fill="FFFFFF"/>
            <w:noWrap/>
            <w:vAlign w:val="bottom"/>
          </w:tcPr>
          <w:p w14:paraId="68F10E5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$5,339.90 </w:t>
            </w:r>
          </w:p>
        </w:tc>
        <w:tc>
          <w:tcPr>
            <w:tcW w:w="1108" w:type="dxa"/>
            <w:tcBorders>
              <w:top w:val="nil"/>
              <w:left w:val="nil"/>
              <w:bottom w:val="single" w:sz="4" w:space="0" w:color="000000"/>
              <w:right w:val="single" w:sz="4" w:space="0" w:color="000000"/>
            </w:tcBorders>
            <w:shd w:val="clear" w:color="000000" w:fill="FFFFFF"/>
            <w:noWrap/>
            <w:vAlign w:val="bottom"/>
          </w:tcPr>
          <w:p w14:paraId="02C099CC"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$6,086.00 </w:t>
            </w:r>
          </w:p>
        </w:tc>
        <w:tc>
          <w:tcPr>
            <w:tcW w:w="1108" w:type="dxa"/>
            <w:tcBorders>
              <w:top w:val="nil"/>
              <w:left w:val="nil"/>
              <w:bottom w:val="single" w:sz="4" w:space="0" w:color="000000"/>
              <w:right w:val="single" w:sz="4" w:space="0" w:color="000000"/>
            </w:tcBorders>
            <w:shd w:val="clear" w:color="000000" w:fill="FFFFFF"/>
            <w:noWrap/>
            <w:vAlign w:val="bottom"/>
          </w:tcPr>
          <w:p w14:paraId="31D8C75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4" w:space="0" w:color="auto"/>
            </w:tcBorders>
            <w:shd w:val="clear" w:color="000000" w:fill="FFFFFF"/>
            <w:noWrap/>
            <w:vAlign w:val="bottom"/>
          </w:tcPr>
          <w:p w14:paraId="6463BF6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$3,582.70 </w:t>
            </w:r>
          </w:p>
        </w:tc>
        <w:tc>
          <w:tcPr>
            <w:tcW w:w="1091" w:type="dxa"/>
            <w:tcBorders>
              <w:top w:val="single" w:sz="4" w:space="0" w:color="auto"/>
              <w:left w:val="single" w:sz="4" w:space="0" w:color="auto"/>
              <w:bottom w:val="single" w:sz="4" w:space="0" w:color="auto"/>
              <w:right w:val="single" w:sz="4" w:space="0" w:color="auto"/>
            </w:tcBorders>
            <w:shd w:val="clear" w:color="000000" w:fill="FFFFFF"/>
            <w:vAlign w:val="bottom"/>
          </w:tcPr>
          <w:p w14:paraId="61B2B3C0"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$6,515.30 </w:t>
            </w:r>
          </w:p>
        </w:tc>
        <w:tc>
          <w:tcPr>
            <w:tcW w:w="1108" w:type="dxa"/>
            <w:tcBorders>
              <w:top w:val="nil"/>
              <w:left w:val="single" w:sz="4" w:space="0" w:color="auto"/>
              <w:bottom w:val="single" w:sz="4" w:space="0" w:color="000000"/>
              <w:right w:val="single" w:sz="4" w:space="0" w:color="000000"/>
            </w:tcBorders>
            <w:shd w:val="clear" w:color="000000" w:fill="FFFFFF"/>
            <w:noWrap/>
            <w:vAlign w:val="bottom"/>
          </w:tcPr>
          <w:p w14:paraId="1FA6A4B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12" w:space="0" w:color="auto"/>
            </w:tcBorders>
            <w:shd w:val="clear" w:color="000000" w:fill="FFFFFF"/>
            <w:noWrap/>
            <w:vAlign w:val="bottom"/>
          </w:tcPr>
          <w:p w14:paraId="5709E3C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$6,037.40 </w:t>
            </w:r>
          </w:p>
        </w:tc>
      </w:tr>
      <w:tr w:rsidR="002F68E2" w:rsidRPr="00964F50" w14:paraId="7A3CF783" w14:textId="77777777" w:rsidTr="006E7FBB">
        <w:trPr>
          <w:trHeight w:val="369"/>
        </w:trPr>
        <w:tc>
          <w:tcPr>
            <w:tcW w:w="737" w:type="dxa"/>
            <w:vMerge/>
            <w:tcBorders>
              <w:top w:val="nil"/>
              <w:left w:val="single" w:sz="12" w:space="0" w:color="auto"/>
              <w:bottom w:val="single" w:sz="12" w:space="0" w:color="auto"/>
              <w:right w:val="single" w:sz="12" w:space="0" w:color="auto"/>
            </w:tcBorders>
            <w:vAlign w:val="center"/>
            <w:hideMark/>
          </w:tcPr>
          <w:p w14:paraId="36959F7B"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12" w:space="0" w:color="auto"/>
              <w:right w:val="single" w:sz="4" w:space="0" w:color="auto"/>
            </w:tcBorders>
            <w:shd w:val="clear" w:color="auto" w:fill="auto"/>
            <w:vAlign w:val="center"/>
            <w:hideMark/>
          </w:tcPr>
          <w:p w14:paraId="251408C1"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Bulk Billed rate</w:t>
            </w:r>
          </w:p>
        </w:tc>
        <w:tc>
          <w:tcPr>
            <w:tcW w:w="1091" w:type="dxa"/>
            <w:tcBorders>
              <w:top w:val="nil"/>
              <w:left w:val="nil"/>
              <w:bottom w:val="single" w:sz="12" w:space="0" w:color="auto"/>
              <w:right w:val="single" w:sz="4" w:space="0" w:color="000000"/>
            </w:tcBorders>
            <w:shd w:val="clear" w:color="000000" w:fill="FFFFFF"/>
            <w:noWrap/>
            <w:vAlign w:val="bottom"/>
          </w:tcPr>
          <w:p w14:paraId="0CA08A24"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194" w:type="dxa"/>
            <w:tcBorders>
              <w:top w:val="nil"/>
              <w:left w:val="nil"/>
              <w:bottom w:val="single" w:sz="12" w:space="0" w:color="auto"/>
              <w:right w:val="single" w:sz="4" w:space="0" w:color="000000"/>
            </w:tcBorders>
            <w:shd w:val="clear" w:color="000000" w:fill="FFFFFF"/>
            <w:noWrap/>
            <w:vAlign w:val="bottom"/>
          </w:tcPr>
          <w:p w14:paraId="05E03922"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nil"/>
              <w:bottom w:val="single" w:sz="12" w:space="0" w:color="auto"/>
              <w:right w:val="single" w:sz="4" w:space="0" w:color="000000"/>
            </w:tcBorders>
            <w:shd w:val="clear" w:color="000000" w:fill="FFFFFF"/>
            <w:noWrap/>
            <w:vAlign w:val="bottom"/>
          </w:tcPr>
          <w:p w14:paraId="05FC8DB8"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nil"/>
              <w:bottom w:val="single" w:sz="12" w:space="0" w:color="auto"/>
              <w:right w:val="single" w:sz="4" w:space="0" w:color="000000"/>
            </w:tcBorders>
            <w:shd w:val="clear" w:color="000000" w:fill="FFFFFF"/>
            <w:noWrap/>
            <w:vAlign w:val="bottom"/>
          </w:tcPr>
          <w:p w14:paraId="44D58072"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nil"/>
              <w:bottom w:val="single" w:sz="12" w:space="0" w:color="auto"/>
              <w:right w:val="single" w:sz="4" w:space="0" w:color="auto"/>
            </w:tcBorders>
            <w:shd w:val="clear" w:color="000000" w:fill="FFFFFF"/>
            <w:noWrap/>
            <w:vAlign w:val="bottom"/>
          </w:tcPr>
          <w:p w14:paraId="4DAD5C85"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091" w:type="dxa"/>
            <w:tcBorders>
              <w:top w:val="single" w:sz="4" w:space="0" w:color="auto"/>
              <w:left w:val="single" w:sz="4" w:space="0" w:color="auto"/>
              <w:bottom w:val="single" w:sz="12" w:space="0" w:color="auto"/>
              <w:right w:val="single" w:sz="4" w:space="0" w:color="auto"/>
            </w:tcBorders>
            <w:shd w:val="clear" w:color="000000" w:fill="FFFFFF"/>
            <w:vAlign w:val="bottom"/>
          </w:tcPr>
          <w:p w14:paraId="0EC3429F"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single" w:sz="4" w:space="0" w:color="auto"/>
              <w:bottom w:val="single" w:sz="12" w:space="0" w:color="auto"/>
              <w:right w:val="single" w:sz="4" w:space="0" w:color="000000"/>
            </w:tcBorders>
            <w:shd w:val="clear" w:color="000000" w:fill="FFFFFF"/>
            <w:noWrap/>
            <w:vAlign w:val="bottom"/>
          </w:tcPr>
          <w:p w14:paraId="73DF7B3E"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nil"/>
              <w:bottom w:val="single" w:sz="12" w:space="0" w:color="auto"/>
              <w:right w:val="single" w:sz="12" w:space="0" w:color="auto"/>
            </w:tcBorders>
            <w:shd w:val="clear" w:color="000000" w:fill="FFFFFF"/>
            <w:noWrap/>
            <w:vAlign w:val="bottom"/>
          </w:tcPr>
          <w:p w14:paraId="5F87DD2D"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r>
      <w:tr w:rsidR="002F68E2" w:rsidRPr="00964F50" w14:paraId="294AD7FE" w14:textId="77777777" w:rsidTr="006E7FBB">
        <w:trPr>
          <w:trHeight w:val="369"/>
        </w:trPr>
        <w:tc>
          <w:tcPr>
            <w:tcW w:w="737"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FF05993" w14:textId="77777777" w:rsidR="002F68E2" w:rsidRPr="00964F50" w:rsidRDefault="002F68E2" w:rsidP="002F68E2">
            <w:pPr>
              <w:jc w:val="center"/>
              <w:rPr>
                <w:rFonts w:ascii="Arial" w:hAnsi="Arial" w:cs="Arial"/>
                <w:b/>
                <w:bCs/>
                <w:color w:val="000000"/>
                <w:sz w:val="18"/>
                <w:szCs w:val="18"/>
              </w:rPr>
            </w:pPr>
            <w:r>
              <w:rPr>
                <w:rFonts w:ascii="Arial" w:hAnsi="Arial" w:cs="Arial"/>
                <w:b/>
                <w:bCs/>
                <w:color w:val="000000"/>
                <w:sz w:val="18"/>
                <w:szCs w:val="18"/>
              </w:rPr>
              <w:t>2016-17</w:t>
            </w:r>
          </w:p>
        </w:tc>
        <w:tc>
          <w:tcPr>
            <w:tcW w:w="1156"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12A90EFB"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 xml:space="preserve">Average Fee </w:t>
            </w:r>
          </w:p>
        </w:tc>
        <w:tc>
          <w:tcPr>
            <w:tcW w:w="1091" w:type="dxa"/>
            <w:tcBorders>
              <w:top w:val="single" w:sz="12" w:space="0" w:color="auto"/>
              <w:left w:val="nil"/>
              <w:bottom w:val="single" w:sz="4" w:space="0" w:color="000000"/>
              <w:right w:val="single" w:sz="4" w:space="0" w:color="000000"/>
            </w:tcBorders>
            <w:shd w:val="clear" w:color="000000" w:fill="FFFFFF"/>
            <w:noWrap/>
            <w:vAlign w:val="bottom"/>
          </w:tcPr>
          <w:p w14:paraId="7AB07DF5" w14:textId="77777777" w:rsidR="002F68E2" w:rsidRPr="008A4B00" w:rsidRDefault="002F68E2" w:rsidP="002F68E2">
            <w:pPr>
              <w:jc w:val="right"/>
              <w:rPr>
                <w:rFonts w:ascii="Arial" w:hAnsi="Arial" w:cs="Arial"/>
                <w:color w:val="000000"/>
                <w:sz w:val="18"/>
                <w:szCs w:val="18"/>
              </w:rPr>
            </w:pPr>
            <w:r w:rsidRPr="008A4B00">
              <w:rPr>
                <w:rFonts w:ascii="Arial" w:hAnsi="Arial" w:cs="Arial"/>
                <w:color w:val="000000"/>
                <w:sz w:val="18"/>
                <w:szCs w:val="18"/>
              </w:rPr>
              <w:t xml:space="preserve">$2,694.42 </w:t>
            </w:r>
          </w:p>
        </w:tc>
        <w:tc>
          <w:tcPr>
            <w:tcW w:w="1194" w:type="dxa"/>
            <w:tcBorders>
              <w:top w:val="single" w:sz="12" w:space="0" w:color="auto"/>
              <w:left w:val="nil"/>
              <w:bottom w:val="single" w:sz="4" w:space="0" w:color="000000"/>
              <w:right w:val="single" w:sz="4" w:space="0" w:color="000000"/>
            </w:tcBorders>
            <w:shd w:val="clear" w:color="000000" w:fill="FFFFFF"/>
            <w:noWrap/>
            <w:vAlign w:val="bottom"/>
          </w:tcPr>
          <w:p w14:paraId="5FDD2AD8" w14:textId="77777777" w:rsidR="002F68E2" w:rsidRPr="00F6116A" w:rsidRDefault="002F68E2" w:rsidP="002F68E2">
            <w:pPr>
              <w:jc w:val="right"/>
              <w:rPr>
                <w:rFonts w:ascii="Arial" w:hAnsi="Arial" w:cs="Arial"/>
                <w:color w:val="000000"/>
                <w:sz w:val="18"/>
                <w:szCs w:val="18"/>
              </w:rPr>
            </w:pPr>
            <w:r w:rsidRPr="00F6116A">
              <w:rPr>
                <w:rFonts w:ascii="Arial" w:hAnsi="Arial" w:cs="Arial"/>
                <w:color w:val="000000"/>
                <w:sz w:val="18"/>
                <w:szCs w:val="18"/>
              </w:rPr>
              <w:t xml:space="preserve">$1,738.83 </w:t>
            </w:r>
          </w:p>
        </w:tc>
        <w:tc>
          <w:tcPr>
            <w:tcW w:w="1108" w:type="dxa"/>
            <w:tcBorders>
              <w:top w:val="single" w:sz="12" w:space="0" w:color="auto"/>
              <w:left w:val="nil"/>
              <w:bottom w:val="single" w:sz="4" w:space="0" w:color="000000"/>
              <w:right w:val="single" w:sz="4" w:space="0" w:color="000000"/>
            </w:tcBorders>
            <w:shd w:val="clear" w:color="000000" w:fill="FFFFFF"/>
            <w:noWrap/>
            <w:vAlign w:val="bottom"/>
          </w:tcPr>
          <w:p w14:paraId="42C190A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$3,437.17 </w:t>
            </w:r>
          </w:p>
        </w:tc>
        <w:tc>
          <w:tcPr>
            <w:tcW w:w="1108" w:type="dxa"/>
            <w:tcBorders>
              <w:top w:val="single" w:sz="12" w:space="0" w:color="auto"/>
              <w:left w:val="nil"/>
              <w:bottom w:val="single" w:sz="4" w:space="0" w:color="000000"/>
              <w:right w:val="single" w:sz="4" w:space="0" w:color="000000"/>
            </w:tcBorders>
            <w:shd w:val="clear" w:color="000000" w:fill="FFFFFF"/>
            <w:noWrap/>
            <w:vAlign w:val="bottom"/>
          </w:tcPr>
          <w:p w14:paraId="16D693D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$1,367.29 </w:t>
            </w:r>
          </w:p>
        </w:tc>
        <w:tc>
          <w:tcPr>
            <w:tcW w:w="1108" w:type="dxa"/>
            <w:tcBorders>
              <w:top w:val="single" w:sz="12" w:space="0" w:color="auto"/>
              <w:left w:val="nil"/>
              <w:bottom w:val="single" w:sz="4" w:space="0" w:color="000000"/>
              <w:right w:val="single" w:sz="4" w:space="0" w:color="auto"/>
            </w:tcBorders>
            <w:shd w:val="clear" w:color="000000" w:fill="FFFFFF"/>
            <w:noWrap/>
            <w:vAlign w:val="bottom"/>
          </w:tcPr>
          <w:p w14:paraId="40F22B5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$1,715.34 </w:t>
            </w:r>
          </w:p>
        </w:tc>
        <w:tc>
          <w:tcPr>
            <w:tcW w:w="1091" w:type="dxa"/>
            <w:tcBorders>
              <w:top w:val="single" w:sz="12" w:space="0" w:color="auto"/>
              <w:left w:val="single" w:sz="4" w:space="0" w:color="auto"/>
              <w:bottom w:val="single" w:sz="4" w:space="0" w:color="auto"/>
              <w:right w:val="single" w:sz="4" w:space="0" w:color="auto"/>
            </w:tcBorders>
            <w:shd w:val="clear" w:color="000000" w:fill="FFFFFF"/>
            <w:vAlign w:val="bottom"/>
          </w:tcPr>
          <w:p w14:paraId="2574B392" w14:textId="77777777" w:rsidR="002F68E2" w:rsidRDefault="002F68E2" w:rsidP="002F68E2">
            <w:pPr>
              <w:jc w:val="right"/>
              <w:rPr>
                <w:rFonts w:ascii="Arial" w:hAnsi="Arial" w:cs="Arial"/>
                <w:color w:val="000000"/>
                <w:sz w:val="18"/>
                <w:szCs w:val="18"/>
              </w:rPr>
            </w:pPr>
            <w:r w:rsidRPr="008A4B00">
              <w:rPr>
                <w:rFonts w:ascii="Arial" w:hAnsi="Arial" w:cs="Arial"/>
                <w:color w:val="000000"/>
                <w:sz w:val="18"/>
                <w:szCs w:val="18"/>
              </w:rPr>
              <w:t>$2,955.09</w:t>
            </w:r>
            <w:r>
              <w:rPr>
                <w:rFonts w:ascii="Arial" w:hAnsi="Arial" w:cs="Arial"/>
                <w:color w:val="000000"/>
                <w:sz w:val="18"/>
                <w:szCs w:val="18"/>
              </w:rPr>
              <w:t xml:space="preserve"> </w:t>
            </w:r>
          </w:p>
        </w:tc>
        <w:tc>
          <w:tcPr>
            <w:tcW w:w="1108" w:type="dxa"/>
            <w:tcBorders>
              <w:top w:val="single" w:sz="12" w:space="0" w:color="auto"/>
              <w:left w:val="single" w:sz="4" w:space="0" w:color="auto"/>
              <w:bottom w:val="single" w:sz="4" w:space="0" w:color="000000"/>
              <w:right w:val="single" w:sz="4" w:space="0" w:color="000000"/>
            </w:tcBorders>
            <w:shd w:val="clear" w:color="000000" w:fill="FFFFFF"/>
            <w:noWrap/>
            <w:vAlign w:val="bottom"/>
          </w:tcPr>
          <w:p w14:paraId="0919A629" w14:textId="77777777" w:rsidR="002F68E2" w:rsidRDefault="002F68E2" w:rsidP="002F68E2">
            <w:pPr>
              <w:jc w:val="right"/>
              <w:rPr>
                <w:rFonts w:ascii="Arial" w:hAnsi="Arial" w:cs="Arial"/>
                <w:color w:val="000000"/>
                <w:sz w:val="18"/>
                <w:szCs w:val="18"/>
              </w:rPr>
            </w:pPr>
            <w:r w:rsidRPr="00A67967">
              <w:rPr>
                <w:rFonts w:ascii="Arial" w:hAnsi="Arial" w:cs="Arial"/>
                <w:color w:val="000000"/>
                <w:sz w:val="18"/>
                <w:szCs w:val="18"/>
              </w:rPr>
              <w:t>$5,958.03</w:t>
            </w:r>
            <w:r>
              <w:rPr>
                <w:rFonts w:ascii="Arial" w:hAnsi="Arial" w:cs="Arial"/>
                <w:color w:val="000000"/>
                <w:sz w:val="18"/>
                <w:szCs w:val="18"/>
              </w:rPr>
              <w:t xml:space="preserve"> </w:t>
            </w:r>
          </w:p>
        </w:tc>
        <w:tc>
          <w:tcPr>
            <w:tcW w:w="1108" w:type="dxa"/>
            <w:tcBorders>
              <w:top w:val="single" w:sz="12" w:space="0" w:color="auto"/>
              <w:left w:val="nil"/>
              <w:bottom w:val="single" w:sz="4" w:space="0" w:color="000000"/>
              <w:right w:val="single" w:sz="12" w:space="0" w:color="auto"/>
            </w:tcBorders>
            <w:shd w:val="clear" w:color="000000" w:fill="FFFFFF"/>
            <w:noWrap/>
            <w:vAlign w:val="bottom"/>
          </w:tcPr>
          <w:p w14:paraId="3808164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$2,746.20 </w:t>
            </w:r>
          </w:p>
        </w:tc>
      </w:tr>
      <w:tr w:rsidR="002F68E2" w:rsidRPr="00964F50" w14:paraId="154F9B02" w14:textId="77777777" w:rsidTr="006E7FBB">
        <w:trPr>
          <w:trHeight w:val="369"/>
        </w:trPr>
        <w:tc>
          <w:tcPr>
            <w:tcW w:w="737" w:type="dxa"/>
            <w:vMerge/>
            <w:tcBorders>
              <w:top w:val="nil"/>
              <w:left w:val="single" w:sz="12" w:space="0" w:color="auto"/>
              <w:bottom w:val="single" w:sz="4" w:space="0" w:color="auto"/>
              <w:right w:val="single" w:sz="12" w:space="0" w:color="auto"/>
            </w:tcBorders>
            <w:vAlign w:val="center"/>
            <w:hideMark/>
          </w:tcPr>
          <w:p w14:paraId="374CE1F9"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4" w:space="0" w:color="auto"/>
              <w:right w:val="single" w:sz="4" w:space="0" w:color="auto"/>
            </w:tcBorders>
            <w:shd w:val="clear" w:color="auto" w:fill="auto"/>
            <w:vAlign w:val="center"/>
            <w:hideMark/>
          </w:tcPr>
          <w:p w14:paraId="1B85D7DD"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Standard deviation</w:t>
            </w:r>
          </w:p>
        </w:tc>
        <w:tc>
          <w:tcPr>
            <w:tcW w:w="1091" w:type="dxa"/>
            <w:tcBorders>
              <w:top w:val="nil"/>
              <w:left w:val="nil"/>
              <w:bottom w:val="single" w:sz="4" w:space="0" w:color="000000"/>
              <w:right w:val="single" w:sz="4" w:space="0" w:color="000000"/>
            </w:tcBorders>
            <w:shd w:val="clear" w:color="000000" w:fill="FFFFFF"/>
            <w:noWrap/>
            <w:vAlign w:val="bottom"/>
          </w:tcPr>
          <w:p w14:paraId="78B6FAE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$2,694.42 </w:t>
            </w:r>
          </w:p>
        </w:tc>
        <w:tc>
          <w:tcPr>
            <w:tcW w:w="1194" w:type="dxa"/>
            <w:tcBorders>
              <w:top w:val="nil"/>
              <w:left w:val="nil"/>
              <w:bottom w:val="single" w:sz="4" w:space="0" w:color="000000"/>
              <w:right w:val="single" w:sz="4" w:space="0" w:color="000000"/>
            </w:tcBorders>
            <w:shd w:val="clear" w:color="000000" w:fill="FFFFFF"/>
            <w:noWrap/>
            <w:vAlign w:val="bottom"/>
          </w:tcPr>
          <w:p w14:paraId="1EC50E1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$1,479.32 </w:t>
            </w:r>
          </w:p>
        </w:tc>
        <w:tc>
          <w:tcPr>
            <w:tcW w:w="1108" w:type="dxa"/>
            <w:tcBorders>
              <w:top w:val="nil"/>
              <w:left w:val="nil"/>
              <w:bottom w:val="single" w:sz="4" w:space="0" w:color="000000"/>
              <w:right w:val="single" w:sz="4" w:space="0" w:color="000000"/>
            </w:tcBorders>
            <w:shd w:val="clear" w:color="000000" w:fill="FFFFFF"/>
            <w:noWrap/>
            <w:vAlign w:val="bottom"/>
          </w:tcPr>
          <w:p w14:paraId="08B99665"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$1,916.66 </w:t>
            </w:r>
          </w:p>
        </w:tc>
        <w:tc>
          <w:tcPr>
            <w:tcW w:w="1108" w:type="dxa"/>
            <w:tcBorders>
              <w:top w:val="nil"/>
              <w:left w:val="nil"/>
              <w:bottom w:val="single" w:sz="4" w:space="0" w:color="000000"/>
              <w:right w:val="single" w:sz="4" w:space="0" w:color="000000"/>
            </w:tcBorders>
            <w:shd w:val="clear" w:color="000000" w:fill="FFFFFF"/>
            <w:noWrap/>
            <w:vAlign w:val="bottom"/>
          </w:tcPr>
          <w:p w14:paraId="52CB499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$777.08 </w:t>
            </w:r>
          </w:p>
        </w:tc>
        <w:tc>
          <w:tcPr>
            <w:tcW w:w="1108" w:type="dxa"/>
            <w:tcBorders>
              <w:top w:val="nil"/>
              <w:left w:val="nil"/>
              <w:bottom w:val="single" w:sz="4" w:space="0" w:color="000000"/>
              <w:right w:val="single" w:sz="4" w:space="0" w:color="auto"/>
            </w:tcBorders>
            <w:shd w:val="clear" w:color="000000" w:fill="FFFFFF"/>
            <w:noWrap/>
            <w:vAlign w:val="bottom"/>
          </w:tcPr>
          <w:p w14:paraId="5BD3798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$977.24 </w:t>
            </w:r>
          </w:p>
        </w:tc>
        <w:tc>
          <w:tcPr>
            <w:tcW w:w="1091" w:type="dxa"/>
            <w:tcBorders>
              <w:top w:val="single" w:sz="4" w:space="0" w:color="auto"/>
              <w:left w:val="single" w:sz="4" w:space="0" w:color="auto"/>
              <w:bottom w:val="single" w:sz="4" w:space="0" w:color="auto"/>
              <w:right w:val="single" w:sz="4" w:space="0" w:color="auto"/>
            </w:tcBorders>
            <w:shd w:val="clear" w:color="000000" w:fill="FFFFFF"/>
            <w:vAlign w:val="bottom"/>
          </w:tcPr>
          <w:p w14:paraId="5AEA0F0D"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$1,764.34 </w:t>
            </w:r>
          </w:p>
        </w:tc>
        <w:tc>
          <w:tcPr>
            <w:tcW w:w="1108" w:type="dxa"/>
            <w:tcBorders>
              <w:top w:val="nil"/>
              <w:left w:val="single" w:sz="4" w:space="0" w:color="auto"/>
              <w:bottom w:val="single" w:sz="4" w:space="0" w:color="000000"/>
              <w:right w:val="single" w:sz="4" w:space="0" w:color="000000"/>
            </w:tcBorders>
            <w:shd w:val="clear" w:color="000000" w:fill="FFFFFF"/>
            <w:noWrap/>
            <w:vAlign w:val="bottom"/>
          </w:tcPr>
          <w:p w14:paraId="60504BD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$604.63 </w:t>
            </w:r>
          </w:p>
        </w:tc>
        <w:tc>
          <w:tcPr>
            <w:tcW w:w="1108" w:type="dxa"/>
            <w:tcBorders>
              <w:top w:val="nil"/>
              <w:left w:val="nil"/>
              <w:bottom w:val="single" w:sz="4" w:space="0" w:color="000000"/>
              <w:right w:val="single" w:sz="12" w:space="0" w:color="auto"/>
            </w:tcBorders>
            <w:shd w:val="clear" w:color="000000" w:fill="FFFFFF"/>
            <w:noWrap/>
            <w:vAlign w:val="bottom"/>
          </w:tcPr>
          <w:p w14:paraId="037AB3C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$1,944.85 </w:t>
            </w:r>
          </w:p>
        </w:tc>
      </w:tr>
      <w:tr w:rsidR="002F68E2" w:rsidRPr="00964F50" w14:paraId="54AD2C79" w14:textId="77777777" w:rsidTr="006E7FBB">
        <w:trPr>
          <w:trHeight w:val="369"/>
        </w:trPr>
        <w:tc>
          <w:tcPr>
            <w:tcW w:w="737" w:type="dxa"/>
            <w:vMerge/>
            <w:tcBorders>
              <w:top w:val="nil"/>
              <w:left w:val="single" w:sz="12" w:space="0" w:color="auto"/>
              <w:bottom w:val="single" w:sz="4" w:space="0" w:color="auto"/>
              <w:right w:val="single" w:sz="12" w:space="0" w:color="auto"/>
            </w:tcBorders>
            <w:vAlign w:val="center"/>
          </w:tcPr>
          <w:p w14:paraId="29FA5AAB"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4" w:space="0" w:color="auto"/>
              <w:right w:val="single" w:sz="4" w:space="0" w:color="auto"/>
            </w:tcBorders>
            <w:shd w:val="clear" w:color="auto" w:fill="auto"/>
            <w:vAlign w:val="center"/>
          </w:tcPr>
          <w:p w14:paraId="04751BC8"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25th Percentile Fee</w:t>
            </w:r>
          </w:p>
        </w:tc>
        <w:tc>
          <w:tcPr>
            <w:tcW w:w="1091" w:type="dxa"/>
            <w:tcBorders>
              <w:top w:val="nil"/>
              <w:left w:val="nil"/>
              <w:bottom w:val="single" w:sz="4" w:space="0" w:color="000000"/>
              <w:right w:val="single" w:sz="4" w:space="0" w:color="000000"/>
            </w:tcBorders>
            <w:shd w:val="clear" w:color="000000" w:fill="FFFFFF"/>
            <w:noWrap/>
            <w:vAlign w:val="bottom"/>
          </w:tcPr>
          <w:p w14:paraId="1BB769F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$904.25 </w:t>
            </w:r>
          </w:p>
        </w:tc>
        <w:tc>
          <w:tcPr>
            <w:tcW w:w="1194" w:type="dxa"/>
            <w:tcBorders>
              <w:top w:val="nil"/>
              <w:left w:val="nil"/>
              <w:bottom w:val="single" w:sz="4" w:space="0" w:color="000000"/>
              <w:right w:val="single" w:sz="4" w:space="0" w:color="000000"/>
            </w:tcBorders>
            <w:shd w:val="clear" w:color="000000" w:fill="FFFFFF"/>
            <w:noWrap/>
            <w:vAlign w:val="bottom"/>
          </w:tcPr>
          <w:p w14:paraId="666956A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$729.40 </w:t>
            </w:r>
          </w:p>
        </w:tc>
        <w:tc>
          <w:tcPr>
            <w:tcW w:w="1108" w:type="dxa"/>
            <w:tcBorders>
              <w:top w:val="nil"/>
              <w:left w:val="nil"/>
              <w:bottom w:val="single" w:sz="4" w:space="0" w:color="000000"/>
              <w:right w:val="single" w:sz="4" w:space="0" w:color="000000"/>
            </w:tcBorders>
            <w:shd w:val="clear" w:color="000000" w:fill="FFFFFF"/>
            <w:noWrap/>
            <w:vAlign w:val="bottom"/>
          </w:tcPr>
          <w:p w14:paraId="722D9B9B"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$1,719.45 </w:t>
            </w:r>
          </w:p>
        </w:tc>
        <w:tc>
          <w:tcPr>
            <w:tcW w:w="1108" w:type="dxa"/>
            <w:tcBorders>
              <w:top w:val="nil"/>
              <w:left w:val="nil"/>
              <w:bottom w:val="single" w:sz="4" w:space="0" w:color="000000"/>
              <w:right w:val="single" w:sz="4" w:space="0" w:color="000000"/>
            </w:tcBorders>
            <w:shd w:val="clear" w:color="000000" w:fill="FFFFFF"/>
            <w:noWrap/>
            <w:vAlign w:val="bottom"/>
          </w:tcPr>
          <w:p w14:paraId="5AB774D4"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4" w:space="0" w:color="auto"/>
            </w:tcBorders>
            <w:shd w:val="clear" w:color="000000" w:fill="FFFFFF"/>
            <w:noWrap/>
            <w:vAlign w:val="bottom"/>
          </w:tcPr>
          <w:p w14:paraId="4B09DC0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$946.85 </w:t>
            </w:r>
          </w:p>
        </w:tc>
        <w:tc>
          <w:tcPr>
            <w:tcW w:w="1091" w:type="dxa"/>
            <w:tcBorders>
              <w:top w:val="single" w:sz="4" w:space="0" w:color="auto"/>
              <w:left w:val="single" w:sz="4" w:space="0" w:color="auto"/>
              <w:bottom w:val="single" w:sz="4" w:space="0" w:color="auto"/>
              <w:right w:val="single" w:sz="4" w:space="0" w:color="auto"/>
            </w:tcBorders>
            <w:shd w:val="clear" w:color="000000" w:fill="FFFFFF"/>
            <w:vAlign w:val="bottom"/>
          </w:tcPr>
          <w:p w14:paraId="544AF1C7"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$1,795.90 </w:t>
            </w:r>
          </w:p>
        </w:tc>
        <w:tc>
          <w:tcPr>
            <w:tcW w:w="1108" w:type="dxa"/>
            <w:tcBorders>
              <w:top w:val="nil"/>
              <w:left w:val="single" w:sz="4" w:space="0" w:color="auto"/>
              <w:bottom w:val="single" w:sz="4" w:space="0" w:color="000000"/>
              <w:right w:val="single" w:sz="4" w:space="0" w:color="000000"/>
            </w:tcBorders>
            <w:shd w:val="clear" w:color="000000" w:fill="FFFFFF"/>
            <w:noWrap/>
            <w:vAlign w:val="bottom"/>
          </w:tcPr>
          <w:p w14:paraId="5A2A351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12" w:space="0" w:color="auto"/>
            </w:tcBorders>
            <w:shd w:val="clear" w:color="000000" w:fill="FFFFFF"/>
            <w:noWrap/>
            <w:vAlign w:val="bottom"/>
          </w:tcPr>
          <w:p w14:paraId="2043660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$1,250.20 </w:t>
            </w:r>
          </w:p>
        </w:tc>
      </w:tr>
      <w:tr w:rsidR="002F68E2" w:rsidRPr="00964F50" w14:paraId="701AA869" w14:textId="77777777" w:rsidTr="006E7FBB">
        <w:trPr>
          <w:trHeight w:val="369"/>
        </w:trPr>
        <w:tc>
          <w:tcPr>
            <w:tcW w:w="737" w:type="dxa"/>
            <w:vMerge/>
            <w:tcBorders>
              <w:top w:val="nil"/>
              <w:left w:val="single" w:sz="12" w:space="0" w:color="auto"/>
              <w:bottom w:val="single" w:sz="4" w:space="0" w:color="auto"/>
              <w:right w:val="single" w:sz="12" w:space="0" w:color="auto"/>
            </w:tcBorders>
            <w:vAlign w:val="center"/>
            <w:hideMark/>
          </w:tcPr>
          <w:p w14:paraId="128FFE51"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4" w:space="0" w:color="auto"/>
              <w:right w:val="single" w:sz="4" w:space="0" w:color="auto"/>
            </w:tcBorders>
            <w:shd w:val="clear" w:color="auto" w:fill="auto"/>
            <w:vAlign w:val="center"/>
            <w:hideMark/>
          </w:tcPr>
          <w:p w14:paraId="391C3388"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Median</w:t>
            </w:r>
          </w:p>
        </w:tc>
        <w:tc>
          <w:tcPr>
            <w:tcW w:w="1091" w:type="dxa"/>
            <w:tcBorders>
              <w:top w:val="nil"/>
              <w:left w:val="nil"/>
              <w:bottom w:val="single" w:sz="4" w:space="0" w:color="000000"/>
              <w:right w:val="single" w:sz="4" w:space="0" w:color="000000"/>
            </w:tcBorders>
            <w:shd w:val="clear" w:color="000000" w:fill="FFFFFF"/>
            <w:noWrap/>
            <w:vAlign w:val="bottom"/>
          </w:tcPr>
          <w:p w14:paraId="09F1B48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$1,720.70 </w:t>
            </w:r>
          </w:p>
        </w:tc>
        <w:tc>
          <w:tcPr>
            <w:tcW w:w="1194" w:type="dxa"/>
            <w:tcBorders>
              <w:top w:val="nil"/>
              <w:left w:val="nil"/>
              <w:bottom w:val="single" w:sz="4" w:space="0" w:color="000000"/>
              <w:right w:val="single" w:sz="4" w:space="0" w:color="000000"/>
            </w:tcBorders>
            <w:shd w:val="clear" w:color="000000" w:fill="FFFFFF"/>
            <w:noWrap/>
            <w:vAlign w:val="bottom"/>
          </w:tcPr>
          <w:p w14:paraId="18A7B43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$1,375.15 </w:t>
            </w:r>
          </w:p>
        </w:tc>
        <w:tc>
          <w:tcPr>
            <w:tcW w:w="1108" w:type="dxa"/>
            <w:tcBorders>
              <w:top w:val="nil"/>
              <w:left w:val="nil"/>
              <w:bottom w:val="single" w:sz="4" w:space="0" w:color="000000"/>
              <w:right w:val="single" w:sz="4" w:space="0" w:color="000000"/>
            </w:tcBorders>
            <w:shd w:val="clear" w:color="000000" w:fill="FFFFFF"/>
            <w:noWrap/>
            <w:vAlign w:val="bottom"/>
          </w:tcPr>
          <w:p w14:paraId="74B9E15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$3,604.60 </w:t>
            </w:r>
          </w:p>
        </w:tc>
        <w:tc>
          <w:tcPr>
            <w:tcW w:w="1108" w:type="dxa"/>
            <w:tcBorders>
              <w:top w:val="nil"/>
              <w:left w:val="nil"/>
              <w:bottom w:val="single" w:sz="4" w:space="0" w:color="000000"/>
              <w:right w:val="single" w:sz="4" w:space="0" w:color="000000"/>
            </w:tcBorders>
            <w:shd w:val="clear" w:color="000000" w:fill="FFFFFF"/>
            <w:noWrap/>
            <w:vAlign w:val="bottom"/>
          </w:tcPr>
          <w:p w14:paraId="1A06E9B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4" w:space="0" w:color="auto"/>
            </w:tcBorders>
            <w:shd w:val="clear" w:color="000000" w:fill="FFFFFF"/>
            <w:noWrap/>
            <w:vAlign w:val="bottom"/>
          </w:tcPr>
          <w:p w14:paraId="164148A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$1,710.65 </w:t>
            </w:r>
          </w:p>
        </w:tc>
        <w:tc>
          <w:tcPr>
            <w:tcW w:w="1091" w:type="dxa"/>
            <w:tcBorders>
              <w:top w:val="single" w:sz="4" w:space="0" w:color="auto"/>
              <w:left w:val="single" w:sz="4" w:space="0" w:color="auto"/>
              <w:bottom w:val="single" w:sz="4" w:space="0" w:color="auto"/>
              <w:right w:val="single" w:sz="4" w:space="0" w:color="auto"/>
            </w:tcBorders>
            <w:shd w:val="clear" w:color="000000" w:fill="FFFFFF"/>
            <w:vAlign w:val="bottom"/>
          </w:tcPr>
          <w:p w14:paraId="618E1952"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$2,185.30 </w:t>
            </w:r>
          </w:p>
        </w:tc>
        <w:tc>
          <w:tcPr>
            <w:tcW w:w="1108" w:type="dxa"/>
            <w:tcBorders>
              <w:top w:val="nil"/>
              <w:left w:val="single" w:sz="4" w:space="0" w:color="auto"/>
              <w:bottom w:val="single" w:sz="4" w:space="0" w:color="000000"/>
              <w:right w:val="single" w:sz="4" w:space="0" w:color="000000"/>
            </w:tcBorders>
            <w:shd w:val="clear" w:color="000000" w:fill="FFFFFF"/>
            <w:noWrap/>
            <w:vAlign w:val="bottom"/>
          </w:tcPr>
          <w:p w14:paraId="236E3E06"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12" w:space="0" w:color="auto"/>
            </w:tcBorders>
            <w:shd w:val="clear" w:color="000000" w:fill="FFFFFF"/>
            <w:noWrap/>
            <w:vAlign w:val="bottom"/>
          </w:tcPr>
          <w:p w14:paraId="574E40D9"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$1,777.80 </w:t>
            </w:r>
          </w:p>
        </w:tc>
      </w:tr>
      <w:tr w:rsidR="002F68E2" w:rsidRPr="00964F50" w14:paraId="0DEC68D4" w14:textId="77777777" w:rsidTr="006E7FBB">
        <w:trPr>
          <w:trHeight w:val="369"/>
        </w:trPr>
        <w:tc>
          <w:tcPr>
            <w:tcW w:w="737" w:type="dxa"/>
            <w:vMerge/>
            <w:tcBorders>
              <w:top w:val="nil"/>
              <w:left w:val="single" w:sz="12" w:space="0" w:color="auto"/>
              <w:bottom w:val="single" w:sz="4" w:space="0" w:color="auto"/>
              <w:right w:val="single" w:sz="12" w:space="0" w:color="auto"/>
            </w:tcBorders>
            <w:vAlign w:val="center"/>
            <w:hideMark/>
          </w:tcPr>
          <w:p w14:paraId="49BBAD58"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4" w:space="0" w:color="auto"/>
              <w:right w:val="single" w:sz="4" w:space="0" w:color="auto"/>
            </w:tcBorders>
            <w:shd w:val="clear" w:color="auto" w:fill="auto"/>
            <w:vAlign w:val="center"/>
            <w:hideMark/>
          </w:tcPr>
          <w:p w14:paraId="3FF5E3B5"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95th Percentile fee*</w:t>
            </w:r>
          </w:p>
        </w:tc>
        <w:tc>
          <w:tcPr>
            <w:tcW w:w="1091" w:type="dxa"/>
            <w:tcBorders>
              <w:top w:val="nil"/>
              <w:left w:val="nil"/>
              <w:bottom w:val="single" w:sz="4" w:space="0" w:color="000000"/>
              <w:right w:val="single" w:sz="4" w:space="0" w:color="000000"/>
            </w:tcBorders>
            <w:shd w:val="clear" w:color="000000" w:fill="FFFFFF"/>
            <w:noWrap/>
            <w:vAlign w:val="bottom"/>
          </w:tcPr>
          <w:p w14:paraId="572D6F51"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$7,106.90 </w:t>
            </w:r>
          </w:p>
        </w:tc>
        <w:tc>
          <w:tcPr>
            <w:tcW w:w="1194" w:type="dxa"/>
            <w:tcBorders>
              <w:top w:val="nil"/>
              <w:left w:val="nil"/>
              <w:bottom w:val="single" w:sz="4" w:space="0" w:color="000000"/>
              <w:right w:val="single" w:sz="4" w:space="0" w:color="000000"/>
            </w:tcBorders>
            <w:shd w:val="clear" w:color="000000" w:fill="FFFFFF"/>
            <w:noWrap/>
            <w:vAlign w:val="bottom"/>
          </w:tcPr>
          <w:p w14:paraId="05146B1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$5,339.90 </w:t>
            </w:r>
          </w:p>
        </w:tc>
        <w:tc>
          <w:tcPr>
            <w:tcW w:w="1108" w:type="dxa"/>
            <w:tcBorders>
              <w:top w:val="nil"/>
              <w:left w:val="nil"/>
              <w:bottom w:val="single" w:sz="4" w:space="0" w:color="000000"/>
              <w:right w:val="single" w:sz="4" w:space="0" w:color="000000"/>
            </w:tcBorders>
            <w:shd w:val="clear" w:color="000000" w:fill="FFFFFF"/>
            <w:noWrap/>
            <w:vAlign w:val="bottom"/>
          </w:tcPr>
          <w:p w14:paraId="7B5D241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$6,178.95 </w:t>
            </w:r>
          </w:p>
        </w:tc>
        <w:tc>
          <w:tcPr>
            <w:tcW w:w="1108" w:type="dxa"/>
            <w:tcBorders>
              <w:top w:val="nil"/>
              <w:left w:val="nil"/>
              <w:bottom w:val="single" w:sz="4" w:space="0" w:color="000000"/>
              <w:right w:val="single" w:sz="4" w:space="0" w:color="000000"/>
            </w:tcBorders>
            <w:shd w:val="clear" w:color="000000" w:fill="FFFFFF"/>
            <w:noWrap/>
            <w:vAlign w:val="bottom"/>
          </w:tcPr>
          <w:p w14:paraId="3F3DDB1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4" w:space="0" w:color="auto"/>
            </w:tcBorders>
            <w:shd w:val="clear" w:color="000000" w:fill="FFFFFF"/>
            <w:noWrap/>
            <w:vAlign w:val="bottom"/>
          </w:tcPr>
          <w:p w14:paraId="430C1598"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$4,082.70 </w:t>
            </w:r>
          </w:p>
        </w:tc>
        <w:tc>
          <w:tcPr>
            <w:tcW w:w="1091" w:type="dxa"/>
            <w:tcBorders>
              <w:top w:val="single" w:sz="4" w:space="0" w:color="auto"/>
              <w:left w:val="single" w:sz="4" w:space="0" w:color="auto"/>
              <w:bottom w:val="single" w:sz="4" w:space="0" w:color="auto"/>
              <w:right w:val="single" w:sz="4" w:space="0" w:color="auto"/>
            </w:tcBorders>
            <w:shd w:val="clear" w:color="000000" w:fill="FFFFFF"/>
            <w:vAlign w:val="bottom"/>
          </w:tcPr>
          <w:p w14:paraId="41A5402F"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$6,117.15 </w:t>
            </w:r>
          </w:p>
        </w:tc>
        <w:tc>
          <w:tcPr>
            <w:tcW w:w="1108" w:type="dxa"/>
            <w:tcBorders>
              <w:top w:val="nil"/>
              <w:left w:val="single" w:sz="4" w:space="0" w:color="auto"/>
              <w:bottom w:val="single" w:sz="4" w:space="0" w:color="000000"/>
              <w:right w:val="single" w:sz="4" w:space="0" w:color="000000"/>
            </w:tcBorders>
            <w:shd w:val="clear" w:color="000000" w:fill="FFFFFF"/>
            <w:noWrap/>
            <w:vAlign w:val="bottom"/>
          </w:tcPr>
          <w:p w14:paraId="7B9C2E5A"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np</w:t>
            </w:r>
          </w:p>
        </w:tc>
        <w:tc>
          <w:tcPr>
            <w:tcW w:w="1108" w:type="dxa"/>
            <w:tcBorders>
              <w:top w:val="nil"/>
              <w:left w:val="nil"/>
              <w:bottom w:val="single" w:sz="4" w:space="0" w:color="000000"/>
              <w:right w:val="single" w:sz="12" w:space="0" w:color="auto"/>
            </w:tcBorders>
            <w:shd w:val="clear" w:color="000000" w:fill="FFFFFF"/>
            <w:noWrap/>
            <w:vAlign w:val="bottom"/>
          </w:tcPr>
          <w:p w14:paraId="31AB2663" w14:textId="77777777" w:rsidR="002F68E2" w:rsidRDefault="002F68E2" w:rsidP="002F68E2">
            <w:pPr>
              <w:jc w:val="right"/>
              <w:rPr>
                <w:rFonts w:ascii="Arial" w:hAnsi="Arial" w:cs="Arial"/>
                <w:color w:val="000000"/>
                <w:sz w:val="18"/>
                <w:szCs w:val="18"/>
              </w:rPr>
            </w:pPr>
            <w:r>
              <w:rPr>
                <w:rFonts w:ascii="Arial" w:hAnsi="Arial" w:cs="Arial"/>
                <w:color w:val="000000"/>
                <w:sz w:val="18"/>
                <w:szCs w:val="18"/>
              </w:rPr>
              <w:t xml:space="preserve">$6,178.95 </w:t>
            </w:r>
          </w:p>
        </w:tc>
      </w:tr>
      <w:tr w:rsidR="002F68E2" w:rsidRPr="00964F50" w14:paraId="43077B4A" w14:textId="77777777" w:rsidTr="006E7FBB">
        <w:trPr>
          <w:trHeight w:val="369"/>
        </w:trPr>
        <w:tc>
          <w:tcPr>
            <w:tcW w:w="737" w:type="dxa"/>
            <w:vMerge/>
            <w:tcBorders>
              <w:top w:val="nil"/>
              <w:left w:val="single" w:sz="12" w:space="0" w:color="auto"/>
              <w:bottom w:val="single" w:sz="12" w:space="0" w:color="auto"/>
              <w:right w:val="single" w:sz="12" w:space="0" w:color="auto"/>
            </w:tcBorders>
            <w:vAlign w:val="center"/>
            <w:hideMark/>
          </w:tcPr>
          <w:p w14:paraId="417E3DB8" w14:textId="77777777" w:rsidR="002F68E2" w:rsidRPr="00964F50" w:rsidRDefault="002F68E2" w:rsidP="002F68E2">
            <w:pPr>
              <w:rPr>
                <w:rFonts w:ascii="Arial" w:hAnsi="Arial" w:cs="Arial"/>
                <w:b/>
                <w:bCs/>
                <w:color w:val="000000"/>
                <w:sz w:val="18"/>
                <w:szCs w:val="18"/>
              </w:rPr>
            </w:pPr>
          </w:p>
        </w:tc>
        <w:tc>
          <w:tcPr>
            <w:tcW w:w="1156" w:type="dxa"/>
            <w:tcBorders>
              <w:top w:val="nil"/>
              <w:left w:val="single" w:sz="12" w:space="0" w:color="auto"/>
              <w:bottom w:val="single" w:sz="12" w:space="0" w:color="auto"/>
              <w:right w:val="single" w:sz="4" w:space="0" w:color="auto"/>
            </w:tcBorders>
            <w:shd w:val="clear" w:color="auto" w:fill="auto"/>
            <w:vAlign w:val="center"/>
            <w:hideMark/>
          </w:tcPr>
          <w:p w14:paraId="2312983C" w14:textId="77777777" w:rsidR="002F68E2" w:rsidRPr="00964F50" w:rsidRDefault="002F68E2" w:rsidP="002F68E2">
            <w:pPr>
              <w:rPr>
                <w:rFonts w:ascii="Arial" w:hAnsi="Arial" w:cs="Arial"/>
                <w:b/>
                <w:bCs/>
                <w:color w:val="000000"/>
                <w:sz w:val="18"/>
                <w:szCs w:val="18"/>
              </w:rPr>
            </w:pPr>
            <w:r w:rsidRPr="00964F50">
              <w:rPr>
                <w:rFonts w:ascii="Arial" w:hAnsi="Arial" w:cs="Arial"/>
                <w:b/>
                <w:bCs/>
                <w:color w:val="000000"/>
                <w:sz w:val="18"/>
                <w:szCs w:val="18"/>
              </w:rPr>
              <w:t>Bulk Billed rate</w:t>
            </w:r>
          </w:p>
        </w:tc>
        <w:tc>
          <w:tcPr>
            <w:tcW w:w="1091" w:type="dxa"/>
            <w:tcBorders>
              <w:top w:val="nil"/>
              <w:left w:val="nil"/>
              <w:bottom w:val="single" w:sz="12" w:space="0" w:color="auto"/>
              <w:right w:val="single" w:sz="4" w:space="0" w:color="000000"/>
            </w:tcBorders>
            <w:shd w:val="clear" w:color="000000" w:fill="FFFFFF"/>
            <w:noWrap/>
            <w:vAlign w:val="bottom"/>
          </w:tcPr>
          <w:p w14:paraId="1B66E7DA"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 xml:space="preserve">1.7% </w:t>
            </w:r>
          </w:p>
        </w:tc>
        <w:tc>
          <w:tcPr>
            <w:tcW w:w="1194" w:type="dxa"/>
            <w:tcBorders>
              <w:top w:val="nil"/>
              <w:left w:val="nil"/>
              <w:bottom w:val="single" w:sz="12" w:space="0" w:color="auto"/>
              <w:right w:val="single" w:sz="4" w:space="0" w:color="000000"/>
            </w:tcBorders>
            <w:shd w:val="clear" w:color="000000" w:fill="FFFFFF"/>
            <w:noWrap/>
            <w:vAlign w:val="bottom"/>
          </w:tcPr>
          <w:p w14:paraId="55D9568F"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nil"/>
              <w:bottom w:val="single" w:sz="12" w:space="0" w:color="auto"/>
              <w:right w:val="single" w:sz="4" w:space="0" w:color="000000"/>
            </w:tcBorders>
            <w:shd w:val="clear" w:color="000000" w:fill="FFFFFF"/>
            <w:noWrap/>
            <w:vAlign w:val="bottom"/>
          </w:tcPr>
          <w:p w14:paraId="0DDA86EA"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 xml:space="preserve">0.5% </w:t>
            </w:r>
          </w:p>
        </w:tc>
        <w:tc>
          <w:tcPr>
            <w:tcW w:w="1108" w:type="dxa"/>
            <w:tcBorders>
              <w:top w:val="nil"/>
              <w:left w:val="nil"/>
              <w:bottom w:val="single" w:sz="12" w:space="0" w:color="auto"/>
              <w:right w:val="single" w:sz="4" w:space="0" w:color="000000"/>
            </w:tcBorders>
            <w:shd w:val="clear" w:color="000000" w:fill="FFFFFF"/>
            <w:noWrap/>
            <w:vAlign w:val="bottom"/>
          </w:tcPr>
          <w:p w14:paraId="1376861E"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nil"/>
              <w:bottom w:val="single" w:sz="12" w:space="0" w:color="auto"/>
              <w:right w:val="single" w:sz="4" w:space="0" w:color="auto"/>
            </w:tcBorders>
            <w:shd w:val="clear" w:color="000000" w:fill="FFFFFF"/>
            <w:noWrap/>
            <w:vAlign w:val="bottom"/>
          </w:tcPr>
          <w:p w14:paraId="4503EED6"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 xml:space="preserve">1.1% </w:t>
            </w:r>
          </w:p>
        </w:tc>
        <w:tc>
          <w:tcPr>
            <w:tcW w:w="1091" w:type="dxa"/>
            <w:tcBorders>
              <w:top w:val="single" w:sz="4" w:space="0" w:color="auto"/>
              <w:left w:val="single" w:sz="4" w:space="0" w:color="auto"/>
              <w:bottom w:val="single" w:sz="12" w:space="0" w:color="auto"/>
              <w:right w:val="single" w:sz="4" w:space="0" w:color="auto"/>
            </w:tcBorders>
            <w:shd w:val="clear" w:color="000000" w:fill="FFFFFF"/>
            <w:vAlign w:val="bottom"/>
          </w:tcPr>
          <w:p w14:paraId="42EE5B96"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single" w:sz="4" w:space="0" w:color="auto"/>
              <w:bottom w:val="single" w:sz="12" w:space="0" w:color="auto"/>
              <w:right w:val="single" w:sz="4" w:space="0" w:color="000000"/>
            </w:tcBorders>
            <w:shd w:val="clear" w:color="000000" w:fill="FFFFFF"/>
            <w:noWrap/>
            <w:vAlign w:val="bottom"/>
          </w:tcPr>
          <w:p w14:paraId="4D3C6D25"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0.0%</w:t>
            </w:r>
          </w:p>
        </w:tc>
        <w:tc>
          <w:tcPr>
            <w:tcW w:w="1108" w:type="dxa"/>
            <w:tcBorders>
              <w:top w:val="nil"/>
              <w:left w:val="nil"/>
              <w:bottom w:val="single" w:sz="12" w:space="0" w:color="auto"/>
              <w:right w:val="single" w:sz="12" w:space="0" w:color="auto"/>
            </w:tcBorders>
            <w:shd w:val="clear" w:color="000000" w:fill="FFFFFF"/>
            <w:noWrap/>
            <w:vAlign w:val="bottom"/>
          </w:tcPr>
          <w:p w14:paraId="2234149C" w14:textId="77777777" w:rsidR="002F68E2" w:rsidRPr="00D42C35" w:rsidRDefault="002F68E2" w:rsidP="002F68E2">
            <w:pPr>
              <w:jc w:val="right"/>
              <w:rPr>
                <w:rFonts w:ascii="Arial" w:hAnsi="Arial" w:cs="Arial"/>
                <w:color w:val="000000"/>
                <w:sz w:val="18"/>
                <w:szCs w:val="18"/>
              </w:rPr>
            </w:pPr>
            <w:r w:rsidRPr="00D42C35">
              <w:rPr>
                <w:rFonts w:ascii="Arial" w:hAnsi="Arial" w:cs="Arial"/>
                <w:color w:val="000000"/>
                <w:sz w:val="18"/>
                <w:szCs w:val="18"/>
              </w:rPr>
              <w:t xml:space="preserve">0.7% </w:t>
            </w:r>
          </w:p>
        </w:tc>
      </w:tr>
    </w:tbl>
    <w:p w14:paraId="31F7FAC0" w14:textId="77777777" w:rsidR="00044BD3" w:rsidRDefault="009763C8" w:rsidP="002F68E2">
      <w:pPr>
        <w:rPr>
          <w:sz w:val="18"/>
          <w:szCs w:val="18"/>
        </w:rPr>
      </w:pPr>
      <w:r w:rsidRPr="009763C8">
        <w:rPr>
          <w:rStyle w:val="FootnoteReference"/>
          <w:sz w:val="20"/>
        </w:rPr>
        <w:footnoteRef/>
      </w:r>
      <w:r w:rsidRPr="009763C8">
        <w:rPr>
          <w:sz w:val="20"/>
        </w:rPr>
        <w:t xml:space="preserve"> </w:t>
      </w:r>
      <w:r w:rsidRPr="005E69D6">
        <w:rPr>
          <w:sz w:val="18"/>
          <w:szCs w:val="18"/>
        </w:rPr>
        <w:t>The 95th percentile fee charged represents that 95% of the time the fee is at or below this amount but in 5% of cases, the fee is higher than this.</w:t>
      </w:r>
    </w:p>
    <w:p w14:paraId="4A8FEDD0" w14:textId="5183BB01" w:rsidR="00221A6F" w:rsidRPr="007E7881" w:rsidRDefault="007D6197" w:rsidP="00806AA2">
      <w:pPr>
        <w:spacing w:after="120"/>
        <w:rPr>
          <w:i/>
          <w:sz w:val="18"/>
          <w:szCs w:val="18"/>
        </w:rPr>
      </w:pPr>
      <w:r w:rsidRPr="00655DCD">
        <w:rPr>
          <w:i/>
          <w:sz w:val="18"/>
          <w:szCs w:val="18"/>
        </w:rPr>
        <w:t>Source: Department of Health, File: Q21109B Item 48694 utilisation 31 Jan 2018-.xls</w:t>
      </w:r>
    </w:p>
    <w:p w14:paraId="2C24A317" w14:textId="5FD7F09D" w:rsidR="009763C8" w:rsidRPr="005E69D6" w:rsidRDefault="00044BD3" w:rsidP="002F68E2">
      <w:pPr>
        <w:rPr>
          <w:sz w:val="18"/>
          <w:szCs w:val="18"/>
        </w:rPr>
      </w:pPr>
      <w:r>
        <w:rPr>
          <w:noProof/>
        </w:rPr>
        <w:lastRenderedPageBreak/>
        <w:drawing>
          <wp:inline distT="0" distB="0" distL="0" distR="0" wp14:anchorId="59792F4A" wp14:editId="0A75367A">
            <wp:extent cx="5720316" cy="2743200"/>
            <wp:effectExtent l="0" t="0" r="13970" b="19050"/>
            <wp:docPr id="6" name="Chart 6" descr="Average fee charged and range between 25th percentile and 95th percentile fee charged by state for MBS item 48694 between 2013-14 and 2016-17.&#10;This chart shows the ACT recorded the highest average fees. In Queensland the average fee was above the national average, and NSW, Victoria and WA recorded average fees  below the national average. &#10;" title="Average fee charged and range between 25th percentile and 95th percenti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6612AA" w14:textId="6116ABEC" w:rsidR="00044BD3" w:rsidRPr="00655DCD" w:rsidRDefault="00806AA2" w:rsidP="00044BD3">
      <w:pPr>
        <w:rPr>
          <w:b/>
          <w:sz w:val="20"/>
        </w:rPr>
      </w:pPr>
      <w:r>
        <w:rPr>
          <w:b/>
          <w:sz w:val="20"/>
        </w:rPr>
        <w:t>Figure 3</w:t>
      </w:r>
      <w:r w:rsidR="00044BD3" w:rsidRPr="00655DCD">
        <w:rPr>
          <w:b/>
          <w:sz w:val="20"/>
        </w:rPr>
        <w:t xml:space="preserve">: </w:t>
      </w:r>
      <w:r w:rsidR="00044BD3">
        <w:rPr>
          <w:b/>
          <w:sz w:val="20"/>
        </w:rPr>
        <w:t>Average fee charged and range between 25</w:t>
      </w:r>
      <w:r w:rsidR="00044BD3" w:rsidRPr="00655DCD">
        <w:rPr>
          <w:b/>
          <w:sz w:val="20"/>
          <w:vertAlign w:val="superscript"/>
        </w:rPr>
        <w:t>th</w:t>
      </w:r>
      <w:r w:rsidR="00044BD3">
        <w:rPr>
          <w:b/>
          <w:sz w:val="20"/>
        </w:rPr>
        <w:t xml:space="preserve"> percentile and 95</w:t>
      </w:r>
      <w:r w:rsidR="00044BD3" w:rsidRPr="00655DCD">
        <w:rPr>
          <w:b/>
          <w:sz w:val="20"/>
          <w:vertAlign w:val="superscript"/>
        </w:rPr>
        <w:t>th</w:t>
      </w:r>
      <w:r w:rsidR="00044BD3">
        <w:rPr>
          <w:b/>
          <w:sz w:val="20"/>
        </w:rPr>
        <w:t xml:space="preserve"> percentile fee charged by state for MBS item 48694 between 2103-14 and 2016-17</w:t>
      </w:r>
    </w:p>
    <w:p w14:paraId="11E6CD91" w14:textId="7D20485C" w:rsidR="00044BD3" w:rsidRDefault="00044BD3" w:rsidP="00044BD3">
      <w:pPr>
        <w:rPr>
          <w:i/>
          <w:sz w:val="18"/>
          <w:szCs w:val="18"/>
        </w:rPr>
      </w:pPr>
      <w:r w:rsidRPr="00655DCD">
        <w:rPr>
          <w:i/>
          <w:sz w:val="18"/>
          <w:szCs w:val="18"/>
        </w:rPr>
        <w:t>Source: Department of Health, File: Q21109B Item 48694 utilisation 31 Jan 2018-.xls</w:t>
      </w:r>
    </w:p>
    <w:p w14:paraId="7BB63DAF" w14:textId="5DA10589" w:rsidR="00BC1364" w:rsidRDefault="007D6197" w:rsidP="00ED22AD">
      <w:pPr>
        <w:pStyle w:val="Heading1"/>
        <w:tabs>
          <w:tab w:val="left" w:pos="720"/>
          <w:tab w:val="left" w:pos="1140"/>
        </w:tabs>
        <w:spacing w:before="240"/>
      </w:pPr>
      <w:r>
        <w:t>6.</w:t>
      </w:r>
      <w:r w:rsidR="009036EC">
        <w:tab/>
      </w:r>
      <w:r w:rsidR="00A91AFD">
        <w:t>Background</w:t>
      </w:r>
    </w:p>
    <w:p w14:paraId="1EC74B93" w14:textId="30B17694" w:rsidR="005E69D6" w:rsidRDefault="005E69D6" w:rsidP="00CB2F69">
      <w:pPr>
        <w:autoSpaceDE w:val="0"/>
        <w:autoSpaceDN w:val="0"/>
        <w:adjustRightInd w:val="0"/>
      </w:pPr>
      <w:r>
        <w:t>In 2006 the Medical Services Advisory Committee (MSAC) considered an application</w:t>
      </w:r>
      <w:r w:rsidRPr="00D21028">
        <w:t xml:space="preserve"> requesting Medicare Benefits Schedule (MBS) </w:t>
      </w:r>
      <w:r>
        <w:t>listing for artificial intervertebral disc replacement</w:t>
      </w:r>
      <w:r w:rsidRPr="00CC3926">
        <w:t xml:space="preserve"> </w:t>
      </w:r>
      <w:r>
        <w:t>(</w:t>
      </w:r>
      <w:r w:rsidRPr="00CC3926">
        <w:t>AIDR</w:t>
      </w:r>
      <w:r>
        <w:t>)</w:t>
      </w:r>
      <w:r w:rsidRPr="00CC3926">
        <w:t>, for the treatment of degenerative disc disease in the cervical and lumbar spi</w:t>
      </w:r>
      <w:r>
        <w:t xml:space="preserve">ne (MSAC application </w:t>
      </w:r>
      <w:r w:rsidRPr="00CC3926">
        <w:t>1090</w:t>
      </w:r>
      <w:r>
        <w:t>). Though MSAC recommended interim listing of AIDR for the lumbar spine (AIDR-L) they did not support listing of AIDR for patients with cervical dege</w:t>
      </w:r>
      <w:r w:rsidR="007E7881">
        <w:t>nerative disc disease (AIDR-C).</w:t>
      </w:r>
    </w:p>
    <w:p w14:paraId="2E8D0FE5" w14:textId="77777777" w:rsidR="005E69D6" w:rsidRDefault="005E69D6" w:rsidP="00CB2F69">
      <w:pPr>
        <w:spacing w:before="360"/>
      </w:pPr>
      <w:r>
        <w:t>I</w:t>
      </w:r>
      <w:r w:rsidRPr="00D21028">
        <w:t>n January 2010</w:t>
      </w:r>
      <w:r>
        <w:t xml:space="preserve"> a</w:t>
      </w:r>
      <w:r w:rsidRPr="00D21028">
        <w:t xml:space="preserve">n application </w:t>
      </w:r>
      <w:r>
        <w:t xml:space="preserve">(MSAC Application 1145) </w:t>
      </w:r>
      <w:r w:rsidRPr="00D21028">
        <w:t xml:space="preserve">was received from the Spine Society of Australia requesting </w:t>
      </w:r>
      <w:r>
        <w:t>MBS</w:t>
      </w:r>
      <w:r w:rsidRPr="00D21028">
        <w:t xml:space="preserve"> listing of AIDR</w:t>
      </w:r>
      <w:r>
        <w:t>-C</w:t>
      </w:r>
      <w:r w:rsidRPr="00D21028">
        <w:t>.</w:t>
      </w:r>
      <w:r>
        <w:t xml:space="preserve"> MSAC initially considered the application at its 52</w:t>
      </w:r>
      <w:r w:rsidRPr="008B5D8B">
        <w:rPr>
          <w:vertAlign w:val="superscript"/>
        </w:rPr>
        <w:t>nd</w:t>
      </w:r>
      <w:r>
        <w:t xml:space="preserve"> meeting in April 2011, and deferred a decision pending a request for further information from the applicant and the department. </w:t>
      </w:r>
    </w:p>
    <w:p w14:paraId="5F7F3561" w14:textId="7888D961" w:rsidR="005E69D6" w:rsidRPr="005E69D6" w:rsidRDefault="005E69D6" w:rsidP="005E69D6">
      <w:r>
        <w:t>At its 54</w:t>
      </w:r>
      <w:r w:rsidRPr="00D108AB">
        <w:rPr>
          <w:vertAlign w:val="superscript"/>
        </w:rPr>
        <w:t>th</w:t>
      </w:r>
      <w:r>
        <w:t xml:space="preserve"> meeting in November 2011, MSAC supported the listing of AIDR-C for patients with symptomatic single level cervical degenerative disc disease in skeletally mature patients with a mechanically stable cervical spine who have not responded to conservative therapy and who have not had</w:t>
      </w:r>
      <w:r w:rsidR="007E7881">
        <w:t xml:space="preserve"> prior cervical spine surgery.</w:t>
      </w:r>
    </w:p>
    <w:p w14:paraId="1565E701" w14:textId="7C0DCE32" w:rsidR="00BD417B" w:rsidRDefault="00C46243" w:rsidP="00806AA2">
      <w:pPr>
        <w:spacing w:before="240"/>
      </w:pPr>
      <w:r>
        <w:t>Item descriptor</w:t>
      </w:r>
    </w:p>
    <w:tbl>
      <w:tblPr>
        <w:tblW w:w="9531" w:type="dxa"/>
        <w:tblCellMar>
          <w:left w:w="60" w:type="dxa"/>
          <w:right w:w="60" w:type="dxa"/>
        </w:tblCellMar>
        <w:tblLook w:val="0000" w:firstRow="0" w:lastRow="0" w:firstColumn="0" w:lastColumn="0" w:noHBand="0" w:noVBand="0"/>
        <w:tblDescription w:val="This table contains the item descriptor for MBS item 18377. The table is split into two columns: 1) item number, 2) item descriptor text and fee information."/>
      </w:tblPr>
      <w:tblGrid>
        <w:gridCol w:w="720"/>
        <w:gridCol w:w="8811"/>
      </w:tblGrid>
      <w:tr w:rsidR="00BD417B" w:rsidRPr="00806D78" w14:paraId="1D7873FB" w14:textId="77777777" w:rsidTr="00BE7EE1">
        <w:trPr>
          <w:trHeight w:val="3834"/>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DCB1A4" w14:textId="79F7B3C2" w:rsidR="00BD417B" w:rsidRDefault="00BD417B" w:rsidP="00D1187E">
            <w:pPr>
              <w:jc w:val="center"/>
            </w:pPr>
            <w:r>
              <w:t>48694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9ACF8" w14:textId="77777777" w:rsidR="00BD417B" w:rsidRDefault="00BD417B" w:rsidP="00BD417B">
            <w:pPr>
              <w:pBdr>
                <w:top w:val="single" w:sz="4" w:space="1" w:color="auto"/>
                <w:left w:val="single" w:sz="4" w:space="4" w:color="auto"/>
                <w:bottom w:val="single" w:sz="4" w:space="1" w:color="auto"/>
                <w:right w:val="single" w:sz="4" w:space="4" w:color="auto"/>
              </w:pBdr>
            </w:pPr>
            <w:r>
              <w:t>Cervical artificial intervertebral total disc replacement, at one level only, including removal of disc, for a patient who:</w:t>
            </w:r>
          </w:p>
          <w:p w14:paraId="6C3DAEE9" w14:textId="77777777" w:rsidR="00BD417B" w:rsidRDefault="00BD417B" w:rsidP="00BD417B">
            <w:pPr>
              <w:pBdr>
                <w:top w:val="single" w:sz="4" w:space="1" w:color="auto"/>
                <w:left w:val="single" w:sz="4" w:space="4" w:color="auto"/>
                <w:bottom w:val="single" w:sz="4" w:space="1" w:color="auto"/>
                <w:right w:val="single" w:sz="4" w:space="4" w:color="auto"/>
              </w:pBdr>
            </w:pPr>
            <w:r>
              <w:t>(a) has not had prior spinal surgery at the same cervic</w:t>
            </w:r>
            <w:bookmarkStart w:id="2" w:name="_GoBack"/>
            <w:bookmarkEnd w:id="2"/>
            <w:r>
              <w:t>al level; and</w:t>
            </w:r>
          </w:p>
          <w:p w14:paraId="156C1469" w14:textId="77777777" w:rsidR="00BD417B" w:rsidRDefault="00BD417B" w:rsidP="00BD417B">
            <w:pPr>
              <w:pBdr>
                <w:top w:val="single" w:sz="4" w:space="1" w:color="auto"/>
                <w:left w:val="single" w:sz="4" w:space="4" w:color="auto"/>
                <w:bottom w:val="single" w:sz="4" w:space="1" w:color="auto"/>
                <w:right w:val="single" w:sz="4" w:space="4" w:color="auto"/>
              </w:pBdr>
            </w:pPr>
            <w:r>
              <w:t>(b) is skeletally mature; and</w:t>
            </w:r>
          </w:p>
          <w:p w14:paraId="6E57CC0B" w14:textId="77777777" w:rsidR="00BD417B" w:rsidRDefault="00BD417B" w:rsidP="00BD417B">
            <w:pPr>
              <w:pBdr>
                <w:top w:val="single" w:sz="4" w:space="1" w:color="auto"/>
                <w:left w:val="single" w:sz="4" w:space="4" w:color="auto"/>
                <w:bottom w:val="single" w:sz="4" w:space="1" w:color="auto"/>
                <w:right w:val="single" w:sz="4" w:space="4" w:color="auto"/>
              </w:pBdr>
            </w:pPr>
            <w:r>
              <w:t>(c) has symptomatic degenerative disc disease with radiculopathy; and</w:t>
            </w:r>
          </w:p>
          <w:p w14:paraId="393BC246" w14:textId="77777777" w:rsidR="00BD417B" w:rsidRDefault="00BD417B" w:rsidP="00BD417B">
            <w:pPr>
              <w:pBdr>
                <w:top w:val="single" w:sz="4" w:space="1" w:color="auto"/>
                <w:left w:val="single" w:sz="4" w:space="4" w:color="auto"/>
                <w:bottom w:val="single" w:sz="4" w:space="1" w:color="auto"/>
                <w:right w:val="single" w:sz="4" w:space="4" w:color="auto"/>
              </w:pBdr>
            </w:pPr>
            <w:r>
              <w:t>(d) does not have vertebral osteoporosis; and</w:t>
            </w:r>
          </w:p>
          <w:p w14:paraId="4498D012" w14:textId="77777777" w:rsidR="00BD417B" w:rsidRDefault="00BD417B" w:rsidP="00BD417B">
            <w:pPr>
              <w:pBdr>
                <w:top w:val="single" w:sz="4" w:space="1" w:color="auto"/>
                <w:left w:val="single" w:sz="4" w:space="4" w:color="auto"/>
                <w:bottom w:val="single" w:sz="4" w:space="1" w:color="auto"/>
                <w:right w:val="single" w:sz="4" w:space="4" w:color="auto"/>
              </w:pBdr>
            </w:pPr>
            <w:r>
              <w:t>(e) has failed conservative therapy;</w:t>
            </w:r>
          </w:p>
          <w:p w14:paraId="1B652ECD" w14:textId="7C5E5528" w:rsidR="00BD417B" w:rsidRDefault="00BD417B" w:rsidP="007E7881">
            <w:pPr>
              <w:pBdr>
                <w:top w:val="single" w:sz="4" w:space="1" w:color="auto"/>
                <w:left w:val="single" w:sz="4" w:space="4" w:color="auto"/>
                <w:bottom w:val="single" w:sz="4" w:space="1" w:color="auto"/>
                <w:right w:val="single" w:sz="4" w:space="4" w:color="auto"/>
              </w:pBdr>
              <w:spacing w:after="240"/>
            </w:pPr>
            <w:r>
              <w:t>other than a service asso</w:t>
            </w:r>
            <w:r w:rsidR="007E7881">
              <w:t>ciated with item 40300 or 40301</w:t>
            </w:r>
          </w:p>
          <w:p w14:paraId="765C751F" w14:textId="53F7FD01" w:rsidR="00BD417B" w:rsidRDefault="007E7881" w:rsidP="007E7881">
            <w:pPr>
              <w:pBdr>
                <w:top w:val="single" w:sz="4" w:space="1" w:color="auto"/>
                <w:left w:val="single" w:sz="4" w:space="4" w:color="auto"/>
                <w:bottom w:val="single" w:sz="4" w:space="1" w:color="auto"/>
                <w:right w:val="single" w:sz="4" w:space="4" w:color="auto"/>
              </w:pBdr>
              <w:spacing w:after="240"/>
            </w:pPr>
            <w:r>
              <w:t>Multiple Services Rule</w:t>
            </w:r>
          </w:p>
          <w:p w14:paraId="0C548584" w14:textId="7284D885" w:rsidR="00BD417B" w:rsidRDefault="007E7881" w:rsidP="007E7881">
            <w:pPr>
              <w:pBdr>
                <w:top w:val="single" w:sz="4" w:space="1" w:color="auto"/>
                <w:left w:val="single" w:sz="4" w:space="4" w:color="auto"/>
                <w:bottom w:val="single" w:sz="4" w:space="1" w:color="auto"/>
                <w:right w:val="single" w:sz="4" w:space="4" w:color="auto"/>
              </w:pBdr>
              <w:spacing w:after="240"/>
            </w:pPr>
            <w:r>
              <w:t>(Anaes.) (Assist.)</w:t>
            </w:r>
          </w:p>
          <w:p w14:paraId="2192D44C" w14:textId="77777777" w:rsidR="00BD417B" w:rsidRPr="00BD417B" w:rsidRDefault="00BD417B" w:rsidP="00BD417B">
            <w:pPr>
              <w:pBdr>
                <w:top w:val="single" w:sz="4" w:space="1" w:color="auto"/>
                <w:left w:val="single" w:sz="4" w:space="4" w:color="auto"/>
                <w:bottom w:val="single" w:sz="4" w:space="1" w:color="auto"/>
                <w:right w:val="single" w:sz="4" w:space="4" w:color="auto"/>
              </w:pBdr>
            </w:pPr>
            <w:r>
              <w:t>Fee: $1,082.70 Benefit: 75% = $812.05</w:t>
            </w:r>
          </w:p>
          <w:p w14:paraId="2C503E72" w14:textId="3106327C" w:rsidR="00BD417B" w:rsidRPr="00806D78" w:rsidRDefault="00BD417B" w:rsidP="00D1187E">
            <w:pPr>
              <w:tabs>
                <w:tab w:val="left" w:pos="2660"/>
                <w:tab w:val="left" w:pos="5040"/>
              </w:tabs>
            </w:pPr>
          </w:p>
        </w:tc>
      </w:tr>
    </w:tbl>
    <w:p w14:paraId="7CF8E0FA" w14:textId="5576F2DC" w:rsidR="00BC1364" w:rsidRDefault="00C46243" w:rsidP="00F82582">
      <w:pPr>
        <w:pStyle w:val="Heading1"/>
        <w:tabs>
          <w:tab w:val="left" w:pos="720"/>
          <w:tab w:val="left" w:pos="1140"/>
        </w:tabs>
        <w:spacing w:before="360"/>
      </w:pPr>
      <w:r>
        <w:lastRenderedPageBreak/>
        <w:t>7.</w:t>
      </w:r>
      <w:r w:rsidR="007E7881">
        <w:tab/>
      </w:r>
      <w:r w:rsidR="000746BA">
        <w:t xml:space="preserve">Applicant’s comments on </w:t>
      </w:r>
      <w:r w:rsidR="004A205B">
        <w:t xml:space="preserve">MSAC’s </w:t>
      </w:r>
      <w:r w:rsidR="000746BA">
        <w:t>public summary document</w:t>
      </w:r>
    </w:p>
    <w:p w14:paraId="204BB439" w14:textId="06D2CD88" w:rsidR="00775EF8" w:rsidRDefault="00A63661" w:rsidP="00775EF8">
      <w:r>
        <w:t>The applicant had no comment</w:t>
      </w:r>
      <w:r w:rsidR="00237308">
        <w:t>.</w:t>
      </w:r>
    </w:p>
    <w:p w14:paraId="06F15D02" w14:textId="6716D231" w:rsidR="00BC1364" w:rsidRDefault="00C46243" w:rsidP="007638A9">
      <w:pPr>
        <w:pStyle w:val="Heading1"/>
        <w:tabs>
          <w:tab w:val="left" w:pos="720"/>
          <w:tab w:val="left" w:pos="1140"/>
        </w:tabs>
        <w:spacing w:before="360"/>
      </w:pPr>
      <w:r>
        <w:t>8</w:t>
      </w:r>
      <w:r w:rsidR="007638A9">
        <w:t>.</w:t>
      </w:r>
      <w:r w:rsidR="005D1810">
        <w:tab/>
      </w:r>
      <w:r w:rsidR="007638A9">
        <w:t xml:space="preserve"> </w:t>
      </w:r>
      <w:r w:rsidR="00271F18">
        <w:t>Further information on MSAC</w:t>
      </w:r>
    </w:p>
    <w:p w14:paraId="64D3433E" w14:textId="624003CA"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8" w:tooltip="Link to MSAC website" w:history="1">
        <w:r w:rsidR="00BC1364" w:rsidRPr="007B3BA8">
          <w:rPr>
            <w:rStyle w:val="Hyperlink"/>
            <w:szCs w:val="24"/>
          </w:rPr>
          <w:t>www.msac.gov.au</w:t>
        </w:r>
      </w:hyperlink>
      <w:r w:rsidR="005D3322">
        <w:rPr>
          <w:szCs w:val="24"/>
        </w:rPr>
        <w:t>.</w:t>
      </w:r>
    </w:p>
    <w:sectPr w:rsidR="00BC1364" w:rsidRPr="00DD2858" w:rsidSect="00BF7E05">
      <w:headerReference w:type="even" r:id="rId19"/>
      <w:headerReference w:type="default" r:id="rId20"/>
      <w:footerReference w:type="even" r:id="rId21"/>
      <w:footerReference w:type="default" r:id="rId22"/>
      <w:headerReference w:type="first" r:id="rId23"/>
      <w:footerReference w:type="first" r:id="rId24"/>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B5151" w14:textId="77777777" w:rsidR="00B07B09" w:rsidRDefault="00B07B09" w:rsidP="00065623">
      <w:r>
        <w:separator/>
      </w:r>
    </w:p>
  </w:endnote>
  <w:endnote w:type="continuationSeparator" w:id="0">
    <w:p w14:paraId="2811E6D5" w14:textId="77777777" w:rsidR="00B07B09" w:rsidRDefault="00B07B09"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E7721" w14:textId="77777777" w:rsidR="00C34592" w:rsidRDefault="00C34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378C3EDD" w14:textId="423BB190" w:rsidR="00B07B09" w:rsidRDefault="00B07B09" w:rsidP="00716342">
        <w:pPr>
          <w:pStyle w:val="Footer"/>
          <w:spacing w:after="240"/>
          <w:jc w:val="right"/>
        </w:pPr>
        <w:r>
          <w:fldChar w:fldCharType="begin"/>
        </w:r>
        <w:r>
          <w:instrText xml:space="preserve"> PAGE   \* MERGEFORMAT </w:instrText>
        </w:r>
        <w:r>
          <w:fldChar w:fldCharType="separate"/>
        </w:r>
        <w:r w:rsidR="00C34592">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F077A" w14:textId="77777777" w:rsidR="00C34592" w:rsidRDefault="00C34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99190" w14:textId="77777777" w:rsidR="00B07B09" w:rsidRDefault="00B07B09" w:rsidP="00065623">
      <w:r>
        <w:separator/>
      </w:r>
    </w:p>
  </w:footnote>
  <w:footnote w:type="continuationSeparator" w:id="0">
    <w:p w14:paraId="27382C39" w14:textId="77777777" w:rsidR="00B07B09" w:rsidRDefault="00B07B09"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8D81" w14:textId="77777777" w:rsidR="00C34592" w:rsidRDefault="00C34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D17A" w14:textId="77777777" w:rsidR="00C34592" w:rsidRDefault="00C34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BE7B" w14:textId="77777777" w:rsidR="00C34592" w:rsidRDefault="00C34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A6F"/>
    <w:multiLevelType w:val="hybridMultilevel"/>
    <w:tmpl w:val="92F2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5EE0FF9"/>
    <w:multiLevelType w:val="hybridMultilevel"/>
    <w:tmpl w:val="0B4A6024"/>
    <w:lvl w:ilvl="0" w:tplc="FA588B4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7B70"/>
    <w:multiLevelType w:val="hybridMultilevel"/>
    <w:tmpl w:val="A2CC10FA"/>
    <w:lvl w:ilvl="0" w:tplc="521C50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FF3A35"/>
    <w:multiLevelType w:val="hybridMultilevel"/>
    <w:tmpl w:val="7DBE4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A5EBA"/>
    <w:multiLevelType w:val="hybridMultilevel"/>
    <w:tmpl w:val="85DA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D53CA7"/>
    <w:multiLevelType w:val="hybridMultilevel"/>
    <w:tmpl w:val="3EB8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B80600"/>
    <w:multiLevelType w:val="hybridMultilevel"/>
    <w:tmpl w:val="9708A1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535386"/>
    <w:multiLevelType w:val="multilevel"/>
    <w:tmpl w:val="D3EC8D5C"/>
    <w:styleLink w:val="TableListNumbers"/>
    <w:lvl w:ilvl="0">
      <w:start w:val="1"/>
      <w:numFmt w:val="lowerRoman"/>
      <w:pStyle w:val="TableListNumber"/>
      <w:lvlText w:val="(%1)"/>
      <w:lvlJc w:val="left"/>
      <w:pPr>
        <w:tabs>
          <w:tab w:val="num" w:pos="170"/>
        </w:tabs>
        <w:ind w:left="170" w:hanging="170"/>
      </w:pPr>
      <w:rPr>
        <w:rFonts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20612FA"/>
    <w:multiLevelType w:val="hybridMultilevel"/>
    <w:tmpl w:val="827AF080"/>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D6B50"/>
    <w:multiLevelType w:val="hybridMultilevel"/>
    <w:tmpl w:val="5126B828"/>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A3E7B"/>
    <w:multiLevelType w:val="hybridMultilevel"/>
    <w:tmpl w:val="13089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8064A2"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787896"/>
    <w:multiLevelType w:val="multilevel"/>
    <w:tmpl w:val="567ADE74"/>
    <w:numStyleLink w:val="TableListBullets"/>
  </w:abstractNum>
  <w:abstractNum w:abstractNumId="28"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97700"/>
    <w:multiLevelType w:val="hybridMultilevel"/>
    <w:tmpl w:val="06822932"/>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6FBA0B51"/>
    <w:multiLevelType w:val="hybridMultilevel"/>
    <w:tmpl w:val="0A8267A2"/>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8064A2"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8064A2"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D63964"/>
    <w:multiLevelType w:val="hybridMultilevel"/>
    <w:tmpl w:val="FF3C5F34"/>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A0DF8"/>
    <w:multiLevelType w:val="multilevel"/>
    <w:tmpl w:val="E6863C72"/>
    <w:lvl w:ilvl="0">
      <w:start w:val="1"/>
      <w:numFmt w:val="none"/>
      <w:lvlRestart w:val="0"/>
      <w:suff w:val="nothing"/>
      <w:lvlText w:val="%1"/>
      <w:lvlJc w:val="left"/>
      <w:pPr>
        <w:ind w:left="0" w:firstLine="0"/>
      </w:pPr>
      <w:rPr>
        <w:rFonts w:ascii="Calibri" w:hAnsi="Calibri" w:cs="Garamond" w:hint="default"/>
        <w:b/>
        <w:i w:val="0"/>
        <w:color w:val="9BBB59" w:themeColor="accent3"/>
        <w:position w:val="4"/>
      </w:rPr>
    </w:lvl>
    <w:lvl w:ilvl="1">
      <w:start w:val="1"/>
      <w:numFmt w:val="lowerLetter"/>
      <w:lvlText w:val="%1%2"/>
      <w:lvlJc w:val="left"/>
      <w:pPr>
        <w:tabs>
          <w:tab w:val="num" w:pos="170"/>
        </w:tabs>
        <w:ind w:left="170" w:hanging="170"/>
      </w:pPr>
      <w:rPr>
        <w:rFonts w:hint="default"/>
        <w:b/>
        <w:i w:val="0"/>
        <w:color w:val="9BBB59"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42"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2"/>
  </w:num>
  <w:num w:numId="4">
    <w:abstractNumId w:val="28"/>
  </w:num>
  <w:num w:numId="5">
    <w:abstractNumId w:val="14"/>
  </w:num>
  <w:num w:numId="6">
    <w:abstractNumId w:val="26"/>
  </w:num>
  <w:num w:numId="7">
    <w:abstractNumId w:val="31"/>
  </w:num>
  <w:num w:numId="8">
    <w:abstractNumId w:val="21"/>
  </w:num>
  <w:num w:numId="9">
    <w:abstractNumId w:val="42"/>
  </w:num>
  <w:num w:numId="10">
    <w:abstractNumId w:val="1"/>
  </w:num>
  <w:num w:numId="11">
    <w:abstractNumId w:val="30"/>
  </w:num>
  <w:num w:numId="12">
    <w:abstractNumId w:val="32"/>
  </w:num>
  <w:num w:numId="13">
    <w:abstractNumId w:val="7"/>
  </w:num>
  <w:num w:numId="14">
    <w:abstractNumId w:val="37"/>
  </w:num>
  <w:num w:numId="15">
    <w:abstractNumId w:val="29"/>
  </w:num>
  <w:num w:numId="16">
    <w:abstractNumId w:val="33"/>
  </w:num>
  <w:num w:numId="17">
    <w:abstractNumId w:val="22"/>
  </w:num>
  <w:num w:numId="18">
    <w:abstractNumId w:val="23"/>
  </w:num>
  <w:num w:numId="19">
    <w:abstractNumId w:val="35"/>
  </w:num>
  <w:num w:numId="20">
    <w:abstractNumId w:val="34"/>
  </w:num>
  <w:num w:numId="21">
    <w:abstractNumId w:val="4"/>
  </w:num>
  <w:num w:numId="22">
    <w:abstractNumId w:val="13"/>
  </w:num>
  <w:num w:numId="23">
    <w:abstractNumId w:val="3"/>
  </w:num>
  <w:num w:numId="24">
    <w:abstractNumId w:val="12"/>
  </w:num>
  <w:num w:numId="25">
    <w:abstractNumId w:val="9"/>
  </w:num>
  <w:num w:numId="26">
    <w:abstractNumId w:val="0"/>
  </w:num>
  <w:num w:numId="27">
    <w:abstractNumId w:val="4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7"/>
  </w:num>
  <w:num w:numId="31">
    <w:abstractNumId w:val="25"/>
  </w:num>
  <w:num w:numId="32">
    <w:abstractNumId w:val="27"/>
  </w:num>
  <w:num w:numId="33">
    <w:abstractNumId w:val="39"/>
  </w:num>
  <w:num w:numId="34">
    <w:abstractNumId w:val="5"/>
  </w:num>
  <w:num w:numId="35">
    <w:abstractNumId w:val="18"/>
  </w:num>
  <w:num w:numId="36">
    <w:abstractNumId w:val="19"/>
  </w:num>
  <w:num w:numId="37">
    <w:abstractNumId w:val="36"/>
  </w:num>
  <w:num w:numId="38">
    <w:abstractNumId w:val="40"/>
  </w:num>
  <w:num w:numId="39">
    <w:abstractNumId w:val="15"/>
  </w:num>
  <w:num w:numId="40">
    <w:abstractNumId w:val="10"/>
  </w:num>
  <w:num w:numId="41">
    <w:abstractNumId w:val="20"/>
  </w:num>
  <w:num w:numId="42">
    <w:abstractNumId w:val="8"/>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15358"/>
    <w:rsid w:val="00026E58"/>
    <w:rsid w:val="00033253"/>
    <w:rsid w:val="00036C20"/>
    <w:rsid w:val="0003739B"/>
    <w:rsid w:val="00042F11"/>
    <w:rsid w:val="00044BD3"/>
    <w:rsid w:val="000452C7"/>
    <w:rsid w:val="000475D1"/>
    <w:rsid w:val="00047606"/>
    <w:rsid w:val="00065623"/>
    <w:rsid w:val="000746BA"/>
    <w:rsid w:val="000756B9"/>
    <w:rsid w:val="000922FA"/>
    <w:rsid w:val="00096B67"/>
    <w:rsid w:val="00096DAF"/>
    <w:rsid w:val="000A11F9"/>
    <w:rsid w:val="000A51E4"/>
    <w:rsid w:val="000A5B70"/>
    <w:rsid w:val="000B4404"/>
    <w:rsid w:val="000B6956"/>
    <w:rsid w:val="000C2F47"/>
    <w:rsid w:val="000C4BBA"/>
    <w:rsid w:val="000C6B40"/>
    <w:rsid w:val="000D1443"/>
    <w:rsid w:val="000D6C00"/>
    <w:rsid w:val="000E146D"/>
    <w:rsid w:val="000E155F"/>
    <w:rsid w:val="000E3B33"/>
    <w:rsid w:val="000E48CF"/>
    <w:rsid w:val="000E4E04"/>
    <w:rsid w:val="000F14B4"/>
    <w:rsid w:val="000F391E"/>
    <w:rsid w:val="000F600C"/>
    <w:rsid w:val="000F75DF"/>
    <w:rsid w:val="00104EBC"/>
    <w:rsid w:val="00115C4F"/>
    <w:rsid w:val="0012059F"/>
    <w:rsid w:val="001328FA"/>
    <w:rsid w:val="00132BD7"/>
    <w:rsid w:val="00147AAF"/>
    <w:rsid w:val="00150894"/>
    <w:rsid w:val="001552C0"/>
    <w:rsid w:val="001638D7"/>
    <w:rsid w:val="001640B1"/>
    <w:rsid w:val="00182148"/>
    <w:rsid w:val="0018435E"/>
    <w:rsid w:val="00190792"/>
    <w:rsid w:val="0019118C"/>
    <w:rsid w:val="00193898"/>
    <w:rsid w:val="001B39BC"/>
    <w:rsid w:val="001C1BE6"/>
    <w:rsid w:val="002041A1"/>
    <w:rsid w:val="002054F0"/>
    <w:rsid w:val="00210420"/>
    <w:rsid w:val="00221A6F"/>
    <w:rsid w:val="00230D6B"/>
    <w:rsid w:val="00232068"/>
    <w:rsid w:val="002330F2"/>
    <w:rsid w:val="00235305"/>
    <w:rsid w:val="00237308"/>
    <w:rsid w:val="00243D9E"/>
    <w:rsid w:val="00253B66"/>
    <w:rsid w:val="00261DF1"/>
    <w:rsid w:val="002719DC"/>
    <w:rsid w:val="00271F18"/>
    <w:rsid w:val="00282779"/>
    <w:rsid w:val="0028334D"/>
    <w:rsid w:val="002B2CAA"/>
    <w:rsid w:val="002B7FFA"/>
    <w:rsid w:val="002C2135"/>
    <w:rsid w:val="002C2BCF"/>
    <w:rsid w:val="002D73A2"/>
    <w:rsid w:val="002E4AF9"/>
    <w:rsid w:val="002F279D"/>
    <w:rsid w:val="002F43B8"/>
    <w:rsid w:val="002F68E2"/>
    <w:rsid w:val="0031035B"/>
    <w:rsid w:val="003206F3"/>
    <w:rsid w:val="00320D06"/>
    <w:rsid w:val="00336856"/>
    <w:rsid w:val="003376A3"/>
    <w:rsid w:val="00345167"/>
    <w:rsid w:val="0034554D"/>
    <w:rsid w:val="00352224"/>
    <w:rsid w:val="003671E6"/>
    <w:rsid w:val="00376575"/>
    <w:rsid w:val="00384272"/>
    <w:rsid w:val="00386D67"/>
    <w:rsid w:val="00392379"/>
    <w:rsid w:val="003945B8"/>
    <w:rsid w:val="003D7F29"/>
    <w:rsid w:val="003F36DA"/>
    <w:rsid w:val="003F5DD6"/>
    <w:rsid w:val="00402FA7"/>
    <w:rsid w:val="00405A6B"/>
    <w:rsid w:val="00407B1F"/>
    <w:rsid w:val="00414C57"/>
    <w:rsid w:val="0041758C"/>
    <w:rsid w:val="00420DE9"/>
    <w:rsid w:val="004372A7"/>
    <w:rsid w:val="00442254"/>
    <w:rsid w:val="004539DE"/>
    <w:rsid w:val="0045582A"/>
    <w:rsid w:val="00455E04"/>
    <w:rsid w:val="004617ED"/>
    <w:rsid w:val="00464960"/>
    <w:rsid w:val="004656CE"/>
    <w:rsid w:val="00471DF6"/>
    <w:rsid w:val="0048056B"/>
    <w:rsid w:val="004A205B"/>
    <w:rsid w:val="004A2CF1"/>
    <w:rsid w:val="004A3EF4"/>
    <w:rsid w:val="004B2B03"/>
    <w:rsid w:val="004B41AD"/>
    <w:rsid w:val="004C3035"/>
    <w:rsid w:val="004C307F"/>
    <w:rsid w:val="004E015F"/>
    <w:rsid w:val="004E0D06"/>
    <w:rsid w:val="004E4BA8"/>
    <w:rsid w:val="004F340F"/>
    <w:rsid w:val="004F7B7C"/>
    <w:rsid w:val="0051606D"/>
    <w:rsid w:val="0052243D"/>
    <w:rsid w:val="00531C81"/>
    <w:rsid w:val="00532435"/>
    <w:rsid w:val="0053288F"/>
    <w:rsid w:val="00532F68"/>
    <w:rsid w:val="00533928"/>
    <w:rsid w:val="00535E34"/>
    <w:rsid w:val="00543D95"/>
    <w:rsid w:val="00550354"/>
    <w:rsid w:val="00552BBA"/>
    <w:rsid w:val="00564662"/>
    <w:rsid w:val="00571236"/>
    <w:rsid w:val="005840D3"/>
    <w:rsid w:val="0058426A"/>
    <w:rsid w:val="005953A1"/>
    <w:rsid w:val="005A012A"/>
    <w:rsid w:val="005A5929"/>
    <w:rsid w:val="005B43F1"/>
    <w:rsid w:val="005B52E3"/>
    <w:rsid w:val="005D0332"/>
    <w:rsid w:val="005D0D8C"/>
    <w:rsid w:val="005D1810"/>
    <w:rsid w:val="005D3322"/>
    <w:rsid w:val="005D3670"/>
    <w:rsid w:val="005E3F81"/>
    <w:rsid w:val="005E69D6"/>
    <w:rsid w:val="005F0BD4"/>
    <w:rsid w:val="005F557C"/>
    <w:rsid w:val="005F61A0"/>
    <w:rsid w:val="006029FF"/>
    <w:rsid w:val="00607695"/>
    <w:rsid w:val="00613AC3"/>
    <w:rsid w:val="00616256"/>
    <w:rsid w:val="006263B1"/>
    <w:rsid w:val="00647CCE"/>
    <w:rsid w:val="0066089A"/>
    <w:rsid w:val="006776AE"/>
    <w:rsid w:val="006A0D97"/>
    <w:rsid w:val="006B1F86"/>
    <w:rsid w:val="006C0A91"/>
    <w:rsid w:val="006C6205"/>
    <w:rsid w:val="006E4A48"/>
    <w:rsid w:val="006E7FBB"/>
    <w:rsid w:val="007054BB"/>
    <w:rsid w:val="0070665C"/>
    <w:rsid w:val="00707064"/>
    <w:rsid w:val="00716342"/>
    <w:rsid w:val="00730683"/>
    <w:rsid w:val="00732856"/>
    <w:rsid w:val="0075261F"/>
    <w:rsid w:val="00753306"/>
    <w:rsid w:val="007533C3"/>
    <w:rsid w:val="0075468E"/>
    <w:rsid w:val="0075606C"/>
    <w:rsid w:val="007638A9"/>
    <w:rsid w:val="007656A8"/>
    <w:rsid w:val="00765E44"/>
    <w:rsid w:val="007665D8"/>
    <w:rsid w:val="00766E36"/>
    <w:rsid w:val="007722BF"/>
    <w:rsid w:val="00775EF8"/>
    <w:rsid w:val="007765F4"/>
    <w:rsid w:val="00776633"/>
    <w:rsid w:val="00784D53"/>
    <w:rsid w:val="00797797"/>
    <w:rsid w:val="007A215B"/>
    <w:rsid w:val="007A63C9"/>
    <w:rsid w:val="007B32D1"/>
    <w:rsid w:val="007B3BA8"/>
    <w:rsid w:val="007B7095"/>
    <w:rsid w:val="007D24E1"/>
    <w:rsid w:val="007D6197"/>
    <w:rsid w:val="007E7881"/>
    <w:rsid w:val="007F35C8"/>
    <w:rsid w:val="007F4CE9"/>
    <w:rsid w:val="007F4E20"/>
    <w:rsid w:val="007F66B0"/>
    <w:rsid w:val="00806AA2"/>
    <w:rsid w:val="008156EC"/>
    <w:rsid w:val="00822C7E"/>
    <w:rsid w:val="00825661"/>
    <w:rsid w:val="00830DC3"/>
    <w:rsid w:val="00832590"/>
    <w:rsid w:val="00833EA2"/>
    <w:rsid w:val="008430A7"/>
    <w:rsid w:val="00847060"/>
    <w:rsid w:val="00856A33"/>
    <w:rsid w:val="00860499"/>
    <w:rsid w:val="008620D3"/>
    <w:rsid w:val="00875B33"/>
    <w:rsid w:val="008914AB"/>
    <w:rsid w:val="00891C25"/>
    <w:rsid w:val="00892620"/>
    <w:rsid w:val="008B104E"/>
    <w:rsid w:val="008C7D37"/>
    <w:rsid w:val="008D442C"/>
    <w:rsid w:val="008D5885"/>
    <w:rsid w:val="008E027D"/>
    <w:rsid w:val="008E4152"/>
    <w:rsid w:val="009036EC"/>
    <w:rsid w:val="009149D0"/>
    <w:rsid w:val="00916EBC"/>
    <w:rsid w:val="00923FA2"/>
    <w:rsid w:val="009461B5"/>
    <w:rsid w:val="0096060D"/>
    <w:rsid w:val="0096455F"/>
    <w:rsid w:val="00974A50"/>
    <w:rsid w:val="0097585A"/>
    <w:rsid w:val="009763C8"/>
    <w:rsid w:val="009924B0"/>
    <w:rsid w:val="009942C9"/>
    <w:rsid w:val="009A2368"/>
    <w:rsid w:val="009A458E"/>
    <w:rsid w:val="009B35C4"/>
    <w:rsid w:val="009B433F"/>
    <w:rsid w:val="009B650A"/>
    <w:rsid w:val="009C630A"/>
    <w:rsid w:val="009D5A48"/>
    <w:rsid w:val="009E0D98"/>
    <w:rsid w:val="009F4192"/>
    <w:rsid w:val="00A0038D"/>
    <w:rsid w:val="00A068A1"/>
    <w:rsid w:val="00A1207D"/>
    <w:rsid w:val="00A12FD8"/>
    <w:rsid w:val="00A346FC"/>
    <w:rsid w:val="00A44FBD"/>
    <w:rsid w:val="00A61CFC"/>
    <w:rsid w:val="00A63661"/>
    <w:rsid w:val="00A73760"/>
    <w:rsid w:val="00A74D4C"/>
    <w:rsid w:val="00A76468"/>
    <w:rsid w:val="00A84F93"/>
    <w:rsid w:val="00A907A0"/>
    <w:rsid w:val="00A91AFD"/>
    <w:rsid w:val="00AB1AC5"/>
    <w:rsid w:val="00AB3BFC"/>
    <w:rsid w:val="00AB47DE"/>
    <w:rsid w:val="00AC4F2E"/>
    <w:rsid w:val="00AC58CB"/>
    <w:rsid w:val="00AC657D"/>
    <w:rsid w:val="00AD0C37"/>
    <w:rsid w:val="00AD385F"/>
    <w:rsid w:val="00AE6E2A"/>
    <w:rsid w:val="00B07B09"/>
    <w:rsid w:val="00B11472"/>
    <w:rsid w:val="00B16BD9"/>
    <w:rsid w:val="00B31E9C"/>
    <w:rsid w:val="00B35595"/>
    <w:rsid w:val="00B4278A"/>
    <w:rsid w:val="00B51C6D"/>
    <w:rsid w:val="00B54796"/>
    <w:rsid w:val="00B55B8A"/>
    <w:rsid w:val="00B804C1"/>
    <w:rsid w:val="00B86D64"/>
    <w:rsid w:val="00B9099B"/>
    <w:rsid w:val="00B915E6"/>
    <w:rsid w:val="00B91882"/>
    <w:rsid w:val="00B92844"/>
    <w:rsid w:val="00B96C23"/>
    <w:rsid w:val="00BA4AC5"/>
    <w:rsid w:val="00BB19D5"/>
    <w:rsid w:val="00BC1364"/>
    <w:rsid w:val="00BC7DE9"/>
    <w:rsid w:val="00BD185F"/>
    <w:rsid w:val="00BD1F63"/>
    <w:rsid w:val="00BD2D8C"/>
    <w:rsid w:val="00BD417B"/>
    <w:rsid w:val="00BD5323"/>
    <w:rsid w:val="00BE7EE1"/>
    <w:rsid w:val="00BF479B"/>
    <w:rsid w:val="00BF7E05"/>
    <w:rsid w:val="00C00794"/>
    <w:rsid w:val="00C022A5"/>
    <w:rsid w:val="00C02577"/>
    <w:rsid w:val="00C03C9A"/>
    <w:rsid w:val="00C12F71"/>
    <w:rsid w:val="00C204FB"/>
    <w:rsid w:val="00C20BEE"/>
    <w:rsid w:val="00C2158D"/>
    <w:rsid w:val="00C231EE"/>
    <w:rsid w:val="00C238C8"/>
    <w:rsid w:val="00C318C2"/>
    <w:rsid w:val="00C34592"/>
    <w:rsid w:val="00C4574B"/>
    <w:rsid w:val="00C46243"/>
    <w:rsid w:val="00C65C25"/>
    <w:rsid w:val="00C66FD5"/>
    <w:rsid w:val="00C67DD2"/>
    <w:rsid w:val="00C67F0A"/>
    <w:rsid w:val="00C725CB"/>
    <w:rsid w:val="00C76F5C"/>
    <w:rsid w:val="00C8463F"/>
    <w:rsid w:val="00C90F65"/>
    <w:rsid w:val="00C96BAD"/>
    <w:rsid w:val="00CA277C"/>
    <w:rsid w:val="00CA6944"/>
    <w:rsid w:val="00CB0F8E"/>
    <w:rsid w:val="00CB2F69"/>
    <w:rsid w:val="00CB7E7D"/>
    <w:rsid w:val="00CC2911"/>
    <w:rsid w:val="00CF0C6D"/>
    <w:rsid w:val="00CF7307"/>
    <w:rsid w:val="00CF7C68"/>
    <w:rsid w:val="00D01A07"/>
    <w:rsid w:val="00D07239"/>
    <w:rsid w:val="00D1187E"/>
    <w:rsid w:val="00D124FA"/>
    <w:rsid w:val="00D14EAB"/>
    <w:rsid w:val="00D154DA"/>
    <w:rsid w:val="00D26292"/>
    <w:rsid w:val="00D340DE"/>
    <w:rsid w:val="00D36E7B"/>
    <w:rsid w:val="00D55723"/>
    <w:rsid w:val="00D62FAD"/>
    <w:rsid w:val="00D70450"/>
    <w:rsid w:val="00D734F2"/>
    <w:rsid w:val="00D83BFD"/>
    <w:rsid w:val="00D902DD"/>
    <w:rsid w:val="00D90A38"/>
    <w:rsid w:val="00DA0515"/>
    <w:rsid w:val="00DA171E"/>
    <w:rsid w:val="00DA56AA"/>
    <w:rsid w:val="00DB1C44"/>
    <w:rsid w:val="00DB1FC4"/>
    <w:rsid w:val="00DB5833"/>
    <w:rsid w:val="00DB66AD"/>
    <w:rsid w:val="00DD2858"/>
    <w:rsid w:val="00DE60F6"/>
    <w:rsid w:val="00E03E33"/>
    <w:rsid w:val="00E23A30"/>
    <w:rsid w:val="00E3642A"/>
    <w:rsid w:val="00E40BC5"/>
    <w:rsid w:val="00E415C4"/>
    <w:rsid w:val="00E50016"/>
    <w:rsid w:val="00E50EAA"/>
    <w:rsid w:val="00E523B1"/>
    <w:rsid w:val="00E56508"/>
    <w:rsid w:val="00E60FC1"/>
    <w:rsid w:val="00E61026"/>
    <w:rsid w:val="00E656D6"/>
    <w:rsid w:val="00E93780"/>
    <w:rsid w:val="00E977EE"/>
    <w:rsid w:val="00EA67A2"/>
    <w:rsid w:val="00EA6A42"/>
    <w:rsid w:val="00EB1D77"/>
    <w:rsid w:val="00EB6B6F"/>
    <w:rsid w:val="00EC2B3C"/>
    <w:rsid w:val="00EC4F98"/>
    <w:rsid w:val="00ED07FD"/>
    <w:rsid w:val="00ED22AD"/>
    <w:rsid w:val="00ED3D0C"/>
    <w:rsid w:val="00ED5185"/>
    <w:rsid w:val="00ED556D"/>
    <w:rsid w:val="00EF4DEE"/>
    <w:rsid w:val="00EF60DD"/>
    <w:rsid w:val="00EF6C4C"/>
    <w:rsid w:val="00F03659"/>
    <w:rsid w:val="00F06FF9"/>
    <w:rsid w:val="00F12F02"/>
    <w:rsid w:val="00F21117"/>
    <w:rsid w:val="00F3088E"/>
    <w:rsid w:val="00F32E0D"/>
    <w:rsid w:val="00F35134"/>
    <w:rsid w:val="00F375CA"/>
    <w:rsid w:val="00F40DA6"/>
    <w:rsid w:val="00F41812"/>
    <w:rsid w:val="00F479DE"/>
    <w:rsid w:val="00F523B5"/>
    <w:rsid w:val="00F73333"/>
    <w:rsid w:val="00F82582"/>
    <w:rsid w:val="00F85270"/>
    <w:rsid w:val="00F92897"/>
    <w:rsid w:val="00F93545"/>
    <w:rsid w:val="00F95332"/>
    <w:rsid w:val="00F95D8F"/>
    <w:rsid w:val="00FA5AC7"/>
    <w:rsid w:val="00FB1F0A"/>
    <w:rsid w:val="00FB350A"/>
    <w:rsid w:val="00FC5E86"/>
    <w:rsid w:val="00FE4396"/>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961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753306"/>
    <w:pPr>
      <w:keepNext/>
      <w:keepLines/>
      <w:spacing w:before="200"/>
      <w:outlineLvl w:val="2"/>
    </w:pPr>
    <w:rPr>
      <w:rFonts w:eastAsiaTheme="majorEastAsia" w:cstheme="majorBidi"/>
      <w:b/>
      <w:bCs/>
      <w:sz w:val="18"/>
    </w:rPr>
  </w:style>
  <w:style w:type="paragraph" w:styleId="Heading5">
    <w:name w:val="heading 5"/>
    <w:basedOn w:val="Normal"/>
    <w:next w:val="Normal"/>
    <w:link w:val="Heading5Char"/>
    <w:unhideWhenUsed/>
    <w:qFormat/>
    <w:locked/>
    <w:rsid w:val="000E15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customStyle="1" w:styleId="Heading3Char">
    <w:name w:val="Heading 3 Char"/>
    <w:basedOn w:val="DefaultParagraphFont"/>
    <w:link w:val="Heading3"/>
    <w:rsid w:val="00753306"/>
    <w:rPr>
      <w:rFonts w:eastAsiaTheme="majorEastAsia" w:cstheme="majorBidi"/>
      <w:b/>
      <w:bCs/>
      <w:sz w:val="18"/>
      <w:szCs w:val="20"/>
    </w:rPr>
  </w:style>
  <w:style w:type="character" w:customStyle="1" w:styleId="Heading5Char">
    <w:name w:val="Heading 5 Char"/>
    <w:basedOn w:val="DefaultParagraphFont"/>
    <w:link w:val="Heading5"/>
    <w:rsid w:val="000E155F"/>
    <w:rPr>
      <w:rFonts w:asciiTheme="majorHAnsi" w:eastAsiaTheme="majorEastAsia" w:hAnsiTheme="majorHAnsi" w:cstheme="majorBidi"/>
      <w:color w:val="243F60"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5372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18" Type="http://schemas.openxmlformats.org/officeDocument/2006/relationships/hyperlink" Target="file:///D:\Users\mccraj\AppData\Local\Microsoft\Windows\Temporary%20Internet%20Files\Content.Outlook\7M4OPGPH\www.msac.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header" Target="header3.xml"/><Relationship Id="rId10" Type="http://schemas.openxmlformats.org/officeDocument/2006/relationships/hyperlink" Target="http://www.msac.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4.gif"/><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userenv\Users\User_11\kittod\Desktop\PvA%20national%20autilisaton%20data%202012-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userenv\Users\User_11\kittod\Desktop\fees%20charged%2012-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Sheet1!$F$23</c:f>
              <c:strCache>
                <c:ptCount val="1"/>
                <c:pt idx="0">
                  <c:v>Actual</c:v>
                </c:pt>
              </c:strCache>
            </c:strRef>
          </c:tx>
          <c:marker>
            <c:symbol val="none"/>
          </c:marker>
          <c:cat>
            <c:strRef>
              <c:f>Sheet1!$E$24:$E$28</c:f>
              <c:strCache>
                <c:ptCount val="5"/>
                <c:pt idx="0">
                  <c:v>2012-13°</c:v>
                </c:pt>
                <c:pt idx="1">
                  <c:v>2013-14</c:v>
                </c:pt>
                <c:pt idx="2">
                  <c:v>2014-15</c:v>
                </c:pt>
                <c:pt idx="3">
                  <c:v>2015-16</c:v>
                </c:pt>
                <c:pt idx="4">
                  <c:v>2016-17</c:v>
                </c:pt>
              </c:strCache>
            </c:strRef>
          </c:cat>
          <c:val>
            <c:numRef>
              <c:f>Sheet1!$F$24:$F$28</c:f>
              <c:numCache>
                <c:formatCode>#,##0\ ;\-#,##0\ ;\-</c:formatCode>
                <c:ptCount val="5"/>
                <c:pt idx="0">
                  <c:v>152</c:v>
                </c:pt>
                <c:pt idx="1">
                  <c:v>503</c:v>
                </c:pt>
                <c:pt idx="2">
                  <c:v>579</c:v>
                </c:pt>
                <c:pt idx="3">
                  <c:v>574</c:v>
                </c:pt>
                <c:pt idx="4">
                  <c:v>584</c:v>
                </c:pt>
              </c:numCache>
            </c:numRef>
          </c:val>
          <c:smooth val="0"/>
          <c:extLst>
            <c:ext xmlns:c16="http://schemas.microsoft.com/office/drawing/2014/chart" uri="{C3380CC4-5D6E-409C-BE32-E72D297353CC}">
              <c16:uniqueId val="{00000000-6B1A-4094-A2DF-0438F8DC61A1}"/>
            </c:ext>
          </c:extLst>
        </c:ser>
        <c:ser>
          <c:idx val="1"/>
          <c:order val="1"/>
          <c:tx>
            <c:strRef>
              <c:f>Sheet1!$G$23</c:f>
              <c:strCache>
                <c:ptCount val="1"/>
                <c:pt idx="0">
                  <c:v>Predicted</c:v>
                </c:pt>
              </c:strCache>
            </c:strRef>
          </c:tx>
          <c:marker>
            <c:symbol val="none"/>
          </c:marker>
          <c:cat>
            <c:strRef>
              <c:f>Sheet1!$E$24:$E$28</c:f>
              <c:strCache>
                <c:ptCount val="5"/>
                <c:pt idx="0">
                  <c:v>2012-13°</c:v>
                </c:pt>
                <c:pt idx="1">
                  <c:v>2013-14</c:v>
                </c:pt>
                <c:pt idx="2">
                  <c:v>2014-15</c:v>
                </c:pt>
                <c:pt idx="3">
                  <c:v>2015-16</c:v>
                </c:pt>
                <c:pt idx="4">
                  <c:v>2016-17</c:v>
                </c:pt>
              </c:strCache>
            </c:strRef>
          </c:cat>
          <c:val>
            <c:numRef>
              <c:f>Sheet1!$G$24:$G$28</c:f>
              <c:numCache>
                <c:formatCode>General</c:formatCode>
                <c:ptCount val="5"/>
                <c:pt idx="0">
                  <c:v>233</c:v>
                </c:pt>
                <c:pt idx="1">
                  <c:v>431</c:v>
                </c:pt>
                <c:pt idx="2">
                  <c:v>465</c:v>
                </c:pt>
                <c:pt idx="3">
                  <c:v>501</c:v>
                </c:pt>
                <c:pt idx="4">
                  <c:v>540</c:v>
                </c:pt>
              </c:numCache>
            </c:numRef>
          </c:val>
          <c:smooth val="0"/>
          <c:extLst>
            <c:ext xmlns:c16="http://schemas.microsoft.com/office/drawing/2014/chart" uri="{C3380CC4-5D6E-409C-BE32-E72D297353CC}">
              <c16:uniqueId val="{00000001-6B1A-4094-A2DF-0438F8DC61A1}"/>
            </c:ext>
          </c:extLst>
        </c:ser>
        <c:dLbls>
          <c:showLegendKey val="0"/>
          <c:showVal val="0"/>
          <c:showCatName val="0"/>
          <c:showSerName val="0"/>
          <c:showPercent val="0"/>
          <c:showBubbleSize val="0"/>
        </c:dLbls>
        <c:smooth val="0"/>
        <c:axId val="35271808"/>
        <c:axId val="35296000"/>
      </c:lineChart>
      <c:catAx>
        <c:axId val="35271808"/>
        <c:scaling>
          <c:orientation val="minMax"/>
        </c:scaling>
        <c:delete val="0"/>
        <c:axPos val="b"/>
        <c:numFmt formatCode="General" sourceLinked="0"/>
        <c:majorTickMark val="out"/>
        <c:minorTickMark val="none"/>
        <c:tickLblPos val="nextTo"/>
        <c:crossAx val="35296000"/>
        <c:crosses val="autoZero"/>
        <c:auto val="1"/>
        <c:lblAlgn val="ctr"/>
        <c:lblOffset val="100"/>
        <c:noMultiLvlLbl val="0"/>
      </c:catAx>
      <c:valAx>
        <c:axId val="35296000"/>
        <c:scaling>
          <c:orientation val="minMax"/>
        </c:scaling>
        <c:delete val="0"/>
        <c:axPos val="l"/>
        <c:majorGridlines/>
        <c:numFmt formatCode="#,##0\ ;\-#,##0\ ;\-" sourceLinked="1"/>
        <c:majorTickMark val="out"/>
        <c:minorTickMark val="none"/>
        <c:tickLblPos val="nextTo"/>
        <c:crossAx val="352718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393307086614174"/>
          <c:y val="6.5289442986293383E-2"/>
          <c:w val="0.63588779527559058"/>
          <c:h val="0.8326195683872849"/>
        </c:manualLayout>
      </c:layout>
      <c:barChart>
        <c:barDir val="col"/>
        <c:grouping val="clustered"/>
        <c:varyColors val="0"/>
        <c:ser>
          <c:idx val="0"/>
          <c:order val="0"/>
          <c:tx>
            <c:strRef>
              <c:f>Sheet1!$U$113</c:f>
              <c:strCache>
                <c:ptCount val="1"/>
                <c:pt idx="0">
                  <c:v>2013-14</c:v>
                </c:pt>
              </c:strCache>
            </c:strRef>
          </c:tx>
          <c:invertIfNegative val="0"/>
          <c:errBars>
            <c:errBarType val="both"/>
            <c:errValType val="cust"/>
            <c:noEndCap val="0"/>
            <c:plus>
              <c:numRef>
                <c:f>Sheet1!$U$43:$Z$43</c:f>
                <c:numCache>
                  <c:formatCode>General</c:formatCode>
                  <c:ptCount val="6"/>
                  <c:pt idx="0">
                    <c:v>2752.2499999999995</c:v>
                  </c:pt>
                  <c:pt idx="1">
                    <c:v>3318.1</c:v>
                  </c:pt>
                  <c:pt idx="2">
                    <c:v>2533.17</c:v>
                  </c:pt>
                  <c:pt idx="3">
                    <c:v>0</c:v>
                  </c:pt>
                  <c:pt idx="4">
                    <c:v>2445.8200000000002</c:v>
                  </c:pt>
                  <c:pt idx="5">
                    <c:v>1308.97</c:v>
                  </c:pt>
                </c:numCache>
              </c:numRef>
            </c:plus>
            <c:minus>
              <c:numRef>
                <c:f>Sheet1!$U$44:$Z$44</c:f>
                <c:numCache>
                  <c:formatCode>General</c:formatCode>
                  <c:ptCount val="6"/>
                  <c:pt idx="0">
                    <c:v>1643.65</c:v>
                  </c:pt>
                  <c:pt idx="1">
                    <c:v>500.05</c:v>
                  </c:pt>
                  <c:pt idx="2">
                    <c:v>1756.85</c:v>
                  </c:pt>
                  <c:pt idx="3">
                    <c:v>0</c:v>
                  </c:pt>
                  <c:pt idx="4">
                    <c:v>1082.7</c:v>
                  </c:pt>
                  <c:pt idx="5">
                    <c:v>1945.5</c:v>
                  </c:pt>
                </c:numCache>
              </c:numRef>
            </c:minus>
          </c:errBars>
          <c:cat>
            <c:strRef>
              <c:f>Sheet1!$V$112:$AB$112</c:f>
              <c:strCache>
                <c:ptCount val="7"/>
                <c:pt idx="0">
                  <c:v>NSW</c:v>
                </c:pt>
                <c:pt idx="1">
                  <c:v>VIC</c:v>
                </c:pt>
                <c:pt idx="2">
                  <c:v>QLD</c:v>
                </c:pt>
                <c:pt idx="3">
                  <c:v>SA</c:v>
                </c:pt>
                <c:pt idx="4">
                  <c:v>WA</c:v>
                </c:pt>
                <c:pt idx="5">
                  <c:v>TAS</c:v>
                </c:pt>
                <c:pt idx="6">
                  <c:v>ACT</c:v>
                </c:pt>
              </c:strCache>
            </c:strRef>
          </c:cat>
          <c:val>
            <c:numRef>
              <c:f>Sheet1!$V$113:$AB$113</c:f>
              <c:numCache>
                <c:formatCode>"$"#,##0.00\ ;\-"$"#,##0.00\ ;\-</c:formatCode>
                <c:ptCount val="7"/>
                <c:pt idx="0">
                  <c:v>3247.65</c:v>
                </c:pt>
                <c:pt idx="1">
                  <c:v>1789.3</c:v>
                </c:pt>
                <c:pt idx="2">
                  <c:v>3300.58</c:v>
                </c:pt>
                <c:pt idx="3">
                  <c:v>1926.4</c:v>
                </c:pt>
                <c:pt idx="4">
                  <c:v>1636.88</c:v>
                </c:pt>
                <c:pt idx="5">
                  <c:v>3798.43</c:v>
                </c:pt>
                <c:pt idx="6">
                  <c:v>3723.35</c:v>
                </c:pt>
              </c:numCache>
            </c:numRef>
          </c:val>
          <c:extLst>
            <c:ext xmlns:c16="http://schemas.microsoft.com/office/drawing/2014/chart" uri="{C3380CC4-5D6E-409C-BE32-E72D297353CC}">
              <c16:uniqueId val="{00000000-EF83-47C5-ACCE-11ACBA3A0FB0}"/>
            </c:ext>
          </c:extLst>
        </c:ser>
        <c:ser>
          <c:idx val="1"/>
          <c:order val="1"/>
          <c:tx>
            <c:strRef>
              <c:f>Sheet1!$U$114</c:f>
              <c:strCache>
                <c:ptCount val="1"/>
                <c:pt idx="0">
                  <c:v>2014-15</c:v>
                </c:pt>
              </c:strCache>
            </c:strRef>
          </c:tx>
          <c:invertIfNegative val="0"/>
          <c:errBars>
            <c:errBarType val="both"/>
            <c:errValType val="cust"/>
            <c:noEndCap val="0"/>
            <c:plus>
              <c:numRef>
                <c:f>Sheet1!$U$45:$Z$45</c:f>
                <c:numCache>
                  <c:formatCode>General</c:formatCode>
                  <c:ptCount val="6"/>
                  <c:pt idx="0">
                    <c:v>4080.85</c:v>
                  </c:pt>
                  <c:pt idx="1">
                    <c:v>3457.8</c:v>
                  </c:pt>
                  <c:pt idx="2">
                    <c:v>2072.2199999999998</c:v>
                  </c:pt>
                  <c:pt idx="3">
                    <c:v>0</c:v>
                  </c:pt>
                  <c:pt idx="4">
                    <c:v>614.94000000000005</c:v>
                  </c:pt>
                  <c:pt idx="5">
                    <c:v>3100.41</c:v>
                  </c:pt>
                </c:numCache>
              </c:numRef>
            </c:plus>
            <c:minus>
              <c:numRef>
                <c:f>Sheet1!$U$46:$Z$46</c:f>
                <c:numCache>
                  <c:formatCode>General</c:formatCode>
                  <c:ptCount val="6"/>
                  <c:pt idx="0">
                    <c:v>958.45</c:v>
                  </c:pt>
                  <c:pt idx="1">
                    <c:v>649.65</c:v>
                  </c:pt>
                  <c:pt idx="2">
                    <c:v>2199.3000000000002</c:v>
                  </c:pt>
                  <c:pt idx="3">
                    <c:v>0</c:v>
                  </c:pt>
                  <c:pt idx="4">
                    <c:v>872.35</c:v>
                  </c:pt>
                  <c:pt idx="5">
                    <c:v>1945.6</c:v>
                  </c:pt>
                </c:numCache>
              </c:numRef>
            </c:minus>
          </c:errBars>
          <c:cat>
            <c:strRef>
              <c:f>Sheet1!$V$112:$AB$112</c:f>
              <c:strCache>
                <c:ptCount val="7"/>
                <c:pt idx="0">
                  <c:v>NSW</c:v>
                </c:pt>
                <c:pt idx="1">
                  <c:v>VIC</c:v>
                </c:pt>
                <c:pt idx="2">
                  <c:v>QLD</c:v>
                </c:pt>
                <c:pt idx="3">
                  <c:v>SA</c:v>
                </c:pt>
                <c:pt idx="4">
                  <c:v>WA</c:v>
                </c:pt>
                <c:pt idx="5">
                  <c:v>TAS</c:v>
                </c:pt>
                <c:pt idx="6">
                  <c:v>ACT</c:v>
                </c:pt>
              </c:strCache>
            </c:strRef>
          </c:cat>
          <c:val>
            <c:numRef>
              <c:f>Sheet1!$V$114:$AB$114</c:f>
              <c:numCache>
                <c:formatCode>"$"#,##0.00\ ;\-"$"#,##0.00\ ;\-</c:formatCode>
                <c:ptCount val="7"/>
                <c:pt idx="0">
                  <c:v>2361.5500000000002</c:v>
                </c:pt>
                <c:pt idx="1">
                  <c:v>1649.6</c:v>
                </c:pt>
                <c:pt idx="2">
                  <c:v>3850.78</c:v>
                </c:pt>
                <c:pt idx="3">
                  <c:v>1599.74</c:v>
                </c:pt>
                <c:pt idx="4">
                  <c:v>1528.71</c:v>
                </c:pt>
                <c:pt idx="5">
                  <c:v>3251.99</c:v>
                </c:pt>
                <c:pt idx="6">
                  <c:v>5848.95</c:v>
                </c:pt>
              </c:numCache>
            </c:numRef>
          </c:val>
          <c:extLst>
            <c:ext xmlns:c16="http://schemas.microsoft.com/office/drawing/2014/chart" uri="{C3380CC4-5D6E-409C-BE32-E72D297353CC}">
              <c16:uniqueId val="{00000001-EF83-47C5-ACCE-11ACBA3A0FB0}"/>
            </c:ext>
          </c:extLst>
        </c:ser>
        <c:ser>
          <c:idx val="2"/>
          <c:order val="2"/>
          <c:tx>
            <c:strRef>
              <c:f>Sheet1!$U$115</c:f>
              <c:strCache>
                <c:ptCount val="1"/>
                <c:pt idx="0">
                  <c:v>2015-16</c:v>
                </c:pt>
              </c:strCache>
            </c:strRef>
          </c:tx>
          <c:invertIfNegative val="0"/>
          <c:errBars>
            <c:errBarType val="both"/>
            <c:errValType val="cust"/>
            <c:noEndCap val="0"/>
            <c:plus>
              <c:numRef>
                <c:f>Sheet1!$U$47:$Z$47</c:f>
                <c:numCache>
                  <c:formatCode>General</c:formatCode>
                  <c:ptCount val="6"/>
                  <c:pt idx="0">
                    <c:v>4472.28</c:v>
                  </c:pt>
                  <c:pt idx="1">
                    <c:v>3498.18</c:v>
                  </c:pt>
                  <c:pt idx="2">
                    <c:v>2423.4699999999998</c:v>
                  </c:pt>
                  <c:pt idx="3">
                    <c:v>0</c:v>
                  </c:pt>
                  <c:pt idx="4">
                    <c:v>1998.43</c:v>
                  </c:pt>
                  <c:pt idx="5">
                    <c:v>3124.29</c:v>
                  </c:pt>
                </c:numCache>
              </c:numRef>
            </c:plus>
            <c:minus>
              <c:numRef>
                <c:f>Sheet1!$U$48:$Z$48</c:f>
                <c:numCache>
                  <c:formatCode>General</c:formatCode>
                  <c:ptCount val="6"/>
                  <c:pt idx="0">
                    <c:v>1082.7</c:v>
                  </c:pt>
                  <c:pt idx="1">
                    <c:v>787.6</c:v>
                  </c:pt>
                  <c:pt idx="2">
                    <c:v>1719.45</c:v>
                  </c:pt>
                  <c:pt idx="3">
                    <c:v>0</c:v>
                  </c:pt>
                  <c:pt idx="4">
                    <c:v>872.35</c:v>
                  </c:pt>
                  <c:pt idx="5">
                    <c:v>1972</c:v>
                  </c:pt>
                </c:numCache>
              </c:numRef>
            </c:minus>
          </c:errBars>
          <c:cat>
            <c:strRef>
              <c:f>Sheet1!$V$112:$AB$112</c:f>
              <c:strCache>
                <c:ptCount val="7"/>
                <c:pt idx="0">
                  <c:v>NSW</c:v>
                </c:pt>
                <c:pt idx="1">
                  <c:v>VIC</c:v>
                </c:pt>
                <c:pt idx="2">
                  <c:v>QLD</c:v>
                </c:pt>
                <c:pt idx="3">
                  <c:v>SA</c:v>
                </c:pt>
                <c:pt idx="4">
                  <c:v>WA</c:v>
                </c:pt>
                <c:pt idx="5">
                  <c:v>TAS</c:v>
                </c:pt>
                <c:pt idx="6">
                  <c:v>ACT</c:v>
                </c:pt>
              </c:strCache>
            </c:strRef>
          </c:cat>
          <c:val>
            <c:numRef>
              <c:f>Sheet1!$V$115:$AB$115</c:f>
              <c:numCache>
                <c:formatCode>"$"#,##0.00\ ;\-"$"#,##0.00\ ;\-</c:formatCode>
                <c:ptCount val="7"/>
                <c:pt idx="0">
                  <c:v>2528.27</c:v>
                </c:pt>
                <c:pt idx="1">
                  <c:v>1841.72</c:v>
                </c:pt>
                <c:pt idx="2">
                  <c:v>3662.53</c:v>
                </c:pt>
                <c:pt idx="3">
                  <c:v>2433.7199999999998</c:v>
                </c:pt>
                <c:pt idx="4">
                  <c:v>1584.27</c:v>
                </c:pt>
                <c:pt idx="5">
                  <c:v>3391.01</c:v>
                </c:pt>
                <c:pt idx="6">
                  <c:v>5694.4</c:v>
                </c:pt>
              </c:numCache>
            </c:numRef>
          </c:val>
          <c:extLst>
            <c:ext xmlns:c16="http://schemas.microsoft.com/office/drawing/2014/chart" uri="{C3380CC4-5D6E-409C-BE32-E72D297353CC}">
              <c16:uniqueId val="{00000002-EF83-47C5-ACCE-11ACBA3A0FB0}"/>
            </c:ext>
          </c:extLst>
        </c:ser>
        <c:ser>
          <c:idx val="3"/>
          <c:order val="3"/>
          <c:tx>
            <c:strRef>
              <c:f>Sheet1!$U$116</c:f>
              <c:strCache>
                <c:ptCount val="1"/>
                <c:pt idx="0">
                  <c:v>2016-17</c:v>
                </c:pt>
              </c:strCache>
            </c:strRef>
          </c:tx>
          <c:invertIfNegative val="0"/>
          <c:errBars>
            <c:errBarType val="both"/>
            <c:errValType val="cust"/>
            <c:noEndCap val="0"/>
            <c:plus>
              <c:numRef>
                <c:f>Sheet1!$U$49:$Z$49</c:f>
                <c:numCache>
                  <c:formatCode>General</c:formatCode>
                  <c:ptCount val="6"/>
                  <c:pt idx="0">
                    <c:v>4412.4799999999996</c:v>
                  </c:pt>
                  <c:pt idx="1">
                    <c:v>3556.07</c:v>
                  </c:pt>
                  <c:pt idx="2">
                    <c:v>2741.78</c:v>
                  </c:pt>
                  <c:pt idx="3">
                    <c:v>0</c:v>
                  </c:pt>
                  <c:pt idx="4">
                    <c:v>2367.36</c:v>
                  </c:pt>
                  <c:pt idx="5">
                    <c:v>3162.06</c:v>
                  </c:pt>
                </c:numCache>
              </c:numRef>
            </c:plus>
            <c:minus>
              <c:numRef>
                <c:f>Sheet1!$U$50:$Z$50</c:f>
                <c:numCache>
                  <c:formatCode>General</c:formatCode>
                  <c:ptCount val="6"/>
                  <c:pt idx="0">
                    <c:v>904.25</c:v>
                  </c:pt>
                  <c:pt idx="1">
                    <c:v>729.4</c:v>
                  </c:pt>
                  <c:pt idx="2">
                    <c:v>1719.45</c:v>
                  </c:pt>
                  <c:pt idx="3">
                    <c:v>0</c:v>
                  </c:pt>
                  <c:pt idx="4">
                    <c:v>946.85</c:v>
                  </c:pt>
                  <c:pt idx="5">
                    <c:v>1795.9</c:v>
                  </c:pt>
                </c:numCache>
              </c:numRef>
            </c:minus>
          </c:errBars>
          <c:cat>
            <c:strRef>
              <c:f>Sheet1!$V$112:$AB$112</c:f>
              <c:strCache>
                <c:ptCount val="7"/>
                <c:pt idx="0">
                  <c:v>NSW</c:v>
                </c:pt>
                <c:pt idx="1">
                  <c:v>VIC</c:v>
                </c:pt>
                <c:pt idx="2">
                  <c:v>QLD</c:v>
                </c:pt>
                <c:pt idx="3">
                  <c:v>SA</c:v>
                </c:pt>
                <c:pt idx="4">
                  <c:v>WA</c:v>
                </c:pt>
                <c:pt idx="5">
                  <c:v>TAS</c:v>
                </c:pt>
                <c:pt idx="6">
                  <c:v>ACT</c:v>
                </c:pt>
              </c:strCache>
            </c:strRef>
          </c:cat>
          <c:val>
            <c:numRef>
              <c:f>Sheet1!$V$116:$AB$116</c:f>
              <c:numCache>
                <c:formatCode>"$"#,##0.00\ ;\-"$"#,##0.00\ ;\-</c:formatCode>
                <c:ptCount val="7"/>
                <c:pt idx="0">
                  <c:v>2694.42</c:v>
                </c:pt>
                <c:pt idx="1">
                  <c:v>1738.83</c:v>
                </c:pt>
                <c:pt idx="2">
                  <c:v>3437.17</c:v>
                </c:pt>
                <c:pt idx="3">
                  <c:v>1367.29</c:v>
                </c:pt>
                <c:pt idx="4">
                  <c:v>1715.34</c:v>
                </c:pt>
                <c:pt idx="5">
                  <c:v>2955.09</c:v>
                </c:pt>
                <c:pt idx="6">
                  <c:v>5958.03</c:v>
                </c:pt>
              </c:numCache>
            </c:numRef>
          </c:val>
          <c:extLst>
            <c:ext xmlns:c16="http://schemas.microsoft.com/office/drawing/2014/chart" uri="{C3380CC4-5D6E-409C-BE32-E72D297353CC}">
              <c16:uniqueId val="{00000003-EF83-47C5-ACCE-11ACBA3A0FB0}"/>
            </c:ext>
          </c:extLst>
        </c:ser>
        <c:dLbls>
          <c:showLegendKey val="0"/>
          <c:showVal val="0"/>
          <c:showCatName val="0"/>
          <c:showSerName val="0"/>
          <c:showPercent val="0"/>
          <c:showBubbleSize val="0"/>
        </c:dLbls>
        <c:gapWidth val="150"/>
        <c:axId val="55253248"/>
        <c:axId val="69522944"/>
      </c:barChart>
      <c:catAx>
        <c:axId val="55253248"/>
        <c:scaling>
          <c:orientation val="minMax"/>
        </c:scaling>
        <c:delete val="0"/>
        <c:axPos val="b"/>
        <c:numFmt formatCode="General" sourceLinked="0"/>
        <c:majorTickMark val="out"/>
        <c:minorTickMark val="none"/>
        <c:tickLblPos val="nextTo"/>
        <c:crossAx val="69522944"/>
        <c:crosses val="autoZero"/>
        <c:auto val="1"/>
        <c:lblAlgn val="ctr"/>
        <c:lblOffset val="100"/>
        <c:noMultiLvlLbl val="0"/>
      </c:catAx>
      <c:valAx>
        <c:axId val="69522944"/>
        <c:scaling>
          <c:orientation val="minMax"/>
        </c:scaling>
        <c:delete val="0"/>
        <c:axPos val="l"/>
        <c:majorGridlines/>
        <c:numFmt formatCode="&quot;$&quot;#,##0.00\ ;\-&quot;$&quot;#,##0.00\ ;\-" sourceLinked="1"/>
        <c:majorTickMark val="out"/>
        <c:minorTickMark val="none"/>
        <c:tickLblPos val="nextTo"/>
        <c:crossAx val="5525324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C9BF0-2BD8-4CB0-95EE-32FFC8E8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3367</Words>
  <Characters>19193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PvA 1145 - Final PSD</dc:title>
  <dc:creator/>
  <cp:lastModifiedBy/>
  <cp:revision>1</cp:revision>
  <dcterms:created xsi:type="dcterms:W3CDTF">2018-09-27T04:22:00Z</dcterms:created>
  <dcterms:modified xsi:type="dcterms:W3CDTF">2019-06-21T00:30:00Z</dcterms:modified>
</cp:coreProperties>
</file>