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59F9" w14:textId="4C95A746" w:rsidR="00C67DD2" w:rsidRPr="00FD6FE6" w:rsidRDefault="00C67DD2" w:rsidP="00FD6FE6">
      <w:pPr>
        <w:jc w:val="center"/>
        <w:rPr>
          <w:b/>
          <w:i/>
          <w:szCs w:val="24"/>
          <w:highlight w:val="yellow"/>
        </w:rPr>
      </w:pPr>
      <w:r>
        <w:rPr>
          <w:rFonts w:ascii="Arial" w:hAnsi="Arial" w:cs="Arial"/>
          <w:b/>
          <w:noProof/>
          <w:color w:val="000080"/>
          <w:sz w:val="28"/>
          <w:szCs w:val="28"/>
        </w:rPr>
        <w:drawing>
          <wp:inline distT="0" distB="0" distL="0" distR="0" wp14:anchorId="1D7D18A4" wp14:editId="632712F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EB575C" w14:textId="633A5A8E" w:rsidR="00BC1364" w:rsidRPr="00FD6FE6" w:rsidRDefault="00BF479B" w:rsidP="00FD6FE6">
      <w:pPr>
        <w:spacing w:before="48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5A46B2EB" w14:textId="148365F3" w:rsidR="005B6A25" w:rsidRPr="00FD6FE6" w:rsidRDefault="00D61AF0" w:rsidP="00FD6FE6">
      <w:pPr>
        <w:tabs>
          <w:tab w:val="left" w:pos="3600"/>
        </w:tabs>
        <w:spacing w:after="240"/>
        <w:jc w:val="center"/>
        <w:rPr>
          <w:rFonts w:ascii="Arial" w:hAnsi="Arial"/>
          <w:b/>
          <w:bCs/>
          <w:szCs w:val="28"/>
        </w:rPr>
      </w:pPr>
      <w:r w:rsidRPr="00D61AF0">
        <w:rPr>
          <w:rFonts w:ascii="Arial" w:hAnsi="Arial"/>
          <w:b/>
          <w:bCs/>
          <w:szCs w:val="28"/>
        </w:rPr>
        <w:t>Report to the Medical Services Advisory Committee</w:t>
      </w:r>
      <w:r w:rsidR="00056DBD">
        <w:rPr>
          <w:rFonts w:ascii="Arial" w:hAnsi="Arial"/>
          <w:b/>
          <w:bCs/>
          <w:szCs w:val="28"/>
        </w:rPr>
        <w:t xml:space="preserve"> (MSAC) Executive</w:t>
      </w:r>
      <w:r w:rsidR="009500E2">
        <w:rPr>
          <w:rFonts w:ascii="Arial" w:hAnsi="Arial"/>
          <w:b/>
          <w:bCs/>
          <w:szCs w:val="28"/>
        </w:rPr>
        <w:t xml:space="preserve"> on utilisation of MBS items for </w:t>
      </w:r>
      <w:r w:rsidR="009B2DFB">
        <w:rPr>
          <w:rFonts w:ascii="Arial" w:hAnsi="Arial"/>
          <w:b/>
          <w:bCs/>
          <w:szCs w:val="28"/>
        </w:rPr>
        <w:t>Addiction</w:t>
      </w:r>
      <w:r w:rsidR="00A60055">
        <w:rPr>
          <w:rFonts w:ascii="Arial" w:hAnsi="Arial"/>
          <w:b/>
          <w:bCs/>
          <w:szCs w:val="28"/>
        </w:rPr>
        <w:t xml:space="preserve"> M</w:t>
      </w:r>
      <w:r w:rsidR="00504C1B">
        <w:rPr>
          <w:rFonts w:ascii="Arial" w:hAnsi="Arial"/>
          <w:b/>
          <w:bCs/>
          <w:szCs w:val="28"/>
        </w:rPr>
        <w:t>edicine</w:t>
      </w:r>
    </w:p>
    <w:p w14:paraId="02820435" w14:textId="26322C80" w:rsidR="00F9695B" w:rsidRPr="00FD6FE6" w:rsidRDefault="00D61AF0" w:rsidP="00FD6FE6">
      <w:pPr>
        <w:tabs>
          <w:tab w:val="left" w:pos="3600"/>
        </w:tabs>
        <w:rPr>
          <w:rFonts w:ascii="Arial" w:hAnsi="Arial"/>
          <w:b/>
          <w:bCs/>
          <w:szCs w:val="28"/>
        </w:rPr>
      </w:pPr>
      <w:r w:rsidRPr="00152288">
        <w:rPr>
          <w:rFonts w:ascii="Arial" w:hAnsi="Arial"/>
          <w:b/>
          <w:bCs/>
          <w:szCs w:val="28"/>
        </w:rPr>
        <w:t>Medicare Benefits Schedule (MBS) item</w:t>
      </w:r>
      <w:r w:rsidR="009500E2">
        <w:rPr>
          <w:rFonts w:ascii="Arial" w:hAnsi="Arial"/>
          <w:b/>
          <w:bCs/>
          <w:szCs w:val="28"/>
        </w:rPr>
        <w:t>s</w:t>
      </w:r>
      <w:r w:rsidRPr="00152288">
        <w:rPr>
          <w:rFonts w:ascii="Arial" w:hAnsi="Arial"/>
          <w:b/>
          <w:bCs/>
          <w:szCs w:val="28"/>
        </w:rPr>
        <w:t xml:space="preserve"> considered</w:t>
      </w:r>
      <w:r w:rsidR="00504C1B">
        <w:rPr>
          <w:rFonts w:ascii="Arial" w:hAnsi="Arial"/>
          <w:b/>
          <w:bCs/>
          <w:szCs w:val="28"/>
        </w:rPr>
        <w:t xml:space="preserve"> Application 1171 covering items</w:t>
      </w:r>
      <w:r w:rsidRPr="00152288">
        <w:rPr>
          <w:rFonts w:ascii="Arial" w:hAnsi="Arial"/>
          <w:b/>
          <w:bCs/>
          <w:szCs w:val="28"/>
        </w:rPr>
        <w:t xml:space="preserve">: </w:t>
      </w:r>
      <w:r w:rsidR="009B2DFB">
        <w:rPr>
          <w:rFonts w:ascii="Arial" w:hAnsi="Arial"/>
          <w:b/>
          <w:bCs/>
          <w:szCs w:val="28"/>
        </w:rPr>
        <w:t>6018, 6019, 6023, 6024, 6025, 6026, 6028, 6029, 6031, 6032, 6034, 6035, 6037, 6038, 6042</w:t>
      </w:r>
      <w:r w:rsidR="00CA22B2">
        <w:rPr>
          <w:rFonts w:ascii="Arial" w:hAnsi="Arial"/>
          <w:b/>
          <w:bCs/>
          <w:szCs w:val="28"/>
        </w:rPr>
        <w:t>.</w:t>
      </w:r>
    </w:p>
    <w:p w14:paraId="50E82A0A" w14:textId="6E78DB02" w:rsidR="00BC1364" w:rsidRPr="00D90A38" w:rsidRDefault="00BC1364" w:rsidP="00FD6FE6">
      <w:pPr>
        <w:spacing w:before="240" w:after="240"/>
        <w:ind w:right="-330"/>
        <w:rPr>
          <w:rFonts w:ascii="Arial" w:hAnsi="Arial" w:cs="Arial"/>
          <w:b/>
          <w:szCs w:val="24"/>
        </w:rPr>
      </w:pPr>
      <w:r w:rsidRPr="00D90A38">
        <w:rPr>
          <w:rFonts w:ascii="Arial" w:hAnsi="Arial" w:cs="Arial"/>
          <w:b/>
          <w:szCs w:val="24"/>
        </w:rPr>
        <w:t xml:space="preserve">Date of MSAC </w:t>
      </w:r>
      <w:r w:rsidR="00FD6FE6">
        <w:rPr>
          <w:rFonts w:ascii="Arial" w:hAnsi="Arial" w:cs="Arial"/>
          <w:b/>
          <w:szCs w:val="24"/>
        </w:rPr>
        <w:t>consideration:</w:t>
      </w:r>
      <w:r w:rsidR="00FD6FE6">
        <w:rPr>
          <w:rFonts w:ascii="Arial" w:hAnsi="Arial" w:cs="Arial"/>
          <w:b/>
          <w:szCs w:val="24"/>
        </w:rPr>
        <w:tab/>
      </w:r>
      <w:r w:rsidR="00C67DD2" w:rsidRPr="00D90A38">
        <w:rPr>
          <w:rFonts w:ascii="Arial" w:hAnsi="Arial" w:cs="Arial"/>
          <w:b/>
          <w:szCs w:val="24"/>
        </w:rPr>
        <w:t xml:space="preserve">MSAC </w:t>
      </w:r>
      <w:r w:rsidR="00504C1B">
        <w:rPr>
          <w:rFonts w:ascii="Arial" w:hAnsi="Arial" w:cs="Arial"/>
          <w:b/>
          <w:szCs w:val="24"/>
        </w:rPr>
        <w:t>1 August 2013</w:t>
      </w:r>
    </w:p>
    <w:p w14:paraId="6177A676" w14:textId="3AE3D926" w:rsidR="0041758C" w:rsidRPr="00056DBD" w:rsidRDefault="00056DBD" w:rsidP="00262571">
      <w:pPr>
        <w:spacing w:after="360"/>
        <w:rPr>
          <w:rFonts w:ascii="Arial" w:hAnsi="Arial" w:cs="Arial"/>
          <w:b/>
          <w:szCs w:val="24"/>
        </w:rPr>
      </w:pPr>
      <w:r>
        <w:rPr>
          <w:rFonts w:ascii="Arial" w:hAnsi="Arial" w:cs="Arial"/>
          <w:b/>
          <w:szCs w:val="24"/>
        </w:rPr>
        <w:t>Date of u</w:t>
      </w:r>
      <w:r w:rsidRPr="00056DBD">
        <w:rPr>
          <w:rFonts w:ascii="Arial" w:hAnsi="Arial" w:cs="Arial"/>
          <w:b/>
          <w:szCs w:val="24"/>
        </w:rPr>
        <w:t>tilisation review:</w:t>
      </w:r>
      <w:r w:rsidR="00FD6FE6">
        <w:rPr>
          <w:rFonts w:ascii="Arial" w:hAnsi="Arial" w:cs="Arial"/>
          <w:b/>
          <w:szCs w:val="24"/>
        </w:rPr>
        <w:tab/>
      </w:r>
      <w:r>
        <w:rPr>
          <w:rFonts w:ascii="Arial" w:hAnsi="Arial" w:cs="Arial"/>
          <w:b/>
          <w:szCs w:val="24"/>
        </w:rPr>
        <w:t xml:space="preserve">MSAC Executive Meeting, </w:t>
      </w:r>
      <w:r w:rsidR="00A60055" w:rsidRPr="00A60055">
        <w:rPr>
          <w:rFonts w:ascii="Arial" w:hAnsi="Arial" w:cs="Arial"/>
          <w:b/>
          <w:szCs w:val="24"/>
        </w:rPr>
        <w:t>18</w:t>
      </w:r>
      <w:r w:rsidR="00504C1B" w:rsidRPr="00A60055">
        <w:rPr>
          <w:rFonts w:ascii="Arial" w:hAnsi="Arial" w:cs="Arial"/>
          <w:b/>
          <w:szCs w:val="24"/>
        </w:rPr>
        <w:t xml:space="preserve"> October</w:t>
      </w:r>
      <w:r w:rsidRPr="00A60055">
        <w:rPr>
          <w:rFonts w:ascii="Arial" w:hAnsi="Arial" w:cs="Arial"/>
          <w:b/>
          <w:szCs w:val="24"/>
        </w:rPr>
        <w:t xml:space="preserve"> </w:t>
      </w:r>
      <w:r>
        <w:rPr>
          <w:rFonts w:ascii="Arial" w:hAnsi="Arial" w:cs="Arial"/>
          <w:b/>
          <w:szCs w:val="24"/>
        </w:rPr>
        <w:t>2019</w:t>
      </w:r>
    </w:p>
    <w:p w14:paraId="0CE3D1F4" w14:textId="1A45C6D9" w:rsidR="004A5AC8" w:rsidRDefault="00A60055" w:rsidP="004A5AC8">
      <w:pPr>
        <w:pStyle w:val="Heading1"/>
        <w:numPr>
          <w:ilvl w:val="0"/>
          <w:numId w:val="23"/>
        </w:numPr>
        <w:tabs>
          <w:tab w:val="left" w:pos="720"/>
          <w:tab w:val="left" w:pos="1140"/>
        </w:tabs>
        <w:ind w:hanging="720"/>
      </w:pPr>
      <w:r>
        <w:t>P</w:t>
      </w:r>
      <w:r w:rsidR="009500E2">
        <w:t>urpose</w:t>
      </w:r>
    </w:p>
    <w:p w14:paraId="2EA18C32" w14:textId="4EAAA6E8" w:rsidR="00D61AF0" w:rsidRPr="008B63C2" w:rsidRDefault="00D61AF0" w:rsidP="00FD6FE6">
      <w:pPr>
        <w:spacing w:before="240" w:after="240"/>
      </w:pPr>
      <w:r>
        <w:t>The purpose of the report presented to the Medical Services Advisory Committee (MSAC) was to</w:t>
      </w:r>
      <w:r w:rsidR="00BB6E35">
        <w:t xml:space="preserve"> inform MSAC about th</w:t>
      </w:r>
      <w:r>
        <w:t xml:space="preserve">e real world </w:t>
      </w:r>
      <w:r w:rsidR="009500E2">
        <w:t>impacts on the utilisation of MBS</w:t>
      </w:r>
      <w:r w:rsidR="00504C1B">
        <w:t xml:space="preserve"> items for </w:t>
      </w:r>
      <w:r w:rsidR="009B2DFB">
        <w:t>addiction</w:t>
      </w:r>
      <w:r w:rsidR="00504C1B">
        <w:t xml:space="preserve"> medicine (</w:t>
      </w:r>
      <w:r w:rsidR="009B2DFB">
        <w:t>A</w:t>
      </w:r>
      <w:r w:rsidR="00504C1B">
        <w:t xml:space="preserve">M) </w:t>
      </w:r>
      <w:r w:rsidR="00F25824">
        <w:t xml:space="preserve">which </w:t>
      </w:r>
      <w:r w:rsidR="00504C1B">
        <w:t>commenced</w:t>
      </w:r>
      <w:r w:rsidR="00F25824">
        <w:t xml:space="preserve"> on 1 November 2016</w:t>
      </w:r>
      <w:r>
        <w:t xml:space="preserve">. The MSAC uses this information to ensure that the new item/s </w:t>
      </w:r>
      <w:r w:rsidR="00F25824">
        <w:t>are</w:t>
      </w:r>
      <w:r>
        <w:t xml:space="preserve"> b</w:t>
      </w:r>
      <w:bookmarkStart w:id="0" w:name="_GoBack"/>
      <w:bookmarkEnd w:id="0"/>
      <w:r>
        <w:t>eing u</w:t>
      </w:r>
      <w:r w:rsidR="00903C2A">
        <w:t>tilised</w:t>
      </w:r>
      <w:r>
        <w:t xml:space="preserve"> as intended. The report is not intended to be a review of the clinical information covered during the application process.</w:t>
      </w:r>
    </w:p>
    <w:p w14:paraId="3E2E49F2" w14:textId="6A961BBE" w:rsidR="004A5AC8" w:rsidRDefault="00D61AF0" w:rsidP="004A5AC8">
      <w:pPr>
        <w:pStyle w:val="Heading1"/>
        <w:numPr>
          <w:ilvl w:val="0"/>
          <w:numId w:val="23"/>
        </w:numPr>
        <w:ind w:hanging="720"/>
      </w:pPr>
      <w:r>
        <w:t>MSAC</w:t>
      </w:r>
      <w:r w:rsidR="00152288">
        <w:t xml:space="preserve"> Executive’s</w:t>
      </w:r>
      <w:r>
        <w:t xml:space="preserve"> advice</w:t>
      </w:r>
    </w:p>
    <w:p w14:paraId="3DE17281" w14:textId="3B274C07" w:rsidR="00152288" w:rsidRDefault="00903C2A" w:rsidP="00FD6FE6">
      <w:pPr>
        <w:spacing w:before="240" w:after="240"/>
      </w:pPr>
      <w:r>
        <w:t xml:space="preserve">After consideration of utilisation </w:t>
      </w:r>
      <w:r w:rsidR="00D61AF0">
        <w:t xml:space="preserve">data for </w:t>
      </w:r>
      <w:r w:rsidR="009B2DFB">
        <w:t>A</w:t>
      </w:r>
      <w:r w:rsidR="00504C1B">
        <w:t>M</w:t>
      </w:r>
      <w:r w:rsidR="009500E2">
        <w:t xml:space="preserve"> items for the period 1 November 2016 to 30</w:t>
      </w:r>
      <w:r w:rsidR="00504C1B">
        <w:t> </w:t>
      </w:r>
      <w:r w:rsidR="009500E2">
        <w:t>June 201</w:t>
      </w:r>
      <w:r w:rsidR="00F25824">
        <w:t>9</w:t>
      </w:r>
      <w:r w:rsidR="00152288">
        <w:t xml:space="preserve">, MSAC Executive recommended </w:t>
      </w:r>
      <w:r w:rsidR="009500E2">
        <w:t>no further action at this time</w:t>
      </w:r>
      <w:r>
        <w:t>.</w:t>
      </w:r>
    </w:p>
    <w:p w14:paraId="23B3FA08" w14:textId="1F318716" w:rsidR="004A5AC8" w:rsidRDefault="00152288" w:rsidP="004A5AC8">
      <w:pPr>
        <w:pStyle w:val="Heading1"/>
        <w:numPr>
          <w:ilvl w:val="0"/>
          <w:numId w:val="23"/>
        </w:numPr>
        <w:ind w:hanging="720"/>
      </w:pPr>
      <w:r>
        <w:t xml:space="preserve">Predicted vs Actual </w:t>
      </w:r>
      <w:r w:rsidR="00056DBD">
        <w:t>Utilisation</w:t>
      </w:r>
    </w:p>
    <w:p w14:paraId="4DFE104D" w14:textId="5B050A08" w:rsidR="00F61EAE" w:rsidRDefault="00F61EAE" w:rsidP="00FD6FE6">
      <w:pPr>
        <w:spacing w:before="240"/>
      </w:pPr>
      <w:r>
        <w:t xml:space="preserve">It was estimated </w:t>
      </w:r>
      <w:r w:rsidRPr="00FD3512">
        <w:t>for items 60</w:t>
      </w:r>
      <w:r w:rsidR="009B2DFB">
        <w:t>18</w:t>
      </w:r>
      <w:r w:rsidRPr="00FD3512">
        <w:t xml:space="preserve"> to 60</w:t>
      </w:r>
      <w:r w:rsidR="009B2DFB">
        <w:t>42</w:t>
      </w:r>
      <w:r w:rsidRPr="00FD3512">
        <w:t xml:space="preserve"> that an average of </w:t>
      </w:r>
      <w:r w:rsidR="009B2DFB">
        <w:t>2,500</w:t>
      </w:r>
      <w:r w:rsidRPr="00FD3512">
        <w:t xml:space="preserve"> patients per year would benefit from </w:t>
      </w:r>
      <w:r>
        <w:t xml:space="preserve">the </w:t>
      </w:r>
      <w:r w:rsidRPr="00FD3512">
        <w:t>1</w:t>
      </w:r>
      <w:r w:rsidR="009B2DFB">
        <w:t>5</w:t>
      </w:r>
      <w:r w:rsidRPr="00FD3512">
        <w:t xml:space="preserve"> new </w:t>
      </w:r>
      <w:r w:rsidR="009B2DFB">
        <w:t>A</w:t>
      </w:r>
      <w:r>
        <w:t xml:space="preserve">M MBS items </w:t>
      </w:r>
      <w:r w:rsidRPr="009619D9">
        <w:t xml:space="preserve">estimated </w:t>
      </w:r>
      <w:r>
        <w:t xml:space="preserve">to </w:t>
      </w:r>
      <w:r w:rsidRPr="009619D9">
        <w:t xml:space="preserve">cost </w:t>
      </w:r>
      <w:r w:rsidR="009B2DFB">
        <w:t>$10.2</w:t>
      </w:r>
      <w:r>
        <w:t xml:space="preserve"> million over four years.</w:t>
      </w:r>
    </w:p>
    <w:p w14:paraId="643ED04A" w14:textId="52854AAD" w:rsidR="00352F77" w:rsidRPr="00D2702C" w:rsidRDefault="00F61EAE" w:rsidP="00FD6FE6">
      <w:pPr>
        <w:spacing w:before="240"/>
      </w:pPr>
      <w:r w:rsidRPr="009619D9">
        <w:t xml:space="preserve">Based on input from the </w:t>
      </w:r>
      <w:r w:rsidR="00A0342B">
        <w:t>Australasian Chapter of Addiction Medicine (AChAM)</w:t>
      </w:r>
      <w:r w:rsidR="00EB0ACB">
        <w:t xml:space="preserve">, </w:t>
      </w:r>
      <w:r>
        <w:t>i</w:t>
      </w:r>
      <w:r w:rsidRPr="00FD3512">
        <w:t>t was anticipated that</w:t>
      </w:r>
      <w:r w:rsidR="006742AE">
        <w:t>,</w:t>
      </w:r>
      <w:r w:rsidRPr="00FD3512">
        <w:t xml:space="preserve"> </w:t>
      </w:r>
      <w:r>
        <w:t>over time</w:t>
      </w:r>
      <w:r w:rsidR="006742AE">
        <w:t>,</w:t>
      </w:r>
      <w:r>
        <w:t xml:space="preserve"> all</w:t>
      </w:r>
      <w:r w:rsidRPr="00FD3512">
        <w:t xml:space="preserve"> </w:t>
      </w:r>
      <w:r w:rsidR="009B2DFB">
        <w:t>A</w:t>
      </w:r>
      <w:r>
        <w:t>M</w:t>
      </w:r>
      <w:r w:rsidRPr="00FD3512">
        <w:t xml:space="preserve"> services provided under </w:t>
      </w:r>
      <w:r>
        <w:t xml:space="preserve">attendance items in </w:t>
      </w:r>
      <w:r w:rsidRPr="00FD3512">
        <w:t xml:space="preserve">Groups A1 and A2 would shift to the new </w:t>
      </w:r>
      <w:r w:rsidR="009B2DFB">
        <w:t>A</w:t>
      </w:r>
      <w:r>
        <w:t>H items in Group A3</w:t>
      </w:r>
      <w:r w:rsidR="009B2DFB">
        <w:t>1</w:t>
      </w:r>
      <w:r w:rsidR="00FD6FE6">
        <w:t xml:space="preserve">. </w:t>
      </w:r>
      <w:r w:rsidRPr="00FD3512">
        <w:t xml:space="preserve">Additionally, it was estimated that </w:t>
      </w:r>
      <w:r>
        <w:t>there would be no</w:t>
      </w:r>
      <w:r w:rsidRPr="00FD3512">
        <w:t xml:space="preserve"> shift of additional </w:t>
      </w:r>
      <w:r w:rsidR="009B2DFB">
        <w:t>A</w:t>
      </w:r>
      <w:r>
        <w:t>M</w:t>
      </w:r>
      <w:r w:rsidRPr="00FD3512">
        <w:t xml:space="preserve"> specialists from the public to the private sector (following introduction of the new items)</w:t>
      </w:r>
      <w:r>
        <w:t>,</w:t>
      </w:r>
      <w:r w:rsidRPr="00FD3512">
        <w:t xml:space="preserve"> as those </w:t>
      </w:r>
      <w:r>
        <w:t xml:space="preserve">specialists </w:t>
      </w:r>
      <w:r w:rsidRPr="00FD3512">
        <w:t>who are likely to bill Medicare are already doing so, and those who are not are unlikely to shift from publi</w:t>
      </w:r>
      <w:r>
        <w:t>c practice to private practice.</w:t>
      </w:r>
    </w:p>
    <w:p w14:paraId="20AECF99" w14:textId="6758C262" w:rsidR="00807347" w:rsidRPr="00FD6FE6" w:rsidRDefault="00CB5B8C" w:rsidP="00FD6FE6">
      <w:pPr>
        <w:spacing w:before="240"/>
        <w:ind w:right="-188"/>
      </w:pPr>
      <w:r>
        <w:rPr>
          <w:sz w:val="23"/>
          <w:szCs w:val="23"/>
        </w:rPr>
        <w:t>Although utilisation of the new AM</w:t>
      </w:r>
      <w:r w:rsidRPr="00231D46">
        <w:rPr>
          <w:sz w:val="23"/>
          <w:szCs w:val="23"/>
        </w:rPr>
        <w:t xml:space="preserve"> items is</w:t>
      </w:r>
      <w:r>
        <w:rPr>
          <w:sz w:val="23"/>
          <w:szCs w:val="23"/>
        </w:rPr>
        <w:t xml:space="preserve"> slightly lower than predicted f</w:t>
      </w:r>
      <w:r w:rsidR="007008B2" w:rsidRPr="00231D46">
        <w:rPr>
          <w:sz w:val="23"/>
          <w:szCs w:val="23"/>
        </w:rPr>
        <w:t xml:space="preserve">or the period </w:t>
      </w:r>
      <w:r w:rsidR="007008B2" w:rsidRPr="00B70525">
        <w:rPr>
          <w:sz w:val="23"/>
          <w:szCs w:val="23"/>
        </w:rPr>
        <w:t xml:space="preserve">1 July 2017 </w:t>
      </w:r>
      <w:r>
        <w:rPr>
          <w:sz w:val="23"/>
          <w:szCs w:val="23"/>
        </w:rPr>
        <w:t>to</w:t>
      </w:r>
      <w:r w:rsidR="007008B2" w:rsidRPr="00B70525">
        <w:rPr>
          <w:sz w:val="23"/>
          <w:szCs w:val="23"/>
        </w:rPr>
        <w:t xml:space="preserve"> 3</w:t>
      </w:r>
      <w:r w:rsidR="007008B2">
        <w:rPr>
          <w:sz w:val="23"/>
          <w:szCs w:val="23"/>
        </w:rPr>
        <w:t>0</w:t>
      </w:r>
      <w:r w:rsidR="007008B2" w:rsidRPr="00B70525">
        <w:rPr>
          <w:sz w:val="23"/>
          <w:szCs w:val="23"/>
        </w:rPr>
        <w:t xml:space="preserve"> June 2019</w:t>
      </w:r>
      <w:r>
        <w:rPr>
          <w:sz w:val="23"/>
          <w:szCs w:val="23"/>
        </w:rPr>
        <w:t xml:space="preserve">, data shows that </w:t>
      </w:r>
      <w:r w:rsidR="00EF6921">
        <w:rPr>
          <w:sz w:val="23"/>
          <w:szCs w:val="23"/>
        </w:rPr>
        <w:t xml:space="preserve">service </w:t>
      </w:r>
      <w:r>
        <w:rPr>
          <w:sz w:val="23"/>
          <w:szCs w:val="23"/>
        </w:rPr>
        <w:t>utilisation for</w:t>
      </w:r>
      <w:r w:rsidR="00EF6921">
        <w:rPr>
          <w:sz w:val="23"/>
          <w:szCs w:val="23"/>
        </w:rPr>
        <w:t xml:space="preserve"> these items </w:t>
      </w:r>
      <w:r>
        <w:rPr>
          <w:sz w:val="23"/>
          <w:szCs w:val="23"/>
        </w:rPr>
        <w:t xml:space="preserve">has increased </w:t>
      </w:r>
      <w:r w:rsidR="00EF6921">
        <w:rPr>
          <w:sz w:val="23"/>
          <w:szCs w:val="23"/>
        </w:rPr>
        <w:t>indicat</w:t>
      </w:r>
      <w:r>
        <w:rPr>
          <w:sz w:val="23"/>
          <w:szCs w:val="23"/>
        </w:rPr>
        <w:t>ing</w:t>
      </w:r>
      <w:r w:rsidR="00EF6921">
        <w:rPr>
          <w:sz w:val="23"/>
          <w:szCs w:val="23"/>
        </w:rPr>
        <w:t xml:space="preserve"> </w:t>
      </w:r>
      <w:r w:rsidR="007008B2">
        <w:rPr>
          <w:sz w:val="23"/>
          <w:szCs w:val="23"/>
        </w:rPr>
        <w:t>a shift by AM specialists to bill</w:t>
      </w:r>
      <w:r w:rsidR="009B2DFB">
        <w:rPr>
          <w:sz w:val="23"/>
          <w:szCs w:val="23"/>
        </w:rPr>
        <w:t xml:space="preserve"> the new AM services</w:t>
      </w:r>
      <w:r w:rsidR="00EF6921">
        <w:rPr>
          <w:sz w:val="23"/>
          <w:szCs w:val="23"/>
        </w:rPr>
        <w:t>.</w:t>
      </w:r>
      <w:r w:rsidR="00807347">
        <w:rPr>
          <w:sz w:val="23"/>
          <w:szCs w:val="23"/>
        </w:rPr>
        <w:br w:type="page"/>
      </w:r>
    </w:p>
    <w:p w14:paraId="120BAB29" w14:textId="403A41EC" w:rsidR="00807347" w:rsidRPr="00D16B38" w:rsidRDefault="00CA22B2" w:rsidP="00807347">
      <w:pPr>
        <w:autoSpaceDE w:val="0"/>
        <w:autoSpaceDN w:val="0"/>
        <w:adjustRightInd w:val="0"/>
        <w:ind w:right="-399"/>
        <w:rPr>
          <w:b/>
          <w:i/>
          <w:sz w:val="20"/>
        </w:rPr>
      </w:pPr>
      <w:r>
        <w:rPr>
          <w:b/>
          <w:i/>
          <w:sz w:val="20"/>
        </w:rPr>
        <w:lastRenderedPageBreak/>
        <w:t xml:space="preserve">Table 1: </w:t>
      </w:r>
      <w:r w:rsidR="00807347">
        <w:rPr>
          <w:b/>
          <w:i/>
          <w:sz w:val="20"/>
        </w:rPr>
        <w:t xml:space="preserve">Utilisation and benefits paid for all </w:t>
      </w:r>
      <w:r w:rsidR="00807347" w:rsidRPr="00D16B38">
        <w:rPr>
          <w:b/>
          <w:i/>
          <w:sz w:val="20"/>
        </w:rPr>
        <w:t xml:space="preserve">AM services </w:t>
      </w:r>
      <w:r w:rsidR="00807347">
        <w:rPr>
          <w:b/>
          <w:i/>
          <w:sz w:val="20"/>
        </w:rPr>
        <w:t>(Group 31) – State Comparison – 2017-18 and 2018-19</w:t>
      </w:r>
    </w:p>
    <w:tbl>
      <w:tblPr>
        <w:tblW w:w="9028" w:type="dxa"/>
        <w:tblLook w:val="04A0" w:firstRow="1" w:lastRow="0" w:firstColumn="1" w:lastColumn="0" w:noHBand="0" w:noVBand="1"/>
        <w:tblDescription w:val="Utilisation and benefits paid for all AM services (Group 31) – State Comparison – 2017-18 and 2018-19"/>
      </w:tblPr>
      <w:tblGrid>
        <w:gridCol w:w="1574"/>
        <w:gridCol w:w="1156"/>
        <w:gridCol w:w="1126"/>
        <w:gridCol w:w="1183"/>
        <w:gridCol w:w="1383"/>
        <w:gridCol w:w="1383"/>
        <w:gridCol w:w="1223"/>
      </w:tblGrid>
      <w:tr w:rsidR="00807347" w:rsidRPr="00AA0F42" w14:paraId="357C591A" w14:textId="77777777" w:rsidTr="00D46D03">
        <w:trPr>
          <w:trHeight w:val="324"/>
          <w:tblHeader/>
        </w:trPr>
        <w:tc>
          <w:tcPr>
            <w:tcW w:w="5039" w:type="dxa"/>
            <w:gridSpan w:val="4"/>
            <w:tcBorders>
              <w:top w:val="single" w:sz="8" w:space="0" w:color="auto"/>
              <w:left w:val="single" w:sz="8" w:space="0" w:color="auto"/>
              <w:bottom w:val="single" w:sz="4" w:space="0" w:color="auto"/>
              <w:right w:val="single" w:sz="4" w:space="0" w:color="000000"/>
            </w:tcBorders>
            <w:shd w:val="clear" w:color="auto" w:fill="0070C0"/>
            <w:noWrap/>
            <w:vAlign w:val="bottom"/>
            <w:hideMark/>
          </w:tcPr>
          <w:p w14:paraId="64B20D8C" w14:textId="77777777" w:rsidR="00807347" w:rsidRPr="00AA0F42" w:rsidRDefault="00807347" w:rsidP="00CF4E95">
            <w:pPr>
              <w:jc w:val="center"/>
              <w:rPr>
                <w:rFonts w:ascii="Tahoma" w:hAnsi="Tahoma" w:cs="Tahoma"/>
                <w:b/>
                <w:bCs/>
                <w:color w:val="FFFFFF" w:themeColor="background1"/>
                <w:sz w:val="20"/>
              </w:rPr>
            </w:pPr>
            <w:r w:rsidRPr="00AA0F42">
              <w:rPr>
                <w:rFonts w:ascii="Tahoma" w:hAnsi="Tahoma" w:cs="Tahoma"/>
                <w:b/>
                <w:bCs/>
                <w:color w:val="FFFFFF" w:themeColor="background1"/>
                <w:sz w:val="20"/>
              </w:rPr>
              <w:t>Number of Services</w:t>
            </w:r>
          </w:p>
        </w:tc>
        <w:tc>
          <w:tcPr>
            <w:tcW w:w="3989" w:type="dxa"/>
            <w:gridSpan w:val="3"/>
            <w:tcBorders>
              <w:top w:val="single" w:sz="8" w:space="0" w:color="auto"/>
              <w:left w:val="nil"/>
              <w:bottom w:val="single" w:sz="4" w:space="0" w:color="auto"/>
              <w:right w:val="single" w:sz="8" w:space="0" w:color="000000"/>
            </w:tcBorders>
            <w:shd w:val="clear" w:color="auto" w:fill="0070C0"/>
            <w:noWrap/>
            <w:vAlign w:val="bottom"/>
            <w:hideMark/>
          </w:tcPr>
          <w:p w14:paraId="1DBEA2E8" w14:textId="77777777" w:rsidR="00807347" w:rsidRPr="00AA0F42" w:rsidRDefault="00807347" w:rsidP="00CF4E95">
            <w:pPr>
              <w:jc w:val="center"/>
              <w:rPr>
                <w:rFonts w:ascii="Tahoma" w:hAnsi="Tahoma" w:cs="Tahoma"/>
                <w:b/>
                <w:bCs/>
                <w:color w:val="FFFFFF" w:themeColor="background1"/>
                <w:sz w:val="20"/>
              </w:rPr>
            </w:pPr>
            <w:r w:rsidRPr="00AA0F42">
              <w:rPr>
                <w:rFonts w:ascii="Tahoma" w:hAnsi="Tahoma" w:cs="Tahoma"/>
                <w:b/>
                <w:bCs/>
                <w:color w:val="FFFFFF" w:themeColor="background1"/>
                <w:sz w:val="20"/>
              </w:rPr>
              <w:t>Benefits Paid Amount</w:t>
            </w:r>
          </w:p>
        </w:tc>
      </w:tr>
      <w:tr w:rsidR="00807347" w:rsidRPr="001B6078" w14:paraId="7C9E1A86" w14:textId="77777777" w:rsidTr="00D46D03">
        <w:trPr>
          <w:trHeight w:val="343"/>
          <w:tblHeader/>
        </w:trPr>
        <w:tc>
          <w:tcPr>
            <w:tcW w:w="1574" w:type="dxa"/>
            <w:tcBorders>
              <w:top w:val="nil"/>
              <w:left w:val="single" w:sz="8" w:space="0" w:color="auto"/>
              <w:bottom w:val="single" w:sz="8" w:space="0" w:color="auto"/>
              <w:right w:val="single" w:sz="4" w:space="0" w:color="auto"/>
            </w:tcBorders>
            <w:shd w:val="clear" w:color="auto" w:fill="auto"/>
            <w:noWrap/>
            <w:vAlign w:val="bottom"/>
            <w:hideMark/>
          </w:tcPr>
          <w:p w14:paraId="7E730479" w14:textId="77777777" w:rsidR="00807347" w:rsidRPr="001B6078" w:rsidRDefault="00807347" w:rsidP="00CF4E95">
            <w:pPr>
              <w:rPr>
                <w:rFonts w:ascii="Tahoma" w:hAnsi="Tahoma" w:cs="Tahoma"/>
                <w:color w:val="000000"/>
                <w:sz w:val="20"/>
              </w:rPr>
            </w:pPr>
            <w:r w:rsidRPr="001B6078">
              <w:rPr>
                <w:rFonts w:ascii="Tahoma" w:hAnsi="Tahoma" w:cs="Tahoma"/>
                <w:color w:val="000000"/>
                <w:sz w:val="20"/>
              </w:rPr>
              <w:t> </w:t>
            </w:r>
          </w:p>
        </w:tc>
        <w:tc>
          <w:tcPr>
            <w:tcW w:w="1156" w:type="dxa"/>
            <w:tcBorders>
              <w:top w:val="nil"/>
              <w:left w:val="nil"/>
              <w:bottom w:val="single" w:sz="8" w:space="0" w:color="auto"/>
              <w:right w:val="single" w:sz="4" w:space="0" w:color="auto"/>
            </w:tcBorders>
            <w:shd w:val="clear" w:color="auto" w:fill="auto"/>
            <w:noWrap/>
            <w:vAlign w:val="bottom"/>
            <w:hideMark/>
          </w:tcPr>
          <w:p w14:paraId="1D7F817B" w14:textId="77777777" w:rsidR="00807347" w:rsidRPr="001B6078" w:rsidRDefault="00807347" w:rsidP="00CF4E95">
            <w:pPr>
              <w:jc w:val="center"/>
              <w:rPr>
                <w:rFonts w:ascii="Tahoma" w:hAnsi="Tahoma" w:cs="Tahoma"/>
                <w:b/>
                <w:bCs/>
                <w:color w:val="000000"/>
                <w:sz w:val="20"/>
              </w:rPr>
            </w:pPr>
            <w:r w:rsidRPr="001B6078">
              <w:rPr>
                <w:rFonts w:ascii="Tahoma" w:hAnsi="Tahoma" w:cs="Tahoma"/>
                <w:b/>
                <w:bCs/>
                <w:color w:val="000000"/>
                <w:sz w:val="20"/>
              </w:rPr>
              <w:t>2017-18</w:t>
            </w:r>
          </w:p>
        </w:tc>
        <w:tc>
          <w:tcPr>
            <w:tcW w:w="1126" w:type="dxa"/>
            <w:tcBorders>
              <w:top w:val="nil"/>
              <w:left w:val="nil"/>
              <w:bottom w:val="single" w:sz="8" w:space="0" w:color="auto"/>
              <w:right w:val="single" w:sz="8" w:space="0" w:color="auto"/>
            </w:tcBorders>
            <w:shd w:val="clear" w:color="auto" w:fill="auto"/>
            <w:noWrap/>
            <w:vAlign w:val="bottom"/>
            <w:hideMark/>
          </w:tcPr>
          <w:p w14:paraId="3F971856" w14:textId="77777777" w:rsidR="00807347" w:rsidRPr="001B6078" w:rsidRDefault="00807347" w:rsidP="00CF4E95">
            <w:pPr>
              <w:jc w:val="center"/>
              <w:rPr>
                <w:rFonts w:ascii="Tahoma" w:hAnsi="Tahoma" w:cs="Tahoma"/>
                <w:b/>
                <w:bCs/>
                <w:color w:val="000000"/>
                <w:sz w:val="20"/>
              </w:rPr>
            </w:pPr>
            <w:r w:rsidRPr="001B6078">
              <w:rPr>
                <w:rFonts w:ascii="Tahoma" w:hAnsi="Tahoma" w:cs="Tahoma"/>
                <w:b/>
                <w:bCs/>
                <w:color w:val="000000"/>
                <w:sz w:val="20"/>
              </w:rPr>
              <w:t>2018-19</w:t>
            </w:r>
          </w:p>
        </w:tc>
        <w:tc>
          <w:tcPr>
            <w:tcW w:w="1183" w:type="dxa"/>
            <w:tcBorders>
              <w:top w:val="nil"/>
              <w:left w:val="single" w:sz="4" w:space="0" w:color="auto"/>
              <w:bottom w:val="single" w:sz="8" w:space="0" w:color="auto"/>
              <w:right w:val="single" w:sz="4" w:space="0" w:color="auto"/>
            </w:tcBorders>
            <w:shd w:val="clear" w:color="auto" w:fill="auto"/>
            <w:noWrap/>
            <w:vAlign w:val="bottom"/>
            <w:hideMark/>
          </w:tcPr>
          <w:p w14:paraId="228D6E1D" w14:textId="77777777" w:rsidR="00807347" w:rsidRPr="001B6078" w:rsidRDefault="00807347" w:rsidP="00CF4E95">
            <w:pPr>
              <w:jc w:val="center"/>
              <w:rPr>
                <w:rFonts w:ascii="Tahoma" w:hAnsi="Tahoma" w:cs="Tahoma"/>
                <w:b/>
                <w:bCs/>
                <w:color w:val="000000"/>
                <w:sz w:val="20"/>
              </w:rPr>
            </w:pPr>
            <w:r w:rsidRPr="001B6078">
              <w:rPr>
                <w:rFonts w:ascii="Tahoma" w:hAnsi="Tahoma" w:cs="Tahoma"/>
                <w:b/>
                <w:bCs/>
                <w:color w:val="000000"/>
                <w:sz w:val="20"/>
              </w:rPr>
              <w:t>Growth %</w:t>
            </w:r>
          </w:p>
        </w:tc>
        <w:tc>
          <w:tcPr>
            <w:tcW w:w="1383" w:type="dxa"/>
            <w:tcBorders>
              <w:top w:val="nil"/>
              <w:left w:val="nil"/>
              <w:bottom w:val="single" w:sz="8" w:space="0" w:color="auto"/>
              <w:right w:val="single" w:sz="4" w:space="0" w:color="auto"/>
            </w:tcBorders>
            <w:shd w:val="clear" w:color="auto" w:fill="auto"/>
            <w:noWrap/>
            <w:vAlign w:val="bottom"/>
            <w:hideMark/>
          </w:tcPr>
          <w:p w14:paraId="26C62454" w14:textId="77777777" w:rsidR="00807347" w:rsidRPr="001B6078" w:rsidRDefault="00807347" w:rsidP="00CF4E95">
            <w:pPr>
              <w:jc w:val="center"/>
              <w:rPr>
                <w:rFonts w:ascii="Tahoma" w:hAnsi="Tahoma" w:cs="Tahoma"/>
                <w:b/>
                <w:bCs/>
                <w:color w:val="000000"/>
                <w:sz w:val="20"/>
              </w:rPr>
            </w:pPr>
            <w:r w:rsidRPr="001B6078">
              <w:rPr>
                <w:rFonts w:ascii="Tahoma" w:hAnsi="Tahoma" w:cs="Tahoma"/>
                <w:b/>
                <w:bCs/>
                <w:color w:val="000000"/>
                <w:sz w:val="20"/>
              </w:rPr>
              <w:t>2017-18</w:t>
            </w:r>
          </w:p>
        </w:tc>
        <w:tc>
          <w:tcPr>
            <w:tcW w:w="1383" w:type="dxa"/>
            <w:tcBorders>
              <w:top w:val="nil"/>
              <w:left w:val="nil"/>
              <w:bottom w:val="single" w:sz="8" w:space="0" w:color="auto"/>
              <w:right w:val="single" w:sz="8" w:space="0" w:color="auto"/>
            </w:tcBorders>
            <w:shd w:val="clear" w:color="auto" w:fill="auto"/>
            <w:noWrap/>
            <w:vAlign w:val="bottom"/>
            <w:hideMark/>
          </w:tcPr>
          <w:p w14:paraId="1A6C8388" w14:textId="77777777" w:rsidR="00807347" w:rsidRPr="001B6078" w:rsidRDefault="00807347" w:rsidP="00CF4E95">
            <w:pPr>
              <w:jc w:val="center"/>
              <w:rPr>
                <w:rFonts w:ascii="Tahoma" w:hAnsi="Tahoma" w:cs="Tahoma"/>
                <w:b/>
                <w:bCs/>
                <w:color w:val="000000"/>
                <w:sz w:val="20"/>
              </w:rPr>
            </w:pPr>
            <w:r w:rsidRPr="001B6078">
              <w:rPr>
                <w:rFonts w:ascii="Tahoma" w:hAnsi="Tahoma" w:cs="Tahoma"/>
                <w:b/>
                <w:bCs/>
                <w:color w:val="000000"/>
                <w:sz w:val="20"/>
              </w:rPr>
              <w:t>2018-19</w:t>
            </w:r>
          </w:p>
        </w:tc>
        <w:tc>
          <w:tcPr>
            <w:tcW w:w="1223" w:type="dxa"/>
            <w:tcBorders>
              <w:top w:val="nil"/>
              <w:left w:val="single" w:sz="4" w:space="0" w:color="auto"/>
              <w:bottom w:val="single" w:sz="8" w:space="0" w:color="auto"/>
              <w:right w:val="single" w:sz="8" w:space="0" w:color="auto"/>
            </w:tcBorders>
            <w:shd w:val="clear" w:color="auto" w:fill="auto"/>
            <w:noWrap/>
            <w:vAlign w:val="bottom"/>
            <w:hideMark/>
          </w:tcPr>
          <w:p w14:paraId="4FFECA27" w14:textId="77777777" w:rsidR="00807347" w:rsidRPr="001B6078" w:rsidRDefault="00807347" w:rsidP="00CF4E95">
            <w:pPr>
              <w:jc w:val="center"/>
              <w:rPr>
                <w:rFonts w:ascii="Tahoma" w:hAnsi="Tahoma" w:cs="Tahoma"/>
                <w:b/>
                <w:bCs/>
                <w:color w:val="000000"/>
                <w:sz w:val="20"/>
              </w:rPr>
            </w:pPr>
            <w:r w:rsidRPr="001B6078">
              <w:rPr>
                <w:rFonts w:ascii="Tahoma" w:hAnsi="Tahoma" w:cs="Tahoma"/>
                <w:b/>
                <w:bCs/>
                <w:color w:val="000000"/>
                <w:sz w:val="20"/>
              </w:rPr>
              <w:t>Growth %</w:t>
            </w:r>
          </w:p>
        </w:tc>
      </w:tr>
      <w:tr w:rsidR="00807347" w:rsidRPr="001B6078" w14:paraId="26FC3274" w14:textId="77777777" w:rsidTr="00CF4E95">
        <w:trPr>
          <w:trHeight w:val="324"/>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14:paraId="586C7725" w14:textId="77777777" w:rsidR="00807347" w:rsidRPr="001B6078" w:rsidRDefault="00807347" w:rsidP="00CF4E95">
            <w:pPr>
              <w:rPr>
                <w:rFonts w:ascii="Tahoma" w:hAnsi="Tahoma" w:cs="Tahoma"/>
                <w:color w:val="000000"/>
                <w:sz w:val="20"/>
              </w:rPr>
            </w:pPr>
            <w:r>
              <w:rPr>
                <w:rFonts w:ascii="Tahoma" w:hAnsi="Tahoma" w:cs="Tahoma"/>
                <w:color w:val="000000"/>
                <w:sz w:val="20"/>
              </w:rPr>
              <w:t>NSW/ACT</w:t>
            </w:r>
          </w:p>
        </w:tc>
        <w:tc>
          <w:tcPr>
            <w:tcW w:w="1156" w:type="dxa"/>
            <w:tcBorders>
              <w:top w:val="nil"/>
              <w:left w:val="nil"/>
              <w:bottom w:val="single" w:sz="4" w:space="0" w:color="auto"/>
              <w:right w:val="single" w:sz="4" w:space="0" w:color="auto"/>
            </w:tcBorders>
            <w:shd w:val="clear" w:color="auto" w:fill="auto"/>
            <w:noWrap/>
            <w:vAlign w:val="bottom"/>
            <w:hideMark/>
          </w:tcPr>
          <w:p w14:paraId="5423B901"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7,638</w:t>
            </w:r>
          </w:p>
        </w:tc>
        <w:tc>
          <w:tcPr>
            <w:tcW w:w="1126" w:type="dxa"/>
            <w:tcBorders>
              <w:top w:val="nil"/>
              <w:left w:val="nil"/>
              <w:bottom w:val="single" w:sz="4" w:space="0" w:color="auto"/>
              <w:right w:val="nil"/>
            </w:tcBorders>
            <w:shd w:val="clear" w:color="auto" w:fill="auto"/>
            <w:noWrap/>
            <w:vAlign w:val="bottom"/>
            <w:hideMark/>
          </w:tcPr>
          <w:p w14:paraId="797D5126"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11,946</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579F0D53"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43.9</w:t>
            </w:r>
            <w:r w:rsidRPr="001B6078">
              <w:rPr>
                <w:rFonts w:ascii="Tahoma" w:hAnsi="Tahoma" w:cs="Tahoma"/>
                <w:color w:val="000000"/>
                <w:sz w:val="20"/>
              </w:rPr>
              <w:t>%</w:t>
            </w:r>
          </w:p>
        </w:tc>
        <w:tc>
          <w:tcPr>
            <w:tcW w:w="1383" w:type="dxa"/>
            <w:tcBorders>
              <w:top w:val="nil"/>
              <w:left w:val="nil"/>
              <w:bottom w:val="single" w:sz="4" w:space="0" w:color="auto"/>
              <w:right w:val="single" w:sz="4" w:space="0" w:color="auto"/>
            </w:tcBorders>
            <w:shd w:val="clear" w:color="auto" w:fill="auto"/>
            <w:noWrap/>
            <w:vAlign w:val="bottom"/>
            <w:hideMark/>
          </w:tcPr>
          <w:p w14:paraId="0BCEFFFF"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$572,328</w:t>
            </w:r>
          </w:p>
        </w:tc>
        <w:tc>
          <w:tcPr>
            <w:tcW w:w="1383" w:type="dxa"/>
            <w:tcBorders>
              <w:top w:val="nil"/>
              <w:left w:val="nil"/>
              <w:bottom w:val="single" w:sz="4" w:space="0" w:color="auto"/>
              <w:right w:val="nil"/>
            </w:tcBorders>
            <w:shd w:val="clear" w:color="auto" w:fill="auto"/>
            <w:noWrap/>
            <w:vAlign w:val="bottom"/>
            <w:hideMark/>
          </w:tcPr>
          <w:p w14:paraId="1F3FA11F" w14:textId="77777777" w:rsidR="00807347" w:rsidRPr="001B6078" w:rsidRDefault="00807347" w:rsidP="00CF4E95">
            <w:pPr>
              <w:jc w:val="right"/>
              <w:rPr>
                <w:rFonts w:ascii="Tahoma" w:hAnsi="Tahoma" w:cs="Tahoma"/>
                <w:color w:val="000000"/>
                <w:sz w:val="20"/>
              </w:rPr>
            </w:pPr>
            <w:r w:rsidRPr="001B6078">
              <w:rPr>
                <w:rFonts w:ascii="Tahoma" w:hAnsi="Tahoma" w:cs="Tahoma"/>
                <w:color w:val="000000"/>
                <w:sz w:val="20"/>
              </w:rPr>
              <w:t>$</w:t>
            </w:r>
            <w:r>
              <w:rPr>
                <w:rFonts w:ascii="Tahoma" w:hAnsi="Tahoma" w:cs="Tahoma"/>
                <w:color w:val="000000"/>
                <w:sz w:val="20"/>
              </w:rPr>
              <w:t>973,066</w:t>
            </w:r>
          </w:p>
        </w:tc>
        <w:tc>
          <w:tcPr>
            <w:tcW w:w="1223" w:type="dxa"/>
            <w:tcBorders>
              <w:top w:val="nil"/>
              <w:left w:val="single" w:sz="4" w:space="0" w:color="auto"/>
              <w:bottom w:val="single" w:sz="4" w:space="0" w:color="auto"/>
              <w:right w:val="single" w:sz="8" w:space="0" w:color="auto"/>
            </w:tcBorders>
            <w:shd w:val="clear" w:color="auto" w:fill="auto"/>
            <w:noWrap/>
            <w:vAlign w:val="bottom"/>
            <w:hideMark/>
          </w:tcPr>
          <w:p w14:paraId="6714E0AD"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51.8%</w:t>
            </w:r>
          </w:p>
        </w:tc>
      </w:tr>
      <w:tr w:rsidR="00807347" w:rsidRPr="001B6078" w14:paraId="676C875E" w14:textId="77777777" w:rsidTr="00CF4E95">
        <w:trPr>
          <w:trHeight w:val="324"/>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14:paraId="34284B4E" w14:textId="77777777" w:rsidR="00807347" w:rsidRPr="001B6078" w:rsidRDefault="00807347" w:rsidP="00CF4E95">
            <w:pPr>
              <w:rPr>
                <w:rFonts w:ascii="Tahoma" w:hAnsi="Tahoma" w:cs="Tahoma"/>
                <w:color w:val="000000"/>
                <w:sz w:val="20"/>
              </w:rPr>
            </w:pPr>
            <w:r w:rsidRPr="001B6078">
              <w:rPr>
                <w:rFonts w:ascii="Tahoma" w:hAnsi="Tahoma" w:cs="Tahoma"/>
                <w:color w:val="000000"/>
                <w:sz w:val="20"/>
              </w:rPr>
              <w:t>VIC</w:t>
            </w:r>
          </w:p>
        </w:tc>
        <w:tc>
          <w:tcPr>
            <w:tcW w:w="1156" w:type="dxa"/>
            <w:tcBorders>
              <w:top w:val="nil"/>
              <w:left w:val="nil"/>
              <w:bottom w:val="single" w:sz="4" w:space="0" w:color="auto"/>
              <w:right w:val="single" w:sz="4" w:space="0" w:color="auto"/>
            </w:tcBorders>
            <w:shd w:val="clear" w:color="auto" w:fill="auto"/>
            <w:noWrap/>
            <w:vAlign w:val="bottom"/>
            <w:hideMark/>
          </w:tcPr>
          <w:p w14:paraId="08DDCDE6"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2,939</w:t>
            </w:r>
          </w:p>
        </w:tc>
        <w:tc>
          <w:tcPr>
            <w:tcW w:w="1126" w:type="dxa"/>
            <w:tcBorders>
              <w:top w:val="nil"/>
              <w:left w:val="nil"/>
              <w:bottom w:val="single" w:sz="4" w:space="0" w:color="auto"/>
              <w:right w:val="nil"/>
            </w:tcBorders>
            <w:shd w:val="clear" w:color="auto" w:fill="auto"/>
            <w:noWrap/>
            <w:vAlign w:val="bottom"/>
            <w:hideMark/>
          </w:tcPr>
          <w:p w14:paraId="4030ACDF"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4,932</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2664C952"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50.6</w:t>
            </w:r>
            <w:r w:rsidRPr="001B6078">
              <w:rPr>
                <w:rFonts w:ascii="Tahoma" w:hAnsi="Tahoma" w:cs="Tahoma"/>
                <w:color w:val="000000"/>
                <w:sz w:val="20"/>
              </w:rPr>
              <w:t>%</w:t>
            </w:r>
          </w:p>
        </w:tc>
        <w:tc>
          <w:tcPr>
            <w:tcW w:w="1383" w:type="dxa"/>
            <w:tcBorders>
              <w:top w:val="nil"/>
              <w:left w:val="nil"/>
              <w:bottom w:val="single" w:sz="4" w:space="0" w:color="auto"/>
              <w:right w:val="single" w:sz="4" w:space="0" w:color="auto"/>
            </w:tcBorders>
            <w:shd w:val="clear" w:color="auto" w:fill="auto"/>
            <w:noWrap/>
            <w:vAlign w:val="bottom"/>
            <w:hideMark/>
          </w:tcPr>
          <w:p w14:paraId="038C0E42"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$293,494</w:t>
            </w:r>
          </w:p>
        </w:tc>
        <w:tc>
          <w:tcPr>
            <w:tcW w:w="1383" w:type="dxa"/>
            <w:tcBorders>
              <w:top w:val="nil"/>
              <w:left w:val="nil"/>
              <w:bottom w:val="single" w:sz="4" w:space="0" w:color="auto"/>
              <w:right w:val="single" w:sz="4" w:space="0" w:color="auto"/>
            </w:tcBorders>
            <w:shd w:val="clear" w:color="auto" w:fill="auto"/>
            <w:noWrap/>
            <w:vAlign w:val="bottom"/>
            <w:hideMark/>
          </w:tcPr>
          <w:p w14:paraId="2F0BA7AF"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$522,336</w:t>
            </w:r>
          </w:p>
        </w:tc>
        <w:tc>
          <w:tcPr>
            <w:tcW w:w="1223" w:type="dxa"/>
            <w:tcBorders>
              <w:top w:val="nil"/>
              <w:left w:val="nil"/>
              <w:bottom w:val="single" w:sz="4" w:space="0" w:color="auto"/>
              <w:right w:val="single" w:sz="8" w:space="0" w:color="auto"/>
            </w:tcBorders>
            <w:shd w:val="clear" w:color="auto" w:fill="auto"/>
            <w:noWrap/>
            <w:vAlign w:val="bottom"/>
            <w:hideMark/>
          </w:tcPr>
          <w:p w14:paraId="6D2CB6C5"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56.1</w:t>
            </w:r>
            <w:r w:rsidRPr="001B6078">
              <w:rPr>
                <w:rFonts w:ascii="Tahoma" w:hAnsi="Tahoma" w:cs="Tahoma"/>
                <w:color w:val="000000"/>
                <w:sz w:val="20"/>
              </w:rPr>
              <w:t>%</w:t>
            </w:r>
          </w:p>
        </w:tc>
      </w:tr>
      <w:tr w:rsidR="00807347" w:rsidRPr="001B6078" w14:paraId="5C80C5F1" w14:textId="77777777" w:rsidTr="00CF4E95">
        <w:trPr>
          <w:trHeight w:val="324"/>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14:paraId="49921F41" w14:textId="77777777" w:rsidR="00807347" w:rsidRPr="001B6078" w:rsidRDefault="00807347" w:rsidP="00CF4E95">
            <w:pPr>
              <w:rPr>
                <w:rFonts w:ascii="Tahoma" w:hAnsi="Tahoma" w:cs="Tahoma"/>
                <w:color w:val="000000"/>
                <w:sz w:val="20"/>
              </w:rPr>
            </w:pPr>
            <w:r w:rsidRPr="001B6078">
              <w:rPr>
                <w:rFonts w:ascii="Tahoma" w:hAnsi="Tahoma" w:cs="Tahoma"/>
                <w:color w:val="000000"/>
                <w:sz w:val="20"/>
              </w:rPr>
              <w:t>QLD</w:t>
            </w:r>
          </w:p>
        </w:tc>
        <w:tc>
          <w:tcPr>
            <w:tcW w:w="1156" w:type="dxa"/>
            <w:tcBorders>
              <w:top w:val="nil"/>
              <w:left w:val="nil"/>
              <w:bottom w:val="single" w:sz="4" w:space="0" w:color="auto"/>
              <w:right w:val="single" w:sz="4" w:space="0" w:color="auto"/>
            </w:tcBorders>
            <w:shd w:val="clear" w:color="auto" w:fill="auto"/>
            <w:noWrap/>
            <w:vAlign w:val="bottom"/>
            <w:hideMark/>
          </w:tcPr>
          <w:p w14:paraId="05C5CEFE"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1,215</w:t>
            </w:r>
          </w:p>
        </w:tc>
        <w:tc>
          <w:tcPr>
            <w:tcW w:w="1126" w:type="dxa"/>
            <w:tcBorders>
              <w:top w:val="nil"/>
              <w:left w:val="nil"/>
              <w:bottom w:val="single" w:sz="4" w:space="0" w:color="auto"/>
              <w:right w:val="nil"/>
            </w:tcBorders>
            <w:shd w:val="clear" w:color="auto" w:fill="auto"/>
            <w:noWrap/>
            <w:vAlign w:val="bottom"/>
            <w:hideMark/>
          </w:tcPr>
          <w:p w14:paraId="10A2999A"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1,608</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48EB6CAE"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27.8</w:t>
            </w:r>
            <w:r w:rsidRPr="001B6078">
              <w:rPr>
                <w:rFonts w:ascii="Tahoma" w:hAnsi="Tahoma" w:cs="Tahoma"/>
                <w:color w:val="000000"/>
                <w:sz w:val="20"/>
              </w:rPr>
              <w:t>%</w:t>
            </w:r>
          </w:p>
        </w:tc>
        <w:tc>
          <w:tcPr>
            <w:tcW w:w="1383" w:type="dxa"/>
            <w:tcBorders>
              <w:top w:val="nil"/>
              <w:left w:val="nil"/>
              <w:bottom w:val="single" w:sz="4" w:space="0" w:color="auto"/>
              <w:right w:val="single" w:sz="4" w:space="0" w:color="auto"/>
            </w:tcBorders>
            <w:shd w:val="clear" w:color="auto" w:fill="auto"/>
            <w:noWrap/>
            <w:vAlign w:val="bottom"/>
            <w:hideMark/>
          </w:tcPr>
          <w:p w14:paraId="0AB530D9"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$100,501</w:t>
            </w:r>
          </w:p>
        </w:tc>
        <w:tc>
          <w:tcPr>
            <w:tcW w:w="1383" w:type="dxa"/>
            <w:tcBorders>
              <w:top w:val="nil"/>
              <w:left w:val="nil"/>
              <w:bottom w:val="single" w:sz="4" w:space="0" w:color="auto"/>
              <w:right w:val="single" w:sz="4" w:space="0" w:color="auto"/>
            </w:tcBorders>
            <w:shd w:val="clear" w:color="auto" w:fill="auto"/>
            <w:noWrap/>
            <w:vAlign w:val="bottom"/>
            <w:hideMark/>
          </w:tcPr>
          <w:p w14:paraId="641F9BF1"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$139,813</w:t>
            </w:r>
          </w:p>
        </w:tc>
        <w:tc>
          <w:tcPr>
            <w:tcW w:w="1223" w:type="dxa"/>
            <w:tcBorders>
              <w:top w:val="nil"/>
              <w:left w:val="nil"/>
              <w:bottom w:val="single" w:sz="4" w:space="0" w:color="auto"/>
              <w:right w:val="single" w:sz="8" w:space="0" w:color="auto"/>
            </w:tcBorders>
            <w:shd w:val="clear" w:color="auto" w:fill="auto"/>
            <w:noWrap/>
            <w:vAlign w:val="bottom"/>
            <w:hideMark/>
          </w:tcPr>
          <w:p w14:paraId="2BAE65B6"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32.7</w:t>
            </w:r>
            <w:r w:rsidRPr="001B6078">
              <w:rPr>
                <w:rFonts w:ascii="Tahoma" w:hAnsi="Tahoma" w:cs="Tahoma"/>
                <w:color w:val="000000"/>
                <w:sz w:val="20"/>
              </w:rPr>
              <w:t>%</w:t>
            </w:r>
          </w:p>
        </w:tc>
      </w:tr>
      <w:tr w:rsidR="00807347" w:rsidRPr="001B6078" w14:paraId="24D2C9BF" w14:textId="77777777" w:rsidTr="00CF4E95">
        <w:trPr>
          <w:trHeight w:val="324"/>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14:paraId="53368BB0" w14:textId="77777777" w:rsidR="00807347" w:rsidRPr="001B6078" w:rsidRDefault="00807347" w:rsidP="00CF4E95">
            <w:pPr>
              <w:rPr>
                <w:rFonts w:ascii="Tahoma" w:hAnsi="Tahoma" w:cs="Tahoma"/>
                <w:color w:val="000000"/>
                <w:sz w:val="20"/>
              </w:rPr>
            </w:pPr>
            <w:r w:rsidRPr="001B6078">
              <w:rPr>
                <w:rFonts w:ascii="Tahoma" w:hAnsi="Tahoma" w:cs="Tahoma"/>
                <w:color w:val="000000"/>
                <w:sz w:val="20"/>
              </w:rPr>
              <w:t>SA/NT</w:t>
            </w:r>
          </w:p>
        </w:tc>
        <w:tc>
          <w:tcPr>
            <w:tcW w:w="1156" w:type="dxa"/>
            <w:tcBorders>
              <w:top w:val="nil"/>
              <w:left w:val="nil"/>
              <w:bottom w:val="single" w:sz="4" w:space="0" w:color="auto"/>
              <w:right w:val="single" w:sz="4" w:space="0" w:color="auto"/>
            </w:tcBorders>
            <w:shd w:val="clear" w:color="auto" w:fill="auto"/>
            <w:noWrap/>
            <w:vAlign w:val="bottom"/>
            <w:hideMark/>
          </w:tcPr>
          <w:p w14:paraId="6E99B04F"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2,094</w:t>
            </w:r>
          </w:p>
        </w:tc>
        <w:tc>
          <w:tcPr>
            <w:tcW w:w="1126" w:type="dxa"/>
            <w:tcBorders>
              <w:top w:val="nil"/>
              <w:left w:val="nil"/>
              <w:bottom w:val="single" w:sz="4" w:space="0" w:color="auto"/>
              <w:right w:val="nil"/>
            </w:tcBorders>
            <w:shd w:val="clear" w:color="auto" w:fill="auto"/>
            <w:noWrap/>
            <w:vAlign w:val="bottom"/>
            <w:hideMark/>
          </w:tcPr>
          <w:p w14:paraId="190DAA95"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1,828</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3C55CE8D"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13.5</w:t>
            </w:r>
            <w:r w:rsidRPr="001B6078">
              <w:rPr>
                <w:rFonts w:ascii="Tahoma" w:hAnsi="Tahoma" w:cs="Tahoma"/>
                <w:color w:val="000000"/>
                <w:sz w:val="20"/>
              </w:rPr>
              <w:t>%</w:t>
            </w:r>
          </w:p>
        </w:tc>
        <w:tc>
          <w:tcPr>
            <w:tcW w:w="1383" w:type="dxa"/>
            <w:tcBorders>
              <w:top w:val="nil"/>
              <w:left w:val="nil"/>
              <w:bottom w:val="single" w:sz="4" w:space="0" w:color="auto"/>
              <w:right w:val="single" w:sz="4" w:space="0" w:color="auto"/>
            </w:tcBorders>
            <w:shd w:val="clear" w:color="auto" w:fill="auto"/>
            <w:noWrap/>
            <w:vAlign w:val="bottom"/>
            <w:hideMark/>
          </w:tcPr>
          <w:p w14:paraId="42E1C872"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$175,650</w:t>
            </w:r>
          </w:p>
        </w:tc>
        <w:tc>
          <w:tcPr>
            <w:tcW w:w="1383" w:type="dxa"/>
            <w:tcBorders>
              <w:top w:val="nil"/>
              <w:left w:val="nil"/>
              <w:bottom w:val="single" w:sz="4" w:space="0" w:color="auto"/>
              <w:right w:val="single" w:sz="4" w:space="0" w:color="auto"/>
            </w:tcBorders>
            <w:shd w:val="clear" w:color="auto" w:fill="auto"/>
            <w:noWrap/>
            <w:vAlign w:val="bottom"/>
            <w:hideMark/>
          </w:tcPr>
          <w:p w14:paraId="6AD3935B"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$182,980</w:t>
            </w:r>
          </w:p>
        </w:tc>
        <w:tc>
          <w:tcPr>
            <w:tcW w:w="1223" w:type="dxa"/>
            <w:tcBorders>
              <w:top w:val="nil"/>
              <w:left w:val="nil"/>
              <w:bottom w:val="single" w:sz="4" w:space="0" w:color="auto"/>
              <w:right w:val="single" w:sz="8" w:space="0" w:color="auto"/>
            </w:tcBorders>
            <w:shd w:val="clear" w:color="auto" w:fill="auto"/>
            <w:noWrap/>
            <w:vAlign w:val="bottom"/>
            <w:hideMark/>
          </w:tcPr>
          <w:p w14:paraId="51C8F102"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4.08</w:t>
            </w:r>
            <w:r w:rsidRPr="001B6078">
              <w:rPr>
                <w:rFonts w:ascii="Tahoma" w:hAnsi="Tahoma" w:cs="Tahoma"/>
                <w:color w:val="000000"/>
                <w:sz w:val="20"/>
              </w:rPr>
              <w:t>%</w:t>
            </w:r>
          </w:p>
        </w:tc>
      </w:tr>
      <w:tr w:rsidR="00807347" w:rsidRPr="001B6078" w14:paraId="626F928D" w14:textId="77777777" w:rsidTr="00CF4E95">
        <w:trPr>
          <w:trHeight w:val="324"/>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14:paraId="45926D11" w14:textId="77777777" w:rsidR="00807347" w:rsidRPr="001B6078" w:rsidRDefault="00807347" w:rsidP="00CF4E95">
            <w:pPr>
              <w:rPr>
                <w:rFonts w:ascii="Tahoma" w:hAnsi="Tahoma" w:cs="Tahoma"/>
                <w:color w:val="000000"/>
                <w:sz w:val="20"/>
              </w:rPr>
            </w:pPr>
            <w:r w:rsidRPr="001B6078">
              <w:rPr>
                <w:rFonts w:ascii="Tahoma" w:hAnsi="Tahoma" w:cs="Tahoma"/>
                <w:color w:val="000000"/>
                <w:sz w:val="20"/>
              </w:rPr>
              <w:t>WA</w:t>
            </w:r>
          </w:p>
        </w:tc>
        <w:tc>
          <w:tcPr>
            <w:tcW w:w="1156" w:type="dxa"/>
            <w:tcBorders>
              <w:top w:val="nil"/>
              <w:left w:val="nil"/>
              <w:bottom w:val="single" w:sz="4" w:space="0" w:color="auto"/>
              <w:right w:val="single" w:sz="4" w:space="0" w:color="auto"/>
            </w:tcBorders>
            <w:shd w:val="clear" w:color="auto" w:fill="auto"/>
            <w:noWrap/>
            <w:vAlign w:val="bottom"/>
            <w:hideMark/>
          </w:tcPr>
          <w:p w14:paraId="1D6F065C"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928</w:t>
            </w:r>
          </w:p>
        </w:tc>
        <w:tc>
          <w:tcPr>
            <w:tcW w:w="1126" w:type="dxa"/>
            <w:tcBorders>
              <w:top w:val="nil"/>
              <w:left w:val="nil"/>
              <w:bottom w:val="single" w:sz="4" w:space="0" w:color="auto"/>
              <w:right w:val="nil"/>
            </w:tcBorders>
            <w:shd w:val="clear" w:color="auto" w:fill="auto"/>
            <w:noWrap/>
            <w:vAlign w:val="bottom"/>
            <w:hideMark/>
          </w:tcPr>
          <w:p w14:paraId="4753C173"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913</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7331444C"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-1.6</w:t>
            </w:r>
            <w:r w:rsidRPr="001B6078">
              <w:rPr>
                <w:rFonts w:ascii="Tahoma" w:hAnsi="Tahoma" w:cs="Tahoma"/>
                <w:color w:val="000000"/>
                <w:sz w:val="20"/>
              </w:rPr>
              <w:t>%</w:t>
            </w:r>
          </w:p>
        </w:tc>
        <w:tc>
          <w:tcPr>
            <w:tcW w:w="1383" w:type="dxa"/>
            <w:tcBorders>
              <w:top w:val="nil"/>
              <w:left w:val="nil"/>
              <w:bottom w:val="single" w:sz="4" w:space="0" w:color="auto"/>
              <w:right w:val="single" w:sz="4" w:space="0" w:color="auto"/>
            </w:tcBorders>
            <w:shd w:val="clear" w:color="auto" w:fill="auto"/>
            <w:noWrap/>
            <w:vAlign w:val="bottom"/>
            <w:hideMark/>
          </w:tcPr>
          <w:p w14:paraId="44160A8D"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$77,816</w:t>
            </w:r>
          </w:p>
        </w:tc>
        <w:tc>
          <w:tcPr>
            <w:tcW w:w="1383" w:type="dxa"/>
            <w:tcBorders>
              <w:top w:val="nil"/>
              <w:left w:val="nil"/>
              <w:bottom w:val="single" w:sz="4" w:space="0" w:color="auto"/>
              <w:right w:val="single" w:sz="4" w:space="0" w:color="auto"/>
            </w:tcBorders>
            <w:shd w:val="clear" w:color="auto" w:fill="auto"/>
            <w:noWrap/>
            <w:vAlign w:val="bottom"/>
            <w:hideMark/>
          </w:tcPr>
          <w:p w14:paraId="1C9F8F47"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$80,899</w:t>
            </w:r>
          </w:p>
        </w:tc>
        <w:tc>
          <w:tcPr>
            <w:tcW w:w="1223" w:type="dxa"/>
            <w:tcBorders>
              <w:top w:val="nil"/>
              <w:left w:val="nil"/>
              <w:bottom w:val="single" w:sz="4" w:space="0" w:color="auto"/>
              <w:right w:val="single" w:sz="8" w:space="0" w:color="auto"/>
            </w:tcBorders>
            <w:shd w:val="clear" w:color="auto" w:fill="auto"/>
            <w:noWrap/>
            <w:vAlign w:val="bottom"/>
            <w:hideMark/>
          </w:tcPr>
          <w:p w14:paraId="30485848"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3.8</w:t>
            </w:r>
            <w:r w:rsidRPr="001B6078">
              <w:rPr>
                <w:rFonts w:ascii="Tahoma" w:hAnsi="Tahoma" w:cs="Tahoma"/>
                <w:color w:val="000000"/>
                <w:sz w:val="20"/>
              </w:rPr>
              <w:t>%</w:t>
            </w:r>
          </w:p>
        </w:tc>
      </w:tr>
      <w:tr w:rsidR="00807347" w:rsidRPr="001B6078" w14:paraId="692F302C" w14:textId="77777777" w:rsidTr="00CF4E95">
        <w:trPr>
          <w:trHeight w:val="324"/>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14:paraId="6D56279A" w14:textId="77777777" w:rsidR="00807347" w:rsidRPr="001B6078" w:rsidRDefault="00807347" w:rsidP="00CF4E95">
            <w:pPr>
              <w:rPr>
                <w:rFonts w:ascii="Tahoma" w:hAnsi="Tahoma" w:cs="Tahoma"/>
                <w:color w:val="000000"/>
                <w:sz w:val="20"/>
              </w:rPr>
            </w:pPr>
            <w:r w:rsidRPr="001B6078">
              <w:rPr>
                <w:rFonts w:ascii="Tahoma" w:hAnsi="Tahoma" w:cs="Tahoma"/>
                <w:color w:val="000000"/>
                <w:sz w:val="20"/>
              </w:rPr>
              <w:t>TAS</w:t>
            </w:r>
          </w:p>
        </w:tc>
        <w:tc>
          <w:tcPr>
            <w:tcW w:w="1156" w:type="dxa"/>
            <w:tcBorders>
              <w:top w:val="nil"/>
              <w:left w:val="nil"/>
              <w:bottom w:val="single" w:sz="4" w:space="0" w:color="auto"/>
              <w:right w:val="single" w:sz="4" w:space="0" w:color="auto"/>
            </w:tcBorders>
            <w:shd w:val="clear" w:color="auto" w:fill="auto"/>
            <w:noWrap/>
            <w:vAlign w:val="bottom"/>
            <w:hideMark/>
          </w:tcPr>
          <w:p w14:paraId="1D3A2CDE"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157</w:t>
            </w:r>
          </w:p>
        </w:tc>
        <w:tc>
          <w:tcPr>
            <w:tcW w:w="1126" w:type="dxa"/>
            <w:tcBorders>
              <w:top w:val="nil"/>
              <w:left w:val="nil"/>
              <w:bottom w:val="single" w:sz="4" w:space="0" w:color="auto"/>
              <w:right w:val="nil"/>
            </w:tcBorders>
            <w:shd w:val="clear" w:color="auto" w:fill="auto"/>
            <w:noWrap/>
            <w:vAlign w:val="bottom"/>
            <w:hideMark/>
          </w:tcPr>
          <w:p w14:paraId="5BD8061B"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37</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96F2243"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-123.7</w:t>
            </w:r>
            <w:r w:rsidRPr="001B6078">
              <w:rPr>
                <w:rFonts w:ascii="Tahoma" w:hAnsi="Tahoma" w:cs="Tahoma"/>
                <w:color w:val="000000"/>
                <w:sz w:val="20"/>
              </w:rPr>
              <w:t>%</w:t>
            </w:r>
          </w:p>
        </w:tc>
        <w:tc>
          <w:tcPr>
            <w:tcW w:w="1383" w:type="dxa"/>
            <w:tcBorders>
              <w:top w:val="nil"/>
              <w:left w:val="nil"/>
              <w:bottom w:val="single" w:sz="4" w:space="0" w:color="auto"/>
              <w:right w:val="single" w:sz="4" w:space="0" w:color="auto"/>
            </w:tcBorders>
            <w:shd w:val="clear" w:color="auto" w:fill="auto"/>
            <w:noWrap/>
            <w:vAlign w:val="bottom"/>
            <w:hideMark/>
          </w:tcPr>
          <w:p w14:paraId="07821FC3"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$7,960</w:t>
            </w:r>
          </w:p>
        </w:tc>
        <w:tc>
          <w:tcPr>
            <w:tcW w:w="1383" w:type="dxa"/>
            <w:tcBorders>
              <w:top w:val="nil"/>
              <w:left w:val="nil"/>
              <w:bottom w:val="single" w:sz="4" w:space="0" w:color="auto"/>
              <w:right w:val="single" w:sz="4" w:space="0" w:color="auto"/>
            </w:tcBorders>
            <w:shd w:val="clear" w:color="auto" w:fill="auto"/>
            <w:noWrap/>
            <w:vAlign w:val="bottom"/>
            <w:hideMark/>
          </w:tcPr>
          <w:p w14:paraId="260930E4"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$3,625</w:t>
            </w:r>
          </w:p>
        </w:tc>
        <w:tc>
          <w:tcPr>
            <w:tcW w:w="1223" w:type="dxa"/>
            <w:tcBorders>
              <w:top w:val="nil"/>
              <w:left w:val="nil"/>
              <w:bottom w:val="single" w:sz="4" w:space="0" w:color="auto"/>
              <w:right w:val="single" w:sz="8" w:space="0" w:color="auto"/>
            </w:tcBorders>
            <w:shd w:val="clear" w:color="auto" w:fill="auto"/>
            <w:noWrap/>
            <w:vAlign w:val="bottom"/>
            <w:hideMark/>
          </w:tcPr>
          <w:p w14:paraId="49A56562" w14:textId="77777777" w:rsidR="00807347" w:rsidRPr="001B6078" w:rsidRDefault="00807347" w:rsidP="00CF4E95">
            <w:pPr>
              <w:jc w:val="right"/>
              <w:rPr>
                <w:rFonts w:ascii="Tahoma" w:hAnsi="Tahoma" w:cs="Tahoma"/>
                <w:color w:val="000000"/>
                <w:sz w:val="20"/>
              </w:rPr>
            </w:pPr>
            <w:r>
              <w:rPr>
                <w:rFonts w:ascii="Tahoma" w:hAnsi="Tahoma" w:cs="Tahoma"/>
                <w:color w:val="000000"/>
                <w:sz w:val="20"/>
              </w:rPr>
              <w:t>-74.8</w:t>
            </w:r>
            <w:r w:rsidRPr="001B6078">
              <w:rPr>
                <w:rFonts w:ascii="Tahoma" w:hAnsi="Tahoma" w:cs="Tahoma"/>
                <w:color w:val="000000"/>
                <w:sz w:val="20"/>
              </w:rPr>
              <w:t>%</w:t>
            </w:r>
          </w:p>
        </w:tc>
      </w:tr>
      <w:tr w:rsidR="00807347" w:rsidRPr="001B6078" w14:paraId="6B388397" w14:textId="77777777" w:rsidTr="00CF4E95">
        <w:trPr>
          <w:trHeight w:val="343"/>
        </w:trPr>
        <w:tc>
          <w:tcPr>
            <w:tcW w:w="1574" w:type="dxa"/>
            <w:tcBorders>
              <w:top w:val="nil"/>
              <w:left w:val="single" w:sz="8" w:space="0" w:color="auto"/>
              <w:bottom w:val="single" w:sz="8" w:space="0" w:color="auto"/>
              <w:right w:val="single" w:sz="4" w:space="0" w:color="auto"/>
            </w:tcBorders>
            <w:shd w:val="clear" w:color="auto" w:fill="auto"/>
            <w:noWrap/>
            <w:vAlign w:val="bottom"/>
            <w:hideMark/>
          </w:tcPr>
          <w:p w14:paraId="52580471" w14:textId="77777777" w:rsidR="00807347" w:rsidRPr="001B6078" w:rsidRDefault="00807347" w:rsidP="00CF4E95">
            <w:pPr>
              <w:rPr>
                <w:rFonts w:ascii="Tahoma" w:hAnsi="Tahoma" w:cs="Tahoma"/>
                <w:b/>
                <w:bCs/>
                <w:color w:val="000000"/>
                <w:sz w:val="20"/>
              </w:rPr>
            </w:pPr>
            <w:r w:rsidRPr="001B6078">
              <w:rPr>
                <w:rFonts w:ascii="Tahoma" w:hAnsi="Tahoma" w:cs="Tahoma"/>
                <w:b/>
                <w:bCs/>
                <w:color w:val="000000"/>
                <w:sz w:val="20"/>
              </w:rPr>
              <w:t>Total</w:t>
            </w:r>
          </w:p>
        </w:tc>
        <w:tc>
          <w:tcPr>
            <w:tcW w:w="1156" w:type="dxa"/>
            <w:tcBorders>
              <w:top w:val="nil"/>
              <w:left w:val="nil"/>
              <w:bottom w:val="single" w:sz="8" w:space="0" w:color="auto"/>
              <w:right w:val="single" w:sz="4" w:space="0" w:color="auto"/>
            </w:tcBorders>
            <w:shd w:val="clear" w:color="auto" w:fill="auto"/>
            <w:noWrap/>
            <w:vAlign w:val="bottom"/>
            <w:hideMark/>
          </w:tcPr>
          <w:p w14:paraId="15AF3194" w14:textId="77777777" w:rsidR="00807347" w:rsidRPr="001B6078" w:rsidRDefault="00807347" w:rsidP="00CF4E95">
            <w:pPr>
              <w:jc w:val="right"/>
              <w:rPr>
                <w:rFonts w:ascii="Tahoma" w:hAnsi="Tahoma" w:cs="Tahoma"/>
                <w:b/>
                <w:bCs/>
                <w:color w:val="000000"/>
                <w:sz w:val="20"/>
              </w:rPr>
            </w:pPr>
            <w:r>
              <w:rPr>
                <w:rFonts w:ascii="Tahoma" w:hAnsi="Tahoma" w:cs="Tahoma"/>
                <w:b/>
                <w:bCs/>
                <w:color w:val="000000"/>
                <w:sz w:val="20"/>
              </w:rPr>
              <w:t>14,971</w:t>
            </w:r>
          </w:p>
        </w:tc>
        <w:tc>
          <w:tcPr>
            <w:tcW w:w="1126" w:type="dxa"/>
            <w:tcBorders>
              <w:top w:val="nil"/>
              <w:left w:val="nil"/>
              <w:bottom w:val="single" w:sz="8" w:space="0" w:color="auto"/>
              <w:right w:val="nil"/>
            </w:tcBorders>
            <w:shd w:val="clear" w:color="auto" w:fill="auto"/>
            <w:noWrap/>
            <w:vAlign w:val="bottom"/>
            <w:hideMark/>
          </w:tcPr>
          <w:p w14:paraId="7D0DBC06" w14:textId="77777777" w:rsidR="00807347" w:rsidRPr="001B6078" w:rsidRDefault="00807347" w:rsidP="00CF4E95">
            <w:pPr>
              <w:jc w:val="right"/>
              <w:rPr>
                <w:rFonts w:ascii="Tahoma" w:hAnsi="Tahoma" w:cs="Tahoma"/>
                <w:b/>
                <w:bCs/>
                <w:color w:val="000000"/>
                <w:sz w:val="20"/>
              </w:rPr>
            </w:pPr>
            <w:r>
              <w:rPr>
                <w:rFonts w:ascii="Tahoma" w:hAnsi="Tahoma" w:cs="Tahoma"/>
                <w:b/>
                <w:bCs/>
                <w:color w:val="000000"/>
                <w:sz w:val="20"/>
              </w:rPr>
              <w:t>21,264</w:t>
            </w:r>
          </w:p>
        </w:tc>
        <w:tc>
          <w:tcPr>
            <w:tcW w:w="1183" w:type="dxa"/>
            <w:tcBorders>
              <w:top w:val="nil"/>
              <w:left w:val="single" w:sz="4" w:space="0" w:color="auto"/>
              <w:bottom w:val="single" w:sz="8" w:space="0" w:color="auto"/>
              <w:right w:val="single" w:sz="4" w:space="0" w:color="auto"/>
            </w:tcBorders>
            <w:shd w:val="clear" w:color="auto" w:fill="auto"/>
            <w:noWrap/>
            <w:vAlign w:val="bottom"/>
            <w:hideMark/>
          </w:tcPr>
          <w:p w14:paraId="12F33A67" w14:textId="77777777" w:rsidR="00807347" w:rsidRPr="001B6078" w:rsidRDefault="00807347" w:rsidP="00CF4E95">
            <w:pPr>
              <w:jc w:val="right"/>
              <w:rPr>
                <w:rFonts w:ascii="Tahoma" w:hAnsi="Tahoma" w:cs="Tahoma"/>
                <w:b/>
                <w:bCs/>
                <w:color w:val="000000"/>
                <w:sz w:val="20"/>
              </w:rPr>
            </w:pPr>
            <w:r>
              <w:rPr>
                <w:rFonts w:ascii="Tahoma" w:hAnsi="Tahoma" w:cs="Tahoma"/>
                <w:b/>
                <w:bCs/>
                <w:color w:val="000000"/>
                <w:sz w:val="20"/>
              </w:rPr>
              <w:t>34.7</w:t>
            </w:r>
            <w:r w:rsidRPr="001B6078">
              <w:rPr>
                <w:rFonts w:ascii="Tahoma" w:hAnsi="Tahoma" w:cs="Tahoma"/>
                <w:b/>
                <w:bCs/>
                <w:color w:val="000000"/>
                <w:sz w:val="20"/>
              </w:rPr>
              <w:t>%</w:t>
            </w:r>
          </w:p>
        </w:tc>
        <w:tc>
          <w:tcPr>
            <w:tcW w:w="1383" w:type="dxa"/>
            <w:tcBorders>
              <w:top w:val="nil"/>
              <w:left w:val="nil"/>
              <w:bottom w:val="single" w:sz="8" w:space="0" w:color="auto"/>
              <w:right w:val="single" w:sz="4" w:space="0" w:color="auto"/>
            </w:tcBorders>
            <w:shd w:val="clear" w:color="auto" w:fill="auto"/>
            <w:noWrap/>
            <w:vAlign w:val="bottom"/>
            <w:hideMark/>
          </w:tcPr>
          <w:p w14:paraId="18143D97" w14:textId="77777777" w:rsidR="00807347" w:rsidRPr="001B6078" w:rsidRDefault="00807347" w:rsidP="00CF4E95">
            <w:pPr>
              <w:jc w:val="right"/>
              <w:rPr>
                <w:rFonts w:ascii="Tahoma" w:hAnsi="Tahoma" w:cs="Tahoma"/>
                <w:b/>
                <w:bCs/>
                <w:color w:val="000000"/>
                <w:sz w:val="20"/>
              </w:rPr>
            </w:pPr>
            <w:r>
              <w:rPr>
                <w:rFonts w:ascii="Tahoma" w:hAnsi="Tahoma" w:cs="Tahoma"/>
                <w:b/>
                <w:bCs/>
                <w:color w:val="000000"/>
                <w:sz w:val="20"/>
              </w:rPr>
              <w:t>$1,227,748</w:t>
            </w:r>
          </w:p>
        </w:tc>
        <w:tc>
          <w:tcPr>
            <w:tcW w:w="1383" w:type="dxa"/>
            <w:tcBorders>
              <w:top w:val="nil"/>
              <w:left w:val="nil"/>
              <w:bottom w:val="single" w:sz="8" w:space="0" w:color="auto"/>
              <w:right w:val="nil"/>
            </w:tcBorders>
            <w:shd w:val="clear" w:color="auto" w:fill="auto"/>
            <w:noWrap/>
            <w:vAlign w:val="bottom"/>
            <w:hideMark/>
          </w:tcPr>
          <w:p w14:paraId="5B8B77DC" w14:textId="77777777" w:rsidR="00807347" w:rsidRPr="001B6078" w:rsidRDefault="00807347" w:rsidP="00CF4E95">
            <w:pPr>
              <w:jc w:val="right"/>
              <w:rPr>
                <w:rFonts w:ascii="Tahoma" w:hAnsi="Tahoma" w:cs="Tahoma"/>
                <w:b/>
                <w:bCs/>
                <w:color w:val="000000"/>
                <w:sz w:val="20"/>
              </w:rPr>
            </w:pPr>
            <w:r>
              <w:rPr>
                <w:rFonts w:ascii="Tahoma" w:hAnsi="Tahoma" w:cs="Tahoma"/>
                <w:b/>
                <w:bCs/>
                <w:color w:val="000000"/>
                <w:sz w:val="20"/>
              </w:rPr>
              <w:t>$1,890,640</w:t>
            </w:r>
          </w:p>
        </w:tc>
        <w:tc>
          <w:tcPr>
            <w:tcW w:w="1223" w:type="dxa"/>
            <w:tcBorders>
              <w:top w:val="nil"/>
              <w:left w:val="single" w:sz="4" w:space="0" w:color="auto"/>
              <w:bottom w:val="single" w:sz="8" w:space="0" w:color="auto"/>
              <w:right w:val="single" w:sz="8" w:space="0" w:color="auto"/>
            </w:tcBorders>
            <w:shd w:val="clear" w:color="auto" w:fill="auto"/>
            <w:noWrap/>
            <w:vAlign w:val="bottom"/>
            <w:hideMark/>
          </w:tcPr>
          <w:p w14:paraId="108220FF" w14:textId="77777777" w:rsidR="00807347" w:rsidRPr="001B6078" w:rsidRDefault="00807347" w:rsidP="00CF4E95">
            <w:pPr>
              <w:jc w:val="right"/>
              <w:rPr>
                <w:rFonts w:ascii="Tahoma" w:hAnsi="Tahoma" w:cs="Tahoma"/>
                <w:b/>
                <w:bCs/>
                <w:color w:val="000000"/>
                <w:sz w:val="20"/>
              </w:rPr>
            </w:pPr>
            <w:r>
              <w:rPr>
                <w:rFonts w:ascii="Tahoma" w:hAnsi="Tahoma" w:cs="Tahoma"/>
                <w:b/>
                <w:bCs/>
                <w:color w:val="000000"/>
                <w:sz w:val="20"/>
              </w:rPr>
              <w:t>42.5</w:t>
            </w:r>
            <w:r w:rsidRPr="001B6078">
              <w:rPr>
                <w:rFonts w:ascii="Tahoma" w:hAnsi="Tahoma" w:cs="Tahoma"/>
                <w:b/>
                <w:bCs/>
                <w:color w:val="000000"/>
                <w:sz w:val="20"/>
              </w:rPr>
              <w:t>%</w:t>
            </w:r>
          </w:p>
        </w:tc>
      </w:tr>
    </w:tbl>
    <w:p w14:paraId="3A27532E" w14:textId="238C5E0C" w:rsidR="00807347" w:rsidRPr="00FD6FE6" w:rsidRDefault="00807347" w:rsidP="00577CCF">
      <w:pPr>
        <w:rPr>
          <w:i/>
          <w:sz w:val="16"/>
          <w:szCs w:val="16"/>
        </w:rPr>
      </w:pPr>
      <w:r w:rsidRPr="00D16B38">
        <w:rPr>
          <w:i/>
          <w:sz w:val="16"/>
          <w:szCs w:val="16"/>
        </w:rPr>
        <w:t>Source: DHS Medicare statistics (2017/18 – 2018/19)</w:t>
      </w:r>
    </w:p>
    <w:p w14:paraId="212F222F" w14:textId="1518273F" w:rsidR="00807347" w:rsidRPr="00D2702C" w:rsidRDefault="00807347" w:rsidP="00FD6FE6">
      <w:pPr>
        <w:spacing w:before="240"/>
        <w:rPr>
          <w:sz w:val="23"/>
          <w:szCs w:val="23"/>
        </w:rPr>
      </w:pPr>
      <w:r>
        <w:t xml:space="preserve">It was predicted by the sector that all of these services would shift to Group A31 items once </w:t>
      </w:r>
      <w:r w:rsidR="00FD6FE6">
        <w:t xml:space="preserve">the new items were introduced. </w:t>
      </w:r>
      <w:r>
        <w:t xml:space="preserve">However, MBS data analysis of </w:t>
      </w:r>
      <w:r>
        <w:rPr>
          <w:color w:val="000000" w:themeColor="text1"/>
        </w:rPr>
        <w:t>Group</w:t>
      </w:r>
      <w:r w:rsidRPr="001A4801">
        <w:rPr>
          <w:color w:val="000000" w:themeColor="text1"/>
        </w:rPr>
        <w:t>s</w:t>
      </w:r>
      <w:r>
        <w:rPr>
          <w:color w:val="000000" w:themeColor="text1"/>
        </w:rPr>
        <w:t xml:space="preserve"> A1, A2, A3, A4, A8 and A15, </w:t>
      </w:r>
      <w:r>
        <w:t>two years prior to, and two years post-implementation of Group A31 items onto the MBS, suggests this has not occurred with a subsequent increase in service utilisation by AM specialists across these Groups</w:t>
      </w:r>
      <w:r w:rsidR="00FD6FE6">
        <w:rPr>
          <w:sz w:val="23"/>
          <w:szCs w:val="23"/>
        </w:rPr>
        <w:t>.</w:t>
      </w:r>
    </w:p>
    <w:p w14:paraId="47E36073" w14:textId="6BA7E1C1" w:rsidR="00F61EAE" w:rsidRDefault="00F61EAE" w:rsidP="00FD6FE6">
      <w:pPr>
        <w:spacing w:before="240" w:after="240"/>
        <w:rPr>
          <w:sz w:val="23"/>
          <w:szCs w:val="23"/>
        </w:rPr>
      </w:pPr>
      <w:r>
        <w:rPr>
          <w:sz w:val="23"/>
          <w:szCs w:val="23"/>
        </w:rPr>
        <w:t xml:space="preserve">Nationally, the overall growth in </w:t>
      </w:r>
      <w:r w:rsidR="00CB5B8C">
        <w:rPr>
          <w:sz w:val="23"/>
          <w:szCs w:val="23"/>
        </w:rPr>
        <w:t>services and benefits for all A</w:t>
      </w:r>
      <w:r>
        <w:rPr>
          <w:sz w:val="23"/>
          <w:szCs w:val="23"/>
        </w:rPr>
        <w:t xml:space="preserve">M items increased from </w:t>
      </w:r>
      <w:r w:rsidRPr="00231D46">
        <w:rPr>
          <w:sz w:val="23"/>
          <w:szCs w:val="23"/>
        </w:rPr>
        <w:t xml:space="preserve">2017-18 </w:t>
      </w:r>
      <w:r>
        <w:rPr>
          <w:sz w:val="23"/>
          <w:szCs w:val="23"/>
        </w:rPr>
        <w:t>to</w:t>
      </w:r>
      <w:r w:rsidRPr="00231D46">
        <w:rPr>
          <w:sz w:val="23"/>
          <w:szCs w:val="23"/>
        </w:rPr>
        <w:t xml:space="preserve"> 2018-19</w:t>
      </w:r>
      <w:r w:rsidR="00CD5D86">
        <w:rPr>
          <w:sz w:val="23"/>
          <w:szCs w:val="23"/>
        </w:rPr>
        <w:t xml:space="preserve"> and</w:t>
      </w:r>
      <w:r>
        <w:rPr>
          <w:sz w:val="23"/>
          <w:szCs w:val="23"/>
        </w:rPr>
        <w:t xml:space="preserve"> the utilisation</w:t>
      </w:r>
      <w:r w:rsidR="00CB5B8C">
        <w:rPr>
          <w:sz w:val="23"/>
          <w:szCs w:val="23"/>
        </w:rPr>
        <w:t xml:space="preserve"> of A</w:t>
      </w:r>
      <w:r>
        <w:rPr>
          <w:sz w:val="23"/>
          <w:szCs w:val="23"/>
        </w:rPr>
        <w:t>M services was highest in major Australian cities compared to remote and very remote locations</w:t>
      </w:r>
      <w:r w:rsidR="00CA22B2">
        <w:rPr>
          <w:sz w:val="23"/>
          <w:szCs w:val="23"/>
        </w:rPr>
        <w:t xml:space="preserve"> (Table 1 refers)</w:t>
      </w:r>
      <w:r>
        <w:rPr>
          <w:sz w:val="23"/>
          <w:szCs w:val="23"/>
        </w:rPr>
        <w:t>.</w:t>
      </w:r>
    </w:p>
    <w:p w14:paraId="38D19C78" w14:textId="4B821F99" w:rsidR="004A5AC8" w:rsidRPr="00FD6FE6" w:rsidRDefault="00BC1364" w:rsidP="00FD6FE6">
      <w:pPr>
        <w:pStyle w:val="Heading1"/>
        <w:numPr>
          <w:ilvl w:val="0"/>
          <w:numId w:val="23"/>
        </w:numPr>
        <w:ind w:hanging="720"/>
      </w:pPr>
      <w:r w:rsidRPr="00D90A38">
        <w:t>Background</w:t>
      </w:r>
    </w:p>
    <w:p w14:paraId="0BA34801" w14:textId="09C07EEA" w:rsidR="00547101" w:rsidRPr="00CB5B8C" w:rsidRDefault="00547101" w:rsidP="00FD6FE6">
      <w:pPr>
        <w:widowControl w:val="0"/>
        <w:spacing w:before="240" w:after="120"/>
        <w:rPr>
          <w:sz w:val="23"/>
          <w:szCs w:val="23"/>
        </w:rPr>
      </w:pPr>
      <w:r w:rsidRPr="00CB5B8C">
        <w:rPr>
          <w:sz w:val="23"/>
          <w:szCs w:val="23"/>
        </w:rPr>
        <w:t xml:space="preserve">The </w:t>
      </w:r>
      <w:r w:rsidR="00CB5B8C">
        <w:rPr>
          <w:sz w:val="23"/>
          <w:szCs w:val="23"/>
        </w:rPr>
        <w:t>AChAM</w:t>
      </w:r>
      <w:r w:rsidRPr="00CB5B8C">
        <w:rPr>
          <w:sz w:val="23"/>
          <w:szCs w:val="23"/>
        </w:rPr>
        <w:t xml:space="preserve"> operates under the auspices of the Royal Australasian College of Physicians.  </w:t>
      </w:r>
      <w:r w:rsidR="00CB5B8C">
        <w:rPr>
          <w:sz w:val="23"/>
          <w:szCs w:val="23"/>
        </w:rPr>
        <w:t>AChA</w:t>
      </w:r>
      <w:r w:rsidRPr="00CB5B8C">
        <w:rPr>
          <w:sz w:val="23"/>
          <w:szCs w:val="23"/>
        </w:rPr>
        <w:t>M was formally recognised as a new specialty by the Australian Medical Council and Australian Government in 2009 and granted access to the Group A3 ‘specialist’ items on the MBS from 1 November 2010.</w:t>
      </w:r>
    </w:p>
    <w:p w14:paraId="3DE24CDB" w14:textId="3A254F22" w:rsidR="00547101" w:rsidRPr="00CB5B8C" w:rsidRDefault="00547101" w:rsidP="00547101">
      <w:pPr>
        <w:rPr>
          <w:sz w:val="23"/>
          <w:szCs w:val="23"/>
        </w:rPr>
      </w:pPr>
      <w:r w:rsidRPr="00CB5B8C">
        <w:rPr>
          <w:sz w:val="23"/>
          <w:szCs w:val="23"/>
        </w:rPr>
        <w:t xml:space="preserve">In 2012, </w:t>
      </w:r>
      <w:r w:rsidR="00A0342B" w:rsidRPr="00CB5B8C">
        <w:rPr>
          <w:sz w:val="23"/>
          <w:szCs w:val="23"/>
        </w:rPr>
        <w:t xml:space="preserve">the </w:t>
      </w:r>
      <w:r w:rsidRPr="00CB5B8C">
        <w:rPr>
          <w:sz w:val="23"/>
          <w:szCs w:val="23"/>
        </w:rPr>
        <w:t>ACh</w:t>
      </w:r>
      <w:r w:rsidR="00CB5B8C">
        <w:rPr>
          <w:sz w:val="23"/>
          <w:szCs w:val="23"/>
        </w:rPr>
        <w:t>A</w:t>
      </w:r>
      <w:r w:rsidRPr="00CB5B8C">
        <w:rPr>
          <w:sz w:val="23"/>
          <w:szCs w:val="23"/>
        </w:rPr>
        <w:t xml:space="preserve">M submitted an application to MSAC requesting increased fees for professional attendances provided by </w:t>
      </w:r>
      <w:r w:rsidR="00CB5B8C">
        <w:rPr>
          <w:sz w:val="23"/>
          <w:szCs w:val="23"/>
        </w:rPr>
        <w:t>A</w:t>
      </w:r>
      <w:r w:rsidRPr="00CB5B8C">
        <w:rPr>
          <w:sz w:val="23"/>
          <w:szCs w:val="23"/>
        </w:rPr>
        <w:t xml:space="preserve">M specialists, noting that the Group A3 ‘specialist’ item fee structure did not reflect the consultative and complex nature of </w:t>
      </w:r>
      <w:r w:rsidR="00CB5B8C">
        <w:rPr>
          <w:sz w:val="23"/>
          <w:szCs w:val="23"/>
        </w:rPr>
        <w:t>A</w:t>
      </w:r>
      <w:r w:rsidRPr="00CB5B8C">
        <w:rPr>
          <w:sz w:val="23"/>
          <w:szCs w:val="23"/>
        </w:rPr>
        <w:t>M practice.</w:t>
      </w:r>
    </w:p>
    <w:p w14:paraId="1F158346" w14:textId="5463BFFA" w:rsidR="00547101" w:rsidRPr="00CB5B8C" w:rsidRDefault="00547101" w:rsidP="00FD6FE6">
      <w:pPr>
        <w:spacing w:before="240"/>
        <w:rPr>
          <w:sz w:val="23"/>
          <w:szCs w:val="23"/>
        </w:rPr>
      </w:pPr>
      <w:r w:rsidRPr="00CB5B8C">
        <w:rPr>
          <w:sz w:val="23"/>
          <w:szCs w:val="23"/>
        </w:rPr>
        <w:t xml:space="preserve">In August 2013, MSAC </w:t>
      </w:r>
      <w:r w:rsidR="00CB5B8C">
        <w:rPr>
          <w:sz w:val="23"/>
          <w:szCs w:val="23"/>
        </w:rPr>
        <w:t>supported the introduction of 15</w:t>
      </w:r>
      <w:r w:rsidRPr="00CB5B8C">
        <w:rPr>
          <w:sz w:val="23"/>
          <w:szCs w:val="23"/>
        </w:rPr>
        <w:t xml:space="preserve"> new modified physician-equivalent consultation items for professional attendances and multidisciplinary case conferences by </w:t>
      </w:r>
      <w:r w:rsidR="00CB5B8C">
        <w:rPr>
          <w:sz w:val="23"/>
          <w:szCs w:val="23"/>
        </w:rPr>
        <w:t>A</w:t>
      </w:r>
      <w:r w:rsidRPr="00CB5B8C">
        <w:rPr>
          <w:sz w:val="23"/>
          <w:szCs w:val="23"/>
        </w:rPr>
        <w:t>M specialists (in Group A3</w:t>
      </w:r>
      <w:r w:rsidR="00CB5B8C">
        <w:rPr>
          <w:sz w:val="23"/>
          <w:szCs w:val="23"/>
        </w:rPr>
        <w:t>1</w:t>
      </w:r>
      <w:r w:rsidRPr="00CB5B8C">
        <w:rPr>
          <w:sz w:val="23"/>
          <w:szCs w:val="23"/>
        </w:rPr>
        <w:t>), with higher fee structures that ali</w:t>
      </w:r>
      <w:r w:rsidR="00FD6FE6">
        <w:rPr>
          <w:sz w:val="23"/>
          <w:szCs w:val="23"/>
        </w:rPr>
        <w:t xml:space="preserve">gn with consultant physicians. </w:t>
      </w:r>
      <w:r w:rsidRPr="00CB5B8C">
        <w:rPr>
          <w:sz w:val="23"/>
          <w:szCs w:val="23"/>
        </w:rPr>
        <w:t>The intent of the new items was to expand treatment options for patients, increase access to public or private sector services, and improve rebates for telehealth items to support patients i</w:t>
      </w:r>
      <w:r w:rsidR="00FD6FE6">
        <w:rPr>
          <w:sz w:val="23"/>
          <w:szCs w:val="23"/>
        </w:rPr>
        <w:t>n rural and regional Australia.</w:t>
      </w:r>
    </w:p>
    <w:p w14:paraId="50E802F4" w14:textId="4CC904D4" w:rsidR="006A7F8A" w:rsidRPr="00CB5B8C" w:rsidRDefault="00CB5B8C" w:rsidP="00FD6FE6">
      <w:pPr>
        <w:spacing w:before="240" w:after="240"/>
        <w:rPr>
          <w:sz w:val="23"/>
          <w:szCs w:val="23"/>
        </w:rPr>
      </w:pPr>
      <w:r>
        <w:rPr>
          <w:sz w:val="23"/>
          <w:szCs w:val="23"/>
        </w:rPr>
        <w:t>The A</w:t>
      </w:r>
      <w:r w:rsidR="00547101" w:rsidRPr="00CB5B8C">
        <w:rPr>
          <w:sz w:val="23"/>
          <w:szCs w:val="23"/>
        </w:rPr>
        <w:t>M items (60</w:t>
      </w:r>
      <w:r>
        <w:rPr>
          <w:sz w:val="23"/>
          <w:szCs w:val="23"/>
        </w:rPr>
        <w:t>18</w:t>
      </w:r>
      <w:r w:rsidR="00547101" w:rsidRPr="00CB5B8C">
        <w:rPr>
          <w:sz w:val="23"/>
          <w:szCs w:val="23"/>
        </w:rPr>
        <w:t xml:space="preserve"> to 60</w:t>
      </w:r>
      <w:r>
        <w:rPr>
          <w:sz w:val="23"/>
          <w:szCs w:val="23"/>
        </w:rPr>
        <w:t>42</w:t>
      </w:r>
      <w:r w:rsidR="00547101" w:rsidRPr="00CB5B8C">
        <w:rPr>
          <w:sz w:val="23"/>
          <w:szCs w:val="23"/>
        </w:rPr>
        <w:t>) were reviewed by the Specialist and Consultant Physician Consultation Clinical Committee (SCPC</w:t>
      </w:r>
      <w:r w:rsidR="00FD6FE6">
        <w:rPr>
          <w:sz w:val="23"/>
          <w:szCs w:val="23"/>
        </w:rPr>
        <w:t xml:space="preserve">CC) as part of the MBS Review. </w:t>
      </w:r>
      <w:r w:rsidR="00547101" w:rsidRPr="00CB5B8C">
        <w:rPr>
          <w:sz w:val="23"/>
          <w:szCs w:val="23"/>
        </w:rPr>
        <w:t>These recommendations are still under consideration by the SCPCCC.</w:t>
      </w:r>
    </w:p>
    <w:p w14:paraId="361B04D8" w14:textId="257DB03A" w:rsidR="004A5AC8" w:rsidRDefault="00271F18" w:rsidP="004A5AC8">
      <w:pPr>
        <w:pStyle w:val="Heading1"/>
        <w:numPr>
          <w:ilvl w:val="0"/>
          <w:numId w:val="23"/>
        </w:numPr>
        <w:ind w:hanging="720"/>
      </w:pPr>
      <w:r>
        <w:t>Further information on MSAC</w:t>
      </w:r>
    </w:p>
    <w:p w14:paraId="135E234E" w14:textId="59CD77DA" w:rsidR="00BC1364" w:rsidRPr="00FD6FE6" w:rsidRDefault="00056DBD" w:rsidP="00FD6FE6">
      <w:pPr>
        <w:spacing w:before="240"/>
        <w:rPr>
          <w:u w:val="single"/>
        </w:rPr>
      </w:pPr>
      <w:r>
        <w:t xml:space="preserve">Further information is available on the MSAC Website at: </w:t>
      </w:r>
      <w:hyperlink r:id="rId9" w:tooltip="Link to MSAC website" w:history="1">
        <w:r w:rsidR="00441D1E" w:rsidRPr="004F7B5E">
          <w:rPr>
            <w:rStyle w:val="Hyperlink"/>
          </w:rPr>
          <w:t>www.msac.gov.au</w:t>
        </w:r>
      </w:hyperlink>
      <w:r w:rsidR="00FD6FE6">
        <w:rPr>
          <w:u w:val="single"/>
        </w:rPr>
        <w:t>.</w:t>
      </w:r>
    </w:p>
    <w:sectPr w:rsidR="00BC1364" w:rsidRPr="00FD6FE6"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A8E81" w14:textId="77777777" w:rsidR="004C0C70" w:rsidRDefault="004C0C70" w:rsidP="00065623">
      <w:r>
        <w:separator/>
      </w:r>
    </w:p>
  </w:endnote>
  <w:endnote w:type="continuationSeparator" w:id="0">
    <w:p w14:paraId="42BC1BEB" w14:textId="77777777" w:rsidR="004C0C70" w:rsidRDefault="004C0C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EBE8" w14:textId="77777777" w:rsidR="00733C7F" w:rsidRDefault="00733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0358A90" w14:textId="12469E07" w:rsidR="003F32B7" w:rsidRDefault="003F32B7">
        <w:pPr>
          <w:pStyle w:val="Footer"/>
          <w:jc w:val="right"/>
        </w:pPr>
        <w:r>
          <w:fldChar w:fldCharType="begin"/>
        </w:r>
        <w:r>
          <w:instrText xml:space="preserve"> PAGE   \* MERGEFORMAT </w:instrText>
        </w:r>
        <w:r>
          <w:fldChar w:fldCharType="separate"/>
        </w:r>
        <w:r w:rsidR="00733C7F">
          <w:rPr>
            <w:noProof/>
          </w:rPr>
          <w:t>1</w:t>
        </w:r>
        <w:r>
          <w:rPr>
            <w:noProof/>
          </w:rPr>
          <w:fldChar w:fldCharType="end"/>
        </w:r>
      </w:p>
    </w:sdtContent>
  </w:sdt>
  <w:p w14:paraId="0111A523" w14:textId="77777777" w:rsidR="003F32B7" w:rsidRDefault="003F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72DE" w14:textId="77777777" w:rsidR="00733C7F" w:rsidRDefault="0073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7068" w14:textId="77777777" w:rsidR="004C0C70" w:rsidRDefault="004C0C70" w:rsidP="00065623">
      <w:r>
        <w:separator/>
      </w:r>
    </w:p>
  </w:footnote>
  <w:footnote w:type="continuationSeparator" w:id="0">
    <w:p w14:paraId="64711611" w14:textId="77777777" w:rsidR="004C0C70" w:rsidRDefault="004C0C70"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C9AF" w14:textId="77777777" w:rsidR="00733C7F" w:rsidRDefault="00733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FF6E" w14:textId="77777777" w:rsidR="00733C7F" w:rsidRDefault="00733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3EA8" w14:textId="77777777" w:rsidR="00733C7F" w:rsidRDefault="00733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584159B"/>
    <w:multiLevelType w:val="hybridMultilevel"/>
    <w:tmpl w:val="2D103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85B37"/>
    <w:multiLevelType w:val="hybridMultilevel"/>
    <w:tmpl w:val="1CB6C472"/>
    <w:lvl w:ilvl="0" w:tplc="13783C4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478"/>
    <w:multiLevelType w:val="hybridMultilevel"/>
    <w:tmpl w:val="E10C23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B650263"/>
    <w:multiLevelType w:val="hybridMultilevel"/>
    <w:tmpl w:val="14520ED4"/>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0B005D56">
      <w:start w:val="1"/>
      <w:numFmt w:val="bullet"/>
      <w:lvlText w:val="o"/>
      <w:lvlJc w:val="left"/>
      <w:pPr>
        <w:tabs>
          <w:tab w:val="num" w:pos="1440"/>
        </w:tabs>
        <w:ind w:left="1440" w:hanging="360"/>
      </w:pPr>
      <w:rPr>
        <w:rFonts w:ascii="Courier New" w:hAnsi="Courier New" w:cs="Courier New" w:hint="default"/>
        <w:color w:val="auto"/>
      </w:rPr>
    </w:lvl>
    <w:lvl w:ilvl="2" w:tplc="A50895EA">
      <w:numFmt w:val="bullet"/>
      <w:lvlText w:val="•"/>
      <w:lvlJc w:val="left"/>
      <w:pPr>
        <w:ind w:left="2160" w:hanging="360"/>
      </w:pPr>
      <w:rPr>
        <w:rFonts w:ascii="Garamond" w:eastAsia="Times New Roman" w:hAnsi="Garamond" w:cs="Times New Roman"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84099"/>
    <w:multiLevelType w:val="hybridMultilevel"/>
    <w:tmpl w:val="B964DE1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B64422"/>
    <w:multiLevelType w:val="hybridMultilevel"/>
    <w:tmpl w:val="A5E03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F1FF4"/>
    <w:multiLevelType w:val="hybridMultilevel"/>
    <w:tmpl w:val="3CDC0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8184A"/>
    <w:multiLevelType w:val="hybridMultilevel"/>
    <w:tmpl w:val="E6642A1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B6BA7"/>
    <w:multiLevelType w:val="hybridMultilevel"/>
    <w:tmpl w:val="42844BDA"/>
    <w:lvl w:ilvl="0" w:tplc="9ABCBC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EA360F"/>
    <w:multiLevelType w:val="hybridMultilevel"/>
    <w:tmpl w:val="4066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2B91A34"/>
    <w:multiLevelType w:val="hybridMultilevel"/>
    <w:tmpl w:val="D7486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8CF172C"/>
    <w:multiLevelType w:val="hybridMultilevel"/>
    <w:tmpl w:val="4E546B9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B4F5AE6"/>
    <w:multiLevelType w:val="hybridMultilevel"/>
    <w:tmpl w:val="F05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1"/>
  </w:num>
  <w:num w:numId="4">
    <w:abstractNumId w:val="24"/>
  </w:num>
  <w:num w:numId="5">
    <w:abstractNumId w:val="15"/>
  </w:num>
  <w:num w:numId="6">
    <w:abstractNumId w:val="23"/>
  </w:num>
  <w:num w:numId="7">
    <w:abstractNumId w:val="30"/>
  </w:num>
  <w:num w:numId="8">
    <w:abstractNumId w:val="17"/>
  </w:num>
  <w:num w:numId="9">
    <w:abstractNumId w:val="38"/>
  </w:num>
  <w:num w:numId="10">
    <w:abstractNumId w:val="0"/>
  </w:num>
  <w:num w:numId="11">
    <w:abstractNumId w:val="28"/>
  </w:num>
  <w:num w:numId="12">
    <w:abstractNumId w:val="31"/>
  </w:num>
  <w:num w:numId="13">
    <w:abstractNumId w:val="6"/>
  </w:num>
  <w:num w:numId="14">
    <w:abstractNumId w:val="36"/>
  </w:num>
  <w:num w:numId="15">
    <w:abstractNumId w:val="27"/>
  </w:num>
  <w:num w:numId="16">
    <w:abstractNumId w:val="32"/>
  </w:num>
  <w:num w:numId="17">
    <w:abstractNumId w:val="19"/>
  </w:num>
  <w:num w:numId="18">
    <w:abstractNumId w:val="21"/>
  </w:num>
  <w:num w:numId="19">
    <w:abstractNumId w:val="35"/>
  </w:num>
  <w:num w:numId="20">
    <w:abstractNumId w:val="33"/>
  </w:num>
  <w:num w:numId="21">
    <w:abstractNumId w:val="3"/>
  </w:num>
  <w:num w:numId="22">
    <w:abstractNumId w:val="12"/>
  </w:num>
  <w:num w:numId="23">
    <w:abstractNumId w:val="2"/>
  </w:num>
  <w:num w:numId="24">
    <w:abstractNumId w:val="11"/>
  </w:num>
  <w:num w:numId="25">
    <w:abstractNumId w:val="7"/>
  </w:num>
  <w:num w:numId="26">
    <w:abstractNumId w:val="13"/>
  </w:num>
  <w:num w:numId="27">
    <w:abstractNumId w:val="9"/>
  </w:num>
  <w:num w:numId="28">
    <w:abstractNumId w:val="37"/>
  </w:num>
  <w:num w:numId="29">
    <w:abstractNumId w:val="14"/>
  </w:num>
  <w:num w:numId="30">
    <w:abstractNumId w:val="10"/>
  </w:num>
  <w:num w:numId="31">
    <w:abstractNumId w:val="26"/>
  </w:num>
  <w:num w:numId="32">
    <w:abstractNumId w:val="29"/>
  </w:num>
  <w:num w:numId="33">
    <w:abstractNumId w:val="34"/>
  </w:num>
  <w:num w:numId="34">
    <w:abstractNumId w:val="25"/>
  </w:num>
  <w:num w:numId="35">
    <w:abstractNumId w:val="20"/>
  </w:num>
  <w:num w:numId="36">
    <w:abstractNumId w:val="18"/>
  </w:num>
  <w:num w:numId="37">
    <w:abstractNumId w:val="16"/>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020"/>
    <w:rsid w:val="000042FE"/>
    <w:rsid w:val="000052B4"/>
    <w:rsid w:val="000061C4"/>
    <w:rsid w:val="00007FA6"/>
    <w:rsid w:val="00011A36"/>
    <w:rsid w:val="00013785"/>
    <w:rsid w:val="00016637"/>
    <w:rsid w:val="00017A85"/>
    <w:rsid w:val="0004553C"/>
    <w:rsid w:val="00047606"/>
    <w:rsid w:val="000555D4"/>
    <w:rsid w:val="00056DBD"/>
    <w:rsid w:val="00065623"/>
    <w:rsid w:val="00074132"/>
    <w:rsid w:val="00074392"/>
    <w:rsid w:val="000756B9"/>
    <w:rsid w:val="00096B67"/>
    <w:rsid w:val="00096DAF"/>
    <w:rsid w:val="000A1094"/>
    <w:rsid w:val="000B11FB"/>
    <w:rsid w:val="000C2F47"/>
    <w:rsid w:val="000C6BC3"/>
    <w:rsid w:val="000D26F1"/>
    <w:rsid w:val="000D270D"/>
    <w:rsid w:val="000D6899"/>
    <w:rsid w:val="000D6C00"/>
    <w:rsid w:val="000E4E04"/>
    <w:rsid w:val="000E76C4"/>
    <w:rsid w:val="000F14B4"/>
    <w:rsid w:val="000F29B5"/>
    <w:rsid w:val="000F75DF"/>
    <w:rsid w:val="00107B69"/>
    <w:rsid w:val="00111F0B"/>
    <w:rsid w:val="001160A7"/>
    <w:rsid w:val="001328FA"/>
    <w:rsid w:val="0014195D"/>
    <w:rsid w:val="001472CD"/>
    <w:rsid w:val="00147AAF"/>
    <w:rsid w:val="001512DB"/>
    <w:rsid w:val="00152288"/>
    <w:rsid w:val="001523B6"/>
    <w:rsid w:val="001552C0"/>
    <w:rsid w:val="0015667E"/>
    <w:rsid w:val="0015704A"/>
    <w:rsid w:val="00157FBE"/>
    <w:rsid w:val="001640B1"/>
    <w:rsid w:val="00167F60"/>
    <w:rsid w:val="001837AC"/>
    <w:rsid w:val="0018435E"/>
    <w:rsid w:val="00193029"/>
    <w:rsid w:val="00195715"/>
    <w:rsid w:val="001B05DD"/>
    <w:rsid w:val="001C2419"/>
    <w:rsid w:val="001D1222"/>
    <w:rsid w:val="001D5085"/>
    <w:rsid w:val="001E27AD"/>
    <w:rsid w:val="001E747A"/>
    <w:rsid w:val="001F10C3"/>
    <w:rsid w:val="001F14D9"/>
    <w:rsid w:val="001F516C"/>
    <w:rsid w:val="002041A1"/>
    <w:rsid w:val="002054F0"/>
    <w:rsid w:val="00226CBC"/>
    <w:rsid w:val="00230D6B"/>
    <w:rsid w:val="00232068"/>
    <w:rsid w:val="002330F2"/>
    <w:rsid w:val="002371F6"/>
    <w:rsid w:val="00243D9E"/>
    <w:rsid w:val="00244301"/>
    <w:rsid w:val="00247146"/>
    <w:rsid w:val="00250F63"/>
    <w:rsid w:val="00253B66"/>
    <w:rsid w:val="00261DF1"/>
    <w:rsid w:val="00262571"/>
    <w:rsid w:val="00264A15"/>
    <w:rsid w:val="00271F18"/>
    <w:rsid w:val="00274695"/>
    <w:rsid w:val="00282779"/>
    <w:rsid w:val="0028334D"/>
    <w:rsid w:val="002A445B"/>
    <w:rsid w:val="002B3546"/>
    <w:rsid w:val="002B7FFA"/>
    <w:rsid w:val="002C2BCF"/>
    <w:rsid w:val="002D28BC"/>
    <w:rsid w:val="002D7198"/>
    <w:rsid w:val="002E515A"/>
    <w:rsid w:val="002F279D"/>
    <w:rsid w:val="002F43B8"/>
    <w:rsid w:val="00343924"/>
    <w:rsid w:val="0034554D"/>
    <w:rsid w:val="00346E85"/>
    <w:rsid w:val="00352224"/>
    <w:rsid w:val="00352F77"/>
    <w:rsid w:val="003671E6"/>
    <w:rsid w:val="00380CFB"/>
    <w:rsid w:val="00384272"/>
    <w:rsid w:val="00386D67"/>
    <w:rsid w:val="0039005F"/>
    <w:rsid w:val="003945B8"/>
    <w:rsid w:val="00396A8E"/>
    <w:rsid w:val="003B337F"/>
    <w:rsid w:val="003B6C13"/>
    <w:rsid w:val="003D7F29"/>
    <w:rsid w:val="003E19F8"/>
    <w:rsid w:val="003F32B7"/>
    <w:rsid w:val="00405A6B"/>
    <w:rsid w:val="00407B1F"/>
    <w:rsid w:val="00414C57"/>
    <w:rsid w:val="00416E4B"/>
    <w:rsid w:val="0041758C"/>
    <w:rsid w:val="0042014B"/>
    <w:rsid w:val="00435F60"/>
    <w:rsid w:val="00441D1E"/>
    <w:rsid w:val="004539DE"/>
    <w:rsid w:val="00454656"/>
    <w:rsid w:val="00455C03"/>
    <w:rsid w:val="004746B0"/>
    <w:rsid w:val="004746F4"/>
    <w:rsid w:val="00476AE9"/>
    <w:rsid w:val="004822E7"/>
    <w:rsid w:val="004A2CF1"/>
    <w:rsid w:val="004A5AC8"/>
    <w:rsid w:val="004B613E"/>
    <w:rsid w:val="004C0C70"/>
    <w:rsid w:val="004C3035"/>
    <w:rsid w:val="004C307F"/>
    <w:rsid w:val="004E1046"/>
    <w:rsid w:val="004E44AA"/>
    <w:rsid w:val="004E4BA8"/>
    <w:rsid w:val="004F340F"/>
    <w:rsid w:val="004F3790"/>
    <w:rsid w:val="004F7B7C"/>
    <w:rsid w:val="00504C1B"/>
    <w:rsid w:val="0051452B"/>
    <w:rsid w:val="0052243D"/>
    <w:rsid w:val="00532435"/>
    <w:rsid w:val="00547101"/>
    <w:rsid w:val="00550354"/>
    <w:rsid w:val="00562660"/>
    <w:rsid w:val="00571236"/>
    <w:rsid w:val="00577CCF"/>
    <w:rsid w:val="005953A1"/>
    <w:rsid w:val="005B6A25"/>
    <w:rsid w:val="005C6127"/>
    <w:rsid w:val="005C736D"/>
    <w:rsid w:val="005C7E42"/>
    <w:rsid w:val="005D0332"/>
    <w:rsid w:val="005D0D8C"/>
    <w:rsid w:val="005D5137"/>
    <w:rsid w:val="005D701F"/>
    <w:rsid w:val="005F7855"/>
    <w:rsid w:val="00601D58"/>
    <w:rsid w:val="00614012"/>
    <w:rsid w:val="0065491D"/>
    <w:rsid w:val="00670E10"/>
    <w:rsid w:val="006742AE"/>
    <w:rsid w:val="00686800"/>
    <w:rsid w:val="006956EC"/>
    <w:rsid w:val="006A0D97"/>
    <w:rsid w:val="006A7F8A"/>
    <w:rsid w:val="006B1F86"/>
    <w:rsid w:val="006B46BF"/>
    <w:rsid w:val="006B5F20"/>
    <w:rsid w:val="006C0A91"/>
    <w:rsid w:val="006D3833"/>
    <w:rsid w:val="006E5C6B"/>
    <w:rsid w:val="006F4A03"/>
    <w:rsid w:val="007008B2"/>
    <w:rsid w:val="007054BB"/>
    <w:rsid w:val="00705E67"/>
    <w:rsid w:val="00707064"/>
    <w:rsid w:val="00730683"/>
    <w:rsid w:val="00733C7F"/>
    <w:rsid w:val="00744117"/>
    <w:rsid w:val="00744308"/>
    <w:rsid w:val="0075261F"/>
    <w:rsid w:val="0075468E"/>
    <w:rsid w:val="007665D8"/>
    <w:rsid w:val="00766E36"/>
    <w:rsid w:val="00770121"/>
    <w:rsid w:val="007765F4"/>
    <w:rsid w:val="00776633"/>
    <w:rsid w:val="00784D53"/>
    <w:rsid w:val="00787199"/>
    <w:rsid w:val="00792D3F"/>
    <w:rsid w:val="00797797"/>
    <w:rsid w:val="007A3C2F"/>
    <w:rsid w:val="007A63C9"/>
    <w:rsid w:val="007B32D1"/>
    <w:rsid w:val="007B7095"/>
    <w:rsid w:val="007C32E5"/>
    <w:rsid w:val="007C376F"/>
    <w:rsid w:val="007C7026"/>
    <w:rsid w:val="007C7CE6"/>
    <w:rsid w:val="007D227A"/>
    <w:rsid w:val="007D24E1"/>
    <w:rsid w:val="007E2B92"/>
    <w:rsid w:val="007F4CE9"/>
    <w:rsid w:val="007F4E20"/>
    <w:rsid w:val="00807347"/>
    <w:rsid w:val="00812065"/>
    <w:rsid w:val="00813800"/>
    <w:rsid w:val="00822C7E"/>
    <w:rsid w:val="0082448C"/>
    <w:rsid w:val="00847060"/>
    <w:rsid w:val="00855EAF"/>
    <w:rsid w:val="00856A33"/>
    <w:rsid w:val="008627BB"/>
    <w:rsid w:val="00863FE1"/>
    <w:rsid w:val="0088003B"/>
    <w:rsid w:val="00882BC7"/>
    <w:rsid w:val="00892620"/>
    <w:rsid w:val="00894307"/>
    <w:rsid w:val="008A12C8"/>
    <w:rsid w:val="008C3702"/>
    <w:rsid w:val="008C4EFA"/>
    <w:rsid w:val="008C7D37"/>
    <w:rsid w:val="008D5885"/>
    <w:rsid w:val="00903186"/>
    <w:rsid w:val="00903C2A"/>
    <w:rsid w:val="00906584"/>
    <w:rsid w:val="00914FDD"/>
    <w:rsid w:val="00917EAD"/>
    <w:rsid w:val="00922B3F"/>
    <w:rsid w:val="00923FA2"/>
    <w:rsid w:val="00944D51"/>
    <w:rsid w:val="009500E2"/>
    <w:rsid w:val="00954798"/>
    <w:rsid w:val="0096060D"/>
    <w:rsid w:val="009670FC"/>
    <w:rsid w:val="00974A50"/>
    <w:rsid w:val="0097585A"/>
    <w:rsid w:val="00981706"/>
    <w:rsid w:val="00987DF0"/>
    <w:rsid w:val="009924B0"/>
    <w:rsid w:val="009942C9"/>
    <w:rsid w:val="009B2DFB"/>
    <w:rsid w:val="009B35C4"/>
    <w:rsid w:val="009C0886"/>
    <w:rsid w:val="009C19BF"/>
    <w:rsid w:val="009C630A"/>
    <w:rsid w:val="009D2BF0"/>
    <w:rsid w:val="009D6442"/>
    <w:rsid w:val="009E0D98"/>
    <w:rsid w:val="009E625C"/>
    <w:rsid w:val="009F08CB"/>
    <w:rsid w:val="00A0342B"/>
    <w:rsid w:val="00A068A1"/>
    <w:rsid w:val="00A1207D"/>
    <w:rsid w:val="00A12FD8"/>
    <w:rsid w:val="00A15DED"/>
    <w:rsid w:val="00A16AFE"/>
    <w:rsid w:val="00A21D9D"/>
    <w:rsid w:val="00A3079B"/>
    <w:rsid w:val="00A346FC"/>
    <w:rsid w:val="00A43007"/>
    <w:rsid w:val="00A46563"/>
    <w:rsid w:val="00A60055"/>
    <w:rsid w:val="00A70129"/>
    <w:rsid w:val="00A84F93"/>
    <w:rsid w:val="00AB1AC5"/>
    <w:rsid w:val="00AB3BFC"/>
    <w:rsid w:val="00AC4F2E"/>
    <w:rsid w:val="00AD0C37"/>
    <w:rsid w:val="00AD385F"/>
    <w:rsid w:val="00AE6E2A"/>
    <w:rsid w:val="00AF535C"/>
    <w:rsid w:val="00B271DD"/>
    <w:rsid w:val="00B31E9C"/>
    <w:rsid w:val="00B35595"/>
    <w:rsid w:val="00B43F62"/>
    <w:rsid w:val="00B51C6D"/>
    <w:rsid w:val="00B803ED"/>
    <w:rsid w:val="00B86D64"/>
    <w:rsid w:val="00BA4AC5"/>
    <w:rsid w:val="00BB1C2E"/>
    <w:rsid w:val="00BB6E35"/>
    <w:rsid w:val="00BC1364"/>
    <w:rsid w:val="00BC7DE9"/>
    <w:rsid w:val="00BE431B"/>
    <w:rsid w:val="00BF479B"/>
    <w:rsid w:val="00C02577"/>
    <w:rsid w:val="00C16314"/>
    <w:rsid w:val="00C204FB"/>
    <w:rsid w:val="00C20BEE"/>
    <w:rsid w:val="00C2158D"/>
    <w:rsid w:val="00C21A01"/>
    <w:rsid w:val="00C42B05"/>
    <w:rsid w:val="00C44D10"/>
    <w:rsid w:val="00C464F0"/>
    <w:rsid w:val="00C67DD2"/>
    <w:rsid w:val="00C725CB"/>
    <w:rsid w:val="00C76F5C"/>
    <w:rsid w:val="00C83CBF"/>
    <w:rsid w:val="00C91897"/>
    <w:rsid w:val="00C96BAD"/>
    <w:rsid w:val="00CA1E55"/>
    <w:rsid w:val="00CA22B2"/>
    <w:rsid w:val="00CA6944"/>
    <w:rsid w:val="00CB0F8E"/>
    <w:rsid w:val="00CB317C"/>
    <w:rsid w:val="00CB5B8C"/>
    <w:rsid w:val="00CB7E7D"/>
    <w:rsid w:val="00CC2911"/>
    <w:rsid w:val="00CC7372"/>
    <w:rsid w:val="00CC765B"/>
    <w:rsid w:val="00CD5D86"/>
    <w:rsid w:val="00CD65CD"/>
    <w:rsid w:val="00CE2BC5"/>
    <w:rsid w:val="00CF0C6D"/>
    <w:rsid w:val="00CF7307"/>
    <w:rsid w:val="00CF7C68"/>
    <w:rsid w:val="00D1210E"/>
    <w:rsid w:val="00D124FA"/>
    <w:rsid w:val="00D24542"/>
    <w:rsid w:val="00D2702C"/>
    <w:rsid w:val="00D305C7"/>
    <w:rsid w:val="00D340DE"/>
    <w:rsid w:val="00D36F93"/>
    <w:rsid w:val="00D43CF7"/>
    <w:rsid w:val="00D46D03"/>
    <w:rsid w:val="00D55723"/>
    <w:rsid w:val="00D61AF0"/>
    <w:rsid w:val="00D62FAD"/>
    <w:rsid w:val="00D70450"/>
    <w:rsid w:val="00D71A8F"/>
    <w:rsid w:val="00D76790"/>
    <w:rsid w:val="00D83BFD"/>
    <w:rsid w:val="00D90A38"/>
    <w:rsid w:val="00D977EC"/>
    <w:rsid w:val="00DA0515"/>
    <w:rsid w:val="00DA171E"/>
    <w:rsid w:val="00DA56AA"/>
    <w:rsid w:val="00DB146F"/>
    <w:rsid w:val="00DB5833"/>
    <w:rsid w:val="00DD2858"/>
    <w:rsid w:val="00DE1CBB"/>
    <w:rsid w:val="00DE48A5"/>
    <w:rsid w:val="00DE4B0F"/>
    <w:rsid w:val="00DF3104"/>
    <w:rsid w:val="00DF5EDF"/>
    <w:rsid w:val="00E03E33"/>
    <w:rsid w:val="00E3642A"/>
    <w:rsid w:val="00E415C4"/>
    <w:rsid w:val="00E50016"/>
    <w:rsid w:val="00E50EAA"/>
    <w:rsid w:val="00E53514"/>
    <w:rsid w:val="00E57F38"/>
    <w:rsid w:val="00E656D6"/>
    <w:rsid w:val="00E80E7F"/>
    <w:rsid w:val="00E814C8"/>
    <w:rsid w:val="00E92F19"/>
    <w:rsid w:val="00E977EE"/>
    <w:rsid w:val="00EA077D"/>
    <w:rsid w:val="00EA103A"/>
    <w:rsid w:val="00EA67A2"/>
    <w:rsid w:val="00EB0ACB"/>
    <w:rsid w:val="00EC0791"/>
    <w:rsid w:val="00EC4F98"/>
    <w:rsid w:val="00ED2032"/>
    <w:rsid w:val="00EE3BFE"/>
    <w:rsid w:val="00EF6921"/>
    <w:rsid w:val="00F04870"/>
    <w:rsid w:val="00F12F02"/>
    <w:rsid w:val="00F240F6"/>
    <w:rsid w:val="00F25824"/>
    <w:rsid w:val="00F265CB"/>
    <w:rsid w:val="00F26C06"/>
    <w:rsid w:val="00F35134"/>
    <w:rsid w:val="00F41812"/>
    <w:rsid w:val="00F56F93"/>
    <w:rsid w:val="00F61EAE"/>
    <w:rsid w:val="00F73333"/>
    <w:rsid w:val="00F740F5"/>
    <w:rsid w:val="00F8479D"/>
    <w:rsid w:val="00F95D8F"/>
    <w:rsid w:val="00F9695B"/>
    <w:rsid w:val="00FA7E22"/>
    <w:rsid w:val="00FB350A"/>
    <w:rsid w:val="00FD6FE6"/>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AF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F96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F9695B"/>
    <w:pPr>
      <w:tabs>
        <w:tab w:val="left" w:pos="4320"/>
      </w:tabs>
      <w:spacing w:before="120" w:after="24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F9695B"/>
    <w:rPr>
      <w:rFonts w:ascii="Arial" w:eastAsia="Times New Roman" w:hAnsi="Arial" w:cs="Arial"/>
      <w:b/>
      <w:i/>
      <w:color w:val="000080"/>
      <w:sz w:val="28"/>
      <w:szCs w:val="28"/>
    </w:rPr>
  </w:style>
  <w:style w:type="table" w:styleId="TableGrid">
    <w:name w:val="Table Grid"/>
    <w:aliases w:val="Summary box"/>
    <w:basedOn w:val="TableNormal"/>
    <w:uiPriority w:val="59"/>
    <w:locked/>
    <w:rsid w:val="00F9695B"/>
    <w:pPr>
      <w:spacing w:before="24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9695B"/>
    <w:pPr>
      <w:spacing w:before="240" w:after="240"/>
    </w:pPr>
    <w:rPr>
      <w:rFonts w:ascii="Arial Narrow" w:hAnsi="Arial Narrow"/>
      <w:sz w:val="20"/>
      <w:szCs w:val="24"/>
      <w:lang w:eastAsia="en-US"/>
    </w:rPr>
  </w:style>
  <w:style w:type="character" w:customStyle="1" w:styleId="TabletextChar">
    <w:name w:val="Table text Char"/>
    <w:basedOn w:val="DefaultParagraphFont"/>
    <w:link w:val="Tabletext"/>
    <w:rsid w:val="00F9695B"/>
    <w:rPr>
      <w:rFonts w:ascii="Arial Narrow" w:eastAsia="Times New Roman" w:hAnsi="Arial Narrow"/>
      <w:sz w:val="20"/>
      <w:szCs w:val="24"/>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locked/>
    <w:rsid w:val="00F9695B"/>
    <w:pPr>
      <w:keepNext/>
      <w:spacing w:before="240" w:after="240"/>
      <w:jc w:val="both"/>
      <w:outlineLvl w:val="4"/>
    </w:pPr>
    <w:rPr>
      <w:rFonts w:ascii="Arial Narrow" w:hAnsi="Arial Narrow" w:cs="Arial"/>
      <w:b/>
      <w:bCs/>
      <w:iCs/>
      <w:sz w:val="20"/>
      <w:lang w:eastAsia="en-US"/>
    </w:rPr>
  </w:style>
  <w:style w:type="character" w:customStyle="1" w:styleId="ListParagraphChar">
    <w:name w:val="List Paragraph Char"/>
    <w:basedOn w:val="DefaultParagraphFont"/>
    <w:link w:val="ListParagraph"/>
    <w:uiPriority w:val="34"/>
    <w:rsid w:val="00F9695B"/>
    <w:rPr>
      <w:rFonts w:eastAsia="Times New Roman"/>
      <w:sz w:val="24"/>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9695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semiHidden/>
    <w:rsid w:val="00F9695B"/>
    <w:rPr>
      <w:rFonts w:asciiTheme="majorHAnsi" w:eastAsiaTheme="majorEastAsia" w:hAnsiTheme="majorHAnsi" w:cstheme="majorBidi"/>
      <w:b/>
      <w:bCs/>
      <w:color w:val="4F81BD" w:themeColor="accent1"/>
      <w:sz w:val="24"/>
      <w:szCs w:val="20"/>
    </w:rPr>
  </w:style>
  <w:style w:type="table" w:customStyle="1" w:styleId="TableGrid3">
    <w:name w:val="Table Grid3"/>
    <w:basedOn w:val="TableNormal"/>
    <w:next w:val="TableGrid"/>
    <w:uiPriority w:val="59"/>
    <w:rsid w:val="00F969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F9695B"/>
    <w:pPr>
      <w:keepNext/>
      <w:keepLines/>
      <w:spacing w:before="240" w:after="24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9695B"/>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F9695B"/>
    <w:pPr>
      <w:numPr>
        <w:numId w:val="30"/>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F9695B"/>
    <w:rPr>
      <w:rFonts w:ascii="Garamond" w:eastAsia="Times New Roman" w:hAnsi="Garamond"/>
      <w:color w:val="548DD4" w:themeColor="text2" w:themeTint="99"/>
      <w:sz w:val="24"/>
      <w:szCs w:val="24"/>
      <w:lang w:eastAsia="en-US"/>
    </w:rPr>
  </w:style>
  <w:style w:type="table" w:customStyle="1" w:styleId="Summarybox2">
    <w:name w:val="Summary box2"/>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F9695B"/>
    <w:pPr>
      <w:keepNext/>
      <w:spacing w:before="240" w:after="24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9695B"/>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F9695B"/>
    <w:pPr>
      <w:jc w:val="left"/>
    </w:pPr>
  </w:style>
  <w:style w:type="character" w:customStyle="1" w:styleId="TabletextboldleftChar">
    <w:name w:val="Table text bold left Char"/>
    <w:basedOn w:val="TabletextboldChar"/>
    <w:link w:val="Tabletextboldleft"/>
    <w:rsid w:val="00F9695B"/>
    <w:rPr>
      <w:rFonts w:ascii="Arial Narrow" w:eastAsia="Times New Roman" w:hAnsi="Arial Narrow" w:cs="Arial"/>
      <w:b/>
      <w:sz w:val="20"/>
      <w:szCs w:val="20"/>
      <w:lang w:eastAsia="en-US"/>
    </w:rPr>
  </w:style>
  <w:style w:type="table" w:customStyle="1" w:styleId="TableGrid1">
    <w:name w:val="Table Grid1"/>
    <w:basedOn w:val="TableNormal"/>
    <w:next w:val="TableGrid"/>
    <w:uiPriority w:val="59"/>
    <w:rsid w:val="00F9695B"/>
    <w:rPr>
      <w:rFonts w:ascii="Calibri" w:eastAsiaTheme="minorHAns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locked/>
    <w:rsid w:val="00074132"/>
    <w:rPr>
      <w:rFonts w:ascii="Garamond" w:eastAsia="Times New Roman" w:hAnsi="Garamond" w:cs="Times New Roman"/>
      <w:i/>
      <w:sz w:val="24"/>
      <w:szCs w:val="24"/>
    </w:rPr>
  </w:style>
  <w:style w:type="character" w:styleId="FollowedHyperlink">
    <w:name w:val="FollowedHyperlink"/>
    <w:basedOn w:val="DefaultParagraphFont"/>
    <w:uiPriority w:val="99"/>
    <w:semiHidden/>
    <w:unhideWhenUsed/>
    <w:rsid w:val="00016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4830-F2EC-4A9F-B742-D217AF70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4002</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2020-08-13T07:49:00Z</dcterms:created>
  <dcterms:modified xsi:type="dcterms:W3CDTF">2020-08-13T07:49:00Z</dcterms:modified>
</cp:coreProperties>
</file>