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C059F9" w14:textId="3799D150" w:rsidR="00C67DD2" w:rsidRPr="00F8253F" w:rsidRDefault="00C67DD2" w:rsidP="00F8253F">
      <w:pPr>
        <w:spacing w:after="480"/>
        <w:jc w:val="center"/>
        <w:rPr>
          <w:b/>
          <w:i/>
          <w:szCs w:val="24"/>
          <w:highlight w:val="yellow"/>
        </w:rPr>
      </w:pPr>
      <w:r>
        <w:rPr>
          <w:rFonts w:ascii="Arial" w:hAnsi="Arial" w:cs="Arial"/>
          <w:b/>
          <w:noProof/>
          <w:color w:val="000080"/>
          <w:sz w:val="28"/>
          <w:szCs w:val="28"/>
        </w:rPr>
        <w:drawing>
          <wp:inline distT="0" distB="0" distL="0" distR="0" wp14:anchorId="1D7D18A4" wp14:editId="632712FC">
            <wp:extent cx="2627630" cy="1078865"/>
            <wp:effectExtent l="0" t="0" r="1270" b="6985"/>
            <wp:docPr id="2" name="Picture 2" descr="Logo" title="Medical Services Advisory 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1348A4EA" w14:textId="77777777" w:rsidR="00BC1364" w:rsidRPr="007B32D1" w:rsidRDefault="00BF479B" w:rsidP="007B32D1">
      <w:pPr>
        <w:jc w:val="center"/>
        <w:rPr>
          <w:rFonts w:ascii="Arial" w:hAnsi="Arial" w:cs="Arial"/>
          <w:b/>
          <w:bCs/>
          <w:color w:val="000080"/>
          <w:sz w:val="36"/>
          <w:szCs w:val="36"/>
        </w:rPr>
      </w:pPr>
      <w:r>
        <w:rPr>
          <w:rFonts w:ascii="Arial" w:hAnsi="Arial" w:cs="Arial"/>
          <w:b/>
          <w:bCs/>
          <w:color w:val="000080"/>
          <w:sz w:val="36"/>
          <w:szCs w:val="36"/>
        </w:rPr>
        <w:t>Public Summary Document</w:t>
      </w:r>
    </w:p>
    <w:p w14:paraId="38A222FB" w14:textId="37A3EFE2" w:rsidR="00BC1364" w:rsidRPr="00D61AF0" w:rsidRDefault="00D61AF0" w:rsidP="00F8253F">
      <w:pPr>
        <w:tabs>
          <w:tab w:val="left" w:pos="3600"/>
        </w:tabs>
        <w:spacing w:before="360" w:after="360"/>
        <w:rPr>
          <w:rFonts w:ascii="Arial" w:hAnsi="Arial"/>
          <w:b/>
          <w:bCs/>
          <w:szCs w:val="28"/>
        </w:rPr>
      </w:pPr>
      <w:r w:rsidRPr="00D61AF0">
        <w:rPr>
          <w:rFonts w:ascii="Arial" w:hAnsi="Arial"/>
          <w:b/>
          <w:bCs/>
          <w:szCs w:val="28"/>
        </w:rPr>
        <w:t>Report to the Medical Services Advisory Committee</w:t>
      </w:r>
      <w:r w:rsidR="00056DBD">
        <w:rPr>
          <w:rFonts w:ascii="Arial" w:hAnsi="Arial"/>
          <w:b/>
          <w:bCs/>
          <w:szCs w:val="28"/>
        </w:rPr>
        <w:t xml:space="preserve"> (MSAC) Executive</w:t>
      </w:r>
      <w:r w:rsidRPr="00D61AF0">
        <w:rPr>
          <w:rFonts w:ascii="Arial" w:hAnsi="Arial"/>
          <w:b/>
          <w:bCs/>
          <w:szCs w:val="28"/>
        </w:rPr>
        <w:t xml:space="preserve"> on utilisation of </w:t>
      </w:r>
      <w:r w:rsidR="00E41B42" w:rsidRPr="00152288">
        <w:rPr>
          <w:rFonts w:ascii="Arial" w:hAnsi="Arial"/>
          <w:b/>
          <w:bCs/>
          <w:szCs w:val="28"/>
        </w:rPr>
        <w:t xml:space="preserve">Medicare Benefits Schedule (MBS) </w:t>
      </w:r>
      <w:r w:rsidRPr="00D61AF0">
        <w:rPr>
          <w:rFonts w:ascii="Arial" w:hAnsi="Arial"/>
          <w:b/>
          <w:bCs/>
          <w:szCs w:val="28"/>
        </w:rPr>
        <w:t>item</w:t>
      </w:r>
      <w:r w:rsidR="00251E74">
        <w:rPr>
          <w:rFonts w:ascii="Arial" w:hAnsi="Arial"/>
          <w:b/>
          <w:bCs/>
          <w:szCs w:val="28"/>
        </w:rPr>
        <w:t>s</w:t>
      </w:r>
      <w:r w:rsidRPr="00D61AF0">
        <w:rPr>
          <w:rFonts w:ascii="Arial" w:hAnsi="Arial"/>
          <w:b/>
          <w:bCs/>
          <w:szCs w:val="28"/>
        </w:rPr>
        <w:t xml:space="preserve"> </w:t>
      </w:r>
      <w:r w:rsidR="001F650D">
        <w:rPr>
          <w:rFonts w:ascii="Arial" w:hAnsi="Arial"/>
          <w:b/>
          <w:bCs/>
          <w:szCs w:val="28"/>
        </w:rPr>
        <w:t>6</w:t>
      </w:r>
      <w:r w:rsidR="001A4A79">
        <w:rPr>
          <w:rFonts w:ascii="Arial" w:hAnsi="Arial"/>
          <w:b/>
          <w:bCs/>
          <w:szCs w:val="28"/>
        </w:rPr>
        <w:t xml:space="preserve">3740, </w:t>
      </w:r>
      <w:r w:rsidR="001F650D">
        <w:rPr>
          <w:rFonts w:ascii="Arial" w:hAnsi="Arial"/>
          <w:b/>
          <w:bCs/>
          <w:szCs w:val="28"/>
        </w:rPr>
        <w:t>63741</w:t>
      </w:r>
      <w:r w:rsidR="001A4A79">
        <w:rPr>
          <w:rFonts w:ascii="Arial" w:hAnsi="Arial"/>
          <w:b/>
          <w:bCs/>
          <w:szCs w:val="28"/>
        </w:rPr>
        <w:t>, 63743, 63744, 63746, 63747</w:t>
      </w:r>
      <w:r w:rsidR="001F650D">
        <w:rPr>
          <w:rFonts w:ascii="Arial" w:hAnsi="Arial"/>
          <w:b/>
          <w:bCs/>
          <w:szCs w:val="28"/>
        </w:rPr>
        <w:t xml:space="preserve"> –</w:t>
      </w:r>
      <w:r w:rsidR="001F650D" w:rsidRPr="001F650D">
        <w:t xml:space="preserve"> </w:t>
      </w:r>
      <w:r w:rsidR="001F650D" w:rsidRPr="001F650D">
        <w:rPr>
          <w:rFonts w:ascii="Arial" w:hAnsi="Arial"/>
          <w:b/>
          <w:bCs/>
          <w:szCs w:val="28"/>
        </w:rPr>
        <w:t>magnetic resonance imaging</w:t>
      </w:r>
      <w:r w:rsidR="001F650D">
        <w:t xml:space="preserve"> (</w:t>
      </w:r>
      <w:r w:rsidR="001F650D" w:rsidRPr="001F650D">
        <w:rPr>
          <w:rFonts w:ascii="Arial" w:hAnsi="Arial"/>
          <w:b/>
          <w:bCs/>
          <w:szCs w:val="28"/>
        </w:rPr>
        <w:t>MRI</w:t>
      </w:r>
      <w:r w:rsidR="001F650D">
        <w:rPr>
          <w:rFonts w:ascii="Arial" w:hAnsi="Arial"/>
          <w:b/>
          <w:bCs/>
          <w:szCs w:val="28"/>
        </w:rPr>
        <w:t>)</w:t>
      </w:r>
      <w:r w:rsidR="001F650D" w:rsidRPr="001F650D">
        <w:rPr>
          <w:rFonts w:ascii="Arial" w:hAnsi="Arial"/>
          <w:b/>
          <w:bCs/>
          <w:szCs w:val="28"/>
        </w:rPr>
        <w:t xml:space="preserve"> for small bowel and pelvis in Crohn disease (Application 1190)</w:t>
      </w:r>
    </w:p>
    <w:p w14:paraId="7EED12B9" w14:textId="44187923" w:rsidR="00D61AF0" w:rsidRPr="00152288" w:rsidRDefault="00D61AF0" w:rsidP="00731BE0">
      <w:pPr>
        <w:spacing w:before="180"/>
        <w:ind w:left="3544" w:hanging="3544"/>
        <w:rPr>
          <w:rFonts w:ascii="Arial" w:hAnsi="Arial"/>
          <w:b/>
          <w:bCs/>
          <w:szCs w:val="28"/>
        </w:rPr>
      </w:pPr>
      <w:r w:rsidRPr="00152288">
        <w:rPr>
          <w:rFonts w:ascii="Arial" w:hAnsi="Arial"/>
          <w:b/>
          <w:bCs/>
          <w:szCs w:val="28"/>
        </w:rPr>
        <w:t>MBS item</w:t>
      </w:r>
      <w:r w:rsidR="00251E74">
        <w:rPr>
          <w:rFonts w:ascii="Arial" w:hAnsi="Arial"/>
          <w:b/>
          <w:bCs/>
          <w:szCs w:val="28"/>
        </w:rPr>
        <w:t>s</w:t>
      </w:r>
      <w:r w:rsidRPr="00152288">
        <w:rPr>
          <w:rFonts w:ascii="Arial" w:hAnsi="Arial"/>
          <w:b/>
          <w:bCs/>
          <w:szCs w:val="28"/>
        </w:rPr>
        <w:t xml:space="preserve"> considered: </w:t>
      </w:r>
      <w:r w:rsidR="00E41B42">
        <w:rPr>
          <w:rFonts w:ascii="Arial" w:hAnsi="Arial"/>
          <w:b/>
          <w:bCs/>
          <w:szCs w:val="28"/>
        </w:rPr>
        <w:tab/>
      </w:r>
      <w:r w:rsidR="001F650D" w:rsidRPr="00731BE0">
        <w:rPr>
          <w:rFonts w:ascii="Arial" w:hAnsi="Arial" w:cs="Arial"/>
          <w:b/>
          <w:szCs w:val="24"/>
        </w:rPr>
        <w:t>6</w:t>
      </w:r>
      <w:r w:rsidR="001A4A79" w:rsidRPr="00731BE0">
        <w:rPr>
          <w:rFonts w:ascii="Arial" w:hAnsi="Arial" w:cs="Arial"/>
          <w:b/>
          <w:szCs w:val="24"/>
        </w:rPr>
        <w:t>3740</w:t>
      </w:r>
      <w:r w:rsidR="001A4A79">
        <w:rPr>
          <w:rFonts w:ascii="Arial" w:hAnsi="Arial"/>
          <w:b/>
          <w:bCs/>
          <w:szCs w:val="28"/>
        </w:rPr>
        <w:t xml:space="preserve">, </w:t>
      </w:r>
      <w:r w:rsidR="001F650D">
        <w:rPr>
          <w:rFonts w:ascii="Arial" w:hAnsi="Arial"/>
          <w:b/>
          <w:bCs/>
          <w:szCs w:val="28"/>
        </w:rPr>
        <w:t>63741</w:t>
      </w:r>
      <w:r w:rsidR="001A4A79">
        <w:rPr>
          <w:rFonts w:ascii="Arial" w:hAnsi="Arial"/>
          <w:b/>
          <w:bCs/>
          <w:szCs w:val="28"/>
        </w:rPr>
        <w:t xml:space="preserve">, </w:t>
      </w:r>
      <w:r w:rsidR="001A4A79" w:rsidRPr="001A4A79">
        <w:rPr>
          <w:rFonts w:ascii="Arial" w:hAnsi="Arial"/>
          <w:b/>
          <w:bCs/>
          <w:szCs w:val="28"/>
        </w:rPr>
        <w:t xml:space="preserve">63743, 63744, 63746, </w:t>
      </w:r>
      <w:proofErr w:type="gramStart"/>
      <w:r w:rsidR="001A4A79" w:rsidRPr="001A4A79">
        <w:rPr>
          <w:rFonts w:ascii="Arial" w:hAnsi="Arial"/>
          <w:b/>
          <w:bCs/>
          <w:szCs w:val="28"/>
        </w:rPr>
        <w:t>63747</w:t>
      </w:r>
      <w:proofErr w:type="gramEnd"/>
    </w:p>
    <w:p w14:paraId="50E82A0A" w14:textId="66670B15" w:rsidR="00BC1364" w:rsidRPr="00D90A38" w:rsidRDefault="00BC1364" w:rsidP="00731BE0">
      <w:pPr>
        <w:spacing w:before="180"/>
        <w:ind w:left="3544" w:hanging="3544"/>
        <w:rPr>
          <w:rFonts w:ascii="Arial" w:hAnsi="Arial" w:cs="Arial"/>
          <w:b/>
          <w:szCs w:val="24"/>
        </w:rPr>
      </w:pPr>
      <w:r w:rsidRPr="00D90A38">
        <w:rPr>
          <w:rFonts w:ascii="Arial" w:hAnsi="Arial" w:cs="Arial"/>
          <w:b/>
          <w:szCs w:val="24"/>
        </w:rPr>
        <w:t>Date of MSAC consideration:</w:t>
      </w:r>
      <w:r w:rsidRPr="00D90A38">
        <w:rPr>
          <w:rFonts w:ascii="Arial" w:hAnsi="Arial" w:cs="Arial"/>
          <w:b/>
          <w:szCs w:val="24"/>
        </w:rPr>
        <w:tab/>
      </w:r>
      <w:r w:rsidR="00C67DD2" w:rsidRPr="00C90891">
        <w:rPr>
          <w:rFonts w:ascii="Arial" w:hAnsi="Arial" w:cs="Arial"/>
          <w:b/>
          <w:szCs w:val="24"/>
        </w:rPr>
        <w:t xml:space="preserve">MSAC </w:t>
      </w:r>
      <w:r w:rsidR="00D61AF0" w:rsidRPr="00C90891">
        <w:rPr>
          <w:rFonts w:ascii="Arial" w:hAnsi="Arial" w:cs="Arial"/>
          <w:b/>
          <w:szCs w:val="24"/>
        </w:rPr>
        <w:t>61</w:t>
      </w:r>
      <w:r w:rsidR="00D61AF0" w:rsidRPr="00C90891">
        <w:rPr>
          <w:rFonts w:ascii="Arial" w:hAnsi="Arial" w:cs="Arial"/>
          <w:b/>
          <w:szCs w:val="24"/>
          <w:vertAlign w:val="superscript"/>
        </w:rPr>
        <w:t>st</w:t>
      </w:r>
      <w:r w:rsidR="00F9695B" w:rsidRPr="00C90891">
        <w:rPr>
          <w:rFonts w:ascii="Arial" w:hAnsi="Arial" w:cs="Arial"/>
          <w:b/>
          <w:szCs w:val="24"/>
        </w:rPr>
        <w:t xml:space="preserve"> </w:t>
      </w:r>
      <w:r w:rsidRPr="00C90891">
        <w:rPr>
          <w:rFonts w:ascii="Arial" w:hAnsi="Arial" w:cs="Arial"/>
          <w:b/>
          <w:szCs w:val="24"/>
        </w:rPr>
        <w:t xml:space="preserve">Meeting, </w:t>
      </w:r>
      <w:r w:rsidR="00D61AF0" w:rsidRPr="00C90891">
        <w:rPr>
          <w:rFonts w:ascii="Arial" w:hAnsi="Arial" w:cs="Arial"/>
          <w:b/>
          <w:szCs w:val="24"/>
        </w:rPr>
        <w:t>3-4 April 2014</w:t>
      </w:r>
    </w:p>
    <w:p w14:paraId="4639EEE8" w14:textId="44772B41" w:rsidR="00F41812" w:rsidRPr="00F8253F" w:rsidRDefault="00056DBD" w:rsidP="00F8253F">
      <w:pPr>
        <w:spacing w:before="180" w:after="360"/>
        <w:ind w:left="3544" w:hanging="3544"/>
        <w:rPr>
          <w:rFonts w:ascii="Arial" w:hAnsi="Arial" w:cs="Arial"/>
          <w:b/>
          <w:szCs w:val="24"/>
        </w:rPr>
      </w:pPr>
      <w:r>
        <w:rPr>
          <w:rFonts w:ascii="Arial" w:hAnsi="Arial" w:cs="Arial"/>
          <w:b/>
          <w:szCs w:val="24"/>
        </w:rPr>
        <w:t>Date of u</w:t>
      </w:r>
      <w:r w:rsidRPr="00056DBD">
        <w:rPr>
          <w:rFonts w:ascii="Arial" w:hAnsi="Arial" w:cs="Arial"/>
          <w:b/>
          <w:szCs w:val="24"/>
        </w:rPr>
        <w:t>tilisation review</w:t>
      </w:r>
      <w:r w:rsidR="00251E74">
        <w:rPr>
          <w:rFonts w:ascii="Arial" w:hAnsi="Arial" w:cs="Arial"/>
          <w:b/>
          <w:szCs w:val="24"/>
        </w:rPr>
        <w:t>s</w:t>
      </w:r>
      <w:r w:rsidRPr="00056DBD">
        <w:rPr>
          <w:rFonts w:ascii="Arial" w:hAnsi="Arial" w:cs="Arial"/>
          <w:b/>
          <w:szCs w:val="24"/>
        </w:rPr>
        <w:t>:</w:t>
      </w:r>
      <w:r w:rsidR="00E41B42">
        <w:rPr>
          <w:rFonts w:ascii="Arial" w:hAnsi="Arial" w:cs="Arial"/>
          <w:b/>
          <w:szCs w:val="24"/>
        </w:rPr>
        <w:tab/>
      </w:r>
      <w:r w:rsidRPr="00C90891">
        <w:rPr>
          <w:rFonts w:ascii="Arial" w:hAnsi="Arial" w:cs="Arial"/>
          <w:b/>
          <w:szCs w:val="24"/>
        </w:rPr>
        <w:t xml:space="preserve">MSAC </w:t>
      </w:r>
      <w:r w:rsidR="00C90891" w:rsidRPr="00C90891">
        <w:rPr>
          <w:rFonts w:ascii="Arial" w:hAnsi="Arial" w:cs="Arial"/>
          <w:b/>
          <w:szCs w:val="24"/>
        </w:rPr>
        <w:t>Executive Meeting</w:t>
      </w:r>
      <w:r w:rsidR="00C90891">
        <w:rPr>
          <w:rFonts w:ascii="Arial" w:hAnsi="Arial" w:cs="Arial"/>
          <w:b/>
          <w:szCs w:val="24"/>
        </w:rPr>
        <w:t>s,</w:t>
      </w:r>
      <w:r w:rsidRPr="00C90891">
        <w:rPr>
          <w:rFonts w:ascii="Arial" w:hAnsi="Arial" w:cs="Arial"/>
          <w:b/>
          <w:szCs w:val="24"/>
        </w:rPr>
        <w:t xml:space="preserve"> </w:t>
      </w:r>
      <w:r w:rsidR="00C90891" w:rsidRPr="00C90891">
        <w:rPr>
          <w:rFonts w:ascii="Arial" w:hAnsi="Arial" w:cs="Arial"/>
          <w:b/>
          <w:szCs w:val="24"/>
        </w:rPr>
        <w:t>2</w:t>
      </w:r>
      <w:r w:rsidR="00C90891">
        <w:rPr>
          <w:rFonts w:ascii="Arial" w:hAnsi="Arial" w:cs="Arial"/>
          <w:b/>
          <w:szCs w:val="24"/>
        </w:rPr>
        <w:t xml:space="preserve"> March 2018 and</w:t>
      </w:r>
      <w:r w:rsidR="007E54B3">
        <w:rPr>
          <w:rFonts w:ascii="Arial" w:hAnsi="Arial" w:cs="Arial"/>
          <w:b/>
          <w:szCs w:val="24"/>
        </w:rPr>
        <w:t xml:space="preserve"> 6 </w:t>
      </w:r>
      <w:r w:rsidR="00E06619">
        <w:rPr>
          <w:rFonts w:ascii="Arial" w:hAnsi="Arial" w:cs="Arial"/>
          <w:b/>
          <w:szCs w:val="24"/>
        </w:rPr>
        <w:t>December 2019</w:t>
      </w:r>
    </w:p>
    <w:p w14:paraId="49B7398E" w14:textId="3184DB06" w:rsidR="00D61AF0" w:rsidRPr="00D61AF0" w:rsidRDefault="003D7F29" w:rsidP="00D61AF0">
      <w:pPr>
        <w:pStyle w:val="Heading1"/>
        <w:numPr>
          <w:ilvl w:val="0"/>
          <w:numId w:val="23"/>
        </w:numPr>
        <w:tabs>
          <w:tab w:val="left" w:pos="720"/>
          <w:tab w:val="left" w:pos="1140"/>
        </w:tabs>
        <w:ind w:hanging="720"/>
      </w:pPr>
      <w:r w:rsidRPr="00D90A38">
        <w:t xml:space="preserve">Purpose </w:t>
      </w:r>
    </w:p>
    <w:p w14:paraId="2EA18C32" w14:textId="3DD7027D" w:rsidR="00D61AF0" w:rsidRPr="008B63C2" w:rsidRDefault="00D61AF0" w:rsidP="00F8253F">
      <w:pPr>
        <w:spacing w:before="240" w:after="240"/>
      </w:pPr>
      <w:r>
        <w:t xml:space="preserve">The purpose of the report presented was to inform MSAC of the real world impacts on the outcomes of </w:t>
      </w:r>
      <w:r w:rsidR="00E41B42">
        <w:t xml:space="preserve">implementation of </w:t>
      </w:r>
      <w:r w:rsidR="00C90891" w:rsidRPr="00C90891">
        <w:t>Application 1190</w:t>
      </w:r>
      <w:r w:rsidR="00E41B42" w:rsidRPr="00731BE0">
        <w:t xml:space="preserve"> - MRI for small bowel and pelvis in Crohn disease</w:t>
      </w:r>
      <w:r w:rsidRPr="00C90891">
        <w:t>. The</w:t>
      </w:r>
      <w:r>
        <w:t xml:space="preserve"> MSAC uses this informat</w:t>
      </w:r>
      <w:r w:rsidR="00251E74">
        <w:t>ion to ensure that the new item</w:t>
      </w:r>
      <w:r>
        <w:t>s re</w:t>
      </w:r>
      <w:r w:rsidR="00251E74">
        <w:t>sulting from this application are</w:t>
      </w:r>
      <w:r>
        <w:t xml:space="preserve"> being u</w:t>
      </w:r>
      <w:r w:rsidR="00903C2A">
        <w:t>tilised</w:t>
      </w:r>
      <w:r>
        <w:t xml:space="preserve"> as intended. The report is not intended to be a review of the clinical information covered during the application process.</w:t>
      </w:r>
    </w:p>
    <w:p w14:paraId="03EF9FA2" w14:textId="63E1FA38" w:rsidR="008C4EFA" w:rsidRDefault="00D61AF0" w:rsidP="008C4EFA">
      <w:pPr>
        <w:pStyle w:val="Heading1"/>
        <w:numPr>
          <w:ilvl w:val="0"/>
          <w:numId w:val="23"/>
        </w:numPr>
        <w:ind w:hanging="720"/>
      </w:pPr>
      <w:r>
        <w:t>MSAC</w:t>
      </w:r>
      <w:r w:rsidR="00152288">
        <w:t xml:space="preserve"> Executive’s</w:t>
      </w:r>
      <w:r>
        <w:t xml:space="preserve"> advice</w:t>
      </w:r>
    </w:p>
    <w:p w14:paraId="3AFACC1A" w14:textId="24E5017F" w:rsidR="00F8253F" w:rsidRDefault="00903C2A" w:rsidP="00F8253F">
      <w:pPr>
        <w:spacing w:before="240" w:after="240"/>
      </w:pPr>
      <w:r>
        <w:t xml:space="preserve">After consideration of utilisation </w:t>
      </w:r>
      <w:r w:rsidR="00D61AF0">
        <w:t>data for</w:t>
      </w:r>
      <w:r w:rsidR="00100D40" w:rsidRPr="00100D40">
        <w:t xml:space="preserve"> MRI for small bowel and pelvis in Crohn disease</w:t>
      </w:r>
      <w:r w:rsidR="00152288" w:rsidRPr="00100D40">
        <w:t xml:space="preserve">, MSAC Executive recommended writing to the </w:t>
      </w:r>
      <w:r w:rsidR="00E41B42">
        <w:t xml:space="preserve">relevant </w:t>
      </w:r>
      <w:r w:rsidR="00152288" w:rsidRPr="00100D40">
        <w:t>profession to seek advice on</w:t>
      </w:r>
      <w:r w:rsidRPr="00100D40">
        <w:t xml:space="preserve"> possible reasons for the apparent underutilisation of this service.</w:t>
      </w:r>
      <w:r w:rsidR="00100D40">
        <w:t xml:space="preserve"> </w:t>
      </w:r>
      <w:r w:rsidR="00100D40" w:rsidRPr="00100D40">
        <w:t xml:space="preserve">The MSAC Executive considered the </w:t>
      </w:r>
      <w:r w:rsidR="007E54B3">
        <w:t xml:space="preserve">subsequent </w:t>
      </w:r>
      <w:r w:rsidR="00100D40" w:rsidRPr="00100D40">
        <w:t>response from the Gastroenterological Society of Australia (GESA) explaining the much lower than predicted actual utilisation of small bowel MRI for Crohn disease was reasonable.</w:t>
      </w:r>
      <w:r w:rsidR="00100D40">
        <w:t xml:space="preserve"> The MSAC Executive recommended no further action.</w:t>
      </w:r>
      <w:r w:rsidR="00F8253F">
        <w:br w:type="page"/>
      </w:r>
    </w:p>
    <w:p w14:paraId="6ABF1B69" w14:textId="575D95E8" w:rsidR="0034515D" w:rsidRDefault="00152288" w:rsidP="0034515D">
      <w:pPr>
        <w:pStyle w:val="Heading1"/>
        <w:numPr>
          <w:ilvl w:val="0"/>
          <w:numId w:val="23"/>
        </w:numPr>
        <w:spacing w:after="240"/>
        <w:ind w:hanging="720"/>
      </w:pPr>
      <w:r>
        <w:lastRenderedPageBreak/>
        <w:t xml:space="preserve">Predicted vs Actual </w:t>
      </w:r>
      <w:r w:rsidR="00056DBD">
        <w:t>Utilisation</w:t>
      </w:r>
    </w:p>
    <w:tbl>
      <w:tblPr>
        <w:tblStyle w:val="Summarybox2"/>
        <w:tblW w:w="0" w:type="auto"/>
        <w:tblLook w:val="04A0" w:firstRow="1" w:lastRow="0" w:firstColumn="1" w:lastColumn="0" w:noHBand="0" w:noVBand="1"/>
        <w:tblDescription w:val="Actual utilisation of items 63740, 63741, 63743, 63744, 63746, 63747 "/>
      </w:tblPr>
      <w:tblGrid>
        <w:gridCol w:w="1185"/>
        <w:gridCol w:w="1412"/>
        <w:gridCol w:w="1301"/>
        <w:gridCol w:w="1301"/>
        <w:gridCol w:w="1301"/>
        <w:gridCol w:w="1433"/>
        <w:gridCol w:w="1083"/>
      </w:tblGrid>
      <w:tr w:rsidR="0034515D" w:rsidRPr="00202D16" w14:paraId="212DD434" w14:textId="77777777" w:rsidTr="00D27B61">
        <w:trPr>
          <w:trHeight w:val="625"/>
          <w:tblHeader/>
        </w:trPr>
        <w:tc>
          <w:tcPr>
            <w:tcW w:w="1185" w:type="dxa"/>
            <w:hideMark/>
          </w:tcPr>
          <w:p w14:paraId="1CE14844" w14:textId="77777777" w:rsidR="0034515D" w:rsidRPr="00202D16" w:rsidRDefault="0034515D" w:rsidP="001C6233">
            <w:pPr>
              <w:rPr>
                <w:rFonts w:asciiTheme="minorHAnsi" w:hAnsiTheme="minorHAnsi" w:cstheme="minorHAnsi"/>
                <w:b/>
                <w:bCs/>
              </w:rPr>
            </w:pPr>
            <w:r w:rsidRPr="00202D16">
              <w:rPr>
                <w:rFonts w:asciiTheme="minorHAnsi" w:hAnsiTheme="minorHAnsi" w:cstheme="minorHAnsi"/>
                <w:b/>
                <w:bCs/>
              </w:rPr>
              <w:t>Number of Services</w:t>
            </w:r>
          </w:p>
        </w:tc>
        <w:tc>
          <w:tcPr>
            <w:tcW w:w="1412" w:type="dxa"/>
            <w:hideMark/>
          </w:tcPr>
          <w:p w14:paraId="099E28F4" w14:textId="77777777" w:rsidR="0034515D" w:rsidRPr="00202D16" w:rsidRDefault="0034515D" w:rsidP="001C6233">
            <w:pPr>
              <w:rPr>
                <w:rFonts w:asciiTheme="minorHAnsi" w:hAnsiTheme="minorHAnsi" w:cstheme="minorHAnsi"/>
                <w:b/>
              </w:rPr>
            </w:pPr>
            <w:r w:rsidRPr="00202D16">
              <w:rPr>
                <w:rFonts w:asciiTheme="minorHAnsi" w:hAnsiTheme="minorHAnsi" w:cstheme="minorHAnsi"/>
                <w:b/>
              </w:rPr>
              <w:t>2014/2015</w:t>
            </w:r>
          </w:p>
        </w:tc>
        <w:tc>
          <w:tcPr>
            <w:tcW w:w="1301" w:type="dxa"/>
            <w:hideMark/>
          </w:tcPr>
          <w:p w14:paraId="1395E0BA" w14:textId="77777777" w:rsidR="0034515D" w:rsidRPr="00202D16" w:rsidRDefault="0034515D" w:rsidP="001C6233">
            <w:pPr>
              <w:rPr>
                <w:rFonts w:asciiTheme="minorHAnsi" w:hAnsiTheme="minorHAnsi" w:cstheme="minorHAnsi"/>
                <w:b/>
              </w:rPr>
            </w:pPr>
            <w:r w:rsidRPr="00202D16">
              <w:rPr>
                <w:rFonts w:asciiTheme="minorHAnsi" w:hAnsiTheme="minorHAnsi" w:cstheme="minorHAnsi"/>
                <w:b/>
              </w:rPr>
              <w:t>2015/2016</w:t>
            </w:r>
          </w:p>
        </w:tc>
        <w:tc>
          <w:tcPr>
            <w:tcW w:w="1301" w:type="dxa"/>
            <w:hideMark/>
          </w:tcPr>
          <w:p w14:paraId="77DAE901" w14:textId="77777777" w:rsidR="0034515D" w:rsidRPr="00202D16" w:rsidRDefault="0034515D" w:rsidP="001C6233">
            <w:pPr>
              <w:rPr>
                <w:rFonts w:asciiTheme="minorHAnsi" w:hAnsiTheme="minorHAnsi" w:cstheme="minorHAnsi"/>
                <w:b/>
              </w:rPr>
            </w:pPr>
            <w:r w:rsidRPr="00202D16">
              <w:rPr>
                <w:rFonts w:asciiTheme="minorHAnsi" w:hAnsiTheme="minorHAnsi" w:cstheme="minorHAnsi"/>
                <w:b/>
              </w:rPr>
              <w:t>2016/2017</w:t>
            </w:r>
          </w:p>
        </w:tc>
        <w:tc>
          <w:tcPr>
            <w:tcW w:w="1301" w:type="dxa"/>
            <w:hideMark/>
          </w:tcPr>
          <w:p w14:paraId="2429B65D" w14:textId="77777777" w:rsidR="0034515D" w:rsidRPr="00202D16" w:rsidRDefault="0034515D" w:rsidP="001C6233">
            <w:pPr>
              <w:rPr>
                <w:rFonts w:asciiTheme="minorHAnsi" w:hAnsiTheme="minorHAnsi" w:cstheme="minorHAnsi"/>
                <w:b/>
              </w:rPr>
            </w:pPr>
            <w:r w:rsidRPr="00202D16">
              <w:rPr>
                <w:rFonts w:asciiTheme="minorHAnsi" w:hAnsiTheme="minorHAnsi" w:cstheme="minorHAnsi"/>
                <w:b/>
              </w:rPr>
              <w:t>2017/2018</w:t>
            </w:r>
          </w:p>
        </w:tc>
        <w:tc>
          <w:tcPr>
            <w:tcW w:w="1433" w:type="dxa"/>
            <w:hideMark/>
          </w:tcPr>
          <w:p w14:paraId="6F45CFF2" w14:textId="77777777" w:rsidR="0034515D" w:rsidRPr="00202D16" w:rsidRDefault="0034515D" w:rsidP="001C6233">
            <w:pPr>
              <w:rPr>
                <w:rFonts w:asciiTheme="minorHAnsi" w:hAnsiTheme="minorHAnsi" w:cstheme="minorHAnsi"/>
                <w:b/>
              </w:rPr>
            </w:pPr>
            <w:r w:rsidRPr="00202D16">
              <w:rPr>
                <w:rFonts w:asciiTheme="minorHAnsi" w:hAnsiTheme="minorHAnsi" w:cstheme="minorHAnsi"/>
                <w:b/>
              </w:rPr>
              <w:t>2018/2019</w:t>
            </w:r>
          </w:p>
        </w:tc>
        <w:tc>
          <w:tcPr>
            <w:tcW w:w="1083" w:type="dxa"/>
            <w:hideMark/>
          </w:tcPr>
          <w:p w14:paraId="64475FA9" w14:textId="77777777" w:rsidR="0034515D" w:rsidRPr="00202D16" w:rsidRDefault="0034515D" w:rsidP="001C6233">
            <w:pPr>
              <w:rPr>
                <w:rFonts w:asciiTheme="minorHAnsi" w:hAnsiTheme="minorHAnsi" w:cstheme="minorHAnsi"/>
                <w:b/>
                <w:i/>
                <w:iCs/>
              </w:rPr>
            </w:pPr>
            <w:r w:rsidRPr="00202D16">
              <w:rPr>
                <w:rFonts w:asciiTheme="minorHAnsi" w:hAnsiTheme="minorHAnsi" w:cstheme="minorHAnsi"/>
                <w:b/>
                <w:i/>
                <w:iCs/>
              </w:rPr>
              <w:t>Total</w:t>
            </w:r>
          </w:p>
        </w:tc>
      </w:tr>
      <w:tr w:rsidR="0034515D" w:rsidRPr="00202D16" w14:paraId="57EA5C06" w14:textId="77777777" w:rsidTr="00F8253F">
        <w:trPr>
          <w:trHeight w:val="363"/>
        </w:trPr>
        <w:tc>
          <w:tcPr>
            <w:tcW w:w="1185" w:type="dxa"/>
            <w:hideMark/>
          </w:tcPr>
          <w:p w14:paraId="76328164" w14:textId="77777777" w:rsidR="0034515D" w:rsidRPr="00202D16" w:rsidRDefault="0034515D" w:rsidP="001C6233">
            <w:pPr>
              <w:rPr>
                <w:rFonts w:asciiTheme="minorHAnsi" w:hAnsiTheme="minorHAnsi" w:cstheme="minorHAnsi"/>
                <w:b/>
              </w:rPr>
            </w:pPr>
            <w:r w:rsidRPr="00202D16">
              <w:rPr>
                <w:rFonts w:asciiTheme="minorHAnsi" w:hAnsiTheme="minorHAnsi" w:cstheme="minorHAnsi"/>
                <w:b/>
              </w:rPr>
              <w:t>63740</w:t>
            </w:r>
          </w:p>
        </w:tc>
        <w:tc>
          <w:tcPr>
            <w:tcW w:w="1412" w:type="dxa"/>
            <w:noWrap/>
            <w:hideMark/>
          </w:tcPr>
          <w:p w14:paraId="0A9AC381" w14:textId="77777777" w:rsidR="0034515D" w:rsidRPr="00202D16" w:rsidRDefault="0034515D" w:rsidP="001C6233">
            <w:pPr>
              <w:rPr>
                <w:rFonts w:asciiTheme="minorHAnsi" w:hAnsiTheme="minorHAnsi" w:cstheme="minorHAnsi"/>
              </w:rPr>
            </w:pPr>
            <w:r w:rsidRPr="00202D16">
              <w:rPr>
                <w:rFonts w:asciiTheme="minorHAnsi" w:hAnsiTheme="minorHAnsi" w:cstheme="minorHAnsi"/>
              </w:rPr>
              <w:t>2,263</w:t>
            </w:r>
          </w:p>
        </w:tc>
        <w:tc>
          <w:tcPr>
            <w:tcW w:w="1301" w:type="dxa"/>
            <w:noWrap/>
            <w:hideMark/>
          </w:tcPr>
          <w:p w14:paraId="6E4AEE2C" w14:textId="77777777" w:rsidR="0034515D" w:rsidRPr="00202D16" w:rsidRDefault="0034515D" w:rsidP="001C6233">
            <w:pPr>
              <w:rPr>
                <w:rFonts w:asciiTheme="minorHAnsi" w:hAnsiTheme="minorHAnsi" w:cstheme="minorHAnsi"/>
              </w:rPr>
            </w:pPr>
            <w:r w:rsidRPr="00202D16">
              <w:rPr>
                <w:rFonts w:asciiTheme="minorHAnsi" w:hAnsiTheme="minorHAnsi" w:cstheme="minorHAnsi"/>
              </w:rPr>
              <w:t>5,591</w:t>
            </w:r>
          </w:p>
        </w:tc>
        <w:tc>
          <w:tcPr>
            <w:tcW w:w="1301" w:type="dxa"/>
            <w:noWrap/>
            <w:hideMark/>
          </w:tcPr>
          <w:p w14:paraId="4BA004AC" w14:textId="77777777" w:rsidR="0034515D" w:rsidRPr="00202D16" w:rsidRDefault="0034515D" w:rsidP="001C6233">
            <w:pPr>
              <w:rPr>
                <w:rFonts w:asciiTheme="minorHAnsi" w:hAnsiTheme="minorHAnsi" w:cstheme="minorHAnsi"/>
              </w:rPr>
            </w:pPr>
            <w:r w:rsidRPr="00202D16">
              <w:rPr>
                <w:rFonts w:asciiTheme="minorHAnsi" w:hAnsiTheme="minorHAnsi" w:cstheme="minorHAnsi"/>
              </w:rPr>
              <w:t>6,686</w:t>
            </w:r>
          </w:p>
        </w:tc>
        <w:tc>
          <w:tcPr>
            <w:tcW w:w="1301" w:type="dxa"/>
            <w:noWrap/>
            <w:hideMark/>
          </w:tcPr>
          <w:p w14:paraId="54E00988" w14:textId="77777777" w:rsidR="0034515D" w:rsidRPr="00202D16" w:rsidRDefault="0034515D" w:rsidP="001C6233">
            <w:pPr>
              <w:rPr>
                <w:rFonts w:asciiTheme="minorHAnsi" w:hAnsiTheme="minorHAnsi" w:cstheme="minorHAnsi"/>
              </w:rPr>
            </w:pPr>
            <w:r w:rsidRPr="00202D16">
              <w:rPr>
                <w:rFonts w:asciiTheme="minorHAnsi" w:hAnsiTheme="minorHAnsi" w:cstheme="minorHAnsi"/>
              </w:rPr>
              <w:t>7,720</w:t>
            </w:r>
          </w:p>
        </w:tc>
        <w:tc>
          <w:tcPr>
            <w:tcW w:w="1433" w:type="dxa"/>
            <w:noWrap/>
            <w:hideMark/>
          </w:tcPr>
          <w:p w14:paraId="31DA9873" w14:textId="77777777" w:rsidR="0034515D" w:rsidRPr="00202D16" w:rsidRDefault="0034515D" w:rsidP="001C6233">
            <w:pPr>
              <w:rPr>
                <w:rFonts w:asciiTheme="minorHAnsi" w:hAnsiTheme="minorHAnsi" w:cstheme="minorHAnsi"/>
              </w:rPr>
            </w:pPr>
            <w:r w:rsidRPr="00202D16">
              <w:rPr>
                <w:rFonts w:asciiTheme="minorHAnsi" w:hAnsiTheme="minorHAnsi" w:cstheme="minorHAnsi"/>
              </w:rPr>
              <w:t>8,866</w:t>
            </w:r>
          </w:p>
        </w:tc>
        <w:tc>
          <w:tcPr>
            <w:tcW w:w="1083" w:type="dxa"/>
            <w:noWrap/>
            <w:hideMark/>
          </w:tcPr>
          <w:p w14:paraId="2A1738CA" w14:textId="77777777" w:rsidR="0034515D" w:rsidRPr="00202D16" w:rsidRDefault="0034515D" w:rsidP="001C6233">
            <w:pPr>
              <w:rPr>
                <w:rFonts w:asciiTheme="minorHAnsi" w:hAnsiTheme="minorHAnsi" w:cstheme="minorHAnsi"/>
                <w:bCs/>
              </w:rPr>
            </w:pPr>
            <w:r w:rsidRPr="00202D16">
              <w:rPr>
                <w:rFonts w:asciiTheme="minorHAnsi" w:hAnsiTheme="minorHAnsi" w:cstheme="minorHAnsi"/>
                <w:bCs/>
              </w:rPr>
              <w:t>31,126</w:t>
            </w:r>
          </w:p>
        </w:tc>
      </w:tr>
      <w:tr w:rsidR="0034515D" w:rsidRPr="00202D16" w14:paraId="5B2EFEA9" w14:textId="77777777" w:rsidTr="00F8253F">
        <w:trPr>
          <w:trHeight w:val="363"/>
        </w:trPr>
        <w:tc>
          <w:tcPr>
            <w:tcW w:w="1185" w:type="dxa"/>
            <w:hideMark/>
          </w:tcPr>
          <w:p w14:paraId="54D92653" w14:textId="77777777" w:rsidR="0034515D" w:rsidRPr="00202D16" w:rsidRDefault="0034515D" w:rsidP="001C6233">
            <w:pPr>
              <w:rPr>
                <w:rFonts w:asciiTheme="minorHAnsi" w:hAnsiTheme="minorHAnsi" w:cstheme="minorHAnsi"/>
                <w:b/>
              </w:rPr>
            </w:pPr>
            <w:r w:rsidRPr="00202D16">
              <w:rPr>
                <w:rFonts w:asciiTheme="minorHAnsi" w:hAnsiTheme="minorHAnsi" w:cstheme="minorHAnsi"/>
                <w:b/>
              </w:rPr>
              <w:t>63741</w:t>
            </w:r>
          </w:p>
        </w:tc>
        <w:tc>
          <w:tcPr>
            <w:tcW w:w="1412" w:type="dxa"/>
            <w:noWrap/>
            <w:hideMark/>
          </w:tcPr>
          <w:p w14:paraId="29A01752" w14:textId="77777777" w:rsidR="0034515D" w:rsidRPr="00202D16" w:rsidRDefault="0034515D" w:rsidP="001C6233">
            <w:pPr>
              <w:rPr>
                <w:rFonts w:asciiTheme="minorHAnsi" w:hAnsiTheme="minorHAnsi" w:cstheme="minorHAnsi"/>
              </w:rPr>
            </w:pPr>
            <w:r w:rsidRPr="00202D16">
              <w:rPr>
                <w:rFonts w:asciiTheme="minorHAnsi" w:hAnsiTheme="minorHAnsi" w:cstheme="minorHAnsi"/>
              </w:rPr>
              <w:t>223</w:t>
            </w:r>
          </w:p>
        </w:tc>
        <w:tc>
          <w:tcPr>
            <w:tcW w:w="1301" w:type="dxa"/>
            <w:noWrap/>
            <w:hideMark/>
          </w:tcPr>
          <w:p w14:paraId="7DAB5E1B" w14:textId="77777777" w:rsidR="0034515D" w:rsidRPr="00202D16" w:rsidRDefault="0034515D" w:rsidP="001C6233">
            <w:pPr>
              <w:rPr>
                <w:rFonts w:asciiTheme="minorHAnsi" w:hAnsiTheme="minorHAnsi" w:cstheme="minorHAnsi"/>
              </w:rPr>
            </w:pPr>
            <w:r w:rsidRPr="00202D16">
              <w:rPr>
                <w:rFonts w:asciiTheme="minorHAnsi" w:hAnsiTheme="minorHAnsi" w:cstheme="minorHAnsi"/>
              </w:rPr>
              <w:t>621</w:t>
            </w:r>
          </w:p>
        </w:tc>
        <w:tc>
          <w:tcPr>
            <w:tcW w:w="1301" w:type="dxa"/>
            <w:noWrap/>
            <w:hideMark/>
          </w:tcPr>
          <w:p w14:paraId="3246304A" w14:textId="77777777" w:rsidR="0034515D" w:rsidRPr="00202D16" w:rsidRDefault="0034515D" w:rsidP="001C6233">
            <w:pPr>
              <w:rPr>
                <w:rFonts w:asciiTheme="minorHAnsi" w:hAnsiTheme="minorHAnsi" w:cstheme="minorHAnsi"/>
              </w:rPr>
            </w:pPr>
            <w:r w:rsidRPr="00202D16">
              <w:rPr>
                <w:rFonts w:asciiTheme="minorHAnsi" w:hAnsiTheme="minorHAnsi" w:cstheme="minorHAnsi"/>
              </w:rPr>
              <w:t>492</w:t>
            </w:r>
          </w:p>
        </w:tc>
        <w:tc>
          <w:tcPr>
            <w:tcW w:w="1301" w:type="dxa"/>
            <w:noWrap/>
            <w:hideMark/>
          </w:tcPr>
          <w:p w14:paraId="49B751BC" w14:textId="77777777" w:rsidR="0034515D" w:rsidRPr="00202D16" w:rsidRDefault="0034515D" w:rsidP="001C6233">
            <w:pPr>
              <w:rPr>
                <w:rFonts w:asciiTheme="minorHAnsi" w:hAnsiTheme="minorHAnsi" w:cstheme="minorHAnsi"/>
              </w:rPr>
            </w:pPr>
            <w:r w:rsidRPr="00202D16">
              <w:rPr>
                <w:rFonts w:asciiTheme="minorHAnsi" w:hAnsiTheme="minorHAnsi" w:cstheme="minorHAnsi"/>
              </w:rPr>
              <w:t>512</w:t>
            </w:r>
          </w:p>
        </w:tc>
        <w:tc>
          <w:tcPr>
            <w:tcW w:w="1433" w:type="dxa"/>
            <w:noWrap/>
            <w:hideMark/>
          </w:tcPr>
          <w:p w14:paraId="18C784BF" w14:textId="77777777" w:rsidR="0034515D" w:rsidRPr="00202D16" w:rsidRDefault="0034515D" w:rsidP="001C6233">
            <w:pPr>
              <w:rPr>
                <w:rFonts w:asciiTheme="minorHAnsi" w:hAnsiTheme="minorHAnsi" w:cstheme="minorHAnsi"/>
              </w:rPr>
            </w:pPr>
            <w:r w:rsidRPr="00202D16">
              <w:rPr>
                <w:rFonts w:asciiTheme="minorHAnsi" w:hAnsiTheme="minorHAnsi" w:cstheme="minorHAnsi"/>
              </w:rPr>
              <w:t>439</w:t>
            </w:r>
          </w:p>
        </w:tc>
        <w:tc>
          <w:tcPr>
            <w:tcW w:w="1083" w:type="dxa"/>
            <w:noWrap/>
            <w:hideMark/>
          </w:tcPr>
          <w:p w14:paraId="393C58FF" w14:textId="77777777" w:rsidR="0034515D" w:rsidRPr="00202D16" w:rsidRDefault="0034515D" w:rsidP="001C6233">
            <w:pPr>
              <w:rPr>
                <w:rFonts w:asciiTheme="minorHAnsi" w:hAnsiTheme="minorHAnsi" w:cstheme="minorHAnsi"/>
                <w:bCs/>
              </w:rPr>
            </w:pPr>
            <w:r w:rsidRPr="00202D16">
              <w:rPr>
                <w:rFonts w:asciiTheme="minorHAnsi" w:hAnsiTheme="minorHAnsi" w:cstheme="minorHAnsi"/>
                <w:bCs/>
              </w:rPr>
              <w:t>2,287</w:t>
            </w:r>
          </w:p>
        </w:tc>
      </w:tr>
      <w:tr w:rsidR="0034515D" w:rsidRPr="00202D16" w14:paraId="3D476002" w14:textId="77777777" w:rsidTr="00F8253F">
        <w:trPr>
          <w:trHeight w:val="363"/>
        </w:trPr>
        <w:tc>
          <w:tcPr>
            <w:tcW w:w="1185" w:type="dxa"/>
            <w:hideMark/>
          </w:tcPr>
          <w:p w14:paraId="34EC72EF" w14:textId="77777777" w:rsidR="0034515D" w:rsidRPr="00202D16" w:rsidRDefault="0034515D" w:rsidP="001C6233">
            <w:pPr>
              <w:rPr>
                <w:rFonts w:asciiTheme="minorHAnsi" w:hAnsiTheme="minorHAnsi" w:cstheme="minorHAnsi"/>
                <w:b/>
              </w:rPr>
            </w:pPr>
            <w:r w:rsidRPr="00202D16">
              <w:rPr>
                <w:rFonts w:asciiTheme="minorHAnsi" w:hAnsiTheme="minorHAnsi" w:cstheme="minorHAnsi"/>
                <w:b/>
              </w:rPr>
              <w:t>63743</w:t>
            </w:r>
          </w:p>
        </w:tc>
        <w:tc>
          <w:tcPr>
            <w:tcW w:w="1412" w:type="dxa"/>
            <w:noWrap/>
            <w:hideMark/>
          </w:tcPr>
          <w:p w14:paraId="6E0216FC" w14:textId="77777777" w:rsidR="0034515D" w:rsidRPr="00202D16" w:rsidRDefault="0034515D" w:rsidP="001C6233">
            <w:pPr>
              <w:rPr>
                <w:rFonts w:asciiTheme="minorHAnsi" w:hAnsiTheme="minorHAnsi" w:cstheme="minorHAnsi"/>
              </w:rPr>
            </w:pPr>
            <w:r w:rsidRPr="00202D16">
              <w:rPr>
                <w:rFonts w:asciiTheme="minorHAnsi" w:hAnsiTheme="minorHAnsi" w:cstheme="minorHAnsi"/>
              </w:rPr>
              <w:t>492</w:t>
            </w:r>
          </w:p>
        </w:tc>
        <w:tc>
          <w:tcPr>
            <w:tcW w:w="1301" w:type="dxa"/>
            <w:noWrap/>
            <w:hideMark/>
          </w:tcPr>
          <w:p w14:paraId="6138AB6B" w14:textId="77777777" w:rsidR="0034515D" w:rsidRPr="00202D16" w:rsidRDefault="0034515D" w:rsidP="001C6233">
            <w:pPr>
              <w:rPr>
                <w:rFonts w:asciiTheme="minorHAnsi" w:hAnsiTheme="minorHAnsi" w:cstheme="minorHAnsi"/>
              </w:rPr>
            </w:pPr>
            <w:r w:rsidRPr="00202D16">
              <w:rPr>
                <w:rFonts w:asciiTheme="minorHAnsi" w:hAnsiTheme="minorHAnsi" w:cstheme="minorHAnsi"/>
              </w:rPr>
              <w:t>1,123</w:t>
            </w:r>
          </w:p>
        </w:tc>
        <w:tc>
          <w:tcPr>
            <w:tcW w:w="1301" w:type="dxa"/>
            <w:noWrap/>
            <w:hideMark/>
          </w:tcPr>
          <w:p w14:paraId="56151B09" w14:textId="77777777" w:rsidR="0034515D" w:rsidRPr="00202D16" w:rsidRDefault="0034515D" w:rsidP="001C6233">
            <w:pPr>
              <w:rPr>
                <w:rFonts w:asciiTheme="minorHAnsi" w:hAnsiTheme="minorHAnsi" w:cstheme="minorHAnsi"/>
              </w:rPr>
            </w:pPr>
            <w:r w:rsidRPr="00202D16">
              <w:rPr>
                <w:rFonts w:asciiTheme="minorHAnsi" w:hAnsiTheme="minorHAnsi" w:cstheme="minorHAnsi"/>
              </w:rPr>
              <w:t>1,500</w:t>
            </w:r>
          </w:p>
        </w:tc>
        <w:tc>
          <w:tcPr>
            <w:tcW w:w="1301" w:type="dxa"/>
            <w:noWrap/>
            <w:hideMark/>
          </w:tcPr>
          <w:p w14:paraId="02BB0915" w14:textId="77777777" w:rsidR="0034515D" w:rsidRPr="00202D16" w:rsidRDefault="0034515D" w:rsidP="001C6233">
            <w:pPr>
              <w:rPr>
                <w:rFonts w:asciiTheme="minorHAnsi" w:hAnsiTheme="minorHAnsi" w:cstheme="minorHAnsi"/>
              </w:rPr>
            </w:pPr>
            <w:r w:rsidRPr="00202D16">
              <w:rPr>
                <w:rFonts w:asciiTheme="minorHAnsi" w:hAnsiTheme="minorHAnsi" w:cstheme="minorHAnsi"/>
              </w:rPr>
              <w:t>1,708</w:t>
            </w:r>
          </w:p>
        </w:tc>
        <w:tc>
          <w:tcPr>
            <w:tcW w:w="1433" w:type="dxa"/>
            <w:noWrap/>
            <w:hideMark/>
          </w:tcPr>
          <w:p w14:paraId="5C5811D1" w14:textId="77777777" w:rsidR="0034515D" w:rsidRPr="00202D16" w:rsidRDefault="0034515D" w:rsidP="001C6233">
            <w:pPr>
              <w:rPr>
                <w:rFonts w:asciiTheme="minorHAnsi" w:hAnsiTheme="minorHAnsi" w:cstheme="minorHAnsi"/>
              </w:rPr>
            </w:pPr>
            <w:r w:rsidRPr="00202D16">
              <w:rPr>
                <w:rFonts w:asciiTheme="minorHAnsi" w:hAnsiTheme="minorHAnsi" w:cstheme="minorHAnsi"/>
              </w:rPr>
              <w:t>1,873</w:t>
            </w:r>
          </w:p>
        </w:tc>
        <w:tc>
          <w:tcPr>
            <w:tcW w:w="1083" w:type="dxa"/>
            <w:noWrap/>
            <w:hideMark/>
          </w:tcPr>
          <w:p w14:paraId="39B058B1" w14:textId="77777777" w:rsidR="0034515D" w:rsidRPr="00202D16" w:rsidRDefault="0034515D" w:rsidP="001C6233">
            <w:pPr>
              <w:rPr>
                <w:rFonts w:asciiTheme="minorHAnsi" w:hAnsiTheme="minorHAnsi" w:cstheme="minorHAnsi"/>
                <w:bCs/>
              </w:rPr>
            </w:pPr>
            <w:r w:rsidRPr="00202D16">
              <w:rPr>
                <w:rFonts w:asciiTheme="minorHAnsi" w:hAnsiTheme="minorHAnsi" w:cstheme="minorHAnsi"/>
                <w:bCs/>
              </w:rPr>
              <w:t>6,696</w:t>
            </w:r>
          </w:p>
        </w:tc>
      </w:tr>
      <w:tr w:rsidR="0034515D" w:rsidRPr="00202D16" w14:paraId="404AFA0E" w14:textId="77777777" w:rsidTr="00F8253F">
        <w:trPr>
          <w:trHeight w:val="363"/>
        </w:trPr>
        <w:tc>
          <w:tcPr>
            <w:tcW w:w="1185" w:type="dxa"/>
            <w:hideMark/>
          </w:tcPr>
          <w:p w14:paraId="763B012B" w14:textId="77777777" w:rsidR="0034515D" w:rsidRPr="00202D16" w:rsidRDefault="0034515D" w:rsidP="001C6233">
            <w:pPr>
              <w:rPr>
                <w:rFonts w:asciiTheme="minorHAnsi" w:hAnsiTheme="minorHAnsi" w:cstheme="minorHAnsi"/>
                <w:b/>
              </w:rPr>
            </w:pPr>
            <w:r w:rsidRPr="00202D16">
              <w:rPr>
                <w:rFonts w:asciiTheme="minorHAnsi" w:hAnsiTheme="minorHAnsi" w:cstheme="minorHAnsi"/>
                <w:b/>
              </w:rPr>
              <w:t>63744</w:t>
            </w:r>
          </w:p>
        </w:tc>
        <w:tc>
          <w:tcPr>
            <w:tcW w:w="1412" w:type="dxa"/>
            <w:noWrap/>
            <w:hideMark/>
          </w:tcPr>
          <w:p w14:paraId="50A8C3A9" w14:textId="77777777" w:rsidR="0034515D" w:rsidRPr="00202D16" w:rsidRDefault="0034515D" w:rsidP="001C6233">
            <w:pPr>
              <w:rPr>
                <w:rFonts w:asciiTheme="minorHAnsi" w:hAnsiTheme="minorHAnsi" w:cstheme="minorHAnsi"/>
              </w:rPr>
            </w:pPr>
            <w:r w:rsidRPr="00202D16">
              <w:rPr>
                <w:rFonts w:asciiTheme="minorHAnsi" w:hAnsiTheme="minorHAnsi" w:cstheme="minorHAnsi"/>
              </w:rPr>
              <w:t>2</w:t>
            </w:r>
          </w:p>
        </w:tc>
        <w:tc>
          <w:tcPr>
            <w:tcW w:w="1301" w:type="dxa"/>
            <w:noWrap/>
            <w:hideMark/>
          </w:tcPr>
          <w:p w14:paraId="7566F9BE" w14:textId="77777777" w:rsidR="0034515D" w:rsidRPr="00202D16" w:rsidRDefault="0034515D" w:rsidP="001C6233">
            <w:pPr>
              <w:rPr>
                <w:rFonts w:asciiTheme="minorHAnsi" w:hAnsiTheme="minorHAnsi" w:cstheme="minorHAnsi"/>
              </w:rPr>
            </w:pPr>
            <w:r w:rsidRPr="00202D16">
              <w:rPr>
                <w:rFonts w:asciiTheme="minorHAnsi" w:hAnsiTheme="minorHAnsi" w:cstheme="minorHAnsi"/>
              </w:rPr>
              <w:t>13</w:t>
            </w:r>
          </w:p>
        </w:tc>
        <w:tc>
          <w:tcPr>
            <w:tcW w:w="1301" w:type="dxa"/>
            <w:noWrap/>
            <w:hideMark/>
          </w:tcPr>
          <w:p w14:paraId="0A87D594" w14:textId="77777777" w:rsidR="0034515D" w:rsidRPr="00202D16" w:rsidRDefault="0034515D" w:rsidP="001C6233">
            <w:pPr>
              <w:rPr>
                <w:rFonts w:asciiTheme="minorHAnsi" w:hAnsiTheme="minorHAnsi" w:cstheme="minorHAnsi"/>
              </w:rPr>
            </w:pPr>
            <w:r w:rsidRPr="00202D16">
              <w:rPr>
                <w:rFonts w:asciiTheme="minorHAnsi" w:hAnsiTheme="minorHAnsi" w:cstheme="minorHAnsi"/>
              </w:rPr>
              <w:t>19</w:t>
            </w:r>
          </w:p>
        </w:tc>
        <w:tc>
          <w:tcPr>
            <w:tcW w:w="1301" w:type="dxa"/>
            <w:noWrap/>
            <w:hideMark/>
          </w:tcPr>
          <w:p w14:paraId="18194371" w14:textId="77777777" w:rsidR="0034515D" w:rsidRPr="00202D16" w:rsidRDefault="0034515D" w:rsidP="001C6233">
            <w:pPr>
              <w:rPr>
                <w:rFonts w:asciiTheme="minorHAnsi" w:hAnsiTheme="minorHAnsi" w:cstheme="minorHAnsi"/>
              </w:rPr>
            </w:pPr>
            <w:r w:rsidRPr="00202D16">
              <w:rPr>
                <w:rFonts w:asciiTheme="minorHAnsi" w:hAnsiTheme="minorHAnsi" w:cstheme="minorHAnsi"/>
              </w:rPr>
              <w:t>7</w:t>
            </w:r>
          </w:p>
        </w:tc>
        <w:tc>
          <w:tcPr>
            <w:tcW w:w="1433" w:type="dxa"/>
            <w:noWrap/>
            <w:hideMark/>
          </w:tcPr>
          <w:p w14:paraId="1C3D1421" w14:textId="77777777" w:rsidR="0034515D" w:rsidRPr="00202D16" w:rsidRDefault="0034515D" w:rsidP="001C6233">
            <w:pPr>
              <w:rPr>
                <w:rFonts w:asciiTheme="minorHAnsi" w:hAnsiTheme="minorHAnsi" w:cstheme="minorHAnsi"/>
              </w:rPr>
            </w:pPr>
            <w:r w:rsidRPr="00202D16">
              <w:rPr>
                <w:rFonts w:asciiTheme="minorHAnsi" w:hAnsiTheme="minorHAnsi" w:cstheme="minorHAnsi"/>
              </w:rPr>
              <w:t>2</w:t>
            </w:r>
          </w:p>
        </w:tc>
        <w:tc>
          <w:tcPr>
            <w:tcW w:w="1083" w:type="dxa"/>
            <w:noWrap/>
            <w:hideMark/>
          </w:tcPr>
          <w:p w14:paraId="6E39F3CD" w14:textId="77777777" w:rsidR="0034515D" w:rsidRPr="00202D16" w:rsidRDefault="0034515D" w:rsidP="001C6233">
            <w:pPr>
              <w:rPr>
                <w:rFonts w:asciiTheme="minorHAnsi" w:hAnsiTheme="minorHAnsi" w:cstheme="minorHAnsi"/>
                <w:bCs/>
              </w:rPr>
            </w:pPr>
            <w:r w:rsidRPr="00202D16">
              <w:rPr>
                <w:rFonts w:asciiTheme="minorHAnsi" w:hAnsiTheme="minorHAnsi" w:cstheme="minorHAnsi"/>
                <w:bCs/>
              </w:rPr>
              <w:t>43</w:t>
            </w:r>
          </w:p>
        </w:tc>
      </w:tr>
      <w:tr w:rsidR="0034515D" w:rsidRPr="00202D16" w14:paraId="57E2F521" w14:textId="77777777" w:rsidTr="00F8253F">
        <w:trPr>
          <w:trHeight w:val="363"/>
        </w:trPr>
        <w:tc>
          <w:tcPr>
            <w:tcW w:w="1185" w:type="dxa"/>
            <w:hideMark/>
          </w:tcPr>
          <w:p w14:paraId="1767CB39" w14:textId="77777777" w:rsidR="0034515D" w:rsidRPr="00202D16" w:rsidRDefault="0034515D" w:rsidP="001C6233">
            <w:pPr>
              <w:rPr>
                <w:rFonts w:asciiTheme="minorHAnsi" w:hAnsiTheme="minorHAnsi" w:cstheme="minorHAnsi"/>
                <w:b/>
              </w:rPr>
            </w:pPr>
            <w:r w:rsidRPr="00202D16">
              <w:rPr>
                <w:rFonts w:asciiTheme="minorHAnsi" w:hAnsiTheme="minorHAnsi" w:cstheme="minorHAnsi"/>
                <w:b/>
              </w:rPr>
              <w:t>63746</w:t>
            </w:r>
          </w:p>
        </w:tc>
        <w:tc>
          <w:tcPr>
            <w:tcW w:w="1412" w:type="dxa"/>
            <w:noWrap/>
            <w:hideMark/>
          </w:tcPr>
          <w:p w14:paraId="03EBFEE9" w14:textId="77777777" w:rsidR="0034515D" w:rsidRPr="00202D16" w:rsidRDefault="0034515D" w:rsidP="001C6233">
            <w:pPr>
              <w:rPr>
                <w:rFonts w:asciiTheme="minorHAnsi" w:hAnsiTheme="minorHAnsi" w:cstheme="minorHAnsi"/>
              </w:rPr>
            </w:pPr>
          </w:p>
        </w:tc>
        <w:tc>
          <w:tcPr>
            <w:tcW w:w="1301" w:type="dxa"/>
            <w:noWrap/>
            <w:hideMark/>
          </w:tcPr>
          <w:p w14:paraId="0F9EE2C6" w14:textId="77777777" w:rsidR="0034515D" w:rsidRPr="00202D16" w:rsidRDefault="0034515D" w:rsidP="001C6233">
            <w:pPr>
              <w:rPr>
                <w:rFonts w:asciiTheme="minorHAnsi" w:hAnsiTheme="minorHAnsi" w:cstheme="minorHAnsi"/>
              </w:rPr>
            </w:pPr>
            <w:r w:rsidRPr="00202D16">
              <w:rPr>
                <w:rFonts w:asciiTheme="minorHAnsi" w:hAnsiTheme="minorHAnsi" w:cstheme="minorHAnsi"/>
              </w:rPr>
              <w:t>1</w:t>
            </w:r>
          </w:p>
        </w:tc>
        <w:tc>
          <w:tcPr>
            <w:tcW w:w="1301" w:type="dxa"/>
            <w:noWrap/>
            <w:hideMark/>
          </w:tcPr>
          <w:p w14:paraId="5D6E8D43" w14:textId="77777777" w:rsidR="0034515D" w:rsidRPr="00202D16" w:rsidRDefault="0034515D" w:rsidP="001C6233">
            <w:pPr>
              <w:rPr>
                <w:rFonts w:asciiTheme="minorHAnsi" w:hAnsiTheme="minorHAnsi" w:cstheme="minorHAnsi"/>
              </w:rPr>
            </w:pPr>
            <w:r w:rsidRPr="00202D16">
              <w:rPr>
                <w:rFonts w:asciiTheme="minorHAnsi" w:hAnsiTheme="minorHAnsi" w:cstheme="minorHAnsi"/>
              </w:rPr>
              <w:t>1</w:t>
            </w:r>
          </w:p>
        </w:tc>
        <w:tc>
          <w:tcPr>
            <w:tcW w:w="1301" w:type="dxa"/>
            <w:noWrap/>
            <w:hideMark/>
          </w:tcPr>
          <w:p w14:paraId="752E1A2E" w14:textId="77777777" w:rsidR="0034515D" w:rsidRPr="00202D16" w:rsidRDefault="0034515D" w:rsidP="001C6233">
            <w:pPr>
              <w:rPr>
                <w:rFonts w:asciiTheme="minorHAnsi" w:hAnsiTheme="minorHAnsi" w:cstheme="minorHAnsi"/>
              </w:rPr>
            </w:pPr>
          </w:p>
        </w:tc>
        <w:tc>
          <w:tcPr>
            <w:tcW w:w="1433" w:type="dxa"/>
            <w:noWrap/>
            <w:hideMark/>
          </w:tcPr>
          <w:p w14:paraId="04AF448F" w14:textId="77777777" w:rsidR="0034515D" w:rsidRPr="00202D16" w:rsidRDefault="0034515D" w:rsidP="001C6233">
            <w:pPr>
              <w:rPr>
                <w:rFonts w:asciiTheme="minorHAnsi" w:hAnsiTheme="minorHAnsi" w:cstheme="minorHAnsi"/>
              </w:rPr>
            </w:pPr>
          </w:p>
        </w:tc>
        <w:tc>
          <w:tcPr>
            <w:tcW w:w="1083" w:type="dxa"/>
            <w:noWrap/>
            <w:hideMark/>
          </w:tcPr>
          <w:p w14:paraId="52E5E083" w14:textId="77777777" w:rsidR="0034515D" w:rsidRPr="00202D16" w:rsidRDefault="0034515D" w:rsidP="001C6233">
            <w:pPr>
              <w:rPr>
                <w:rFonts w:asciiTheme="minorHAnsi" w:hAnsiTheme="minorHAnsi" w:cstheme="minorHAnsi"/>
                <w:bCs/>
              </w:rPr>
            </w:pPr>
            <w:r w:rsidRPr="00202D16">
              <w:rPr>
                <w:rFonts w:asciiTheme="minorHAnsi" w:hAnsiTheme="minorHAnsi" w:cstheme="minorHAnsi"/>
                <w:bCs/>
              </w:rPr>
              <w:t>2</w:t>
            </w:r>
          </w:p>
        </w:tc>
      </w:tr>
      <w:tr w:rsidR="0034515D" w:rsidRPr="00202D16" w14:paraId="3FBF2469" w14:textId="77777777" w:rsidTr="00F8253F">
        <w:trPr>
          <w:trHeight w:val="363"/>
        </w:trPr>
        <w:tc>
          <w:tcPr>
            <w:tcW w:w="1185" w:type="dxa"/>
            <w:hideMark/>
          </w:tcPr>
          <w:p w14:paraId="38E2D046" w14:textId="77777777" w:rsidR="0034515D" w:rsidRPr="00202D16" w:rsidRDefault="0034515D" w:rsidP="001C6233">
            <w:pPr>
              <w:rPr>
                <w:rFonts w:asciiTheme="minorHAnsi" w:hAnsiTheme="minorHAnsi" w:cstheme="minorHAnsi"/>
                <w:b/>
              </w:rPr>
            </w:pPr>
            <w:r w:rsidRPr="00202D16">
              <w:rPr>
                <w:rFonts w:asciiTheme="minorHAnsi" w:hAnsiTheme="minorHAnsi" w:cstheme="minorHAnsi"/>
                <w:b/>
              </w:rPr>
              <w:t>63747</w:t>
            </w:r>
          </w:p>
        </w:tc>
        <w:tc>
          <w:tcPr>
            <w:tcW w:w="1412" w:type="dxa"/>
            <w:noWrap/>
            <w:hideMark/>
          </w:tcPr>
          <w:p w14:paraId="705CECBC" w14:textId="77777777" w:rsidR="0034515D" w:rsidRPr="00202D16" w:rsidRDefault="0034515D" w:rsidP="001C6233">
            <w:pPr>
              <w:rPr>
                <w:rFonts w:asciiTheme="minorHAnsi" w:hAnsiTheme="minorHAnsi" w:cstheme="minorHAnsi"/>
              </w:rPr>
            </w:pPr>
          </w:p>
        </w:tc>
        <w:tc>
          <w:tcPr>
            <w:tcW w:w="1301" w:type="dxa"/>
            <w:noWrap/>
            <w:hideMark/>
          </w:tcPr>
          <w:p w14:paraId="37F2EA4C" w14:textId="77777777" w:rsidR="0034515D" w:rsidRPr="00202D16" w:rsidRDefault="0034515D" w:rsidP="001C6233">
            <w:pPr>
              <w:rPr>
                <w:rFonts w:asciiTheme="minorHAnsi" w:hAnsiTheme="minorHAnsi" w:cstheme="minorHAnsi"/>
              </w:rPr>
            </w:pPr>
            <w:r w:rsidRPr="00202D16">
              <w:rPr>
                <w:rFonts w:asciiTheme="minorHAnsi" w:hAnsiTheme="minorHAnsi" w:cstheme="minorHAnsi"/>
              </w:rPr>
              <w:t>11</w:t>
            </w:r>
          </w:p>
        </w:tc>
        <w:tc>
          <w:tcPr>
            <w:tcW w:w="1301" w:type="dxa"/>
            <w:noWrap/>
            <w:hideMark/>
          </w:tcPr>
          <w:p w14:paraId="7D134524" w14:textId="77777777" w:rsidR="0034515D" w:rsidRPr="00202D16" w:rsidRDefault="0034515D" w:rsidP="001C6233">
            <w:pPr>
              <w:rPr>
                <w:rFonts w:asciiTheme="minorHAnsi" w:hAnsiTheme="minorHAnsi" w:cstheme="minorHAnsi"/>
              </w:rPr>
            </w:pPr>
            <w:r w:rsidRPr="00202D16">
              <w:rPr>
                <w:rFonts w:asciiTheme="minorHAnsi" w:hAnsiTheme="minorHAnsi" w:cstheme="minorHAnsi"/>
              </w:rPr>
              <w:t>27</w:t>
            </w:r>
          </w:p>
        </w:tc>
        <w:tc>
          <w:tcPr>
            <w:tcW w:w="1301" w:type="dxa"/>
            <w:noWrap/>
            <w:hideMark/>
          </w:tcPr>
          <w:p w14:paraId="6750669E" w14:textId="77777777" w:rsidR="0034515D" w:rsidRPr="00202D16" w:rsidRDefault="0034515D" w:rsidP="001C6233">
            <w:pPr>
              <w:rPr>
                <w:rFonts w:asciiTheme="minorHAnsi" w:hAnsiTheme="minorHAnsi" w:cstheme="minorHAnsi"/>
              </w:rPr>
            </w:pPr>
            <w:r w:rsidRPr="00202D16">
              <w:rPr>
                <w:rFonts w:asciiTheme="minorHAnsi" w:hAnsiTheme="minorHAnsi" w:cstheme="minorHAnsi"/>
              </w:rPr>
              <w:t>5</w:t>
            </w:r>
          </w:p>
        </w:tc>
        <w:tc>
          <w:tcPr>
            <w:tcW w:w="1433" w:type="dxa"/>
            <w:noWrap/>
            <w:hideMark/>
          </w:tcPr>
          <w:p w14:paraId="127DB503" w14:textId="77777777" w:rsidR="0034515D" w:rsidRPr="00202D16" w:rsidRDefault="0034515D" w:rsidP="001C6233">
            <w:pPr>
              <w:rPr>
                <w:rFonts w:asciiTheme="minorHAnsi" w:hAnsiTheme="minorHAnsi" w:cstheme="minorHAnsi"/>
              </w:rPr>
            </w:pPr>
          </w:p>
        </w:tc>
        <w:tc>
          <w:tcPr>
            <w:tcW w:w="1083" w:type="dxa"/>
            <w:noWrap/>
            <w:hideMark/>
          </w:tcPr>
          <w:p w14:paraId="7B95DFFF" w14:textId="77777777" w:rsidR="0034515D" w:rsidRPr="00202D16" w:rsidRDefault="0034515D" w:rsidP="001C6233">
            <w:pPr>
              <w:rPr>
                <w:rFonts w:asciiTheme="minorHAnsi" w:hAnsiTheme="minorHAnsi" w:cstheme="minorHAnsi"/>
                <w:bCs/>
              </w:rPr>
            </w:pPr>
            <w:r w:rsidRPr="00202D16">
              <w:rPr>
                <w:rFonts w:asciiTheme="minorHAnsi" w:hAnsiTheme="minorHAnsi" w:cstheme="minorHAnsi"/>
                <w:bCs/>
              </w:rPr>
              <w:t>43</w:t>
            </w:r>
          </w:p>
        </w:tc>
      </w:tr>
      <w:tr w:rsidR="0034515D" w:rsidRPr="00202D16" w14:paraId="1CBA1FDE" w14:textId="77777777" w:rsidTr="00F8253F">
        <w:trPr>
          <w:trHeight w:val="363"/>
        </w:trPr>
        <w:tc>
          <w:tcPr>
            <w:tcW w:w="1185" w:type="dxa"/>
            <w:hideMark/>
          </w:tcPr>
          <w:p w14:paraId="22E4A3D7" w14:textId="77777777" w:rsidR="0034515D" w:rsidRPr="00202D16" w:rsidRDefault="0034515D" w:rsidP="001C6233">
            <w:pPr>
              <w:rPr>
                <w:rFonts w:asciiTheme="minorHAnsi" w:hAnsiTheme="minorHAnsi" w:cstheme="minorHAnsi"/>
                <w:b/>
                <w:i/>
                <w:iCs/>
              </w:rPr>
            </w:pPr>
            <w:r w:rsidRPr="00202D16">
              <w:rPr>
                <w:rFonts w:asciiTheme="minorHAnsi" w:hAnsiTheme="minorHAnsi" w:cstheme="minorHAnsi"/>
                <w:b/>
                <w:i/>
                <w:iCs/>
              </w:rPr>
              <w:t>Total</w:t>
            </w:r>
          </w:p>
        </w:tc>
        <w:tc>
          <w:tcPr>
            <w:tcW w:w="1412" w:type="dxa"/>
            <w:noWrap/>
            <w:hideMark/>
          </w:tcPr>
          <w:p w14:paraId="386E44D3" w14:textId="77777777" w:rsidR="0034515D" w:rsidRPr="00202D16" w:rsidRDefault="0034515D" w:rsidP="001C6233">
            <w:pPr>
              <w:rPr>
                <w:rFonts w:asciiTheme="minorHAnsi" w:hAnsiTheme="minorHAnsi" w:cstheme="minorHAnsi"/>
                <w:bCs/>
              </w:rPr>
            </w:pPr>
            <w:r w:rsidRPr="00202D16">
              <w:rPr>
                <w:rFonts w:asciiTheme="minorHAnsi" w:hAnsiTheme="minorHAnsi" w:cstheme="minorHAnsi"/>
                <w:bCs/>
              </w:rPr>
              <w:t>2,980</w:t>
            </w:r>
          </w:p>
        </w:tc>
        <w:tc>
          <w:tcPr>
            <w:tcW w:w="1301" w:type="dxa"/>
            <w:noWrap/>
            <w:hideMark/>
          </w:tcPr>
          <w:p w14:paraId="795324B2" w14:textId="77777777" w:rsidR="0034515D" w:rsidRPr="00202D16" w:rsidRDefault="0034515D" w:rsidP="001C6233">
            <w:pPr>
              <w:rPr>
                <w:rFonts w:asciiTheme="minorHAnsi" w:hAnsiTheme="minorHAnsi" w:cstheme="minorHAnsi"/>
                <w:bCs/>
              </w:rPr>
            </w:pPr>
            <w:r w:rsidRPr="00202D16">
              <w:rPr>
                <w:rFonts w:asciiTheme="minorHAnsi" w:hAnsiTheme="minorHAnsi" w:cstheme="minorHAnsi"/>
                <w:bCs/>
              </w:rPr>
              <w:t>7,360</w:t>
            </w:r>
          </w:p>
        </w:tc>
        <w:tc>
          <w:tcPr>
            <w:tcW w:w="1301" w:type="dxa"/>
            <w:noWrap/>
            <w:hideMark/>
          </w:tcPr>
          <w:p w14:paraId="05B3BCE6" w14:textId="77777777" w:rsidR="0034515D" w:rsidRPr="00202D16" w:rsidRDefault="0034515D" w:rsidP="001C6233">
            <w:pPr>
              <w:rPr>
                <w:rFonts w:asciiTheme="minorHAnsi" w:hAnsiTheme="minorHAnsi" w:cstheme="minorHAnsi"/>
                <w:bCs/>
              </w:rPr>
            </w:pPr>
            <w:r w:rsidRPr="00202D16">
              <w:rPr>
                <w:rFonts w:asciiTheme="minorHAnsi" w:hAnsiTheme="minorHAnsi" w:cstheme="minorHAnsi"/>
                <w:bCs/>
              </w:rPr>
              <w:t>8,725</w:t>
            </w:r>
          </w:p>
        </w:tc>
        <w:tc>
          <w:tcPr>
            <w:tcW w:w="1301" w:type="dxa"/>
            <w:noWrap/>
            <w:hideMark/>
          </w:tcPr>
          <w:p w14:paraId="5B627D53" w14:textId="77777777" w:rsidR="0034515D" w:rsidRPr="00202D16" w:rsidRDefault="0034515D" w:rsidP="001C6233">
            <w:pPr>
              <w:rPr>
                <w:rFonts w:asciiTheme="minorHAnsi" w:hAnsiTheme="minorHAnsi" w:cstheme="minorHAnsi"/>
                <w:bCs/>
              </w:rPr>
            </w:pPr>
            <w:r w:rsidRPr="00202D16">
              <w:rPr>
                <w:rFonts w:asciiTheme="minorHAnsi" w:hAnsiTheme="minorHAnsi" w:cstheme="minorHAnsi"/>
                <w:bCs/>
              </w:rPr>
              <w:t>9,952</w:t>
            </w:r>
          </w:p>
        </w:tc>
        <w:tc>
          <w:tcPr>
            <w:tcW w:w="1433" w:type="dxa"/>
            <w:noWrap/>
            <w:hideMark/>
          </w:tcPr>
          <w:p w14:paraId="6C6EB4B6" w14:textId="77777777" w:rsidR="0034515D" w:rsidRPr="00202D16" w:rsidRDefault="0034515D" w:rsidP="001C6233">
            <w:pPr>
              <w:rPr>
                <w:rFonts w:asciiTheme="minorHAnsi" w:hAnsiTheme="minorHAnsi" w:cstheme="minorHAnsi"/>
                <w:bCs/>
              </w:rPr>
            </w:pPr>
            <w:r w:rsidRPr="00202D16">
              <w:rPr>
                <w:rFonts w:asciiTheme="minorHAnsi" w:hAnsiTheme="minorHAnsi" w:cstheme="minorHAnsi"/>
                <w:bCs/>
              </w:rPr>
              <w:t>11,180</w:t>
            </w:r>
          </w:p>
        </w:tc>
        <w:tc>
          <w:tcPr>
            <w:tcW w:w="1083" w:type="dxa"/>
            <w:noWrap/>
            <w:hideMark/>
          </w:tcPr>
          <w:p w14:paraId="6E17A8F8" w14:textId="77777777" w:rsidR="0034515D" w:rsidRPr="00202D16" w:rsidRDefault="0034515D" w:rsidP="001C6233">
            <w:pPr>
              <w:rPr>
                <w:rFonts w:asciiTheme="minorHAnsi" w:hAnsiTheme="minorHAnsi" w:cstheme="minorHAnsi"/>
                <w:bCs/>
              </w:rPr>
            </w:pPr>
            <w:r w:rsidRPr="00202D16">
              <w:rPr>
                <w:rFonts w:asciiTheme="minorHAnsi" w:hAnsiTheme="minorHAnsi" w:cstheme="minorHAnsi"/>
                <w:bCs/>
              </w:rPr>
              <w:t>40,197</w:t>
            </w:r>
          </w:p>
        </w:tc>
      </w:tr>
    </w:tbl>
    <w:p w14:paraId="716C3A98" w14:textId="40663492" w:rsidR="00152288" w:rsidRDefault="00152288" w:rsidP="00152288">
      <w:pPr>
        <w:spacing w:before="240"/>
        <w:rPr>
          <w:highlight w:val="yellow"/>
        </w:rPr>
      </w:pPr>
      <w:r>
        <w:t xml:space="preserve">The predicted utilisation was based </w:t>
      </w:r>
      <w:r w:rsidRPr="001A4A79">
        <w:t>on the patient population</w:t>
      </w:r>
      <w:r>
        <w:t xml:space="preserve"> defined during the MSAC </w:t>
      </w:r>
      <w:r w:rsidR="00903C2A">
        <w:t>consideration of</w:t>
      </w:r>
      <w:r>
        <w:t xml:space="preserve"> the service, </w:t>
      </w:r>
      <w:r w:rsidR="001A4A79" w:rsidRPr="001A4A79">
        <w:t>with an assumption that all patients with small bowel or complex perianal Crohn disease would receive an MRI</w:t>
      </w:r>
      <w:r w:rsidR="009764EC">
        <w:t xml:space="preserve"> yearly</w:t>
      </w:r>
      <w:r w:rsidR="001A4A79" w:rsidRPr="001A4A79">
        <w:t xml:space="preserve">. </w:t>
      </w:r>
      <w:r w:rsidRPr="001A4A79">
        <w:t xml:space="preserve"> </w:t>
      </w:r>
    </w:p>
    <w:p w14:paraId="4DC0A69C" w14:textId="30B14683" w:rsidR="001A4A79" w:rsidRDefault="001A4A79" w:rsidP="00152288">
      <w:pPr>
        <w:spacing w:before="240"/>
      </w:pPr>
      <w:r w:rsidRPr="001A4A79">
        <w:t>The</w:t>
      </w:r>
      <w:r>
        <w:t xml:space="preserve"> utilisation of items </w:t>
      </w:r>
      <w:r w:rsidRPr="001A4A79">
        <w:t>63740, 63741, 63743, 63744, 63746, 63747</w:t>
      </w:r>
      <w:r>
        <w:t xml:space="preserve"> </w:t>
      </w:r>
      <w:r w:rsidR="00731BE0">
        <w:t xml:space="preserve">(listed at </w:t>
      </w:r>
      <w:hyperlink w:anchor="_Appendix_A_Full" w:history="1">
        <w:r w:rsidR="00731BE0" w:rsidRPr="00731BE0">
          <w:rPr>
            <w:rStyle w:val="Hyperlink"/>
          </w:rPr>
          <w:t>Appendix A</w:t>
        </w:r>
      </w:hyperlink>
      <w:r w:rsidR="00731BE0">
        <w:t xml:space="preserve">) </w:t>
      </w:r>
      <w:r w:rsidR="00E41B42">
        <w:t xml:space="preserve">was </w:t>
      </w:r>
      <w:r>
        <w:t xml:space="preserve">much lower than predicted. The </w:t>
      </w:r>
      <w:r w:rsidRPr="001A4A79">
        <w:t>predicted utilisation was 13</w:t>
      </w:r>
      <w:r w:rsidR="007E54B3">
        <w:t>,</w:t>
      </w:r>
      <w:r w:rsidRPr="001A4A79">
        <w:t xml:space="preserve">597 services per year and the actual utilisation has been significantly less. </w:t>
      </w:r>
      <w:r w:rsidR="00E41B42">
        <w:t xml:space="preserve"> </w:t>
      </w:r>
      <w:r w:rsidRPr="001A4A79">
        <w:t>However, take</w:t>
      </w:r>
      <w:r w:rsidR="007E54B3">
        <w:t>-</w:t>
      </w:r>
      <w:r w:rsidRPr="001A4A79">
        <w:t>up of the new items is increasing</w:t>
      </w:r>
      <w:r>
        <w:t xml:space="preserve">. </w:t>
      </w:r>
    </w:p>
    <w:p w14:paraId="77743862" w14:textId="79A8533B" w:rsidR="00E41B42" w:rsidRDefault="001A4A79" w:rsidP="009764EC">
      <w:pPr>
        <w:spacing w:before="240"/>
      </w:pPr>
      <w:r>
        <w:t>The</w:t>
      </w:r>
      <w:r w:rsidR="002B7620">
        <w:t xml:space="preserve"> reasons suggested by GESA</w:t>
      </w:r>
      <w:r>
        <w:t xml:space="preserve"> for this underutilisation </w:t>
      </w:r>
      <w:r w:rsidR="00E41B42">
        <w:t>were:</w:t>
      </w:r>
    </w:p>
    <w:p w14:paraId="5144208F" w14:textId="4545B687" w:rsidR="00E41B42" w:rsidRDefault="001A4A79" w:rsidP="00731BE0">
      <w:pPr>
        <w:pStyle w:val="ListParagraph"/>
        <w:numPr>
          <w:ilvl w:val="0"/>
          <w:numId w:val="39"/>
        </w:numPr>
        <w:spacing w:before="240"/>
      </w:pPr>
      <w:r>
        <w:t xml:space="preserve">an overestimation of the </w:t>
      </w:r>
      <w:r w:rsidR="009764EC">
        <w:t>patient population and frequency of scans</w:t>
      </w:r>
      <w:r w:rsidR="00E41B42">
        <w:t>;</w:t>
      </w:r>
    </w:p>
    <w:p w14:paraId="4147CB32" w14:textId="47D2607F" w:rsidR="00E41B42" w:rsidRDefault="009764EC" w:rsidP="00731BE0">
      <w:pPr>
        <w:pStyle w:val="ListParagraph"/>
        <w:numPr>
          <w:ilvl w:val="0"/>
          <w:numId w:val="39"/>
        </w:numPr>
        <w:spacing w:before="240"/>
      </w:pPr>
      <w:r>
        <w:t>issues with access to</w:t>
      </w:r>
      <w:r w:rsidR="002B7620">
        <w:t xml:space="preserve"> radiologists with experience reporting on</w:t>
      </w:r>
      <w:r>
        <w:t xml:space="preserve"> </w:t>
      </w:r>
      <w:r w:rsidR="00E41B42">
        <w:t xml:space="preserve">inflammatory bowel disease </w:t>
      </w:r>
      <w:r w:rsidR="002B7620">
        <w:t>scans</w:t>
      </w:r>
      <w:r w:rsidR="00E41B42">
        <w:t>;</w:t>
      </w:r>
    </w:p>
    <w:p w14:paraId="7AFC3045" w14:textId="5BC3B48E" w:rsidR="00E41B42" w:rsidRDefault="009764EC" w:rsidP="00731BE0">
      <w:pPr>
        <w:pStyle w:val="ListParagraph"/>
        <w:numPr>
          <w:ilvl w:val="0"/>
          <w:numId w:val="39"/>
        </w:numPr>
        <w:spacing w:before="240"/>
      </w:pPr>
      <w:r>
        <w:t>a limited number of requesting specialists who are familiar with the disease</w:t>
      </w:r>
      <w:r w:rsidR="00E41B42">
        <w:t>;</w:t>
      </w:r>
      <w:r>
        <w:t xml:space="preserve"> and </w:t>
      </w:r>
    </w:p>
    <w:p w14:paraId="32AA87E5" w14:textId="49C05FE3" w:rsidR="008C4EFA" w:rsidRPr="00D27B61" w:rsidRDefault="009764EC" w:rsidP="00550354">
      <w:pPr>
        <w:pStyle w:val="ListParagraph"/>
        <w:numPr>
          <w:ilvl w:val="0"/>
          <w:numId w:val="39"/>
        </w:numPr>
        <w:spacing w:before="240" w:after="240"/>
      </w:pPr>
      <w:proofErr w:type="gramStart"/>
      <w:r>
        <w:t>the</w:t>
      </w:r>
      <w:proofErr w:type="gramEnd"/>
      <w:r>
        <w:t xml:space="preserve"> </w:t>
      </w:r>
      <w:r w:rsidRPr="009764EC">
        <w:t>recent development of small bowel ultrasound techniques</w:t>
      </w:r>
      <w:r>
        <w:t>.</w:t>
      </w:r>
    </w:p>
    <w:p w14:paraId="5B48E5B7" w14:textId="20FCF909" w:rsidR="00152288" w:rsidRPr="00152288" w:rsidRDefault="00BC1364" w:rsidP="00152288">
      <w:pPr>
        <w:pStyle w:val="Heading1"/>
        <w:numPr>
          <w:ilvl w:val="0"/>
          <w:numId w:val="23"/>
        </w:numPr>
        <w:ind w:hanging="720"/>
      </w:pPr>
      <w:r w:rsidRPr="00D90A38">
        <w:t>Background</w:t>
      </w:r>
      <w:r w:rsidR="00152288">
        <w:t>:</w:t>
      </w:r>
    </w:p>
    <w:p w14:paraId="62CE3F25" w14:textId="6260BC60" w:rsidR="005A4357" w:rsidRDefault="005A4357" w:rsidP="00D27B61">
      <w:pPr>
        <w:tabs>
          <w:tab w:val="left" w:pos="0"/>
        </w:tabs>
        <w:spacing w:before="240"/>
      </w:pPr>
      <w:r>
        <w:t>An application wa</w:t>
      </w:r>
      <w:r w:rsidR="002B7620">
        <w:t xml:space="preserve">s submitted in July 2011 by </w:t>
      </w:r>
      <w:r>
        <w:t>GESA</w:t>
      </w:r>
      <w:r w:rsidR="00731BE0">
        <w:t xml:space="preserve">, </w:t>
      </w:r>
      <w:r w:rsidR="007E54B3">
        <w:t xml:space="preserve">which </w:t>
      </w:r>
      <w:r>
        <w:t xml:space="preserve">requested MBS listing </w:t>
      </w:r>
      <w:r w:rsidR="002B7620">
        <w:t xml:space="preserve">for </w:t>
      </w:r>
      <w:r>
        <w:t>MRI for patients with Crohn disease.</w:t>
      </w:r>
    </w:p>
    <w:p w14:paraId="6E3AB131" w14:textId="1DCB077E" w:rsidR="007E54B3" w:rsidRDefault="005A4357" w:rsidP="00D27B61">
      <w:pPr>
        <w:tabs>
          <w:tab w:val="left" w:pos="0"/>
        </w:tabs>
        <w:spacing w:before="240" w:after="240"/>
      </w:pPr>
      <w:r>
        <w:t xml:space="preserve">MSAC noted that the application was for funding of three new MBS items for MRI - small bowel, pelvis and </w:t>
      </w:r>
      <w:proofErr w:type="spellStart"/>
      <w:r>
        <w:t>enteroc</w:t>
      </w:r>
      <w:r w:rsidR="00D27B61">
        <w:t>lysis</w:t>
      </w:r>
      <w:proofErr w:type="spellEnd"/>
      <w:r w:rsidR="00D27B61">
        <w:t xml:space="preserve"> - in two key populations:</w:t>
      </w:r>
    </w:p>
    <w:p w14:paraId="09F6AD20" w14:textId="1C6E731A" w:rsidR="005A4357" w:rsidRDefault="005A4357" w:rsidP="007E54B3">
      <w:pPr>
        <w:ind w:left="1134" w:hanging="708"/>
      </w:pPr>
      <w:r>
        <w:t xml:space="preserve">1) </w:t>
      </w:r>
      <w:r w:rsidR="007E54B3">
        <w:tab/>
      </w:r>
      <w:proofErr w:type="gramStart"/>
      <w:r>
        <w:t>patients</w:t>
      </w:r>
      <w:proofErr w:type="gramEnd"/>
      <w:r>
        <w:t xml:space="preserve"> with small bowel Crohn disease; </w:t>
      </w:r>
      <w:r w:rsidR="001251A2">
        <w:t>and</w:t>
      </w:r>
    </w:p>
    <w:p w14:paraId="0FD46AC8" w14:textId="10153E84" w:rsidR="005A4357" w:rsidRDefault="005A4357" w:rsidP="00D27B61">
      <w:pPr>
        <w:ind w:left="1134" w:hanging="708"/>
      </w:pPr>
      <w:r>
        <w:t xml:space="preserve">2) </w:t>
      </w:r>
      <w:r w:rsidR="007E54B3">
        <w:tab/>
      </w:r>
      <w:proofErr w:type="gramStart"/>
      <w:r>
        <w:t>patients</w:t>
      </w:r>
      <w:proofErr w:type="gramEnd"/>
      <w:r>
        <w:t xml:space="preserve"> with fistulising perianal Crohn disease</w:t>
      </w:r>
      <w:r w:rsidR="001251A2">
        <w:t>.</w:t>
      </w:r>
    </w:p>
    <w:p w14:paraId="2D891A5B" w14:textId="77764F45" w:rsidR="00D27B61" w:rsidRDefault="005A4357" w:rsidP="00D27B61">
      <w:pPr>
        <w:tabs>
          <w:tab w:val="left" w:pos="0"/>
        </w:tabs>
        <w:spacing w:before="240"/>
      </w:pPr>
      <w:r>
        <w:t>MSAC agreed that there are several comparators depending on the separate indications for MRI. MSAC noted that for the proposed evaluation indications, MRI would replace existing tests, and for the proposed assessment indications MRI would complement existing tests as an additional service.</w:t>
      </w:r>
      <w:r w:rsidR="00D27B61">
        <w:br w:type="page"/>
      </w:r>
    </w:p>
    <w:p w14:paraId="4DE05976" w14:textId="0032879C" w:rsidR="001251A2" w:rsidRDefault="005A4357" w:rsidP="00D27B61">
      <w:pPr>
        <w:tabs>
          <w:tab w:val="left" w:pos="0"/>
        </w:tabs>
        <w:spacing w:before="240" w:after="240"/>
      </w:pPr>
      <w:r>
        <w:lastRenderedPageBreak/>
        <w:t>MSAC supported public funding of new MBS items for</w:t>
      </w:r>
      <w:r w:rsidR="00731BE0">
        <w:t>:</w:t>
      </w:r>
    </w:p>
    <w:p w14:paraId="6FF0E983" w14:textId="0D3ED673" w:rsidR="001251A2" w:rsidRPr="00CB3379" w:rsidRDefault="005A4357" w:rsidP="00CB3379">
      <w:pPr>
        <w:pStyle w:val="ListParagraph"/>
        <w:numPr>
          <w:ilvl w:val="0"/>
          <w:numId w:val="40"/>
        </w:numPr>
        <w:tabs>
          <w:tab w:val="left" w:pos="0"/>
        </w:tabs>
        <w:rPr>
          <w:szCs w:val="24"/>
        </w:rPr>
      </w:pPr>
      <w:r>
        <w:t>MRI for evaluation of pelvic sepsis and fistulas in fistulising perianal Crohn disease</w:t>
      </w:r>
      <w:r w:rsidR="001251A2">
        <w:t xml:space="preserve"> (MBS </w:t>
      </w:r>
      <w:r w:rsidR="001251A2" w:rsidRPr="00CB3379">
        <w:t>items</w:t>
      </w:r>
      <w:r w:rsidR="00CB3379" w:rsidRPr="00CB3379">
        <w:t xml:space="preserve"> </w:t>
      </w:r>
      <w:r w:rsidR="00CB3379">
        <w:t>63743 and 63747</w:t>
      </w:r>
      <w:r w:rsidR="001251A2" w:rsidRPr="00CB3379">
        <w:t>)</w:t>
      </w:r>
      <w:r w:rsidRPr="00CB3379">
        <w:t xml:space="preserve">; </w:t>
      </w:r>
      <w:r w:rsidR="001251A2" w:rsidRPr="00CB3379">
        <w:t>and</w:t>
      </w:r>
    </w:p>
    <w:p w14:paraId="50E802F4" w14:textId="2E76373A" w:rsidR="006A7F8A" w:rsidRPr="00D27B61" w:rsidRDefault="005A4357" w:rsidP="00230D6B">
      <w:pPr>
        <w:pStyle w:val="ListParagraph"/>
        <w:numPr>
          <w:ilvl w:val="0"/>
          <w:numId w:val="40"/>
        </w:numPr>
        <w:tabs>
          <w:tab w:val="left" w:pos="0"/>
        </w:tabs>
        <w:spacing w:after="240"/>
        <w:rPr>
          <w:szCs w:val="24"/>
        </w:rPr>
      </w:pPr>
      <w:r>
        <w:t>MRI for evaluation of known or suspected complications in small bowel Crohn disease</w:t>
      </w:r>
      <w:r w:rsidR="001251A2">
        <w:t xml:space="preserve"> (MBS </w:t>
      </w:r>
      <w:r w:rsidR="001251A2" w:rsidRPr="00CB3379">
        <w:t xml:space="preserve">items </w:t>
      </w:r>
      <w:r w:rsidR="00CB3379" w:rsidRPr="00CB3379">
        <w:t>63740, 63741, 63744,</w:t>
      </w:r>
      <w:r w:rsidR="00CB3379">
        <w:t xml:space="preserve"> and 63746</w:t>
      </w:r>
      <w:r w:rsidR="001251A2">
        <w:t>)</w:t>
      </w:r>
      <w:r>
        <w:t>.</w:t>
      </w:r>
    </w:p>
    <w:p w14:paraId="6FC635B6" w14:textId="77777777" w:rsidR="00BC1364" w:rsidRDefault="00271F18" w:rsidP="007B32D1">
      <w:pPr>
        <w:pStyle w:val="Heading1"/>
        <w:numPr>
          <w:ilvl w:val="0"/>
          <w:numId w:val="23"/>
        </w:numPr>
        <w:ind w:hanging="720"/>
      </w:pPr>
      <w:r>
        <w:t>Further information on MSAC</w:t>
      </w:r>
    </w:p>
    <w:p w14:paraId="715FE6C4" w14:textId="7C239A9B" w:rsidR="00731BE0" w:rsidRDefault="00056DBD" w:rsidP="00D27B61">
      <w:pPr>
        <w:spacing w:before="240"/>
        <w:rPr>
          <w:szCs w:val="24"/>
        </w:rPr>
      </w:pPr>
      <w:r>
        <w:t xml:space="preserve">Further information is available on the MSAC </w:t>
      </w:r>
      <w:r w:rsidR="001251A2">
        <w:t>w</w:t>
      </w:r>
      <w:r>
        <w:t xml:space="preserve">ebsite at: </w:t>
      </w:r>
      <w:hyperlink r:id="rId9" w:tooltip="Link to MSAC website" w:history="1">
        <w:r w:rsidR="001251A2" w:rsidRPr="00DC76EC">
          <w:rPr>
            <w:rStyle w:val="Hyperlink"/>
          </w:rPr>
          <w:t>www.msac.gov.au</w:t>
        </w:r>
      </w:hyperlink>
      <w:r w:rsidR="001251A2">
        <w:rPr>
          <w:szCs w:val="24"/>
        </w:rPr>
        <w:t>.</w:t>
      </w:r>
      <w:r w:rsidR="00731BE0">
        <w:rPr>
          <w:szCs w:val="24"/>
        </w:rPr>
        <w:br w:type="page"/>
      </w:r>
    </w:p>
    <w:p w14:paraId="7D20F14C" w14:textId="4E99F803" w:rsidR="00731BE0" w:rsidRPr="00731BE0" w:rsidRDefault="00731BE0" w:rsidP="00731BE0">
      <w:pPr>
        <w:pStyle w:val="Heading1"/>
      </w:pPr>
      <w:bookmarkStart w:id="0" w:name="_Appendix_A_Full"/>
      <w:bookmarkEnd w:id="0"/>
      <w:r w:rsidRPr="00731BE0">
        <w:lastRenderedPageBreak/>
        <w:t>Appendix A</w:t>
      </w:r>
      <w:r w:rsidRPr="00731BE0">
        <w:tab/>
        <w:t>Full MBS Items and Descriptors</w:t>
      </w:r>
    </w:p>
    <w:p w14:paraId="12965E4A" w14:textId="77777777" w:rsidR="00731BE0" w:rsidRDefault="00731BE0" w:rsidP="00F20E57">
      <w:pPr>
        <w:spacing w:before="240"/>
        <w:rPr>
          <w:szCs w:val="24"/>
        </w:rPr>
      </w:pPr>
    </w:p>
    <w:tbl>
      <w:tblPr>
        <w:tblStyle w:val="TableGrid"/>
        <w:tblW w:w="0" w:type="auto"/>
        <w:tblLook w:val="04A0" w:firstRow="1" w:lastRow="0" w:firstColumn="1" w:lastColumn="0" w:noHBand="0" w:noVBand="1"/>
        <w:tblDescription w:val="Current MBS Items and Descriptors"/>
      </w:tblPr>
      <w:tblGrid>
        <w:gridCol w:w="9016"/>
      </w:tblGrid>
      <w:tr w:rsidR="0034515D" w14:paraId="09063B36" w14:textId="77777777" w:rsidTr="00F8253F">
        <w:trPr>
          <w:tblHeader/>
        </w:trPr>
        <w:tc>
          <w:tcPr>
            <w:tcW w:w="9016" w:type="dxa"/>
            <w:shd w:val="clear" w:color="auto" w:fill="FFFFFF" w:themeFill="background1"/>
          </w:tcPr>
          <w:p w14:paraId="67002BEF" w14:textId="77777777" w:rsidR="0034515D" w:rsidRPr="0034515D" w:rsidRDefault="0034515D" w:rsidP="0034515D">
            <w:pPr>
              <w:pStyle w:val="NormalWeb"/>
              <w:shd w:val="clear" w:color="auto" w:fill="FFFFFF" w:themeFill="background1"/>
              <w:spacing w:before="0" w:beforeAutospacing="0" w:after="240" w:afterAutospacing="0" w:line="300" w:lineRule="atLeast"/>
              <w:rPr>
                <w:rFonts w:ascii="Times New Roman" w:hAnsi="Times New Roman" w:cs="Times New Roman"/>
                <w:szCs w:val="20"/>
                <w:lang w:eastAsia="en-AU"/>
              </w:rPr>
            </w:pPr>
            <w:r w:rsidRPr="0034515D">
              <w:rPr>
                <w:rFonts w:ascii="Times New Roman" w:hAnsi="Times New Roman" w:cs="Times New Roman"/>
                <w:szCs w:val="20"/>
                <w:lang w:eastAsia="en-AU"/>
              </w:rPr>
              <w:t>63740 - MRI—scan to evaluate small bowel Crohn’s disease if the service is provided to a patient for:</w:t>
            </w:r>
          </w:p>
          <w:p w14:paraId="0CA263D1" w14:textId="77777777" w:rsidR="0034515D" w:rsidRPr="0034515D" w:rsidRDefault="0034515D" w:rsidP="0034515D">
            <w:pPr>
              <w:pStyle w:val="NormalWeb"/>
              <w:shd w:val="clear" w:color="auto" w:fill="FFFFFF" w:themeFill="background1"/>
              <w:spacing w:before="0" w:beforeAutospacing="0" w:after="240" w:afterAutospacing="0" w:line="300" w:lineRule="atLeast"/>
              <w:rPr>
                <w:rFonts w:ascii="Times New Roman" w:hAnsi="Times New Roman" w:cs="Times New Roman"/>
                <w:szCs w:val="20"/>
                <w:lang w:eastAsia="en-AU"/>
              </w:rPr>
            </w:pPr>
            <w:r w:rsidRPr="0034515D">
              <w:rPr>
                <w:rFonts w:ascii="Times New Roman" w:hAnsi="Times New Roman" w:cs="Times New Roman"/>
                <w:szCs w:val="20"/>
                <w:lang w:eastAsia="en-AU"/>
              </w:rPr>
              <w:t>(a) evaluation of disease extent at time of initial diagnosis of Crohn’s disease; or</w:t>
            </w:r>
            <w:r w:rsidRPr="0034515D">
              <w:rPr>
                <w:rFonts w:ascii="Times New Roman" w:hAnsi="Times New Roman" w:cs="Times New Roman"/>
                <w:szCs w:val="20"/>
                <w:lang w:eastAsia="en-AU"/>
              </w:rPr>
              <w:br/>
              <w:t>(b) evaluation of exacerbation, or suspected complications, of known Crohn’s disease; or</w:t>
            </w:r>
            <w:r w:rsidRPr="0034515D">
              <w:rPr>
                <w:rFonts w:ascii="Times New Roman" w:hAnsi="Times New Roman" w:cs="Times New Roman"/>
                <w:szCs w:val="20"/>
                <w:lang w:eastAsia="en-AU"/>
              </w:rPr>
              <w:br/>
              <w:t>(c) evaluation of known or suspected Crohn’s disease in pregnancy; or</w:t>
            </w:r>
            <w:r w:rsidRPr="0034515D">
              <w:rPr>
                <w:rFonts w:ascii="Times New Roman" w:hAnsi="Times New Roman" w:cs="Times New Roman"/>
                <w:szCs w:val="20"/>
                <w:lang w:eastAsia="en-AU"/>
              </w:rPr>
              <w:br/>
              <w:t>(d) assessment of change to therapy in a patient with small bowel Crohn’s disease (R) (Contrast)</w:t>
            </w:r>
          </w:p>
          <w:p w14:paraId="0DEE4629" w14:textId="2D2DC592" w:rsidR="0034515D" w:rsidRPr="0034515D" w:rsidRDefault="0034515D" w:rsidP="00DD2858">
            <w:pPr>
              <w:rPr>
                <w:rFonts w:ascii="Times New Roman" w:hAnsi="Times New Roman" w:cs="Times New Roman"/>
                <w:lang w:eastAsia="en-AU"/>
              </w:rPr>
            </w:pPr>
            <w:r w:rsidRPr="0034515D">
              <w:rPr>
                <w:rFonts w:ascii="Times New Roman" w:hAnsi="Times New Roman" w:cs="Times New Roman"/>
                <w:lang w:eastAsia="en-AU"/>
              </w:rPr>
              <w:t>Fee: $457.20 Benefit: 75% = $342.90 85% = $388.65</w:t>
            </w:r>
          </w:p>
        </w:tc>
      </w:tr>
      <w:tr w:rsidR="0034515D" w14:paraId="5B2C7655" w14:textId="77777777" w:rsidTr="0034515D">
        <w:tc>
          <w:tcPr>
            <w:tcW w:w="9016" w:type="dxa"/>
            <w:shd w:val="clear" w:color="auto" w:fill="FFFFFF" w:themeFill="background1"/>
          </w:tcPr>
          <w:p w14:paraId="1304C60D" w14:textId="7DE33157" w:rsidR="0034515D" w:rsidRPr="0034515D" w:rsidRDefault="0034515D" w:rsidP="0034515D">
            <w:pPr>
              <w:pStyle w:val="NormalWeb"/>
              <w:shd w:val="clear" w:color="auto" w:fill="FFFFFF" w:themeFill="background1"/>
              <w:spacing w:before="0" w:beforeAutospacing="0" w:after="240" w:afterAutospacing="0" w:line="300" w:lineRule="atLeast"/>
              <w:rPr>
                <w:rFonts w:ascii="Times New Roman" w:hAnsi="Times New Roman" w:cs="Times New Roman"/>
                <w:szCs w:val="20"/>
                <w:lang w:eastAsia="en-AU"/>
              </w:rPr>
            </w:pPr>
            <w:r w:rsidRPr="0034515D">
              <w:rPr>
                <w:rFonts w:ascii="Times New Roman" w:hAnsi="Times New Roman" w:cs="Times New Roman"/>
                <w:szCs w:val="20"/>
                <w:lang w:eastAsia="en-AU"/>
              </w:rPr>
              <w:t xml:space="preserve">63740 - MRI—scan with </w:t>
            </w:r>
            <w:proofErr w:type="spellStart"/>
            <w:r w:rsidRPr="0034515D">
              <w:rPr>
                <w:rFonts w:ascii="Times New Roman" w:hAnsi="Times New Roman" w:cs="Times New Roman"/>
                <w:szCs w:val="20"/>
                <w:lang w:eastAsia="en-AU"/>
              </w:rPr>
              <w:t>enteroclysis</w:t>
            </w:r>
            <w:proofErr w:type="spellEnd"/>
            <w:r w:rsidRPr="0034515D">
              <w:rPr>
                <w:rFonts w:ascii="Times New Roman" w:hAnsi="Times New Roman" w:cs="Times New Roman"/>
                <w:szCs w:val="20"/>
                <w:lang w:eastAsia="en-AU"/>
              </w:rPr>
              <w:t xml:space="preserve"> for Crohn’s disease if the service is related to item 63740 (R)</w:t>
            </w:r>
          </w:p>
          <w:p w14:paraId="13AFD288" w14:textId="6BB42BC5" w:rsidR="0034515D" w:rsidRPr="0034515D" w:rsidRDefault="0034515D" w:rsidP="0034515D">
            <w:pPr>
              <w:pStyle w:val="NormalWeb"/>
              <w:shd w:val="clear" w:color="auto" w:fill="FFFFFF" w:themeFill="background1"/>
              <w:spacing w:before="0" w:beforeAutospacing="0" w:after="240" w:afterAutospacing="0" w:line="300" w:lineRule="atLeast"/>
              <w:rPr>
                <w:rFonts w:ascii="Times New Roman" w:hAnsi="Times New Roman" w:cs="Times New Roman"/>
                <w:szCs w:val="20"/>
                <w:lang w:eastAsia="en-AU"/>
              </w:rPr>
            </w:pPr>
            <w:r w:rsidRPr="0034515D">
              <w:rPr>
                <w:rFonts w:ascii="Times New Roman" w:hAnsi="Times New Roman" w:cs="Times New Roman"/>
                <w:szCs w:val="20"/>
                <w:lang w:eastAsia="en-AU"/>
              </w:rPr>
              <w:t>Fee: $265.25 Benefit: 75% = $198.95 85% = $225.50</w:t>
            </w:r>
          </w:p>
        </w:tc>
      </w:tr>
      <w:tr w:rsidR="0034515D" w14:paraId="14B69251" w14:textId="77777777" w:rsidTr="0034515D">
        <w:tc>
          <w:tcPr>
            <w:tcW w:w="9016" w:type="dxa"/>
            <w:shd w:val="clear" w:color="auto" w:fill="FFFFFF" w:themeFill="background1"/>
          </w:tcPr>
          <w:p w14:paraId="01B5E484" w14:textId="77777777" w:rsidR="0034515D" w:rsidRPr="0034515D" w:rsidRDefault="00F20E57" w:rsidP="0034515D">
            <w:pPr>
              <w:pStyle w:val="NormalWeb"/>
              <w:shd w:val="clear" w:color="auto" w:fill="FFFFFF" w:themeFill="background1"/>
              <w:spacing w:before="0" w:beforeAutospacing="0" w:after="240" w:afterAutospacing="0" w:line="300" w:lineRule="atLeast"/>
              <w:rPr>
                <w:rFonts w:ascii="Times New Roman" w:hAnsi="Times New Roman" w:cs="Times New Roman"/>
                <w:szCs w:val="20"/>
                <w:lang w:eastAsia="en-AU"/>
              </w:rPr>
            </w:pPr>
            <w:hyperlink r:id="rId10" w:history="1">
              <w:r w:rsidR="0034515D" w:rsidRPr="0034515D">
                <w:rPr>
                  <w:rFonts w:ascii="Times New Roman" w:hAnsi="Times New Roman" w:cs="Times New Roman"/>
                  <w:szCs w:val="20"/>
                  <w:lang w:eastAsia="en-AU"/>
                </w:rPr>
                <w:t>63743</w:t>
              </w:r>
            </w:hyperlink>
            <w:r w:rsidR="0034515D" w:rsidRPr="0034515D">
              <w:rPr>
                <w:rFonts w:ascii="Times New Roman" w:hAnsi="Times New Roman" w:cs="Times New Roman"/>
                <w:szCs w:val="20"/>
                <w:lang w:eastAsia="en-AU"/>
              </w:rPr>
              <w:t>  MRI—scan for fistulising perianal Crohn’s disease if the service is provided to a patient for:</w:t>
            </w:r>
            <w:r w:rsidR="0034515D" w:rsidRPr="0034515D">
              <w:rPr>
                <w:rFonts w:ascii="Times New Roman" w:hAnsi="Times New Roman" w:cs="Times New Roman"/>
                <w:szCs w:val="20"/>
                <w:lang w:eastAsia="en-AU"/>
              </w:rPr>
              <w:br/>
              <w:t>(a) evaluation of pelvic sepsis and fistulas associated with established or suspected Crohn’s disease; or</w:t>
            </w:r>
            <w:r w:rsidR="0034515D" w:rsidRPr="0034515D">
              <w:rPr>
                <w:rFonts w:ascii="Times New Roman" w:hAnsi="Times New Roman" w:cs="Times New Roman"/>
                <w:szCs w:val="20"/>
                <w:lang w:eastAsia="en-AU"/>
              </w:rPr>
              <w:br/>
              <w:t>(b) assessment of change to therapy of pelvis sepsis and fistulas from Crohn’s disease (R) (Contrast)</w:t>
            </w:r>
          </w:p>
          <w:p w14:paraId="799CF02B" w14:textId="0BFBCF4C" w:rsidR="0034515D" w:rsidRPr="0034515D" w:rsidRDefault="0034515D" w:rsidP="0034515D">
            <w:pPr>
              <w:pStyle w:val="NormalWeb"/>
              <w:shd w:val="clear" w:color="auto" w:fill="FFFFFF" w:themeFill="background1"/>
              <w:spacing w:before="0" w:beforeAutospacing="0" w:after="240" w:afterAutospacing="0" w:line="300" w:lineRule="atLeast"/>
              <w:rPr>
                <w:rFonts w:ascii="Times New Roman" w:hAnsi="Times New Roman" w:cs="Times New Roman"/>
                <w:szCs w:val="20"/>
                <w:lang w:eastAsia="en-AU"/>
              </w:rPr>
            </w:pPr>
            <w:r w:rsidRPr="0034515D">
              <w:rPr>
                <w:rFonts w:ascii="Times New Roman" w:hAnsi="Times New Roman" w:cs="Times New Roman"/>
                <w:szCs w:val="20"/>
                <w:lang w:eastAsia="en-AU"/>
              </w:rPr>
              <w:t>Fee: $403.20 Benefit: 75% = $302.40 85% = $342.75</w:t>
            </w:r>
          </w:p>
        </w:tc>
      </w:tr>
      <w:tr w:rsidR="0034515D" w14:paraId="7FA109F0" w14:textId="77777777" w:rsidTr="0034515D">
        <w:tc>
          <w:tcPr>
            <w:tcW w:w="9016" w:type="dxa"/>
            <w:shd w:val="clear" w:color="auto" w:fill="FFFFFF" w:themeFill="background1"/>
          </w:tcPr>
          <w:p w14:paraId="28E54BFE" w14:textId="76522AED" w:rsidR="0034515D" w:rsidRPr="0034515D" w:rsidRDefault="0034515D" w:rsidP="0034515D">
            <w:pPr>
              <w:pStyle w:val="NormalWeb"/>
              <w:shd w:val="clear" w:color="auto" w:fill="FFFFFF" w:themeFill="background1"/>
              <w:spacing w:before="0" w:beforeAutospacing="0" w:after="240" w:afterAutospacing="0" w:line="300" w:lineRule="atLeast"/>
              <w:rPr>
                <w:rFonts w:ascii="Times New Roman" w:hAnsi="Times New Roman" w:cs="Times New Roman"/>
                <w:szCs w:val="20"/>
                <w:lang w:eastAsia="en-AU"/>
              </w:rPr>
            </w:pPr>
            <w:r w:rsidRPr="0034515D">
              <w:rPr>
                <w:rFonts w:ascii="Times New Roman" w:hAnsi="Times New Roman" w:cs="Times New Roman"/>
                <w:szCs w:val="20"/>
                <w:lang w:eastAsia="en-AU"/>
              </w:rPr>
              <w:t>63744 (no longer listed)</w:t>
            </w:r>
          </w:p>
        </w:tc>
      </w:tr>
      <w:tr w:rsidR="0034515D" w14:paraId="653CF9E9" w14:textId="77777777" w:rsidTr="0034515D">
        <w:tc>
          <w:tcPr>
            <w:tcW w:w="9016" w:type="dxa"/>
            <w:shd w:val="clear" w:color="auto" w:fill="FFFFFF" w:themeFill="background1"/>
          </w:tcPr>
          <w:p w14:paraId="6F9293CC" w14:textId="5DF584E7" w:rsidR="0034515D" w:rsidRPr="0034515D" w:rsidRDefault="0034515D" w:rsidP="0034515D">
            <w:pPr>
              <w:pStyle w:val="NormalWeb"/>
              <w:shd w:val="clear" w:color="auto" w:fill="FFFFFF" w:themeFill="background1"/>
              <w:spacing w:before="0" w:beforeAutospacing="0" w:after="240" w:afterAutospacing="0" w:line="300" w:lineRule="atLeast"/>
              <w:rPr>
                <w:rFonts w:ascii="Times New Roman" w:hAnsi="Times New Roman" w:cs="Times New Roman"/>
                <w:szCs w:val="20"/>
                <w:lang w:eastAsia="en-AU"/>
              </w:rPr>
            </w:pPr>
            <w:r w:rsidRPr="0034515D">
              <w:rPr>
                <w:rFonts w:ascii="Times New Roman" w:hAnsi="Times New Roman" w:cs="Times New Roman"/>
                <w:szCs w:val="20"/>
                <w:lang w:eastAsia="en-AU"/>
              </w:rPr>
              <w:t>63746 (no longer listed)</w:t>
            </w:r>
          </w:p>
        </w:tc>
      </w:tr>
      <w:tr w:rsidR="0034515D" w14:paraId="3217C261" w14:textId="77777777" w:rsidTr="0034515D">
        <w:tc>
          <w:tcPr>
            <w:tcW w:w="9016" w:type="dxa"/>
            <w:shd w:val="clear" w:color="auto" w:fill="FFFFFF" w:themeFill="background1"/>
          </w:tcPr>
          <w:p w14:paraId="2DFBDB45" w14:textId="5C6D5945" w:rsidR="0034515D" w:rsidRPr="0034515D" w:rsidRDefault="0034515D" w:rsidP="0034515D">
            <w:pPr>
              <w:pStyle w:val="NormalWeb"/>
              <w:shd w:val="clear" w:color="auto" w:fill="FFFFFF" w:themeFill="background1"/>
              <w:spacing w:before="0" w:beforeAutospacing="0" w:after="240" w:afterAutospacing="0" w:line="300" w:lineRule="atLeast"/>
              <w:rPr>
                <w:rFonts w:ascii="Times New Roman" w:hAnsi="Times New Roman" w:cs="Times New Roman"/>
                <w:szCs w:val="20"/>
                <w:lang w:eastAsia="en-AU"/>
              </w:rPr>
            </w:pPr>
            <w:r w:rsidRPr="0034515D">
              <w:rPr>
                <w:rFonts w:ascii="Times New Roman" w:hAnsi="Times New Roman" w:cs="Times New Roman"/>
                <w:szCs w:val="20"/>
                <w:lang w:eastAsia="en-AU"/>
              </w:rPr>
              <w:t>63747 (no longer listed)</w:t>
            </w:r>
          </w:p>
        </w:tc>
      </w:tr>
    </w:tbl>
    <w:p w14:paraId="73183A68" w14:textId="77777777" w:rsidR="00731BE0" w:rsidRPr="00DD2858" w:rsidRDefault="00731BE0" w:rsidP="00F20E57">
      <w:pPr>
        <w:rPr>
          <w:szCs w:val="24"/>
        </w:rPr>
      </w:pPr>
      <w:bookmarkStart w:id="1" w:name="_GoBack"/>
      <w:bookmarkEnd w:id="1"/>
    </w:p>
    <w:sectPr w:rsidR="00731BE0" w:rsidRPr="00DD2858" w:rsidSect="00271F18">
      <w:footerReference w:type="default" r:id="rId11"/>
      <w:pgSz w:w="11906" w:h="16838"/>
      <w:pgMar w:top="1134"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0A8E81" w14:textId="77777777" w:rsidR="004C0C70" w:rsidRDefault="004C0C70" w:rsidP="00065623">
      <w:r>
        <w:separator/>
      </w:r>
    </w:p>
  </w:endnote>
  <w:endnote w:type="continuationSeparator" w:id="0">
    <w:p w14:paraId="42BC1BEB" w14:textId="77777777" w:rsidR="004C0C70" w:rsidRDefault="004C0C70"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3507969"/>
      <w:docPartObj>
        <w:docPartGallery w:val="Page Numbers (Bottom of Page)"/>
        <w:docPartUnique/>
      </w:docPartObj>
    </w:sdtPr>
    <w:sdtEndPr>
      <w:rPr>
        <w:noProof/>
      </w:rPr>
    </w:sdtEndPr>
    <w:sdtContent>
      <w:p w14:paraId="60358A90" w14:textId="429DE814" w:rsidR="003F32B7" w:rsidRDefault="003F32B7">
        <w:pPr>
          <w:pStyle w:val="Footer"/>
          <w:jc w:val="right"/>
        </w:pPr>
        <w:r>
          <w:fldChar w:fldCharType="begin"/>
        </w:r>
        <w:r>
          <w:instrText xml:space="preserve"> PAGE   \* MERGEFORMAT </w:instrText>
        </w:r>
        <w:r>
          <w:fldChar w:fldCharType="separate"/>
        </w:r>
        <w:r w:rsidR="00F20E57">
          <w:rPr>
            <w:noProof/>
          </w:rPr>
          <w:t>3</w:t>
        </w:r>
        <w:r>
          <w:rPr>
            <w:noProof/>
          </w:rPr>
          <w:fldChar w:fldCharType="end"/>
        </w:r>
      </w:p>
    </w:sdtContent>
  </w:sdt>
  <w:p w14:paraId="0111A523" w14:textId="77777777" w:rsidR="003F32B7" w:rsidRDefault="003F32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EE7068" w14:textId="77777777" w:rsidR="004C0C70" w:rsidRDefault="004C0C70" w:rsidP="00065623">
      <w:r>
        <w:separator/>
      </w:r>
    </w:p>
  </w:footnote>
  <w:footnote w:type="continuationSeparator" w:id="0">
    <w:p w14:paraId="64711611" w14:textId="77777777" w:rsidR="004C0C70" w:rsidRDefault="004C0C70" w:rsidP="000656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FC65D09"/>
    <w:multiLevelType w:val="hybridMultilevel"/>
    <w:tmpl w:val="BA7EFD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15:restartNumberingAfterBreak="0">
    <w:nsid w:val="16585B37"/>
    <w:multiLevelType w:val="hybridMultilevel"/>
    <w:tmpl w:val="1CB6C472"/>
    <w:lvl w:ilvl="0" w:tplc="13783C42">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8170A7"/>
    <w:multiLevelType w:val="hybridMultilevel"/>
    <w:tmpl w:val="30F22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2C7478"/>
    <w:multiLevelType w:val="hybridMultilevel"/>
    <w:tmpl w:val="E10C2302"/>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0" w15:restartNumberingAfterBreak="0">
    <w:nsid w:val="2B650263"/>
    <w:multiLevelType w:val="hybridMultilevel"/>
    <w:tmpl w:val="14520ED4"/>
    <w:lvl w:ilvl="0" w:tplc="C638E278">
      <w:numFmt w:val="bullet"/>
      <w:pStyle w:val="Guidelines"/>
      <w:lvlText w:val="-"/>
      <w:lvlJc w:val="left"/>
      <w:pPr>
        <w:tabs>
          <w:tab w:val="num" w:pos="720"/>
        </w:tabs>
        <w:ind w:left="720" w:hanging="360"/>
      </w:pPr>
      <w:rPr>
        <w:rFonts w:ascii="Times New Roman" w:eastAsia="Times New Roman" w:hAnsi="Times New Roman" w:cs="Times New Roman" w:hint="default"/>
      </w:rPr>
    </w:lvl>
    <w:lvl w:ilvl="1" w:tplc="0B005D56">
      <w:start w:val="1"/>
      <w:numFmt w:val="bullet"/>
      <w:lvlText w:val="o"/>
      <w:lvlJc w:val="left"/>
      <w:pPr>
        <w:tabs>
          <w:tab w:val="num" w:pos="1440"/>
        </w:tabs>
        <w:ind w:left="1440" w:hanging="360"/>
      </w:pPr>
      <w:rPr>
        <w:rFonts w:ascii="Courier New" w:hAnsi="Courier New" w:cs="Courier New" w:hint="default"/>
        <w:color w:val="auto"/>
      </w:rPr>
    </w:lvl>
    <w:lvl w:ilvl="2" w:tplc="A50895EA">
      <w:numFmt w:val="bullet"/>
      <w:lvlText w:val="•"/>
      <w:lvlJc w:val="left"/>
      <w:pPr>
        <w:ind w:left="2160" w:hanging="360"/>
      </w:pPr>
      <w:rPr>
        <w:rFonts w:ascii="Garamond" w:eastAsia="Times New Roman" w:hAnsi="Garamond" w:cs="Times New Roman" w:hint="default"/>
      </w:rPr>
    </w:lvl>
    <w:lvl w:ilvl="3" w:tplc="90BE3F90" w:tentative="1">
      <w:start w:val="1"/>
      <w:numFmt w:val="bullet"/>
      <w:lvlText w:val=""/>
      <w:lvlJc w:val="left"/>
      <w:pPr>
        <w:tabs>
          <w:tab w:val="num" w:pos="2880"/>
        </w:tabs>
        <w:ind w:left="2880" w:hanging="360"/>
      </w:pPr>
      <w:rPr>
        <w:rFonts w:ascii="Symbol" w:hAnsi="Symbol" w:hint="default"/>
      </w:rPr>
    </w:lvl>
    <w:lvl w:ilvl="4" w:tplc="CC8EDEF2" w:tentative="1">
      <w:start w:val="1"/>
      <w:numFmt w:val="bullet"/>
      <w:lvlText w:val="o"/>
      <w:lvlJc w:val="left"/>
      <w:pPr>
        <w:tabs>
          <w:tab w:val="num" w:pos="3600"/>
        </w:tabs>
        <w:ind w:left="3600" w:hanging="360"/>
      </w:pPr>
      <w:rPr>
        <w:rFonts w:ascii="Courier New" w:hAnsi="Courier New" w:cs="Courier New" w:hint="default"/>
      </w:rPr>
    </w:lvl>
    <w:lvl w:ilvl="5" w:tplc="AEE4F300" w:tentative="1">
      <w:start w:val="1"/>
      <w:numFmt w:val="bullet"/>
      <w:lvlText w:val=""/>
      <w:lvlJc w:val="left"/>
      <w:pPr>
        <w:tabs>
          <w:tab w:val="num" w:pos="4320"/>
        </w:tabs>
        <w:ind w:left="4320" w:hanging="360"/>
      </w:pPr>
      <w:rPr>
        <w:rFonts w:ascii="Wingdings" w:hAnsi="Wingdings" w:hint="default"/>
      </w:rPr>
    </w:lvl>
    <w:lvl w:ilvl="6" w:tplc="0FF482F8" w:tentative="1">
      <w:start w:val="1"/>
      <w:numFmt w:val="bullet"/>
      <w:lvlText w:val=""/>
      <w:lvlJc w:val="left"/>
      <w:pPr>
        <w:tabs>
          <w:tab w:val="num" w:pos="5040"/>
        </w:tabs>
        <w:ind w:left="5040" w:hanging="360"/>
      </w:pPr>
      <w:rPr>
        <w:rFonts w:ascii="Symbol" w:hAnsi="Symbol" w:hint="default"/>
      </w:rPr>
    </w:lvl>
    <w:lvl w:ilvl="7" w:tplc="C4F0A61E" w:tentative="1">
      <w:start w:val="1"/>
      <w:numFmt w:val="bullet"/>
      <w:lvlText w:val="o"/>
      <w:lvlJc w:val="left"/>
      <w:pPr>
        <w:tabs>
          <w:tab w:val="num" w:pos="5760"/>
        </w:tabs>
        <w:ind w:left="5760" w:hanging="360"/>
      </w:pPr>
      <w:rPr>
        <w:rFonts w:ascii="Courier New" w:hAnsi="Courier New" w:cs="Courier New" w:hint="default"/>
      </w:rPr>
    </w:lvl>
    <w:lvl w:ilvl="8" w:tplc="3E000A1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8084099"/>
    <w:multiLevelType w:val="hybridMultilevel"/>
    <w:tmpl w:val="B964DE1C"/>
    <w:lvl w:ilvl="0" w:tplc="0C090001">
      <w:start w:val="1"/>
      <w:numFmt w:val="bullet"/>
      <w:lvlText w:val=""/>
      <w:lvlJc w:val="left"/>
      <w:pPr>
        <w:tabs>
          <w:tab w:val="num" w:pos="1080"/>
        </w:tabs>
        <w:ind w:left="108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CB64422"/>
    <w:multiLevelType w:val="hybridMultilevel"/>
    <w:tmpl w:val="A5E0315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4F1FF4"/>
    <w:multiLevelType w:val="hybridMultilevel"/>
    <w:tmpl w:val="3CDC0E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426B3CAF"/>
    <w:multiLevelType w:val="hybridMultilevel"/>
    <w:tmpl w:val="851ADF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7BF3610"/>
    <w:multiLevelType w:val="hybridMultilevel"/>
    <w:tmpl w:val="745EC9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58184A"/>
    <w:multiLevelType w:val="hybridMultilevel"/>
    <w:tmpl w:val="E6642A1C"/>
    <w:lvl w:ilvl="0" w:tplc="9ABCBCB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1B6BA7"/>
    <w:multiLevelType w:val="hybridMultilevel"/>
    <w:tmpl w:val="42844BDA"/>
    <w:lvl w:ilvl="0" w:tplc="9ABCBCB2">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CEA360F"/>
    <w:multiLevelType w:val="hybridMultilevel"/>
    <w:tmpl w:val="406619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62B91A34"/>
    <w:multiLevelType w:val="hybridMultilevel"/>
    <w:tmpl w:val="D7486A3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4" w15:restartNumberingAfterBreak="0">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5" w15:restartNumberingAfterBreak="0">
    <w:nsid w:val="68CF172C"/>
    <w:multiLevelType w:val="hybridMultilevel"/>
    <w:tmpl w:val="4E546B9C"/>
    <w:lvl w:ilvl="0" w:tplc="9ABCBCB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8" w15:restartNumberingAfterBreak="0">
    <w:nsid w:val="7B4F5AE6"/>
    <w:multiLevelType w:val="hybridMultilevel"/>
    <w:tmpl w:val="F05CA0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3"/>
  </w:num>
  <w:num w:numId="3">
    <w:abstractNumId w:val="1"/>
  </w:num>
  <w:num w:numId="4">
    <w:abstractNumId w:val="25"/>
  </w:num>
  <w:num w:numId="5">
    <w:abstractNumId w:val="15"/>
  </w:num>
  <w:num w:numId="6">
    <w:abstractNumId w:val="24"/>
  </w:num>
  <w:num w:numId="7">
    <w:abstractNumId w:val="31"/>
  </w:num>
  <w:num w:numId="8">
    <w:abstractNumId w:val="18"/>
  </w:num>
  <w:num w:numId="9">
    <w:abstractNumId w:val="39"/>
  </w:num>
  <w:num w:numId="10">
    <w:abstractNumId w:val="0"/>
  </w:num>
  <w:num w:numId="11">
    <w:abstractNumId w:val="29"/>
  </w:num>
  <w:num w:numId="12">
    <w:abstractNumId w:val="32"/>
  </w:num>
  <w:num w:numId="13">
    <w:abstractNumId w:val="6"/>
  </w:num>
  <w:num w:numId="14">
    <w:abstractNumId w:val="37"/>
  </w:num>
  <w:num w:numId="15">
    <w:abstractNumId w:val="28"/>
  </w:num>
  <w:num w:numId="16">
    <w:abstractNumId w:val="33"/>
  </w:num>
  <w:num w:numId="17">
    <w:abstractNumId w:val="20"/>
  </w:num>
  <w:num w:numId="18">
    <w:abstractNumId w:val="22"/>
  </w:num>
  <w:num w:numId="19">
    <w:abstractNumId w:val="36"/>
  </w:num>
  <w:num w:numId="20">
    <w:abstractNumId w:val="34"/>
  </w:num>
  <w:num w:numId="21">
    <w:abstractNumId w:val="3"/>
  </w:num>
  <w:num w:numId="22">
    <w:abstractNumId w:val="12"/>
  </w:num>
  <w:num w:numId="23">
    <w:abstractNumId w:val="2"/>
  </w:num>
  <w:num w:numId="24">
    <w:abstractNumId w:val="11"/>
  </w:num>
  <w:num w:numId="25">
    <w:abstractNumId w:val="7"/>
  </w:num>
  <w:num w:numId="26">
    <w:abstractNumId w:val="13"/>
  </w:num>
  <w:num w:numId="27">
    <w:abstractNumId w:val="9"/>
  </w:num>
  <w:num w:numId="28">
    <w:abstractNumId w:val="38"/>
  </w:num>
  <w:num w:numId="29">
    <w:abstractNumId w:val="14"/>
  </w:num>
  <w:num w:numId="30">
    <w:abstractNumId w:val="10"/>
  </w:num>
  <w:num w:numId="31">
    <w:abstractNumId w:val="27"/>
  </w:num>
  <w:num w:numId="32">
    <w:abstractNumId w:val="30"/>
  </w:num>
  <w:num w:numId="33">
    <w:abstractNumId w:val="35"/>
  </w:num>
  <w:num w:numId="34">
    <w:abstractNumId w:val="26"/>
  </w:num>
  <w:num w:numId="35">
    <w:abstractNumId w:val="21"/>
  </w:num>
  <w:num w:numId="36">
    <w:abstractNumId w:val="19"/>
  </w:num>
  <w:num w:numId="37">
    <w:abstractNumId w:val="16"/>
  </w:num>
  <w:num w:numId="38">
    <w:abstractNumId w:val="4"/>
  </w:num>
  <w:num w:numId="39">
    <w:abstractNumId w:val="17"/>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623"/>
    <w:rsid w:val="00003020"/>
    <w:rsid w:val="000052B4"/>
    <w:rsid w:val="000061C4"/>
    <w:rsid w:val="00007FA6"/>
    <w:rsid w:val="00011A36"/>
    <w:rsid w:val="00013785"/>
    <w:rsid w:val="00016637"/>
    <w:rsid w:val="00017A85"/>
    <w:rsid w:val="0004553C"/>
    <w:rsid w:val="00047606"/>
    <w:rsid w:val="000555D4"/>
    <w:rsid w:val="00056DBD"/>
    <w:rsid w:val="00065623"/>
    <w:rsid w:val="00074132"/>
    <w:rsid w:val="00074392"/>
    <w:rsid w:val="000756B9"/>
    <w:rsid w:val="00096B67"/>
    <w:rsid w:val="00096DAF"/>
    <w:rsid w:val="000A1094"/>
    <w:rsid w:val="000B11FB"/>
    <w:rsid w:val="000C2F47"/>
    <w:rsid w:val="000C6BC3"/>
    <w:rsid w:val="000D26F1"/>
    <w:rsid w:val="000D6899"/>
    <w:rsid w:val="000D6C00"/>
    <w:rsid w:val="000E4E04"/>
    <w:rsid w:val="000E76C4"/>
    <w:rsid w:val="000F14B4"/>
    <w:rsid w:val="000F29B5"/>
    <w:rsid w:val="000F75DF"/>
    <w:rsid w:val="00100D40"/>
    <w:rsid w:val="00107B69"/>
    <w:rsid w:val="00111F0B"/>
    <w:rsid w:val="001160A7"/>
    <w:rsid w:val="001251A2"/>
    <w:rsid w:val="001328FA"/>
    <w:rsid w:val="0014195D"/>
    <w:rsid w:val="001472CD"/>
    <w:rsid w:val="00147AAF"/>
    <w:rsid w:val="001512DB"/>
    <w:rsid w:val="00152288"/>
    <w:rsid w:val="001523B6"/>
    <w:rsid w:val="001552C0"/>
    <w:rsid w:val="0015667E"/>
    <w:rsid w:val="0015704A"/>
    <w:rsid w:val="00157FBE"/>
    <w:rsid w:val="001640B1"/>
    <w:rsid w:val="00167F60"/>
    <w:rsid w:val="0018435E"/>
    <w:rsid w:val="00193029"/>
    <w:rsid w:val="00195715"/>
    <w:rsid w:val="001A4A79"/>
    <w:rsid w:val="001B05DD"/>
    <w:rsid w:val="001C2419"/>
    <w:rsid w:val="001D1222"/>
    <w:rsid w:val="001E27AD"/>
    <w:rsid w:val="001E747A"/>
    <w:rsid w:val="001F10C3"/>
    <w:rsid w:val="001F14D9"/>
    <w:rsid w:val="001F516C"/>
    <w:rsid w:val="001F650D"/>
    <w:rsid w:val="002041A1"/>
    <w:rsid w:val="002054F0"/>
    <w:rsid w:val="00230D6B"/>
    <w:rsid w:val="00232068"/>
    <w:rsid w:val="002330F2"/>
    <w:rsid w:val="002371F6"/>
    <w:rsid w:val="00243D9E"/>
    <w:rsid w:val="00244301"/>
    <w:rsid w:val="00247146"/>
    <w:rsid w:val="00250F63"/>
    <w:rsid w:val="00251E74"/>
    <w:rsid w:val="00253B66"/>
    <w:rsid w:val="00261DF1"/>
    <w:rsid w:val="00264A15"/>
    <w:rsid w:val="00271F18"/>
    <w:rsid w:val="00274695"/>
    <w:rsid w:val="00282779"/>
    <w:rsid w:val="0028334D"/>
    <w:rsid w:val="002A445B"/>
    <w:rsid w:val="002B3546"/>
    <w:rsid w:val="002B7620"/>
    <w:rsid w:val="002B7FFA"/>
    <w:rsid w:val="002C0D4C"/>
    <w:rsid w:val="002C2BCF"/>
    <w:rsid w:val="002D28BC"/>
    <w:rsid w:val="002D7198"/>
    <w:rsid w:val="002E515A"/>
    <w:rsid w:val="002F279D"/>
    <w:rsid w:val="002F43B8"/>
    <w:rsid w:val="00343924"/>
    <w:rsid w:val="0034515D"/>
    <w:rsid w:val="0034554D"/>
    <w:rsid w:val="00346E85"/>
    <w:rsid w:val="00352224"/>
    <w:rsid w:val="003671E6"/>
    <w:rsid w:val="00380CFB"/>
    <w:rsid w:val="00384272"/>
    <w:rsid w:val="00386D67"/>
    <w:rsid w:val="0039005F"/>
    <w:rsid w:val="003945B8"/>
    <w:rsid w:val="00396A8E"/>
    <w:rsid w:val="003B337F"/>
    <w:rsid w:val="003B6C13"/>
    <w:rsid w:val="003D7F29"/>
    <w:rsid w:val="003E19F8"/>
    <w:rsid w:val="003F32B7"/>
    <w:rsid w:val="00405A6B"/>
    <w:rsid w:val="00407B1F"/>
    <w:rsid w:val="00414C57"/>
    <w:rsid w:val="00416E4B"/>
    <w:rsid w:val="0041758C"/>
    <w:rsid w:val="0042014B"/>
    <w:rsid w:val="00435F60"/>
    <w:rsid w:val="004539DE"/>
    <w:rsid w:val="00454656"/>
    <w:rsid w:val="00455C03"/>
    <w:rsid w:val="004746B0"/>
    <w:rsid w:val="004746F4"/>
    <w:rsid w:val="00476AE9"/>
    <w:rsid w:val="004822E7"/>
    <w:rsid w:val="004A2CF1"/>
    <w:rsid w:val="004B613E"/>
    <w:rsid w:val="004C0C70"/>
    <w:rsid w:val="004C3035"/>
    <w:rsid w:val="004C307F"/>
    <w:rsid w:val="004E1046"/>
    <w:rsid w:val="004E4BA8"/>
    <w:rsid w:val="004F340F"/>
    <w:rsid w:val="004F3790"/>
    <w:rsid w:val="004F7B7C"/>
    <w:rsid w:val="0051452B"/>
    <w:rsid w:val="0052243D"/>
    <w:rsid w:val="00532435"/>
    <w:rsid w:val="00550354"/>
    <w:rsid w:val="00562660"/>
    <w:rsid w:val="00571236"/>
    <w:rsid w:val="005953A1"/>
    <w:rsid w:val="005A4357"/>
    <w:rsid w:val="005B6A25"/>
    <w:rsid w:val="005C6127"/>
    <w:rsid w:val="005C736D"/>
    <w:rsid w:val="005C7E42"/>
    <w:rsid w:val="005D0332"/>
    <w:rsid w:val="005D0D8C"/>
    <w:rsid w:val="005D5137"/>
    <w:rsid w:val="005F7855"/>
    <w:rsid w:val="00601D58"/>
    <w:rsid w:val="00614012"/>
    <w:rsid w:val="0065491D"/>
    <w:rsid w:val="00670E10"/>
    <w:rsid w:val="00686800"/>
    <w:rsid w:val="006956EC"/>
    <w:rsid w:val="006A0D97"/>
    <w:rsid w:val="006A7F8A"/>
    <w:rsid w:val="006B1F86"/>
    <w:rsid w:val="006B46BF"/>
    <w:rsid w:val="006C0A91"/>
    <w:rsid w:val="006E5C6B"/>
    <w:rsid w:val="007054BB"/>
    <w:rsid w:val="00705E67"/>
    <w:rsid w:val="00707064"/>
    <w:rsid w:val="00730683"/>
    <w:rsid w:val="00731BE0"/>
    <w:rsid w:val="00744117"/>
    <w:rsid w:val="00744308"/>
    <w:rsid w:val="0075261F"/>
    <w:rsid w:val="0075468E"/>
    <w:rsid w:val="007665D8"/>
    <w:rsid w:val="00766E36"/>
    <w:rsid w:val="00770121"/>
    <w:rsid w:val="007765F4"/>
    <w:rsid w:val="00776633"/>
    <w:rsid w:val="00784D53"/>
    <w:rsid w:val="00787199"/>
    <w:rsid w:val="00792D3F"/>
    <w:rsid w:val="00797797"/>
    <w:rsid w:val="007A3C2F"/>
    <w:rsid w:val="007A63C9"/>
    <w:rsid w:val="007B32D1"/>
    <w:rsid w:val="007B7095"/>
    <w:rsid w:val="007C32E5"/>
    <w:rsid w:val="007C376F"/>
    <w:rsid w:val="007C7026"/>
    <w:rsid w:val="007C7CE6"/>
    <w:rsid w:val="007D24E1"/>
    <w:rsid w:val="007E2B92"/>
    <w:rsid w:val="007E54B3"/>
    <w:rsid w:val="007F4CE9"/>
    <w:rsid w:val="007F4E20"/>
    <w:rsid w:val="007F7239"/>
    <w:rsid w:val="00812065"/>
    <w:rsid w:val="00813800"/>
    <w:rsid w:val="00822C7E"/>
    <w:rsid w:val="0082448C"/>
    <w:rsid w:val="00847060"/>
    <w:rsid w:val="00855EAF"/>
    <w:rsid w:val="00856A33"/>
    <w:rsid w:val="008627BB"/>
    <w:rsid w:val="00863FE1"/>
    <w:rsid w:val="0088003B"/>
    <w:rsid w:val="00882BC7"/>
    <w:rsid w:val="00892620"/>
    <w:rsid w:val="00894307"/>
    <w:rsid w:val="008A12C8"/>
    <w:rsid w:val="008C3702"/>
    <w:rsid w:val="008C4EFA"/>
    <w:rsid w:val="008C7D37"/>
    <w:rsid w:val="008D5885"/>
    <w:rsid w:val="00903186"/>
    <w:rsid w:val="00903C2A"/>
    <w:rsid w:val="0091049A"/>
    <w:rsid w:val="00914FDD"/>
    <w:rsid w:val="00917EAD"/>
    <w:rsid w:val="00922B3F"/>
    <w:rsid w:val="00923FA2"/>
    <w:rsid w:val="00944D51"/>
    <w:rsid w:val="00954798"/>
    <w:rsid w:val="0096060D"/>
    <w:rsid w:val="009670FC"/>
    <w:rsid w:val="00974A50"/>
    <w:rsid w:val="0097585A"/>
    <w:rsid w:val="009764EC"/>
    <w:rsid w:val="00981706"/>
    <w:rsid w:val="009924B0"/>
    <w:rsid w:val="009942C9"/>
    <w:rsid w:val="009B35C4"/>
    <w:rsid w:val="009C0886"/>
    <w:rsid w:val="009C19BF"/>
    <w:rsid w:val="009C630A"/>
    <w:rsid w:val="009D2BF0"/>
    <w:rsid w:val="009D6442"/>
    <w:rsid w:val="009E0D98"/>
    <w:rsid w:val="009E625C"/>
    <w:rsid w:val="009F08CB"/>
    <w:rsid w:val="00A068A1"/>
    <w:rsid w:val="00A1207D"/>
    <w:rsid w:val="00A12FD8"/>
    <w:rsid w:val="00A15DED"/>
    <w:rsid w:val="00A16AFE"/>
    <w:rsid w:val="00A21D9D"/>
    <w:rsid w:val="00A3079B"/>
    <w:rsid w:val="00A346FC"/>
    <w:rsid w:val="00A43007"/>
    <w:rsid w:val="00A46563"/>
    <w:rsid w:val="00A70129"/>
    <w:rsid w:val="00A84F93"/>
    <w:rsid w:val="00AB1AC5"/>
    <w:rsid w:val="00AB3BFC"/>
    <w:rsid w:val="00AC4F2E"/>
    <w:rsid w:val="00AD0C37"/>
    <w:rsid w:val="00AD385F"/>
    <w:rsid w:val="00AE6E2A"/>
    <w:rsid w:val="00AF535C"/>
    <w:rsid w:val="00B271DD"/>
    <w:rsid w:val="00B31E9C"/>
    <w:rsid w:val="00B35595"/>
    <w:rsid w:val="00B43F62"/>
    <w:rsid w:val="00B51C6D"/>
    <w:rsid w:val="00B803ED"/>
    <w:rsid w:val="00B86D64"/>
    <w:rsid w:val="00BA4AC5"/>
    <w:rsid w:val="00BB1C2E"/>
    <w:rsid w:val="00BC1364"/>
    <w:rsid w:val="00BC7DE9"/>
    <w:rsid w:val="00BE431B"/>
    <w:rsid w:val="00BF479B"/>
    <w:rsid w:val="00C02577"/>
    <w:rsid w:val="00C16314"/>
    <w:rsid w:val="00C204FB"/>
    <w:rsid w:val="00C20BEE"/>
    <w:rsid w:val="00C2158D"/>
    <w:rsid w:val="00C21A01"/>
    <w:rsid w:val="00C42B05"/>
    <w:rsid w:val="00C464F0"/>
    <w:rsid w:val="00C67DD2"/>
    <w:rsid w:val="00C725CB"/>
    <w:rsid w:val="00C76F5C"/>
    <w:rsid w:val="00C83CBF"/>
    <w:rsid w:val="00C90891"/>
    <w:rsid w:val="00C91897"/>
    <w:rsid w:val="00C96BAD"/>
    <w:rsid w:val="00CA1E55"/>
    <w:rsid w:val="00CA6944"/>
    <w:rsid w:val="00CB0F8E"/>
    <w:rsid w:val="00CB317C"/>
    <w:rsid w:val="00CB3379"/>
    <w:rsid w:val="00CB7E7D"/>
    <w:rsid w:val="00CC2911"/>
    <w:rsid w:val="00CC7372"/>
    <w:rsid w:val="00CC765B"/>
    <w:rsid w:val="00CD5A9C"/>
    <w:rsid w:val="00CD65CD"/>
    <w:rsid w:val="00CE2BC5"/>
    <w:rsid w:val="00CF0C6D"/>
    <w:rsid w:val="00CF7307"/>
    <w:rsid w:val="00CF7C68"/>
    <w:rsid w:val="00D1210E"/>
    <w:rsid w:val="00D124FA"/>
    <w:rsid w:val="00D24542"/>
    <w:rsid w:val="00D27B61"/>
    <w:rsid w:val="00D305C7"/>
    <w:rsid w:val="00D340DE"/>
    <w:rsid w:val="00D36F93"/>
    <w:rsid w:val="00D43CF7"/>
    <w:rsid w:val="00D55723"/>
    <w:rsid w:val="00D61AF0"/>
    <w:rsid w:val="00D62FAD"/>
    <w:rsid w:val="00D70450"/>
    <w:rsid w:val="00D71A8F"/>
    <w:rsid w:val="00D76790"/>
    <w:rsid w:val="00D83BFD"/>
    <w:rsid w:val="00D90A38"/>
    <w:rsid w:val="00D977EC"/>
    <w:rsid w:val="00DA0515"/>
    <w:rsid w:val="00DA171E"/>
    <w:rsid w:val="00DA56AA"/>
    <w:rsid w:val="00DB146F"/>
    <w:rsid w:val="00DB5833"/>
    <w:rsid w:val="00DD2858"/>
    <w:rsid w:val="00DE1CBB"/>
    <w:rsid w:val="00DE48A5"/>
    <w:rsid w:val="00DE4B0F"/>
    <w:rsid w:val="00DF3104"/>
    <w:rsid w:val="00E03E33"/>
    <w:rsid w:val="00E06619"/>
    <w:rsid w:val="00E3642A"/>
    <w:rsid w:val="00E415C4"/>
    <w:rsid w:val="00E41B42"/>
    <w:rsid w:val="00E50016"/>
    <w:rsid w:val="00E50EAA"/>
    <w:rsid w:val="00E53514"/>
    <w:rsid w:val="00E57F38"/>
    <w:rsid w:val="00E656D6"/>
    <w:rsid w:val="00E80E7F"/>
    <w:rsid w:val="00E92F19"/>
    <w:rsid w:val="00E977EE"/>
    <w:rsid w:val="00EA077D"/>
    <w:rsid w:val="00EA103A"/>
    <w:rsid w:val="00EA67A2"/>
    <w:rsid w:val="00EC0791"/>
    <w:rsid w:val="00EC4F98"/>
    <w:rsid w:val="00ED2032"/>
    <w:rsid w:val="00EE3BFE"/>
    <w:rsid w:val="00F04870"/>
    <w:rsid w:val="00F12F02"/>
    <w:rsid w:val="00F20E57"/>
    <w:rsid w:val="00F265CB"/>
    <w:rsid w:val="00F26C06"/>
    <w:rsid w:val="00F35134"/>
    <w:rsid w:val="00F41812"/>
    <w:rsid w:val="00F56F93"/>
    <w:rsid w:val="00F73333"/>
    <w:rsid w:val="00F740F5"/>
    <w:rsid w:val="00F8253F"/>
    <w:rsid w:val="00F95D8F"/>
    <w:rsid w:val="00F9695B"/>
    <w:rsid w:val="00FA7E22"/>
    <w:rsid w:val="00FB350A"/>
    <w:rsid w:val="00FE731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12AF7B02"/>
  <w15:docId w15:val="{4BE5D43A-2FD0-4FE7-B4C2-74F412ADB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8D5885"/>
    <w:pPr>
      <w:keepNext/>
      <w:keepLines/>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locked/>
    <w:rsid w:val="00F9695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5885"/>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paragraph" w:customStyle="1" w:styleId="Style1">
    <w:name w:val="Style1"/>
    <w:basedOn w:val="Normal"/>
    <w:link w:val="Style1Char"/>
    <w:qFormat/>
    <w:rsid w:val="00F9695B"/>
    <w:pPr>
      <w:tabs>
        <w:tab w:val="left" w:pos="4320"/>
      </w:tabs>
      <w:spacing w:before="120" w:after="240" w:line="360" w:lineRule="auto"/>
      <w:jc w:val="center"/>
    </w:pPr>
    <w:rPr>
      <w:rFonts w:ascii="Arial" w:hAnsi="Arial" w:cs="Arial"/>
      <w:b/>
      <w:i/>
      <w:color w:val="000080"/>
      <w:sz w:val="28"/>
      <w:szCs w:val="28"/>
    </w:rPr>
  </w:style>
  <w:style w:type="character" w:customStyle="1" w:styleId="Style1Char">
    <w:name w:val="Style1 Char"/>
    <w:basedOn w:val="DefaultParagraphFont"/>
    <w:link w:val="Style1"/>
    <w:rsid w:val="00F9695B"/>
    <w:rPr>
      <w:rFonts w:ascii="Arial" w:eastAsia="Times New Roman" w:hAnsi="Arial" w:cs="Arial"/>
      <w:b/>
      <w:i/>
      <w:color w:val="000080"/>
      <w:sz w:val="28"/>
      <w:szCs w:val="28"/>
    </w:rPr>
  </w:style>
  <w:style w:type="table" w:styleId="TableGrid">
    <w:name w:val="Table Grid"/>
    <w:aliases w:val="Summary box"/>
    <w:basedOn w:val="TableNormal"/>
    <w:uiPriority w:val="59"/>
    <w:locked/>
    <w:rsid w:val="00F9695B"/>
    <w:pPr>
      <w:spacing w:before="240"/>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qFormat/>
    <w:rsid w:val="00F9695B"/>
    <w:pPr>
      <w:spacing w:before="240" w:after="240"/>
    </w:pPr>
    <w:rPr>
      <w:rFonts w:ascii="Arial Narrow" w:hAnsi="Arial Narrow"/>
      <w:sz w:val="20"/>
      <w:szCs w:val="24"/>
      <w:lang w:eastAsia="en-US"/>
    </w:rPr>
  </w:style>
  <w:style w:type="character" w:customStyle="1" w:styleId="TabletextChar">
    <w:name w:val="Table text Char"/>
    <w:basedOn w:val="DefaultParagraphFont"/>
    <w:link w:val="Tabletext"/>
    <w:rsid w:val="00F9695B"/>
    <w:rPr>
      <w:rFonts w:ascii="Arial Narrow" w:eastAsia="Times New Roman" w:hAnsi="Arial Narrow"/>
      <w:sz w:val="20"/>
      <w:szCs w:val="24"/>
      <w:lang w:eastAsia="en-US"/>
    </w:r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Normal"/>
    <w:next w:val="Normal"/>
    <w:link w:val="CaptionChar"/>
    <w:uiPriority w:val="35"/>
    <w:unhideWhenUsed/>
    <w:qFormat/>
    <w:locked/>
    <w:rsid w:val="00F9695B"/>
    <w:pPr>
      <w:keepNext/>
      <w:spacing w:before="240" w:after="240"/>
      <w:jc w:val="both"/>
      <w:outlineLvl w:val="4"/>
    </w:pPr>
    <w:rPr>
      <w:rFonts w:ascii="Arial Narrow" w:hAnsi="Arial Narrow" w:cs="Arial"/>
      <w:b/>
      <w:bCs/>
      <w:iCs/>
      <w:sz w:val="20"/>
      <w:lang w:eastAsia="en-US"/>
    </w:rPr>
  </w:style>
  <w:style w:type="character" w:customStyle="1" w:styleId="ListParagraphChar">
    <w:name w:val="List Paragraph Char"/>
    <w:basedOn w:val="DefaultParagraphFont"/>
    <w:link w:val="ListParagraph"/>
    <w:uiPriority w:val="34"/>
    <w:rsid w:val="00F9695B"/>
    <w:rPr>
      <w:rFonts w:eastAsia="Times New Roman"/>
      <w:sz w:val="24"/>
      <w:szCs w:val="20"/>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link w:val="Caption"/>
    <w:uiPriority w:val="99"/>
    <w:rsid w:val="00F9695B"/>
    <w:rPr>
      <w:rFonts w:ascii="Arial Narrow" w:eastAsia="Times New Roman" w:hAnsi="Arial Narrow" w:cs="Arial"/>
      <w:b/>
      <w:bCs/>
      <w:iCs/>
      <w:sz w:val="20"/>
      <w:szCs w:val="20"/>
      <w:lang w:eastAsia="en-US"/>
    </w:rPr>
  </w:style>
  <w:style w:type="character" w:customStyle="1" w:styleId="Heading3Char">
    <w:name w:val="Heading 3 Char"/>
    <w:basedOn w:val="DefaultParagraphFont"/>
    <w:link w:val="Heading3"/>
    <w:semiHidden/>
    <w:rsid w:val="00F9695B"/>
    <w:rPr>
      <w:rFonts w:asciiTheme="majorHAnsi" w:eastAsiaTheme="majorEastAsia" w:hAnsiTheme="majorHAnsi" w:cstheme="majorBidi"/>
      <w:b/>
      <w:bCs/>
      <w:color w:val="4F81BD" w:themeColor="accent1"/>
      <w:sz w:val="24"/>
      <w:szCs w:val="20"/>
    </w:rPr>
  </w:style>
  <w:style w:type="table" w:customStyle="1" w:styleId="TableGrid3">
    <w:name w:val="Table Grid3"/>
    <w:basedOn w:val="TableNormal"/>
    <w:next w:val="TableGrid"/>
    <w:uiPriority w:val="59"/>
    <w:rsid w:val="00F9695B"/>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aption">
    <w:name w:val="Table caption"/>
    <w:basedOn w:val="Normal"/>
    <w:link w:val="TablecaptionChar"/>
    <w:qFormat/>
    <w:rsid w:val="00F9695B"/>
    <w:pPr>
      <w:keepNext/>
      <w:keepLines/>
      <w:spacing w:before="240" w:after="240"/>
      <w:jc w:val="both"/>
    </w:pPr>
    <w:rPr>
      <w:rFonts w:ascii="Arial Narrow" w:hAnsi="Arial Narrow" w:cs="Arial"/>
      <w:sz w:val="20"/>
      <w:lang w:eastAsia="en-US"/>
    </w:rPr>
  </w:style>
  <w:style w:type="character" w:customStyle="1" w:styleId="TablecaptionChar">
    <w:name w:val="Table caption Char"/>
    <w:basedOn w:val="DefaultParagraphFont"/>
    <w:link w:val="Tablecaption"/>
    <w:rsid w:val="00F9695B"/>
    <w:rPr>
      <w:rFonts w:ascii="Arial Narrow" w:eastAsia="Times New Roman" w:hAnsi="Arial Narrow" w:cs="Arial"/>
      <w:sz w:val="20"/>
      <w:szCs w:val="20"/>
      <w:lang w:eastAsia="en-US"/>
    </w:rPr>
  </w:style>
  <w:style w:type="paragraph" w:customStyle="1" w:styleId="Guidelines">
    <w:name w:val="Guidelines"/>
    <w:basedOn w:val="Normal"/>
    <w:link w:val="GuidelinesChar"/>
    <w:qFormat/>
    <w:rsid w:val="00F9695B"/>
    <w:pPr>
      <w:numPr>
        <w:numId w:val="30"/>
      </w:numPr>
      <w:jc w:val="both"/>
    </w:pPr>
    <w:rPr>
      <w:rFonts w:ascii="Garamond" w:hAnsi="Garamond"/>
      <w:color w:val="548DD4" w:themeColor="text2" w:themeTint="99"/>
      <w:szCs w:val="24"/>
      <w:lang w:eastAsia="en-US"/>
    </w:rPr>
  </w:style>
  <w:style w:type="character" w:customStyle="1" w:styleId="GuidelinesChar">
    <w:name w:val="Guidelines Char"/>
    <w:basedOn w:val="DefaultParagraphFont"/>
    <w:link w:val="Guidelines"/>
    <w:rsid w:val="00F9695B"/>
    <w:rPr>
      <w:rFonts w:ascii="Garamond" w:eastAsia="Times New Roman" w:hAnsi="Garamond"/>
      <w:color w:val="548DD4" w:themeColor="text2" w:themeTint="99"/>
      <w:sz w:val="24"/>
      <w:szCs w:val="24"/>
      <w:lang w:eastAsia="en-US"/>
    </w:rPr>
  </w:style>
  <w:style w:type="table" w:customStyle="1" w:styleId="Summarybox2">
    <w:name w:val="Summary box2"/>
    <w:basedOn w:val="TableNormal"/>
    <w:next w:val="TableGrid"/>
    <w:uiPriority w:val="59"/>
    <w:rsid w:val="00F9695B"/>
    <w:rPr>
      <w:rFonts w:ascii="Arial Narrow" w:eastAsia="Times New Roman" w:hAnsi="Arial Narrow" w:cs="Arial Narrow"/>
      <w:sz w:val="20"/>
      <w:szCs w:val="20"/>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textbold">
    <w:name w:val="Table text bold"/>
    <w:basedOn w:val="Normal"/>
    <w:link w:val="TabletextboldChar"/>
    <w:qFormat/>
    <w:rsid w:val="00F9695B"/>
    <w:pPr>
      <w:keepNext/>
      <w:spacing w:before="240" w:after="240"/>
      <w:jc w:val="center"/>
    </w:pPr>
    <w:rPr>
      <w:rFonts w:ascii="Arial Narrow" w:hAnsi="Arial Narrow" w:cs="Arial"/>
      <w:b/>
      <w:sz w:val="20"/>
      <w:lang w:eastAsia="en-US"/>
    </w:rPr>
  </w:style>
  <w:style w:type="character" w:customStyle="1" w:styleId="TabletextboldChar">
    <w:name w:val="Table text bold Char"/>
    <w:basedOn w:val="DefaultParagraphFont"/>
    <w:link w:val="Tabletextbold"/>
    <w:rsid w:val="00F9695B"/>
    <w:rPr>
      <w:rFonts w:ascii="Arial Narrow" w:eastAsia="Times New Roman" w:hAnsi="Arial Narrow" w:cs="Arial"/>
      <w:b/>
      <w:sz w:val="20"/>
      <w:szCs w:val="20"/>
      <w:lang w:eastAsia="en-US"/>
    </w:rPr>
  </w:style>
  <w:style w:type="paragraph" w:customStyle="1" w:styleId="Tabletextboldleft">
    <w:name w:val="Table text bold left"/>
    <w:basedOn w:val="Tabletextbold"/>
    <w:link w:val="TabletextboldleftChar"/>
    <w:qFormat/>
    <w:rsid w:val="00F9695B"/>
    <w:pPr>
      <w:jc w:val="left"/>
    </w:pPr>
  </w:style>
  <w:style w:type="character" w:customStyle="1" w:styleId="TabletextboldleftChar">
    <w:name w:val="Table text bold left Char"/>
    <w:basedOn w:val="TabletextboldChar"/>
    <w:link w:val="Tabletextboldleft"/>
    <w:rsid w:val="00F9695B"/>
    <w:rPr>
      <w:rFonts w:ascii="Arial Narrow" w:eastAsia="Times New Roman" w:hAnsi="Arial Narrow" w:cs="Arial"/>
      <w:b/>
      <w:sz w:val="20"/>
      <w:szCs w:val="20"/>
      <w:lang w:eastAsia="en-US"/>
    </w:rPr>
  </w:style>
  <w:style w:type="table" w:customStyle="1" w:styleId="TableGrid1">
    <w:name w:val="Table Grid1"/>
    <w:basedOn w:val="TableNormal"/>
    <w:next w:val="TableGrid"/>
    <w:uiPriority w:val="59"/>
    <w:rsid w:val="00F9695B"/>
    <w:rPr>
      <w:rFonts w:ascii="Calibri" w:eastAsiaTheme="minorHAnsi" w:hAnsi="Calibr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3">
    <w:name w:val="Summary box3"/>
    <w:basedOn w:val="TableNormal"/>
    <w:next w:val="TableGrid"/>
    <w:uiPriority w:val="59"/>
    <w:rsid w:val="00F9695B"/>
    <w:rPr>
      <w:rFonts w:ascii="Arial Narrow" w:eastAsia="Times New Roman" w:hAnsi="Arial Narrow" w:cs="Arial Narrow"/>
      <w:sz w:val="20"/>
      <w:szCs w:val="20"/>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uiPriority w:val="20"/>
    <w:qFormat/>
    <w:locked/>
    <w:rsid w:val="00074132"/>
    <w:rPr>
      <w:rFonts w:ascii="Garamond" w:eastAsia="Times New Roman" w:hAnsi="Garamond" w:cs="Times New Roman"/>
      <w:i/>
      <w:sz w:val="24"/>
      <w:szCs w:val="24"/>
    </w:rPr>
  </w:style>
  <w:style w:type="character" w:styleId="FollowedHyperlink">
    <w:name w:val="FollowedHyperlink"/>
    <w:basedOn w:val="DefaultParagraphFont"/>
    <w:uiPriority w:val="99"/>
    <w:semiHidden/>
    <w:unhideWhenUsed/>
    <w:rsid w:val="00016637"/>
    <w:rPr>
      <w:color w:val="800080" w:themeColor="followedHyperlink"/>
      <w:u w:val="single"/>
    </w:rPr>
  </w:style>
  <w:style w:type="paragraph" w:styleId="NormalWeb">
    <w:name w:val="Normal (Web)"/>
    <w:basedOn w:val="Normal"/>
    <w:uiPriority w:val="99"/>
    <w:semiHidden/>
    <w:unhideWhenUsed/>
    <w:rsid w:val="0034515D"/>
    <w:pPr>
      <w:spacing w:before="100" w:beforeAutospacing="1" w:after="100" w:afterAutospacing="1"/>
    </w:pPr>
    <w:rPr>
      <w:szCs w:val="24"/>
    </w:rPr>
  </w:style>
  <w:style w:type="character" w:customStyle="1" w:styleId="highlight">
    <w:name w:val="highlight"/>
    <w:basedOn w:val="DefaultParagraphFont"/>
    <w:rsid w:val="003451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295391">
      <w:marLeft w:val="0"/>
      <w:marRight w:val="0"/>
      <w:marTop w:val="0"/>
      <w:marBottom w:val="0"/>
      <w:divBdr>
        <w:top w:val="none" w:sz="0" w:space="0" w:color="auto"/>
        <w:left w:val="none" w:sz="0" w:space="0" w:color="auto"/>
        <w:bottom w:val="none" w:sz="0" w:space="0" w:color="auto"/>
        <w:right w:val="none" w:sz="0" w:space="0" w:color="auto"/>
      </w:divBdr>
    </w:div>
    <w:div w:id="182014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9.health.gov.au/mbs/fullDisplay.cfm?type=item&amp;q=63743&amp;qt=item&amp;criteria=%2063743" TargetMode="External"/><Relationship Id="rId4" Type="http://schemas.openxmlformats.org/officeDocument/2006/relationships/settings" Target="settings.xml"/><Relationship Id="rId9" Type="http://schemas.openxmlformats.org/officeDocument/2006/relationships/hyperlink" Target="http://www.msa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C49A5-49F9-4E68-8719-155CF74E9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4</Pages>
  <Words>766</Words>
  <Characters>4331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Bethany Leditschke</dc:creator>
  <cp:lastModifiedBy>HAMBLEY, Carolyn</cp:lastModifiedBy>
  <cp:revision>3</cp:revision>
  <cp:lastPrinted>2014-01-23T05:11:00Z</cp:lastPrinted>
  <dcterms:created xsi:type="dcterms:W3CDTF">2020-05-14T00:41:00Z</dcterms:created>
  <dcterms:modified xsi:type="dcterms:W3CDTF">2020-08-12T02:10:00Z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