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11E4A" w14:textId="77777777" w:rsidR="00BC1364" w:rsidRPr="00707064" w:rsidRDefault="00C67DD2" w:rsidP="00065623">
      <w:pPr>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17C78A33" wp14:editId="5D0D96D9">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1DB0550A" w14:textId="77777777" w:rsidR="00BC1364" w:rsidRPr="007B32D1" w:rsidRDefault="00BF479B" w:rsidP="006E4A48">
      <w:pPr>
        <w:spacing w:before="720" w:after="360"/>
        <w:jc w:val="center"/>
        <w:rPr>
          <w:rFonts w:ascii="Arial" w:hAnsi="Arial" w:cs="Arial"/>
          <w:b/>
          <w:bCs/>
          <w:color w:val="000080"/>
          <w:sz w:val="36"/>
          <w:szCs w:val="36"/>
        </w:rPr>
      </w:pPr>
      <w:r>
        <w:rPr>
          <w:rFonts w:ascii="Arial" w:hAnsi="Arial" w:cs="Arial"/>
          <w:b/>
          <w:bCs/>
          <w:color w:val="000080"/>
          <w:sz w:val="36"/>
          <w:szCs w:val="36"/>
        </w:rPr>
        <w:t>Public Summary Document</w:t>
      </w:r>
    </w:p>
    <w:p w14:paraId="4096F15A" w14:textId="03E93478" w:rsidR="00BC1364" w:rsidRPr="00F3088E" w:rsidRDefault="003F5DD6" w:rsidP="00F3088E">
      <w:pPr>
        <w:pStyle w:val="Heading1"/>
      </w:pPr>
      <w:r w:rsidRPr="003F5DD6">
        <w:rPr>
          <w:rStyle w:val="IntenseReference"/>
          <w:b/>
          <w:bCs/>
          <w:i w:val="0"/>
          <w:smallCaps w:val="0"/>
          <w:color w:val="auto"/>
          <w:spacing w:val="0"/>
        </w:rPr>
        <w:t xml:space="preserve">Report to the Medical Services Advisory Committee on </w:t>
      </w:r>
      <w:r w:rsidR="00464960" w:rsidRPr="00464960">
        <w:t xml:space="preserve">utilisation of MBS item </w:t>
      </w:r>
      <w:r w:rsidR="001C45C0">
        <w:t>73338</w:t>
      </w:r>
      <w:r w:rsidR="00464960" w:rsidRPr="00464960">
        <w:t xml:space="preserve"> following Application</w:t>
      </w:r>
      <w:r w:rsidR="001C45C0">
        <w:t>s</w:t>
      </w:r>
      <w:r w:rsidR="00464960" w:rsidRPr="00464960">
        <w:t xml:space="preserve"> </w:t>
      </w:r>
      <w:r w:rsidR="001C45C0">
        <w:t>1362 and 1363</w:t>
      </w:r>
      <w:r w:rsidR="00464960" w:rsidRPr="00464960">
        <w:t xml:space="preserve">: </w:t>
      </w:r>
      <w:r w:rsidR="001C45C0" w:rsidRPr="00232279">
        <w:t xml:space="preserve">RAS mutation testing for eligibility for </w:t>
      </w:r>
      <w:r w:rsidR="001C45C0">
        <w:t>p</w:t>
      </w:r>
      <w:r w:rsidR="001C45C0" w:rsidRPr="00232279">
        <w:t xml:space="preserve">anitumumab and </w:t>
      </w:r>
      <w:r w:rsidR="001C45C0">
        <w:t>c</w:t>
      </w:r>
      <w:r w:rsidR="001C45C0" w:rsidRPr="00232279">
        <w:t>etuximab in previously untreated metast</w:t>
      </w:r>
      <w:r w:rsidR="00367A55">
        <w:t>atic colorectal cancer patients</w:t>
      </w:r>
    </w:p>
    <w:p w14:paraId="50BBDDE4" w14:textId="0EB60655" w:rsidR="00BC1364" w:rsidRPr="00D90A38" w:rsidRDefault="003F5DD6" w:rsidP="004617ED">
      <w:pPr>
        <w:spacing w:before="360"/>
        <w:ind w:left="3600" w:hanging="3600"/>
        <w:rPr>
          <w:rFonts w:ascii="Arial" w:hAnsi="Arial" w:cs="Arial"/>
          <w:b/>
          <w:szCs w:val="24"/>
        </w:rPr>
      </w:pPr>
      <w:r>
        <w:rPr>
          <w:rFonts w:ascii="Arial" w:hAnsi="Arial" w:cs="Arial"/>
          <w:b/>
          <w:szCs w:val="24"/>
        </w:rPr>
        <w:t>Medicare Benefits Schedule</w:t>
      </w:r>
      <w:r w:rsidR="001C1BE6">
        <w:rPr>
          <w:rFonts w:ascii="Arial" w:hAnsi="Arial" w:cs="Arial"/>
          <w:b/>
          <w:szCs w:val="24"/>
        </w:rPr>
        <w:t xml:space="preserve"> </w:t>
      </w:r>
      <w:r>
        <w:rPr>
          <w:rFonts w:ascii="Arial" w:hAnsi="Arial" w:cs="Arial"/>
          <w:b/>
          <w:szCs w:val="24"/>
        </w:rPr>
        <w:t>(MBS) item considered</w:t>
      </w:r>
      <w:r w:rsidR="00BC1364" w:rsidRPr="00D90A38">
        <w:rPr>
          <w:rFonts w:ascii="Arial" w:hAnsi="Arial" w:cs="Arial"/>
          <w:b/>
          <w:szCs w:val="24"/>
        </w:rPr>
        <w:t>:</w:t>
      </w:r>
      <w:r w:rsidR="00BC1364" w:rsidRPr="00D90A38">
        <w:rPr>
          <w:rFonts w:ascii="Arial" w:hAnsi="Arial" w:cs="Arial"/>
          <w:b/>
          <w:szCs w:val="24"/>
        </w:rPr>
        <w:tab/>
      </w:r>
      <w:r w:rsidR="001C45C0">
        <w:rPr>
          <w:rFonts w:ascii="Arial" w:hAnsi="Arial" w:cs="Arial"/>
          <w:b/>
          <w:szCs w:val="24"/>
        </w:rPr>
        <w:t>73338</w:t>
      </w:r>
    </w:p>
    <w:p w14:paraId="6F6DDFED" w14:textId="2C8D46CD" w:rsidR="00BC1364" w:rsidRPr="00D90A38" w:rsidRDefault="004617ED" w:rsidP="004617ED">
      <w:pPr>
        <w:spacing w:before="360"/>
        <w:ind w:left="3600" w:hanging="3600"/>
        <w:rPr>
          <w:rFonts w:ascii="Arial" w:hAnsi="Arial" w:cs="Arial"/>
          <w:b/>
          <w:szCs w:val="24"/>
        </w:rPr>
      </w:pPr>
      <w:r>
        <w:rPr>
          <w:rFonts w:ascii="Arial" w:hAnsi="Arial" w:cs="Arial"/>
          <w:b/>
          <w:szCs w:val="24"/>
        </w:rPr>
        <w:t>D</w:t>
      </w:r>
      <w:r w:rsidR="00BC1364" w:rsidRPr="00D90A38">
        <w:rPr>
          <w:rFonts w:ascii="Arial" w:hAnsi="Arial" w:cs="Arial"/>
          <w:b/>
          <w:szCs w:val="24"/>
        </w:rPr>
        <w:t>ate of MSAC consideration:</w:t>
      </w:r>
      <w:r w:rsidR="00BC1364" w:rsidRPr="00D90A38">
        <w:rPr>
          <w:rFonts w:ascii="Arial" w:hAnsi="Arial" w:cs="Arial"/>
          <w:b/>
          <w:szCs w:val="24"/>
        </w:rPr>
        <w:tab/>
      </w:r>
      <w:r w:rsidR="001C45C0">
        <w:rPr>
          <w:rFonts w:ascii="Arial" w:hAnsi="Arial" w:cs="Arial"/>
          <w:b/>
          <w:szCs w:val="24"/>
        </w:rPr>
        <w:t>27 July 2018</w:t>
      </w:r>
    </w:p>
    <w:p w14:paraId="46790F2B" w14:textId="190CB7E2" w:rsidR="0041758C" w:rsidRDefault="006A0D97" w:rsidP="00065623">
      <w:pPr>
        <w:rPr>
          <w:szCs w:val="24"/>
        </w:rPr>
      </w:pPr>
      <w:r>
        <w:rPr>
          <w:szCs w:val="24"/>
        </w:rPr>
        <w:t xml:space="preserve">Context for decision: MSAC makes its advice in accordance with its Terms of Reference, see </w:t>
      </w:r>
      <w:r w:rsidR="009B433F">
        <w:rPr>
          <w:szCs w:val="24"/>
        </w:rPr>
        <w:t xml:space="preserve">the </w:t>
      </w:r>
      <w:hyperlink r:id="rId9" w:tooltip="Link to MSAC website" w:history="1">
        <w:r w:rsidR="009B433F" w:rsidRPr="009B433F">
          <w:rPr>
            <w:rStyle w:val="Hyperlink"/>
            <w:szCs w:val="24"/>
          </w:rPr>
          <w:t xml:space="preserve">MSAC </w:t>
        </w:r>
        <w:r w:rsidR="0048056B">
          <w:rPr>
            <w:rStyle w:val="Hyperlink"/>
            <w:szCs w:val="24"/>
          </w:rPr>
          <w:t>W</w:t>
        </w:r>
        <w:r w:rsidR="009B433F" w:rsidRPr="009B433F">
          <w:rPr>
            <w:rStyle w:val="Hyperlink"/>
            <w:szCs w:val="24"/>
          </w:rPr>
          <w:t>ebsite</w:t>
        </w:r>
      </w:hyperlink>
      <w:r w:rsidR="009B433F">
        <w:t>.</w:t>
      </w:r>
    </w:p>
    <w:p w14:paraId="52C2A008" w14:textId="6B815BB5" w:rsidR="003F5DD6" w:rsidRPr="003F5DD6" w:rsidRDefault="003D7F29" w:rsidP="004617ED">
      <w:pPr>
        <w:pStyle w:val="Heading1"/>
        <w:numPr>
          <w:ilvl w:val="0"/>
          <w:numId w:val="23"/>
        </w:numPr>
        <w:tabs>
          <w:tab w:val="left" w:pos="720"/>
          <w:tab w:val="left" w:pos="1140"/>
        </w:tabs>
        <w:spacing w:before="360"/>
        <w:ind w:hanging="720"/>
      </w:pPr>
      <w:r w:rsidRPr="00D90A38">
        <w:t xml:space="preserve">Purpose </w:t>
      </w:r>
    </w:p>
    <w:p w14:paraId="40F2D727" w14:textId="154CD03F" w:rsidR="008D7B4A" w:rsidRDefault="003F5DD6" w:rsidP="00367A55">
      <w:pPr>
        <w:spacing w:after="240"/>
      </w:pPr>
      <w:r>
        <w:t xml:space="preserve">The purpose of the report presented to the Medical Services Advisory Committee (MSAC) was </w:t>
      </w:r>
      <w:r w:rsidR="008D7B4A">
        <w:t>to allow</w:t>
      </w:r>
      <w:r>
        <w:t xml:space="preserve"> MSAC</w:t>
      </w:r>
      <w:r w:rsidR="008D7B4A">
        <w:t xml:space="preserve"> to consider</w:t>
      </w:r>
      <w:r>
        <w:t xml:space="preserve"> the real world </w:t>
      </w:r>
      <w:r w:rsidR="008D7B4A">
        <w:t>data on utilisation of Medicare Benefits Schedule (MBS) item 73338, following</w:t>
      </w:r>
      <w:r>
        <w:t xml:space="preserve"> </w:t>
      </w:r>
      <w:r w:rsidR="00DB1FC4">
        <w:t>A</w:t>
      </w:r>
      <w:r w:rsidR="000E155F">
        <w:t>pplication</w:t>
      </w:r>
      <w:r w:rsidR="008D7B4A">
        <w:t>s</w:t>
      </w:r>
      <w:r w:rsidR="001C45C0">
        <w:t xml:space="preserve"> 1362 and 1363</w:t>
      </w:r>
      <w:r w:rsidR="008D7B4A">
        <w:t xml:space="preserve">: </w:t>
      </w:r>
      <w:r w:rsidR="008D7B4A" w:rsidRPr="0070015C">
        <w:t>RAS mutation testing for eligibility for cetuximab and panitumumab in previously untreat</w:t>
      </w:r>
      <w:r w:rsidR="008D7B4A">
        <w:t>ed metastatic colorectal cancer patients.</w:t>
      </w:r>
    </w:p>
    <w:p w14:paraId="088AE43C" w14:textId="4B5D4FA0" w:rsidR="003F5DD6" w:rsidRDefault="008D7B4A" w:rsidP="003F5DD6">
      <w:r>
        <w:t>MSAC uses the</w:t>
      </w:r>
      <w:r w:rsidR="003F5DD6">
        <w:t xml:space="preserve"> information to ensure that</w:t>
      </w:r>
      <w:r w:rsidR="00A91AFD">
        <w:t xml:space="preserve"> the new item resulting from th</w:t>
      </w:r>
      <w:r>
        <w:t>ese</w:t>
      </w:r>
      <w:r w:rsidR="00A91AFD">
        <w:t xml:space="preserve"> application</w:t>
      </w:r>
      <w:r w:rsidR="00DB1FC4">
        <w:t>s</w:t>
      </w:r>
      <w:r w:rsidR="00A91AFD">
        <w:t xml:space="preserve"> is being used as intended.</w:t>
      </w:r>
    </w:p>
    <w:p w14:paraId="53627D54" w14:textId="77777777" w:rsidR="003F5DD6" w:rsidRPr="00DB1935" w:rsidRDefault="003F5DD6" w:rsidP="004617ED">
      <w:pPr>
        <w:spacing w:before="240"/>
      </w:pPr>
      <w:r w:rsidRPr="00341476">
        <w:t xml:space="preserve">The </w:t>
      </w:r>
      <w:r>
        <w:t>report</w:t>
      </w:r>
      <w:r w:rsidRPr="00341476">
        <w:t xml:space="preserve"> is not intended to be a review of the clinical information covered during the application process.</w:t>
      </w:r>
    </w:p>
    <w:p w14:paraId="27459AA3" w14:textId="67CD699D" w:rsidR="007F35C8" w:rsidRPr="00F3088E" w:rsidRDefault="00E977EE" w:rsidP="004617ED">
      <w:pPr>
        <w:pStyle w:val="Heading1"/>
        <w:numPr>
          <w:ilvl w:val="0"/>
          <w:numId w:val="23"/>
        </w:numPr>
        <w:tabs>
          <w:tab w:val="left" w:pos="720"/>
          <w:tab w:val="left" w:pos="1140"/>
        </w:tabs>
        <w:spacing w:before="360"/>
        <w:ind w:hanging="720"/>
      </w:pPr>
      <w:r w:rsidRPr="008D5885">
        <w:t xml:space="preserve">MSAC’s advice </w:t>
      </w:r>
    </w:p>
    <w:p w14:paraId="776E392C" w14:textId="77777777" w:rsidR="001C45C0" w:rsidRDefault="001C45C0" w:rsidP="001C45C0">
      <w:r w:rsidRPr="009A0820">
        <w:t xml:space="preserve">After consideration of the real </w:t>
      </w:r>
      <w:r w:rsidRPr="00DE01FE">
        <w:t>world</w:t>
      </w:r>
      <w:r w:rsidRPr="009A0820">
        <w:t xml:space="preserve"> data for </w:t>
      </w:r>
      <w:r w:rsidRPr="0070015C">
        <w:t xml:space="preserve">RAS mutation testing for eligibility for cetuximab and panitumumab in previously untreated metastatic colorectal cancer patients </w:t>
      </w:r>
      <w:r w:rsidRPr="009A0820">
        <w:t xml:space="preserve">(MBS item </w:t>
      </w:r>
      <w:r>
        <w:t>73338</w:t>
      </w:r>
      <w:r w:rsidRPr="009A0820">
        <w:t xml:space="preserve">) </w:t>
      </w:r>
      <w:r>
        <w:t>–</w:t>
      </w:r>
      <w:r w:rsidRPr="009A0820">
        <w:t xml:space="preserve"> MSAC Application</w:t>
      </w:r>
      <w:r>
        <w:t>s</w:t>
      </w:r>
      <w:r w:rsidRPr="009A0820">
        <w:t xml:space="preserve"> </w:t>
      </w:r>
      <w:r>
        <w:t xml:space="preserve">1362 and 1363, </w:t>
      </w:r>
      <w:r w:rsidRPr="009A0820">
        <w:t xml:space="preserve">MSAC recommended </w:t>
      </w:r>
      <w:r>
        <w:t>no further action</w:t>
      </w:r>
      <w:r w:rsidRPr="009A0820">
        <w:t>.</w:t>
      </w:r>
      <w:r>
        <w:t xml:space="preserve"> </w:t>
      </w:r>
      <w:r w:rsidRPr="00335A16">
        <w:t xml:space="preserve">MSAC </w:t>
      </w:r>
      <w:r>
        <w:t>considered that the</w:t>
      </w:r>
      <w:r w:rsidRPr="00335A16">
        <w:t xml:space="preserve"> actual utilisation data </w:t>
      </w:r>
      <w:r>
        <w:t xml:space="preserve">tracked reasonably closely </w:t>
      </w:r>
      <w:r w:rsidRPr="00335A16">
        <w:t xml:space="preserve">with the utilisation predicted </w:t>
      </w:r>
      <w:r>
        <w:t>before</w:t>
      </w:r>
      <w:r w:rsidRPr="00335A16">
        <w:t xml:space="preserve"> this MBS listing</w:t>
      </w:r>
      <w:r>
        <w:t xml:space="preserve"> was implemented, and that the other review variables presented did not raise any substantive concerns</w:t>
      </w:r>
      <w:r w:rsidRPr="00335A16">
        <w:t>.</w:t>
      </w:r>
    </w:p>
    <w:p w14:paraId="5A944DA3" w14:textId="77777777" w:rsidR="001C45C0" w:rsidRPr="00041FB1" w:rsidRDefault="001C45C0" w:rsidP="001C45C0">
      <w:pPr>
        <w:spacing w:before="240"/>
      </w:pPr>
      <w:r>
        <w:t>MSAC also recommended that consideration will need to be given to the ongoing need for this item if panel-based testing for predictive biomarkers is introduced (MSAC Application 1495).</w:t>
      </w:r>
    </w:p>
    <w:p w14:paraId="1D480D99" w14:textId="77777777" w:rsidR="007F35C8" w:rsidRPr="00E35CDB" w:rsidRDefault="007F35C8" w:rsidP="004617ED">
      <w:pPr>
        <w:pStyle w:val="Heading1"/>
        <w:numPr>
          <w:ilvl w:val="0"/>
          <w:numId w:val="23"/>
        </w:numPr>
        <w:tabs>
          <w:tab w:val="left" w:pos="720"/>
          <w:tab w:val="left" w:pos="1140"/>
        </w:tabs>
        <w:spacing w:before="360"/>
        <w:ind w:hanging="720"/>
      </w:pPr>
      <w:r w:rsidRPr="00E35CDB">
        <w:t>Summary of consideration and rationale for MSAC’s advice</w:t>
      </w:r>
    </w:p>
    <w:p w14:paraId="155EBE35" w14:textId="77777777" w:rsidR="001C45C0" w:rsidRPr="00DC50FB" w:rsidRDefault="001C45C0" w:rsidP="001C45C0">
      <w:r w:rsidRPr="00DE01FE">
        <w:t>MSAC considered the impacts of the outcome of MSAC Application</w:t>
      </w:r>
      <w:r>
        <w:t>s</w:t>
      </w:r>
      <w:r w:rsidRPr="00DE01FE">
        <w:t xml:space="preserve"> </w:t>
      </w:r>
      <w:r>
        <w:t>1362 and 1363</w:t>
      </w:r>
      <w:r w:rsidRPr="00DE01FE">
        <w:t xml:space="preserve"> for</w:t>
      </w:r>
      <w:r>
        <w:t xml:space="preserve"> </w:t>
      </w:r>
      <w:r w:rsidRPr="00DC50FB">
        <w:t xml:space="preserve">RAS mutation testing for eligibility for cetuximab and panitumumab in previously untreated </w:t>
      </w:r>
      <w:r w:rsidRPr="00DC50FB">
        <w:lastRenderedPageBreak/>
        <w:t xml:space="preserve">metastatic colorectal cancer </w:t>
      </w:r>
      <w:r>
        <w:t xml:space="preserve">(mCRC) </w:t>
      </w:r>
      <w:r w:rsidRPr="00DC50FB">
        <w:t>patients</w:t>
      </w:r>
      <w:r>
        <w:t xml:space="preserve"> </w:t>
      </w:r>
      <w:r w:rsidRPr="00DC50FB">
        <w:t xml:space="preserve">(MBS item </w:t>
      </w:r>
      <w:r>
        <w:t>73338</w:t>
      </w:r>
      <w:r w:rsidRPr="00DC50FB">
        <w:t xml:space="preserve">) by examining real world data up to </w:t>
      </w:r>
      <w:r>
        <w:t>January</w:t>
      </w:r>
      <w:r w:rsidRPr="00DC50FB">
        <w:t xml:space="preserve"> 201</w:t>
      </w:r>
      <w:r>
        <w:t>8</w:t>
      </w:r>
      <w:r w:rsidRPr="00DC50FB">
        <w:t xml:space="preserve">. The item was MBS listed in </w:t>
      </w:r>
      <w:r>
        <w:t>April 2014</w:t>
      </w:r>
      <w:r w:rsidRPr="00DC50FB">
        <w:t xml:space="preserve">. </w:t>
      </w:r>
    </w:p>
    <w:p w14:paraId="6EB3C600" w14:textId="77777777" w:rsidR="001C45C0" w:rsidRDefault="001C45C0" w:rsidP="001C45C0">
      <w:pPr>
        <w:spacing w:before="240"/>
      </w:pPr>
      <w:r>
        <w:t xml:space="preserve">MSAC recalled that the item descriptor was amended urgently in October 2014 to refer to RAS (KRAS and NRAS) and the change was implemented in January 2015 with an increased fee. There was also a concurrent resubmission to the PBAC in July 2014 to modify second line </w:t>
      </w:r>
      <w:r w:rsidRPr="0070015C">
        <w:t>panitumumab</w:t>
      </w:r>
      <w:r>
        <w:t xml:space="preserve"> PBS listing to require KRAS and NRAS wild-type, and to list </w:t>
      </w:r>
      <w:r w:rsidRPr="0070015C">
        <w:t>panitumumab</w:t>
      </w:r>
      <w:r>
        <w:t xml:space="preserve"> for first line treatment of RAS wild-type mCRC.</w:t>
      </w:r>
    </w:p>
    <w:p w14:paraId="01BFEA89" w14:textId="3F167A9C" w:rsidR="001C45C0" w:rsidRDefault="001C45C0" w:rsidP="001C45C0">
      <w:pPr>
        <w:spacing w:before="240"/>
      </w:pPr>
      <w:r>
        <w:t>Item 73338 provides for testing of RAS mutations to limit subsidy of anti-EGFR</w:t>
      </w:r>
      <w:r w:rsidR="008D7B4A">
        <w:t xml:space="preserve"> (</w:t>
      </w:r>
      <w:r w:rsidR="008D7B4A" w:rsidRPr="008D7B4A">
        <w:t>epidermal growth factor receptor)</w:t>
      </w:r>
      <w:r>
        <w:t xml:space="preserve"> antibodies to only those patients demonstrated to have no RAS mutations. For a Medicare benefit to be payable, the test must be conducted for all clinically relevant mutations on KRAS exons 2, 3 and 4 and NRAS exons 2, 3 and 4, or until a RAS mutation is found. This means that, once the test indicates that the patient is not RAS wild-type and therefore not suitable for access to cetuximab and panitumumab under the PBS, a pathologist is not required to continue testing for other clinically relevant mutations.</w:t>
      </w:r>
    </w:p>
    <w:p w14:paraId="3A9538E6" w14:textId="77777777" w:rsidR="001C45C0" w:rsidRDefault="001C45C0" w:rsidP="001C45C0">
      <w:pPr>
        <w:spacing w:before="240"/>
      </w:pPr>
      <w:r>
        <w:t xml:space="preserve">MSAC recalled that it was predicted that item 73338 would be utilised by 2208 patients in the first year, increasing to 2465 patients by year 5. These predictions were based on the number of incidents of mCRC and assumed that about 37% or eligible patients would access RAS mutation testing. </w:t>
      </w:r>
    </w:p>
    <w:p w14:paraId="09B4B311" w14:textId="77777777" w:rsidR="001C45C0" w:rsidRDefault="001C45C0" w:rsidP="001C45C0">
      <w:pPr>
        <w:spacing w:before="240"/>
      </w:pPr>
      <w:r>
        <w:t>MSAC noted that utilisation of item 73338 was fairly consistent with that predicted by the MBS costing model (noting that, before January 2</w:t>
      </w:r>
      <w:bookmarkStart w:id="1" w:name="Editing"/>
      <w:bookmarkEnd w:id="1"/>
      <w:r>
        <w:t>015, only KRAS was tested; both KRAS and NRAS were tested after that). In 2014–15, there were 1325 services (57% of predicted volume), increasing to 2654 services in 2015–16 (110% of predicted volume) and 2287 services in 2016–17 (95% of predicted volume). MSAC noted feedback from the Royal College of Pathologists of Australasia suggesting that the peak in the rate of testing most likely represents referrals to a highly specialised cancer service.</w:t>
      </w:r>
    </w:p>
    <w:p w14:paraId="74463FAE" w14:textId="77777777" w:rsidR="001C45C0" w:rsidRDefault="001C45C0" w:rsidP="001C45C0">
      <w:pPr>
        <w:spacing w:before="240"/>
      </w:pPr>
      <w:r>
        <w:t xml:space="preserve">MSAC noted that the service is predominantly claimed by patients aged 55 to 84, which is as expected given the age incidence of colorectal carcinoma. MSAC also noted that, in 2016–17, only 3% of patients received two or more services under item 73338. The need for repeat testing likely reflects a nondiagnostic initial result due to problems with either the tissue (degraded DNA) or the assay. </w:t>
      </w:r>
    </w:p>
    <w:p w14:paraId="4605F25E" w14:textId="77777777" w:rsidR="001C45C0" w:rsidRDefault="001C45C0" w:rsidP="001C45C0">
      <w:pPr>
        <w:spacing w:before="240"/>
      </w:pPr>
      <w:r>
        <w:t>MSAC noted that a large amount of testing is being referred between laboratories. MSAC also noted that a disproportionate level of testing is done in Victoria and Tasmania – 3821 services between April 2014 and January 2018, which is approximately half of the total services for item 73338. MSAC suggested that this interstate variation is due to cross-border referrals for testing (particularly to the Peter MacCallum Cancer Centre in Victoria) following implementation of the additional NRAS requirement for this item.</w:t>
      </w:r>
    </w:p>
    <w:p w14:paraId="6D2FD93C" w14:textId="196FC41F" w:rsidR="001C45C0" w:rsidRDefault="001C45C0" w:rsidP="001C45C0">
      <w:pPr>
        <w:spacing w:before="240"/>
      </w:pPr>
      <w:r>
        <w:t xml:space="preserve">MSAC recalled that the MBS fee for item 73338 is $362.60 (75% = $271.95, which increased in January 2015 with the additional NRAS requirement). MSAC noted that the average fee has increased from $396.88 in 2014–15 to $408 in 2015–16 and $434.99 in 2016–17 and is similar between states. The majority of services (86%) are bulk billed. However, bulk billing rates in South Australia dropped from 88.2% in 2014–15 to 36.3% in 2016–17. </w:t>
      </w:r>
    </w:p>
    <w:p w14:paraId="5FADD1E0" w14:textId="77777777" w:rsidR="001C45C0" w:rsidRDefault="001C45C0" w:rsidP="001C45C0">
      <w:pPr>
        <w:spacing w:before="240"/>
      </w:pPr>
      <w:r>
        <w:t>MSAC noted that co-</w:t>
      </w:r>
      <w:r w:rsidRPr="005F4DE3">
        <w:t>claim</w:t>
      </w:r>
      <w:r>
        <w:t>ing is generally restricted to</w:t>
      </w:r>
      <w:r w:rsidRPr="005F4DE3">
        <w:t xml:space="preserve"> Patient Episode Initiation (PEI) item</w:t>
      </w:r>
      <w:r>
        <w:t>s</w:t>
      </w:r>
      <w:r w:rsidRPr="005F4DE3">
        <w:t xml:space="preserve"> (73938, 73939, 73940</w:t>
      </w:r>
      <w:r>
        <w:t xml:space="preserve">), which implies that testing is performed on archival material when metastases are diagnosed. A much smaller number of tests is performed on current metastatic </w:t>
      </w:r>
      <w:r>
        <w:lastRenderedPageBreak/>
        <w:t>samples. Occasional co-claims with item 72846 probably represent requests for ancillary BRAF immunohistochemistry by an oncologist. MSAC noted that, if an item for tissue retrieval is approved (MSAC Application 1331), that item is also likely to be co-claimed in most instances.</w:t>
      </w:r>
    </w:p>
    <w:p w14:paraId="2A595A9D" w14:textId="77777777" w:rsidR="001C45C0" w:rsidRDefault="001C45C0" w:rsidP="001C45C0">
      <w:pPr>
        <w:spacing w:before="240"/>
      </w:pPr>
      <w:r w:rsidRPr="009A0820">
        <w:t xml:space="preserve">MSAC recommended </w:t>
      </w:r>
      <w:r>
        <w:t xml:space="preserve">no further action. </w:t>
      </w:r>
      <w:r w:rsidRPr="00335A16">
        <w:t xml:space="preserve">MSAC </w:t>
      </w:r>
      <w:r>
        <w:t>considered that the</w:t>
      </w:r>
      <w:r w:rsidRPr="00335A16">
        <w:t xml:space="preserve"> actual utilisation data </w:t>
      </w:r>
      <w:r>
        <w:t xml:space="preserve">tracked reasonably closely </w:t>
      </w:r>
      <w:r w:rsidRPr="00335A16">
        <w:t xml:space="preserve">with the utilisation predicted </w:t>
      </w:r>
      <w:r>
        <w:t>before</w:t>
      </w:r>
      <w:r w:rsidRPr="00335A16">
        <w:t xml:space="preserve"> this MBS listing</w:t>
      </w:r>
      <w:r>
        <w:t xml:space="preserve"> was implemented, and that the other review variables presented did not raise any substantive concerns</w:t>
      </w:r>
      <w:r w:rsidRPr="00335A16">
        <w:t>.</w:t>
      </w:r>
      <w:r w:rsidRPr="009A0820">
        <w:t xml:space="preserve"> </w:t>
      </w:r>
      <w:r>
        <w:t>However, if panel based-testing for predictive biomarkers is introduced (MSAC Application 1495), the ongoing need for item 73338 will need to be considered.</w:t>
      </w:r>
    </w:p>
    <w:p w14:paraId="08E2832D" w14:textId="24E7A918" w:rsidR="00550354" w:rsidRDefault="003F5DD6" w:rsidP="004545EF">
      <w:pPr>
        <w:pStyle w:val="Heading1"/>
        <w:numPr>
          <w:ilvl w:val="0"/>
          <w:numId w:val="23"/>
        </w:numPr>
        <w:tabs>
          <w:tab w:val="left" w:pos="720"/>
          <w:tab w:val="left" w:pos="1140"/>
        </w:tabs>
        <w:spacing w:before="240"/>
        <w:ind w:hanging="720"/>
      </w:pPr>
      <w:r>
        <w:t>Methodology</w:t>
      </w:r>
    </w:p>
    <w:p w14:paraId="420601C9" w14:textId="297A7CBA" w:rsidR="001C1BE6" w:rsidRDefault="001C1BE6" w:rsidP="00550354">
      <w:pPr>
        <w:rPr>
          <w:szCs w:val="24"/>
        </w:rPr>
      </w:pPr>
      <w:r>
        <w:rPr>
          <w:szCs w:val="24"/>
        </w:rPr>
        <w:t xml:space="preserve">An application is selected for consideration if the resulting new item(s) </w:t>
      </w:r>
      <w:r w:rsidR="00026E58">
        <w:rPr>
          <w:szCs w:val="24"/>
        </w:rPr>
        <w:t>and/</w:t>
      </w:r>
      <w:r>
        <w:rPr>
          <w:szCs w:val="24"/>
        </w:rPr>
        <w:t xml:space="preserve">or item amendment(s) have been on the MBS for approximately 24 months or longer or if there were particular concerns about utilisation such that MSAC requested to consider it earlier. The specific applications for each MSAC meeting are selected by the MSAC Executive which is composed of the </w:t>
      </w:r>
      <w:r w:rsidR="00F3088E">
        <w:rPr>
          <w:szCs w:val="24"/>
        </w:rPr>
        <w:t>c</w:t>
      </w:r>
      <w:r>
        <w:rPr>
          <w:szCs w:val="24"/>
        </w:rPr>
        <w:t>hairs of MSAC and its sub-committees.</w:t>
      </w:r>
    </w:p>
    <w:p w14:paraId="5EF0EBE3" w14:textId="508C17D1" w:rsidR="001C1BE6" w:rsidRDefault="001C1BE6" w:rsidP="004617ED">
      <w:pPr>
        <w:spacing w:before="240"/>
        <w:rPr>
          <w:szCs w:val="24"/>
        </w:rPr>
      </w:pPr>
      <w:r>
        <w:rPr>
          <w:szCs w:val="24"/>
        </w:rPr>
        <w:t xml:space="preserve">A report on the utilisation is developed by the </w:t>
      </w:r>
      <w:r w:rsidR="00F3088E">
        <w:rPr>
          <w:szCs w:val="24"/>
        </w:rPr>
        <w:t>department</w:t>
      </w:r>
      <w:r>
        <w:rPr>
          <w:szCs w:val="24"/>
        </w:rPr>
        <w:t xml:space="preserve"> with information on a number of metrics including</w:t>
      </w:r>
      <w:r w:rsidR="00F3088E">
        <w:rPr>
          <w:szCs w:val="24"/>
        </w:rPr>
        <w:t>;</w:t>
      </w:r>
      <w:r>
        <w:rPr>
          <w:szCs w:val="24"/>
        </w:rPr>
        <w:t xml:space="preserve"> state variation, patient demographics, services per patient, practitioner’s providing the service, data on fees and co-claiming of services. The number of metrics included in a report is dependent on the annual service volume for the MBS item(s) under consideration i.e. an item with very low utilisation will have less data to analyse. Where service volumes are too low, information is suppressed to protect patient privacy.</w:t>
      </w:r>
    </w:p>
    <w:p w14:paraId="2DF32FA0" w14:textId="7FBEA9FC" w:rsidR="001C1BE6" w:rsidRDefault="001C1BE6" w:rsidP="004617ED">
      <w:pPr>
        <w:spacing w:before="240"/>
        <w:rPr>
          <w:szCs w:val="24"/>
        </w:rPr>
      </w:pPr>
      <w:r>
        <w:rPr>
          <w:szCs w:val="24"/>
        </w:rPr>
        <w:t>Where possible the report compares data on real world utilisation to the assumptions made during the MSAC assessment. Most of these assumptions are drawn from the assessment report.</w:t>
      </w:r>
    </w:p>
    <w:p w14:paraId="26E62F08" w14:textId="6CEDF436" w:rsidR="00B11472" w:rsidRDefault="001C1BE6" w:rsidP="004617ED">
      <w:pPr>
        <w:spacing w:before="240"/>
        <w:rPr>
          <w:szCs w:val="24"/>
        </w:rPr>
      </w:pPr>
      <w:r>
        <w:rPr>
          <w:szCs w:val="24"/>
        </w:rPr>
        <w:t>Relevant stakeholders are provided an opportunity to comment on the findings in the report before it is presented to the MSAC. It is intended that stakeholders are given at least three weeks to consider the reports.</w:t>
      </w:r>
    </w:p>
    <w:p w14:paraId="40C0C81F" w14:textId="6FC39BDF" w:rsidR="001C1BE6" w:rsidRDefault="001C1BE6" w:rsidP="004617ED">
      <w:pPr>
        <w:spacing w:before="240"/>
        <w:rPr>
          <w:szCs w:val="24"/>
        </w:rPr>
      </w:pPr>
      <w:r>
        <w:rPr>
          <w:szCs w:val="24"/>
        </w:rPr>
        <w:t xml:space="preserve">The stakeholder version of the report does not contain information </w:t>
      </w:r>
      <w:r w:rsidR="00B11472">
        <w:rPr>
          <w:szCs w:val="24"/>
        </w:rPr>
        <w:t xml:space="preserve">on assumptions from the MSAC consideration if this information is not already publicly available. This is to protect the commercial in confidence </w:t>
      </w:r>
      <w:r w:rsidR="008D7B4A">
        <w:rPr>
          <w:szCs w:val="24"/>
        </w:rPr>
        <w:t xml:space="preserve">information </w:t>
      </w:r>
      <w:r w:rsidR="00B11472">
        <w:rPr>
          <w:szCs w:val="24"/>
        </w:rPr>
        <w:t>of the original applicants. The same principle is applied to this document.</w:t>
      </w:r>
    </w:p>
    <w:p w14:paraId="604337F3" w14:textId="72C0B09B" w:rsidR="00D14EAB" w:rsidRPr="004617ED" w:rsidRDefault="00B11472" w:rsidP="004617ED">
      <w:pPr>
        <w:spacing w:before="240"/>
        <w:rPr>
          <w:szCs w:val="24"/>
        </w:rPr>
      </w:pPr>
      <w:r>
        <w:rPr>
          <w:szCs w:val="24"/>
        </w:rPr>
        <w:t>Once MSAC has considered the report</w:t>
      </w:r>
      <w:r w:rsidR="002D73A2">
        <w:rPr>
          <w:szCs w:val="24"/>
        </w:rPr>
        <w:t>,</w:t>
      </w:r>
      <w:r w:rsidR="00A91AFD">
        <w:rPr>
          <w:szCs w:val="24"/>
        </w:rPr>
        <w:t xml:space="preserve"> its advice is made available online </w:t>
      </w:r>
      <w:r w:rsidR="009B433F">
        <w:rPr>
          <w:szCs w:val="24"/>
        </w:rPr>
        <w:t xml:space="preserve">at the </w:t>
      </w:r>
      <w:hyperlink r:id="rId10" w:tooltip="Link to MSAC website" w:history="1">
        <w:r w:rsidR="009B433F" w:rsidRPr="009B433F">
          <w:rPr>
            <w:rStyle w:val="Hyperlink"/>
            <w:szCs w:val="24"/>
          </w:rPr>
          <w:t xml:space="preserve">MSAC </w:t>
        </w:r>
        <w:r w:rsidR="0048056B">
          <w:rPr>
            <w:rStyle w:val="Hyperlink"/>
            <w:szCs w:val="24"/>
          </w:rPr>
          <w:t>W</w:t>
        </w:r>
        <w:r w:rsidR="009B433F" w:rsidRPr="009B433F">
          <w:rPr>
            <w:rStyle w:val="Hyperlink"/>
            <w:szCs w:val="24"/>
          </w:rPr>
          <w:t>ebsite</w:t>
        </w:r>
      </w:hyperlink>
      <w:r w:rsidR="00A91AFD">
        <w:rPr>
          <w:szCs w:val="24"/>
        </w:rPr>
        <w:t>.</w:t>
      </w:r>
    </w:p>
    <w:p w14:paraId="09E8EE24" w14:textId="79069D80" w:rsidR="00BC1364" w:rsidRDefault="003F5DD6" w:rsidP="004617ED">
      <w:pPr>
        <w:pStyle w:val="Heading1"/>
        <w:numPr>
          <w:ilvl w:val="0"/>
          <w:numId w:val="23"/>
        </w:numPr>
        <w:tabs>
          <w:tab w:val="left" w:pos="720"/>
          <w:tab w:val="left" w:pos="1140"/>
        </w:tabs>
        <w:spacing w:before="360"/>
        <w:ind w:hanging="720"/>
      </w:pPr>
      <w:r>
        <w:t>Results</w:t>
      </w:r>
    </w:p>
    <w:p w14:paraId="268ABCEF" w14:textId="77777777" w:rsidR="001C45C0" w:rsidRDefault="001C45C0" w:rsidP="001C45C0"/>
    <w:p w14:paraId="37FDABFC" w14:textId="77777777" w:rsidR="001C45C0" w:rsidRPr="004C0334" w:rsidRDefault="001C45C0" w:rsidP="004C0334">
      <w:pPr>
        <w:ind w:left="-426" w:firstLine="426"/>
        <w:rPr>
          <w:rFonts w:ascii="Arial" w:hAnsi="Arial" w:cs="Arial"/>
          <w:sz w:val="22"/>
          <w:szCs w:val="22"/>
        </w:rPr>
      </w:pPr>
      <w:r w:rsidRPr="004C0334">
        <w:rPr>
          <w:rFonts w:ascii="Arial" w:hAnsi="Arial" w:cs="Arial"/>
          <w:b/>
          <w:sz w:val="22"/>
          <w:szCs w:val="22"/>
        </w:rPr>
        <w:t>Utilisation</w:t>
      </w:r>
    </w:p>
    <w:p w14:paraId="19BBBDE3" w14:textId="77777777" w:rsidR="001C45C0" w:rsidRPr="004C0334" w:rsidRDefault="001C45C0" w:rsidP="004C0334">
      <w:pPr>
        <w:rPr>
          <w:rFonts w:ascii="Arial" w:hAnsi="Arial" w:cs="Arial"/>
          <w:sz w:val="22"/>
          <w:szCs w:val="22"/>
        </w:rPr>
      </w:pPr>
      <w:r w:rsidRPr="004C0334">
        <w:rPr>
          <w:rFonts w:ascii="Arial" w:hAnsi="Arial" w:cs="Arial"/>
          <w:b/>
          <w:sz w:val="22"/>
          <w:szCs w:val="22"/>
          <w:u w:val="single"/>
        </w:rPr>
        <w:t>Predictions</w:t>
      </w:r>
    </w:p>
    <w:p w14:paraId="17F983F8" w14:textId="65681133" w:rsidR="004545EF" w:rsidRPr="00367A55" w:rsidRDefault="001C45C0">
      <w:pPr>
        <w:rPr>
          <w:szCs w:val="24"/>
        </w:rPr>
      </w:pPr>
      <w:r w:rsidRPr="004C0334">
        <w:rPr>
          <w:szCs w:val="24"/>
        </w:rPr>
        <w:t>At the time of MSAC consideration, a sensitivity analysis conducted for RAS mutation testing for eligibility to access cetuximab or panitumumab was estimated to be utilised in 2208 patients in year 1, increasing to 2465 patients by year 5. This estimate was based on the number of incidents of mCRC, and an assumption that approximately 37% of eligible patients would access RAS mutation testing.</w:t>
      </w:r>
      <w:r w:rsidR="004545EF">
        <w:rPr>
          <w:rFonts w:asciiTheme="minorHAnsi" w:hAnsiTheme="minorHAnsi"/>
          <w:b/>
          <w:sz w:val="20"/>
        </w:rPr>
        <w:br w:type="page"/>
      </w:r>
    </w:p>
    <w:p w14:paraId="2E71B2ED" w14:textId="12045244" w:rsidR="001C45C0" w:rsidRPr="00367A55" w:rsidRDefault="001C45C0" w:rsidP="00367A55">
      <w:pPr>
        <w:keepNext/>
        <w:ind w:left="-426" w:firstLine="426"/>
        <w:rPr>
          <w:rFonts w:asciiTheme="minorHAnsi" w:hAnsiTheme="minorHAnsi"/>
          <w:sz w:val="20"/>
        </w:rPr>
      </w:pPr>
      <w:r w:rsidRPr="005533CB">
        <w:rPr>
          <w:rFonts w:asciiTheme="minorHAnsi" w:hAnsiTheme="minorHAnsi"/>
          <w:b/>
          <w:sz w:val="20"/>
        </w:rPr>
        <w:lastRenderedPageBreak/>
        <w:t xml:space="preserve">Table 1: Predicted costs of RAS mutation testing for eligibility to </w:t>
      </w:r>
      <w:r>
        <w:rPr>
          <w:rFonts w:asciiTheme="minorHAnsi" w:hAnsiTheme="minorHAnsi"/>
          <w:b/>
          <w:sz w:val="20"/>
        </w:rPr>
        <w:t>access cetuximab or p</w:t>
      </w:r>
      <w:r w:rsidRPr="005533CB">
        <w:rPr>
          <w:rFonts w:asciiTheme="minorHAnsi" w:hAnsiTheme="minorHAnsi"/>
          <w:b/>
          <w:sz w:val="20"/>
        </w:rPr>
        <w:t>anitumumab</w:t>
      </w:r>
    </w:p>
    <w:tbl>
      <w:tblPr>
        <w:tblStyle w:val="TableGrid"/>
        <w:tblW w:w="0" w:type="auto"/>
        <w:tblInd w:w="-111" w:type="dxa"/>
        <w:tblLook w:val="04A0" w:firstRow="1" w:lastRow="0" w:firstColumn="1" w:lastColumn="0" w:noHBand="0" w:noVBand="1"/>
        <w:tblDescription w:val="Predicted costs of RAS mutation testing for eligibility to access cetuximab or panitumumab. Provides 5 years of data on testing costs"/>
      </w:tblPr>
      <w:tblGrid>
        <w:gridCol w:w="2235"/>
        <w:gridCol w:w="1275"/>
        <w:gridCol w:w="1276"/>
        <w:gridCol w:w="1276"/>
        <w:gridCol w:w="1276"/>
        <w:gridCol w:w="1184"/>
      </w:tblGrid>
      <w:tr w:rsidR="001C45C0" w:rsidRPr="00B50A81" w14:paraId="08A7C2F3" w14:textId="77777777" w:rsidTr="00D571C9">
        <w:trPr>
          <w:tblHeader/>
        </w:trPr>
        <w:tc>
          <w:tcPr>
            <w:tcW w:w="2235" w:type="dxa"/>
            <w:shd w:val="clear" w:color="auto" w:fill="D9D9D9" w:themeFill="background1" w:themeFillShade="D9"/>
          </w:tcPr>
          <w:p w14:paraId="5AEA023E" w14:textId="77777777" w:rsidR="001C45C0" w:rsidRPr="00B50A81" w:rsidRDefault="001C45C0" w:rsidP="001C45C0">
            <w:pPr>
              <w:keepNext/>
              <w:tabs>
                <w:tab w:val="left" w:pos="720"/>
              </w:tabs>
              <w:rPr>
                <w:rFonts w:asciiTheme="minorHAnsi" w:hAnsiTheme="minorHAnsi"/>
                <w:highlight w:val="yellow"/>
              </w:rPr>
            </w:pPr>
          </w:p>
        </w:tc>
        <w:tc>
          <w:tcPr>
            <w:tcW w:w="1275" w:type="dxa"/>
            <w:shd w:val="clear" w:color="auto" w:fill="D9D9D9" w:themeFill="background1" w:themeFillShade="D9"/>
          </w:tcPr>
          <w:p w14:paraId="5E64DDB0" w14:textId="77777777" w:rsidR="001C45C0" w:rsidRPr="00B50A81" w:rsidRDefault="001C45C0" w:rsidP="001C45C0">
            <w:pPr>
              <w:keepNext/>
              <w:tabs>
                <w:tab w:val="left" w:pos="720"/>
              </w:tabs>
              <w:rPr>
                <w:rFonts w:asciiTheme="minorHAnsi" w:hAnsiTheme="minorHAnsi"/>
              </w:rPr>
            </w:pPr>
            <w:r w:rsidRPr="00B50A81">
              <w:rPr>
                <w:rFonts w:asciiTheme="minorHAnsi" w:hAnsiTheme="minorHAnsi"/>
              </w:rPr>
              <w:t>Year 1</w:t>
            </w:r>
          </w:p>
        </w:tc>
        <w:tc>
          <w:tcPr>
            <w:tcW w:w="1276" w:type="dxa"/>
            <w:shd w:val="clear" w:color="auto" w:fill="D9D9D9" w:themeFill="background1" w:themeFillShade="D9"/>
          </w:tcPr>
          <w:p w14:paraId="5E99889F" w14:textId="77777777" w:rsidR="001C45C0" w:rsidRPr="00B50A81" w:rsidRDefault="001C45C0" w:rsidP="001C45C0">
            <w:pPr>
              <w:keepNext/>
              <w:tabs>
                <w:tab w:val="left" w:pos="720"/>
              </w:tabs>
              <w:rPr>
                <w:rFonts w:asciiTheme="minorHAnsi" w:hAnsiTheme="minorHAnsi"/>
              </w:rPr>
            </w:pPr>
            <w:r w:rsidRPr="00B50A81">
              <w:rPr>
                <w:rFonts w:asciiTheme="minorHAnsi" w:hAnsiTheme="minorHAnsi"/>
              </w:rPr>
              <w:t>Year 2</w:t>
            </w:r>
          </w:p>
        </w:tc>
        <w:tc>
          <w:tcPr>
            <w:tcW w:w="1276" w:type="dxa"/>
            <w:shd w:val="clear" w:color="auto" w:fill="D9D9D9" w:themeFill="background1" w:themeFillShade="D9"/>
          </w:tcPr>
          <w:p w14:paraId="431B13E1" w14:textId="77777777" w:rsidR="001C45C0" w:rsidRPr="00B50A81" w:rsidRDefault="001C45C0" w:rsidP="001C45C0">
            <w:pPr>
              <w:keepNext/>
              <w:tabs>
                <w:tab w:val="left" w:pos="720"/>
              </w:tabs>
              <w:rPr>
                <w:rFonts w:asciiTheme="minorHAnsi" w:hAnsiTheme="minorHAnsi"/>
              </w:rPr>
            </w:pPr>
            <w:r w:rsidRPr="00B50A81">
              <w:rPr>
                <w:rFonts w:asciiTheme="minorHAnsi" w:hAnsiTheme="minorHAnsi"/>
              </w:rPr>
              <w:t>Year 3</w:t>
            </w:r>
          </w:p>
        </w:tc>
        <w:tc>
          <w:tcPr>
            <w:tcW w:w="1276" w:type="dxa"/>
            <w:shd w:val="clear" w:color="auto" w:fill="D9D9D9" w:themeFill="background1" w:themeFillShade="D9"/>
          </w:tcPr>
          <w:p w14:paraId="00D66999" w14:textId="77777777" w:rsidR="001C45C0" w:rsidRPr="00B50A81" w:rsidRDefault="001C45C0" w:rsidP="001C45C0">
            <w:pPr>
              <w:keepNext/>
              <w:tabs>
                <w:tab w:val="left" w:pos="720"/>
              </w:tabs>
              <w:rPr>
                <w:rFonts w:asciiTheme="minorHAnsi" w:hAnsiTheme="minorHAnsi"/>
              </w:rPr>
            </w:pPr>
            <w:r w:rsidRPr="00B50A81">
              <w:rPr>
                <w:rFonts w:asciiTheme="minorHAnsi" w:hAnsiTheme="minorHAnsi"/>
              </w:rPr>
              <w:t>Year 4</w:t>
            </w:r>
          </w:p>
        </w:tc>
        <w:tc>
          <w:tcPr>
            <w:tcW w:w="1184" w:type="dxa"/>
            <w:shd w:val="clear" w:color="auto" w:fill="D9D9D9" w:themeFill="background1" w:themeFillShade="D9"/>
          </w:tcPr>
          <w:p w14:paraId="3C9DB14E" w14:textId="77777777" w:rsidR="001C45C0" w:rsidRPr="00B50A81" w:rsidRDefault="001C45C0" w:rsidP="001C45C0">
            <w:pPr>
              <w:keepNext/>
              <w:tabs>
                <w:tab w:val="left" w:pos="720"/>
              </w:tabs>
              <w:rPr>
                <w:rFonts w:asciiTheme="minorHAnsi" w:hAnsiTheme="minorHAnsi"/>
              </w:rPr>
            </w:pPr>
            <w:r w:rsidRPr="00B50A81">
              <w:rPr>
                <w:rFonts w:asciiTheme="minorHAnsi" w:hAnsiTheme="minorHAnsi"/>
              </w:rPr>
              <w:t>Year 5</w:t>
            </w:r>
          </w:p>
        </w:tc>
      </w:tr>
      <w:tr w:rsidR="001C45C0" w:rsidRPr="00B50A81" w14:paraId="2A7FD5F1" w14:textId="77777777" w:rsidTr="00D571C9">
        <w:tc>
          <w:tcPr>
            <w:tcW w:w="8522" w:type="dxa"/>
            <w:gridSpan w:val="6"/>
          </w:tcPr>
          <w:p w14:paraId="26EE9967" w14:textId="77777777" w:rsidR="001C45C0" w:rsidRPr="00B50A81" w:rsidRDefault="001C45C0" w:rsidP="001C45C0">
            <w:pPr>
              <w:tabs>
                <w:tab w:val="left" w:pos="720"/>
              </w:tabs>
              <w:rPr>
                <w:rFonts w:asciiTheme="minorHAnsi" w:hAnsiTheme="minorHAnsi"/>
                <w:b/>
                <w:u w:val="single"/>
              </w:rPr>
            </w:pPr>
            <w:r w:rsidRPr="00B50A81">
              <w:rPr>
                <w:rFonts w:asciiTheme="minorHAnsi" w:hAnsiTheme="minorHAnsi"/>
                <w:b/>
                <w:u w:val="single"/>
              </w:rPr>
              <w:t xml:space="preserve">Testing Costs </w:t>
            </w:r>
            <w:r w:rsidRPr="00B50A81">
              <w:rPr>
                <w:rFonts w:asciiTheme="minorHAnsi" w:hAnsiTheme="minorHAnsi"/>
                <w:sz w:val="16"/>
                <w:szCs w:val="16"/>
              </w:rPr>
              <w:t>Costings assumed uptake of testing- 37% (base case 100%)</w:t>
            </w:r>
          </w:p>
        </w:tc>
      </w:tr>
      <w:tr w:rsidR="001C45C0" w:rsidRPr="00B50A81" w14:paraId="733AAC39" w14:textId="77777777" w:rsidTr="00D571C9">
        <w:tc>
          <w:tcPr>
            <w:tcW w:w="2235" w:type="dxa"/>
            <w:vAlign w:val="center"/>
          </w:tcPr>
          <w:p w14:paraId="053F4A02" w14:textId="77777777" w:rsidR="001C45C0" w:rsidRPr="00B50A81" w:rsidRDefault="001C45C0" w:rsidP="001C45C0">
            <w:pPr>
              <w:rPr>
                <w:rFonts w:asciiTheme="minorHAnsi" w:hAnsiTheme="minorHAnsi"/>
                <w:bCs/>
                <w:sz w:val="20"/>
              </w:rPr>
            </w:pPr>
            <w:r w:rsidRPr="00B50A81">
              <w:rPr>
                <w:rFonts w:asciiTheme="minorHAnsi" w:hAnsiTheme="minorHAnsi"/>
                <w:bCs/>
                <w:sz w:val="20"/>
              </w:rPr>
              <w:t>Incident mCRC cases</w:t>
            </w:r>
          </w:p>
        </w:tc>
        <w:tc>
          <w:tcPr>
            <w:tcW w:w="1275" w:type="dxa"/>
            <w:vAlign w:val="center"/>
          </w:tcPr>
          <w:p w14:paraId="6806DED4" w14:textId="77777777" w:rsidR="001C45C0" w:rsidRPr="00B50A81" w:rsidRDefault="001C45C0" w:rsidP="001C45C0">
            <w:pPr>
              <w:jc w:val="right"/>
              <w:rPr>
                <w:rFonts w:asciiTheme="minorHAnsi" w:hAnsiTheme="minorHAnsi"/>
                <w:sz w:val="20"/>
              </w:rPr>
            </w:pPr>
            <w:r w:rsidRPr="00B50A81">
              <w:rPr>
                <w:rFonts w:asciiTheme="minorHAnsi" w:hAnsiTheme="minorHAnsi"/>
                <w:sz w:val="20"/>
              </w:rPr>
              <w:t>6046</w:t>
            </w:r>
          </w:p>
        </w:tc>
        <w:tc>
          <w:tcPr>
            <w:tcW w:w="1276" w:type="dxa"/>
            <w:vAlign w:val="center"/>
          </w:tcPr>
          <w:p w14:paraId="6A9F5C61" w14:textId="77777777" w:rsidR="001C45C0" w:rsidRPr="00B50A81" w:rsidRDefault="001C45C0" w:rsidP="001C45C0">
            <w:pPr>
              <w:jc w:val="right"/>
              <w:rPr>
                <w:rFonts w:asciiTheme="minorHAnsi" w:hAnsiTheme="minorHAnsi"/>
                <w:sz w:val="20"/>
              </w:rPr>
            </w:pPr>
            <w:r w:rsidRPr="00B50A81">
              <w:rPr>
                <w:rFonts w:asciiTheme="minorHAnsi" w:hAnsiTheme="minorHAnsi"/>
                <w:sz w:val="20"/>
              </w:rPr>
              <w:t>6218</w:t>
            </w:r>
          </w:p>
        </w:tc>
        <w:tc>
          <w:tcPr>
            <w:tcW w:w="1276" w:type="dxa"/>
            <w:vAlign w:val="center"/>
          </w:tcPr>
          <w:p w14:paraId="7EA7EE9E" w14:textId="77777777" w:rsidR="001C45C0" w:rsidRPr="00B50A81" w:rsidRDefault="001C45C0" w:rsidP="001C45C0">
            <w:pPr>
              <w:jc w:val="right"/>
              <w:rPr>
                <w:rFonts w:asciiTheme="minorHAnsi" w:hAnsiTheme="minorHAnsi"/>
                <w:sz w:val="20"/>
              </w:rPr>
            </w:pPr>
            <w:r w:rsidRPr="00B50A81">
              <w:rPr>
                <w:rFonts w:asciiTheme="minorHAnsi" w:hAnsiTheme="minorHAnsi"/>
                <w:sz w:val="20"/>
              </w:rPr>
              <w:t>6391</w:t>
            </w:r>
          </w:p>
        </w:tc>
        <w:tc>
          <w:tcPr>
            <w:tcW w:w="1276" w:type="dxa"/>
            <w:vAlign w:val="center"/>
          </w:tcPr>
          <w:p w14:paraId="0B7A2D7F" w14:textId="77777777" w:rsidR="001C45C0" w:rsidRPr="00B50A81" w:rsidRDefault="001C45C0" w:rsidP="001C45C0">
            <w:pPr>
              <w:jc w:val="right"/>
              <w:rPr>
                <w:rFonts w:asciiTheme="minorHAnsi" w:hAnsiTheme="minorHAnsi"/>
                <w:sz w:val="20"/>
              </w:rPr>
            </w:pPr>
            <w:r w:rsidRPr="00B50A81">
              <w:rPr>
                <w:rFonts w:asciiTheme="minorHAnsi" w:hAnsiTheme="minorHAnsi"/>
                <w:sz w:val="20"/>
              </w:rPr>
              <w:t>6567</w:t>
            </w:r>
          </w:p>
        </w:tc>
        <w:tc>
          <w:tcPr>
            <w:tcW w:w="1184" w:type="dxa"/>
            <w:vAlign w:val="center"/>
          </w:tcPr>
          <w:p w14:paraId="69300B9E" w14:textId="77777777" w:rsidR="001C45C0" w:rsidRPr="00B50A81" w:rsidRDefault="001C45C0" w:rsidP="001C45C0">
            <w:pPr>
              <w:jc w:val="right"/>
              <w:rPr>
                <w:rFonts w:asciiTheme="minorHAnsi" w:hAnsiTheme="minorHAnsi"/>
                <w:sz w:val="20"/>
              </w:rPr>
            </w:pPr>
            <w:r w:rsidRPr="00B50A81">
              <w:rPr>
                <w:rFonts w:asciiTheme="minorHAnsi" w:hAnsiTheme="minorHAnsi"/>
                <w:sz w:val="20"/>
              </w:rPr>
              <w:t>6747</w:t>
            </w:r>
          </w:p>
        </w:tc>
      </w:tr>
      <w:tr w:rsidR="001C45C0" w:rsidRPr="00B50A81" w14:paraId="311BBE55" w14:textId="77777777" w:rsidTr="00D571C9">
        <w:tc>
          <w:tcPr>
            <w:tcW w:w="2235" w:type="dxa"/>
            <w:vAlign w:val="center"/>
          </w:tcPr>
          <w:p w14:paraId="2CEE0244" w14:textId="77777777" w:rsidR="001C45C0" w:rsidRPr="00B50A81" w:rsidRDefault="001C45C0" w:rsidP="001C45C0">
            <w:pPr>
              <w:rPr>
                <w:rFonts w:asciiTheme="minorHAnsi" w:hAnsiTheme="minorHAnsi"/>
                <w:bCs/>
                <w:sz w:val="20"/>
              </w:rPr>
            </w:pPr>
            <w:r w:rsidRPr="00B50A81">
              <w:rPr>
                <w:rFonts w:asciiTheme="minorHAnsi" w:hAnsiTheme="minorHAnsi"/>
                <w:bCs/>
                <w:sz w:val="20"/>
              </w:rPr>
              <w:t xml:space="preserve">Uptake of </w:t>
            </w:r>
            <w:r w:rsidRPr="00B50A81">
              <w:rPr>
                <w:rFonts w:asciiTheme="minorHAnsi" w:hAnsiTheme="minorHAnsi"/>
                <w:bCs/>
                <w:i/>
                <w:sz w:val="20"/>
              </w:rPr>
              <w:t>KRAS</w:t>
            </w:r>
            <w:r w:rsidRPr="00B50A81">
              <w:rPr>
                <w:rFonts w:asciiTheme="minorHAnsi" w:hAnsiTheme="minorHAnsi"/>
                <w:bCs/>
                <w:sz w:val="20"/>
              </w:rPr>
              <w:t xml:space="preserve"> mutation testing</w:t>
            </w:r>
          </w:p>
        </w:tc>
        <w:tc>
          <w:tcPr>
            <w:tcW w:w="1275" w:type="dxa"/>
            <w:vAlign w:val="center"/>
          </w:tcPr>
          <w:p w14:paraId="41D9B269" w14:textId="77777777" w:rsidR="001C45C0" w:rsidRPr="00B50A81" w:rsidRDefault="001C45C0" w:rsidP="001C45C0">
            <w:pPr>
              <w:jc w:val="right"/>
              <w:rPr>
                <w:rFonts w:asciiTheme="minorHAnsi" w:hAnsiTheme="minorHAnsi"/>
                <w:bCs/>
                <w:sz w:val="20"/>
              </w:rPr>
            </w:pPr>
            <w:r w:rsidRPr="00B50A81">
              <w:rPr>
                <w:rFonts w:asciiTheme="minorHAnsi" w:hAnsiTheme="minorHAnsi"/>
                <w:bCs/>
                <w:sz w:val="20"/>
              </w:rPr>
              <w:t>37%</w:t>
            </w:r>
          </w:p>
        </w:tc>
        <w:tc>
          <w:tcPr>
            <w:tcW w:w="1276" w:type="dxa"/>
            <w:vAlign w:val="center"/>
          </w:tcPr>
          <w:p w14:paraId="579E3977" w14:textId="77777777" w:rsidR="001C45C0" w:rsidRPr="00B50A81" w:rsidRDefault="001C45C0" w:rsidP="001C45C0">
            <w:pPr>
              <w:jc w:val="right"/>
              <w:rPr>
                <w:rFonts w:asciiTheme="minorHAnsi" w:hAnsiTheme="minorHAnsi"/>
                <w:bCs/>
                <w:sz w:val="20"/>
              </w:rPr>
            </w:pPr>
            <w:r w:rsidRPr="00B50A81">
              <w:rPr>
                <w:rFonts w:asciiTheme="minorHAnsi" w:hAnsiTheme="minorHAnsi"/>
                <w:bCs/>
                <w:sz w:val="20"/>
              </w:rPr>
              <w:t>37%</w:t>
            </w:r>
          </w:p>
        </w:tc>
        <w:tc>
          <w:tcPr>
            <w:tcW w:w="1276" w:type="dxa"/>
            <w:vAlign w:val="center"/>
          </w:tcPr>
          <w:p w14:paraId="6C0F6378" w14:textId="77777777" w:rsidR="001C45C0" w:rsidRPr="00B50A81" w:rsidRDefault="001C45C0" w:rsidP="001C45C0">
            <w:pPr>
              <w:jc w:val="right"/>
              <w:rPr>
                <w:rFonts w:asciiTheme="minorHAnsi" w:hAnsiTheme="minorHAnsi"/>
                <w:bCs/>
                <w:sz w:val="20"/>
              </w:rPr>
            </w:pPr>
            <w:r w:rsidRPr="00B50A81">
              <w:rPr>
                <w:rFonts w:asciiTheme="minorHAnsi" w:hAnsiTheme="minorHAnsi"/>
                <w:bCs/>
                <w:sz w:val="20"/>
              </w:rPr>
              <w:t>37%</w:t>
            </w:r>
          </w:p>
        </w:tc>
        <w:tc>
          <w:tcPr>
            <w:tcW w:w="1276" w:type="dxa"/>
            <w:vAlign w:val="center"/>
          </w:tcPr>
          <w:p w14:paraId="2567D93F" w14:textId="77777777" w:rsidR="001C45C0" w:rsidRPr="00B50A81" w:rsidRDefault="001C45C0" w:rsidP="001C45C0">
            <w:pPr>
              <w:jc w:val="right"/>
              <w:rPr>
                <w:rFonts w:asciiTheme="minorHAnsi" w:hAnsiTheme="minorHAnsi"/>
                <w:bCs/>
                <w:sz w:val="20"/>
              </w:rPr>
            </w:pPr>
            <w:r w:rsidRPr="00B50A81">
              <w:rPr>
                <w:rFonts w:asciiTheme="minorHAnsi" w:hAnsiTheme="minorHAnsi"/>
                <w:bCs/>
                <w:sz w:val="20"/>
              </w:rPr>
              <w:t>37%</w:t>
            </w:r>
          </w:p>
        </w:tc>
        <w:tc>
          <w:tcPr>
            <w:tcW w:w="1184" w:type="dxa"/>
            <w:vAlign w:val="center"/>
          </w:tcPr>
          <w:p w14:paraId="1C0619E2" w14:textId="77777777" w:rsidR="001C45C0" w:rsidRPr="00B50A81" w:rsidRDefault="001C45C0" w:rsidP="001C45C0">
            <w:pPr>
              <w:jc w:val="right"/>
              <w:rPr>
                <w:rFonts w:asciiTheme="minorHAnsi" w:hAnsiTheme="minorHAnsi"/>
                <w:bCs/>
                <w:sz w:val="20"/>
              </w:rPr>
            </w:pPr>
            <w:r w:rsidRPr="00B50A81">
              <w:rPr>
                <w:rFonts w:asciiTheme="minorHAnsi" w:hAnsiTheme="minorHAnsi"/>
                <w:bCs/>
                <w:sz w:val="20"/>
              </w:rPr>
              <w:t>37%</w:t>
            </w:r>
          </w:p>
        </w:tc>
      </w:tr>
      <w:tr w:rsidR="001C45C0" w:rsidRPr="00B50A81" w14:paraId="5A05A42B" w14:textId="77777777" w:rsidTr="00D571C9">
        <w:tc>
          <w:tcPr>
            <w:tcW w:w="2235" w:type="dxa"/>
            <w:vAlign w:val="center"/>
          </w:tcPr>
          <w:p w14:paraId="10618472" w14:textId="77777777" w:rsidR="001C45C0" w:rsidRPr="00B50A81" w:rsidRDefault="001C45C0" w:rsidP="001C45C0">
            <w:pPr>
              <w:rPr>
                <w:rFonts w:asciiTheme="minorHAnsi" w:hAnsiTheme="minorHAnsi"/>
                <w:bCs/>
                <w:sz w:val="20"/>
              </w:rPr>
            </w:pPr>
            <w:r w:rsidRPr="00B50A81">
              <w:rPr>
                <w:rFonts w:asciiTheme="minorHAnsi" w:hAnsiTheme="minorHAnsi"/>
                <w:bCs/>
                <w:sz w:val="20"/>
              </w:rPr>
              <w:t xml:space="preserve">Number of </w:t>
            </w:r>
            <w:r w:rsidRPr="00B50A81">
              <w:rPr>
                <w:rFonts w:asciiTheme="minorHAnsi" w:hAnsiTheme="minorHAnsi"/>
                <w:bCs/>
                <w:i/>
                <w:sz w:val="20"/>
              </w:rPr>
              <w:t>KRAS</w:t>
            </w:r>
            <w:r w:rsidRPr="00B50A81">
              <w:rPr>
                <w:rFonts w:asciiTheme="minorHAnsi" w:hAnsiTheme="minorHAnsi"/>
                <w:bCs/>
                <w:sz w:val="20"/>
              </w:rPr>
              <w:t xml:space="preserve"> mutation tests offset</w:t>
            </w:r>
          </w:p>
        </w:tc>
        <w:tc>
          <w:tcPr>
            <w:tcW w:w="1275" w:type="dxa"/>
            <w:vAlign w:val="bottom"/>
          </w:tcPr>
          <w:p w14:paraId="0822BA6C" w14:textId="77777777" w:rsidR="001C45C0" w:rsidRPr="00B50A81" w:rsidRDefault="001C45C0" w:rsidP="001C45C0">
            <w:pPr>
              <w:jc w:val="right"/>
              <w:rPr>
                <w:rFonts w:asciiTheme="minorHAnsi" w:hAnsiTheme="minorHAnsi"/>
                <w:sz w:val="20"/>
              </w:rPr>
            </w:pPr>
            <w:r w:rsidRPr="00B50A81">
              <w:rPr>
                <w:rFonts w:asciiTheme="minorHAnsi" w:hAnsiTheme="minorHAnsi"/>
                <w:sz w:val="20"/>
              </w:rPr>
              <w:t>2208</w:t>
            </w:r>
          </w:p>
        </w:tc>
        <w:tc>
          <w:tcPr>
            <w:tcW w:w="1276" w:type="dxa"/>
            <w:vAlign w:val="bottom"/>
          </w:tcPr>
          <w:p w14:paraId="37566CC5" w14:textId="77777777" w:rsidR="001C45C0" w:rsidRPr="00B50A81" w:rsidRDefault="001C45C0" w:rsidP="001C45C0">
            <w:pPr>
              <w:jc w:val="right"/>
              <w:rPr>
                <w:rFonts w:asciiTheme="minorHAnsi" w:hAnsiTheme="minorHAnsi"/>
                <w:sz w:val="20"/>
              </w:rPr>
            </w:pPr>
            <w:r w:rsidRPr="00B50A81">
              <w:rPr>
                <w:rFonts w:asciiTheme="minorHAnsi" w:hAnsiTheme="minorHAnsi"/>
                <w:sz w:val="20"/>
              </w:rPr>
              <w:t>2271</w:t>
            </w:r>
          </w:p>
        </w:tc>
        <w:tc>
          <w:tcPr>
            <w:tcW w:w="1276" w:type="dxa"/>
            <w:vAlign w:val="bottom"/>
          </w:tcPr>
          <w:p w14:paraId="09978980" w14:textId="77777777" w:rsidR="001C45C0" w:rsidRPr="00B50A81" w:rsidRDefault="001C45C0" w:rsidP="001C45C0">
            <w:pPr>
              <w:jc w:val="right"/>
              <w:rPr>
                <w:rFonts w:asciiTheme="minorHAnsi" w:hAnsiTheme="minorHAnsi"/>
                <w:sz w:val="20"/>
              </w:rPr>
            </w:pPr>
            <w:r w:rsidRPr="00B50A81">
              <w:rPr>
                <w:rFonts w:asciiTheme="minorHAnsi" w:hAnsiTheme="minorHAnsi"/>
                <w:sz w:val="20"/>
              </w:rPr>
              <w:t>2335</w:t>
            </w:r>
          </w:p>
        </w:tc>
        <w:tc>
          <w:tcPr>
            <w:tcW w:w="1276" w:type="dxa"/>
            <w:vAlign w:val="bottom"/>
          </w:tcPr>
          <w:p w14:paraId="1582B55D" w14:textId="77777777" w:rsidR="001C45C0" w:rsidRPr="00B50A81" w:rsidRDefault="001C45C0" w:rsidP="001C45C0">
            <w:pPr>
              <w:jc w:val="right"/>
              <w:rPr>
                <w:rFonts w:asciiTheme="minorHAnsi" w:hAnsiTheme="minorHAnsi"/>
                <w:sz w:val="20"/>
              </w:rPr>
            </w:pPr>
            <w:r w:rsidRPr="00B50A81">
              <w:rPr>
                <w:rFonts w:asciiTheme="minorHAnsi" w:hAnsiTheme="minorHAnsi"/>
                <w:sz w:val="20"/>
              </w:rPr>
              <w:t>2399</w:t>
            </w:r>
          </w:p>
        </w:tc>
        <w:tc>
          <w:tcPr>
            <w:tcW w:w="1184" w:type="dxa"/>
            <w:vAlign w:val="bottom"/>
          </w:tcPr>
          <w:p w14:paraId="52747DA9" w14:textId="77777777" w:rsidR="001C45C0" w:rsidRPr="00B50A81" w:rsidRDefault="001C45C0" w:rsidP="001C45C0">
            <w:pPr>
              <w:jc w:val="right"/>
              <w:rPr>
                <w:rFonts w:asciiTheme="minorHAnsi" w:hAnsiTheme="minorHAnsi"/>
                <w:sz w:val="20"/>
              </w:rPr>
            </w:pPr>
            <w:r w:rsidRPr="00B50A81">
              <w:rPr>
                <w:rFonts w:asciiTheme="minorHAnsi" w:hAnsiTheme="minorHAnsi"/>
                <w:sz w:val="20"/>
              </w:rPr>
              <w:t>2465</w:t>
            </w:r>
          </w:p>
        </w:tc>
      </w:tr>
      <w:tr w:rsidR="001C45C0" w:rsidRPr="00B50A81" w14:paraId="276C11EB" w14:textId="77777777" w:rsidTr="00D571C9">
        <w:tc>
          <w:tcPr>
            <w:tcW w:w="2235" w:type="dxa"/>
            <w:vAlign w:val="center"/>
          </w:tcPr>
          <w:p w14:paraId="2577F56B" w14:textId="77777777" w:rsidR="001C45C0" w:rsidRPr="00B50A81" w:rsidRDefault="001C45C0" w:rsidP="001C45C0">
            <w:pPr>
              <w:rPr>
                <w:rFonts w:asciiTheme="minorHAnsi" w:hAnsiTheme="minorHAnsi"/>
                <w:bCs/>
                <w:sz w:val="20"/>
              </w:rPr>
            </w:pPr>
            <w:r w:rsidRPr="00B50A81">
              <w:rPr>
                <w:rFonts w:asciiTheme="minorHAnsi" w:hAnsiTheme="minorHAnsi"/>
                <w:bCs/>
                <w:sz w:val="20"/>
              </w:rPr>
              <w:t xml:space="preserve">Cost of </w:t>
            </w:r>
            <w:r w:rsidRPr="00B50A81">
              <w:rPr>
                <w:rFonts w:asciiTheme="minorHAnsi" w:hAnsiTheme="minorHAnsi"/>
                <w:bCs/>
                <w:i/>
                <w:sz w:val="20"/>
              </w:rPr>
              <w:t>KRAS</w:t>
            </w:r>
            <w:r w:rsidRPr="00B50A81">
              <w:rPr>
                <w:rFonts w:asciiTheme="minorHAnsi" w:hAnsiTheme="minorHAnsi"/>
                <w:bCs/>
                <w:sz w:val="20"/>
              </w:rPr>
              <w:t xml:space="preserve"> mutation testing off set</w:t>
            </w:r>
          </w:p>
        </w:tc>
        <w:tc>
          <w:tcPr>
            <w:tcW w:w="1275" w:type="dxa"/>
            <w:vAlign w:val="bottom"/>
          </w:tcPr>
          <w:p w14:paraId="060EBDA7" w14:textId="77777777" w:rsidR="001C45C0" w:rsidRPr="00B50A81" w:rsidRDefault="001C45C0" w:rsidP="001C45C0">
            <w:pPr>
              <w:jc w:val="right"/>
              <w:rPr>
                <w:rFonts w:asciiTheme="minorHAnsi" w:hAnsiTheme="minorHAnsi"/>
                <w:bCs/>
                <w:sz w:val="20"/>
              </w:rPr>
            </w:pPr>
            <w:r w:rsidRPr="00B50A81">
              <w:rPr>
                <w:rFonts w:asciiTheme="minorHAnsi" w:hAnsiTheme="minorHAnsi"/>
                <w:bCs/>
                <w:sz w:val="20"/>
              </w:rPr>
              <w:t>$510,001</w:t>
            </w:r>
          </w:p>
        </w:tc>
        <w:tc>
          <w:tcPr>
            <w:tcW w:w="1276" w:type="dxa"/>
            <w:vAlign w:val="bottom"/>
          </w:tcPr>
          <w:p w14:paraId="7E8E507C" w14:textId="77777777" w:rsidR="001C45C0" w:rsidRPr="00B50A81" w:rsidRDefault="001C45C0" w:rsidP="001C45C0">
            <w:pPr>
              <w:jc w:val="right"/>
              <w:rPr>
                <w:rFonts w:asciiTheme="minorHAnsi" w:hAnsiTheme="minorHAnsi"/>
                <w:bCs/>
                <w:sz w:val="20"/>
              </w:rPr>
            </w:pPr>
            <w:r w:rsidRPr="00B50A81">
              <w:rPr>
                <w:rFonts w:asciiTheme="minorHAnsi" w:hAnsiTheme="minorHAnsi"/>
                <w:bCs/>
                <w:sz w:val="20"/>
              </w:rPr>
              <w:t>$524,515</w:t>
            </w:r>
          </w:p>
        </w:tc>
        <w:tc>
          <w:tcPr>
            <w:tcW w:w="1276" w:type="dxa"/>
            <w:vAlign w:val="bottom"/>
          </w:tcPr>
          <w:p w14:paraId="34B29451" w14:textId="77777777" w:rsidR="001C45C0" w:rsidRPr="00B50A81" w:rsidRDefault="001C45C0" w:rsidP="001C45C0">
            <w:pPr>
              <w:jc w:val="right"/>
              <w:rPr>
                <w:rFonts w:asciiTheme="minorHAnsi" w:hAnsiTheme="minorHAnsi"/>
                <w:bCs/>
                <w:sz w:val="20"/>
              </w:rPr>
            </w:pPr>
            <w:r w:rsidRPr="00B50A81">
              <w:rPr>
                <w:rFonts w:asciiTheme="minorHAnsi" w:hAnsiTheme="minorHAnsi"/>
                <w:bCs/>
                <w:sz w:val="20"/>
              </w:rPr>
              <w:t>$539,181</w:t>
            </w:r>
          </w:p>
        </w:tc>
        <w:tc>
          <w:tcPr>
            <w:tcW w:w="1276" w:type="dxa"/>
            <w:vAlign w:val="bottom"/>
          </w:tcPr>
          <w:p w14:paraId="41F0B73A" w14:textId="77777777" w:rsidR="001C45C0" w:rsidRPr="00B50A81" w:rsidRDefault="001C45C0" w:rsidP="001C45C0">
            <w:pPr>
              <w:jc w:val="right"/>
              <w:rPr>
                <w:rFonts w:asciiTheme="minorHAnsi" w:hAnsiTheme="minorHAnsi"/>
                <w:bCs/>
                <w:sz w:val="20"/>
              </w:rPr>
            </w:pPr>
            <w:r w:rsidRPr="00B50A81">
              <w:rPr>
                <w:rFonts w:asciiTheme="minorHAnsi" w:hAnsiTheme="minorHAnsi"/>
                <w:bCs/>
                <w:sz w:val="20"/>
              </w:rPr>
              <w:t>$553,952</w:t>
            </w:r>
          </w:p>
        </w:tc>
        <w:tc>
          <w:tcPr>
            <w:tcW w:w="1184" w:type="dxa"/>
            <w:vAlign w:val="bottom"/>
          </w:tcPr>
          <w:p w14:paraId="4AB1F0B4" w14:textId="77777777" w:rsidR="001C45C0" w:rsidRPr="00B50A81" w:rsidRDefault="001C45C0" w:rsidP="001C45C0">
            <w:pPr>
              <w:jc w:val="right"/>
              <w:rPr>
                <w:rFonts w:asciiTheme="minorHAnsi" w:hAnsiTheme="minorHAnsi"/>
                <w:bCs/>
                <w:sz w:val="20"/>
              </w:rPr>
            </w:pPr>
            <w:r w:rsidRPr="00B50A81">
              <w:rPr>
                <w:rFonts w:asciiTheme="minorHAnsi" w:hAnsiTheme="minorHAnsi"/>
                <w:bCs/>
                <w:sz w:val="20"/>
              </w:rPr>
              <w:t>$569,204</w:t>
            </w:r>
          </w:p>
        </w:tc>
      </w:tr>
      <w:tr w:rsidR="001C45C0" w:rsidRPr="00B50A81" w14:paraId="79ECE28A" w14:textId="77777777" w:rsidTr="00D571C9">
        <w:tc>
          <w:tcPr>
            <w:tcW w:w="2235" w:type="dxa"/>
            <w:vAlign w:val="center"/>
          </w:tcPr>
          <w:p w14:paraId="77F826C1" w14:textId="77777777" w:rsidR="001C45C0" w:rsidRPr="00B50A81" w:rsidRDefault="001C45C0" w:rsidP="001C45C0">
            <w:pPr>
              <w:rPr>
                <w:rFonts w:asciiTheme="minorHAnsi" w:hAnsiTheme="minorHAnsi"/>
                <w:sz w:val="20"/>
              </w:rPr>
            </w:pPr>
            <w:r w:rsidRPr="00B50A81">
              <w:rPr>
                <w:rFonts w:asciiTheme="minorHAnsi" w:hAnsiTheme="minorHAnsi"/>
                <w:bCs/>
                <w:sz w:val="20"/>
              </w:rPr>
              <w:t xml:space="preserve">Cost of </w:t>
            </w:r>
            <w:r w:rsidRPr="00B50A81">
              <w:rPr>
                <w:rFonts w:asciiTheme="minorHAnsi" w:hAnsiTheme="minorHAnsi"/>
                <w:bCs/>
                <w:i/>
                <w:sz w:val="20"/>
              </w:rPr>
              <w:t>RAS</w:t>
            </w:r>
            <w:r w:rsidRPr="00B50A81">
              <w:rPr>
                <w:rFonts w:asciiTheme="minorHAnsi" w:hAnsiTheme="minorHAnsi"/>
                <w:bCs/>
                <w:sz w:val="20"/>
              </w:rPr>
              <w:t xml:space="preserve"> mutation testing </w:t>
            </w:r>
          </w:p>
        </w:tc>
        <w:tc>
          <w:tcPr>
            <w:tcW w:w="1275" w:type="dxa"/>
            <w:vAlign w:val="bottom"/>
          </w:tcPr>
          <w:p w14:paraId="05F3B7C6" w14:textId="77777777" w:rsidR="001C45C0" w:rsidRPr="00B50A81" w:rsidRDefault="001C45C0" w:rsidP="001C45C0">
            <w:pPr>
              <w:jc w:val="right"/>
              <w:rPr>
                <w:rFonts w:asciiTheme="minorHAnsi" w:hAnsiTheme="minorHAnsi"/>
                <w:bCs/>
                <w:sz w:val="20"/>
              </w:rPr>
            </w:pPr>
            <w:r w:rsidRPr="00B50A81">
              <w:rPr>
                <w:rFonts w:asciiTheme="minorHAnsi" w:hAnsiTheme="minorHAnsi"/>
                <w:bCs/>
                <w:sz w:val="20"/>
              </w:rPr>
              <w:t>$3,695,705</w:t>
            </w:r>
          </w:p>
        </w:tc>
        <w:tc>
          <w:tcPr>
            <w:tcW w:w="1276" w:type="dxa"/>
            <w:vAlign w:val="bottom"/>
          </w:tcPr>
          <w:p w14:paraId="71DDCB91" w14:textId="77777777" w:rsidR="001C45C0" w:rsidRPr="00B50A81" w:rsidRDefault="001C45C0" w:rsidP="001C45C0">
            <w:pPr>
              <w:jc w:val="right"/>
              <w:rPr>
                <w:rFonts w:asciiTheme="minorHAnsi" w:hAnsiTheme="minorHAnsi"/>
                <w:bCs/>
                <w:sz w:val="20"/>
              </w:rPr>
            </w:pPr>
            <w:r w:rsidRPr="00B50A81">
              <w:rPr>
                <w:rFonts w:asciiTheme="minorHAnsi" w:hAnsiTheme="minorHAnsi"/>
                <w:bCs/>
                <w:sz w:val="20"/>
              </w:rPr>
              <w:t>$3,538,623</w:t>
            </w:r>
          </w:p>
        </w:tc>
        <w:tc>
          <w:tcPr>
            <w:tcW w:w="1276" w:type="dxa"/>
            <w:vAlign w:val="bottom"/>
          </w:tcPr>
          <w:p w14:paraId="64D7730F" w14:textId="77777777" w:rsidR="001C45C0" w:rsidRPr="00B50A81" w:rsidRDefault="001C45C0" w:rsidP="001C45C0">
            <w:pPr>
              <w:jc w:val="right"/>
              <w:rPr>
                <w:rFonts w:asciiTheme="minorHAnsi" w:hAnsiTheme="minorHAnsi"/>
                <w:bCs/>
                <w:sz w:val="20"/>
              </w:rPr>
            </w:pPr>
            <w:r w:rsidRPr="00B50A81">
              <w:rPr>
                <w:rFonts w:asciiTheme="minorHAnsi" w:hAnsiTheme="minorHAnsi"/>
                <w:bCs/>
                <w:sz w:val="20"/>
              </w:rPr>
              <w:t>$3,367,975</w:t>
            </w:r>
          </w:p>
        </w:tc>
        <w:tc>
          <w:tcPr>
            <w:tcW w:w="1276" w:type="dxa"/>
            <w:vAlign w:val="bottom"/>
          </w:tcPr>
          <w:p w14:paraId="3865EA2E" w14:textId="77777777" w:rsidR="001C45C0" w:rsidRPr="00B50A81" w:rsidRDefault="001C45C0" w:rsidP="001C45C0">
            <w:pPr>
              <w:jc w:val="right"/>
              <w:rPr>
                <w:rFonts w:asciiTheme="minorHAnsi" w:hAnsiTheme="minorHAnsi"/>
                <w:bCs/>
                <w:sz w:val="20"/>
              </w:rPr>
            </w:pPr>
            <w:r w:rsidRPr="00B50A81">
              <w:rPr>
                <w:rFonts w:asciiTheme="minorHAnsi" w:hAnsiTheme="minorHAnsi"/>
                <w:bCs/>
                <w:sz w:val="20"/>
              </w:rPr>
              <w:t>$3,460,244</w:t>
            </w:r>
          </w:p>
        </w:tc>
        <w:tc>
          <w:tcPr>
            <w:tcW w:w="1184" w:type="dxa"/>
            <w:vAlign w:val="bottom"/>
          </w:tcPr>
          <w:p w14:paraId="38D5B77C" w14:textId="77777777" w:rsidR="001C45C0" w:rsidRPr="00B50A81" w:rsidRDefault="001C45C0" w:rsidP="001C45C0">
            <w:pPr>
              <w:jc w:val="right"/>
              <w:rPr>
                <w:rFonts w:asciiTheme="minorHAnsi" w:hAnsiTheme="minorHAnsi"/>
                <w:bCs/>
                <w:sz w:val="20"/>
              </w:rPr>
            </w:pPr>
            <w:r w:rsidRPr="00B50A81">
              <w:rPr>
                <w:rFonts w:asciiTheme="minorHAnsi" w:hAnsiTheme="minorHAnsi"/>
                <w:bCs/>
                <w:sz w:val="20"/>
              </w:rPr>
              <w:t>$3,555,516</w:t>
            </w:r>
          </w:p>
        </w:tc>
      </w:tr>
      <w:tr w:rsidR="001C45C0" w:rsidRPr="00B50A81" w14:paraId="7552A173" w14:textId="77777777" w:rsidTr="00D571C9">
        <w:tc>
          <w:tcPr>
            <w:tcW w:w="2235" w:type="dxa"/>
            <w:vAlign w:val="center"/>
          </w:tcPr>
          <w:p w14:paraId="0FBBC7D0" w14:textId="77777777" w:rsidR="001C45C0" w:rsidRPr="00B50A81" w:rsidRDefault="001C45C0" w:rsidP="001C45C0">
            <w:pPr>
              <w:rPr>
                <w:rFonts w:asciiTheme="minorHAnsi" w:hAnsiTheme="minorHAnsi"/>
                <w:bCs/>
                <w:sz w:val="20"/>
              </w:rPr>
            </w:pPr>
            <w:r w:rsidRPr="00B50A81">
              <w:rPr>
                <w:rFonts w:asciiTheme="minorHAnsi" w:hAnsiTheme="minorHAnsi"/>
                <w:bCs/>
                <w:sz w:val="20"/>
              </w:rPr>
              <w:t xml:space="preserve">Net cost of </w:t>
            </w:r>
            <w:r w:rsidRPr="00B50A81">
              <w:rPr>
                <w:rFonts w:asciiTheme="minorHAnsi" w:hAnsiTheme="minorHAnsi"/>
                <w:bCs/>
                <w:i/>
                <w:sz w:val="20"/>
              </w:rPr>
              <w:t>RAS</w:t>
            </w:r>
            <w:r w:rsidRPr="00B50A81">
              <w:rPr>
                <w:rFonts w:asciiTheme="minorHAnsi" w:hAnsiTheme="minorHAnsi"/>
                <w:bCs/>
                <w:sz w:val="20"/>
              </w:rPr>
              <w:t xml:space="preserve"> mutation testing</w:t>
            </w:r>
          </w:p>
        </w:tc>
        <w:tc>
          <w:tcPr>
            <w:tcW w:w="1275" w:type="dxa"/>
            <w:vAlign w:val="bottom"/>
          </w:tcPr>
          <w:p w14:paraId="31ED3DD2" w14:textId="77777777" w:rsidR="001C45C0" w:rsidRPr="00B50A81" w:rsidRDefault="001C45C0" w:rsidP="001C45C0">
            <w:pPr>
              <w:jc w:val="right"/>
              <w:rPr>
                <w:rFonts w:asciiTheme="minorHAnsi" w:hAnsiTheme="minorHAnsi"/>
                <w:b/>
                <w:bCs/>
                <w:sz w:val="20"/>
              </w:rPr>
            </w:pPr>
            <w:r w:rsidRPr="00B50A81">
              <w:rPr>
                <w:rFonts w:asciiTheme="minorHAnsi" w:hAnsiTheme="minorHAnsi"/>
                <w:b/>
                <w:bCs/>
                <w:sz w:val="20"/>
              </w:rPr>
              <w:t>$3,185,704</w:t>
            </w:r>
          </w:p>
        </w:tc>
        <w:tc>
          <w:tcPr>
            <w:tcW w:w="1276" w:type="dxa"/>
            <w:vAlign w:val="bottom"/>
          </w:tcPr>
          <w:p w14:paraId="75697129" w14:textId="77777777" w:rsidR="001C45C0" w:rsidRPr="00B50A81" w:rsidRDefault="001C45C0" w:rsidP="001C45C0">
            <w:pPr>
              <w:jc w:val="right"/>
              <w:rPr>
                <w:rFonts w:asciiTheme="minorHAnsi" w:hAnsiTheme="minorHAnsi"/>
                <w:b/>
                <w:bCs/>
                <w:sz w:val="20"/>
              </w:rPr>
            </w:pPr>
            <w:r w:rsidRPr="00B50A81">
              <w:rPr>
                <w:rFonts w:asciiTheme="minorHAnsi" w:hAnsiTheme="minorHAnsi"/>
                <w:b/>
                <w:bCs/>
                <w:sz w:val="20"/>
              </w:rPr>
              <w:t>$3,014,108</w:t>
            </w:r>
          </w:p>
        </w:tc>
        <w:tc>
          <w:tcPr>
            <w:tcW w:w="1276" w:type="dxa"/>
            <w:vAlign w:val="bottom"/>
          </w:tcPr>
          <w:p w14:paraId="692723DC" w14:textId="77777777" w:rsidR="001C45C0" w:rsidRPr="00B50A81" w:rsidRDefault="001C45C0" w:rsidP="001C45C0">
            <w:pPr>
              <w:jc w:val="right"/>
              <w:rPr>
                <w:rFonts w:asciiTheme="minorHAnsi" w:hAnsiTheme="minorHAnsi"/>
                <w:b/>
                <w:bCs/>
                <w:sz w:val="20"/>
              </w:rPr>
            </w:pPr>
            <w:r w:rsidRPr="00B50A81">
              <w:rPr>
                <w:rFonts w:asciiTheme="minorHAnsi" w:hAnsiTheme="minorHAnsi"/>
                <w:b/>
                <w:bCs/>
                <w:sz w:val="20"/>
              </w:rPr>
              <w:t>$2,828,794</w:t>
            </w:r>
          </w:p>
        </w:tc>
        <w:tc>
          <w:tcPr>
            <w:tcW w:w="1276" w:type="dxa"/>
            <w:vAlign w:val="bottom"/>
          </w:tcPr>
          <w:p w14:paraId="1D979367" w14:textId="77777777" w:rsidR="001C45C0" w:rsidRPr="00B50A81" w:rsidRDefault="001C45C0" w:rsidP="001C45C0">
            <w:pPr>
              <w:jc w:val="right"/>
              <w:rPr>
                <w:rFonts w:asciiTheme="minorHAnsi" w:hAnsiTheme="minorHAnsi"/>
                <w:b/>
                <w:bCs/>
                <w:sz w:val="20"/>
              </w:rPr>
            </w:pPr>
            <w:r w:rsidRPr="00B50A81">
              <w:rPr>
                <w:rFonts w:asciiTheme="minorHAnsi" w:hAnsiTheme="minorHAnsi"/>
                <w:b/>
                <w:bCs/>
                <w:sz w:val="20"/>
              </w:rPr>
              <w:t>$2,906,291</w:t>
            </w:r>
          </w:p>
        </w:tc>
        <w:tc>
          <w:tcPr>
            <w:tcW w:w="1184" w:type="dxa"/>
            <w:vAlign w:val="bottom"/>
          </w:tcPr>
          <w:p w14:paraId="5AFEA025" w14:textId="77777777" w:rsidR="001C45C0" w:rsidRPr="00B50A81" w:rsidRDefault="001C45C0" w:rsidP="001C45C0">
            <w:pPr>
              <w:jc w:val="right"/>
              <w:rPr>
                <w:rFonts w:asciiTheme="minorHAnsi" w:hAnsiTheme="minorHAnsi"/>
                <w:b/>
                <w:bCs/>
                <w:sz w:val="20"/>
              </w:rPr>
            </w:pPr>
            <w:r w:rsidRPr="00B50A81">
              <w:rPr>
                <w:rFonts w:asciiTheme="minorHAnsi" w:hAnsiTheme="minorHAnsi"/>
                <w:b/>
                <w:bCs/>
                <w:sz w:val="20"/>
              </w:rPr>
              <w:t>$2,986,312</w:t>
            </w:r>
          </w:p>
        </w:tc>
      </w:tr>
    </w:tbl>
    <w:p w14:paraId="3028E14C" w14:textId="65E8B1F6" w:rsidR="001C45C0" w:rsidRPr="004C0334" w:rsidRDefault="001C45C0" w:rsidP="00367A55">
      <w:pPr>
        <w:spacing w:before="240"/>
        <w:rPr>
          <w:rFonts w:asciiTheme="minorHAnsi" w:hAnsiTheme="minorHAnsi"/>
          <w:b/>
          <w:sz w:val="22"/>
          <w:szCs w:val="22"/>
          <w:u w:val="single"/>
        </w:rPr>
      </w:pPr>
      <w:r w:rsidRPr="004C0334">
        <w:rPr>
          <w:rFonts w:asciiTheme="minorHAnsi" w:hAnsiTheme="minorHAnsi"/>
          <w:b/>
          <w:sz w:val="22"/>
          <w:szCs w:val="22"/>
          <w:u w:val="single"/>
        </w:rPr>
        <w:t>Actual</w:t>
      </w:r>
    </w:p>
    <w:p w14:paraId="65924917" w14:textId="60CC7EC6" w:rsidR="001C45C0" w:rsidRPr="004C0334" w:rsidRDefault="001C45C0" w:rsidP="00367A55">
      <w:pPr>
        <w:spacing w:after="240"/>
        <w:rPr>
          <w:szCs w:val="24"/>
        </w:rPr>
      </w:pPr>
      <w:r w:rsidRPr="004C0334">
        <w:rPr>
          <w:szCs w:val="24"/>
        </w:rPr>
        <w:t>The utilisation of item 73338 is on par with the MBS costing model predictions.</w:t>
      </w:r>
    </w:p>
    <w:p w14:paraId="380AE760" w14:textId="7EE09B9D" w:rsidR="001C45C0" w:rsidRPr="004C0334" w:rsidRDefault="001C45C0" w:rsidP="004545EF">
      <w:pPr>
        <w:rPr>
          <w:szCs w:val="24"/>
        </w:rPr>
      </w:pPr>
      <w:r w:rsidRPr="004C0334">
        <w:rPr>
          <w:szCs w:val="24"/>
        </w:rPr>
        <w:t xml:space="preserve">There were 1,325 services in 2014-15 (57% of predicted volume), increasing to 2,654 services in 2015-16 (110% of predicted volume) and 2,287 services in 2016-17 (95% of </w:t>
      </w:r>
      <w:r w:rsidR="00367A55">
        <w:rPr>
          <w:szCs w:val="24"/>
        </w:rPr>
        <w:t>predicted volume), (Figure 1).</w:t>
      </w:r>
    </w:p>
    <w:p w14:paraId="155B168F" w14:textId="77777777" w:rsidR="001C45C0" w:rsidRPr="00367A55" w:rsidRDefault="001C45C0" w:rsidP="00367A55">
      <w:pPr>
        <w:spacing w:before="240"/>
        <w:rPr>
          <w:rFonts w:ascii="Arial Narrow" w:hAnsi="Arial Narrow"/>
          <w:b/>
          <w:sz w:val="20"/>
        </w:rPr>
      </w:pPr>
      <w:r w:rsidRPr="00367A55">
        <w:rPr>
          <w:rFonts w:ascii="Arial Narrow" w:hAnsi="Arial Narrow"/>
          <w:b/>
          <w:sz w:val="20"/>
        </w:rPr>
        <w:t xml:space="preserve">Figure 1: Predicted versus actual services of MBS item 73338 from 1 April 2014 to </w:t>
      </w:r>
      <w:r w:rsidRPr="00367A55">
        <w:rPr>
          <w:rFonts w:ascii="Arial Narrow" w:hAnsi="Arial Narrow"/>
          <w:b/>
          <w:sz w:val="20"/>
        </w:rPr>
        <w:br/>
        <w:t>30 June 2017 by date of service.</w:t>
      </w:r>
    </w:p>
    <w:p w14:paraId="627D26C4" w14:textId="77777777" w:rsidR="001C45C0" w:rsidRPr="00B50A81" w:rsidRDefault="001C45C0" w:rsidP="001C45C0">
      <w:pPr>
        <w:ind w:right="-199"/>
        <w:rPr>
          <w:rFonts w:asciiTheme="minorHAnsi" w:hAnsiTheme="minorHAnsi"/>
          <w:highlight w:val="yellow"/>
        </w:rPr>
      </w:pPr>
      <w:r w:rsidRPr="00B50A81">
        <w:rPr>
          <w:rFonts w:asciiTheme="minorHAnsi" w:hAnsiTheme="minorHAnsi"/>
          <w:noProof/>
        </w:rPr>
        <w:drawing>
          <wp:inline distT="0" distB="0" distL="0" distR="0" wp14:anchorId="254F7C4E" wp14:editId="435BC338">
            <wp:extent cx="4572000" cy="2743200"/>
            <wp:effectExtent l="0" t="0" r="19050" b="19050"/>
            <wp:docPr id="1" name="Chart 1" descr="Plots the predicted versus actual services from 2014-2017." title="Figure 1: Predicted versus actual services of MBS item 73338 from 1 April 2014 to "/>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6451D98" w14:textId="77777777" w:rsidR="001C45C0" w:rsidRPr="00B50A81" w:rsidRDefault="001C45C0" w:rsidP="001C45C0">
      <w:pPr>
        <w:rPr>
          <w:rStyle w:val="IntenseReference"/>
          <w:rFonts w:asciiTheme="minorHAnsi" w:hAnsiTheme="minorHAnsi"/>
          <w:bCs w:val="0"/>
          <w:i w:val="0"/>
          <w:smallCaps w:val="0"/>
          <w:sz w:val="6"/>
          <w:highlight w:val="yellow"/>
        </w:rPr>
      </w:pPr>
    </w:p>
    <w:p w14:paraId="2B4D7873" w14:textId="022EB085" w:rsidR="004545EF" w:rsidRPr="00367A55" w:rsidRDefault="001C45C0" w:rsidP="00367A55">
      <w:pPr>
        <w:spacing w:before="240"/>
      </w:pPr>
      <w:r w:rsidRPr="00367A55">
        <w:t>From 1 April 2014 to 31 January, 2018, Victoria/Tasmania had the highest utilisation with 3,821 services (approximately half of the total services billed to the item) (Table 2).</w:t>
      </w:r>
      <w:r w:rsidR="004545EF" w:rsidRPr="00367A55">
        <w:br w:type="page"/>
      </w:r>
    </w:p>
    <w:p w14:paraId="4939B4AD" w14:textId="5A48861A" w:rsidR="001C45C0" w:rsidRPr="004C0334" w:rsidRDefault="001C45C0" w:rsidP="004545EF">
      <w:pPr>
        <w:keepNext/>
        <w:rPr>
          <w:rFonts w:asciiTheme="minorHAnsi" w:hAnsiTheme="minorHAnsi"/>
          <w:b/>
          <w:sz w:val="20"/>
        </w:rPr>
      </w:pPr>
      <w:r w:rsidRPr="004C0334">
        <w:rPr>
          <w:rFonts w:asciiTheme="minorHAnsi" w:hAnsiTheme="minorHAnsi"/>
          <w:b/>
          <w:sz w:val="20"/>
        </w:rPr>
        <w:lastRenderedPageBreak/>
        <w:t>Table 2: Service volume of MBS item 73338 between 2014-15 and 2017-18 (to Jan 2018) (date of service)</w:t>
      </w:r>
    </w:p>
    <w:tbl>
      <w:tblPr>
        <w:tblW w:w="0" w:type="auto"/>
        <w:tblInd w:w="93" w:type="dxa"/>
        <w:tblLook w:val="04A0" w:firstRow="1" w:lastRow="0" w:firstColumn="1" w:lastColumn="0" w:noHBand="0" w:noVBand="1"/>
        <w:tblDescription w:val="MBS item 73338 service volumes from 2014-5 up to Jan 2018"/>
      </w:tblPr>
      <w:tblGrid>
        <w:gridCol w:w="1291"/>
        <w:gridCol w:w="1276"/>
        <w:gridCol w:w="1276"/>
        <w:gridCol w:w="1275"/>
        <w:gridCol w:w="1276"/>
        <w:gridCol w:w="992"/>
        <w:gridCol w:w="851"/>
      </w:tblGrid>
      <w:tr w:rsidR="001C45C0" w:rsidRPr="00B50A81" w14:paraId="79076E2D" w14:textId="77777777" w:rsidTr="001C45C0">
        <w:trPr>
          <w:trHeight w:val="255"/>
        </w:trPr>
        <w:tc>
          <w:tcPr>
            <w:tcW w:w="1291" w:type="dxa"/>
            <w:vMerge w:val="restart"/>
            <w:tcBorders>
              <w:bottom w:val="single" w:sz="4" w:space="0" w:color="auto"/>
              <w:right w:val="single" w:sz="4" w:space="0" w:color="auto"/>
            </w:tcBorders>
            <w:shd w:val="clear" w:color="auto" w:fill="auto"/>
            <w:noWrap/>
            <w:vAlign w:val="center"/>
            <w:hideMark/>
          </w:tcPr>
          <w:p w14:paraId="45D523B8" w14:textId="77777777" w:rsidR="001C45C0" w:rsidRPr="00B50A81" w:rsidRDefault="001C45C0" w:rsidP="001C45C0">
            <w:pPr>
              <w:jc w:val="center"/>
              <w:rPr>
                <w:rFonts w:asciiTheme="minorHAnsi" w:hAnsiTheme="minorHAnsi" w:cs="Arial"/>
                <w:b/>
                <w:bCs/>
                <w:color w:val="000000"/>
                <w:sz w:val="18"/>
                <w:szCs w:val="18"/>
              </w:rPr>
            </w:pPr>
            <w:r w:rsidRPr="00B50A81">
              <w:rPr>
                <w:rFonts w:asciiTheme="minorHAnsi" w:hAnsiTheme="minorHAnsi" w:cs="Arial"/>
                <w:b/>
                <w:bCs/>
                <w:color w:val="000000"/>
                <w:sz w:val="18"/>
                <w:szCs w:val="18"/>
              </w:rPr>
              <w:t xml:space="preserve"> </w:t>
            </w:r>
          </w:p>
        </w:tc>
        <w:tc>
          <w:tcPr>
            <w:tcW w:w="609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81FA4" w14:textId="77777777" w:rsidR="001C45C0" w:rsidRPr="00B50A81" w:rsidRDefault="001C45C0" w:rsidP="001C45C0">
            <w:pPr>
              <w:jc w:val="center"/>
              <w:rPr>
                <w:rFonts w:asciiTheme="minorHAnsi" w:hAnsiTheme="minorHAnsi" w:cs="Arial"/>
                <w:b/>
                <w:bCs/>
                <w:color w:val="000000"/>
                <w:sz w:val="18"/>
                <w:szCs w:val="18"/>
              </w:rPr>
            </w:pPr>
            <w:r w:rsidRPr="00B50A81">
              <w:rPr>
                <w:rFonts w:asciiTheme="minorHAnsi" w:hAnsiTheme="minorHAnsi" w:cs="Arial"/>
                <w:b/>
                <w:bCs/>
                <w:color w:val="000000"/>
                <w:sz w:val="18"/>
                <w:szCs w:val="18"/>
              </w:rPr>
              <w:t>State/Territory</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2893B" w14:textId="77777777" w:rsidR="001C45C0" w:rsidRPr="00B50A81" w:rsidRDefault="001C45C0" w:rsidP="001C45C0">
            <w:pPr>
              <w:jc w:val="center"/>
              <w:rPr>
                <w:rFonts w:asciiTheme="minorHAnsi" w:hAnsiTheme="minorHAnsi" w:cs="Arial"/>
                <w:b/>
                <w:bCs/>
                <w:color w:val="000000"/>
                <w:sz w:val="18"/>
                <w:szCs w:val="18"/>
              </w:rPr>
            </w:pPr>
            <w:r w:rsidRPr="00B50A81">
              <w:rPr>
                <w:rFonts w:asciiTheme="minorHAnsi" w:hAnsiTheme="minorHAnsi" w:cs="Arial"/>
                <w:b/>
                <w:bCs/>
                <w:color w:val="000000"/>
                <w:sz w:val="18"/>
                <w:szCs w:val="18"/>
              </w:rPr>
              <w:t>Total</w:t>
            </w:r>
          </w:p>
        </w:tc>
      </w:tr>
      <w:tr w:rsidR="001C45C0" w:rsidRPr="00B50A81" w14:paraId="28AC5B49" w14:textId="77777777" w:rsidTr="001C45C0">
        <w:trPr>
          <w:trHeight w:val="255"/>
        </w:trPr>
        <w:tc>
          <w:tcPr>
            <w:tcW w:w="1291" w:type="dxa"/>
            <w:vMerge/>
            <w:tcBorders>
              <w:top w:val="single" w:sz="4" w:space="0" w:color="auto"/>
              <w:bottom w:val="single" w:sz="4" w:space="0" w:color="auto"/>
              <w:right w:val="single" w:sz="4" w:space="0" w:color="auto"/>
            </w:tcBorders>
            <w:vAlign w:val="center"/>
            <w:hideMark/>
          </w:tcPr>
          <w:p w14:paraId="2D1ABB12" w14:textId="77777777" w:rsidR="001C45C0" w:rsidRPr="00B50A81" w:rsidRDefault="001C45C0" w:rsidP="001C45C0">
            <w:pPr>
              <w:rPr>
                <w:rFonts w:asciiTheme="minorHAnsi" w:hAnsiTheme="minorHAnsi" w:cs="Arial"/>
                <w:b/>
                <w:bCs/>
                <w:color w:val="000000"/>
                <w:sz w:val="18"/>
                <w:szCs w:val="18"/>
              </w:rPr>
            </w:pPr>
          </w:p>
        </w:tc>
        <w:tc>
          <w:tcPr>
            <w:tcW w:w="1276" w:type="dxa"/>
            <w:tcBorders>
              <w:top w:val="nil"/>
              <w:left w:val="nil"/>
              <w:bottom w:val="single" w:sz="4" w:space="0" w:color="auto"/>
              <w:right w:val="single" w:sz="4" w:space="0" w:color="auto"/>
            </w:tcBorders>
            <w:shd w:val="clear" w:color="auto" w:fill="548DD4" w:themeFill="text2" w:themeFillTint="99"/>
            <w:noWrap/>
            <w:vAlign w:val="center"/>
            <w:hideMark/>
          </w:tcPr>
          <w:p w14:paraId="75876BA4" w14:textId="77777777" w:rsidR="001C45C0" w:rsidRPr="00B50A81" w:rsidRDefault="001C45C0" w:rsidP="001C45C0">
            <w:pPr>
              <w:jc w:val="center"/>
              <w:rPr>
                <w:rFonts w:asciiTheme="minorHAnsi" w:hAnsiTheme="minorHAnsi" w:cs="Arial"/>
                <w:b/>
                <w:bCs/>
                <w:color w:val="FFFFFF" w:themeColor="background1"/>
                <w:sz w:val="18"/>
                <w:szCs w:val="18"/>
              </w:rPr>
            </w:pPr>
            <w:r w:rsidRPr="00B50A81">
              <w:rPr>
                <w:rFonts w:asciiTheme="minorHAnsi" w:hAnsiTheme="minorHAnsi" w:cs="Arial"/>
                <w:b/>
                <w:bCs/>
                <w:color w:val="FFFFFF" w:themeColor="background1"/>
                <w:sz w:val="18"/>
                <w:szCs w:val="18"/>
              </w:rPr>
              <w:t>NSW</w:t>
            </w:r>
            <w:r>
              <w:rPr>
                <w:rFonts w:asciiTheme="minorHAnsi" w:hAnsiTheme="minorHAnsi" w:cs="Arial"/>
                <w:b/>
                <w:bCs/>
                <w:color w:val="FFFFFF" w:themeColor="background1"/>
                <w:sz w:val="18"/>
                <w:szCs w:val="18"/>
              </w:rPr>
              <w:t xml:space="preserve"> &amp; ACT</w:t>
            </w:r>
          </w:p>
        </w:tc>
        <w:tc>
          <w:tcPr>
            <w:tcW w:w="1276"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67396511" w14:textId="77777777" w:rsidR="001C45C0" w:rsidRPr="00B50A81" w:rsidRDefault="001C45C0" w:rsidP="001C45C0">
            <w:pPr>
              <w:jc w:val="center"/>
              <w:rPr>
                <w:rFonts w:asciiTheme="minorHAnsi" w:hAnsiTheme="minorHAnsi" w:cs="Arial"/>
                <w:b/>
                <w:bCs/>
                <w:color w:val="FFFFFF" w:themeColor="background1"/>
                <w:sz w:val="18"/>
                <w:szCs w:val="18"/>
              </w:rPr>
            </w:pPr>
            <w:r w:rsidRPr="00B50A81">
              <w:rPr>
                <w:rFonts w:asciiTheme="minorHAnsi" w:hAnsiTheme="minorHAnsi" w:cs="Arial"/>
                <w:b/>
                <w:bCs/>
                <w:color w:val="FFFFFF" w:themeColor="background1"/>
                <w:sz w:val="18"/>
                <w:szCs w:val="18"/>
              </w:rPr>
              <w:t>VIC</w:t>
            </w:r>
            <w:r>
              <w:rPr>
                <w:rFonts w:asciiTheme="minorHAnsi" w:hAnsiTheme="minorHAnsi" w:cs="Arial"/>
                <w:b/>
                <w:bCs/>
                <w:color w:val="FFFFFF" w:themeColor="background1"/>
                <w:sz w:val="18"/>
                <w:szCs w:val="18"/>
              </w:rPr>
              <w:t xml:space="preserve"> &amp; TAS </w:t>
            </w:r>
          </w:p>
        </w:tc>
        <w:tc>
          <w:tcPr>
            <w:tcW w:w="1275"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1FE72BFF" w14:textId="77777777" w:rsidR="001C45C0" w:rsidRPr="00B50A81" w:rsidRDefault="001C45C0" w:rsidP="001C45C0">
            <w:pPr>
              <w:jc w:val="center"/>
              <w:rPr>
                <w:rFonts w:asciiTheme="minorHAnsi" w:hAnsiTheme="minorHAnsi" w:cs="Arial"/>
                <w:b/>
                <w:bCs/>
                <w:color w:val="FFFFFF" w:themeColor="background1"/>
                <w:sz w:val="18"/>
                <w:szCs w:val="18"/>
              </w:rPr>
            </w:pPr>
            <w:r w:rsidRPr="00B50A81">
              <w:rPr>
                <w:rFonts w:asciiTheme="minorHAnsi" w:hAnsiTheme="minorHAnsi" w:cs="Arial"/>
                <w:b/>
                <w:bCs/>
                <w:color w:val="FFFFFF" w:themeColor="background1"/>
                <w:sz w:val="18"/>
                <w:szCs w:val="18"/>
              </w:rPr>
              <w:t>QLD</w:t>
            </w:r>
          </w:p>
        </w:tc>
        <w:tc>
          <w:tcPr>
            <w:tcW w:w="1276"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028FA1EB" w14:textId="77777777" w:rsidR="001C45C0" w:rsidRPr="00B50A81" w:rsidRDefault="001C45C0" w:rsidP="001C45C0">
            <w:pPr>
              <w:jc w:val="center"/>
              <w:rPr>
                <w:rFonts w:asciiTheme="minorHAnsi" w:hAnsiTheme="minorHAnsi" w:cs="Arial"/>
                <w:b/>
                <w:bCs/>
                <w:color w:val="FFFFFF" w:themeColor="background1"/>
                <w:sz w:val="18"/>
                <w:szCs w:val="18"/>
              </w:rPr>
            </w:pPr>
            <w:r w:rsidRPr="00B50A81">
              <w:rPr>
                <w:rFonts w:asciiTheme="minorHAnsi" w:hAnsiTheme="minorHAnsi" w:cs="Arial"/>
                <w:b/>
                <w:bCs/>
                <w:color w:val="FFFFFF" w:themeColor="background1"/>
                <w:sz w:val="18"/>
                <w:szCs w:val="18"/>
              </w:rPr>
              <w:t>SA</w:t>
            </w:r>
            <w:r>
              <w:rPr>
                <w:rFonts w:asciiTheme="minorHAnsi" w:hAnsiTheme="minorHAnsi" w:cs="Arial"/>
                <w:b/>
                <w:bCs/>
                <w:color w:val="FFFFFF" w:themeColor="background1"/>
                <w:sz w:val="18"/>
                <w:szCs w:val="18"/>
              </w:rPr>
              <w:t xml:space="preserve"> &amp; NT</w:t>
            </w:r>
          </w:p>
        </w:tc>
        <w:tc>
          <w:tcPr>
            <w:tcW w:w="992"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5B436466" w14:textId="77777777" w:rsidR="001C45C0" w:rsidRPr="00B50A81" w:rsidRDefault="001C45C0" w:rsidP="001C45C0">
            <w:pPr>
              <w:jc w:val="center"/>
              <w:rPr>
                <w:rFonts w:asciiTheme="minorHAnsi" w:hAnsiTheme="minorHAnsi" w:cs="Arial"/>
                <w:b/>
                <w:bCs/>
                <w:color w:val="FFFFFF" w:themeColor="background1"/>
                <w:sz w:val="18"/>
                <w:szCs w:val="18"/>
              </w:rPr>
            </w:pPr>
            <w:r w:rsidRPr="00B50A81">
              <w:rPr>
                <w:rFonts w:asciiTheme="minorHAnsi" w:hAnsiTheme="minorHAnsi" w:cs="Arial"/>
                <w:b/>
                <w:bCs/>
                <w:color w:val="FFFFFF" w:themeColor="background1"/>
                <w:sz w:val="18"/>
                <w:szCs w:val="18"/>
              </w:rPr>
              <w:t>WA</w:t>
            </w:r>
          </w:p>
        </w:tc>
        <w:tc>
          <w:tcPr>
            <w:tcW w:w="851" w:type="dxa"/>
            <w:tcBorders>
              <w:top w:val="single" w:sz="4" w:space="0" w:color="auto"/>
              <w:left w:val="single" w:sz="4" w:space="0" w:color="auto"/>
              <w:bottom w:val="single" w:sz="4" w:space="0" w:color="auto"/>
              <w:right w:val="single" w:sz="4" w:space="0" w:color="auto"/>
            </w:tcBorders>
            <w:vAlign w:val="center"/>
            <w:hideMark/>
          </w:tcPr>
          <w:p w14:paraId="436F8775" w14:textId="77777777" w:rsidR="001C45C0" w:rsidRPr="00B50A81" w:rsidRDefault="001C45C0" w:rsidP="001C45C0">
            <w:pPr>
              <w:rPr>
                <w:rFonts w:asciiTheme="minorHAnsi" w:hAnsiTheme="minorHAnsi" w:cs="Arial"/>
                <w:b/>
                <w:bCs/>
                <w:color w:val="000000"/>
                <w:sz w:val="18"/>
                <w:szCs w:val="18"/>
              </w:rPr>
            </w:pPr>
          </w:p>
        </w:tc>
      </w:tr>
      <w:tr w:rsidR="001C45C0" w:rsidRPr="00B50A81" w14:paraId="3AE1737E" w14:textId="77777777" w:rsidTr="001C45C0">
        <w:trPr>
          <w:trHeight w:val="255"/>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36D9CE" w14:textId="77777777" w:rsidR="001C45C0" w:rsidRPr="00B50A81" w:rsidRDefault="001C45C0" w:rsidP="001C45C0">
            <w:pPr>
              <w:rPr>
                <w:rFonts w:asciiTheme="minorHAnsi" w:hAnsiTheme="minorHAnsi" w:cs="Arial"/>
                <w:bCs/>
                <w:color w:val="000000"/>
                <w:sz w:val="18"/>
                <w:szCs w:val="18"/>
              </w:rPr>
            </w:pPr>
            <w:r w:rsidRPr="00B50A81">
              <w:rPr>
                <w:rFonts w:asciiTheme="minorHAnsi" w:hAnsiTheme="minorHAnsi" w:cs="Arial"/>
                <w:bCs/>
                <w:color w:val="000000"/>
                <w:sz w:val="18"/>
                <w:szCs w:val="18"/>
              </w:rPr>
              <w:t>2014-15</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E4EAF52" w14:textId="77777777" w:rsidR="001C45C0" w:rsidRPr="00B50A81" w:rsidRDefault="001C45C0" w:rsidP="001C45C0">
            <w:pPr>
              <w:jc w:val="right"/>
              <w:rPr>
                <w:rFonts w:asciiTheme="minorHAnsi" w:hAnsiTheme="minorHAnsi" w:cs="Arial"/>
                <w:sz w:val="18"/>
              </w:rPr>
            </w:pPr>
            <w:r>
              <w:rPr>
                <w:rFonts w:asciiTheme="minorHAnsi" w:hAnsiTheme="minorHAnsi" w:cs="Arial"/>
                <w:sz w:val="18"/>
              </w:rPr>
              <w:t>37</w:t>
            </w:r>
            <w:r w:rsidRPr="00B50A81">
              <w:rPr>
                <w:rFonts w:asciiTheme="minorHAnsi" w:hAnsiTheme="minorHAnsi" w:cs="Arial"/>
                <w:sz w:val="18"/>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BA89D73" w14:textId="77777777" w:rsidR="001C45C0" w:rsidRPr="00B50A81" w:rsidRDefault="001C45C0" w:rsidP="001C45C0">
            <w:pPr>
              <w:jc w:val="right"/>
              <w:rPr>
                <w:rFonts w:asciiTheme="minorHAnsi" w:hAnsiTheme="minorHAnsi" w:cs="Arial"/>
                <w:sz w:val="18"/>
              </w:rPr>
            </w:pPr>
            <w:r w:rsidRPr="00B50A81">
              <w:rPr>
                <w:rFonts w:asciiTheme="minorHAnsi" w:hAnsiTheme="minorHAnsi" w:cs="Arial"/>
                <w:sz w:val="18"/>
              </w:rPr>
              <w:t>6</w:t>
            </w:r>
            <w:r>
              <w:rPr>
                <w:rFonts w:asciiTheme="minorHAnsi" w:hAnsiTheme="minorHAnsi" w:cs="Arial"/>
                <w:sz w:val="18"/>
              </w:rPr>
              <w:t>61</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0EAD3B9E" w14:textId="77777777" w:rsidR="001C45C0" w:rsidRPr="00B50A81" w:rsidRDefault="001C45C0" w:rsidP="001C45C0">
            <w:pPr>
              <w:jc w:val="right"/>
              <w:rPr>
                <w:rFonts w:asciiTheme="minorHAnsi" w:hAnsiTheme="minorHAnsi" w:cs="Arial"/>
                <w:sz w:val="18"/>
              </w:rPr>
            </w:pPr>
            <w:r w:rsidRPr="00B50A81">
              <w:rPr>
                <w:rFonts w:asciiTheme="minorHAnsi" w:hAnsiTheme="minorHAnsi" w:cs="Arial"/>
                <w:sz w:val="18"/>
              </w:rPr>
              <w:t>157</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6D4D306" w14:textId="77777777" w:rsidR="001C45C0" w:rsidRPr="00B50A81" w:rsidRDefault="001C45C0" w:rsidP="001C45C0">
            <w:pPr>
              <w:jc w:val="right"/>
              <w:rPr>
                <w:rFonts w:asciiTheme="minorHAnsi" w:hAnsiTheme="minorHAnsi" w:cs="Arial"/>
                <w:sz w:val="18"/>
              </w:rPr>
            </w:pPr>
            <w:r w:rsidRPr="00B50A81">
              <w:rPr>
                <w:rFonts w:asciiTheme="minorHAnsi" w:hAnsiTheme="minorHAnsi" w:cs="Arial"/>
                <w:sz w:val="18"/>
              </w:rPr>
              <w:t>68</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DB0509D" w14:textId="77777777" w:rsidR="001C45C0" w:rsidRPr="00B50A81" w:rsidRDefault="001C45C0" w:rsidP="001C45C0">
            <w:pPr>
              <w:jc w:val="right"/>
              <w:rPr>
                <w:rFonts w:asciiTheme="minorHAnsi" w:hAnsiTheme="minorHAnsi" w:cs="Arial"/>
                <w:sz w:val="18"/>
              </w:rPr>
            </w:pPr>
            <w:r w:rsidRPr="00B50A81">
              <w:rPr>
                <w:rFonts w:asciiTheme="minorHAnsi" w:hAnsiTheme="minorHAnsi" w:cs="Arial"/>
                <w:sz w:val="18"/>
              </w:rPr>
              <w:t>67</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0118329" w14:textId="77777777" w:rsidR="001C45C0" w:rsidRPr="00B50A81" w:rsidRDefault="001C45C0" w:rsidP="001C45C0">
            <w:pPr>
              <w:jc w:val="right"/>
              <w:rPr>
                <w:rFonts w:asciiTheme="minorHAnsi" w:hAnsiTheme="minorHAnsi" w:cs="Arial"/>
                <w:b/>
                <w:sz w:val="18"/>
              </w:rPr>
            </w:pPr>
            <w:r w:rsidRPr="00B50A81">
              <w:rPr>
                <w:rFonts w:asciiTheme="minorHAnsi" w:hAnsiTheme="minorHAnsi" w:cs="Arial"/>
                <w:b/>
                <w:sz w:val="18"/>
              </w:rPr>
              <w:t>1325</w:t>
            </w:r>
          </w:p>
        </w:tc>
      </w:tr>
      <w:tr w:rsidR="001C45C0" w:rsidRPr="00B50A81" w14:paraId="2186F22A" w14:textId="77777777" w:rsidTr="001C45C0">
        <w:trPr>
          <w:trHeight w:val="255"/>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187A12" w14:textId="77777777" w:rsidR="001C45C0" w:rsidRPr="00B50A81" w:rsidRDefault="001C45C0" w:rsidP="001C45C0">
            <w:pPr>
              <w:rPr>
                <w:rFonts w:asciiTheme="minorHAnsi" w:hAnsiTheme="minorHAnsi" w:cs="Arial"/>
                <w:bCs/>
                <w:color w:val="000000"/>
                <w:sz w:val="18"/>
                <w:szCs w:val="18"/>
              </w:rPr>
            </w:pPr>
            <w:r w:rsidRPr="00B50A81">
              <w:rPr>
                <w:rFonts w:asciiTheme="minorHAnsi" w:hAnsiTheme="minorHAnsi" w:cs="Arial"/>
                <w:bCs/>
                <w:color w:val="000000"/>
                <w:sz w:val="18"/>
                <w:szCs w:val="18"/>
              </w:rPr>
              <w:t>2015-16</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40FEF17" w14:textId="77777777" w:rsidR="001C45C0" w:rsidRPr="00B50A81" w:rsidRDefault="001C45C0" w:rsidP="001C45C0">
            <w:pPr>
              <w:jc w:val="right"/>
              <w:rPr>
                <w:rFonts w:asciiTheme="minorHAnsi" w:hAnsiTheme="minorHAnsi" w:cs="Arial"/>
                <w:sz w:val="18"/>
              </w:rPr>
            </w:pPr>
            <w:r w:rsidRPr="00B50A81">
              <w:rPr>
                <w:rFonts w:asciiTheme="minorHAnsi" w:hAnsiTheme="minorHAnsi" w:cs="Arial"/>
                <w:sz w:val="18"/>
              </w:rPr>
              <w:t>5</w:t>
            </w:r>
            <w:r>
              <w:rPr>
                <w:rFonts w:asciiTheme="minorHAnsi" w:hAnsiTheme="minorHAnsi" w:cs="Arial"/>
                <w:sz w:val="18"/>
              </w:rPr>
              <w:t>52</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2540413" w14:textId="77777777" w:rsidR="001C45C0" w:rsidRPr="00B50A81" w:rsidRDefault="001C45C0" w:rsidP="001C45C0">
            <w:pPr>
              <w:jc w:val="right"/>
              <w:rPr>
                <w:rFonts w:asciiTheme="minorHAnsi" w:hAnsiTheme="minorHAnsi" w:cs="Arial"/>
                <w:sz w:val="18"/>
              </w:rPr>
            </w:pPr>
            <w:r w:rsidRPr="00B50A81">
              <w:rPr>
                <w:rFonts w:asciiTheme="minorHAnsi" w:hAnsiTheme="minorHAnsi" w:cs="Arial"/>
                <w:sz w:val="18"/>
              </w:rPr>
              <w:t>141</w:t>
            </w:r>
            <w:r>
              <w:rPr>
                <w:rFonts w:asciiTheme="minorHAnsi" w:hAnsiTheme="minorHAnsi" w:cs="Arial"/>
                <w:sz w:val="18"/>
              </w:rPr>
              <w:t>9</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3C2D01A7" w14:textId="77777777" w:rsidR="001C45C0" w:rsidRPr="00B50A81" w:rsidRDefault="001C45C0" w:rsidP="001C45C0">
            <w:pPr>
              <w:jc w:val="right"/>
              <w:rPr>
                <w:rFonts w:asciiTheme="minorHAnsi" w:hAnsiTheme="minorHAnsi" w:cs="Arial"/>
                <w:sz w:val="18"/>
              </w:rPr>
            </w:pPr>
            <w:r w:rsidRPr="00B50A81">
              <w:rPr>
                <w:rFonts w:asciiTheme="minorHAnsi" w:hAnsiTheme="minorHAnsi" w:cs="Arial"/>
                <w:sz w:val="18"/>
              </w:rPr>
              <w:t>375</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5A538B7" w14:textId="77777777" w:rsidR="001C45C0" w:rsidRPr="00B50A81" w:rsidRDefault="001C45C0" w:rsidP="001C45C0">
            <w:pPr>
              <w:jc w:val="right"/>
              <w:rPr>
                <w:rFonts w:asciiTheme="minorHAnsi" w:hAnsiTheme="minorHAnsi" w:cs="Arial"/>
                <w:sz w:val="18"/>
              </w:rPr>
            </w:pPr>
            <w:r w:rsidRPr="00B50A81">
              <w:rPr>
                <w:rFonts w:asciiTheme="minorHAnsi" w:hAnsiTheme="minorHAnsi" w:cs="Arial"/>
                <w:sz w:val="18"/>
              </w:rPr>
              <w:t>136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E7D7E2D" w14:textId="77777777" w:rsidR="001C45C0" w:rsidRPr="00B50A81" w:rsidRDefault="001C45C0" w:rsidP="001C45C0">
            <w:pPr>
              <w:jc w:val="right"/>
              <w:rPr>
                <w:rFonts w:asciiTheme="minorHAnsi" w:hAnsiTheme="minorHAnsi" w:cs="Arial"/>
                <w:sz w:val="18"/>
              </w:rPr>
            </w:pPr>
            <w:r w:rsidRPr="00B50A81">
              <w:rPr>
                <w:rFonts w:asciiTheme="minorHAnsi" w:hAnsiTheme="minorHAnsi" w:cs="Arial"/>
                <w:sz w:val="18"/>
              </w:rPr>
              <w:t>172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F5E58F1" w14:textId="77777777" w:rsidR="001C45C0" w:rsidRPr="00B50A81" w:rsidRDefault="001C45C0" w:rsidP="001C45C0">
            <w:pPr>
              <w:jc w:val="right"/>
              <w:rPr>
                <w:rFonts w:asciiTheme="minorHAnsi" w:hAnsiTheme="minorHAnsi" w:cs="Arial"/>
                <w:b/>
                <w:sz w:val="18"/>
              </w:rPr>
            </w:pPr>
            <w:r w:rsidRPr="00B50A81">
              <w:rPr>
                <w:rFonts w:asciiTheme="minorHAnsi" w:hAnsiTheme="minorHAnsi" w:cs="Arial"/>
                <w:b/>
                <w:sz w:val="18"/>
              </w:rPr>
              <w:t>2654</w:t>
            </w:r>
          </w:p>
        </w:tc>
      </w:tr>
      <w:tr w:rsidR="001C45C0" w:rsidRPr="00B50A81" w14:paraId="3914E8E9" w14:textId="77777777" w:rsidTr="001C45C0">
        <w:trPr>
          <w:trHeight w:val="255"/>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04FC37" w14:textId="77777777" w:rsidR="001C45C0" w:rsidRPr="00B50A81" w:rsidRDefault="001C45C0" w:rsidP="001C45C0">
            <w:pPr>
              <w:rPr>
                <w:rFonts w:asciiTheme="minorHAnsi" w:hAnsiTheme="minorHAnsi" w:cs="Arial"/>
                <w:bCs/>
                <w:color w:val="000000"/>
                <w:sz w:val="18"/>
                <w:szCs w:val="18"/>
              </w:rPr>
            </w:pPr>
            <w:r w:rsidRPr="00B50A81">
              <w:rPr>
                <w:rFonts w:asciiTheme="minorHAnsi" w:hAnsiTheme="minorHAnsi" w:cs="Arial"/>
                <w:bCs/>
                <w:color w:val="000000"/>
                <w:sz w:val="18"/>
                <w:szCs w:val="18"/>
              </w:rPr>
              <w:t>2016-17</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74CA458" w14:textId="77777777" w:rsidR="001C45C0" w:rsidRPr="00B50A81" w:rsidRDefault="001C45C0" w:rsidP="001C45C0">
            <w:pPr>
              <w:jc w:val="right"/>
              <w:rPr>
                <w:rFonts w:asciiTheme="minorHAnsi" w:hAnsiTheme="minorHAnsi" w:cs="Arial"/>
                <w:sz w:val="18"/>
              </w:rPr>
            </w:pPr>
            <w:r w:rsidRPr="00B50A81">
              <w:rPr>
                <w:rFonts w:asciiTheme="minorHAnsi" w:hAnsiTheme="minorHAnsi" w:cs="Arial"/>
                <w:sz w:val="18"/>
              </w:rPr>
              <w:t>4</w:t>
            </w:r>
            <w:r>
              <w:rPr>
                <w:rFonts w:asciiTheme="minorHAnsi" w:hAnsiTheme="minorHAnsi" w:cs="Arial"/>
                <w:sz w:val="18"/>
              </w:rPr>
              <w:t>61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249A00E" w14:textId="77777777" w:rsidR="001C45C0" w:rsidRPr="00B50A81" w:rsidRDefault="001C45C0" w:rsidP="001C45C0">
            <w:pPr>
              <w:jc w:val="right"/>
              <w:rPr>
                <w:rFonts w:asciiTheme="minorHAnsi" w:hAnsiTheme="minorHAnsi" w:cs="Arial"/>
                <w:sz w:val="18"/>
              </w:rPr>
            </w:pPr>
            <w:r>
              <w:rPr>
                <w:rFonts w:asciiTheme="minorHAnsi" w:hAnsiTheme="minorHAnsi" w:cs="Arial"/>
                <w:sz w:val="18"/>
              </w:rPr>
              <w:t>1207</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3D8E1BFE" w14:textId="77777777" w:rsidR="001C45C0" w:rsidRPr="00B50A81" w:rsidRDefault="001C45C0" w:rsidP="001C45C0">
            <w:pPr>
              <w:jc w:val="right"/>
              <w:rPr>
                <w:rFonts w:asciiTheme="minorHAnsi" w:hAnsiTheme="minorHAnsi" w:cs="Arial"/>
                <w:sz w:val="18"/>
              </w:rPr>
            </w:pPr>
            <w:r w:rsidRPr="00B50A81">
              <w:rPr>
                <w:rFonts w:asciiTheme="minorHAnsi" w:hAnsiTheme="minorHAnsi" w:cs="Arial"/>
                <w:sz w:val="18"/>
              </w:rPr>
              <w:t>343</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FD4B020" w14:textId="77777777" w:rsidR="001C45C0" w:rsidRPr="00B50A81" w:rsidRDefault="001C45C0" w:rsidP="001C45C0">
            <w:pPr>
              <w:jc w:val="right"/>
              <w:rPr>
                <w:rFonts w:asciiTheme="minorHAnsi" w:hAnsiTheme="minorHAnsi" w:cs="Arial"/>
                <w:sz w:val="18"/>
              </w:rPr>
            </w:pPr>
            <w:r w:rsidRPr="00B50A81">
              <w:rPr>
                <w:rFonts w:asciiTheme="minorHAnsi" w:hAnsiTheme="minorHAnsi" w:cs="Arial"/>
                <w:sz w:val="18"/>
              </w:rPr>
              <w:t>15</w:t>
            </w:r>
            <w:r>
              <w:rPr>
                <w:rFonts w:asciiTheme="minorHAnsi" w:hAnsiTheme="minorHAnsi" w:cs="Arial"/>
                <w:sz w:val="18"/>
              </w:rPr>
              <w:t>8</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D756EB9" w14:textId="77777777" w:rsidR="001C45C0" w:rsidRPr="00B50A81" w:rsidRDefault="001C45C0" w:rsidP="001C45C0">
            <w:pPr>
              <w:jc w:val="right"/>
              <w:rPr>
                <w:rFonts w:asciiTheme="minorHAnsi" w:hAnsiTheme="minorHAnsi" w:cs="Arial"/>
                <w:sz w:val="18"/>
              </w:rPr>
            </w:pPr>
            <w:r w:rsidRPr="00B50A81">
              <w:rPr>
                <w:rFonts w:asciiTheme="minorHAnsi" w:hAnsiTheme="minorHAnsi" w:cs="Arial"/>
                <w:sz w:val="18"/>
              </w:rPr>
              <w:t>118</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D25AAC3" w14:textId="77777777" w:rsidR="001C45C0" w:rsidRPr="00B50A81" w:rsidRDefault="001C45C0" w:rsidP="001C45C0">
            <w:pPr>
              <w:jc w:val="right"/>
              <w:rPr>
                <w:rFonts w:asciiTheme="minorHAnsi" w:hAnsiTheme="minorHAnsi" w:cs="Arial"/>
                <w:b/>
                <w:sz w:val="18"/>
              </w:rPr>
            </w:pPr>
            <w:r w:rsidRPr="00B50A81">
              <w:rPr>
                <w:rFonts w:asciiTheme="minorHAnsi" w:hAnsiTheme="minorHAnsi" w:cs="Arial"/>
                <w:b/>
                <w:sz w:val="18"/>
              </w:rPr>
              <w:t>2287</w:t>
            </w:r>
          </w:p>
        </w:tc>
      </w:tr>
      <w:tr w:rsidR="001C45C0" w:rsidRPr="00B50A81" w14:paraId="6475F62C" w14:textId="77777777" w:rsidTr="001C45C0">
        <w:trPr>
          <w:trHeight w:val="255"/>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3805F6" w14:textId="77777777" w:rsidR="001C45C0" w:rsidRPr="00B50A81" w:rsidRDefault="001C45C0" w:rsidP="001C45C0">
            <w:pPr>
              <w:rPr>
                <w:rFonts w:asciiTheme="minorHAnsi" w:hAnsiTheme="minorHAnsi" w:cs="Arial"/>
                <w:bCs/>
                <w:color w:val="000000"/>
                <w:sz w:val="18"/>
                <w:szCs w:val="18"/>
              </w:rPr>
            </w:pPr>
            <w:r w:rsidRPr="00B50A81">
              <w:rPr>
                <w:rFonts w:asciiTheme="minorHAnsi" w:hAnsiTheme="minorHAnsi" w:cs="Arial"/>
                <w:bCs/>
                <w:color w:val="000000"/>
                <w:sz w:val="18"/>
                <w:szCs w:val="18"/>
              </w:rPr>
              <w:t>2017-18*</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A49ADF8" w14:textId="77777777" w:rsidR="001C45C0" w:rsidRPr="00B50A81" w:rsidRDefault="001C45C0" w:rsidP="001C45C0">
            <w:pPr>
              <w:jc w:val="right"/>
              <w:rPr>
                <w:rFonts w:asciiTheme="minorHAnsi" w:hAnsiTheme="minorHAnsi" w:cs="Arial"/>
                <w:sz w:val="18"/>
              </w:rPr>
            </w:pPr>
            <w:r w:rsidRPr="00B50A81">
              <w:rPr>
                <w:rFonts w:asciiTheme="minorHAnsi" w:hAnsiTheme="minorHAnsi" w:cs="Arial"/>
                <w:sz w:val="18"/>
              </w:rPr>
              <w:t>1</w:t>
            </w:r>
            <w:r>
              <w:rPr>
                <w:rFonts w:asciiTheme="minorHAnsi" w:hAnsiTheme="minorHAnsi" w:cs="Arial"/>
                <w:sz w:val="18"/>
              </w:rPr>
              <w:t>75</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7A3E9D2" w14:textId="77777777" w:rsidR="001C45C0" w:rsidRPr="00B50A81" w:rsidRDefault="001C45C0" w:rsidP="001C45C0">
            <w:pPr>
              <w:jc w:val="right"/>
              <w:rPr>
                <w:rFonts w:asciiTheme="minorHAnsi" w:hAnsiTheme="minorHAnsi" w:cs="Arial"/>
                <w:sz w:val="18"/>
              </w:rPr>
            </w:pPr>
            <w:r w:rsidRPr="00B50A81">
              <w:rPr>
                <w:rFonts w:asciiTheme="minorHAnsi" w:hAnsiTheme="minorHAnsi" w:cs="Arial"/>
                <w:sz w:val="18"/>
              </w:rPr>
              <w:t>5</w:t>
            </w:r>
            <w:r>
              <w:rPr>
                <w:rFonts w:asciiTheme="minorHAnsi" w:hAnsiTheme="minorHAnsi" w:cs="Arial"/>
                <w:sz w:val="18"/>
              </w:rPr>
              <w:t>34</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564DF840" w14:textId="77777777" w:rsidR="001C45C0" w:rsidRPr="00B50A81" w:rsidRDefault="001C45C0" w:rsidP="001C45C0">
            <w:pPr>
              <w:jc w:val="right"/>
              <w:rPr>
                <w:rFonts w:asciiTheme="minorHAnsi" w:hAnsiTheme="minorHAnsi" w:cs="Arial"/>
                <w:sz w:val="18"/>
              </w:rPr>
            </w:pPr>
            <w:r w:rsidRPr="00B50A81">
              <w:rPr>
                <w:rFonts w:asciiTheme="minorHAnsi" w:hAnsiTheme="minorHAnsi" w:cs="Arial"/>
                <w:sz w:val="18"/>
              </w:rPr>
              <w:t>159</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8399CB9" w14:textId="77777777" w:rsidR="001C45C0" w:rsidRPr="00B50A81" w:rsidRDefault="001C45C0" w:rsidP="001C45C0">
            <w:pPr>
              <w:jc w:val="right"/>
              <w:rPr>
                <w:rFonts w:asciiTheme="minorHAnsi" w:hAnsiTheme="minorHAnsi" w:cs="Arial"/>
                <w:sz w:val="18"/>
              </w:rPr>
            </w:pPr>
            <w:r w:rsidRPr="00B50A81">
              <w:rPr>
                <w:rFonts w:asciiTheme="minorHAnsi" w:hAnsiTheme="minorHAnsi" w:cs="Arial"/>
                <w:sz w:val="18"/>
              </w:rPr>
              <w:t>53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53E2725" w14:textId="77777777" w:rsidR="001C45C0" w:rsidRPr="00B50A81" w:rsidRDefault="001C45C0" w:rsidP="001C45C0">
            <w:pPr>
              <w:jc w:val="right"/>
              <w:rPr>
                <w:rFonts w:asciiTheme="minorHAnsi" w:hAnsiTheme="minorHAnsi" w:cs="Arial"/>
                <w:sz w:val="18"/>
              </w:rPr>
            </w:pPr>
            <w:r w:rsidRPr="00B50A81">
              <w:rPr>
                <w:rFonts w:asciiTheme="minorHAnsi" w:hAnsiTheme="minorHAnsi" w:cs="Arial"/>
                <w:sz w:val="18"/>
              </w:rPr>
              <w:t>39</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C708A49" w14:textId="77777777" w:rsidR="001C45C0" w:rsidRPr="00B50A81" w:rsidRDefault="001C45C0" w:rsidP="001C45C0">
            <w:pPr>
              <w:jc w:val="right"/>
              <w:rPr>
                <w:rFonts w:asciiTheme="minorHAnsi" w:hAnsiTheme="minorHAnsi" w:cs="Arial"/>
                <w:b/>
                <w:sz w:val="18"/>
              </w:rPr>
            </w:pPr>
            <w:r w:rsidRPr="00B50A81">
              <w:rPr>
                <w:rFonts w:asciiTheme="minorHAnsi" w:hAnsiTheme="minorHAnsi" w:cs="Arial"/>
                <w:b/>
                <w:sz w:val="18"/>
              </w:rPr>
              <w:t>960</w:t>
            </w:r>
          </w:p>
        </w:tc>
      </w:tr>
      <w:tr w:rsidR="001C45C0" w:rsidRPr="00B50A81" w14:paraId="6327A1CC" w14:textId="77777777" w:rsidTr="001C45C0">
        <w:trPr>
          <w:trHeight w:val="255"/>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71E628" w14:textId="77777777" w:rsidR="001C45C0" w:rsidRPr="00B50A81" w:rsidRDefault="001C45C0" w:rsidP="001C45C0">
            <w:pPr>
              <w:rPr>
                <w:rFonts w:asciiTheme="minorHAnsi" w:hAnsiTheme="minorHAnsi" w:cs="Arial"/>
                <w:b/>
                <w:bCs/>
                <w:color w:val="000000"/>
                <w:sz w:val="18"/>
                <w:szCs w:val="18"/>
              </w:rPr>
            </w:pPr>
            <w:r w:rsidRPr="00B50A81">
              <w:rPr>
                <w:rFonts w:asciiTheme="minorHAnsi" w:hAnsiTheme="minorHAnsi" w:cs="Arial"/>
                <w:b/>
                <w:bCs/>
                <w:color w:val="000000"/>
                <w:sz w:val="18"/>
                <w:szCs w:val="18"/>
              </w:rPr>
              <w:t>All years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8973CC9" w14:textId="77777777" w:rsidR="001C45C0" w:rsidRPr="00B50A81" w:rsidRDefault="001C45C0" w:rsidP="001C45C0">
            <w:pPr>
              <w:jc w:val="right"/>
              <w:rPr>
                <w:rFonts w:asciiTheme="minorHAnsi" w:hAnsiTheme="minorHAnsi" w:cs="Arial"/>
                <w:b/>
                <w:sz w:val="18"/>
              </w:rPr>
            </w:pPr>
            <w:r w:rsidRPr="00B50A81">
              <w:rPr>
                <w:rFonts w:asciiTheme="minorHAnsi" w:hAnsiTheme="minorHAnsi" w:cs="Arial"/>
                <w:b/>
                <w:sz w:val="18"/>
              </w:rPr>
              <w:t>1</w:t>
            </w:r>
            <w:r>
              <w:rPr>
                <w:rFonts w:asciiTheme="minorHAnsi" w:hAnsiTheme="minorHAnsi" w:cs="Arial"/>
                <w:b/>
                <w:sz w:val="18"/>
              </w:rPr>
              <w:t>560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D03C3F6" w14:textId="77777777" w:rsidR="001C45C0" w:rsidRPr="00B50A81" w:rsidRDefault="001C45C0" w:rsidP="001C45C0">
            <w:pPr>
              <w:jc w:val="right"/>
              <w:rPr>
                <w:rFonts w:asciiTheme="minorHAnsi" w:hAnsiTheme="minorHAnsi" w:cs="Arial"/>
                <w:b/>
                <w:sz w:val="18"/>
              </w:rPr>
            </w:pPr>
            <w:r w:rsidRPr="00B50A81">
              <w:rPr>
                <w:rFonts w:asciiTheme="minorHAnsi" w:hAnsiTheme="minorHAnsi" w:cs="Arial"/>
                <w:b/>
                <w:sz w:val="18"/>
              </w:rPr>
              <w:t>3</w:t>
            </w:r>
            <w:r>
              <w:rPr>
                <w:rFonts w:asciiTheme="minorHAnsi" w:hAnsiTheme="minorHAnsi" w:cs="Arial"/>
                <w:b/>
                <w:sz w:val="18"/>
              </w:rPr>
              <w:t>821</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54817F25" w14:textId="77777777" w:rsidR="001C45C0" w:rsidRPr="00B50A81" w:rsidRDefault="001C45C0" w:rsidP="001C45C0">
            <w:pPr>
              <w:jc w:val="right"/>
              <w:rPr>
                <w:rFonts w:asciiTheme="minorHAnsi" w:hAnsiTheme="minorHAnsi" w:cs="Arial"/>
                <w:b/>
                <w:sz w:val="18"/>
              </w:rPr>
            </w:pPr>
            <w:r w:rsidRPr="00B50A81">
              <w:rPr>
                <w:rFonts w:asciiTheme="minorHAnsi" w:hAnsiTheme="minorHAnsi" w:cs="Arial"/>
                <w:b/>
                <w:sz w:val="18"/>
              </w:rPr>
              <w:t>1034</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6F792ED" w14:textId="77777777" w:rsidR="001C45C0" w:rsidRPr="00B50A81" w:rsidRDefault="001C45C0" w:rsidP="001C45C0">
            <w:pPr>
              <w:jc w:val="right"/>
              <w:rPr>
                <w:rFonts w:asciiTheme="minorHAnsi" w:hAnsiTheme="minorHAnsi" w:cs="Arial"/>
                <w:b/>
                <w:sz w:val="18"/>
              </w:rPr>
            </w:pPr>
            <w:r w:rsidRPr="00B50A81">
              <w:rPr>
                <w:rFonts w:asciiTheme="minorHAnsi" w:hAnsiTheme="minorHAnsi" w:cs="Arial"/>
                <w:b/>
                <w:sz w:val="18"/>
              </w:rPr>
              <w:t>41</w:t>
            </w:r>
            <w:r>
              <w:rPr>
                <w:rFonts w:asciiTheme="minorHAnsi" w:hAnsiTheme="minorHAnsi" w:cs="Arial"/>
                <w:b/>
                <w:sz w:val="18"/>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2CC3176" w14:textId="77777777" w:rsidR="001C45C0" w:rsidRPr="00B50A81" w:rsidRDefault="001C45C0" w:rsidP="001C45C0">
            <w:pPr>
              <w:jc w:val="right"/>
              <w:rPr>
                <w:rFonts w:asciiTheme="minorHAnsi" w:hAnsiTheme="minorHAnsi" w:cs="Arial"/>
                <w:b/>
                <w:sz w:val="18"/>
              </w:rPr>
            </w:pPr>
            <w:r w:rsidRPr="00B50A81">
              <w:rPr>
                <w:rFonts w:asciiTheme="minorHAnsi" w:hAnsiTheme="minorHAnsi" w:cs="Arial"/>
                <w:b/>
                <w:sz w:val="18"/>
              </w:rPr>
              <w:t>396</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E9271E1" w14:textId="77777777" w:rsidR="001C45C0" w:rsidRPr="00B50A81" w:rsidRDefault="001C45C0" w:rsidP="001C45C0">
            <w:pPr>
              <w:jc w:val="right"/>
              <w:rPr>
                <w:rFonts w:asciiTheme="minorHAnsi" w:hAnsiTheme="minorHAnsi" w:cs="Arial"/>
                <w:b/>
                <w:sz w:val="18"/>
              </w:rPr>
            </w:pPr>
            <w:r w:rsidRPr="00B50A81">
              <w:rPr>
                <w:rFonts w:asciiTheme="minorHAnsi" w:hAnsiTheme="minorHAnsi" w:cs="Arial"/>
                <w:b/>
                <w:sz w:val="18"/>
              </w:rPr>
              <w:t>7226</w:t>
            </w:r>
          </w:p>
        </w:tc>
      </w:tr>
    </w:tbl>
    <w:p w14:paraId="2A431C61" w14:textId="77777777" w:rsidR="001C45C0" w:rsidRPr="00367A55" w:rsidRDefault="001C45C0" w:rsidP="00367A55">
      <w:pPr>
        <w:rPr>
          <w:rFonts w:asciiTheme="minorHAnsi" w:hAnsiTheme="minorHAnsi"/>
          <w:bCs/>
          <w:color w:val="000000" w:themeColor="text1"/>
          <w:sz w:val="18"/>
        </w:rPr>
      </w:pPr>
      <w:r w:rsidRPr="00367A55">
        <w:rPr>
          <w:rFonts w:asciiTheme="minorHAnsi" w:hAnsiTheme="minorHAnsi"/>
          <w:bCs/>
          <w:color w:val="000000" w:themeColor="text1"/>
          <w:sz w:val="18"/>
        </w:rPr>
        <w:t>Source: MBS Analytics Section – Q21109B: Standard Post Implementation Review of Item 73338</w:t>
      </w:r>
    </w:p>
    <w:p w14:paraId="6BA46D36" w14:textId="77777777" w:rsidR="001C45C0" w:rsidRPr="00B50A81" w:rsidRDefault="001C45C0" w:rsidP="001C45C0">
      <w:pPr>
        <w:rPr>
          <w:rFonts w:asciiTheme="minorHAnsi" w:hAnsiTheme="minorHAnsi"/>
          <w:bCs/>
          <w:color w:val="000000" w:themeColor="text1"/>
          <w:sz w:val="18"/>
        </w:rPr>
      </w:pPr>
      <w:r w:rsidRPr="00B50A81">
        <w:rPr>
          <w:rFonts w:asciiTheme="minorHAnsi" w:hAnsiTheme="minorHAnsi"/>
          <w:bCs/>
          <w:color w:val="000000" w:themeColor="text1"/>
          <w:sz w:val="18"/>
        </w:rPr>
        <w:t xml:space="preserve">*2017-18 includes data </w:t>
      </w:r>
      <w:r>
        <w:rPr>
          <w:rFonts w:asciiTheme="minorHAnsi" w:hAnsiTheme="minorHAnsi"/>
          <w:bCs/>
          <w:color w:val="000000" w:themeColor="text1"/>
          <w:sz w:val="18"/>
        </w:rPr>
        <w:t xml:space="preserve">from 1 July 2017 </w:t>
      </w:r>
      <w:r w:rsidRPr="00B50A81">
        <w:rPr>
          <w:rFonts w:asciiTheme="minorHAnsi" w:hAnsiTheme="minorHAnsi"/>
          <w:bCs/>
          <w:color w:val="000000" w:themeColor="text1"/>
          <w:sz w:val="18"/>
        </w:rPr>
        <w:t>to 31 January 2018</w:t>
      </w:r>
    </w:p>
    <w:p w14:paraId="1DFE9566" w14:textId="77777777" w:rsidR="001C45C0" w:rsidRPr="004C0334" w:rsidRDefault="001C45C0" w:rsidP="001C45C0">
      <w:pPr>
        <w:pStyle w:val="Heading2"/>
        <w:rPr>
          <w:rFonts w:asciiTheme="minorHAnsi" w:hAnsiTheme="minorHAnsi"/>
          <w:sz w:val="22"/>
          <w:szCs w:val="22"/>
        </w:rPr>
      </w:pPr>
      <w:bookmarkStart w:id="2" w:name="_Toc510711799"/>
      <w:r w:rsidRPr="004C0334">
        <w:rPr>
          <w:rFonts w:asciiTheme="minorHAnsi" w:hAnsiTheme="minorHAnsi"/>
          <w:sz w:val="22"/>
          <w:szCs w:val="22"/>
        </w:rPr>
        <w:t>Data on fee charged</w:t>
      </w:r>
      <w:bookmarkEnd w:id="2"/>
      <w:r w:rsidRPr="004C0334">
        <w:rPr>
          <w:rFonts w:asciiTheme="minorHAnsi" w:hAnsiTheme="minorHAnsi"/>
          <w:sz w:val="22"/>
          <w:szCs w:val="22"/>
        </w:rPr>
        <w:t xml:space="preserve"> </w:t>
      </w:r>
    </w:p>
    <w:p w14:paraId="495DE7A5" w14:textId="621E05AF" w:rsidR="001C45C0" w:rsidRPr="004C0334" w:rsidRDefault="001C45C0" w:rsidP="00367A55">
      <w:pPr>
        <w:spacing w:after="240"/>
        <w:rPr>
          <w:szCs w:val="24"/>
        </w:rPr>
      </w:pPr>
      <w:r w:rsidRPr="004C0334">
        <w:rPr>
          <w:szCs w:val="24"/>
        </w:rPr>
        <w:t>The information provided on fees below is a snapshot of how the item is being claimed in practice. Data has not been included for states and territories with low service volumes.</w:t>
      </w:r>
    </w:p>
    <w:p w14:paraId="52FF8F4B" w14:textId="6E4D8654" w:rsidR="001C45C0" w:rsidRPr="004C0334" w:rsidRDefault="001C45C0" w:rsidP="00367A55">
      <w:pPr>
        <w:spacing w:after="240"/>
        <w:rPr>
          <w:szCs w:val="24"/>
        </w:rPr>
      </w:pPr>
      <w:r w:rsidRPr="004C0334">
        <w:rPr>
          <w:szCs w:val="24"/>
        </w:rPr>
        <w:t>The 75% benefit for item 73338 is $271.95. The average fee charged for item 73338 has increased from $396.88 in 2014-15 to $434.99 in 2016-17 (Table 3).</w:t>
      </w:r>
    </w:p>
    <w:p w14:paraId="0F327722" w14:textId="6C95E19E" w:rsidR="001C45C0" w:rsidRPr="00367A55" w:rsidRDefault="001C45C0" w:rsidP="00367A55">
      <w:pPr>
        <w:spacing w:after="240"/>
        <w:rPr>
          <w:szCs w:val="24"/>
        </w:rPr>
      </w:pPr>
      <w:r w:rsidRPr="004C0334">
        <w:rPr>
          <w:szCs w:val="24"/>
        </w:rPr>
        <w:t xml:space="preserve">Services are generally bulk billed, however SA showed a significant drop in bulk billing, from 88.2% in 2014-15 down to 36.3% in 2016-17, which is inconsistent with all other states and territories, whose rates remained consistent. </w:t>
      </w:r>
    </w:p>
    <w:p w14:paraId="1E1102EF" w14:textId="77777777" w:rsidR="001C45C0" w:rsidRPr="00367A55" w:rsidRDefault="001C45C0" w:rsidP="00367A55">
      <w:pPr>
        <w:rPr>
          <w:rFonts w:asciiTheme="minorHAnsi" w:hAnsiTheme="minorHAnsi"/>
          <w:b/>
          <w:sz w:val="20"/>
        </w:rPr>
      </w:pPr>
      <w:r w:rsidRPr="00367A55">
        <w:rPr>
          <w:rFonts w:asciiTheme="minorHAnsi" w:hAnsiTheme="minorHAnsi"/>
          <w:b/>
          <w:sz w:val="20"/>
        </w:rPr>
        <w:t>Table 3: Statistics on fees charged for MBS item 73338 for 2014-15 to 2016-17 by date of service</w:t>
      </w:r>
    </w:p>
    <w:tbl>
      <w:tblPr>
        <w:tblW w:w="9909" w:type="dxa"/>
        <w:tblInd w:w="-587" w:type="dxa"/>
        <w:tblLayout w:type="fixed"/>
        <w:tblLook w:val="04A0" w:firstRow="1" w:lastRow="0" w:firstColumn="1" w:lastColumn="0" w:noHBand="0" w:noVBand="1"/>
        <w:tblDescription w:val="MBS item 73338 fee statistics from 2014-15 up to 2016-17"/>
      </w:tblPr>
      <w:tblGrid>
        <w:gridCol w:w="852"/>
        <w:gridCol w:w="1253"/>
        <w:gridCol w:w="1284"/>
        <w:gridCol w:w="1134"/>
        <w:gridCol w:w="992"/>
        <w:gridCol w:w="1134"/>
        <w:gridCol w:w="1134"/>
        <w:gridCol w:w="992"/>
        <w:gridCol w:w="1134"/>
      </w:tblGrid>
      <w:tr w:rsidR="001C45C0" w:rsidRPr="00B50A81" w14:paraId="1F13B333" w14:textId="77777777" w:rsidTr="001C45C0">
        <w:trPr>
          <w:trHeight w:val="255"/>
        </w:trPr>
        <w:tc>
          <w:tcPr>
            <w:tcW w:w="2105" w:type="dxa"/>
            <w:gridSpan w:val="2"/>
            <w:vMerge w:val="restart"/>
            <w:tcBorders>
              <w:top w:val="nil"/>
              <w:left w:val="nil"/>
              <w:bottom w:val="nil"/>
              <w:right w:val="single" w:sz="4" w:space="0" w:color="auto"/>
            </w:tcBorders>
            <w:shd w:val="clear" w:color="auto" w:fill="auto"/>
            <w:noWrap/>
            <w:vAlign w:val="bottom"/>
            <w:hideMark/>
          </w:tcPr>
          <w:p w14:paraId="0DAA4B6A" w14:textId="77777777" w:rsidR="001C45C0" w:rsidRPr="002B05F2" w:rsidRDefault="001C45C0" w:rsidP="001C45C0">
            <w:pPr>
              <w:jc w:val="center"/>
              <w:rPr>
                <w:rFonts w:ascii="Arial Narrow" w:hAnsi="Arial Narrow" w:cs="Arial"/>
                <w:color w:val="000000"/>
                <w:sz w:val="20"/>
                <w:highlight w:val="yellow"/>
              </w:rPr>
            </w:pPr>
          </w:p>
        </w:tc>
        <w:tc>
          <w:tcPr>
            <w:tcW w:w="7804" w:type="dxa"/>
            <w:gridSpan w:val="7"/>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591BEB03" w14:textId="77777777" w:rsidR="001C45C0" w:rsidRPr="002B05F2" w:rsidRDefault="001C45C0" w:rsidP="001C45C0">
            <w:pPr>
              <w:jc w:val="center"/>
              <w:rPr>
                <w:rFonts w:ascii="Arial Narrow" w:hAnsi="Arial Narrow" w:cs="Arial"/>
                <w:b/>
                <w:bCs/>
                <w:color w:val="FFFFFF"/>
                <w:sz w:val="20"/>
              </w:rPr>
            </w:pPr>
            <w:r w:rsidRPr="002B05F2">
              <w:rPr>
                <w:rFonts w:ascii="Arial Narrow" w:hAnsi="Arial Narrow" w:cs="Arial"/>
                <w:b/>
                <w:bCs/>
                <w:color w:val="FFFFFF"/>
                <w:sz w:val="20"/>
              </w:rPr>
              <w:t>Provider State/Territory</w:t>
            </w:r>
          </w:p>
        </w:tc>
      </w:tr>
      <w:tr w:rsidR="001C45C0" w:rsidRPr="00B50A81" w14:paraId="41D82C47" w14:textId="77777777" w:rsidTr="001C45C0">
        <w:trPr>
          <w:trHeight w:val="255"/>
        </w:trPr>
        <w:tc>
          <w:tcPr>
            <w:tcW w:w="2105" w:type="dxa"/>
            <w:gridSpan w:val="2"/>
            <w:vMerge/>
            <w:tcBorders>
              <w:top w:val="nil"/>
              <w:left w:val="nil"/>
              <w:bottom w:val="single" w:sz="4" w:space="0" w:color="auto"/>
              <w:right w:val="single" w:sz="4" w:space="0" w:color="auto"/>
            </w:tcBorders>
            <w:vAlign w:val="center"/>
            <w:hideMark/>
          </w:tcPr>
          <w:p w14:paraId="51CE6E96" w14:textId="77777777" w:rsidR="001C45C0" w:rsidRPr="002B05F2" w:rsidRDefault="001C45C0" w:rsidP="001C45C0">
            <w:pPr>
              <w:rPr>
                <w:rFonts w:ascii="Arial Narrow" w:hAnsi="Arial Narrow" w:cs="Arial"/>
                <w:color w:val="000000"/>
                <w:sz w:val="20"/>
                <w:highlight w:val="yellow"/>
              </w:rPr>
            </w:pPr>
          </w:p>
        </w:tc>
        <w:tc>
          <w:tcPr>
            <w:tcW w:w="1284"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77756022" w14:textId="77777777" w:rsidR="001C45C0" w:rsidRPr="002B05F2" w:rsidRDefault="001C45C0" w:rsidP="001C45C0">
            <w:pPr>
              <w:jc w:val="center"/>
              <w:rPr>
                <w:rFonts w:ascii="Arial Narrow" w:hAnsi="Arial Narrow" w:cs="Arial"/>
                <w:b/>
                <w:bCs/>
                <w:color w:val="FFFFFF"/>
                <w:sz w:val="20"/>
              </w:rPr>
            </w:pPr>
            <w:r w:rsidRPr="002B05F2">
              <w:rPr>
                <w:rFonts w:ascii="Arial Narrow" w:hAnsi="Arial Narrow" w:cs="Arial"/>
                <w:b/>
                <w:bCs/>
                <w:color w:val="FFFFFF"/>
                <w:sz w:val="20"/>
              </w:rPr>
              <w:t>NSW</w:t>
            </w: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6CF5EAEA" w14:textId="77777777" w:rsidR="001C45C0" w:rsidRPr="002B05F2" w:rsidRDefault="001C45C0" w:rsidP="001C45C0">
            <w:pPr>
              <w:jc w:val="center"/>
              <w:rPr>
                <w:rFonts w:ascii="Arial Narrow" w:hAnsi="Arial Narrow" w:cs="Arial"/>
                <w:b/>
                <w:bCs/>
                <w:color w:val="FFFFFF"/>
                <w:sz w:val="20"/>
              </w:rPr>
            </w:pPr>
            <w:r w:rsidRPr="002B05F2">
              <w:rPr>
                <w:rFonts w:ascii="Arial Narrow" w:hAnsi="Arial Narrow" w:cs="Arial"/>
                <w:b/>
                <w:bCs/>
                <w:color w:val="FFFFFF"/>
                <w:sz w:val="20"/>
              </w:rPr>
              <w:t>Vic</w:t>
            </w:r>
          </w:p>
        </w:tc>
        <w:tc>
          <w:tcPr>
            <w:tcW w:w="992"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314208DF" w14:textId="77777777" w:rsidR="001C45C0" w:rsidRPr="002B05F2" w:rsidRDefault="001C45C0" w:rsidP="001C45C0">
            <w:pPr>
              <w:jc w:val="center"/>
              <w:rPr>
                <w:rFonts w:ascii="Arial Narrow" w:hAnsi="Arial Narrow" w:cs="Arial"/>
                <w:b/>
                <w:bCs/>
                <w:color w:val="FFFFFF"/>
                <w:sz w:val="20"/>
              </w:rPr>
            </w:pPr>
            <w:r w:rsidRPr="002B05F2">
              <w:rPr>
                <w:rFonts w:ascii="Arial Narrow" w:hAnsi="Arial Narrow" w:cs="Arial"/>
                <w:b/>
                <w:bCs/>
                <w:color w:val="FFFFFF"/>
                <w:sz w:val="20"/>
              </w:rPr>
              <w:t>Qld</w:t>
            </w: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4D5B2236" w14:textId="77777777" w:rsidR="001C45C0" w:rsidRPr="002B05F2" w:rsidRDefault="001C45C0" w:rsidP="001C45C0">
            <w:pPr>
              <w:jc w:val="center"/>
              <w:rPr>
                <w:rFonts w:ascii="Arial Narrow" w:hAnsi="Arial Narrow" w:cs="Arial"/>
                <w:b/>
                <w:bCs/>
                <w:color w:val="FFFFFF"/>
                <w:sz w:val="20"/>
              </w:rPr>
            </w:pPr>
            <w:r w:rsidRPr="002B05F2">
              <w:rPr>
                <w:rFonts w:ascii="Arial Narrow" w:hAnsi="Arial Narrow" w:cs="Arial"/>
                <w:b/>
                <w:bCs/>
                <w:color w:val="FFFFFF"/>
                <w:sz w:val="20"/>
              </w:rPr>
              <w:t>SA</w:t>
            </w: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3C3C4B3B" w14:textId="77777777" w:rsidR="001C45C0" w:rsidRPr="002B05F2" w:rsidRDefault="001C45C0" w:rsidP="001C45C0">
            <w:pPr>
              <w:jc w:val="center"/>
              <w:rPr>
                <w:rFonts w:ascii="Arial Narrow" w:hAnsi="Arial Narrow" w:cs="Arial"/>
                <w:b/>
                <w:bCs/>
                <w:color w:val="FFFFFF"/>
                <w:sz w:val="20"/>
              </w:rPr>
            </w:pPr>
            <w:r w:rsidRPr="002B05F2">
              <w:rPr>
                <w:rFonts w:ascii="Arial Narrow" w:hAnsi="Arial Narrow" w:cs="Arial"/>
                <w:b/>
                <w:bCs/>
                <w:color w:val="FFFFFF"/>
                <w:sz w:val="20"/>
              </w:rPr>
              <w:t>WA</w:t>
            </w:r>
          </w:p>
        </w:tc>
        <w:tc>
          <w:tcPr>
            <w:tcW w:w="992"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701EF990" w14:textId="77777777" w:rsidR="001C45C0" w:rsidRPr="002B05F2" w:rsidRDefault="001C45C0" w:rsidP="001C45C0">
            <w:pPr>
              <w:jc w:val="center"/>
              <w:rPr>
                <w:rFonts w:ascii="Arial Narrow" w:hAnsi="Arial Narrow" w:cs="Arial"/>
                <w:b/>
                <w:bCs/>
                <w:color w:val="FFFFFF"/>
                <w:sz w:val="20"/>
              </w:rPr>
            </w:pPr>
            <w:r w:rsidRPr="002B05F2">
              <w:rPr>
                <w:rFonts w:ascii="Arial Narrow" w:hAnsi="Arial Narrow" w:cs="Arial"/>
                <w:b/>
                <w:bCs/>
                <w:color w:val="FFFFFF"/>
                <w:sz w:val="20"/>
              </w:rPr>
              <w:t>ACT</w:t>
            </w: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6F58EF10" w14:textId="77777777" w:rsidR="001C45C0" w:rsidRPr="002B05F2" w:rsidRDefault="001C45C0" w:rsidP="001C45C0">
            <w:pPr>
              <w:jc w:val="center"/>
              <w:rPr>
                <w:rFonts w:ascii="Arial Narrow" w:hAnsi="Arial Narrow" w:cs="Arial"/>
                <w:b/>
                <w:bCs/>
                <w:color w:val="FFFFFF"/>
                <w:sz w:val="20"/>
              </w:rPr>
            </w:pPr>
            <w:r w:rsidRPr="002B05F2">
              <w:rPr>
                <w:rFonts w:ascii="Arial Narrow" w:hAnsi="Arial Narrow" w:cs="Arial"/>
                <w:b/>
                <w:bCs/>
                <w:color w:val="FFFFFF"/>
                <w:sz w:val="20"/>
              </w:rPr>
              <w:t>AUS</w:t>
            </w:r>
          </w:p>
        </w:tc>
      </w:tr>
      <w:tr w:rsidR="001C45C0" w:rsidRPr="00B50A81" w14:paraId="75350246" w14:textId="77777777" w:rsidTr="001C45C0">
        <w:trPr>
          <w:trHeight w:val="255"/>
        </w:trPr>
        <w:tc>
          <w:tcPr>
            <w:tcW w:w="8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277630" w14:textId="77777777" w:rsidR="001C45C0" w:rsidRPr="002B05F2" w:rsidRDefault="001C45C0" w:rsidP="001C45C0">
            <w:pPr>
              <w:rPr>
                <w:rFonts w:ascii="Arial Narrow" w:hAnsi="Arial Narrow" w:cs="Arial"/>
                <w:b/>
                <w:bCs/>
                <w:sz w:val="20"/>
              </w:rPr>
            </w:pPr>
            <w:r w:rsidRPr="002B05F2">
              <w:rPr>
                <w:rFonts w:ascii="Arial Narrow" w:hAnsi="Arial Narrow" w:cs="Arial"/>
                <w:b/>
                <w:bCs/>
                <w:sz w:val="20"/>
              </w:rPr>
              <w:t>2014-15</w:t>
            </w:r>
          </w:p>
        </w:tc>
        <w:tc>
          <w:tcPr>
            <w:tcW w:w="1253" w:type="dxa"/>
            <w:tcBorders>
              <w:top w:val="single" w:sz="4" w:space="0" w:color="auto"/>
              <w:left w:val="single" w:sz="4" w:space="0" w:color="auto"/>
              <w:bottom w:val="single" w:sz="4" w:space="0" w:color="auto"/>
              <w:right w:val="single" w:sz="4" w:space="0" w:color="auto"/>
            </w:tcBorders>
            <w:shd w:val="clear" w:color="auto" w:fill="auto"/>
            <w:hideMark/>
          </w:tcPr>
          <w:p w14:paraId="0DEDD37A" w14:textId="77777777" w:rsidR="001C45C0" w:rsidRPr="002B05F2" w:rsidRDefault="001C45C0" w:rsidP="001C45C0">
            <w:pPr>
              <w:rPr>
                <w:rFonts w:ascii="Arial Narrow" w:hAnsi="Arial Narrow" w:cs="Arial"/>
                <w:b/>
                <w:bCs/>
                <w:sz w:val="20"/>
              </w:rPr>
            </w:pPr>
            <w:r w:rsidRPr="002B05F2">
              <w:rPr>
                <w:rFonts w:ascii="Arial Narrow" w:hAnsi="Arial Narrow" w:cs="Arial"/>
                <w:b/>
                <w:bCs/>
                <w:sz w:val="20"/>
              </w:rPr>
              <w:t xml:space="preserve">Average Fee Charged </w:t>
            </w:r>
          </w:p>
        </w:tc>
        <w:tc>
          <w:tcPr>
            <w:tcW w:w="128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7D6A018" w14:textId="77777777" w:rsidR="001C45C0" w:rsidRPr="002B05F2" w:rsidRDefault="001C45C0" w:rsidP="001C45C0">
            <w:pPr>
              <w:jc w:val="right"/>
              <w:rPr>
                <w:rFonts w:ascii="Arial Narrow" w:hAnsi="Arial Narrow" w:cs="Arial"/>
                <w:color w:val="000000"/>
                <w:sz w:val="20"/>
              </w:rPr>
            </w:pPr>
            <w:r w:rsidRPr="002B05F2">
              <w:rPr>
                <w:rFonts w:ascii="Arial Narrow" w:hAnsi="Arial Narrow" w:cs="Arial"/>
                <w:color w:val="000000"/>
                <w:sz w:val="20"/>
              </w:rPr>
              <w:t>$436.69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FC8C26F" w14:textId="77777777" w:rsidR="001C45C0" w:rsidRPr="002B05F2" w:rsidRDefault="001C45C0" w:rsidP="001C45C0">
            <w:pPr>
              <w:jc w:val="right"/>
              <w:rPr>
                <w:rFonts w:ascii="Arial Narrow" w:hAnsi="Arial Narrow" w:cs="Arial"/>
                <w:sz w:val="20"/>
              </w:rPr>
            </w:pPr>
            <w:r w:rsidRPr="002B05F2">
              <w:rPr>
                <w:rFonts w:ascii="Arial Narrow" w:hAnsi="Arial Narrow" w:cs="Arial"/>
                <w:sz w:val="20"/>
              </w:rPr>
              <w:t>$397.40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3D816FB" w14:textId="77777777" w:rsidR="001C45C0" w:rsidRPr="002B05F2" w:rsidRDefault="001C45C0" w:rsidP="001C45C0">
            <w:pPr>
              <w:jc w:val="right"/>
              <w:rPr>
                <w:rFonts w:ascii="Arial Narrow" w:hAnsi="Arial Narrow" w:cs="Arial"/>
                <w:sz w:val="20"/>
              </w:rPr>
            </w:pPr>
            <w:r w:rsidRPr="002B05F2">
              <w:rPr>
                <w:rFonts w:ascii="Arial Narrow" w:hAnsi="Arial Narrow" w:cs="Arial"/>
                <w:sz w:val="20"/>
              </w:rPr>
              <w:t>$429.50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3F6825D" w14:textId="77777777" w:rsidR="001C45C0" w:rsidRPr="002B05F2" w:rsidRDefault="001C45C0" w:rsidP="001C45C0">
            <w:pPr>
              <w:jc w:val="right"/>
              <w:rPr>
                <w:rFonts w:ascii="Arial Narrow" w:hAnsi="Arial Narrow" w:cs="Arial"/>
                <w:sz w:val="20"/>
              </w:rPr>
            </w:pPr>
            <w:r w:rsidRPr="002B05F2">
              <w:rPr>
                <w:rFonts w:ascii="Arial Narrow" w:hAnsi="Arial Narrow" w:cs="Arial"/>
                <w:sz w:val="20"/>
              </w:rPr>
              <w:t>$260.55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2F3E1D5" w14:textId="77777777" w:rsidR="001C45C0" w:rsidRPr="002B05F2" w:rsidRDefault="001C45C0" w:rsidP="001C45C0">
            <w:pPr>
              <w:jc w:val="right"/>
              <w:rPr>
                <w:rFonts w:ascii="Arial Narrow" w:hAnsi="Arial Narrow" w:cs="Arial"/>
                <w:sz w:val="20"/>
              </w:rPr>
            </w:pPr>
            <w:r w:rsidRPr="002B05F2">
              <w:rPr>
                <w:rFonts w:ascii="Arial Narrow" w:hAnsi="Arial Narrow" w:cs="Arial"/>
                <w:sz w:val="20"/>
              </w:rPr>
              <w:t>$390.01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2B7D20" w14:textId="77777777" w:rsidR="001C45C0" w:rsidRPr="002B05F2" w:rsidRDefault="001C45C0" w:rsidP="001C45C0">
            <w:pPr>
              <w:jc w:val="right"/>
              <w:rPr>
                <w:rFonts w:ascii="Arial Narrow" w:hAnsi="Arial Narrow" w:cs="Arial"/>
                <w:color w:val="000000"/>
                <w:sz w:val="20"/>
              </w:rPr>
            </w:pPr>
            <w:r w:rsidRPr="002B05F2">
              <w:rPr>
                <w:rFonts w:ascii="Arial Narrow" w:hAnsi="Arial Narrow" w:cs="Arial"/>
                <w:color w:val="000000"/>
                <w:sz w:val="20"/>
              </w:rPr>
              <w:t>$468.58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C6BF8D0" w14:textId="77777777" w:rsidR="001C45C0" w:rsidRPr="002B05F2" w:rsidRDefault="001C45C0" w:rsidP="001C45C0">
            <w:pPr>
              <w:jc w:val="right"/>
              <w:rPr>
                <w:rFonts w:ascii="Arial Narrow" w:hAnsi="Arial Narrow" w:cs="Arial"/>
                <w:b/>
                <w:color w:val="000000"/>
                <w:sz w:val="20"/>
              </w:rPr>
            </w:pPr>
            <w:r w:rsidRPr="002B05F2">
              <w:rPr>
                <w:rFonts w:ascii="Arial Narrow" w:hAnsi="Arial Narrow" w:cs="Arial"/>
                <w:b/>
                <w:color w:val="000000"/>
                <w:sz w:val="20"/>
              </w:rPr>
              <w:t>$396.88</w:t>
            </w:r>
          </w:p>
        </w:tc>
      </w:tr>
      <w:tr w:rsidR="001C45C0" w:rsidRPr="00B50A81" w14:paraId="01E142DD" w14:textId="77777777" w:rsidTr="001C45C0">
        <w:trPr>
          <w:trHeight w:val="255"/>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0DA538E9" w14:textId="77777777" w:rsidR="001C45C0" w:rsidRPr="002B05F2" w:rsidRDefault="001C45C0" w:rsidP="001C45C0">
            <w:pPr>
              <w:rPr>
                <w:rFonts w:ascii="Arial Narrow" w:hAnsi="Arial Narrow" w:cs="Arial"/>
                <w:b/>
                <w:bCs/>
                <w:sz w:val="20"/>
              </w:rPr>
            </w:pPr>
          </w:p>
        </w:tc>
        <w:tc>
          <w:tcPr>
            <w:tcW w:w="1253" w:type="dxa"/>
            <w:tcBorders>
              <w:top w:val="single" w:sz="4" w:space="0" w:color="auto"/>
              <w:left w:val="single" w:sz="4" w:space="0" w:color="auto"/>
              <w:bottom w:val="single" w:sz="4" w:space="0" w:color="auto"/>
              <w:right w:val="single" w:sz="4" w:space="0" w:color="auto"/>
            </w:tcBorders>
            <w:shd w:val="clear" w:color="auto" w:fill="auto"/>
            <w:hideMark/>
          </w:tcPr>
          <w:p w14:paraId="1684F154" w14:textId="77777777" w:rsidR="001C45C0" w:rsidRPr="002B05F2" w:rsidRDefault="001C45C0" w:rsidP="001C45C0">
            <w:pPr>
              <w:rPr>
                <w:rFonts w:ascii="Arial Narrow" w:hAnsi="Arial Narrow" w:cs="Arial"/>
                <w:b/>
                <w:bCs/>
                <w:sz w:val="20"/>
              </w:rPr>
            </w:pPr>
            <w:r w:rsidRPr="002B05F2">
              <w:rPr>
                <w:rFonts w:ascii="Arial Narrow" w:hAnsi="Arial Narrow" w:cs="Arial"/>
                <w:b/>
                <w:bCs/>
                <w:sz w:val="20"/>
              </w:rPr>
              <w:t>Standard</w:t>
            </w:r>
            <w:r w:rsidRPr="002B05F2">
              <w:rPr>
                <w:rFonts w:ascii="Arial Narrow" w:hAnsi="Arial Narrow" w:cs="Arial"/>
                <w:b/>
                <w:bCs/>
                <w:sz w:val="20"/>
              </w:rPr>
              <w:br/>
              <w:t>Deviation</w:t>
            </w:r>
          </w:p>
        </w:tc>
        <w:tc>
          <w:tcPr>
            <w:tcW w:w="128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52ADD37" w14:textId="77777777" w:rsidR="001C45C0" w:rsidRPr="002B05F2" w:rsidRDefault="001C45C0" w:rsidP="001C45C0">
            <w:pPr>
              <w:jc w:val="right"/>
              <w:rPr>
                <w:rFonts w:ascii="Arial Narrow" w:hAnsi="Arial Narrow" w:cs="Arial"/>
                <w:color w:val="000000"/>
                <w:sz w:val="20"/>
              </w:rPr>
            </w:pPr>
            <w:r w:rsidRPr="002B05F2">
              <w:rPr>
                <w:rFonts w:ascii="Arial Narrow" w:hAnsi="Arial Narrow" w:cs="Arial"/>
                <w:color w:val="000000"/>
                <w:sz w:val="20"/>
              </w:rPr>
              <w:t>$81.59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8753536" w14:textId="77777777" w:rsidR="001C45C0" w:rsidRPr="002B05F2" w:rsidRDefault="001C45C0" w:rsidP="001C45C0">
            <w:pPr>
              <w:jc w:val="right"/>
              <w:rPr>
                <w:rFonts w:ascii="Arial Narrow" w:hAnsi="Arial Narrow" w:cs="Arial"/>
                <w:sz w:val="20"/>
              </w:rPr>
            </w:pPr>
            <w:r w:rsidRPr="002B05F2">
              <w:rPr>
                <w:rFonts w:ascii="Arial Narrow" w:hAnsi="Arial Narrow" w:cs="Arial"/>
                <w:sz w:val="20"/>
              </w:rPr>
              <w:t>$78.63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387353B" w14:textId="77777777" w:rsidR="001C45C0" w:rsidRPr="002B05F2" w:rsidRDefault="001C45C0" w:rsidP="001C45C0">
            <w:pPr>
              <w:jc w:val="right"/>
              <w:rPr>
                <w:rFonts w:ascii="Arial Narrow" w:hAnsi="Arial Narrow" w:cs="Arial"/>
                <w:sz w:val="20"/>
              </w:rPr>
            </w:pPr>
            <w:r w:rsidRPr="002B05F2">
              <w:rPr>
                <w:rFonts w:ascii="Arial Narrow" w:hAnsi="Arial Narrow" w:cs="Arial"/>
                <w:sz w:val="20"/>
              </w:rPr>
              <w:t>$64.23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511DF65" w14:textId="77777777" w:rsidR="001C45C0" w:rsidRPr="002B05F2" w:rsidRDefault="001C45C0" w:rsidP="001C45C0">
            <w:pPr>
              <w:jc w:val="right"/>
              <w:rPr>
                <w:rFonts w:ascii="Arial Narrow" w:hAnsi="Arial Narrow" w:cs="Arial"/>
                <w:sz w:val="20"/>
              </w:rPr>
            </w:pPr>
            <w:r w:rsidRPr="002B05F2">
              <w:rPr>
                <w:rFonts w:ascii="Arial Narrow" w:hAnsi="Arial Narrow" w:cs="Arial"/>
                <w:sz w:val="20"/>
              </w:rPr>
              <w:t>$83.72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9B3D9B0" w14:textId="77777777" w:rsidR="001C45C0" w:rsidRPr="002B05F2" w:rsidRDefault="001C45C0" w:rsidP="001C45C0">
            <w:pPr>
              <w:jc w:val="right"/>
              <w:rPr>
                <w:rFonts w:ascii="Arial Narrow" w:hAnsi="Arial Narrow" w:cs="Arial"/>
                <w:sz w:val="20"/>
              </w:rPr>
            </w:pPr>
            <w:r w:rsidRPr="002B05F2">
              <w:rPr>
                <w:rFonts w:ascii="Arial Narrow" w:hAnsi="Arial Narrow" w:cs="Arial"/>
                <w:sz w:val="20"/>
              </w:rPr>
              <w:t>$103.15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B33764" w14:textId="77777777" w:rsidR="001C45C0" w:rsidRPr="002B05F2" w:rsidRDefault="001C45C0" w:rsidP="001C45C0">
            <w:pPr>
              <w:jc w:val="right"/>
              <w:rPr>
                <w:rFonts w:ascii="Arial Narrow" w:hAnsi="Arial Narrow" w:cs="Arial"/>
                <w:color w:val="000000"/>
                <w:sz w:val="20"/>
              </w:rPr>
            </w:pPr>
            <w:r w:rsidRPr="002B05F2">
              <w:rPr>
                <w:rFonts w:ascii="Arial Narrow" w:hAnsi="Arial Narrow" w:cs="Arial"/>
                <w:color w:val="000000"/>
                <w:sz w:val="20"/>
              </w:rPr>
              <w:t>$209.06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D60B3DE" w14:textId="77777777" w:rsidR="001C45C0" w:rsidRPr="002B05F2" w:rsidRDefault="001C45C0" w:rsidP="001C45C0">
            <w:pPr>
              <w:jc w:val="right"/>
              <w:rPr>
                <w:rFonts w:ascii="Arial Narrow" w:hAnsi="Arial Narrow" w:cs="Arial"/>
                <w:b/>
                <w:color w:val="000000"/>
                <w:sz w:val="20"/>
              </w:rPr>
            </w:pPr>
            <w:r w:rsidRPr="002B05F2">
              <w:rPr>
                <w:rFonts w:ascii="Arial Narrow" w:hAnsi="Arial Narrow" w:cs="Arial"/>
                <w:b/>
                <w:color w:val="000000"/>
                <w:sz w:val="20"/>
              </w:rPr>
              <w:t>$97.41</w:t>
            </w:r>
          </w:p>
        </w:tc>
      </w:tr>
      <w:tr w:rsidR="001C45C0" w:rsidRPr="00B50A81" w14:paraId="16F40EAB" w14:textId="77777777" w:rsidTr="001C45C0">
        <w:trPr>
          <w:trHeight w:val="255"/>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39CECB76" w14:textId="77777777" w:rsidR="001C45C0" w:rsidRPr="002B05F2" w:rsidRDefault="001C45C0" w:rsidP="001C45C0">
            <w:pPr>
              <w:rPr>
                <w:rFonts w:ascii="Arial Narrow" w:hAnsi="Arial Narrow" w:cs="Arial"/>
                <w:b/>
                <w:bCs/>
                <w:sz w:val="20"/>
              </w:rPr>
            </w:pPr>
          </w:p>
        </w:tc>
        <w:tc>
          <w:tcPr>
            <w:tcW w:w="1253" w:type="dxa"/>
            <w:tcBorders>
              <w:top w:val="single" w:sz="4" w:space="0" w:color="auto"/>
              <w:left w:val="single" w:sz="4" w:space="0" w:color="auto"/>
              <w:bottom w:val="single" w:sz="4" w:space="0" w:color="auto"/>
              <w:right w:val="single" w:sz="4" w:space="0" w:color="auto"/>
            </w:tcBorders>
            <w:shd w:val="clear" w:color="auto" w:fill="auto"/>
            <w:hideMark/>
          </w:tcPr>
          <w:p w14:paraId="4D604A08" w14:textId="77777777" w:rsidR="001C45C0" w:rsidRPr="002B05F2" w:rsidRDefault="001C45C0" w:rsidP="001C45C0">
            <w:pPr>
              <w:rPr>
                <w:rFonts w:ascii="Arial Narrow" w:hAnsi="Arial Narrow" w:cs="Arial"/>
                <w:b/>
                <w:bCs/>
                <w:sz w:val="20"/>
              </w:rPr>
            </w:pPr>
            <w:r w:rsidRPr="002B05F2">
              <w:rPr>
                <w:rFonts w:ascii="Arial Narrow" w:hAnsi="Arial Narrow" w:cs="Arial"/>
                <w:b/>
                <w:bCs/>
                <w:sz w:val="20"/>
              </w:rPr>
              <w:t>95th Percentile</w:t>
            </w:r>
            <w:r w:rsidRPr="002B05F2">
              <w:rPr>
                <w:rStyle w:val="FootnoteReference"/>
                <w:rFonts w:ascii="Arial Narrow" w:hAnsi="Arial Narrow" w:cs="Arial"/>
                <w:b/>
                <w:bCs/>
                <w:sz w:val="20"/>
              </w:rPr>
              <w:footnoteReference w:id="1"/>
            </w:r>
          </w:p>
        </w:tc>
        <w:tc>
          <w:tcPr>
            <w:tcW w:w="128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204EF6C" w14:textId="77777777" w:rsidR="001C45C0" w:rsidRPr="002B05F2" w:rsidRDefault="001C45C0" w:rsidP="001C45C0">
            <w:pPr>
              <w:jc w:val="right"/>
              <w:rPr>
                <w:rFonts w:ascii="Arial Narrow" w:hAnsi="Arial Narrow" w:cs="Arial"/>
                <w:color w:val="000000"/>
                <w:sz w:val="20"/>
              </w:rPr>
            </w:pPr>
            <w:r w:rsidRPr="002B05F2">
              <w:rPr>
                <w:rFonts w:ascii="Arial Narrow" w:hAnsi="Arial Narrow" w:cs="Arial"/>
                <w:color w:val="000000"/>
                <w:sz w:val="20"/>
              </w:rPr>
              <w:t>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261C5E6" w14:textId="77777777" w:rsidR="001C45C0" w:rsidRPr="002B05F2" w:rsidRDefault="001C45C0" w:rsidP="001C45C0">
            <w:pPr>
              <w:jc w:val="right"/>
              <w:rPr>
                <w:rFonts w:ascii="Arial Narrow" w:hAnsi="Arial Narrow" w:cs="Arial"/>
                <w:sz w:val="20"/>
              </w:rPr>
            </w:pPr>
            <w:r w:rsidRPr="002B05F2">
              <w:rPr>
                <w:rFonts w:ascii="Arial Narrow" w:hAnsi="Arial Narrow" w:cs="Arial"/>
                <w:sz w:val="20"/>
              </w:rPr>
              <w:t>$550.95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BF1BCDB" w14:textId="77777777" w:rsidR="001C45C0" w:rsidRPr="002B05F2" w:rsidRDefault="001C45C0" w:rsidP="001C45C0">
            <w:pPr>
              <w:jc w:val="right"/>
              <w:rPr>
                <w:rFonts w:ascii="Arial Narrow" w:hAnsi="Arial Narrow" w:cs="Arial"/>
                <w:sz w:val="20"/>
              </w:rPr>
            </w:pPr>
            <w:r w:rsidRPr="002B05F2">
              <w:rPr>
                <w:rFonts w:ascii="Arial Narrow" w:hAnsi="Arial Narrow" w:cs="Arial"/>
                <w:sz w:val="20"/>
              </w:rPr>
              <w:t>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3E70629" w14:textId="77777777" w:rsidR="001C45C0" w:rsidRPr="002B05F2" w:rsidRDefault="001C45C0" w:rsidP="001C45C0">
            <w:pPr>
              <w:jc w:val="right"/>
              <w:rPr>
                <w:rFonts w:ascii="Arial Narrow" w:hAnsi="Arial Narrow" w:cs="Arial"/>
                <w:sz w:val="20"/>
              </w:rPr>
            </w:pPr>
            <w:r w:rsidRPr="002B05F2">
              <w:rPr>
                <w:rFonts w:ascii="Arial Narrow" w:hAnsi="Arial Narrow" w:cs="Arial"/>
                <w:sz w:val="20"/>
              </w:rPr>
              <w:t>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0E41C40" w14:textId="77777777" w:rsidR="001C45C0" w:rsidRPr="002B05F2" w:rsidRDefault="001C45C0" w:rsidP="001C45C0">
            <w:pPr>
              <w:jc w:val="right"/>
              <w:rPr>
                <w:rFonts w:ascii="Arial Narrow" w:hAnsi="Arial Narrow" w:cs="Arial"/>
                <w:color w:val="000000"/>
                <w:sz w:val="20"/>
              </w:rPr>
            </w:pPr>
            <w:r w:rsidRPr="002B05F2">
              <w:rPr>
                <w:rFonts w:ascii="Arial Narrow" w:hAnsi="Arial Narrow" w:cs="Arial"/>
                <w:color w:val="000000"/>
                <w:sz w:val="20"/>
              </w:rPr>
              <w:t>$550.95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1C966B" w14:textId="77777777" w:rsidR="001C45C0" w:rsidRPr="002B05F2" w:rsidRDefault="001C45C0" w:rsidP="001C45C0">
            <w:pPr>
              <w:jc w:val="right"/>
              <w:rPr>
                <w:rFonts w:ascii="Arial Narrow" w:hAnsi="Arial Narrow" w:cs="Arial"/>
                <w:color w:val="000000"/>
                <w:sz w:val="20"/>
              </w:rPr>
            </w:pPr>
            <w:r w:rsidRPr="002B05F2">
              <w:rPr>
                <w:rFonts w:ascii="Arial Narrow" w:hAnsi="Arial Narrow" w:cs="Arial"/>
                <w:color w:val="000000"/>
                <w:sz w:val="20"/>
              </w:rPr>
              <w:t>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5C37889" w14:textId="77777777" w:rsidR="001C45C0" w:rsidRPr="002B05F2" w:rsidRDefault="001C45C0" w:rsidP="001C45C0">
            <w:pPr>
              <w:jc w:val="right"/>
              <w:rPr>
                <w:rFonts w:ascii="Arial Narrow" w:hAnsi="Arial Narrow" w:cs="Arial"/>
                <w:b/>
                <w:sz w:val="20"/>
              </w:rPr>
            </w:pPr>
            <w:r w:rsidRPr="002B05F2">
              <w:rPr>
                <w:rFonts w:ascii="Arial Narrow" w:hAnsi="Arial Narrow" w:cs="Arial"/>
                <w:b/>
                <w:sz w:val="20"/>
              </w:rPr>
              <w:t>$550.95</w:t>
            </w:r>
          </w:p>
        </w:tc>
      </w:tr>
      <w:tr w:rsidR="001C45C0" w:rsidRPr="00B50A81" w14:paraId="234149EB" w14:textId="77777777" w:rsidTr="001C45C0">
        <w:trPr>
          <w:trHeight w:val="255"/>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2BE36301" w14:textId="77777777" w:rsidR="001C45C0" w:rsidRPr="002B05F2" w:rsidRDefault="001C45C0" w:rsidP="001C45C0">
            <w:pPr>
              <w:rPr>
                <w:rFonts w:ascii="Arial Narrow" w:hAnsi="Arial Narrow" w:cs="Arial"/>
                <w:b/>
                <w:bCs/>
                <w:sz w:val="20"/>
              </w:rPr>
            </w:pPr>
          </w:p>
        </w:tc>
        <w:tc>
          <w:tcPr>
            <w:tcW w:w="1253" w:type="dxa"/>
            <w:tcBorders>
              <w:top w:val="single" w:sz="4" w:space="0" w:color="auto"/>
              <w:left w:val="single" w:sz="4" w:space="0" w:color="auto"/>
              <w:bottom w:val="single" w:sz="4" w:space="0" w:color="auto"/>
              <w:right w:val="single" w:sz="4" w:space="0" w:color="auto"/>
            </w:tcBorders>
            <w:shd w:val="clear" w:color="auto" w:fill="auto"/>
            <w:hideMark/>
          </w:tcPr>
          <w:p w14:paraId="4D59EFA2" w14:textId="77777777" w:rsidR="001C45C0" w:rsidRPr="002B05F2" w:rsidRDefault="001C45C0" w:rsidP="001C45C0">
            <w:pPr>
              <w:rPr>
                <w:rFonts w:ascii="Arial Narrow" w:hAnsi="Arial Narrow" w:cs="Arial"/>
                <w:b/>
                <w:bCs/>
                <w:sz w:val="20"/>
              </w:rPr>
            </w:pPr>
            <w:r>
              <w:rPr>
                <w:rFonts w:ascii="Arial Narrow" w:hAnsi="Arial Narrow" w:cs="Arial"/>
                <w:b/>
                <w:bCs/>
                <w:sz w:val="20"/>
              </w:rPr>
              <w:t xml:space="preserve">Bulk Billed </w:t>
            </w:r>
            <w:r w:rsidRPr="002B05F2">
              <w:rPr>
                <w:rFonts w:ascii="Arial Narrow" w:hAnsi="Arial Narrow" w:cs="Arial"/>
                <w:b/>
                <w:bCs/>
                <w:sz w:val="20"/>
              </w:rPr>
              <w:t>Rate</w:t>
            </w:r>
          </w:p>
        </w:tc>
        <w:tc>
          <w:tcPr>
            <w:tcW w:w="128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E4B04A1" w14:textId="77777777" w:rsidR="001C45C0" w:rsidRPr="002B05F2" w:rsidRDefault="001C45C0" w:rsidP="001C45C0">
            <w:pPr>
              <w:jc w:val="right"/>
              <w:rPr>
                <w:rFonts w:ascii="Arial Narrow" w:hAnsi="Arial Narrow" w:cs="Arial"/>
                <w:color w:val="000000"/>
                <w:sz w:val="20"/>
              </w:rPr>
            </w:pPr>
            <w:r w:rsidRPr="002B05F2">
              <w:rPr>
                <w:rFonts w:ascii="Arial Narrow" w:hAnsi="Arial Narrow" w:cs="Arial"/>
                <w:color w:val="000000"/>
                <w:sz w:val="20"/>
              </w:rPr>
              <w:t>95.6%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EFD41BE" w14:textId="77777777" w:rsidR="001C45C0" w:rsidRPr="002B05F2" w:rsidRDefault="001C45C0" w:rsidP="001C45C0">
            <w:pPr>
              <w:jc w:val="right"/>
              <w:rPr>
                <w:rFonts w:ascii="Arial Narrow" w:hAnsi="Arial Narrow" w:cs="Arial"/>
                <w:color w:val="000000"/>
                <w:sz w:val="20"/>
              </w:rPr>
            </w:pPr>
            <w:r w:rsidRPr="002B05F2">
              <w:rPr>
                <w:rFonts w:ascii="Arial Narrow" w:hAnsi="Arial Narrow" w:cs="Arial"/>
                <w:color w:val="000000"/>
                <w:sz w:val="20"/>
              </w:rPr>
              <w:t>95.9%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4D00B24" w14:textId="77777777" w:rsidR="001C45C0" w:rsidRPr="002B05F2" w:rsidRDefault="001C45C0" w:rsidP="001C45C0">
            <w:pPr>
              <w:jc w:val="right"/>
              <w:rPr>
                <w:rFonts w:ascii="Arial Narrow" w:hAnsi="Arial Narrow" w:cs="Arial"/>
                <w:color w:val="000000"/>
                <w:sz w:val="20"/>
              </w:rPr>
            </w:pPr>
            <w:r w:rsidRPr="002B05F2">
              <w:rPr>
                <w:rFonts w:ascii="Arial Narrow" w:hAnsi="Arial Narrow" w:cs="Arial"/>
                <w:color w:val="000000"/>
                <w:sz w:val="20"/>
              </w:rPr>
              <w:t>87.3%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C4813F5" w14:textId="77777777" w:rsidR="001C45C0" w:rsidRPr="002B05F2" w:rsidRDefault="001C45C0" w:rsidP="001C45C0">
            <w:pPr>
              <w:jc w:val="right"/>
              <w:rPr>
                <w:rFonts w:ascii="Arial Narrow" w:hAnsi="Arial Narrow" w:cs="Arial"/>
                <w:color w:val="000000"/>
                <w:sz w:val="20"/>
              </w:rPr>
            </w:pPr>
            <w:r w:rsidRPr="002B05F2">
              <w:rPr>
                <w:rFonts w:ascii="Arial Narrow" w:hAnsi="Arial Narrow" w:cs="Arial"/>
                <w:color w:val="000000"/>
                <w:sz w:val="20"/>
              </w:rPr>
              <w:t>88.2%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4327A77" w14:textId="77777777" w:rsidR="001C45C0" w:rsidRPr="002B05F2" w:rsidRDefault="001C45C0" w:rsidP="001C45C0">
            <w:pPr>
              <w:jc w:val="right"/>
              <w:rPr>
                <w:rFonts w:ascii="Arial Narrow" w:hAnsi="Arial Narrow" w:cs="Arial"/>
                <w:color w:val="000000"/>
                <w:sz w:val="20"/>
              </w:rPr>
            </w:pPr>
            <w:r w:rsidRPr="002B05F2">
              <w:rPr>
                <w:rFonts w:ascii="Arial Narrow" w:hAnsi="Arial Narrow" w:cs="Arial"/>
                <w:color w:val="000000"/>
                <w:sz w:val="20"/>
              </w:rPr>
              <w:t>31.3%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91069E" w14:textId="77777777" w:rsidR="001C45C0" w:rsidRPr="002B05F2" w:rsidRDefault="001C45C0" w:rsidP="001C45C0">
            <w:pPr>
              <w:jc w:val="right"/>
              <w:rPr>
                <w:rFonts w:ascii="Arial Narrow" w:hAnsi="Arial Narrow" w:cs="Arial"/>
                <w:color w:val="000000"/>
                <w:sz w:val="20"/>
              </w:rPr>
            </w:pPr>
            <w:r w:rsidRPr="002B05F2">
              <w:rPr>
                <w:rFonts w:ascii="Arial Narrow" w:hAnsi="Arial Narrow" w:cs="Arial"/>
                <w:color w:val="000000"/>
                <w:sz w:val="20"/>
              </w:rPr>
              <w:t>93.3%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9B797A4" w14:textId="77777777" w:rsidR="001C45C0" w:rsidRPr="002B05F2" w:rsidRDefault="001C45C0" w:rsidP="001C45C0">
            <w:pPr>
              <w:jc w:val="right"/>
              <w:rPr>
                <w:rFonts w:ascii="Arial Narrow" w:hAnsi="Arial Narrow" w:cs="Arial"/>
                <w:b/>
                <w:color w:val="000000"/>
                <w:sz w:val="20"/>
              </w:rPr>
            </w:pPr>
            <w:r w:rsidRPr="002B05F2">
              <w:rPr>
                <w:rFonts w:ascii="Arial Narrow" w:hAnsi="Arial Narrow" w:cs="Arial"/>
                <w:b/>
                <w:color w:val="000000"/>
                <w:sz w:val="20"/>
              </w:rPr>
              <w:t>91.1%</w:t>
            </w:r>
          </w:p>
        </w:tc>
      </w:tr>
      <w:tr w:rsidR="001C45C0" w:rsidRPr="00B50A81" w14:paraId="2905EE53" w14:textId="77777777" w:rsidTr="001C45C0">
        <w:trPr>
          <w:trHeight w:val="255"/>
        </w:trPr>
        <w:tc>
          <w:tcPr>
            <w:tcW w:w="8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BD7FF6" w14:textId="77777777" w:rsidR="001C45C0" w:rsidRPr="002B05F2" w:rsidRDefault="001C45C0" w:rsidP="001C45C0">
            <w:pPr>
              <w:rPr>
                <w:rFonts w:ascii="Arial Narrow" w:hAnsi="Arial Narrow" w:cs="Arial"/>
                <w:b/>
                <w:bCs/>
                <w:sz w:val="20"/>
              </w:rPr>
            </w:pPr>
            <w:r w:rsidRPr="002B05F2">
              <w:rPr>
                <w:rFonts w:ascii="Arial Narrow" w:hAnsi="Arial Narrow" w:cs="Arial"/>
                <w:b/>
                <w:bCs/>
                <w:sz w:val="20"/>
              </w:rPr>
              <w:t>2015-16</w:t>
            </w:r>
          </w:p>
        </w:tc>
        <w:tc>
          <w:tcPr>
            <w:tcW w:w="1253" w:type="dxa"/>
            <w:tcBorders>
              <w:top w:val="single" w:sz="4" w:space="0" w:color="auto"/>
              <w:left w:val="single" w:sz="4" w:space="0" w:color="auto"/>
              <w:bottom w:val="single" w:sz="4" w:space="0" w:color="auto"/>
              <w:right w:val="single" w:sz="4" w:space="0" w:color="auto"/>
            </w:tcBorders>
            <w:shd w:val="clear" w:color="auto" w:fill="auto"/>
            <w:hideMark/>
          </w:tcPr>
          <w:p w14:paraId="72E2ADB2" w14:textId="77777777" w:rsidR="001C45C0" w:rsidRPr="002B05F2" w:rsidRDefault="001C45C0" w:rsidP="001C45C0">
            <w:pPr>
              <w:rPr>
                <w:rFonts w:ascii="Arial Narrow" w:hAnsi="Arial Narrow" w:cs="Arial"/>
                <w:b/>
                <w:bCs/>
                <w:sz w:val="20"/>
              </w:rPr>
            </w:pPr>
            <w:r w:rsidRPr="002B05F2">
              <w:rPr>
                <w:rFonts w:ascii="Arial Narrow" w:hAnsi="Arial Narrow" w:cs="Arial"/>
                <w:b/>
                <w:bCs/>
                <w:sz w:val="20"/>
              </w:rPr>
              <w:t xml:space="preserve">Average Fee Charged </w:t>
            </w:r>
          </w:p>
        </w:tc>
        <w:tc>
          <w:tcPr>
            <w:tcW w:w="128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D2E81BE" w14:textId="77777777" w:rsidR="001C45C0" w:rsidRPr="002B05F2" w:rsidRDefault="001C45C0" w:rsidP="001C45C0">
            <w:pPr>
              <w:jc w:val="right"/>
              <w:rPr>
                <w:rFonts w:ascii="Arial Narrow" w:hAnsi="Arial Narrow" w:cs="Arial"/>
                <w:color w:val="000000"/>
                <w:sz w:val="20"/>
              </w:rPr>
            </w:pPr>
            <w:r w:rsidRPr="002B05F2">
              <w:rPr>
                <w:rFonts w:ascii="Arial Narrow" w:hAnsi="Arial Narrow" w:cs="Arial"/>
                <w:color w:val="000000"/>
                <w:sz w:val="20"/>
              </w:rPr>
              <w:t>$394.23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C344E6E" w14:textId="77777777" w:rsidR="001C45C0" w:rsidRPr="002B05F2" w:rsidRDefault="001C45C0" w:rsidP="001C45C0">
            <w:pPr>
              <w:jc w:val="right"/>
              <w:rPr>
                <w:rFonts w:ascii="Arial Narrow" w:hAnsi="Arial Narrow" w:cs="Arial"/>
                <w:color w:val="000000"/>
                <w:sz w:val="20"/>
              </w:rPr>
            </w:pPr>
            <w:r w:rsidRPr="002B05F2">
              <w:rPr>
                <w:rFonts w:ascii="Arial Narrow" w:hAnsi="Arial Narrow" w:cs="Arial"/>
                <w:color w:val="000000"/>
                <w:sz w:val="20"/>
              </w:rPr>
              <w:t>$388.12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DB1CE43" w14:textId="77777777" w:rsidR="001C45C0" w:rsidRPr="002B05F2" w:rsidRDefault="001C45C0" w:rsidP="001C45C0">
            <w:pPr>
              <w:jc w:val="right"/>
              <w:rPr>
                <w:rFonts w:ascii="Arial Narrow" w:hAnsi="Arial Narrow" w:cs="Arial"/>
                <w:color w:val="000000"/>
                <w:sz w:val="20"/>
              </w:rPr>
            </w:pPr>
            <w:r w:rsidRPr="002B05F2">
              <w:rPr>
                <w:rFonts w:ascii="Arial Narrow" w:hAnsi="Arial Narrow" w:cs="Arial"/>
                <w:color w:val="000000"/>
                <w:sz w:val="20"/>
              </w:rPr>
              <w:t>$481.35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942EDBB" w14:textId="77777777" w:rsidR="001C45C0" w:rsidRPr="002B05F2" w:rsidRDefault="001C45C0" w:rsidP="001C45C0">
            <w:pPr>
              <w:jc w:val="right"/>
              <w:rPr>
                <w:rFonts w:ascii="Arial Narrow" w:hAnsi="Arial Narrow" w:cs="Arial"/>
                <w:color w:val="000000"/>
                <w:sz w:val="20"/>
              </w:rPr>
            </w:pPr>
            <w:r w:rsidRPr="002B05F2">
              <w:rPr>
                <w:rFonts w:ascii="Arial Narrow" w:hAnsi="Arial Narrow" w:cs="Arial"/>
                <w:color w:val="000000"/>
                <w:sz w:val="20"/>
              </w:rPr>
              <w:t>$386.62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7A6EF7C" w14:textId="77777777" w:rsidR="001C45C0" w:rsidRPr="002B05F2" w:rsidRDefault="001C45C0" w:rsidP="001C45C0">
            <w:pPr>
              <w:jc w:val="right"/>
              <w:rPr>
                <w:rFonts w:ascii="Arial Narrow" w:hAnsi="Arial Narrow" w:cs="Arial"/>
                <w:color w:val="000000"/>
                <w:sz w:val="20"/>
              </w:rPr>
            </w:pPr>
            <w:r w:rsidRPr="002B05F2">
              <w:rPr>
                <w:rFonts w:ascii="Arial Narrow" w:hAnsi="Arial Narrow" w:cs="Arial"/>
                <w:color w:val="000000"/>
                <w:sz w:val="20"/>
              </w:rPr>
              <w:t>$410.89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3E25A4" w14:textId="77777777" w:rsidR="001C45C0" w:rsidRPr="002B05F2" w:rsidRDefault="001C45C0" w:rsidP="001C45C0">
            <w:pPr>
              <w:jc w:val="right"/>
              <w:rPr>
                <w:rFonts w:ascii="Arial Narrow" w:hAnsi="Arial Narrow" w:cs="Arial"/>
                <w:color w:val="000000"/>
                <w:sz w:val="20"/>
              </w:rPr>
            </w:pPr>
            <w:r w:rsidRPr="002B05F2">
              <w:rPr>
                <w:rFonts w:ascii="Arial Narrow" w:hAnsi="Arial Narrow" w:cs="Arial"/>
                <w:color w:val="000000"/>
                <w:sz w:val="20"/>
              </w:rPr>
              <w:t>$297.90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D36C3E5" w14:textId="77777777" w:rsidR="001C45C0" w:rsidRPr="002B05F2" w:rsidRDefault="001C45C0" w:rsidP="001C45C0">
            <w:pPr>
              <w:jc w:val="right"/>
              <w:rPr>
                <w:rFonts w:ascii="Arial Narrow" w:hAnsi="Arial Narrow" w:cs="Arial"/>
                <w:b/>
                <w:color w:val="000000"/>
                <w:sz w:val="20"/>
              </w:rPr>
            </w:pPr>
            <w:r w:rsidRPr="002B05F2">
              <w:rPr>
                <w:rFonts w:ascii="Arial Narrow" w:hAnsi="Arial Narrow" w:cs="Arial"/>
                <w:b/>
                <w:color w:val="000000"/>
                <w:sz w:val="20"/>
              </w:rPr>
              <w:t>$408.00</w:t>
            </w:r>
          </w:p>
        </w:tc>
      </w:tr>
      <w:tr w:rsidR="001C45C0" w:rsidRPr="00B50A81" w14:paraId="0B074795" w14:textId="77777777" w:rsidTr="001C45C0">
        <w:trPr>
          <w:trHeight w:val="255"/>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6394C097" w14:textId="77777777" w:rsidR="001C45C0" w:rsidRPr="002B05F2" w:rsidRDefault="001C45C0" w:rsidP="001C45C0">
            <w:pPr>
              <w:rPr>
                <w:rFonts w:ascii="Arial Narrow" w:hAnsi="Arial Narrow" w:cs="Arial"/>
                <w:b/>
                <w:bCs/>
                <w:sz w:val="20"/>
              </w:rPr>
            </w:pPr>
          </w:p>
        </w:tc>
        <w:tc>
          <w:tcPr>
            <w:tcW w:w="1253" w:type="dxa"/>
            <w:tcBorders>
              <w:top w:val="single" w:sz="4" w:space="0" w:color="auto"/>
              <w:left w:val="single" w:sz="4" w:space="0" w:color="auto"/>
              <w:bottom w:val="single" w:sz="4" w:space="0" w:color="auto"/>
              <w:right w:val="single" w:sz="4" w:space="0" w:color="auto"/>
            </w:tcBorders>
            <w:shd w:val="clear" w:color="auto" w:fill="auto"/>
            <w:hideMark/>
          </w:tcPr>
          <w:p w14:paraId="5CAD43E9" w14:textId="77777777" w:rsidR="001C45C0" w:rsidRPr="002B05F2" w:rsidRDefault="001C45C0" w:rsidP="001C45C0">
            <w:pPr>
              <w:rPr>
                <w:rFonts w:ascii="Arial Narrow" w:hAnsi="Arial Narrow" w:cs="Arial"/>
                <w:b/>
                <w:bCs/>
                <w:sz w:val="20"/>
              </w:rPr>
            </w:pPr>
            <w:r>
              <w:rPr>
                <w:rFonts w:ascii="Arial Narrow" w:hAnsi="Arial Narrow" w:cs="Arial"/>
                <w:b/>
                <w:bCs/>
                <w:sz w:val="20"/>
              </w:rPr>
              <w:t xml:space="preserve">Standard </w:t>
            </w:r>
            <w:r w:rsidRPr="002B05F2">
              <w:rPr>
                <w:rFonts w:ascii="Arial Narrow" w:hAnsi="Arial Narrow" w:cs="Arial"/>
                <w:b/>
                <w:bCs/>
                <w:sz w:val="20"/>
              </w:rPr>
              <w:t>Deviation</w:t>
            </w:r>
          </w:p>
        </w:tc>
        <w:tc>
          <w:tcPr>
            <w:tcW w:w="128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E13206D" w14:textId="77777777" w:rsidR="001C45C0" w:rsidRPr="002B05F2" w:rsidRDefault="001C45C0" w:rsidP="001C45C0">
            <w:pPr>
              <w:jc w:val="right"/>
              <w:rPr>
                <w:rFonts w:ascii="Arial Narrow" w:hAnsi="Arial Narrow" w:cs="Arial"/>
                <w:color w:val="000000"/>
                <w:sz w:val="20"/>
              </w:rPr>
            </w:pPr>
            <w:r w:rsidRPr="002B05F2">
              <w:rPr>
                <w:rFonts w:ascii="Arial Narrow" w:hAnsi="Arial Narrow" w:cs="Arial"/>
                <w:color w:val="000000"/>
                <w:sz w:val="20"/>
              </w:rPr>
              <w:t>$94.01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ECFED2F" w14:textId="77777777" w:rsidR="001C45C0" w:rsidRPr="002B05F2" w:rsidRDefault="001C45C0" w:rsidP="001C45C0">
            <w:pPr>
              <w:jc w:val="right"/>
              <w:rPr>
                <w:rFonts w:ascii="Arial Narrow" w:hAnsi="Arial Narrow" w:cs="Arial"/>
                <w:color w:val="000000"/>
                <w:sz w:val="20"/>
              </w:rPr>
            </w:pPr>
            <w:r w:rsidRPr="002B05F2">
              <w:rPr>
                <w:rFonts w:ascii="Arial Narrow" w:hAnsi="Arial Narrow" w:cs="Arial"/>
                <w:color w:val="000000"/>
                <w:sz w:val="20"/>
              </w:rPr>
              <w:t>$91.53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9CAFA04" w14:textId="77777777" w:rsidR="001C45C0" w:rsidRPr="002B05F2" w:rsidRDefault="001C45C0" w:rsidP="001C45C0">
            <w:pPr>
              <w:jc w:val="right"/>
              <w:rPr>
                <w:rFonts w:ascii="Arial Narrow" w:hAnsi="Arial Narrow" w:cs="Arial"/>
                <w:color w:val="000000"/>
                <w:sz w:val="20"/>
              </w:rPr>
            </w:pPr>
            <w:r w:rsidRPr="002B05F2">
              <w:rPr>
                <w:rFonts w:ascii="Arial Narrow" w:hAnsi="Arial Narrow" w:cs="Arial"/>
                <w:color w:val="000000"/>
                <w:sz w:val="20"/>
              </w:rPr>
              <w:t>$132.66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AE65268" w14:textId="77777777" w:rsidR="001C45C0" w:rsidRPr="002B05F2" w:rsidRDefault="001C45C0" w:rsidP="001C45C0">
            <w:pPr>
              <w:jc w:val="right"/>
              <w:rPr>
                <w:rFonts w:ascii="Arial Narrow" w:hAnsi="Arial Narrow" w:cs="Arial"/>
                <w:color w:val="000000"/>
                <w:sz w:val="20"/>
              </w:rPr>
            </w:pPr>
            <w:r w:rsidRPr="002B05F2">
              <w:rPr>
                <w:rFonts w:ascii="Arial Narrow" w:hAnsi="Arial Narrow" w:cs="Arial"/>
                <w:color w:val="000000"/>
                <w:sz w:val="20"/>
              </w:rPr>
              <w:t>$73.69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0F42949" w14:textId="77777777" w:rsidR="001C45C0" w:rsidRPr="002B05F2" w:rsidRDefault="001C45C0" w:rsidP="001C45C0">
            <w:pPr>
              <w:jc w:val="right"/>
              <w:rPr>
                <w:rFonts w:ascii="Arial Narrow" w:hAnsi="Arial Narrow" w:cs="Arial"/>
                <w:color w:val="000000"/>
                <w:sz w:val="20"/>
              </w:rPr>
            </w:pPr>
            <w:r w:rsidRPr="002B05F2">
              <w:rPr>
                <w:rFonts w:ascii="Arial Narrow" w:hAnsi="Arial Narrow" w:cs="Arial"/>
                <w:color w:val="000000"/>
                <w:sz w:val="20"/>
              </w:rPr>
              <w:t>$95.01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E0B6A0" w14:textId="77777777" w:rsidR="001C45C0" w:rsidRPr="002B05F2" w:rsidRDefault="001C45C0" w:rsidP="001C45C0">
            <w:pPr>
              <w:jc w:val="right"/>
              <w:rPr>
                <w:rFonts w:ascii="Arial Narrow" w:hAnsi="Arial Narrow" w:cs="Arial"/>
                <w:color w:val="000000"/>
                <w:sz w:val="20"/>
              </w:rPr>
            </w:pPr>
            <w:r w:rsidRPr="002B05F2">
              <w:rPr>
                <w:rFonts w:ascii="Arial Narrow" w:hAnsi="Arial Narrow" w:cs="Arial"/>
                <w:color w:val="000000"/>
                <w:sz w:val="20"/>
              </w:rPr>
              <w:t>$121.63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4CB018C" w14:textId="77777777" w:rsidR="001C45C0" w:rsidRPr="002B05F2" w:rsidRDefault="001C45C0" w:rsidP="001C45C0">
            <w:pPr>
              <w:jc w:val="right"/>
              <w:rPr>
                <w:rFonts w:ascii="Arial Narrow" w:hAnsi="Arial Narrow" w:cs="Arial"/>
                <w:b/>
                <w:color w:val="000000"/>
                <w:sz w:val="20"/>
              </w:rPr>
            </w:pPr>
            <w:r w:rsidRPr="002B05F2">
              <w:rPr>
                <w:rFonts w:ascii="Arial Narrow" w:hAnsi="Arial Narrow" w:cs="Arial"/>
                <w:b/>
                <w:color w:val="000000"/>
                <w:sz w:val="20"/>
              </w:rPr>
              <w:t>$105.83</w:t>
            </w:r>
          </w:p>
        </w:tc>
      </w:tr>
      <w:tr w:rsidR="001C45C0" w:rsidRPr="00B50A81" w14:paraId="649D1C0C" w14:textId="77777777" w:rsidTr="001C45C0">
        <w:trPr>
          <w:trHeight w:val="255"/>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3151CBF0" w14:textId="77777777" w:rsidR="001C45C0" w:rsidRPr="002B05F2" w:rsidRDefault="001C45C0" w:rsidP="001C45C0">
            <w:pPr>
              <w:rPr>
                <w:rFonts w:ascii="Arial Narrow" w:hAnsi="Arial Narrow" w:cs="Arial"/>
                <w:b/>
                <w:bCs/>
                <w:sz w:val="20"/>
              </w:rPr>
            </w:pPr>
          </w:p>
        </w:tc>
        <w:tc>
          <w:tcPr>
            <w:tcW w:w="1253" w:type="dxa"/>
            <w:tcBorders>
              <w:top w:val="single" w:sz="4" w:space="0" w:color="auto"/>
              <w:left w:val="single" w:sz="4" w:space="0" w:color="auto"/>
              <w:bottom w:val="single" w:sz="4" w:space="0" w:color="auto"/>
              <w:right w:val="single" w:sz="4" w:space="0" w:color="auto"/>
            </w:tcBorders>
            <w:shd w:val="clear" w:color="auto" w:fill="auto"/>
            <w:hideMark/>
          </w:tcPr>
          <w:p w14:paraId="2A09817E" w14:textId="77777777" w:rsidR="001C45C0" w:rsidRPr="002B05F2" w:rsidRDefault="001C45C0" w:rsidP="001C45C0">
            <w:pPr>
              <w:rPr>
                <w:rFonts w:ascii="Arial Narrow" w:hAnsi="Arial Narrow" w:cs="Arial"/>
                <w:b/>
                <w:bCs/>
                <w:sz w:val="20"/>
              </w:rPr>
            </w:pPr>
            <w:r w:rsidRPr="002B05F2">
              <w:rPr>
                <w:rFonts w:ascii="Arial Narrow" w:hAnsi="Arial Narrow" w:cs="Arial"/>
                <w:b/>
                <w:bCs/>
                <w:sz w:val="20"/>
              </w:rPr>
              <w:t>95th Percentile</w:t>
            </w:r>
          </w:p>
        </w:tc>
        <w:tc>
          <w:tcPr>
            <w:tcW w:w="128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9B9874E" w14:textId="77777777" w:rsidR="001C45C0" w:rsidRPr="002B05F2" w:rsidRDefault="001C45C0" w:rsidP="001C45C0">
            <w:pPr>
              <w:jc w:val="right"/>
              <w:rPr>
                <w:rFonts w:ascii="Arial Narrow" w:hAnsi="Arial Narrow" w:cs="Arial"/>
                <w:color w:val="000000"/>
                <w:sz w:val="20"/>
              </w:rPr>
            </w:pPr>
            <w:r w:rsidRPr="002B05F2">
              <w:rPr>
                <w:rFonts w:ascii="Arial Narrow" w:hAnsi="Arial Narrow" w:cs="Arial"/>
                <w:color w:val="000000"/>
                <w:sz w:val="20"/>
              </w:rPr>
              <w:t>593.20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D888E94" w14:textId="77777777" w:rsidR="001C45C0" w:rsidRPr="002B05F2" w:rsidRDefault="001C45C0" w:rsidP="001C45C0">
            <w:pPr>
              <w:jc w:val="right"/>
              <w:rPr>
                <w:rFonts w:ascii="Arial Narrow" w:hAnsi="Arial Narrow" w:cs="Arial"/>
                <w:sz w:val="20"/>
              </w:rPr>
            </w:pPr>
            <w:r w:rsidRPr="002B05F2">
              <w:rPr>
                <w:rFonts w:ascii="Arial Narrow" w:hAnsi="Arial Narrow" w:cs="Arial"/>
                <w:sz w:val="20"/>
              </w:rPr>
              <w:t>$550.00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AD2BC67" w14:textId="77777777" w:rsidR="001C45C0" w:rsidRPr="002B05F2" w:rsidRDefault="001C45C0" w:rsidP="001C45C0">
            <w:pPr>
              <w:jc w:val="right"/>
              <w:rPr>
                <w:rFonts w:ascii="Arial Narrow" w:hAnsi="Arial Narrow" w:cs="Arial"/>
                <w:sz w:val="20"/>
              </w:rPr>
            </w:pPr>
            <w:r w:rsidRPr="002B05F2">
              <w:rPr>
                <w:rFonts w:ascii="Arial Narrow" w:hAnsi="Arial Narrow" w:cs="Arial"/>
                <w:sz w:val="20"/>
              </w:rPr>
              <w:t>$692.80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1927FD3" w14:textId="77777777" w:rsidR="001C45C0" w:rsidRPr="002B05F2" w:rsidRDefault="001C45C0" w:rsidP="001C45C0">
            <w:pPr>
              <w:jc w:val="right"/>
              <w:rPr>
                <w:rFonts w:ascii="Arial Narrow" w:hAnsi="Arial Narrow" w:cs="Arial"/>
                <w:sz w:val="20"/>
              </w:rPr>
            </w:pPr>
            <w:r w:rsidRPr="002B05F2">
              <w:rPr>
                <w:rFonts w:ascii="Arial Narrow" w:hAnsi="Arial Narrow" w:cs="Arial"/>
                <w:sz w:val="20"/>
              </w:rPr>
              <w:t>$528.66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C3EBBA3" w14:textId="77777777" w:rsidR="001C45C0" w:rsidRPr="002B05F2" w:rsidRDefault="001C45C0" w:rsidP="001C45C0">
            <w:pPr>
              <w:jc w:val="right"/>
              <w:rPr>
                <w:rFonts w:ascii="Arial Narrow" w:hAnsi="Arial Narrow" w:cs="Arial"/>
                <w:color w:val="000000"/>
                <w:sz w:val="20"/>
              </w:rPr>
            </w:pPr>
            <w:r w:rsidRPr="002B05F2">
              <w:rPr>
                <w:rFonts w:ascii="Arial Narrow" w:hAnsi="Arial Narrow" w:cs="Arial"/>
                <w:color w:val="000000"/>
                <w:sz w:val="20"/>
              </w:rPr>
              <w:t>$558.45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B12AF7" w14:textId="77777777" w:rsidR="001C45C0" w:rsidRPr="002B05F2" w:rsidRDefault="001C45C0" w:rsidP="001C45C0">
            <w:pPr>
              <w:jc w:val="right"/>
              <w:rPr>
                <w:rFonts w:ascii="Arial Narrow" w:hAnsi="Arial Narrow" w:cs="Arial"/>
                <w:color w:val="000000"/>
                <w:sz w:val="20"/>
              </w:rPr>
            </w:pPr>
            <w:r w:rsidRPr="002B05F2">
              <w:rPr>
                <w:rFonts w:ascii="Arial Narrow" w:hAnsi="Arial Narrow" w:cs="Arial"/>
                <w:color w:val="000000"/>
                <w:sz w:val="20"/>
              </w:rPr>
              <w:t>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0CA1BE7" w14:textId="77777777" w:rsidR="001C45C0" w:rsidRPr="002B05F2" w:rsidRDefault="001C45C0" w:rsidP="001C45C0">
            <w:pPr>
              <w:jc w:val="right"/>
              <w:rPr>
                <w:rFonts w:ascii="Arial Narrow" w:hAnsi="Arial Narrow" w:cs="Arial"/>
                <w:b/>
                <w:color w:val="000000"/>
                <w:sz w:val="20"/>
              </w:rPr>
            </w:pPr>
            <w:r w:rsidRPr="002B05F2">
              <w:rPr>
                <w:rFonts w:ascii="Arial Narrow" w:hAnsi="Arial Narrow" w:cs="Arial"/>
                <w:b/>
                <w:color w:val="000000"/>
                <w:sz w:val="20"/>
              </w:rPr>
              <w:t>$561.70</w:t>
            </w:r>
          </w:p>
        </w:tc>
      </w:tr>
      <w:tr w:rsidR="001C45C0" w:rsidRPr="00B50A81" w14:paraId="5EC56020" w14:textId="77777777" w:rsidTr="001C45C0">
        <w:trPr>
          <w:trHeight w:val="255"/>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7A49DBDD" w14:textId="77777777" w:rsidR="001C45C0" w:rsidRPr="002B05F2" w:rsidRDefault="001C45C0" w:rsidP="001C45C0">
            <w:pPr>
              <w:rPr>
                <w:rFonts w:ascii="Arial Narrow" w:hAnsi="Arial Narrow" w:cs="Arial"/>
                <w:b/>
                <w:bCs/>
                <w:sz w:val="20"/>
              </w:rPr>
            </w:pPr>
          </w:p>
        </w:tc>
        <w:tc>
          <w:tcPr>
            <w:tcW w:w="1253" w:type="dxa"/>
            <w:tcBorders>
              <w:top w:val="single" w:sz="4" w:space="0" w:color="auto"/>
              <w:left w:val="single" w:sz="4" w:space="0" w:color="auto"/>
              <w:bottom w:val="single" w:sz="4" w:space="0" w:color="auto"/>
              <w:right w:val="single" w:sz="4" w:space="0" w:color="auto"/>
            </w:tcBorders>
            <w:shd w:val="clear" w:color="auto" w:fill="auto"/>
            <w:hideMark/>
          </w:tcPr>
          <w:p w14:paraId="7E849AFA" w14:textId="77777777" w:rsidR="001C45C0" w:rsidRPr="002B05F2" w:rsidRDefault="001C45C0" w:rsidP="001C45C0">
            <w:pPr>
              <w:rPr>
                <w:rFonts w:ascii="Arial Narrow" w:hAnsi="Arial Narrow" w:cs="Arial"/>
                <w:b/>
                <w:bCs/>
                <w:sz w:val="20"/>
              </w:rPr>
            </w:pPr>
            <w:r>
              <w:rPr>
                <w:rFonts w:ascii="Arial Narrow" w:hAnsi="Arial Narrow" w:cs="Arial"/>
                <w:b/>
                <w:bCs/>
                <w:sz w:val="20"/>
              </w:rPr>
              <w:t xml:space="preserve">Bulk Billed </w:t>
            </w:r>
            <w:r w:rsidRPr="002B05F2">
              <w:rPr>
                <w:rFonts w:ascii="Arial Narrow" w:hAnsi="Arial Narrow" w:cs="Arial"/>
                <w:b/>
                <w:bCs/>
                <w:sz w:val="20"/>
              </w:rPr>
              <w:t>Rate</w:t>
            </w:r>
          </w:p>
        </w:tc>
        <w:tc>
          <w:tcPr>
            <w:tcW w:w="128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03A6607" w14:textId="77777777" w:rsidR="001C45C0" w:rsidRPr="002B05F2" w:rsidRDefault="001C45C0" w:rsidP="001C45C0">
            <w:pPr>
              <w:jc w:val="right"/>
              <w:rPr>
                <w:rFonts w:ascii="Arial Narrow" w:hAnsi="Arial Narrow" w:cs="Arial"/>
                <w:color w:val="000000"/>
                <w:sz w:val="20"/>
              </w:rPr>
            </w:pPr>
            <w:r w:rsidRPr="002B05F2">
              <w:rPr>
                <w:rFonts w:ascii="Arial Narrow" w:hAnsi="Arial Narrow" w:cs="Arial"/>
                <w:color w:val="000000"/>
                <w:sz w:val="20"/>
              </w:rPr>
              <w:t>90.3%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B68E21A" w14:textId="77777777" w:rsidR="001C45C0" w:rsidRPr="002B05F2" w:rsidRDefault="001C45C0" w:rsidP="001C45C0">
            <w:pPr>
              <w:jc w:val="right"/>
              <w:rPr>
                <w:rFonts w:ascii="Arial Narrow" w:hAnsi="Arial Narrow" w:cs="Arial"/>
                <w:color w:val="000000"/>
                <w:sz w:val="20"/>
              </w:rPr>
            </w:pPr>
            <w:r w:rsidRPr="002B05F2">
              <w:rPr>
                <w:rFonts w:ascii="Arial Narrow" w:hAnsi="Arial Narrow" w:cs="Arial"/>
                <w:color w:val="000000"/>
                <w:sz w:val="20"/>
              </w:rPr>
              <w:t>95.0%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1B6C4D5" w14:textId="77777777" w:rsidR="001C45C0" w:rsidRPr="002B05F2" w:rsidRDefault="001C45C0" w:rsidP="001C45C0">
            <w:pPr>
              <w:jc w:val="right"/>
              <w:rPr>
                <w:rFonts w:ascii="Arial Narrow" w:hAnsi="Arial Narrow" w:cs="Arial"/>
                <w:color w:val="000000"/>
                <w:sz w:val="20"/>
              </w:rPr>
            </w:pPr>
            <w:r w:rsidRPr="002B05F2">
              <w:rPr>
                <w:rFonts w:ascii="Arial Narrow" w:hAnsi="Arial Narrow" w:cs="Arial"/>
                <w:color w:val="000000"/>
                <w:sz w:val="20"/>
              </w:rPr>
              <w:t>87.2%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BA9DA7E" w14:textId="77777777" w:rsidR="001C45C0" w:rsidRPr="002B05F2" w:rsidRDefault="001C45C0" w:rsidP="001C45C0">
            <w:pPr>
              <w:jc w:val="right"/>
              <w:rPr>
                <w:rFonts w:ascii="Arial Narrow" w:hAnsi="Arial Narrow" w:cs="Arial"/>
                <w:color w:val="000000"/>
                <w:sz w:val="20"/>
              </w:rPr>
            </w:pPr>
            <w:r w:rsidRPr="002B05F2">
              <w:rPr>
                <w:rFonts w:ascii="Arial Narrow" w:hAnsi="Arial Narrow" w:cs="Arial"/>
                <w:color w:val="000000"/>
                <w:sz w:val="20"/>
              </w:rPr>
              <w:t>74.3%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E30200A" w14:textId="77777777" w:rsidR="001C45C0" w:rsidRPr="002B05F2" w:rsidRDefault="001C45C0" w:rsidP="001C45C0">
            <w:pPr>
              <w:jc w:val="right"/>
              <w:rPr>
                <w:rFonts w:ascii="Arial Narrow" w:hAnsi="Arial Narrow" w:cs="Arial"/>
                <w:color w:val="000000"/>
                <w:sz w:val="20"/>
              </w:rPr>
            </w:pPr>
            <w:r w:rsidRPr="002B05F2">
              <w:rPr>
                <w:rFonts w:ascii="Arial Narrow" w:hAnsi="Arial Narrow" w:cs="Arial"/>
                <w:color w:val="000000"/>
                <w:sz w:val="20"/>
              </w:rPr>
              <w:t>58.7%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49FAAB" w14:textId="77777777" w:rsidR="001C45C0" w:rsidRPr="002B05F2" w:rsidRDefault="001C45C0" w:rsidP="001C45C0">
            <w:pPr>
              <w:jc w:val="right"/>
              <w:rPr>
                <w:rFonts w:ascii="Arial Narrow" w:hAnsi="Arial Narrow" w:cs="Arial"/>
                <w:color w:val="000000"/>
                <w:sz w:val="20"/>
              </w:rPr>
            </w:pPr>
            <w:r w:rsidRPr="002B05F2">
              <w:rPr>
                <w:rFonts w:ascii="Arial Narrow" w:hAnsi="Arial Narrow" w:cs="Arial"/>
                <w:color w:val="000000"/>
                <w:sz w:val="20"/>
              </w:rPr>
              <w:t>84.8%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C22668F" w14:textId="77777777" w:rsidR="001C45C0" w:rsidRPr="002B05F2" w:rsidRDefault="001C45C0" w:rsidP="001C45C0">
            <w:pPr>
              <w:jc w:val="right"/>
              <w:rPr>
                <w:rFonts w:ascii="Arial Narrow" w:hAnsi="Arial Narrow" w:cs="Arial"/>
                <w:b/>
                <w:color w:val="000000"/>
                <w:sz w:val="20"/>
              </w:rPr>
            </w:pPr>
            <w:r w:rsidRPr="002B05F2">
              <w:rPr>
                <w:rFonts w:ascii="Arial Narrow" w:hAnsi="Arial Narrow" w:cs="Arial"/>
                <w:b/>
                <w:color w:val="000000"/>
                <w:sz w:val="20"/>
              </w:rPr>
              <w:t>89.4%</w:t>
            </w:r>
          </w:p>
        </w:tc>
      </w:tr>
      <w:tr w:rsidR="001C45C0" w:rsidRPr="00B50A81" w14:paraId="33E5ED68" w14:textId="77777777" w:rsidTr="001C45C0">
        <w:trPr>
          <w:trHeight w:val="255"/>
        </w:trPr>
        <w:tc>
          <w:tcPr>
            <w:tcW w:w="8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05A635" w14:textId="77777777" w:rsidR="001C45C0" w:rsidRPr="002B05F2" w:rsidRDefault="001C45C0" w:rsidP="001C45C0">
            <w:pPr>
              <w:ind w:left="-108" w:right="-107"/>
              <w:rPr>
                <w:rFonts w:ascii="Arial Narrow" w:hAnsi="Arial Narrow" w:cs="Arial"/>
                <w:b/>
                <w:bCs/>
                <w:sz w:val="20"/>
              </w:rPr>
            </w:pPr>
            <w:r w:rsidRPr="002B05F2">
              <w:rPr>
                <w:rFonts w:ascii="Arial Narrow" w:hAnsi="Arial Narrow" w:cs="Arial"/>
                <w:b/>
                <w:bCs/>
                <w:sz w:val="20"/>
              </w:rPr>
              <w:t xml:space="preserve"> 2016-17 </w:t>
            </w:r>
          </w:p>
          <w:p w14:paraId="54C61F63" w14:textId="77777777" w:rsidR="001C45C0" w:rsidRPr="002B05F2" w:rsidRDefault="001C45C0" w:rsidP="001C45C0">
            <w:pPr>
              <w:ind w:left="-108" w:right="-107"/>
              <w:rPr>
                <w:rFonts w:ascii="Arial Narrow" w:hAnsi="Arial Narrow" w:cs="Arial"/>
                <w:b/>
                <w:bCs/>
                <w:sz w:val="20"/>
              </w:rPr>
            </w:pPr>
          </w:p>
        </w:tc>
        <w:tc>
          <w:tcPr>
            <w:tcW w:w="1253" w:type="dxa"/>
            <w:tcBorders>
              <w:top w:val="single" w:sz="4" w:space="0" w:color="auto"/>
              <w:left w:val="single" w:sz="4" w:space="0" w:color="auto"/>
              <w:bottom w:val="single" w:sz="4" w:space="0" w:color="auto"/>
              <w:right w:val="single" w:sz="4" w:space="0" w:color="auto"/>
            </w:tcBorders>
            <w:shd w:val="clear" w:color="auto" w:fill="auto"/>
            <w:hideMark/>
          </w:tcPr>
          <w:p w14:paraId="4FAEF487" w14:textId="77777777" w:rsidR="001C45C0" w:rsidRPr="002B05F2" w:rsidRDefault="001C45C0" w:rsidP="001C45C0">
            <w:pPr>
              <w:rPr>
                <w:rFonts w:ascii="Arial Narrow" w:hAnsi="Arial Narrow" w:cs="Arial"/>
                <w:b/>
                <w:bCs/>
                <w:sz w:val="20"/>
              </w:rPr>
            </w:pPr>
            <w:r w:rsidRPr="002B05F2">
              <w:rPr>
                <w:rFonts w:ascii="Arial Narrow" w:hAnsi="Arial Narrow" w:cs="Arial"/>
                <w:b/>
                <w:bCs/>
                <w:sz w:val="20"/>
              </w:rPr>
              <w:t xml:space="preserve">Average Fee Charged </w:t>
            </w:r>
          </w:p>
        </w:tc>
        <w:tc>
          <w:tcPr>
            <w:tcW w:w="128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5E7B78A" w14:textId="77777777" w:rsidR="001C45C0" w:rsidRPr="002B05F2" w:rsidRDefault="001C45C0" w:rsidP="001C45C0">
            <w:pPr>
              <w:jc w:val="right"/>
              <w:rPr>
                <w:rFonts w:ascii="Arial Narrow" w:hAnsi="Arial Narrow" w:cs="Arial"/>
                <w:color w:val="000000"/>
                <w:sz w:val="20"/>
              </w:rPr>
            </w:pPr>
            <w:r w:rsidRPr="002B05F2">
              <w:rPr>
                <w:rFonts w:ascii="Arial Narrow" w:hAnsi="Arial Narrow" w:cs="Arial"/>
                <w:color w:val="000000"/>
                <w:sz w:val="20"/>
              </w:rPr>
              <w:t>$437.57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578CA1A" w14:textId="77777777" w:rsidR="001C45C0" w:rsidRPr="002B05F2" w:rsidRDefault="001C45C0" w:rsidP="001C45C0">
            <w:pPr>
              <w:jc w:val="right"/>
              <w:rPr>
                <w:rFonts w:ascii="Arial Narrow" w:hAnsi="Arial Narrow" w:cs="Arial"/>
                <w:color w:val="000000"/>
                <w:sz w:val="20"/>
              </w:rPr>
            </w:pPr>
            <w:r w:rsidRPr="002B05F2">
              <w:rPr>
                <w:rFonts w:ascii="Arial Narrow" w:hAnsi="Arial Narrow" w:cs="Arial"/>
                <w:color w:val="000000"/>
                <w:sz w:val="20"/>
              </w:rPr>
              <w:t>$389.98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5EE1E4A" w14:textId="77777777" w:rsidR="001C45C0" w:rsidRPr="002B05F2" w:rsidRDefault="001C45C0" w:rsidP="001C45C0">
            <w:pPr>
              <w:jc w:val="right"/>
              <w:rPr>
                <w:rFonts w:ascii="Arial Narrow" w:hAnsi="Arial Narrow" w:cs="Arial"/>
                <w:color w:val="000000"/>
                <w:sz w:val="20"/>
              </w:rPr>
            </w:pPr>
            <w:r w:rsidRPr="002B05F2">
              <w:rPr>
                <w:rFonts w:ascii="Arial Narrow" w:hAnsi="Arial Narrow" w:cs="Arial"/>
                <w:color w:val="000000"/>
                <w:sz w:val="20"/>
              </w:rPr>
              <w:t>$484.75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B0CC45D" w14:textId="77777777" w:rsidR="001C45C0" w:rsidRPr="002B05F2" w:rsidRDefault="001C45C0" w:rsidP="001C45C0">
            <w:pPr>
              <w:jc w:val="right"/>
              <w:rPr>
                <w:rFonts w:ascii="Arial Narrow" w:hAnsi="Arial Narrow" w:cs="Arial"/>
                <w:color w:val="000000"/>
                <w:sz w:val="20"/>
              </w:rPr>
            </w:pPr>
            <w:r w:rsidRPr="002B05F2">
              <w:rPr>
                <w:rFonts w:ascii="Arial Narrow" w:hAnsi="Arial Narrow" w:cs="Arial"/>
                <w:color w:val="000000"/>
                <w:sz w:val="20"/>
              </w:rPr>
              <w:t>$448.63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3D60890" w14:textId="77777777" w:rsidR="001C45C0" w:rsidRPr="002B05F2" w:rsidRDefault="001C45C0" w:rsidP="001C45C0">
            <w:pPr>
              <w:jc w:val="right"/>
              <w:rPr>
                <w:rFonts w:ascii="Arial Narrow" w:hAnsi="Arial Narrow" w:cs="Arial"/>
                <w:color w:val="000000"/>
                <w:sz w:val="20"/>
              </w:rPr>
            </w:pPr>
            <w:r w:rsidRPr="002B05F2">
              <w:rPr>
                <w:rFonts w:ascii="Arial Narrow" w:hAnsi="Arial Narrow" w:cs="Arial"/>
                <w:color w:val="000000"/>
                <w:sz w:val="20"/>
              </w:rPr>
              <w:t>$431.24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1361EA" w14:textId="77777777" w:rsidR="001C45C0" w:rsidRPr="002B05F2" w:rsidRDefault="001C45C0" w:rsidP="001C45C0">
            <w:pPr>
              <w:jc w:val="right"/>
              <w:rPr>
                <w:rFonts w:ascii="Arial Narrow" w:hAnsi="Arial Narrow" w:cs="Arial"/>
                <w:color w:val="000000"/>
                <w:sz w:val="20"/>
              </w:rPr>
            </w:pPr>
            <w:r w:rsidRPr="002B05F2">
              <w:rPr>
                <w:rFonts w:ascii="Arial Narrow" w:hAnsi="Arial Narrow" w:cs="Arial"/>
                <w:color w:val="000000"/>
                <w:sz w:val="20"/>
              </w:rPr>
              <w:t>$357.05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3A0338A" w14:textId="77777777" w:rsidR="001C45C0" w:rsidRPr="002B05F2" w:rsidRDefault="001C45C0" w:rsidP="001C45C0">
            <w:pPr>
              <w:jc w:val="right"/>
              <w:rPr>
                <w:rFonts w:ascii="Arial Narrow" w:hAnsi="Arial Narrow" w:cs="Arial"/>
                <w:b/>
                <w:color w:val="000000"/>
                <w:sz w:val="20"/>
              </w:rPr>
            </w:pPr>
            <w:r w:rsidRPr="002B05F2">
              <w:rPr>
                <w:rFonts w:ascii="Arial Narrow" w:hAnsi="Arial Narrow" w:cs="Arial"/>
                <w:b/>
                <w:color w:val="000000"/>
                <w:sz w:val="20"/>
              </w:rPr>
              <w:t>$434.99</w:t>
            </w:r>
          </w:p>
        </w:tc>
      </w:tr>
      <w:tr w:rsidR="001C45C0" w:rsidRPr="00B50A81" w14:paraId="4F320737" w14:textId="77777777" w:rsidTr="001C45C0">
        <w:trPr>
          <w:trHeight w:val="255"/>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16D17212" w14:textId="77777777" w:rsidR="001C45C0" w:rsidRPr="002B05F2" w:rsidRDefault="001C45C0" w:rsidP="001C45C0">
            <w:pPr>
              <w:rPr>
                <w:rFonts w:ascii="Arial Narrow" w:hAnsi="Arial Narrow" w:cs="Arial"/>
                <w:b/>
                <w:bCs/>
                <w:sz w:val="20"/>
              </w:rPr>
            </w:pPr>
          </w:p>
        </w:tc>
        <w:tc>
          <w:tcPr>
            <w:tcW w:w="1253" w:type="dxa"/>
            <w:tcBorders>
              <w:top w:val="single" w:sz="4" w:space="0" w:color="auto"/>
              <w:left w:val="single" w:sz="4" w:space="0" w:color="auto"/>
              <w:bottom w:val="single" w:sz="4" w:space="0" w:color="auto"/>
              <w:right w:val="single" w:sz="4" w:space="0" w:color="auto"/>
            </w:tcBorders>
            <w:shd w:val="clear" w:color="auto" w:fill="auto"/>
            <w:hideMark/>
          </w:tcPr>
          <w:p w14:paraId="7C11D45B" w14:textId="77777777" w:rsidR="001C45C0" w:rsidRPr="002B05F2" w:rsidRDefault="001C45C0" w:rsidP="001C45C0">
            <w:pPr>
              <w:rPr>
                <w:rFonts w:ascii="Arial Narrow" w:hAnsi="Arial Narrow" w:cs="Arial"/>
                <w:b/>
                <w:bCs/>
                <w:sz w:val="20"/>
              </w:rPr>
            </w:pPr>
            <w:r>
              <w:rPr>
                <w:rFonts w:ascii="Arial Narrow" w:hAnsi="Arial Narrow" w:cs="Arial"/>
                <w:b/>
                <w:bCs/>
                <w:sz w:val="20"/>
              </w:rPr>
              <w:t xml:space="preserve">Standard </w:t>
            </w:r>
            <w:r w:rsidRPr="002B05F2">
              <w:rPr>
                <w:rFonts w:ascii="Arial Narrow" w:hAnsi="Arial Narrow" w:cs="Arial"/>
                <w:b/>
                <w:bCs/>
                <w:sz w:val="20"/>
              </w:rPr>
              <w:t>Deviation</w:t>
            </w:r>
          </w:p>
        </w:tc>
        <w:tc>
          <w:tcPr>
            <w:tcW w:w="128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30CB3A0" w14:textId="77777777" w:rsidR="001C45C0" w:rsidRPr="002B05F2" w:rsidRDefault="001C45C0" w:rsidP="001C45C0">
            <w:pPr>
              <w:jc w:val="right"/>
              <w:rPr>
                <w:rFonts w:ascii="Arial Narrow" w:hAnsi="Arial Narrow" w:cs="Arial"/>
                <w:color w:val="000000"/>
                <w:sz w:val="20"/>
              </w:rPr>
            </w:pPr>
            <w:r w:rsidRPr="002B05F2">
              <w:rPr>
                <w:rFonts w:ascii="Arial Narrow" w:hAnsi="Arial Narrow" w:cs="Arial"/>
                <w:color w:val="000000"/>
                <w:sz w:val="20"/>
              </w:rPr>
              <w:t>$129.86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953D1AD" w14:textId="77777777" w:rsidR="001C45C0" w:rsidRPr="002B05F2" w:rsidRDefault="001C45C0" w:rsidP="001C45C0">
            <w:pPr>
              <w:jc w:val="right"/>
              <w:rPr>
                <w:rFonts w:ascii="Arial Narrow" w:hAnsi="Arial Narrow" w:cs="Arial"/>
                <w:color w:val="000000"/>
                <w:sz w:val="20"/>
              </w:rPr>
            </w:pPr>
            <w:r w:rsidRPr="002B05F2">
              <w:rPr>
                <w:rFonts w:ascii="Arial Narrow" w:hAnsi="Arial Narrow" w:cs="Arial"/>
                <w:color w:val="000000"/>
                <w:sz w:val="20"/>
              </w:rPr>
              <w:t>$57.47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F9F9771" w14:textId="77777777" w:rsidR="001C45C0" w:rsidRPr="002B05F2" w:rsidRDefault="001C45C0" w:rsidP="001C45C0">
            <w:pPr>
              <w:jc w:val="right"/>
              <w:rPr>
                <w:rFonts w:ascii="Arial Narrow" w:hAnsi="Arial Narrow" w:cs="Arial"/>
                <w:color w:val="000000"/>
                <w:sz w:val="20"/>
              </w:rPr>
            </w:pPr>
            <w:r w:rsidRPr="002B05F2">
              <w:rPr>
                <w:rFonts w:ascii="Arial Narrow" w:hAnsi="Arial Narrow" w:cs="Arial"/>
                <w:color w:val="000000"/>
                <w:sz w:val="20"/>
              </w:rPr>
              <w:t>$80.14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881895D" w14:textId="77777777" w:rsidR="001C45C0" w:rsidRPr="002B05F2" w:rsidRDefault="001C45C0" w:rsidP="001C45C0">
            <w:pPr>
              <w:jc w:val="right"/>
              <w:rPr>
                <w:rFonts w:ascii="Arial Narrow" w:hAnsi="Arial Narrow" w:cs="Arial"/>
                <w:color w:val="000000"/>
                <w:sz w:val="20"/>
              </w:rPr>
            </w:pPr>
            <w:r w:rsidRPr="002B05F2">
              <w:rPr>
                <w:rFonts w:ascii="Arial Narrow" w:hAnsi="Arial Narrow" w:cs="Arial"/>
                <w:color w:val="000000"/>
                <w:sz w:val="20"/>
              </w:rPr>
              <w:t>$59.18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C7FA149" w14:textId="77777777" w:rsidR="001C45C0" w:rsidRPr="002B05F2" w:rsidRDefault="001C45C0" w:rsidP="001C45C0">
            <w:pPr>
              <w:jc w:val="right"/>
              <w:rPr>
                <w:rFonts w:ascii="Arial Narrow" w:hAnsi="Arial Narrow" w:cs="Arial"/>
                <w:color w:val="000000"/>
                <w:sz w:val="20"/>
              </w:rPr>
            </w:pPr>
            <w:r w:rsidRPr="002B05F2">
              <w:rPr>
                <w:rFonts w:ascii="Arial Narrow" w:hAnsi="Arial Narrow" w:cs="Arial"/>
                <w:color w:val="000000"/>
                <w:sz w:val="20"/>
              </w:rPr>
              <w:t>$156.12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5B2198" w14:textId="77777777" w:rsidR="001C45C0" w:rsidRPr="002B05F2" w:rsidRDefault="001C45C0" w:rsidP="001C45C0">
            <w:pPr>
              <w:jc w:val="right"/>
              <w:rPr>
                <w:rFonts w:ascii="Arial Narrow" w:hAnsi="Arial Narrow" w:cs="Arial"/>
                <w:color w:val="000000"/>
                <w:sz w:val="20"/>
              </w:rPr>
            </w:pPr>
            <w:r w:rsidRPr="002B05F2">
              <w:rPr>
                <w:rFonts w:ascii="Arial Narrow" w:hAnsi="Arial Narrow" w:cs="Arial"/>
                <w:color w:val="000000"/>
                <w:sz w:val="20"/>
              </w:rPr>
              <w:t>$55.66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E24A746" w14:textId="77777777" w:rsidR="001C45C0" w:rsidRPr="002B05F2" w:rsidRDefault="001C45C0" w:rsidP="001C45C0">
            <w:pPr>
              <w:jc w:val="right"/>
              <w:rPr>
                <w:rFonts w:ascii="Arial Narrow" w:hAnsi="Arial Narrow" w:cs="Arial"/>
                <w:b/>
                <w:color w:val="000000"/>
                <w:sz w:val="20"/>
              </w:rPr>
            </w:pPr>
            <w:r w:rsidRPr="002B05F2">
              <w:rPr>
                <w:rFonts w:ascii="Arial Narrow" w:hAnsi="Arial Narrow" w:cs="Arial"/>
                <w:b/>
                <w:color w:val="000000"/>
                <w:sz w:val="20"/>
              </w:rPr>
              <w:t>$96.21</w:t>
            </w:r>
          </w:p>
        </w:tc>
      </w:tr>
      <w:tr w:rsidR="001C45C0" w:rsidRPr="00B50A81" w14:paraId="1782AA8C" w14:textId="77777777" w:rsidTr="001C45C0">
        <w:trPr>
          <w:trHeight w:val="255"/>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4D4B9A34" w14:textId="77777777" w:rsidR="001C45C0" w:rsidRPr="002B05F2" w:rsidRDefault="001C45C0" w:rsidP="001C45C0">
            <w:pPr>
              <w:rPr>
                <w:rFonts w:ascii="Arial Narrow" w:hAnsi="Arial Narrow" w:cs="Arial"/>
                <w:b/>
                <w:bCs/>
                <w:sz w:val="20"/>
              </w:rPr>
            </w:pPr>
          </w:p>
        </w:tc>
        <w:tc>
          <w:tcPr>
            <w:tcW w:w="1253" w:type="dxa"/>
            <w:tcBorders>
              <w:top w:val="single" w:sz="4" w:space="0" w:color="auto"/>
              <w:left w:val="single" w:sz="4" w:space="0" w:color="auto"/>
              <w:bottom w:val="single" w:sz="4" w:space="0" w:color="auto"/>
              <w:right w:val="single" w:sz="4" w:space="0" w:color="auto"/>
            </w:tcBorders>
            <w:shd w:val="clear" w:color="auto" w:fill="auto"/>
            <w:hideMark/>
          </w:tcPr>
          <w:p w14:paraId="686792D5" w14:textId="77777777" w:rsidR="001C45C0" w:rsidRPr="002B05F2" w:rsidRDefault="001C45C0" w:rsidP="001C45C0">
            <w:pPr>
              <w:rPr>
                <w:rFonts w:ascii="Arial Narrow" w:hAnsi="Arial Narrow" w:cs="Arial"/>
                <w:b/>
                <w:bCs/>
                <w:sz w:val="20"/>
              </w:rPr>
            </w:pPr>
            <w:r w:rsidRPr="002B05F2">
              <w:rPr>
                <w:rFonts w:ascii="Arial Narrow" w:hAnsi="Arial Narrow" w:cs="Arial"/>
                <w:b/>
                <w:bCs/>
                <w:sz w:val="20"/>
              </w:rPr>
              <w:t>95th Percentile</w:t>
            </w:r>
          </w:p>
        </w:tc>
        <w:tc>
          <w:tcPr>
            <w:tcW w:w="128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878DC54" w14:textId="77777777" w:rsidR="001C45C0" w:rsidRPr="002B05F2" w:rsidRDefault="001C45C0" w:rsidP="001C45C0">
            <w:pPr>
              <w:jc w:val="right"/>
              <w:rPr>
                <w:rFonts w:ascii="Arial Narrow" w:hAnsi="Arial Narrow" w:cs="Arial"/>
                <w:color w:val="000000"/>
                <w:sz w:val="20"/>
              </w:rPr>
            </w:pPr>
            <w:r w:rsidRPr="002B05F2">
              <w:rPr>
                <w:rFonts w:ascii="Arial Narrow" w:hAnsi="Arial Narrow" w:cs="Arial"/>
                <w:color w:val="000000"/>
                <w:sz w:val="20"/>
              </w:rPr>
              <w:t>$652.70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FA97261" w14:textId="77777777" w:rsidR="001C45C0" w:rsidRPr="002B05F2" w:rsidRDefault="001C45C0" w:rsidP="001C45C0">
            <w:pPr>
              <w:jc w:val="right"/>
              <w:rPr>
                <w:rFonts w:ascii="Arial Narrow" w:hAnsi="Arial Narrow" w:cs="Arial"/>
                <w:sz w:val="20"/>
              </w:rPr>
            </w:pPr>
            <w:r w:rsidRPr="002B05F2">
              <w:rPr>
                <w:rFonts w:ascii="Arial Narrow" w:hAnsi="Arial Narrow" w:cs="Arial"/>
                <w:sz w:val="20"/>
              </w:rPr>
              <w:t>$494.95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295FAB6" w14:textId="77777777" w:rsidR="001C45C0" w:rsidRPr="002B05F2" w:rsidRDefault="001C45C0" w:rsidP="001C45C0">
            <w:pPr>
              <w:jc w:val="right"/>
              <w:rPr>
                <w:rFonts w:ascii="Arial Narrow" w:hAnsi="Arial Narrow" w:cs="Arial"/>
                <w:sz w:val="20"/>
              </w:rPr>
            </w:pPr>
            <w:r w:rsidRPr="002B05F2">
              <w:rPr>
                <w:rFonts w:ascii="Arial Narrow" w:hAnsi="Arial Narrow" w:cs="Arial"/>
                <w:sz w:val="20"/>
              </w:rPr>
              <w:t>$561.70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EBFDB2D" w14:textId="77777777" w:rsidR="001C45C0" w:rsidRPr="002B05F2" w:rsidRDefault="001C45C0" w:rsidP="001C45C0">
            <w:pPr>
              <w:jc w:val="right"/>
              <w:rPr>
                <w:rFonts w:ascii="Arial Narrow" w:hAnsi="Arial Narrow" w:cs="Arial"/>
                <w:sz w:val="20"/>
              </w:rPr>
            </w:pPr>
            <w:r w:rsidRPr="002B05F2">
              <w:rPr>
                <w:rFonts w:ascii="Arial Narrow" w:hAnsi="Arial Narrow" w:cs="Arial"/>
                <w:sz w:val="20"/>
              </w:rPr>
              <w:t>$530.11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1483CFD" w14:textId="77777777" w:rsidR="001C45C0" w:rsidRPr="002B05F2" w:rsidRDefault="001C45C0" w:rsidP="001C45C0">
            <w:pPr>
              <w:jc w:val="right"/>
              <w:rPr>
                <w:rFonts w:ascii="Arial Narrow" w:hAnsi="Arial Narrow" w:cs="Arial"/>
                <w:sz w:val="20"/>
              </w:rPr>
            </w:pPr>
            <w:r w:rsidRPr="002B05F2">
              <w:rPr>
                <w:rFonts w:ascii="Arial Narrow" w:hAnsi="Arial Narrow" w:cs="Arial"/>
                <w:sz w:val="20"/>
              </w:rPr>
              <w:t>$548.59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58A879" w14:textId="77777777" w:rsidR="001C45C0" w:rsidRPr="002B05F2" w:rsidRDefault="001C45C0" w:rsidP="001C45C0">
            <w:pPr>
              <w:jc w:val="right"/>
              <w:rPr>
                <w:rFonts w:ascii="Arial Narrow" w:hAnsi="Arial Narrow" w:cs="Arial"/>
                <w:color w:val="000000"/>
                <w:sz w:val="20"/>
              </w:rPr>
            </w:pPr>
            <w:r w:rsidRPr="002B05F2">
              <w:rPr>
                <w:rFonts w:ascii="Arial Narrow" w:hAnsi="Arial Narrow" w:cs="Arial"/>
                <w:color w:val="000000"/>
                <w:sz w:val="20"/>
              </w:rPr>
              <w:t>n/a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3441FBE" w14:textId="77777777" w:rsidR="001C45C0" w:rsidRPr="002B05F2" w:rsidRDefault="001C45C0" w:rsidP="001C45C0">
            <w:pPr>
              <w:jc w:val="right"/>
              <w:rPr>
                <w:rFonts w:ascii="Arial Narrow" w:hAnsi="Arial Narrow" w:cs="Arial"/>
                <w:b/>
                <w:color w:val="000000"/>
                <w:sz w:val="20"/>
              </w:rPr>
            </w:pPr>
            <w:r w:rsidRPr="002B05F2">
              <w:rPr>
                <w:rFonts w:ascii="Arial Narrow" w:hAnsi="Arial Narrow" w:cs="Arial"/>
                <w:b/>
                <w:color w:val="000000"/>
                <w:sz w:val="20"/>
              </w:rPr>
              <w:t>$561.70</w:t>
            </w:r>
          </w:p>
        </w:tc>
      </w:tr>
      <w:tr w:rsidR="001C45C0" w:rsidRPr="00B50A81" w14:paraId="52E34BA7" w14:textId="77777777" w:rsidTr="001C45C0">
        <w:trPr>
          <w:trHeight w:val="255"/>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0AD56D57" w14:textId="77777777" w:rsidR="001C45C0" w:rsidRPr="002B05F2" w:rsidRDefault="001C45C0" w:rsidP="001C45C0">
            <w:pPr>
              <w:rPr>
                <w:rFonts w:ascii="Arial Narrow" w:hAnsi="Arial Narrow" w:cs="Arial"/>
                <w:b/>
                <w:bCs/>
                <w:sz w:val="20"/>
              </w:rPr>
            </w:pPr>
          </w:p>
        </w:tc>
        <w:tc>
          <w:tcPr>
            <w:tcW w:w="1253" w:type="dxa"/>
            <w:tcBorders>
              <w:top w:val="single" w:sz="4" w:space="0" w:color="auto"/>
              <w:left w:val="single" w:sz="4" w:space="0" w:color="auto"/>
              <w:bottom w:val="single" w:sz="4" w:space="0" w:color="auto"/>
              <w:right w:val="single" w:sz="4" w:space="0" w:color="auto"/>
            </w:tcBorders>
            <w:shd w:val="clear" w:color="auto" w:fill="auto"/>
            <w:hideMark/>
          </w:tcPr>
          <w:p w14:paraId="38D06A16" w14:textId="77777777" w:rsidR="001C45C0" w:rsidRPr="002B05F2" w:rsidRDefault="001C45C0" w:rsidP="001C45C0">
            <w:pPr>
              <w:rPr>
                <w:rFonts w:ascii="Arial Narrow" w:hAnsi="Arial Narrow" w:cs="Arial"/>
                <w:b/>
                <w:bCs/>
                <w:sz w:val="20"/>
              </w:rPr>
            </w:pPr>
            <w:r>
              <w:rPr>
                <w:rFonts w:ascii="Arial Narrow" w:hAnsi="Arial Narrow" w:cs="Arial"/>
                <w:b/>
                <w:bCs/>
                <w:sz w:val="20"/>
              </w:rPr>
              <w:t xml:space="preserve">Bulk Billed </w:t>
            </w:r>
            <w:r w:rsidRPr="002B05F2">
              <w:rPr>
                <w:rFonts w:ascii="Arial Narrow" w:hAnsi="Arial Narrow" w:cs="Arial"/>
                <w:b/>
                <w:bCs/>
                <w:sz w:val="20"/>
              </w:rPr>
              <w:t>Rate</w:t>
            </w:r>
          </w:p>
        </w:tc>
        <w:tc>
          <w:tcPr>
            <w:tcW w:w="128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E82B2C6" w14:textId="77777777" w:rsidR="001C45C0" w:rsidRPr="002B05F2" w:rsidRDefault="001C45C0" w:rsidP="001C45C0">
            <w:pPr>
              <w:jc w:val="right"/>
              <w:rPr>
                <w:rFonts w:ascii="Arial Narrow" w:hAnsi="Arial Narrow" w:cs="Arial"/>
                <w:color w:val="000000"/>
                <w:sz w:val="20"/>
              </w:rPr>
            </w:pPr>
            <w:r w:rsidRPr="002B05F2">
              <w:rPr>
                <w:rFonts w:ascii="Arial Narrow" w:hAnsi="Arial Narrow" w:cs="Arial"/>
                <w:color w:val="000000"/>
                <w:sz w:val="20"/>
              </w:rPr>
              <w:t>91.1%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711152B" w14:textId="77777777" w:rsidR="001C45C0" w:rsidRPr="002B05F2" w:rsidRDefault="001C45C0" w:rsidP="001C45C0">
            <w:pPr>
              <w:jc w:val="right"/>
              <w:rPr>
                <w:rFonts w:ascii="Arial Narrow" w:hAnsi="Arial Narrow" w:cs="Arial"/>
                <w:color w:val="000000"/>
                <w:sz w:val="20"/>
              </w:rPr>
            </w:pPr>
            <w:r w:rsidRPr="002B05F2">
              <w:rPr>
                <w:rFonts w:ascii="Arial Narrow" w:hAnsi="Arial Narrow" w:cs="Arial"/>
                <w:color w:val="000000"/>
                <w:sz w:val="20"/>
              </w:rPr>
              <w:t>94.1%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565F827" w14:textId="77777777" w:rsidR="001C45C0" w:rsidRPr="002B05F2" w:rsidRDefault="001C45C0" w:rsidP="001C45C0">
            <w:pPr>
              <w:jc w:val="right"/>
              <w:rPr>
                <w:rFonts w:ascii="Arial Narrow" w:hAnsi="Arial Narrow" w:cs="Arial"/>
                <w:color w:val="000000"/>
                <w:sz w:val="20"/>
              </w:rPr>
            </w:pPr>
            <w:r w:rsidRPr="002B05F2">
              <w:rPr>
                <w:rFonts w:ascii="Arial Narrow" w:hAnsi="Arial Narrow" w:cs="Arial"/>
                <w:color w:val="000000"/>
                <w:sz w:val="20"/>
              </w:rPr>
              <w:t>82.8%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3EDA85E" w14:textId="77777777" w:rsidR="001C45C0" w:rsidRPr="002B05F2" w:rsidRDefault="001C45C0" w:rsidP="001C45C0">
            <w:pPr>
              <w:jc w:val="right"/>
              <w:rPr>
                <w:rFonts w:ascii="Arial Narrow" w:hAnsi="Arial Narrow" w:cs="Arial"/>
                <w:color w:val="000000"/>
                <w:sz w:val="20"/>
              </w:rPr>
            </w:pPr>
            <w:r w:rsidRPr="002B05F2">
              <w:rPr>
                <w:rFonts w:ascii="Arial Narrow" w:hAnsi="Arial Narrow" w:cs="Arial"/>
                <w:color w:val="000000"/>
                <w:sz w:val="20"/>
              </w:rPr>
              <w:t>36.3%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F60DA77" w14:textId="77777777" w:rsidR="001C45C0" w:rsidRPr="002B05F2" w:rsidRDefault="001C45C0" w:rsidP="001C45C0">
            <w:pPr>
              <w:jc w:val="right"/>
              <w:rPr>
                <w:rFonts w:ascii="Arial Narrow" w:hAnsi="Arial Narrow" w:cs="Arial"/>
                <w:color w:val="000000"/>
                <w:sz w:val="20"/>
              </w:rPr>
            </w:pPr>
            <w:r w:rsidRPr="002B05F2">
              <w:rPr>
                <w:rFonts w:ascii="Arial Narrow" w:hAnsi="Arial Narrow" w:cs="Arial"/>
                <w:color w:val="000000"/>
                <w:sz w:val="20"/>
              </w:rPr>
              <w:t>65.3%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A9E989" w14:textId="77777777" w:rsidR="001C45C0" w:rsidRPr="002B05F2" w:rsidRDefault="001C45C0" w:rsidP="001C45C0">
            <w:pPr>
              <w:jc w:val="right"/>
              <w:rPr>
                <w:rFonts w:ascii="Arial Narrow" w:hAnsi="Arial Narrow" w:cs="Arial"/>
                <w:color w:val="000000"/>
                <w:sz w:val="20"/>
              </w:rPr>
            </w:pPr>
            <w:r w:rsidRPr="002B05F2">
              <w:rPr>
                <w:rFonts w:ascii="Arial Narrow" w:hAnsi="Arial Narrow" w:cs="Arial"/>
                <w:color w:val="000000"/>
                <w:sz w:val="20"/>
              </w:rPr>
              <w:t>68.9%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E711298" w14:textId="77777777" w:rsidR="001C45C0" w:rsidRPr="002B05F2" w:rsidRDefault="001C45C0" w:rsidP="001C45C0">
            <w:pPr>
              <w:jc w:val="right"/>
              <w:rPr>
                <w:rFonts w:ascii="Arial Narrow" w:hAnsi="Arial Narrow" w:cs="Arial"/>
                <w:b/>
                <w:color w:val="000000"/>
                <w:sz w:val="20"/>
              </w:rPr>
            </w:pPr>
            <w:r w:rsidRPr="002B05F2">
              <w:rPr>
                <w:rFonts w:ascii="Arial Narrow" w:hAnsi="Arial Narrow" w:cs="Arial"/>
                <w:b/>
                <w:color w:val="000000"/>
                <w:sz w:val="20"/>
              </w:rPr>
              <w:t>86.0%</w:t>
            </w:r>
          </w:p>
        </w:tc>
      </w:tr>
    </w:tbl>
    <w:p w14:paraId="74DA17DD" w14:textId="77777777" w:rsidR="001C45C0" w:rsidRPr="00367A55" w:rsidRDefault="001C45C0" w:rsidP="00367A55">
      <w:pPr>
        <w:rPr>
          <w:rFonts w:asciiTheme="minorHAnsi" w:hAnsiTheme="minorHAnsi"/>
          <w:color w:val="000000" w:themeColor="text1"/>
          <w:sz w:val="18"/>
        </w:rPr>
      </w:pPr>
      <w:r w:rsidRPr="00367A55">
        <w:rPr>
          <w:rFonts w:asciiTheme="minorHAnsi" w:hAnsiTheme="minorHAnsi"/>
          <w:color w:val="000000" w:themeColor="text1"/>
          <w:sz w:val="18"/>
        </w:rPr>
        <w:t>Source: Department of Health, File: Q21109B: Standard Post Implementation Review of Item 33338. Services rendered between 1 January 2015 and 31 December 2017 processed to 31 January 2018</w:t>
      </w:r>
    </w:p>
    <w:p w14:paraId="35EFB2DB" w14:textId="70D5EEAB" w:rsidR="001C45C0" w:rsidRPr="00367A55" w:rsidRDefault="001C45C0" w:rsidP="001C45C0">
      <w:pPr>
        <w:rPr>
          <w:rFonts w:asciiTheme="minorHAnsi" w:hAnsiTheme="minorHAnsi"/>
          <w:color w:val="000000" w:themeColor="text1"/>
          <w:sz w:val="18"/>
        </w:rPr>
      </w:pPr>
      <w:r w:rsidRPr="00B50A81">
        <w:rPr>
          <w:rFonts w:asciiTheme="minorHAnsi" w:hAnsiTheme="minorHAnsi"/>
          <w:color w:val="000000" w:themeColor="text1"/>
          <w:sz w:val="18"/>
        </w:rPr>
        <w:t>n/a = not available</w:t>
      </w:r>
      <w:r>
        <w:rPr>
          <w:rFonts w:asciiTheme="minorHAnsi" w:hAnsiTheme="minorHAnsi"/>
          <w:b/>
          <w:sz w:val="20"/>
        </w:rPr>
        <w:br w:type="page"/>
      </w:r>
    </w:p>
    <w:p w14:paraId="47AD3F4B" w14:textId="77777777" w:rsidR="001C45C0" w:rsidRPr="002B05F2" w:rsidRDefault="001C45C0" w:rsidP="001C45C0">
      <w:pPr>
        <w:rPr>
          <w:rFonts w:asciiTheme="minorHAnsi" w:hAnsiTheme="minorHAnsi"/>
          <w:b/>
          <w:color w:val="000000" w:themeColor="text1"/>
          <w:highlight w:val="yellow"/>
        </w:rPr>
      </w:pPr>
      <w:r w:rsidRPr="002B05F2">
        <w:rPr>
          <w:rFonts w:asciiTheme="minorHAnsi" w:hAnsiTheme="minorHAnsi"/>
          <w:b/>
          <w:sz w:val="20"/>
        </w:rPr>
        <w:lastRenderedPageBreak/>
        <w:t>Figure 2: Average fee charged and variation in fee charged by state for MBS item 93338 between 2014-15 and 2016-17</w:t>
      </w:r>
    </w:p>
    <w:p w14:paraId="5C6201E0" w14:textId="77777777" w:rsidR="001C45C0" w:rsidRDefault="001C45C0" w:rsidP="001C45C0">
      <w:pPr>
        <w:pStyle w:val="Heading5"/>
        <w:rPr>
          <w:rFonts w:asciiTheme="minorHAnsi" w:hAnsiTheme="minorHAnsi"/>
          <w:sz w:val="20"/>
        </w:rPr>
      </w:pPr>
      <w:r w:rsidRPr="00B50A81">
        <w:rPr>
          <w:rFonts w:asciiTheme="minorHAnsi" w:hAnsiTheme="minorHAnsi"/>
          <w:noProof/>
        </w:rPr>
        <w:drawing>
          <wp:inline distT="0" distB="0" distL="0" distR="0" wp14:anchorId="0FAB705E" wp14:editId="70A26165">
            <wp:extent cx="6076950" cy="3667125"/>
            <wp:effectExtent l="0" t="0" r="19050" b="9525"/>
            <wp:docPr id="7" name="Chart 7" descr="Show the State breakdown of fees charged and variation in fees charged." title="Figure 2: Average fee charged and variation in fee charged by state for MBS item 93338 between 2014-15 and 2016-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Start w:id="3" w:name="_Toc510711800"/>
    </w:p>
    <w:p w14:paraId="36EEE237" w14:textId="77777777" w:rsidR="001C45C0" w:rsidRPr="004545EF" w:rsidRDefault="001C45C0" w:rsidP="001C45C0">
      <w:pPr>
        <w:pStyle w:val="Heading5"/>
        <w:rPr>
          <w:rFonts w:asciiTheme="minorHAnsi" w:hAnsiTheme="minorHAnsi"/>
          <w:color w:val="auto"/>
        </w:rPr>
      </w:pPr>
      <w:r w:rsidRPr="004545EF">
        <w:rPr>
          <w:rFonts w:asciiTheme="minorHAnsi" w:hAnsiTheme="minorHAnsi"/>
          <w:color w:val="auto"/>
        </w:rPr>
        <w:t>Patient breakdown</w:t>
      </w:r>
      <w:bookmarkEnd w:id="3"/>
    </w:p>
    <w:p w14:paraId="05692AC8" w14:textId="77777777" w:rsidR="001C45C0" w:rsidRPr="004C0334" w:rsidRDefault="001C45C0" w:rsidP="001C45C0">
      <w:pPr>
        <w:ind w:right="-199"/>
        <w:rPr>
          <w:szCs w:val="24"/>
        </w:rPr>
      </w:pPr>
      <w:r w:rsidRPr="004C0334">
        <w:rPr>
          <w:szCs w:val="24"/>
        </w:rPr>
        <w:t xml:space="preserve">There were 2213 patients who claimed item 73338 in 2016-17.  Of these, 2,161 were new patients and 52 were continuing from the previous financial year.  (Table 4) </w:t>
      </w:r>
    </w:p>
    <w:p w14:paraId="2E9AE31E" w14:textId="77777777" w:rsidR="001C45C0" w:rsidRPr="00204085" w:rsidRDefault="001C45C0" w:rsidP="001C45C0">
      <w:pPr>
        <w:pStyle w:val="Heading5"/>
        <w:rPr>
          <w:rFonts w:asciiTheme="minorHAnsi" w:hAnsiTheme="minorHAnsi"/>
          <w:b/>
          <w:color w:val="auto"/>
          <w:sz w:val="20"/>
        </w:rPr>
      </w:pPr>
      <w:r w:rsidRPr="00204085">
        <w:rPr>
          <w:rFonts w:asciiTheme="minorHAnsi" w:hAnsiTheme="minorHAnsi"/>
          <w:b/>
          <w:color w:val="auto"/>
          <w:sz w:val="20"/>
        </w:rPr>
        <w:t>Table 4: Number of new and continuing patients who received MBS item 73338 by financial year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MBS item 73338 - figures for new and continuing patients from 2014-15 up to 2017-18"/>
      </w:tblPr>
      <w:tblGrid>
        <w:gridCol w:w="1701"/>
        <w:gridCol w:w="1134"/>
        <w:gridCol w:w="1155"/>
        <w:gridCol w:w="917"/>
        <w:gridCol w:w="957"/>
        <w:gridCol w:w="1082"/>
        <w:gridCol w:w="1024"/>
      </w:tblGrid>
      <w:tr w:rsidR="001C45C0" w:rsidRPr="00B50A81" w14:paraId="340EF73C" w14:textId="77777777" w:rsidTr="001C45C0">
        <w:trPr>
          <w:trHeight w:val="240"/>
        </w:trPr>
        <w:tc>
          <w:tcPr>
            <w:tcW w:w="1701" w:type="dxa"/>
            <w:shd w:val="clear" w:color="auto" w:fill="548DD4" w:themeFill="text2" w:themeFillTint="99"/>
            <w:vAlign w:val="center"/>
            <w:hideMark/>
          </w:tcPr>
          <w:p w14:paraId="0707D30A" w14:textId="77777777" w:rsidR="001C45C0" w:rsidRPr="00B50A81" w:rsidRDefault="001C45C0" w:rsidP="001C45C0">
            <w:pPr>
              <w:jc w:val="center"/>
              <w:rPr>
                <w:rFonts w:asciiTheme="minorHAnsi" w:hAnsiTheme="minorHAnsi" w:cs="Arial"/>
                <w:b/>
                <w:bCs/>
                <w:color w:val="FFFFFF"/>
                <w:sz w:val="18"/>
                <w:szCs w:val="18"/>
              </w:rPr>
            </w:pPr>
            <w:r w:rsidRPr="00B50A81">
              <w:rPr>
                <w:rFonts w:asciiTheme="minorHAnsi" w:hAnsiTheme="minorHAnsi" w:cs="Arial"/>
                <w:b/>
                <w:bCs/>
                <w:color w:val="FFFFFF"/>
                <w:sz w:val="18"/>
                <w:szCs w:val="18"/>
              </w:rPr>
              <w:t>Financial</w:t>
            </w:r>
          </w:p>
        </w:tc>
        <w:tc>
          <w:tcPr>
            <w:tcW w:w="2289" w:type="dxa"/>
            <w:gridSpan w:val="2"/>
            <w:shd w:val="clear" w:color="auto" w:fill="548DD4" w:themeFill="text2" w:themeFillTint="99"/>
            <w:vAlign w:val="center"/>
            <w:hideMark/>
          </w:tcPr>
          <w:p w14:paraId="5237D1A4" w14:textId="77777777" w:rsidR="001C45C0" w:rsidRPr="00B50A81" w:rsidRDefault="001C45C0" w:rsidP="001C45C0">
            <w:pPr>
              <w:jc w:val="center"/>
              <w:rPr>
                <w:rFonts w:asciiTheme="minorHAnsi" w:hAnsiTheme="minorHAnsi" w:cs="Arial"/>
                <w:b/>
                <w:bCs/>
                <w:color w:val="FFFFFF"/>
                <w:sz w:val="18"/>
                <w:szCs w:val="18"/>
              </w:rPr>
            </w:pPr>
            <w:r w:rsidRPr="00B50A81">
              <w:rPr>
                <w:rFonts w:asciiTheme="minorHAnsi" w:hAnsiTheme="minorHAnsi" w:cs="Arial"/>
                <w:b/>
                <w:bCs/>
                <w:color w:val="FFFFFF"/>
                <w:sz w:val="18"/>
                <w:szCs w:val="18"/>
              </w:rPr>
              <w:t>Total</w:t>
            </w:r>
          </w:p>
        </w:tc>
        <w:tc>
          <w:tcPr>
            <w:tcW w:w="1874" w:type="dxa"/>
            <w:gridSpan w:val="2"/>
            <w:shd w:val="clear" w:color="auto" w:fill="548DD4" w:themeFill="text2" w:themeFillTint="99"/>
            <w:vAlign w:val="center"/>
            <w:hideMark/>
          </w:tcPr>
          <w:p w14:paraId="42726475" w14:textId="77777777" w:rsidR="001C45C0" w:rsidRPr="00B50A81" w:rsidRDefault="001C45C0" w:rsidP="001C45C0">
            <w:pPr>
              <w:jc w:val="center"/>
              <w:rPr>
                <w:rFonts w:asciiTheme="minorHAnsi" w:hAnsiTheme="minorHAnsi" w:cs="Arial"/>
                <w:b/>
                <w:bCs/>
                <w:color w:val="FFFFFF"/>
                <w:sz w:val="18"/>
                <w:szCs w:val="18"/>
              </w:rPr>
            </w:pPr>
            <w:r w:rsidRPr="00B50A81">
              <w:rPr>
                <w:rFonts w:asciiTheme="minorHAnsi" w:hAnsiTheme="minorHAnsi" w:cs="Arial"/>
                <w:b/>
                <w:bCs/>
                <w:color w:val="FFFFFF"/>
                <w:sz w:val="18"/>
                <w:szCs w:val="18"/>
              </w:rPr>
              <w:t>New</w:t>
            </w:r>
          </w:p>
        </w:tc>
        <w:tc>
          <w:tcPr>
            <w:tcW w:w="2106" w:type="dxa"/>
            <w:gridSpan w:val="2"/>
            <w:shd w:val="clear" w:color="auto" w:fill="548DD4" w:themeFill="text2" w:themeFillTint="99"/>
            <w:vAlign w:val="center"/>
            <w:hideMark/>
          </w:tcPr>
          <w:p w14:paraId="3984BB37" w14:textId="77777777" w:rsidR="001C45C0" w:rsidRPr="00B50A81" w:rsidRDefault="001C45C0" w:rsidP="001C45C0">
            <w:pPr>
              <w:jc w:val="center"/>
              <w:rPr>
                <w:rFonts w:asciiTheme="minorHAnsi" w:hAnsiTheme="minorHAnsi" w:cs="Arial"/>
                <w:b/>
                <w:bCs/>
                <w:color w:val="FFFFFF"/>
                <w:sz w:val="18"/>
                <w:szCs w:val="18"/>
              </w:rPr>
            </w:pPr>
            <w:r w:rsidRPr="00B50A81">
              <w:rPr>
                <w:rFonts w:asciiTheme="minorHAnsi" w:hAnsiTheme="minorHAnsi" w:cs="Arial"/>
                <w:b/>
                <w:bCs/>
                <w:color w:val="FFFFFF"/>
                <w:sz w:val="18"/>
                <w:szCs w:val="18"/>
              </w:rPr>
              <w:t>Continuing</w:t>
            </w:r>
          </w:p>
        </w:tc>
      </w:tr>
      <w:tr w:rsidR="001C45C0" w:rsidRPr="00B50A81" w14:paraId="5AC6888C" w14:textId="77777777" w:rsidTr="001C45C0">
        <w:trPr>
          <w:trHeight w:val="240"/>
        </w:trPr>
        <w:tc>
          <w:tcPr>
            <w:tcW w:w="1701" w:type="dxa"/>
            <w:shd w:val="clear" w:color="auto" w:fill="548DD4" w:themeFill="text2" w:themeFillTint="99"/>
            <w:vAlign w:val="center"/>
            <w:hideMark/>
          </w:tcPr>
          <w:p w14:paraId="3D2F92DC" w14:textId="77777777" w:rsidR="001C45C0" w:rsidRPr="00B50A81" w:rsidRDefault="001C45C0" w:rsidP="001C45C0">
            <w:pPr>
              <w:jc w:val="center"/>
              <w:rPr>
                <w:rFonts w:asciiTheme="minorHAnsi" w:hAnsiTheme="minorHAnsi" w:cs="Arial"/>
                <w:b/>
                <w:bCs/>
                <w:color w:val="FFFFFF"/>
                <w:sz w:val="18"/>
                <w:szCs w:val="18"/>
              </w:rPr>
            </w:pPr>
            <w:r w:rsidRPr="00B50A81">
              <w:rPr>
                <w:rFonts w:asciiTheme="minorHAnsi" w:hAnsiTheme="minorHAnsi" w:cs="Arial"/>
                <w:b/>
                <w:bCs/>
                <w:color w:val="FFFFFF"/>
                <w:sz w:val="18"/>
                <w:szCs w:val="18"/>
              </w:rPr>
              <w:t>Year</w:t>
            </w:r>
          </w:p>
        </w:tc>
        <w:tc>
          <w:tcPr>
            <w:tcW w:w="1134" w:type="dxa"/>
            <w:shd w:val="clear" w:color="auto" w:fill="548DD4" w:themeFill="text2" w:themeFillTint="99"/>
            <w:vAlign w:val="center"/>
            <w:hideMark/>
          </w:tcPr>
          <w:p w14:paraId="6521E87F" w14:textId="77777777" w:rsidR="001C45C0" w:rsidRPr="00B50A81" w:rsidRDefault="001C45C0" w:rsidP="001C45C0">
            <w:pPr>
              <w:jc w:val="center"/>
              <w:rPr>
                <w:rFonts w:asciiTheme="minorHAnsi" w:hAnsiTheme="minorHAnsi" w:cs="Arial"/>
                <w:b/>
                <w:bCs/>
                <w:color w:val="FFFFFF"/>
                <w:sz w:val="18"/>
                <w:szCs w:val="18"/>
              </w:rPr>
            </w:pPr>
            <w:r w:rsidRPr="00B50A81">
              <w:rPr>
                <w:rFonts w:asciiTheme="minorHAnsi" w:hAnsiTheme="minorHAnsi" w:cs="Arial"/>
                <w:b/>
                <w:bCs/>
                <w:color w:val="FFFFFF"/>
                <w:sz w:val="18"/>
                <w:szCs w:val="18"/>
              </w:rPr>
              <w:t>Patients</w:t>
            </w:r>
          </w:p>
        </w:tc>
        <w:tc>
          <w:tcPr>
            <w:tcW w:w="1155" w:type="dxa"/>
            <w:shd w:val="clear" w:color="auto" w:fill="548DD4" w:themeFill="text2" w:themeFillTint="99"/>
            <w:vAlign w:val="center"/>
            <w:hideMark/>
          </w:tcPr>
          <w:p w14:paraId="60E14386" w14:textId="77777777" w:rsidR="001C45C0" w:rsidRPr="00B50A81" w:rsidRDefault="001C45C0" w:rsidP="001C45C0">
            <w:pPr>
              <w:jc w:val="center"/>
              <w:rPr>
                <w:rFonts w:asciiTheme="minorHAnsi" w:hAnsiTheme="minorHAnsi" w:cs="Arial"/>
                <w:b/>
                <w:bCs/>
                <w:color w:val="FFFFFF"/>
                <w:sz w:val="18"/>
                <w:szCs w:val="18"/>
              </w:rPr>
            </w:pPr>
            <w:r w:rsidRPr="00B50A81">
              <w:rPr>
                <w:rFonts w:asciiTheme="minorHAnsi" w:hAnsiTheme="minorHAnsi" w:cs="Arial"/>
                <w:b/>
                <w:bCs/>
                <w:color w:val="FFFFFF"/>
                <w:sz w:val="18"/>
                <w:szCs w:val="18"/>
              </w:rPr>
              <w:t>Services</w:t>
            </w:r>
          </w:p>
        </w:tc>
        <w:tc>
          <w:tcPr>
            <w:tcW w:w="917" w:type="dxa"/>
            <w:shd w:val="clear" w:color="auto" w:fill="548DD4" w:themeFill="text2" w:themeFillTint="99"/>
            <w:vAlign w:val="center"/>
            <w:hideMark/>
          </w:tcPr>
          <w:p w14:paraId="3CE86164" w14:textId="77777777" w:rsidR="001C45C0" w:rsidRPr="00B50A81" w:rsidRDefault="001C45C0" w:rsidP="001C45C0">
            <w:pPr>
              <w:jc w:val="center"/>
              <w:rPr>
                <w:rFonts w:asciiTheme="minorHAnsi" w:hAnsiTheme="minorHAnsi" w:cs="Arial"/>
                <w:b/>
                <w:bCs/>
                <w:color w:val="FFFFFF"/>
                <w:sz w:val="18"/>
                <w:szCs w:val="18"/>
              </w:rPr>
            </w:pPr>
            <w:r w:rsidRPr="00B50A81">
              <w:rPr>
                <w:rFonts w:asciiTheme="minorHAnsi" w:hAnsiTheme="minorHAnsi" w:cs="Arial"/>
                <w:b/>
                <w:bCs/>
                <w:color w:val="FFFFFF"/>
                <w:sz w:val="18"/>
                <w:szCs w:val="18"/>
              </w:rPr>
              <w:t>Patients</w:t>
            </w:r>
          </w:p>
        </w:tc>
        <w:tc>
          <w:tcPr>
            <w:tcW w:w="957" w:type="dxa"/>
            <w:shd w:val="clear" w:color="auto" w:fill="548DD4" w:themeFill="text2" w:themeFillTint="99"/>
            <w:vAlign w:val="center"/>
            <w:hideMark/>
          </w:tcPr>
          <w:p w14:paraId="39ED20E1" w14:textId="77777777" w:rsidR="001C45C0" w:rsidRPr="00B50A81" w:rsidRDefault="001C45C0" w:rsidP="001C45C0">
            <w:pPr>
              <w:jc w:val="center"/>
              <w:rPr>
                <w:rFonts w:asciiTheme="minorHAnsi" w:hAnsiTheme="minorHAnsi" w:cs="Arial"/>
                <w:b/>
                <w:bCs/>
                <w:color w:val="FFFFFF"/>
                <w:sz w:val="18"/>
                <w:szCs w:val="18"/>
              </w:rPr>
            </w:pPr>
            <w:r w:rsidRPr="00B50A81">
              <w:rPr>
                <w:rFonts w:asciiTheme="minorHAnsi" w:hAnsiTheme="minorHAnsi" w:cs="Arial"/>
                <w:b/>
                <w:bCs/>
                <w:color w:val="FFFFFF"/>
                <w:sz w:val="18"/>
                <w:szCs w:val="18"/>
              </w:rPr>
              <w:t>Services</w:t>
            </w:r>
          </w:p>
        </w:tc>
        <w:tc>
          <w:tcPr>
            <w:tcW w:w="1082" w:type="dxa"/>
            <w:shd w:val="clear" w:color="auto" w:fill="548DD4" w:themeFill="text2" w:themeFillTint="99"/>
            <w:vAlign w:val="center"/>
            <w:hideMark/>
          </w:tcPr>
          <w:p w14:paraId="591332A0" w14:textId="77777777" w:rsidR="001C45C0" w:rsidRPr="00B50A81" w:rsidRDefault="001C45C0" w:rsidP="001C45C0">
            <w:pPr>
              <w:jc w:val="center"/>
              <w:rPr>
                <w:rFonts w:asciiTheme="minorHAnsi" w:hAnsiTheme="minorHAnsi" w:cs="Arial"/>
                <w:b/>
                <w:bCs/>
                <w:color w:val="FFFFFF"/>
                <w:sz w:val="18"/>
                <w:szCs w:val="18"/>
              </w:rPr>
            </w:pPr>
            <w:r w:rsidRPr="00B50A81">
              <w:rPr>
                <w:rFonts w:asciiTheme="minorHAnsi" w:hAnsiTheme="minorHAnsi" w:cs="Arial"/>
                <w:b/>
                <w:bCs/>
                <w:color w:val="FFFFFF"/>
                <w:sz w:val="18"/>
                <w:szCs w:val="18"/>
              </w:rPr>
              <w:t>Patients</w:t>
            </w:r>
          </w:p>
        </w:tc>
        <w:tc>
          <w:tcPr>
            <w:tcW w:w="1024" w:type="dxa"/>
            <w:shd w:val="clear" w:color="auto" w:fill="548DD4" w:themeFill="text2" w:themeFillTint="99"/>
          </w:tcPr>
          <w:p w14:paraId="508A0AA0" w14:textId="77777777" w:rsidR="001C45C0" w:rsidRPr="00B50A81" w:rsidRDefault="001C45C0" w:rsidP="001C45C0">
            <w:pPr>
              <w:jc w:val="center"/>
              <w:rPr>
                <w:rFonts w:asciiTheme="minorHAnsi" w:hAnsiTheme="minorHAnsi" w:cs="Arial"/>
                <w:b/>
                <w:bCs/>
                <w:color w:val="FFFFFF"/>
                <w:sz w:val="18"/>
                <w:szCs w:val="18"/>
              </w:rPr>
            </w:pPr>
            <w:r w:rsidRPr="00B50A81">
              <w:rPr>
                <w:rFonts w:asciiTheme="minorHAnsi" w:hAnsiTheme="minorHAnsi" w:cs="Arial"/>
                <w:b/>
                <w:bCs/>
                <w:color w:val="FFFFFF"/>
                <w:sz w:val="18"/>
                <w:szCs w:val="18"/>
              </w:rPr>
              <w:t>Services</w:t>
            </w:r>
          </w:p>
        </w:tc>
      </w:tr>
      <w:tr w:rsidR="001C45C0" w:rsidRPr="00B50A81" w14:paraId="7E40FA9F" w14:textId="77777777" w:rsidTr="001C45C0">
        <w:trPr>
          <w:trHeight w:val="240"/>
        </w:trPr>
        <w:tc>
          <w:tcPr>
            <w:tcW w:w="1701" w:type="dxa"/>
            <w:shd w:val="clear" w:color="000000" w:fill="FFFFFF"/>
            <w:noWrap/>
          </w:tcPr>
          <w:p w14:paraId="0D713655" w14:textId="77777777" w:rsidR="001C45C0" w:rsidRPr="00B50A81" w:rsidRDefault="001C45C0" w:rsidP="001C45C0">
            <w:pPr>
              <w:rPr>
                <w:rFonts w:asciiTheme="minorHAnsi" w:hAnsiTheme="minorHAnsi" w:cs="Arial"/>
                <w:sz w:val="20"/>
              </w:rPr>
            </w:pPr>
            <w:r w:rsidRPr="00B50A81">
              <w:rPr>
                <w:rFonts w:asciiTheme="minorHAnsi" w:hAnsiTheme="minorHAnsi" w:cs="Arial"/>
                <w:sz w:val="20"/>
              </w:rPr>
              <w:t>2014-15</w:t>
            </w:r>
          </w:p>
        </w:tc>
        <w:tc>
          <w:tcPr>
            <w:tcW w:w="1134" w:type="dxa"/>
            <w:shd w:val="clear" w:color="000000" w:fill="FFFFFF"/>
            <w:noWrap/>
          </w:tcPr>
          <w:p w14:paraId="4B3E1BB1" w14:textId="77777777" w:rsidR="001C45C0" w:rsidRPr="00B50A81" w:rsidRDefault="001C45C0" w:rsidP="001C45C0">
            <w:pPr>
              <w:jc w:val="right"/>
              <w:rPr>
                <w:rFonts w:asciiTheme="minorHAnsi" w:hAnsiTheme="minorHAnsi" w:cs="Arial"/>
                <w:sz w:val="20"/>
              </w:rPr>
            </w:pPr>
            <w:r w:rsidRPr="00B50A81">
              <w:rPr>
                <w:rFonts w:asciiTheme="minorHAnsi" w:hAnsiTheme="minorHAnsi" w:cs="Arial"/>
                <w:sz w:val="20"/>
              </w:rPr>
              <w:t xml:space="preserve">1,260 </w:t>
            </w:r>
          </w:p>
        </w:tc>
        <w:tc>
          <w:tcPr>
            <w:tcW w:w="1155" w:type="dxa"/>
            <w:shd w:val="clear" w:color="000000" w:fill="FFFFFF"/>
            <w:noWrap/>
          </w:tcPr>
          <w:p w14:paraId="28B933B6" w14:textId="77777777" w:rsidR="001C45C0" w:rsidRPr="00B50A81" w:rsidRDefault="001C45C0" w:rsidP="001C45C0">
            <w:pPr>
              <w:jc w:val="right"/>
              <w:rPr>
                <w:rFonts w:asciiTheme="minorHAnsi" w:hAnsiTheme="minorHAnsi" w:cs="Arial"/>
                <w:sz w:val="20"/>
              </w:rPr>
            </w:pPr>
            <w:r w:rsidRPr="00B50A81">
              <w:rPr>
                <w:rFonts w:asciiTheme="minorHAnsi" w:hAnsiTheme="minorHAnsi" w:cs="Arial"/>
                <w:sz w:val="20"/>
              </w:rPr>
              <w:t xml:space="preserve">1,325 </w:t>
            </w:r>
          </w:p>
        </w:tc>
        <w:tc>
          <w:tcPr>
            <w:tcW w:w="917" w:type="dxa"/>
            <w:shd w:val="clear" w:color="000000" w:fill="FFFFFF"/>
            <w:noWrap/>
          </w:tcPr>
          <w:p w14:paraId="6401A1DC" w14:textId="77777777" w:rsidR="001C45C0" w:rsidRPr="00B50A81" w:rsidRDefault="001C45C0" w:rsidP="001C45C0">
            <w:pPr>
              <w:jc w:val="right"/>
              <w:rPr>
                <w:rFonts w:asciiTheme="minorHAnsi" w:hAnsiTheme="minorHAnsi" w:cs="Arial"/>
                <w:sz w:val="20"/>
              </w:rPr>
            </w:pPr>
            <w:r w:rsidRPr="00B50A81">
              <w:rPr>
                <w:rFonts w:asciiTheme="minorHAnsi" w:hAnsiTheme="minorHAnsi" w:cs="Arial"/>
                <w:sz w:val="20"/>
              </w:rPr>
              <w:t xml:space="preserve">1,260 </w:t>
            </w:r>
          </w:p>
        </w:tc>
        <w:tc>
          <w:tcPr>
            <w:tcW w:w="957" w:type="dxa"/>
            <w:shd w:val="clear" w:color="000000" w:fill="FFFFFF"/>
            <w:noWrap/>
          </w:tcPr>
          <w:p w14:paraId="2DAB5F79" w14:textId="77777777" w:rsidR="001C45C0" w:rsidRPr="00B50A81" w:rsidRDefault="001C45C0" w:rsidP="001C45C0">
            <w:pPr>
              <w:jc w:val="right"/>
              <w:rPr>
                <w:rFonts w:asciiTheme="minorHAnsi" w:hAnsiTheme="minorHAnsi" w:cs="Arial"/>
                <w:sz w:val="20"/>
              </w:rPr>
            </w:pPr>
            <w:r w:rsidRPr="00B50A81">
              <w:rPr>
                <w:rFonts w:asciiTheme="minorHAnsi" w:hAnsiTheme="minorHAnsi" w:cs="Arial"/>
                <w:sz w:val="20"/>
              </w:rPr>
              <w:t xml:space="preserve">1,325 </w:t>
            </w:r>
          </w:p>
        </w:tc>
        <w:tc>
          <w:tcPr>
            <w:tcW w:w="1082" w:type="dxa"/>
            <w:shd w:val="clear" w:color="000000" w:fill="FFFFFF"/>
            <w:noWrap/>
          </w:tcPr>
          <w:p w14:paraId="227A63AD" w14:textId="77777777" w:rsidR="001C45C0" w:rsidRPr="00B50A81" w:rsidRDefault="001C45C0" w:rsidP="001C45C0">
            <w:pPr>
              <w:jc w:val="right"/>
              <w:rPr>
                <w:rFonts w:asciiTheme="minorHAnsi" w:hAnsiTheme="minorHAnsi" w:cs="Arial"/>
                <w:sz w:val="20"/>
              </w:rPr>
            </w:pPr>
            <w:r w:rsidRPr="00B50A81">
              <w:rPr>
                <w:rFonts w:asciiTheme="minorHAnsi" w:hAnsiTheme="minorHAnsi" w:cs="Arial"/>
                <w:sz w:val="20"/>
              </w:rPr>
              <w:t>-</w:t>
            </w:r>
          </w:p>
        </w:tc>
        <w:tc>
          <w:tcPr>
            <w:tcW w:w="1024" w:type="dxa"/>
            <w:shd w:val="clear" w:color="000000" w:fill="FFFFFF"/>
          </w:tcPr>
          <w:p w14:paraId="4C4E9899" w14:textId="77777777" w:rsidR="001C45C0" w:rsidRPr="00B50A81" w:rsidRDefault="001C45C0" w:rsidP="001C45C0">
            <w:pPr>
              <w:jc w:val="right"/>
              <w:rPr>
                <w:rFonts w:asciiTheme="minorHAnsi" w:hAnsiTheme="minorHAnsi" w:cs="Arial"/>
                <w:sz w:val="20"/>
              </w:rPr>
            </w:pPr>
            <w:r w:rsidRPr="00B50A81">
              <w:rPr>
                <w:rFonts w:asciiTheme="minorHAnsi" w:hAnsiTheme="minorHAnsi" w:cs="Arial"/>
                <w:sz w:val="20"/>
              </w:rPr>
              <w:t>-</w:t>
            </w:r>
          </w:p>
        </w:tc>
      </w:tr>
      <w:tr w:rsidR="001C45C0" w:rsidRPr="00B50A81" w14:paraId="75C11448" w14:textId="77777777" w:rsidTr="001C45C0">
        <w:trPr>
          <w:trHeight w:val="240"/>
        </w:trPr>
        <w:tc>
          <w:tcPr>
            <w:tcW w:w="1701" w:type="dxa"/>
            <w:shd w:val="clear" w:color="000000" w:fill="FFFFFF"/>
            <w:noWrap/>
          </w:tcPr>
          <w:p w14:paraId="1DDBAC2F" w14:textId="77777777" w:rsidR="001C45C0" w:rsidRPr="00B50A81" w:rsidRDefault="001C45C0" w:rsidP="001C45C0">
            <w:pPr>
              <w:rPr>
                <w:rFonts w:asciiTheme="minorHAnsi" w:hAnsiTheme="minorHAnsi" w:cs="Arial"/>
                <w:sz w:val="20"/>
              </w:rPr>
            </w:pPr>
            <w:r w:rsidRPr="00B50A81">
              <w:rPr>
                <w:rFonts w:asciiTheme="minorHAnsi" w:hAnsiTheme="minorHAnsi" w:cs="Arial"/>
                <w:sz w:val="20"/>
              </w:rPr>
              <w:t>2015-16</w:t>
            </w:r>
          </w:p>
        </w:tc>
        <w:tc>
          <w:tcPr>
            <w:tcW w:w="1134" w:type="dxa"/>
            <w:shd w:val="clear" w:color="000000" w:fill="FFFFFF"/>
            <w:noWrap/>
          </w:tcPr>
          <w:p w14:paraId="0F695BAC" w14:textId="77777777" w:rsidR="001C45C0" w:rsidRPr="00B50A81" w:rsidRDefault="001C45C0" w:rsidP="001C45C0">
            <w:pPr>
              <w:jc w:val="right"/>
              <w:rPr>
                <w:rFonts w:asciiTheme="minorHAnsi" w:hAnsiTheme="minorHAnsi" w:cs="Arial"/>
                <w:sz w:val="20"/>
              </w:rPr>
            </w:pPr>
            <w:r w:rsidRPr="00B50A81">
              <w:rPr>
                <w:rFonts w:asciiTheme="minorHAnsi" w:hAnsiTheme="minorHAnsi" w:cs="Arial"/>
                <w:sz w:val="20"/>
              </w:rPr>
              <w:t xml:space="preserve">2,518 </w:t>
            </w:r>
          </w:p>
        </w:tc>
        <w:tc>
          <w:tcPr>
            <w:tcW w:w="1155" w:type="dxa"/>
            <w:shd w:val="clear" w:color="000000" w:fill="FFFFFF"/>
            <w:noWrap/>
          </w:tcPr>
          <w:p w14:paraId="57EE8BBB" w14:textId="77777777" w:rsidR="001C45C0" w:rsidRPr="00B50A81" w:rsidRDefault="001C45C0" w:rsidP="001C45C0">
            <w:pPr>
              <w:jc w:val="right"/>
              <w:rPr>
                <w:rFonts w:asciiTheme="minorHAnsi" w:hAnsiTheme="minorHAnsi" w:cs="Arial"/>
                <w:sz w:val="20"/>
              </w:rPr>
            </w:pPr>
            <w:r w:rsidRPr="00B50A81">
              <w:rPr>
                <w:rFonts w:asciiTheme="minorHAnsi" w:hAnsiTheme="minorHAnsi" w:cs="Arial"/>
                <w:sz w:val="20"/>
              </w:rPr>
              <w:t xml:space="preserve">2,654 </w:t>
            </w:r>
          </w:p>
        </w:tc>
        <w:tc>
          <w:tcPr>
            <w:tcW w:w="917" w:type="dxa"/>
            <w:shd w:val="clear" w:color="000000" w:fill="FFFFFF"/>
            <w:noWrap/>
          </w:tcPr>
          <w:p w14:paraId="75737240" w14:textId="77777777" w:rsidR="001C45C0" w:rsidRPr="00B50A81" w:rsidRDefault="001C45C0" w:rsidP="001C45C0">
            <w:pPr>
              <w:jc w:val="right"/>
              <w:rPr>
                <w:rFonts w:asciiTheme="minorHAnsi" w:hAnsiTheme="minorHAnsi" w:cs="Arial"/>
                <w:sz w:val="20"/>
              </w:rPr>
            </w:pPr>
            <w:r w:rsidRPr="00B50A81">
              <w:rPr>
                <w:rFonts w:asciiTheme="minorHAnsi" w:hAnsiTheme="minorHAnsi" w:cs="Arial"/>
                <w:sz w:val="20"/>
              </w:rPr>
              <w:t xml:space="preserve">2,499 </w:t>
            </w:r>
          </w:p>
        </w:tc>
        <w:tc>
          <w:tcPr>
            <w:tcW w:w="957" w:type="dxa"/>
            <w:shd w:val="clear" w:color="000000" w:fill="FFFFFF"/>
            <w:noWrap/>
          </w:tcPr>
          <w:p w14:paraId="68F301FA" w14:textId="77777777" w:rsidR="001C45C0" w:rsidRPr="00B50A81" w:rsidRDefault="001C45C0" w:rsidP="001C45C0">
            <w:pPr>
              <w:jc w:val="right"/>
              <w:rPr>
                <w:rFonts w:asciiTheme="minorHAnsi" w:hAnsiTheme="minorHAnsi" w:cs="Arial"/>
                <w:sz w:val="20"/>
              </w:rPr>
            </w:pPr>
            <w:r w:rsidRPr="00B50A81">
              <w:rPr>
                <w:rFonts w:asciiTheme="minorHAnsi" w:hAnsiTheme="minorHAnsi" w:cs="Arial"/>
                <w:sz w:val="20"/>
              </w:rPr>
              <w:t xml:space="preserve">2,630 </w:t>
            </w:r>
          </w:p>
        </w:tc>
        <w:tc>
          <w:tcPr>
            <w:tcW w:w="1082" w:type="dxa"/>
            <w:shd w:val="clear" w:color="000000" w:fill="FFFFFF"/>
            <w:noWrap/>
          </w:tcPr>
          <w:p w14:paraId="4D9FAFE8" w14:textId="77777777" w:rsidR="001C45C0" w:rsidRPr="00B50A81" w:rsidRDefault="001C45C0" w:rsidP="001C45C0">
            <w:pPr>
              <w:jc w:val="right"/>
              <w:rPr>
                <w:rFonts w:asciiTheme="minorHAnsi" w:hAnsiTheme="minorHAnsi" w:cs="Arial"/>
                <w:sz w:val="20"/>
              </w:rPr>
            </w:pPr>
            <w:r w:rsidRPr="00B50A81">
              <w:rPr>
                <w:rFonts w:asciiTheme="minorHAnsi" w:hAnsiTheme="minorHAnsi" w:cs="Arial"/>
                <w:sz w:val="20"/>
              </w:rPr>
              <w:t xml:space="preserve">19 </w:t>
            </w:r>
          </w:p>
        </w:tc>
        <w:tc>
          <w:tcPr>
            <w:tcW w:w="1024" w:type="dxa"/>
            <w:shd w:val="clear" w:color="000000" w:fill="FFFFFF"/>
          </w:tcPr>
          <w:p w14:paraId="022C3A31" w14:textId="77777777" w:rsidR="001C45C0" w:rsidRPr="00B50A81" w:rsidRDefault="001C45C0" w:rsidP="001C45C0">
            <w:pPr>
              <w:jc w:val="right"/>
              <w:rPr>
                <w:rFonts w:asciiTheme="minorHAnsi" w:hAnsiTheme="minorHAnsi" w:cs="Arial"/>
                <w:sz w:val="20"/>
              </w:rPr>
            </w:pPr>
            <w:r w:rsidRPr="00B50A81">
              <w:rPr>
                <w:rFonts w:asciiTheme="minorHAnsi" w:hAnsiTheme="minorHAnsi" w:cs="Arial"/>
                <w:sz w:val="20"/>
              </w:rPr>
              <w:t xml:space="preserve">24 </w:t>
            </w:r>
          </w:p>
        </w:tc>
      </w:tr>
      <w:tr w:rsidR="001C45C0" w:rsidRPr="00B50A81" w14:paraId="6A6F5DCD" w14:textId="77777777" w:rsidTr="001C45C0">
        <w:trPr>
          <w:trHeight w:val="240"/>
        </w:trPr>
        <w:tc>
          <w:tcPr>
            <w:tcW w:w="1701" w:type="dxa"/>
            <w:shd w:val="clear" w:color="000000" w:fill="FFFFFF"/>
            <w:noWrap/>
          </w:tcPr>
          <w:p w14:paraId="0B340DFD" w14:textId="77777777" w:rsidR="001C45C0" w:rsidRPr="00B50A81" w:rsidRDefault="001C45C0" w:rsidP="001C45C0">
            <w:pPr>
              <w:rPr>
                <w:rFonts w:asciiTheme="minorHAnsi" w:hAnsiTheme="minorHAnsi" w:cs="Arial"/>
                <w:sz w:val="20"/>
              </w:rPr>
            </w:pPr>
            <w:r w:rsidRPr="00B50A81">
              <w:rPr>
                <w:rFonts w:asciiTheme="minorHAnsi" w:hAnsiTheme="minorHAnsi" w:cs="Arial"/>
                <w:sz w:val="20"/>
              </w:rPr>
              <w:t>2016-17</w:t>
            </w:r>
          </w:p>
        </w:tc>
        <w:tc>
          <w:tcPr>
            <w:tcW w:w="1134" w:type="dxa"/>
            <w:shd w:val="clear" w:color="000000" w:fill="FFFFFF"/>
            <w:noWrap/>
          </w:tcPr>
          <w:p w14:paraId="670968AB" w14:textId="77777777" w:rsidR="001C45C0" w:rsidRPr="00B50A81" w:rsidRDefault="001C45C0" w:rsidP="001C45C0">
            <w:pPr>
              <w:jc w:val="right"/>
              <w:rPr>
                <w:rFonts w:asciiTheme="minorHAnsi" w:hAnsiTheme="minorHAnsi" w:cs="Arial"/>
                <w:sz w:val="20"/>
              </w:rPr>
            </w:pPr>
            <w:r w:rsidRPr="00B50A81">
              <w:rPr>
                <w:rFonts w:asciiTheme="minorHAnsi" w:hAnsiTheme="minorHAnsi" w:cs="Arial"/>
                <w:sz w:val="20"/>
              </w:rPr>
              <w:t xml:space="preserve">2,213 </w:t>
            </w:r>
          </w:p>
        </w:tc>
        <w:tc>
          <w:tcPr>
            <w:tcW w:w="1155" w:type="dxa"/>
            <w:shd w:val="clear" w:color="000000" w:fill="FFFFFF"/>
            <w:noWrap/>
          </w:tcPr>
          <w:p w14:paraId="6F014614" w14:textId="77777777" w:rsidR="001C45C0" w:rsidRPr="00B50A81" w:rsidRDefault="001C45C0" w:rsidP="001C45C0">
            <w:pPr>
              <w:jc w:val="right"/>
              <w:rPr>
                <w:rFonts w:asciiTheme="minorHAnsi" w:hAnsiTheme="minorHAnsi" w:cs="Arial"/>
                <w:sz w:val="20"/>
              </w:rPr>
            </w:pPr>
            <w:r w:rsidRPr="00B50A81">
              <w:rPr>
                <w:rFonts w:asciiTheme="minorHAnsi" w:hAnsiTheme="minorHAnsi" w:cs="Arial"/>
                <w:sz w:val="20"/>
              </w:rPr>
              <w:t xml:space="preserve">2,287 </w:t>
            </w:r>
          </w:p>
        </w:tc>
        <w:tc>
          <w:tcPr>
            <w:tcW w:w="917" w:type="dxa"/>
            <w:shd w:val="clear" w:color="000000" w:fill="FFFFFF"/>
            <w:noWrap/>
          </w:tcPr>
          <w:p w14:paraId="1EEA64EE" w14:textId="77777777" w:rsidR="001C45C0" w:rsidRPr="00B50A81" w:rsidRDefault="001C45C0" w:rsidP="001C45C0">
            <w:pPr>
              <w:jc w:val="right"/>
              <w:rPr>
                <w:rFonts w:asciiTheme="minorHAnsi" w:hAnsiTheme="minorHAnsi" w:cs="Arial"/>
                <w:sz w:val="20"/>
              </w:rPr>
            </w:pPr>
            <w:r w:rsidRPr="00B50A81">
              <w:rPr>
                <w:rFonts w:asciiTheme="minorHAnsi" w:hAnsiTheme="minorHAnsi" w:cs="Arial"/>
                <w:sz w:val="20"/>
              </w:rPr>
              <w:t xml:space="preserve">2,161 </w:t>
            </w:r>
          </w:p>
        </w:tc>
        <w:tc>
          <w:tcPr>
            <w:tcW w:w="957" w:type="dxa"/>
            <w:shd w:val="clear" w:color="000000" w:fill="FFFFFF"/>
            <w:noWrap/>
          </w:tcPr>
          <w:p w14:paraId="212EB516" w14:textId="77777777" w:rsidR="001C45C0" w:rsidRPr="00B50A81" w:rsidRDefault="001C45C0" w:rsidP="001C45C0">
            <w:pPr>
              <w:jc w:val="right"/>
              <w:rPr>
                <w:rFonts w:asciiTheme="minorHAnsi" w:hAnsiTheme="minorHAnsi" w:cs="Arial"/>
                <w:sz w:val="20"/>
              </w:rPr>
            </w:pPr>
            <w:r w:rsidRPr="00B50A81">
              <w:rPr>
                <w:rFonts w:asciiTheme="minorHAnsi" w:hAnsiTheme="minorHAnsi" w:cs="Arial"/>
                <w:sz w:val="20"/>
              </w:rPr>
              <w:t xml:space="preserve">2,234 </w:t>
            </w:r>
          </w:p>
        </w:tc>
        <w:tc>
          <w:tcPr>
            <w:tcW w:w="1082" w:type="dxa"/>
            <w:shd w:val="clear" w:color="000000" w:fill="FFFFFF"/>
            <w:noWrap/>
          </w:tcPr>
          <w:p w14:paraId="17E5D06E" w14:textId="77777777" w:rsidR="001C45C0" w:rsidRPr="00B50A81" w:rsidRDefault="001C45C0" w:rsidP="001C45C0">
            <w:pPr>
              <w:jc w:val="right"/>
              <w:rPr>
                <w:rFonts w:asciiTheme="minorHAnsi" w:hAnsiTheme="minorHAnsi" w:cs="Arial"/>
                <w:sz w:val="20"/>
              </w:rPr>
            </w:pPr>
            <w:r w:rsidRPr="00B50A81">
              <w:rPr>
                <w:rFonts w:asciiTheme="minorHAnsi" w:hAnsiTheme="minorHAnsi" w:cs="Arial"/>
                <w:sz w:val="20"/>
              </w:rPr>
              <w:t xml:space="preserve">52 </w:t>
            </w:r>
          </w:p>
        </w:tc>
        <w:tc>
          <w:tcPr>
            <w:tcW w:w="1024" w:type="dxa"/>
            <w:shd w:val="clear" w:color="000000" w:fill="FFFFFF"/>
          </w:tcPr>
          <w:p w14:paraId="6679D1B8" w14:textId="77777777" w:rsidR="001C45C0" w:rsidRPr="00B50A81" w:rsidRDefault="001C45C0" w:rsidP="001C45C0">
            <w:pPr>
              <w:jc w:val="right"/>
              <w:rPr>
                <w:rFonts w:asciiTheme="minorHAnsi" w:hAnsiTheme="minorHAnsi" w:cs="Arial"/>
                <w:sz w:val="20"/>
              </w:rPr>
            </w:pPr>
            <w:r w:rsidRPr="00B50A81">
              <w:rPr>
                <w:rFonts w:asciiTheme="minorHAnsi" w:hAnsiTheme="minorHAnsi" w:cs="Arial"/>
                <w:sz w:val="20"/>
              </w:rPr>
              <w:t xml:space="preserve">53 </w:t>
            </w:r>
          </w:p>
        </w:tc>
      </w:tr>
      <w:tr w:rsidR="001C45C0" w:rsidRPr="00B50A81" w14:paraId="6C8A325C" w14:textId="77777777" w:rsidTr="001C45C0">
        <w:trPr>
          <w:trHeight w:val="240"/>
        </w:trPr>
        <w:tc>
          <w:tcPr>
            <w:tcW w:w="1701" w:type="dxa"/>
            <w:shd w:val="clear" w:color="000000" w:fill="FFFFFF"/>
            <w:noWrap/>
          </w:tcPr>
          <w:p w14:paraId="4D6E7922" w14:textId="77777777" w:rsidR="001C45C0" w:rsidRPr="00B50A81" w:rsidRDefault="001C45C0" w:rsidP="001C45C0">
            <w:pPr>
              <w:rPr>
                <w:rFonts w:asciiTheme="minorHAnsi" w:hAnsiTheme="minorHAnsi" w:cs="Arial"/>
                <w:sz w:val="20"/>
              </w:rPr>
            </w:pPr>
            <w:r w:rsidRPr="00B50A81">
              <w:rPr>
                <w:rFonts w:asciiTheme="minorHAnsi" w:hAnsiTheme="minorHAnsi" w:cs="Arial"/>
                <w:sz w:val="20"/>
              </w:rPr>
              <w:t>2017-18</w:t>
            </w:r>
          </w:p>
        </w:tc>
        <w:tc>
          <w:tcPr>
            <w:tcW w:w="1134" w:type="dxa"/>
            <w:shd w:val="clear" w:color="000000" w:fill="FFFFFF"/>
            <w:noWrap/>
          </w:tcPr>
          <w:p w14:paraId="2229EA44" w14:textId="77777777" w:rsidR="001C45C0" w:rsidRPr="00B50A81" w:rsidRDefault="001C45C0" w:rsidP="001C45C0">
            <w:pPr>
              <w:jc w:val="right"/>
              <w:rPr>
                <w:rFonts w:asciiTheme="minorHAnsi" w:hAnsiTheme="minorHAnsi" w:cs="Arial"/>
                <w:sz w:val="20"/>
              </w:rPr>
            </w:pPr>
            <w:r w:rsidRPr="00B50A81">
              <w:rPr>
                <w:rFonts w:asciiTheme="minorHAnsi" w:hAnsiTheme="minorHAnsi" w:cs="Arial"/>
                <w:sz w:val="20"/>
              </w:rPr>
              <w:t xml:space="preserve">946 </w:t>
            </w:r>
          </w:p>
        </w:tc>
        <w:tc>
          <w:tcPr>
            <w:tcW w:w="1155" w:type="dxa"/>
            <w:shd w:val="clear" w:color="000000" w:fill="FFFFFF"/>
            <w:noWrap/>
          </w:tcPr>
          <w:p w14:paraId="3D0CEF2C" w14:textId="77777777" w:rsidR="001C45C0" w:rsidRPr="00B50A81" w:rsidRDefault="001C45C0" w:rsidP="001C45C0">
            <w:pPr>
              <w:jc w:val="right"/>
              <w:rPr>
                <w:rFonts w:asciiTheme="minorHAnsi" w:hAnsiTheme="minorHAnsi" w:cs="Arial"/>
                <w:sz w:val="20"/>
              </w:rPr>
            </w:pPr>
            <w:r w:rsidRPr="00B50A81">
              <w:rPr>
                <w:rFonts w:asciiTheme="minorHAnsi" w:hAnsiTheme="minorHAnsi" w:cs="Arial"/>
                <w:sz w:val="20"/>
              </w:rPr>
              <w:t xml:space="preserve">960 </w:t>
            </w:r>
          </w:p>
        </w:tc>
        <w:tc>
          <w:tcPr>
            <w:tcW w:w="917" w:type="dxa"/>
            <w:shd w:val="clear" w:color="000000" w:fill="FFFFFF"/>
            <w:noWrap/>
          </w:tcPr>
          <w:p w14:paraId="344034DD" w14:textId="77777777" w:rsidR="001C45C0" w:rsidRPr="00B50A81" w:rsidRDefault="001C45C0" w:rsidP="001C45C0">
            <w:pPr>
              <w:jc w:val="right"/>
              <w:rPr>
                <w:rFonts w:asciiTheme="minorHAnsi" w:hAnsiTheme="minorHAnsi" w:cs="Arial"/>
                <w:sz w:val="20"/>
              </w:rPr>
            </w:pPr>
            <w:r w:rsidRPr="00B50A81">
              <w:rPr>
                <w:rFonts w:asciiTheme="minorHAnsi" w:hAnsiTheme="minorHAnsi" w:cs="Arial"/>
                <w:sz w:val="20"/>
              </w:rPr>
              <w:t xml:space="preserve">907 </w:t>
            </w:r>
          </w:p>
        </w:tc>
        <w:tc>
          <w:tcPr>
            <w:tcW w:w="957" w:type="dxa"/>
            <w:shd w:val="clear" w:color="000000" w:fill="FFFFFF"/>
            <w:noWrap/>
          </w:tcPr>
          <w:p w14:paraId="1E38DFDF" w14:textId="77777777" w:rsidR="001C45C0" w:rsidRPr="00B50A81" w:rsidRDefault="001C45C0" w:rsidP="001C45C0">
            <w:pPr>
              <w:jc w:val="right"/>
              <w:rPr>
                <w:rFonts w:asciiTheme="minorHAnsi" w:hAnsiTheme="minorHAnsi" w:cs="Arial"/>
                <w:sz w:val="20"/>
              </w:rPr>
            </w:pPr>
            <w:r w:rsidRPr="00B50A81">
              <w:rPr>
                <w:rFonts w:asciiTheme="minorHAnsi" w:hAnsiTheme="minorHAnsi" w:cs="Arial"/>
                <w:sz w:val="20"/>
              </w:rPr>
              <w:t xml:space="preserve">919 </w:t>
            </w:r>
          </w:p>
        </w:tc>
        <w:tc>
          <w:tcPr>
            <w:tcW w:w="1082" w:type="dxa"/>
            <w:shd w:val="clear" w:color="000000" w:fill="FFFFFF"/>
            <w:noWrap/>
          </w:tcPr>
          <w:p w14:paraId="06F142D6" w14:textId="77777777" w:rsidR="001C45C0" w:rsidRPr="00B50A81" w:rsidRDefault="001C45C0" w:rsidP="001C45C0">
            <w:pPr>
              <w:jc w:val="right"/>
              <w:rPr>
                <w:rFonts w:asciiTheme="minorHAnsi" w:hAnsiTheme="minorHAnsi" w:cs="Arial"/>
                <w:sz w:val="20"/>
              </w:rPr>
            </w:pPr>
            <w:r w:rsidRPr="00B50A81">
              <w:rPr>
                <w:rFonts w:asciiTheme="minorHAnsi" w:hAnsiTheme="minorHAnsi" w:cs="Arial"/>
                <w:sz w:val="20"/>
              </w:rPr>
              <w:t xml:space="preserve">39 </w:t>
            </w:r>
          </w:p>
        </w:tc>
        <w:tc>
          <w:tcPr>
            <w:tcW w:w="1024" w:type="dxa"/>
            <w:shd w:val="clear" w:color="000000" w:fill="FFFFFF"/>
          </w:tcPr>
          <w:p w14:paraId="709DB088" w14:textId="77777777" w:rsidR="001C45C0" w:rsidRPr="00B50A81" w:rsidRDefault="001C45C0" w:rsidP="001C45C0">
            <w:pPr>
              <w:jc w:val="right"/>
              <w:rPr>
                <w:rFonts w:asciiTheme="minorHAnsi" w:hAnsiTheme="minorHAnsi" w:cs="Arial"/>
                <w:sz w:val="20"/>
              </w:rPr>
            </w:pPr>
            <w:r w:rsidRPr="00B50A81">
              <w:rPr>
                <w:rFonts w:asciiTheme="minorHAnsi" w:hAnsiTheme="minorHAnsi" w:cs="Arial"/>
                <w:sz w:val="20"/>
              </w:rPr>
              <w:t xml:space="preserve">41 </w:t>
            </w:r>
          </w:p>
        </w:tc>
      </w:tr>
      <w:tr w:rsidR="001C45C0" w:rsidRPr="00C81895" w14:paraId="74E225FE" w14:textId="77777777" w:rsidTr="001C45C0">
        <w:trPr>
          <w:trHeight w:val="240"/>
        </w:trPr>
        <w:tc>
          <w:tcPr>
            <w:tcW w:w="1701" w:type="dxa"/>
            <w:shd w:val="clear" w:color="000000" w:fill="FFFFFF"/>
            <w:noWrap/>
          </w:tcPr>
          <w:p w14:paraId="0CBAF547" w14:textId="77777777" w:rsidR="001C45C0" w:rsidRPr="00C81895" w:rsidRDefault="001C45C0" w:rsidP="001C45C0">
            <w:pPr>
              <w:rPr>
                <w:rFonts w:asciiTheme="minorHAnsi" w:hAnsiTheme="minorHAnsi"/>
                <w:b/>
                <w:sz w:val="20"/>
              </w:rPr>
            </w:pPr>
            <w:r w:rsidRPr="00C81895">
              <w:rPr>
                <w:rFonts w:asciiTheme="minorHAnsi" w:hAnsiTheme="minorHAnsi"/>
                <w:b/>
                <w:sz w:val="20"/>
              </w:rPr>
              <w:t>Total</w:t>
            </w:r>
          </w:p>
        </w:tc>
        <w:tc>
          <w:tcPr>
            <w:tcW w:w="1134" w:type="dxa"/>
            <w:shd w:val="clear" w:color="000000" w:fill="FFFFFF"/>
            <w:noWrap/>
          </w:tcPr>
          <w:p w14:paraId="7B605006" w14:textId="77777777" w:rsidR="001C45C0" w:rsidRPr="00C81895" w:rsidRDefault="001C45C0" w:rsidP="001C45C0">
            <w:pPr>
              <w:jc w:val="right"/>
              <w:rPr>
                <w:rFonts w:asciiTheme="minorHAnsi" w:hAnsiTheme="minorHAnsi"/>
                <w:b/>
                <w:sz w:val="20"/>
              </w:rPr>
            </w:pPr>
            <w:r w:rsidRPr="00C81895">
              <w:rPr>
                <w:rFonts w:asciiTheme="minorHAnsi" w:hAnsiTheme="minorHAnsi"/>
                <w:b/>
                <w:sz w:val="20"/>
              </w:rPr>
              <w:t xml:space="preserve">6,827 </w:t>
            </w:r>
          </w:p>
        </w:tc>
        <w:tc>
          <w:tcPr>
            <w:tcW w:w="1155" w:type="dxa"/>
            <w:shd w:val="clear" w:color="000000" w:fill="FFFFFF"/>
            <w:noWrap/>
          </w:tcPr>
          <w:p w14:paraId="38EAEEF7" w14:textId="77777777" w:rsidR="001C45C0" w:rsidRPr="00C81895" w:rsidRDefault="001C45C0" w:rsidP="001C45C0">
            <w:pPr>
              <w:jc w:val="right"/>
              <w:rPr>
                <w:rFonts w:asciiTheme="minorHAnsi" w:hAnsiTheme="minorHAnsi"/>
                <w:b/>
                <w:sz w:val="20"/>
              </w:rPr>
            </w:pPr>
            <w:r w:rsidRPr="00C81895">
              <w:rPr>
                <w:rFonts w:asciiTheme="minorHAnsi" w:hAnsiTheme="minorHAnsi"/>
                <w:b/>
                <w:sz w:val="20"/>
              </w:rPr>
              <w:t xml:space="preserve">7,226 </w:t>
            </w:r>
          </w:p>
        </w:tc>
        <w:tc>
          <w:tcPr>
            <w:tcW w:w="917" w:type="dxa"/>
            <w:shd w:val="clear" w:color="000000" w:fill="FFFFFF"/>
            <w:noWrap/>
          </w:tcPr>
          <w:p w14:paraId="27DE4C14" w14:textId="77777777" w:rsidR="001C45C0" w:rsidRPr="00C81895" w:rsidRDefault="001C45C0" w:rsidP="001C45C0">
            <w:pPr>
              <w:jc w:val="right"/>
              <w:rPr>
                <w:rFonts w:asciiTheme="minorHAnsi" w:hAnsiTheme="minorHAnsi"/>
                <w:b/>
                <w:sz w:val="20"/>
              </w:rPr>
            </w:pPr>
            <w:r w:rsidRPr="00C81895">
              <w:rPr>
                <w:rFonts w:asciiTheme="minorHAnsi" w:hAnsiTheme="minorHAnsi"/>
                <w:b/>
                <w:sz w:val="20"/>
              </w:rPr>
              <w:t>-</w:t>
            </w:r>
          </w:p>
        </w:tc>
        <w:tc>
          <w:tcPr>
            <w:tcW w:w="957" w:type="dxa"/>
            <w:shd w:val="clear" w:color="000000" w:fill="FFFFFF"/>
            <w:noWrap/>
          </w:tcPr>
          <w:p w14:paraId="161966A5" w14:textId="77777777" w:rsidR="001C45C0" w:rsidRPr="00C81895" w:rsidRDefault="001C45C0" w:rsidP="001C45C0">
            <w:pPr>
              <w:jc w:val="right"/>
              <w:rPr>
                <w:rFonts w:asciiTheme="minorHAnsi" w:hAnsiTheme="minorHAnsi"/>
                <w:b/>
                <w:sz w:val="20"/>
              </w:rPr>
            </w:pPr>
            <w:r w:rsidRPr="00C81895">
              <w:rPr>
                <w:rFonts w:asciiTheme="minorHAnsi" w:hAnsiTheme="minorHAnsi"/>
                <w:b/>
                <w:sz w:val="20"/>
              </w:rPr>
              <w:t>-</w:t>
            </w:r>
          </w:p>
        </w:tc>
        <w:tc>
          <w:tcPr>
            <w:tcW w:w="1082" w:type="dxa"/>
            <w:shd w:val="clear" w:color="000000" w:fill="FFFFFF"/>
            <w:noWrap/>
          </w:tcPr>
          <w:p w14:paraId="67839770" w14:textId="77777777" w:rsidR="001C45C0" w:rsidRPr="00C81895" w:rsidRDefault="001C45C0" w:rsidP="001C45C0">
            <w:pPr>
              <w:jc w:val="right"/>
              <w:rPr>
                <w:rFonts w:asciiTheme="minorHAnsi" w:hAnsiTheme="minorHAnsi"/>
                <w:b/>
                <w:sz w:val="20"/>
              </w:rPr>
            </w:pPr>
            <w:r w:rsidRPr="00C81895">
              <w:rPr>
                <w:rFonts w:asciiTheme="minorHAnsi" w:hAnsiTheme="minorHAnsi"/>
                <w:b/>
                <w:sz w:val="20"/>
              </w:rPr>
              <w:t>-</w:t>
            </w:r>
          </w:p>
        </w:tc>
        <w:tc>
          <w:tcPr>
            <w:tcW w:w="1024" w:type="dxa"/>
            <w:shd w:val="clear" w:color="000000" w:fill="FFFFFF"/>
          </w:tcPr>
          <w:p w14:paraId="3E55992D" w14:textId="77777777" w:rsidR="001C45C0" w:rsidRPr="00C81895" w:rsidRDefault="001C45C0" w:rsidP="001C45C0">
            <w:pPr>
              <w:jc w:val="right"/>
              <w:rPr>
                <w:rFonts w:asciiTheme="minorHAnsi" w:hAnsiTheme="minorHAnsi"/>
                <w:b/>
                <w:sz w:val="20"/>
              </w:rPr>
            </w:pPr>
            <w:r w:rsidRPr="00C81895">
              <w:rPr>
                <w:rFonts w:asciiTheme="minorHAnsi" w:hAnsiTheme="minorHAnsi"/>
                <w:b/>
                <w:sz w:val="20"/>
              </w:rPr>
              <w:t>-</w:t>
            </w:r>
          </w:p>
        </w:tc>
      </w:tr>
    </w:tbl>
    <w:p w14:paraId="22D86887" w14:textId="77777777" w:rsidR="001C45C0" w:rsidRPr="00C81895" w:rsidRDefault="001C45C0" w:rsidP="001C45C0">
      <w:pPr>
        <w:ind w:right="-199"/>
        <w:rPr>
          <w:rFonts w:asciiTheme="minorHAnsi" w:hAnsiTheme="minorHAnsi"/>
          <w:b/>
          <w:sz w:val="20"/>
        </w:rPr>
      </w:pPr>
    </w:p>
    <w:p w14:paraId="632EC20E" w14:textId="77777777" w:rsidR="001C45C0" w:rsidRPr="004C0334" w:rsidRDefault="001C45C0" w:rsidP="001C45C0">
      <w:pPr>
        <w:ind w:right="-199"/>
        <w:rPr>
          <w:szCs w:val="24"/>
        </w:rPr>
      </w:pPr>
      <w:r w:rsidRPr="004C0334">
        <w:rPr>
          <w:szCs w:val="24"/>
        </w:rPr>
        <w:t xml:space="preserve">In 2016-17, 3% of patients received two or more services under item 73338 (Table 5).  </w:t>
      </w:r>
    </w:p>
    <w:p w14:paraId="13D78A13" w14:textId="77777777" w:rsidR="001C45C0" w:rsidRPr="004C0334" w:rsidRDefault="001C45C0" w:rsidP="001C45C0">
      <w:pPr>
        <w:ind w:right="-199"/>
        <w:rPr>
          <w:szCs w:val="24"/>
        </w:rPr>
      </w:pPr>
      <w:r w:rsidRPr="004C0334">
        <w:rPr>
          <w:szCs w:val="24"/>
        </w:rPr>
        <w:t>since the listing of the item.</w:t>
      </w:r>
    </w:p>
    <w:p w14:paraId="4ED8BF76" w14:textId="77777777" w:rsidR="001C45C0" w:rsidRPr="00204085" w:rsidRDefault="001C45C0" w:rsidP="001C45C0">
      <w:pPr>
        <w:pStyle w:val="Heading5"/>
        <w:rPr>
          <w:rFonts w:asciiTheme="minorHAnsi" w:hAnsiTheme="minorHAnsi"/>
          <w:b/>
          <w:color w:val="auto"/>
          <w:sz w:val="20"/>
        </w:rPr>
      </w:pPr>
      <w:r w:rsidRPr="00204085">
        <w:rPr>
          <w:rFonts w:asciiTheme="minorHAnsi" w:hAnsiTheme="minorHAnsi"/>
          <w:b/>
          <w:color w:val="auto"/>
          <w:sz w:val="20"/>
        </w:rPr>
        <w:t>Table 5: Number of services per patient in 2015-16, 2016-17 and 2017-18*</w:t>
      </w:r>
    </w:p>
    <w:tbl>
      <w:tblPr>
        <w:tblW w:w="4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MBS item 73338 - number of services per patient from 2015-16 up to 2017-18"/>
      </w:tblPr>
      <w:tblGrid>
        <w:gridCol w:w="1371"/>
        <w:gridCol w:w="960"/>
        <w:gridCol w:w="960"/>
        <w:gridCol w:w="1187"/>
      </w:tblGrid>
      <w:tr w:rsidR="001C45C0" w:rsidRPr="00B50A81" w14:paraId="0C4F813D" w14:textId="77777777" w:rsidTr="001C45C0">
        <w:trPr>
          <w:trHeight w:val="305"/>
        </w:trPr>
        <w:tc>
          <w:tcPr>
            <w:tcW w:w="1371" w:type="dxa"/>
            <w:shd w:val="clear" w:color="auto" w:fill="548DD4" w:themeFill="text2" w:themeFillTint="99"/>
            <w:vAlign w:val="center"/>
            <w:hideMark/>
          </w:tcPr>
          <w:p w14:paraId="6C35F36C" w14:textId="77777777" w:rsidR="001C45C0" w:rsidRPr="00B50A81" w:rsidRDefault="001C45C0" w:rsidP="001C45C0">
            <w:pPr>
              <w:jc w:val="center"/>
              <w:rPr>
                <w:rFonts w:asciiTheme="minorHAnsi" w:hAnsiTheme="minorHAnsi" w:cs="Arial"/>
                <w:b/>
                <w:bCs/>
                <w:color w:val="FFFFFF"/>
                <w:sz w:val="18"/>
                <w:szCs w:val="18"/>
              </w:rPr>
            </w:pPr>
            <w:r w:rsidRPr="00B50A81">
              <w:rPr>
                <w:rFonts w:asciiTheme="minorHAnsi" w:hAnsiTheme="minorHAnsi" w:cs="Arial"/>
                <w:b/>
                <w:bCs/>
                <w:color w:val="FFFFFF"/>
                <w:sz w:val="18"/>
                <w:szCs w:val="18"/>
              </w:rPr>
              <w:t>Financial</w:t>
            </w:r>
          </w:p>
        </w:tc>
        <w:tc>
          <w:tcPr>
            <w:tcW w:w="960" w:type="dxa"/>
            <w:shd w:val="clear" w:color="auto" w:fill="548DD4" w:themeFill="text2" w:themeFillTint="99"/>
            <w:vAlign w:val="center"/>
            <w:hideMark/>
          </w:tcPr>
          <w:p w14:paraId="6CC8631A" w14:textId="77777777" w:rsidR="001C45C0" w:rsidRPr="00B50A81" w:rsidRDefault="001C45C0" w:rsidP="001C45C0">
            <w:pPr>
              <w:jc w:val="center"/>
              <w:rPr>
                <w:rFonts w:asciiTheme="minorHAnsi" w:hAnsiTheme="minorHAnsi" w:cs="Arial"/>
                <w:b/>
                <w:bCs/>
                <w:color w:val="FFFFFF"/>
                <w:sz w:val="18"/>
                <w:szCs w:val="18"/>
              </w:rPr>
            </w:pPr>
            <w:r w:rsidRPr="00B50A81">
              <w:rPr>
                <w:rFonts w:asciiTheme="minorHAnsi" w:hAnsiTheme="minorHAnsi" w:cs="Arial"/>
                <w:b/>
                <w:bCs/>
                <w:color w:val="FFFFFF"/>
                <w:sz w:val="18"/>
                <w:szCs w:val="18"/>
              </w:rPr>
              <w:t>Services</w:t>
            </w:r>
          </w:p>
        </w:tc>
        <w:tc>
          <w:tcPr>
            <w:tcW w:w="960" w:type="dxa"/>
            <w:shd w:val="clear" w:color="auto" w:fill="548DD4" w:themeFill="text2" w:themeFillTint="99"/>
            <w:vAlign w:val="center"/>
            <w:hideMark/>
          </w:tcPr>
          <w:p w14:paraId="5E8ED9CC" w14:textId="77777777" w:rsidR="001C45C0" w:rsidRPr="00B50A81" w:rsidRDefault="001C45C0" w:rsidP="001C45C0">
            <w:pPr>
              <w:jc w:val="center"/>
              <w:rPr>
                <w:rFonts w:asciiTheme="minorHAnsi" w:hAnsiTheme="minorHAnsi" w:cs="Arial"/>
                <w:b/>
                <w:bCs/>
                <w:color w:val="FFFFFF"/>
                <w:sz w:val="18"/>
                <w:szCs w:val="18"/>
              </w:rPr>
            </w:pPr>
            <w:r w:rsidRPr="00B50A81">
              <w:rPr>
                <w:rFonts w:asciiTheme="minorHAnsi" w:hAnsiTheme="minorHAnsi" w:cs="Arial"/>
                <w:b/>
                <w:bCs/>
                <w:color w:val="FFFFFF"/>
                <w:sz w:val="18"/>
                <w:szCs w:val="18"/>
              </w:rPr>
              <w:t>Count</w:t>
            </w:r>
          </w:p>
        </w:tc>
        <w:tc>
          <w:tcPr>
            <w:tcW w:w="1187" w:type="dxa"/>
            <w:shd w:val="clear" w:color="auto" w:fill="548DD4" w:themeFill="text2" w:themeFillTint="99"/>
            <w:vAlign w:val="center"/>
            <w:hideMark/>
          </w:tcPr>
          <w:p w14:paraId="294662F8" w14:textId="77777777" w:rsidR="001C45C0" w:rsidRPr="00B50A81" w:rsidRDefault="001C45C0" w:rsidP="001C45C0">
            <w:pPr>
              <w:jc w:val="center"/>
              <w:rPr>
                <w:rFonts w:asciiTheme="minorHAnsi" w:hAnsiTheme="minorHAnsi" w:cs="Arial"/>
                <w:b/>
                <w:bCs/>
                <w:color w:val="FFFFFF"/>
                <w:sz w:val="18"/>
                <w:szCs w:val="18"/>
              </w:rPr>
            </w:pPr>
            <w:r w:rsidRPr="00B50A81">
              <w:rPr>
                <w:rFonts w:asciiTheme="minorHAnsi" w:hAnsiTheme="minorHAnsi" w:cs="Arial"/>
                <w:b/>
                <w:bCs/>
                <w:color w:val="FFFFFF"/>
                <w:sz w:val="18"/>
                <w:szCs w:val="18"/>
              </w:rPr>
              <w:t>Percentage</w:t>
            </w:r>
          </w:p>
        </w:tc>
      </w:tr>
      <w:tr w:rsidR="001C45C0" w:rsidRPr="00B50A81" w14:paraId="71809619" w14:textId="77777777" w:rsidTr="001C45C0">
        <w:trPr>
          <w:trHeight w:val="238"/>
        </w:trPr>
        <w:tc>
          <w:tcPr>
            <w:tcW w:w="1371" w:type="dxa"/>
            <w:vMerge w:val="restart"/>
            <w:shd w:val="clear" w:color="000000" w:fill="FFFFFF"/>
            <w:noWrap/>
            <w:vAlign w:val="center"/>
            <w:hideMark/>
          </w:tcPr>
          <w:p w14:paraId="611DBD07" w14:textId="77777777" w:rsidR="001C45C0" w:rsidRPr="00B50A81" w:rsidRDefault="001C45C0" w:rsidP="001C45C0">
            <w:pPr>
              <w:rPr>
                <w:rFonts w:asciiTheme="minorHAnsi" w:hAnsiTheme="minorHAnsi" w:cs="Arial"/>
                <w:color w:val="000000"/>
                <w:sz w:val="18"/>
                <w:szCs w:val="18"/>
              </w:rPr>
            </w:pPr>
            <w:r w:rsidRPr="00B50A81">
              <w:rPr>
                <w:rFonts w:asciiTheme="minorHAnsi" w:hAnsiTheme="minorHAnsi" w:cs="Arial"/>
                <w:color w:val="000000"/>
                <w:sz w:val="18"/>
                <w:szCs w:val="18"/>
              </w:rPr>
              <w:t>2015-16</w:t>
            </w:r>
          </w:p>
        </w:tc>
        <w:tc>
          <w:tcPr>
            <w:tcW w:w="960" w:type="dxa"/>
            <w:shd w:val="clear" w:color="000000" w:fill="FFFFFF"/>
            <w:noWrap/>
            <w:vAlign w:val="center"/>
          </w:tcPr>
          <w:p w14:paraId="4CE99467" w14:textId="77777777" w:rsidR="001C45C0" w:rsidRPr="00B50A81" w:rsidRDefault="001C45C0" w:rsidP="001C45C0">
            <w:pPr>
              <w:rPr>
                <w:rFonts w:asciiTheme="minorHAnsi" w:hAnsiTheme="minorHAnsi" w:cs="Arial"/>
                <w:color w:val="000000"/>
                <w:sz w:val="18"/>
                <w:szCs w:val="18"/>
              </w:rPr>
            </w:pPr>
            <w:r w:rsidRPr="00B50A81">
              <w:rPr>
                <w:rFonts w:asciiTheme="minorHAnsi" w:hAnsiTheme="minorHAnsi" w:cs="Arial"/>
                <w:color w:val="000000"/>
                <w:sz w:val="18"/>
                <w:szCs w:val="18"/>
              </w:rPr>
              <w:t>1</w:t>
            </w:r>
          </w:p>
        </w:tc>
        <w:tc>
          <w:tcPr>
            <w:tcW w:w="960" w:type="dxa"/>
            <w:shd w:val="clear" w:color="000000" w:fill="FFFFFF"/>
            <w:noWrap/>
            <w:vAlign w:val="center"/>
          </w:tcPr>
          <w:p w14:paraId="37EF0B9C" w14:textId="77777777" w:rsidR="001C45C0" w:rsidRPr="00B50A81" w:rsidRDefault="001C45C0" w:rsidP="001C45C0">
            <w:pPr>
              <w:jc w:val="right"/>
              <w:rPr>
                <w:rFonts w:asciiTheme="minorHAnsi" w:hAnsiTheme="minorHAnsi" w:cs="Arial"/>
                <w:color w:val="000000"/>
                <w:sz w:val="18"/>
                <w:szCs w:val="18"/>
              </w:rPr>
            </w:pPr>
            <w:r w:rsidRPr="00B50A81">
              <w:rPr>
                <w:rFonts w:asciiTheme="minorHAnsi" w:hAnsiTheme="minorHAnsi" w:cs="Arial"/>
                <w:color w:val="000000"/>
                <w:sz w:val="18"/>
                <w:szCs w:val="18"/>
              </w:rPr>
              <w:t>2389</w:t>
            </w:r>
          </w:p>
        </w:tc>
        <w:tc>
          <w:tcPr>
            <w:tcW w:w="1187" w:type="dxa"/>
            <w:shd w:val="clear" w:color="000000" w:fill="FFFFFF"/>
            <w:noWrap/>
            <w:vAlign w:val="center"/>
          </w:tcPr>
          <w:p w14:paraId="689D317E" w14:textId="77777777" w:rsidR="001C45C0" w:rsidRPr="00B50A81" w:rsidRDefault="001C45C0" w:rsidP="001C45C0">
            <w:pPr>
              <w:jc w:val="right"/>
              <w:rPr>
                <w:rFonts w:asciiTheme="minorHAnsi" w:hAnsiTheme="minorHAnsi" w:cs="Arial"/>
                <w:color w:val="000000"/>
                <w:sz w:val="18"/>
                <w:szCs w:val="18"/>
              </w:rPr>
            </w:pPr>
            <w:r w:rsidRPr="00B50A81">
              <w:rPr>
                <w:rFonts w:asciiTheme="minorHAnsi" w:hAnsiTheme="minorHAnsi" w:cs="Arial"/>
                <w:color w:val="000000"/>
                <w:sz w:val="18"/>
                <w:szCs w:val="18"/>
              </w:rPr>
              <w:t>95</w:t>
            </w:r>
            <w:r>
              <w:rPr>
                <w:rFonts w:asciiTheme="minorHAnsi" w:hAnsiTheme="minorHAnsi" w:cs="Arial"/>
                <w:color w:val="000000"/>
                <w:sz w:val="18"/>
                <w:szCs w:val="18"/>
              </w:rPr>
              <w:t>.0</w:t>
            </w:r>
            <w:r w:rsidRPr="00B50A81">
              <w:rPr>
                <w:rFonts w:asciiTheme="minorHAnsi" w:hAnsiTheme="minorHAnsi" w:cs="Arial"/>
                <w:color w:val="000000"/>
                <w:sz w:val="18"/>
                <w:szCs w:val="18"/>
              </w:rPr>
              <w:t>%</w:t>
            </w:r>
          </w:p>
        </w:tc>
      </w:tr>
      <w:tr w:rsidR="001C45C0" w:rsidRPr="00B50A81" w14:paraId="63912F67" w14:textId="77777777" w:rsidTr="001C45C0">
        <w:trPr>
          <w:trHeight w:val="238"/>
        </w:trPr>
        <w:tc>
          <w:tcPr>
            <w:tcW w:w="1371" w:type="dxa"/>
            <w:vMerge/>
            <w:vAlign w:val="center"/>
            <w:hideMark/>
          </w:tcPr>
          <w:p w14:paraId="6D0B296D" w14:textId="77777777" w:rsidR="001C45C0" w:rsidRPr="00B50A81" w:rsidRDefault="001C45C0" w:rsidP="001C45C0">
            <w:pPr>
              <w:rPr>
                <w:rFonts w:asciiTheme="minorHAnsi" w:hAnsiTheme="minorHAnsi" w:cs="Arial"/>
                <w:color w:val="000000"/>
                <w:sz w:val="18"/>
                <w:szCs w:val="18"/>
              </w:rPr>
            </w:pPr>
          </w:p>
        </w:tc>
        <w:tc>
          <w:tcPr>
            <w:tcW w:w="960" w:type="dxa"/>
            <w:shd w:val="clear" w:color="000000" w:fill="FFFFFF"/>
            <w:noWrap/>
            <w:vAlign w:val="center"/>
          </w:tcPr>
          <w:p w14:paraId="60412D76" w14:textId="77777777" w:rsidR="001C45C0" w:rsidRPr="00B50A81" w:rsidRDefault="001C45C0" w:rsidP="001C45C0">
            <w:pPr>
              <w:rPr>
                <w:rFonts w:asciiTheme="minorHAnsi" w:hAnsiTheme="minorHAnsi" w:cs="Arial"/>
                <w:color w:val="000000"/>
                <w:sz w:val="18"/>
                <w:szCs w:val="18"/>
              </w:rPr>
            </w:pPr>
            <w:r w:rsidRPr="00B50A81">
              <w:rPr>
                <w:rFonts w:asciiTheme="minorHAnsi" w:hAnsiTheme="minorHAnsi" w:cs="Arial"/>
                <w:color w:val="000000"/>
                <w:sz w:val="18"/>
                <w:szCs w:val="18"/>
              </w:rPr>
              <w:t>2</w:t>
            </w:r>
          </w:p>
        </w:tc>
        <w:tc>
          <w:tcPr>
            <w:tcW w:w="960" w:type="dxa"/>
            <w:shd w:val="clear" w:color="000000" w:fill="FFFFFF"/>
            <w:noWrap/>
            <w:vAlign w:val="center"/>
          </w:tcPr>
          <w:p w14:paraId="3F79F33D" w14:textId="77777777" w:rsidR="001C45C0" w:rsidRPr="00B50A81" w:rsidRDefault="001C45C0" w:rsidP="001C45C0">
            <w:pPr>
              <w:jc w:val="right"/>
              <w:rPr>
                <w:rFonts w:asciiTheme="minorHAnsi" w:hAnsiTheme="minorHAnsi" w:cs="Arial"/>
                <w:color w:val="000000"/>
                <w:sz w:val="18"/>
                <w:szCs w:val="18"/>
              </w:rPr>
            </w:pPr>
            <w:r w:rsidRPr="00B50A81">
              <w:rPr>
                <w:rFonts w:asciiTheme="minorHAnsi" w:hAnsiTheme="minorHAnsi" w:cs="Arial"/>
                <w:color w:val="000000"/>
                <w:sz w:val="18"/>
                <w:szCs w:val="18"/>
              </w:rPr>
              <w:t>123</w:t>
            </w:r>
          </w:p>
        </w:tc>
        <w:tc>
          <w:tcPr>
            <w:tcW w:w="1187" w:type="dxa"/>
            <w:shd w:val="clear" w:color="000000" w:fill="FFFFFF"/>
            <w:noWrap/>
            <w:vAlign w:val="center"/>
          </w:tcPr>
          <w:p w14:paraId="4475502A" w14:textId="77777777" w:rsidR="001C45C0" w:rsidRPr="00B50A81" w:rsidRDefault="001C45C0" w:rsidP="001C45C0">
            <w:pPr>
              <w:jc w:val="right"/>
              <w:rPr>
                <w:rFonts w:asciiTheme="minorHAnsi" w:hAnsiTheme="minorHAnsi" w:cs="Arial"/>
                <w:color w:val="000000"/>
                <w:sz w:val="18"/>
                <w:szCs w:val="18"/>
              </w:rPr>
            </w:pPr>
            <w:r w:rsidRPr="00B50A81">
              <w:rPr>
                <w:rFonts w:asciiTheme="minorHAnsi" w:hAnsiTheme="minorHAnsi" w:cs="Arial"/>
                <w:color w:val="000000"/>
                <w:sz w:val="18"/>
                <w:szCs w:val="18"/>
              </w:rPr>
              <w:t>5</w:t>
            </w:r>
            <w:r>
              <w:rPr>
                <w:rFonts w:asciiTheme="minorHAnsi" w:hAnsiTheme="minorHAnsi" w:cs="Arial"/>
                <w:color w:val="000000"/>
                <w:sz w:val="18"/>
                <w:szCs w:val="18"/>
              </w:rPr>
              <w:t>.0</w:t>
            </w:r>
            <w:r w:rsidRPr="00B50A81">
              <w:rPr>
                <w:rFonts w:asciiTheme="minorHAnsi" w:hAnsiTheme="minorHAnsi" w:cs="Arial"/>
                <w:color w:val="000000"/>
                <w:sz w:val="18"/>
                <w:szCs w:val="18"/>
              </w:rPr>
              <w:t>%</w:t>
            </w:r>
          </w:p>
        </w:tc>
      </w:tr>
      <w:tr w:rsidR="001C45C0" w:rsidRPr="00B50A81" w14:paraId="1F6A9C43" w14:textId="77777777" w:rsidTr="001C45C0">
        <w:trPr>
          <w:trHeight w:val="238"/>
        </w:trPr>
        <w:tc>
          <w:tcPr>
            <w:tcW w:w="1371" w:type="dxa"/>
            <w:vMerge w:val="restart"/>
            <w:shd w:val="clear" w:color="000000" w:fill="FFFFFF"/>
            <w:noWrap/>
            <w:vAlign w:val="center"/>
            <w:hideMark/>
          </w:tcPr>
          <w:p w14:paraId="53D45B95" w14:textId="77777777" w:rsidR="001C45C0" w:rsidRPr="00B50A81" w:rsidRDefault="001C45C0" w:rsidP="001C45C0">
            <w:pPr>
              <w:rPr>
                <w:rFonts w:asciiTheme="minorHAnsi" w:hAnsiTheme="minorHAnsi" w:cs="Arial"/>
                <w:color w:val="000000"/>
                <w:sz w:val="18"/>
                <w:szCs w:val="18"/>
              </w:rPr>
            </w:pPr>
            <w:r w:rsidRPr="00B50A81">
              <w:rPr>
                <w:rFonts w:asciiTheme="minorHAnsi" w:hAnsiTheme="minorHAnsi" w:cs="Arial"/>
                <w:color w:val="000000"/>
                <w:sz w:val="18"/>
                <w:szCs w:val="18"/>
              </w:rPr>
              <w:t>2016-17</w:t>
            </w:r>
          </w:p>
        </w:tc>
        <w:tc>
          <w:tcPr>
            <w:tcW w:w="960" w:type="dxa"/>
            <w:shd w:val="clear" w:color="000000" w:fill="FFFFFF"/>
            <w:noWrap/>
            <w:vAlign w:val="center"/>
          </w:tcPr>
          <w:p w14:paraId="14CA42D1" w14:textId="77777777" w:rsidR="001C45C0" w:rsidRPr="00B50A81" w:rsidRDefault="001C45C0" w:rsidP="001C45C0">
            <w:pPr>
              <w:rPr>
                <w:rFonts w:asciiTheme="minorHAnsi" w:hAnsiTheme="minorHAnsi" w:cs="Arial"/>
                <w:color w:val="000000"/>
                <w:sz w:val="18"/>
                <w:szCs w:val="18"/>
              </w:rPr>
            </w:pPr>
            <w:r w:rsidRPr="00B50A81">
              <w:rPr>
                <w:rFonts w:asciiTheme="minorHAnsi" w:hAnsiTheme="minorHAnsi" w:cs="Arial"/>
                <w:color w:val="000000"/>
                <w:sz w:val="18"/>
                <w:szCs w:val="18"/>
              </w:rPr>
              <w:t>1</w:t>
            </w:r>
          </w:p>
        </w:tc>
        <w:tc>
          <w:tcPr>
            <w:tcW w:w="960" w:type="dxa"/>
            <w:shd w:val="clear" w:color="000000" w:fill="FFFFFF"/>
            <w:noWrap/>
            <w:vAlign w:val="center"/>
          </w:tcPr>
          <w:p w14:paraId="2E71FDAE" w14:textId="77777777" w:rsidR="001C45C0" w:rsidRPr="00B50A81" w:rsidRDefault="001C45C0" w:rsidP="001C45C0">
            <w:pPr>
              <w:jc w:val="right"/>
              <w:rPr>
                <w:rFonts w:asciiTheme="minorHAnsi" w:hAnsiTheme="minorHAnsi" w:cs="Arial"/>
                <w:color w:val="000000"/>
                <w:sz w:val="18"/>
                <w:szCs w:val="18"/>
              </w:rPr>
            </w:pPr>
            <w:r w:rsidRPr="00B50A81">
              <w:rPr>
                <w:rFonts w:asciiTheme="minorHAnsi" w:hAnsiTheme="minorHAnsi" w:cs="Arial"/>
                <w:color w:val="000000"/>
                <w:sz w:val="18"/>
                <w:szCs w:val="18"/>
              </w:rPr>
              <w:t>2141</w:t>
            </w:r>
          </w:p>
        </w:tc>
        <w:tc>
          <w:tcPr>
            <w:tcW w:w="1187" w:type="dxa"/>
            <w:shd w:val="clear" w:color="000000" w:fill="FFFFFF"/>
            <w:noWrap/>
            <w:vAlign w:val="center"/>
          </w:tcPr>
          <w:p w14:paraId="661DC710" w14:textId="77777777" w:rsidR="001C45C0" w:rsidRPr="00B50A81" w:rsidRDefault="001C45C0" w:rsidP="001C45C0">
            <w:pPr>
              <w:jc w:val="right"/>
              <w:rPr>
                <w:rFonts w:asciiTheme="minorHAnsi" w:hAnsiTheme="minorHAnsi" w:cs="Arial"/>
                <w:color w:val="000000"/>
                <w:sz w:val="18"/>
                <w:szCs w:val="18"/>
              </w:rPr>
            </w:pPr>
            <w:r w:rsidRPr="00B50A81">
              <w:rPr>
                <w:rFonts w:asciiTheme="minorHAnsi" w:hAnsiTheme="minorHAnsi" w:cs="Arial"/>
                <w:color w:val="000000"/>
                <w:sz w:val="18"/>
                <w:szCs w:val="18"/>
              </w:rPr>
              <w:t>97</w:t>
            </w:r>
            <w:r>
              <w:rPr>
                <w:rFonts w:asciiTheme="minorHAnsi" w:hAnsiTheme="minorHAnsi" w:cs="Arial"/>
                <w:color w:val="000000"/>
                <w:sz w:val="18"/>
                <w:szCs w:val="18"/>
              </w:rPr>
              <w:t>.0</w:t>
            </w:r>
            <w:r w:rsidRPr="00B50A81">
              <w:rPr>
                <w:rFonts w:asciiTheme="minorHAnsi" w:hAnsiTheme="minorHAnsi" w:cs="Arial"/>
                <w:color w:val="000000"/>
                <w:sz w:val="18"/>
                <w:szCs w:val="18"/>
              </w:rPr>
              <w:t>%</w:t>
            </w:r>
          </w:p>
        </w:tc>
      </w:tr>
      <w:tr w:rsidR="001C45C0" w:rsidRPr="00B50A81" w14:paraId="4B3260A0" w14:textId="77777777" w:rsidTr="001C45C0">
        <w:trPr>
          <w:trHeight w:val="238"/>
        </w:trPr>
        <w:tc>
          <w:tcPr>
            <w:tcW w:w="1371" w:type="dxa"/>
            <w:vMerge/>
            <w:vAlign w:val="center"/>
            <w:hideMark/>
          </w:tcPr>
          <w:p w14:paraId="57F97BF2" w14:textId="77777777" w:rsidR="001C45C0" w:rsidRPr="00B50A81" w:rsidRDefault="001C45C0" w:rsidP="001C45C0">
            <w:pPr>
              <w:rPr>
                <w:rFonts w:asciiTheme="minorHAnsi" w:hAnsiTheme="minorHAnsi" w:cs="Arial"/>
                <w:color w:val="000000"/>
                <w:sz w:val="18"/>
                <w:szCs w:val="18"/>
              </w:rPr>
            </w:pPr>
          </w:p>
        </w:tc>
        <w:tc>
          <w:tcPr>
            <w:tcW w:w="960" w:type="dxa"/>
            <w:shd w:val="clear" w:color="000000" w:fill="FFFFFF"/>
            <w:noWrap/>
            <w:vAlign w:val="center"/>
          </w:tcPr>
          <w:p w14:paraId="1914E94E" w14:textId="77777777" w:rsidR="001C45C0" w:rsidRPr="00B50A81" w:rsidRDefault="001C45C0" w:rsidP="001C45C0">
            <w:pPr>
              <w:rPr>
                <w:rFonts w:asciiTheme="minorHAnsi" w:hAnsiTheme="minorHAnsi" w:cs="Arial"/>
                <w:color w:val="000000"/>
                <w:sz w:val="18"/>
                <w:szCs w:val="18"/>
              </w:rPr>
            </w:pPr>
            <w:r w:rsidRPr="00B50A81">
              <w:rPr>
                <w:rFonts w:asciiTheme="minorHAnsi" w:hAnsiTheme="minorHAnsi" w:cs="Arial"/>
                <w:color w:val="000000"/>
                <w:sz w:val="18"/>
                <w:szCs w:val="18"/>
              </w:rPr>
              <w:t>2</w:t>
            </w:r>
          </w:p>
        </w:tc>
        <w:tc>
          <w:tcPr>
            <w:tcW w:w="960" w:type="dxa"/>
            <w:shd w:val="clear" w:color="000000" w:fill="FFFFFF"/>
            <w:noWrap/>
            <w:vAlign w:val="center"/>
          </w:tcPr>
          <w:p w14:paraId="52470883" w14:textId="77777777" w:rsidR="001C45C0" w:rsidRPr="00B50A81" w:rsidRDefault="001C45C0" w:rsidP="001C45C0">
            <w:pPr>
              <w:jc w:val="right"/>
              <w:rPr>
                <w:rFonts w:asciiTheme="minorHAnsi" w:hAnsiTheme="minorHAnsi" w:cs="Arial"/>
                <w:color w:val="000000"/>
                <w:sz w:val="18"/>
                <w:szCs w:val="18"/>
              </w:rPr>
            </w:pPr>
            <w:r w:rsidRPr="00B50A81">
              <w:rPr>
                <w:rFonts w:asciiTheme="minorHAnsi" w:hAnsiTheme="minorHAnsi" w:cs="Arial"/>
                <w:color w:val="000000"/>
                <w:sz w:val="18"/>
                <w:szCs w:val="18"/>
              </w:rPr>
              <w:t>71</w:t>
            </w:r>
          </w:p>
        </w:tc>
        <w:tc>
          <w:tcPr>
            <w:tcW w:w="1187" w:type="dxa"/>
            <w:shd w:val="clear" w:color="000000" w:fill="FFFFFF"/>
            <w:noWrap/>
            <w:vAlign w:val="center"/>
          </w:tcPr>
          <w:p w14:paraId="0A1E65C1" w14:textId="77777777" w:rsidR="001C45C0" w:rsidRPr="00B50A81" w:rsidRDefault="001C45C0" w:rsidP="001C45C0">
            <w:pPr>
              <w:jc w:val="right"/>
              <w:rPr>
                <w:rFonts w:asciiTheme="minorHAnsi" w:hAnsiTheme="minorHAnsi" w:cs="Arial"/>
                <w:color w:val="000000"/>
                <w:sz w:val="18"/>
                <w:szCs w:val="18"/>
              </w:rPr>
            </w:pPr>
            <w:r w:rsidRPr="00B50A81">
              <w:rPr>
                <w:rFonts w:asciiTheme="minorHAnsi" w:hAnsiTheme="minorHAnsi" w:cs="Arial"/>
                <w:color w:val="000000"/>
                <w:sz w:val="18"/>
                <w:szCs w:val="18"/>
              </w:rPr>
              <w:t>3</w:t>
            </w:r>
            <w:r>
              <w:rPr>
                <w:rFonts w:asciiTheme="minorHAnsi" w:hAnsiTheme="minorHAnsi" w:cs="Arial"/>
                <w:color w:val="000000"/>
                <w:sz w:val="18"/>
                <w:szCs w:val="18"/>
              </w:rPr>
              <w:t>.0</w:t>
            </w:r>
            <w:r w:rsidRPr="00B50A81">
              <w:rPr>
                <w:rFonts w:asciiTheme="minorHAnsi" w:hAnsiTheme="minorHAnsi" w:cs="Arial"/>
                <w:color w:val="000000"/>
                <w:sz w:val="18"/>
                <w:szCs w:val="18"/>
              </w:rPr>
              <w:t>%</w:t>
            </w:r>
          </w:p>
        </w:tc>
      </w:tr>
      <w:tr w:rsidR="001C45C0" w:rsidRPr="00B50A81" w14:paraId="113D62C7" w14:textId="77777777" w:rsidTr="001C45C0">
        <w:trPr>
          <w:trHeight w:val="238"/>
        </w:trPr>
        <w:tc>
          <w:tcPr>
            <w:tcW w:w="1371" w:type="dxa"/>
            <w:vMerge w:val="restart"/>
            <w:vAlign w:val="center"/>
          </w:tcPr>
          <w:p w14:paraId="66B1A6D9" w14:textId="77777777" w:rsidR="001C45C0" w:rsidRPr="00B50A81" w:rsidRDefault="001C45C0" w:rsidP="001C45C0">
            <w:pPr>
              <w:rPr>
                <w:rFonts w:asciiTheme="minorHAnsi" w:hAnsiTheme="minorHAnsi" w:cs="Arial"/>
                <w:color w:val="000000"/>
                <w:sz w:val="18"/>
                <w:szCs w:val="18"/>
              </w:rPr>
            </w:pPr>
            <w:r w:rsidRPr="00B50A81">
              <w:rPr>
                <w:rFonts w:asciiTheme="minorHAnsi" w:hAnsiTheme="minorHAnsi" w:cs="Arial"/>
                <w:color w:val="000000"/>
                <w:sz w:val="18"/>
                <w:szCs w:val="18"/>
              </w:rPr>
              <w:t>2017-18*</w:t>
            </w:r>
          </w:p>
        </w:tc>
        <w:tc>
          <w:tcPr>
            <w:tcW w:w="960" w:type="dxa"/>
            <w:shd w:val="clear" w:color="000000" w:fill="FFFFFF"/>
            <w:noWrap/>
            <w:vAlign w:val="center"/>
          </w:tcPr>
          <w:p w14:paraId="485AD309" w14:textId="77777777" w:rsidR="001C45C0" w:rsidRPr="00B50A81" w:rsidRDefault="001C45C0" w:rsidP="001C45C0">
            <w:pPr>
              <w:rPr>
                <w:rFonts w:asciiTheme="minorHAnsi" w:hAnsiTheme="minorHAnsi" w:cs="Arial"/>
                <w:color w:val="000000"/>
                <w:sz w:val="18"/>
                <w:szCs w:val="18"/>
              </w:rPr>
            </w:pPr>
            <w:r w:rsidRPr="00B50A81">
              <w:rPr>
                <w:rFonts w:asciiTheme="minorHAnsi" w:hAnsiTheme="minorHAnsi" w:cs="Arial"/>
                <w:color w:val="000000"/>
                <w:sz w:val="18"/>
                <w:szCs w:val="18"/>
              </w:rPr>
              <w:t>1</w:t>
            </w:r>
          </w:p>
        </w:tc>
        <w:tc>
          <w:tcPr>
            <w:tcW w:w="960" w:type="dxa"/>
            <w:shd w:val="clear" w:color="000000" w:fill="FFFFFF"/>
            <w:noWrap/>
            <w:vAlign w:val="center"/>
          </w:tcPr>
          <w:p w14:paraId="5F5ED1F1" w14:textId="77777777" w:rsidR="001C45C0" w:rsidRPr="00B50A81" w:rsidRDefault="001C45C0" w:rsidP="001C45C0">
            <w:pPr>
              <w:jc w:val="right"/>
              <w:rPr>
                <w:rFonts w:asciiTheme="minorHAnsi" w:hAnsiTheme="minorHAnsi" w:cs="Arial"/>
                <w:color w:val="000000"/>
                <w:sz w:val="18"/>
                <w:szCs w:val="18"/>
              </w:rPr>
            </w:pPr>
            <w:r w:rsidRPr="00B50A81">
              <w:rPr>
                <w:rFonts w:asciiTheme="minorHAnsi" w:hAnsiTheme="minorHAnsi" w:cs="Arial"/>
                <w:color w:val="000000"/>
                <w:sz w:val="18"/>
                <w:szCs w:val="18"/>
              </w:rPr>
              <w:t>933</w:t>
            </w:r>
          </w:p>
        </w:tc>
        <w:tc>
          <w:tcPr>
            <w:tcW w:w="1187" w:type="dxa"/>
            <w:shd w:val="clear" w:color="000000" w:fill="FFFFFF"/>
            <w:noWrap/>
            <w:vAlign w:val="center"/>
          </w:tcPr>
          <w:p w14:paraId="53A8E3F0" w14:textId="77777777" w:rsidR="001C45C0" w:rsidRPr="00B50A81" w:rsidRDefault="001C45C0" w:rsidP="001C45C0">
            <w:pPr>
              <w:jc w:val="right"/>
              <w:rPr>
                <w:rFonts w:asciiTheme="minorHAnsi" w:hAnsiTheme="minorHAnsi" w:cs="Arial"/>
                <w:color w:val="000000"/>
                <w:sz w:val="18"/>
                <w:szCs w:val="18"/>
              </w:rPr>
            </w:pPr>
            <w:r w:rsidRPr="00B50A81">
              <w:rPr>
                <w:rFonts w:asciiTheme="minorHAnsi" w:hAnsiTheme="minorHAnsi" w:cs="Arial"/>
                <w:color w:val="000000"/>
                <w:sz w:val="18"/>
                <w:szCs w:val="18"/>
              </w:rPr>
              <w:t>99</w:t>
            </w:r>
            <w:r>
              <w:rPr>
                <w:rFonts w:asciiTheme="minorHAnsi" w:hAnsiTheme="minorHAnsi" w:cs="Arial"/>
                <w:color w:val="000000"/>
                <w:sz w:val="18"/>
                <w:szCs w:val="18"/>
              </w:rPr>
              <w:t>.0</w:t>
            </w:r>
            <w:r w:rsidRPr="00B50A81">
              <w:rPr>
                <w:rFonts w:asciiTheme="minorHAnsi" w:hAnsiTheme="minorHAnsi" w:cs="Arial"/>
                <w:color w:val="000000"/>
                <w:sz w:val="18"/>
                <w:szCs w:val="18"/>
              </w:rPr>
              <w:t>%</w:t>
            </w:r>
          </w:p>
        </w:tc>
      </w:tr>
      <w:tr w:rsidR="001C45C0" w:rsidRPr="00B50A81" w14:paraId="065A1517" w14:textId="77777777" w:rsidTr="001C45C0">
        <w:trPr>
          <w:trHeight w:val="238"/>
        </w:trPr>
        <w:tc>
          <w:tcPr>
            <w:tcW w:w="1371" w:type="dxa"/>
            <w:vMerge/>
            <w:vAlign w:val="center"/>
          </w:tcPr>
          <w:p w14:paraId="7B03380B" w14:textId="77777777" w:rsidR="001C45C0" w:rsidRPr="00B50A81" w:rsidRDefault="001C45C0" w:rsidP="001C45C0">
            <w:pPr>
              <w:rPr>
                <w:rFonts w:asciiTheme="minorHAnsi" w:hAnsiTheme="minorHAnsi" w:cs="Arial"/>
                <w:color w:val="000000"/>
                <w:sz w:val="18"/>
                <w:szCs w:val="18"/>
              </w:rPr>
            </w:pPr>
          </w:p>
        </w:tc>
        <w:tc>
          <w:tcPr>
            <w:tcW w:w="960" w:type="dxa"/>
            <w:shd w:val="clear" w:color="000000" w:fill="FFFFFF"/>
            <w:noWrap/>
            <w:vAlign w:val="center"/>
          </w:tcPr>
          <w:p w14:paraId="4589F056" w14:textId="77777777" w:rsidR="001C45C0" w:rsidRPr="00B50A81" w:rsidRDefault="001C45C0" w:rsidP="001C45C0">
            <w:pPr>
              <w:rPr>
                <w:rFonts w:asciiTheme="minorHAnsi" w:hAnsiTheme="minorHAnsi" w:cs="Arial"/>
                <w:color w:val="000000"/>
                <w:sz w:val="18"/>
                <w:szCs w:val="18"/>
              </w:rPr>
            </w:pPr>
            <w:r w:rsidRPr="00B50A81">
              <w:rPr>
                <w:rFonts w:asciiTheme="minorHAnsi" w:hAnsiTheme="minorHAnsi" w:cs="Arial"/>
                <w:color w:val="000000"/>
                <w:sz w:val="18"/>
                <w:szCs w:val="18"/>
              </w:rPr>
              <w:t>2</w:t>
            </w:r>
          </w:p>
        </w:tc>
        <w:tc>
          <w:tcPr>
            <w:tcW w:w="960" w:type="dxa"/>
            <w:shd w:val="clear" w:color="000000" w:fill="FFFFFF"/>
            <w:noWrap/>
            <w:vAlign w:val="center"/>
          </w:tcPr>
          <w:p w14:paraId="57D5F420" w14:textId="77777777" w:rsidR="001C45C0" w:rsidRPr="00B50A81" w:rsidRDefault="001C45C0" w:rsidP="001C45C0">
            <w:pPr>
              <w:jc w:val="right"/>
              <w:rPr>
                <w:rFonts w:asciiTheme="minorHAnsi" w:hAnsiTheme="minorHAnsi" w:cs="Arial"/>
                <w:color w:val="000000"/>
                <w:sz w:val="18"/>
                <w:szCs w:val="18"/>
              </w:rPr>
            </w:pPr>
            <w:r w:rsidRPr="00B50A81">
              <w:rPr>
                <w:rFonts w:asciiTheme="minorHAnsi" w:hAnsiTheme="minorHAnsi" w:cs="Arial"/>
                <w:color w:val="000000"/>
                <w:sz w:val="18"/>
                <w:szCs w:val="18"/>
              </w:rPr>
              <w:t>12</w:t>
            </w:r>
          </w:p>
        </w:tc>
        <w:tc>
          <w:tcPr>
            <w:tcW w:w="1187" w:type="dxa"/>
            <w:shd w:val="clear" w:color="000000" w:fill="FFFFFF"/>
            <w:noWrap/>
            <w:vAlign w:val="center"/>
          </w:tcPr>
          <w:p w14:paraId="46034425" w14:textId="77777777" w:rsidR="001C45C0" w:rsidRPr="00B50A81" w:rsidRDefault="001C45C0" w:rsidP="001C45C0">
            <w:pPr>
              <w:jc w:val="right"/>
              <w:rPr>
                <w:rFonts w:asciiTheme="minorHAnsi" w:hAnsiTheme="minorHAnsi" w:cs="Arial"/>
                <w:color w:val="000000"/>
                <w:sz w:val="18"/>
                <w:szCs w:val="18"/>
              </w:rPr>
            </w:pPr>
            <w:r w:rsidRPr="00B50A81">
              <w:rPr>
                <w:rFonts w:asciiTheme="minorHAnsi" w:hAnsiTheme="minorHAnsi" w:cs="Arial"/>
                <w:color w:val="000000"/>
                <w:sz w:val="18"/>
                <w:szCs w:val="18"/>
              </w:rPr>
              <w:t>1</w:t>
            </w:r>
            <w:r>
              <w:rPr>
                <w:rFonts w:asciiTheme="minorHAnsi" w:hAnsiTheme="minorHAnsi" w:cs="Arial"/>
                <w:color w:val="000000"/>
                <w:sz w:val="18"/>
                <w:szCs w:val="18"/>
              </w:rPr>
              <w:t>.0</w:t>
            </w:r>
            <w:r w:rsidRPr="00B50A81">
              <w:rPr>
                <w:rFonts w:asciiTheme="minorHAnsi" w:hAnsiTheme="minorHAnsi" w:cs="Arial"/>
                <w:color w:val="000000"/>
                <w:sz w:val="18"/>
                <w:szCs w:val="18"/>
              </w:rPr>
              <w:t>%</w:t>
            </w:r>
          </w:p>
        </w:tc>
      </w:tr>
    </w:tbl>
    <w:p w14:paraId="6BC98D99" w14:textId="3F63C595" w:rsidR="00D571C9" w:rsidRDefault="001C45C0" w:rsidP="00367A55">
      <w:pPr>
        <w:spacing w:before="120"/>
        <w:rPr>
          <w:rFonts w:asciiTheme="minorHAnsi" w:hAnsiTheme="minorHAnsi"/>
          <w:bCs/>
          <w:sz w:val="18"/>
          <w:szCs w:val="18"/>
        </w:rPr>
      </w:pPr>
      <w:r w:rsidRPr="002B05F2">
        <w:rPr>
          <w:rFonts w:asciiTheme="minorHAnsi" w:hAnsiTheme="minorHAnsi"/>
          <w:bCs/>
          <w:sz w:val="18"/>
          <w:szCs w:val="18"/>
        </w:rPr>
        <w:t>*Note: figures for 2017-18 include services</w:t>
      </w:r>
      <w:r>
        <w:rPr>
          <w:rFonts w:asciiTheme="minorHAnsi" w:hAnsiTheme="minorHAnsi"/>
          <w:bCs/>
          <w:sz w:val="18"/>
          <w:szCs w:val="18"/>
        </w:rPr>
        <w:t xml:space="preserve"> processed to 31 January</w:t>
      </w:r>
      <w:r w:rsidRPr="002B05F2">
        <w:rPr>
          <w:rFonts w:asciiTheme="minorHAnsi" w:hAnsiTheme="minorHAnsi"/>
          <w:bCs/>
          <w:sz w:val="18"/>
          <w:szCs w:val="18"/>
        </w:rPr>
        <w:t xml:space="preserve"> 2018.</w:t>
      </w:r>
      <w:r w:rsidR="00D571C9">
        <w:rPr>
          <w:rFonts w:asciiTheme="minorHAnsi" w:hAnsiTheme="minorHAnsi"/>
          <w:bCs/>
          <w:sz w:val="18"/>
          <w:szCs w:val="18"/>
        </w:rPr>
        <w:br w:type="page"/>
      </w:r>
    </w:p>
    <w:p w14:paraId="09E799E7" w14:textId="77777777" w:rsidR="001C45C0" w:rsidRPr="004C0334" w:rsidRDefault="001C45C0" w:rsidP="001C45C0">
      <w:pPr>
        <w:spacing w:before="120"/>
        <w:rPr>
          <w:szCs w:val="24"/>
        </w:rPr>
      </w:pPr>
      <w:r w:rsidRPr="004C0334">
        <w:rPr>
          <w:szCs w:val="24"/>
        </w:rPr>
        <w:lastRenderedPageBreak/>
        <w:t>The service has predominantly been claimed by patients aged 55-84. (Figures 3-5).</w:t>
      </w:r>
    </w:p>
    <w:p w14:paraId="1507F7A1" w14:textId="77777777" w:rsidR="001C45C0" w:rsidRPr="00850E73" w:rsidRDefault="001C45C0" w:rsidP="001C45C0">
      <w:pPr>
        <w:spacing w:before="120"/>
        <w:rPr>
          <w:rFonts w:asciiTheme="minorHAnsi" w:hAnsiTheme="minorHAnsi"/>
          <w:b/>
          <w:bCs/>
          <w:sz w:val="20"/>
        </w:rPr>
      </w:pPr>
      <w:r w:rsidRPr="00850E73">
        <w:rPr>
          <w:rFonts w:asciiTheme="minorHAnsi" w:hAnsiTheme="minorHAnsi"/>
          <w:b/>
          <w:bCs/>
          <w:sz w:val="20"/>
        </w:rPr>
        <w:t xml:space="preserve">Figure 3: </w:t>
      </w:r>
      <w:r w:rsidRPr="00850E73">
        <w:rPr>
          <w:rFonts w:asciiTheme="minorHAnsi" w:hAnsiTheme="minorHAnsi"/>
          <w:b/>
          <w:sz w:val="20"/>
        </w:rPr>
        <w:t xml:space="preserve">Demographic profile for MBS item 73338 for July 2014-June </w:t>
      </w:r>
      <w:r>
        <w:rPr>
          <w:rFonts w:asciiTheme="minorHAnsi" w:hAnsiTheme="minorHAnsi"/>
          <w:b/>
          <w:sz w:val="20"/>
        </w:rPr>
        <w:t>20</w:t>
      </w:r>
      <w:r w:rsidRPr="00850E73">
        <w:rPr>
          <w:rFonts w:asciiTheme="minorHAnsi" w:hAnsiTheme="minorHAnsi"/>
          <w:b/>
          <w:sz w:val="20"/>
        </w:rPr>
        <w:t>15</w:t>
      </w:r>
    </w:p>
    <w:p w14:paraId="1FBF2608" w14:textId="77777777" w:rsidR="001C45C0" w:rsidRPr="00B50A81" w:rsidRDefault="001C45C0" w:rsidP="001C45C0">
      <w:pPr>
        <w:rPr>
          <w:rFonts w:asciiTheme="minorHAnsi" w:hAnsiTheme="minorHAnsi"/>
          <w:noProof/>
          <w:highlight w:val="yellow"/>
        </w:rPr>
      </w:pPr>
      <w:r w:rsidRPr="00B50A81">
        <w:rPr>
          <w:rFonts w:asciiTheme="minorHAnsi" w:hAnsiTheme="minorHAnsi"/>
          <w:noProof/>
          <w:highlight w:val="yellow"/>
        </w:rPr>
        <w:drawing>
          <wp:inline distT="0" distB="0" distL="0" distR="0" wp14:anchorId="5D907A54" wp14:editId="0AB1DA09">
            <wp:extent cx="5274310" cy="3543549"/>
            <wp:effectExtent l="0" t="0" r="2540" b="0"/>
            <wp:docPr id="5" name="Picture 5" descr="Medicare Item 73338 processed from July 2014 to June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care Item 73338 processed from July 2014 to June 20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3543549"/>
                    </a:xfrm>
                    <a:prstGeom prst="rect">
                      <a:avLst/>
                    </a:prstGeom>
                    <a:noFill/>
                    <a:ln>
                      <a:noFill/>
                    </a:ln>
                  </pic:spPr>
                </pic:pic>
              </a:graphicData>
            </a:graphic>
          </wp:inline>
        </w:drawing>
      </w:r>
    </w:p>
    <w:p w14:paraId="0322B24A" w14:textId="77777777" w:rsidR="001C45C0" w:rsidRPr="00850E73" w:rsidRDefault="001C45C0" w:rsidP="001C45C0">
      <w:pPr>
        <w:rPr>
          <w:rFonts w:asciiTheme="minorHAnsi" w:hAnsiTheme="minorHAnsi"/>
          <w:b/>
          <w:sz w:val="20"/>
          <w:highlight w:val="yellow"/>
        </w:rPr>
      </w:pPr>
      <w:r w:rsidRPr="00850E73">
        <w:rPr>
          <w:rFonts w:asciiTheme="minorHAnsi" w:hAnsiTheme="minorHAnsi"/>
          <w:b/>
          <w:sz w:val="20"/>
        </w:rPr>
        <w:t>Figure 4:</w:t>
      </w:r>
      <w:r w:rsidRPr="00850E73">
        <w:rPr>
          <w:sz w:val="20"/>
        </w:rPr>
        <w:t xml:space="preserve"> </w:t>
      </w:r>
      <w:r w:rsidRPr="00850E73">
        <w:rPr>
          <w:rFonts w:asciiTheme="minorHAnsi" w:hAnsiTheme="minorHAnsi"/>
          <w:b/>
          <w:sz w:val="20"/>
        </w:rPr>
        <w:t xml:space="preserve">Demographic profile for MBS item 73338 for July 2015-June </w:t>
      </w:r>
      <w:r>
        <w:rPr>
          <w:rFonts w:asciiTheme="minorHAnsi" w:hAnsiTheme="minorHAnsi"/>
          <w:b/>
          <w:sz w:val="20"/>
        </w:rPr>
        <w:t>20</w:t>
      </w:r>
      <w:r w:rsidRPr="00850E73">
        <w:rPr>
          <w:rFonts w:asciiTheme="minorHAnsi" w:hAnsiTheme="minorHAnsi"/>
          <w:b/>
          <w:sz w:val="20"/>
        </w:rPr>
        <w:t>16</w:t>
      </w:r>
      <w:r w:rsidRPr="00850E73">
        <w:rPr>
          <w:rFonts w:asciiTheme="minorHAnsi" w:hAnsiTheme="minorHAnsi"/>
          <w:noProof/>
          <w:sz w:val="20"/>
        </w:rPr>
        <w:t xml:space="preserve"> </w:t>
      </w:r>
    </w:p>
    <w:p w14:paraId="5AAAF2E2" w14:textId="06818BAB" w:rsidR="001C45C0" w:rsidRPr="00367A55" w:rsidRDefault="001C45C0" w:rsidP="001C45C0">
      <w:pPr>
        <w:rPr>
          <w:rFonts w:asciiTheme="minorHAnsi" w:hAnsiTheme="minorHAnsi"/>
          <w:b/>
          <w:highlight w:val="yellow"/>
        </w:rPr>
      </w:pPr>
      <w:r w:rsidRPr="00B50A81">
        <w:rPr>
          <w:rFonts w:asciiTheme="minorHAnsi" w:hAnsiTheme="minorHAnsi"/>
          <w:b/>
          <w:noProof/>
          <w:highlight w:val="yellow"/>
        </w:rPr>
        <w:drawing>
          <wp:inline distT="0" distB="0" distL="0" distR="0" wp14:anchorId="640645DD" wp14:editId="5FB30AC5">
            <wp:extent cx="5274310" cy="3543549"/>
            <wp:effectExtent l="0" t="0" r="2540" b="0"/>
            <wp:docPr id="6" name="Picture 6" descr="Medicare Item 73338 processed from July 2015 to June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care Item 73338 processed from July 2015 to June 20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3543549"/>
                    </a:xfrm>
                    <a:prstGeom prst="rect">
                      <a:avLst/>
                    </a:prstGeom>
                    <a:noFill/>
                    <a:ln>
                      <a:noFill/>
                    </a:ln>
                  </pic:spPr>
                </pic:pic>
              </a:graphicData>
            </a:graphic>
          </wp:inline>
        </w:drawing>
      </w:r>
      <w:r>
        <w:rPr>
          <w:rFonts w:asciiTheme="minorHAnsi" w:hAnsiTheme="minorHAnsi"/>
          <w:b/>
        </w:rPr>
        <w:br w:type="page"/>
      </w:r>
    </w:p>
    <w:p w14:paraId="6B34A2D6" w14:textId="77777777" w:rsidR="001C45C0" w:rsidRPr="00850E73" w:rsidRDefault="001C45C0" w:rsidP="001C45C0">
      <w:pPr>
        <w:rPr>
          <w:rFonts w:asciiTheme="minorHAnsi" w:hAnsiTheme="minorHAnsi"/>
          <w:b/>
          <w:sz w:val="20"/>
        </w:rPr>
      </w:pPr>
      <w:r w:rsidRPr="00850E73">
        <w:rPr>
          <w:rFonts w:asciiTheme="minorHAnsi" w:hAnsiTheme="minorHAnsi"/>
          <w:b/>
          <w:sz w:val="20"/>
        </w:rPr>
        <w:lastRenderedPageBreak/>
        <w:t xml:space="preserve">Figure 5: Demographic profile for MBS item 73338 for July 2016-December </w:t>
      </w:r>
      <w:r>
        <w:rPr>
          <w:rFonts w:asciiTheme="minorHAnsi" w:hAnsiTheme="minorHAnsi"/>
          <w:b/>
          <w:sz w:val="20"/>
        </w:rPr>
        <w:t>20</w:t>
      </w:r>
      <w:r w:rsidRPr="00850E73">
        <w:rPr>
          <w:rFonts w:asciiTheme="minorHAnsi" w:hAnsiTheme="minorHAnsi"/>
          <w:b/>
          <w:sz w:val="20"/>
        </w:rPr>
        <w:t>17</w:t>
      </w:r>
    </w:p>
    <w:p w14:paraId="10D296CA" w14:textId="77777777" w:rsidR="001C45C0" w:rsidRDefault="001C45C0" w:rsidP="001C45C0">
      <w:pPr>
        <w:rPr>
          <w:rFonts w:asciiTheme="minorHAnsi" w:hAnsiTheme="minorHAnsi"/>
          <w:sz w:val="18"/>
        </w:rPr>
      </w:pPr>
      <w:r w:rsidRPr="00B50A81">
        <w:rPr>
          <w:rFonts w:asciiTheme="minorHAnsi" w:hAnsiTheme="minorHAnsi"/>
          <w:noProof/>
          <w:highlight w:val="yellow"/>
        </w:rPr>
        <w:drawing>
          <wp:inline distT="0" distB="0" distL="0" distR="0" wp14:anchorId="72B11F73" wp14:editId="10107099">
            <wp:extent cx="5274310" cy="3543549"/>
            <wp:effectExtent l="0" t="0" r="2540" b="0"/>
            <wp:docPr id="8" name="Picture 8" descr="Medicare Item 73338 processed from July 2016 to December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dicare Item 73338 processed from July 2016 to December 20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4310" cy="3543549"/>
                    </a:xfrm>
                    <a:prstGeom prst="rect">
                      <a:avLst/>
                    </a:prstGeom>
                    <a:noFill/>
                    <a:ln>
                      <a:noFill/>
                    </a:ln>
                  </pic:spPr>
                </pic:pic>
              </a:graphicData>
            </a:graphic>
          </wp:inline>
        </w:drawing>
      </w:r>
    </w:p>
    <w:p w14:paraId="79EF6FBD" w14:textId="77777777" w:rsidR="001C45C0" w:rsidRPr="00B50A81" w:rsidRDefault="001C45C0" w:rsidP="001C45C0">
      <w:pPr>
        <w:rPr>
          <w:rFonts w:asciiTheme="minorHAnsi" w:hAnsiTheme="minorHAnsi"/>
        </w:rPr>
      </w:pPr>
      <w:r w:rsidRPr="00B50A81">
        <w:rPr>
          <w:rFonts w:asciiTheme="minorHAnsi" w:hAnsiTheme="minorHAnsi"/>
          <w:sz w:val="18"/>
        </w:rPr>
        <w:t>Figure 3</w:t>
      </w:r>
      <w:r>
        <w:rPr>
          <w:rFonts w:asciiTheme="minorHAnsi" w:hAnsiTheme="minorHAnsi"/>
          <w:sz w:val="18"/>
        </w:rPr>
        <w:t>-5</w:t>
      </w:r>
      <w:r w:rsidRPr="00B50A81">
        <w:rPr>
          <w:rFonts w:asciiTheme="minorHAnsi" w:hAnsiTheme="minorHAnsi"/>
          <w:sz w:val="18"/>
        </w:rPr>
        <w:t>: Demographic profile for MBS item 73338 for 2014-15, 2015-16, 2016-December 2017</w:t>
      </w:r>
    </w:p>
    <w:p w14:paraId="6B9C0011" w14:textId="45784841" w:rsidR="001C45C0" w:rsidRPr="00B50A81" w:rsidRDefault="001C45C0" w:rsidP="00367A55">
      <w:pPr>
        <w:spacing w:after="240"/>
        <w:rPr>
          <w:rFonts w:asciiTheme="minorHAnsi" w:hAnsiTheme="minorHAnsi"/>
          <w:i/>
          <w:sz w:val="20"/>
        </w:rPr>
      </w:pPr>
      <w:r w:rsidRPr="00B50A81">
        <w:rPr>
          <w:rFonts w:asciiTheme="minorHAnsi" w:hAnsiTheme="minorHAnsi"/>
          <w:i/>
          <w:sz w:val="20"/>
        </w:rPr>
        <w:t>Source</w:t>
      </w:r>
      <w:bookmarkStart w:id="4" w:name="_Toc461539949"/>
      <w:r w:rsidRPr="00B50A81">
        <w:rPr>
          <w:rFonts w:asciiTheme="minorHAnsi" w:hAnsiTheme="minorHAnsi"/>
          <w:i/>
          <w:sz w:val="20"/>
        </w:rPr>
        <w:t>: Medicare Statistics online, Department of Human Services</w:t>
      </w:r>
    </w:p>
    <w:p w14:paraId="5ABB8A94" w14:textId="77777777" w:rsidR="001C45C0" w:rsidRPr="004C0334" w:rsidRDefault="001C45C0" w:rsidP="001C45C0">
      <w:pPr>
        <w:rPr>
          <w:rFonts w:asciiTheme="minorHAnsi" w:hAnsiTheme="minorHAnsi"/>
          <w:b/>
          <w:sz w:val="22"/>
          <w:szCs w:val="22"/>
        </w:rPr>
      </w:pPr>
      <w:r w:rsidRPr="004C0334">
        <w:rPr>
          <w:rFonts w:asciiTheme="minorHAnsi" w:hAnsiTheme="minorHAnsi"/>
          <w:b/>
          <w:sz w:val="22"/>
          <w:szCs w:val="22"/>
        </w:rPr>
        <w:t>Co-claiming</w:t>
      </w:r>
      <w:bookmarkEnd w:id="4"/>
      <w:r w:rsidRPr="004C0334">
        <w:rPr>
          <w:rFonts w:asciiTheme="minorHAnsi" w:hAnsiTheme="minorHAnsi"/>
          <w:b/>
          <w:sz w:val="22"/>
          <w:szCs w:val="22"/>
        </w:rPr>
        <w:t xml:space="preserve"> </w:t>
      </w:r>
    </w:p>
    <w:p w14:paraId="54815487" w14:textId="1E3BA506" w:rsidR="001C45C0" w:rsidRPr="004C0334" w:rsidRDefault="001C45C0" w:rsidP="00367A55">
      <w:pPr>
        <w:spacing w:after="240"/>
        <w:rPr>
          <w:szCs w:val="24"/>
        </w:rPr>
      </w:pPr>
      <w:r w:rsidRPr="004C0334">
        <w:rPr>
          <w:szCs w:val="24"/>
        </w:rPr>
        <w:t>The service is most commonly claimed with item 73940 (Receipt of a specimen by an approved pathology practitioner), 73939, 73938 (PEI items) or on its own.</w:t>
      </w:r>
    </w:p>
    <w:p w14:paraId="0094A686" w14:textId="77777777" w:rsidR="001C45C0" w:rsidRPr="004C0334" w:rsidRDefault="001C45C0" w:rsidP="001C45C0">
      <w:pPr>
        <w:rPr>
          <w:szCs w:val="24"/>
        </w:rPr>
      </w:pPr>
      <w:r w:rsidRPr="004C0334">
        <w:rPr>
          <w:szCs w:val="24"/>
        </w:rPr>
        <w:t xml:space="preserve">Departmental medical advice noted there was no concern from a clinical perspective in relation to the other MBS items that were co-claimed in this dataset. </w:t>
      </w:r>
    </w:p>
    <w:p w14:paraId="61C5103C" w14:textId="77777777" w:rsidR="001C45C0" w:rsidRPr="00204085" w:rsidRDefault="001C45C0" w:rsidP="001C45C0">
      <w:pPr>
        <w:pStyle w:val="Heading5"/>
        <w:rPr>
          <w:rFonts w:asciiTheme="minorHAnsi" w:hAnsiTheme="minorHAnsi"/>
          <w:b/>
          <w:color w:val="auto"/>
          <w:sz w:val="20"/>
          <w:highlight w:val="yellow"/>
        </w:rPr>
      </w:pPr>
      <w:r w:rsidRPr="00204085">
        <w:rPr>
          <w:rFonts w:asciiTheme="minorHAnsi" w:hAnsiTheme="minorHAnsi"/>
          <w:b/>
          <w:color w:val="auto"/>
          <w:sz w:val="20"/>
        </w:rPr>
        <w:t>Table 6: Top 5 instances of co-claiming with MBS item 73338 in 2014-15</w:t>
      </w:r>
    </w:p>
    <w:tbl>
      <w:tblPr>
        <w:tblW w:w="80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MBS item 73338 - co-claiming data in 2014-15"/>
      </w:tblPr>
      <w:tblGrid>
        <w:gridCol w:w="426"/>
        <w:gridCol w:w="2455"/>
        <w:gridCol w:w="1017"/>
        <w:gridCol w:w="960"/>
        <w:gridCol w:w="1286"/>
        <w:gridCol w:w="960"/>
        <w:gridCol w:w="931"/>
      </w:tblGrid>
      <w:tr w:rsidR="001C45C0" w:rsidRPr="00B50A81" w14:paraId="4C56410E" w14:textId="77777777" w:rsidTr="001C45C0">
        <w:trPr>
          <w:trHeight w:val="721"/>
        </w:trPr>
        <w:tc>
          <w:tcPr>
            <w:tcW w:w="426" w:type="dxa"/>
            <w:shd w:val="clear" w:color="auto" w:fill="548DD4" w:themeFill="text2" w:themeFillTint="99"/>
            <w:vAlign w:val="center"/>
            <w:hideMark/>
          </w:tcPr>
          <w:p w14:paraId="600CB86B" w14:textId="77777777" w:rsidR="001C45C0" w:rsidRPr="00B50A81" w:rsidRDefault="001C45C0" w:rsidP="001C45C0">
            <w:pPr>
              <w:jc w:val="center"/>
              <w:rPr>
                <w:rFonts w:asciiTheme="minorHAnsi" w:hAnsiTheme="minorHAnsi" w:cs="Arial"/>
                <w:b/>
                <w:bCs/>
                <w:color w:val="FFFFFF"/>
                <w:sz w:val="18"/>
                <w:szCs w:val="18"/>
              </w:rPr>
            </w:pPr>
            <w:r w:rsidRPr="00B50A81">
              <w:rPr>
                <w:rFonts w:asciiTheme="minorHAnsi" w:hAnsiTheme="minorHAnsi" w:cs="Arial"/>
                <w:b/>
                <w:bCs/>
                <w:color w:val="FFFFFF"/>
                <w:sz w:val="18"/>
                <w:szCs w:val="18"/>
              </w:rPr>
              <w:t>#</w:t>
            </w:r>
          </w:p>
        </w:tc>
        <w:tc>
          <w:tcPr>
            <w:tcW w:w="2455" w:type="dxa"/>
            <w:shd w:val="clear" w:color="auto" w:fill="548DD4" w:themeFill="text2" w:themeFillTint="99"/>
            <w:vAlign w:val="center"/>
            <w:hideMark/>
          </w:tcPr>
          <w:p w14:paraId="630BD861" w14:textId="77777777" w:rsidR="001C45C0" w:rsidRPr="00B50A81" w:rsidRDefault="001C45C0" w:rsidP="001C45C0">
            <w:pPr>
              <w:jc w:val="center"/>
              <w:rPr>
                <w:rFonts w:asciiTheme="minorHAnsi" w:hAnsiTheme="minorHAnsi" w:cs="Arial"/>
                <w:b/>
                <w:bCs/>
                <w:color w:val="FFFFFF"/>
                <w:sz w:val="18"/>
                <w:szCs w:val="18"/>
              </w:rPr>
            </w:pPr>
            <w:r w:rsidRPr="00B50A81">
              <w:rPr>
                <w:rFonts w:asciiTheme="minorHAnsi" w:hAnsiTheme="minorHAnsi" w:cs="Arial"/>
                <w:b/>
                <w:bCs/>
                <w:color w:val="FFFFFF"/>
                <w:sz w:val="18"/>
                <w:szCs w:val="18"/>
              </w:rPr>
              <w:t>Items</w:t>
            </w:r>
          </w:p>
        </w:tc>
        <w:tc>
          <w:tcPr>
            <w:tcW w:w="1017" w:type="dxa"/>
            <w:shd w:val="clear" w:color="auto" w:fill="548DD4" w:themeFill="text2" w:themeFillTint="99"/>
            <w:vAlign w:val="center"/>
            <w:hideMark/>
          </w:tcPr>
          <w:p w14:paraId="5878F693" w14:textId="77777777" w:rsidR="001C45C0" w:rsidRPr="00B50A81" w:rsidRDefault="001C45C0" w:rsidP="001C45C0">
            <w:pPr>
              <w:jc w:val="center"/>
              <w:rPr>
                <w:rFonts w:asciiTheme="minorHAnsi" w:hAnsiTheme="minorHAnsi" w:cs="Arial"/>
                <w:b/>
                <w:bCs/>
                <w:color w:val="FFFFFF"/>
                <w:sz w:val="18"/>
                <w:szCs w:val="18"/>
              </w:rPr>
            </w:pPr>
            <w:r w:rsidRPr="00B50A81">
              <w:rPr>
                <w:rFonts w:asciiTheme="minorHAnsi" w:hAnsiTheme="minorHAnsi" w:cs="Arial"/>
                <w:b/>
                <w:bCs/>
                <w:color w:val="FFFFFF"/>
                <w:sz w:val="18"/>
                <w:szCs w:val="18"/>
              </w:rPr>
              <w:t>Episodes</w:t>
            </w:r>
          </w:p>
        </w:tc>
        <w:tc>
          <w:tcPr>
            <w:tcW w:w="960" w:type="dxa"/>
            <w:shd w:val="clear" w:color="auto" w:fill="548DD4" w:themeFill="text2" w:themeFillTint="99"/>
            <w:vAlign w:val="center"/>
            <w:hideMark/>
          </w:tcPr>
          <w:p w14:paraId="3398507A" w14:textId="77777777" w:rsidR="001C45C0" w:rsidRPr="00B50A81" w:rsidRDefault="001C45C0" w:rsidP="001C45C0">
            <w:pPr>
              <w:jc w:val="center"/>
              <w:rPr>
                <w:rFonts w:asciiTheme="minorHAnsi" w:hAnsiTheme="minorHAnsi" w:cs="Arial"/>
                <w:b/>
                <w:bCs/>
                <w:color w:val="FFFFFF"/>
                <w:sz w:val="18"/>
                <w:szCs w:val="18"/>
              </w:rPr>
            </w:pPr>
            <w:r w:rsidRPr="00B50A81">
              <w:rPr>
                <w:rFonts w:asciiTheme="minorHAnsi" w:hAnsiTheme="minorHAnsi" w:cs="Arial"/>
                <w:b/>
                <w:bCs/>
                <w:color w:val="FFFFFF"/>
                <w:sz w:val="18"/>
                <w:szCs w:val="18"/>
              </w:rPr>
              <w:t>Services</w:t>
            </w:r>
          </w:p>
        </w:tc>
        <w:tc>
          <w:tcPr>
            <w:tcW w:w="1286" w:type="dxa"/>
            <w:shd w:val="clear" w:color="auto" w:fill="548DD4" w:themeFill="text2" w:themeFillTint="99"/>
            <w:vAlign w:val="center"/>
            <w:hideMark/>
          </w:tcPr>
          <w:p w14:paraId="75542173" w14:textId="77777777" w:rsidR="001C45C0" w:rsidRPr="00B50A81" w:rsidRDefault="001C45C0" w:rsidP="001C45C0">
            <w:pPr>
              <w:jc w:val="center"/>
              <w:rPr>
                <w:rFonts w:asciiTheme="minorHAnsi" w:hAnsiTheme="minorHAnsi" w:cs="Arial"/>
                <w:b/>
                <w:bCs/>
                <w:color w:val="FFFFFF"/>
                <w:sz w:val="18"/>
                <w:szCs w:val="18"/>
              </w:rPr>
            </w:pPr>
            <w:r w:rsidRPr="00B50A81">
              <w:rPr>
                <w:rFonts w:asciiTheme="minorHAnsi" w:hAnsiTheme="minorHAnsi" w:cs="Arial"/>
                <w:b/>
                <w:bCs/>
                <w:color w:val="FFFFFF"/>
                <w:sz w:val="18"/>
                <w:szCs w:val="18"/>
              </w:rPr>
              <w:t>Schedule Fee for combination</w:t>
            </w:r>
          </w:p>
        </w:tc>
        <w:tc>
          <w:tcPr>
            <w:tcW w:w="960" w:type="dxa"/>
            <w:shd w:val="clear" w:color="auto" w:fill="548DD4" w:themeFill="text2" w:themeFillTint="99"/>
            <w:vAlign w:val="center"/>
            <w:hideMark/>
          </w:tcPr>
          <w:p w14:paraId="37941D68" w14:textId="77777777" w:rsidR="001C45C0" w:rsidRPr="00B50A81" w:rsidRDefault="001C45C0" w:rsidP="001C45C0">
            <w:pPr>
              <w:jc w:val="center"/>
              <w:rPr>
                <w:rFonts w:asciiTheme="minorHAnsi" w:hAnsiTheme="minorHAnsi" w:cs="Arial"/>
                <w:b/>
                <w:bCs/>
                <w:color w:val="FFFFFF"/>
                <w:sz w:val="18"/>
                <w:szCs w:val="18"/>
              </w:rPr>
            </w:pPr>
            <w:r w:rsidRPr="00B50A81">
              <w:rPr>
                <w:rFonts w:asciiTheme="minorHAnsi" w:hAnsiTheme="minorHAnsi" w:cs="Arial"/>
                <w:b/>
                <w:bCs/>
                <w:color w:val="FFFFFF"/>
                <w:sz w:val="18"/>
                <w:szCs w:val="18"/>
              </w:rPr>
              <w:t>Number of patients</w:t>
            </w:r>
          </w:p>
        </w:tc>
        <w:tc>
          <w:tcPr>
            <w:tcW w:w="931" w:type="dxa"/>
            <w:shd w:val="clear" w:color="auto" w:fill="548DD4" w:themeFill="text2" w:themeFillTint="99"/>
            <w:vAlign w:val="center"/>
            <w:hideMark/>
          </w:tcPr>
          <w:p w14:paraId="4838F686" w14:textId="77777777" w:rsidR="001C45C0" w:rsidRPr="00B50A81" w:rsidRDefault="001C45C0" w:rsidP="001C45C0">
            <w:pPr>
              <w:jc w:val="center"/>
              <w:rPr>
                <w:rFonts w:asciiTheme="minorHAnsi" w:hAnsiTheme="minorHAnsi" w:cs="Arial"/>
                <w:b/>
                <w:bCs/>
                <w:color w:val="FFFFFF"/>
                <w:sz w:val="18"/>
                <w:szCs w:val="18"/>
              </w:rPr>
            </w:pPr>
            <w:r w:rsidRPr="00B50A81">
              <w:rPr>
                <w:rFonts w:asciiTheme="minorHAnsi" w:hAnsiTheme="minorHAnsi" w:cs="Arial"/>
                <w:b/>
                <w:bCs/>
                <w:color w:val="FFFFFF"/>
                <w:sz w:val="18"/>
                <w:szCs w:val="18"/>
              </w:rPr>
              <w:t>% of episodes</w:t>
            </w:r>
          </w:p>
        </w:tc>
      </w:tr>
      <w:tr w:rsidR="001C45C0" w:rsidRPr="00B50A81" w14:paraId="68537128" w14:textId="77777777" w:rsidTr="001C45C0">
        <w:trPr>
          <w:trHeight w:val="300"/>
        </w:trPr>
        <w:tc>
          <w:tcPr>
            <w:tcW w:w="426" w:type="dxa"/>
            <w:shd w:val="clear" w:color="000000" w:fill="FFFFFF"/>
            <w:noWrap/>
            <w:vAlign w:val="bottom"/>
          </w:tcPr>
          <w:p w14:paraId="240A8FC7" w14:textId="77777777" w:rsidR="001C45C0" w:rsidRPr="00B50A81" w:rsidRDefault="001C45C0" w:rsidP="001C45C0">
            <w:pPr>
              <w:rPr>
                <w:rFonts w:asciiTheme="minorHAnsi" w:hAnsiTheme="minorHAnsi" w:cs="Arial"/>
                <w:color w:val="000000"/>
                <w:sz w:val="18"/>
                <w:szCs w:val="18"/>
              </w:rPr>
            </w:pPr>
            <w:r w:rsidRPr="00B50A81">
              <w:rPr>
                <w:rFonts w:asciiTheme="minorHAnsi" w:hAnsiTheme="minorHAnsi" w:cs="Arial"/>
                <w:color w:val="000000"/>
                <w:sz w:val="18"/>
                <w:szCs w:val="18"/>
              </w:rPr>
              <w:t>1</w:t>
            </w:r>
          </w:p>
        </w:tc>
        <w:tc>
          <w:tcPr>
            <w:tcW w:w="2455" w:type="dxa"/>
            <w:shd w:val="clear" w:color="000000" w:fill="FFFFFF"/>
            <w:noWrap/>
            <w:vAlign w:val="bottom"/>
          </w:tcPr>
          <w:p w14:paraId="443A8907" w14:textId="77777777" w:rsidR="001C45C0" w:rsidRPr="00B50A81" w:rsidRDefault="001C45C0" w:rsidP="001C45C0">
            <w:pPr>
              <w:rPr>
                <w:rFonts w:asciiTheme="minorHAnsi" w:hAnsiTheme="minorHAnsi" w:cs="Arial"/>
                <w:color w:val="000000"/>
                <w:sz w:val="18"/>
                <w:szCs w:val="18"/>
              </w:rPr>
            </w:pPr>
            <w:r>
              <w:rPr>
                <w:rFonts w:asciiTheme="minorHAnsi" w:hAnsiTheme="minorHAnsi" w:cs="Arial"/>
                <w:color w:val="000000"/>
                <w:sz w:val="18"/>
                <w:szCs w:val="18"/>
              </w:rPr>
              <w:t xml:space="preserve">73338 and </w:t>
            </w:r>
            <w:r w:rsidRPr="00B50A81">
              <w:rPr>
                <w:rFonts w:asciiTheme="minorHAnsi" w:hAnsiTheme="minorHAnsi" w:cs="Arial"/>
                <w:color w:val="000000"/>
                <w:sz w:val="18"/>
                <w:szCs w:val="18"/>
              </w:rPr>
              <w:t>73940</w:t>
            </w:r>
          </w:p>
        </w:tc>
        <w:tc>
          <w:tcPr>
            <w:tcW w:w="1017" w:type="dxa"/>
            <w:shd w:val="clear" w:color="000000" w:fill="FFFFFF"/>
            <w:noWrap/>
            <w:vAlign w:val="bottom"/>
          </w:tcPr>
          <w:p w14:paraId="14A7B32D" w14:textId="77777777" w:rsidR="001C45C0" w:rsidRPr="00B50A81" w:rsidRDefault="001C45C0" w:rsidP="001C45C0">
            <w:pPr>
              <w:jc w:val="right"/>
              <w:rPr>
                <w:rFonts w:asciiTheme="minorHAnsi" w:hAnsiTheme="minorHAnsi" w:cs="Arial"/>
                <w:color w:val="000000"/>
                <w:sz w:val="18"/>
                <w:szCs w:val="18"/>
              </w:rPr>
            </w:pPr>
            <w:r w:rsidRPr="00B50A81">
              <w:rPr>
                <w:rFonts w:asciiTheme="minorHAnsi" w:hAnsiTheme="minorHAnsi" w:cs="Arial"/>
                <w:color w:val="000000"/>
                <w:sz w:val="18"/>
                <w:szCs w:val="18"/>
              </w:rPr>
              <w:t xml:space="preserve">441 </w:t>
            </w:r>
          </w:p>
        </w:tc>
        <w:tc>
          <w:tcPr>
            <w:tcW w:w="960" w:type="dxa"/>
            <w:shd w:val="clear" w:color="000000" w:fill="FFFFFF"/>
            <w:noWrap/>
            <w:vAlign w:val="bottom"/>
          </w:tcPr>
          <w:p w14:paraId="009192D4" w14:textId="77777777" w:rsidR="001C45C0" w:rsidRPr="00B50A81" w:rsidRDefault="001C45C0" w:rsidP="001C45C0">
            <w:pPr>
              <w:jc w:val="right"/>
              <w:rPr>
                <w:rFonts w:asciiTheme="minorHAnsi" w:hAnsiTheme="minorHAnsi" w:cs="Arial"/>
                <w:color w:val="000000"/>
                <w:sz w:val="18"/>
                <w:szCs w:val="18"/>
              </w:rPr>
            </w:pPr>
            <w:r w:rsidRPr="00B50A81">
              <w:rPr>
                <w:rFonts w:asciiTheme="minorHAnsi" w:hAnsiTheme="minorHAnsi" w:cs="Arial"/>
                <w:color w:val="000000"/>
                <w:sz w:val="18"/>
                <w:szCs w:val="18"/>
              </w:rPr>
              <w:t xml:space="preserve">917 </w:t>
            </w:r>
          </w:p>
        </w:tc>
        <w:tc>
          <w:tcPr>
            <w:tcW w:w="1286" w:type="dxa"/>
            <w:shd w:val="clear" w:color="000000" w:fill="FFFFFF"/>
            <w:noWrap/>
            <w:vAlign w:val="bottom"/>
          </w:tcPr>
          <w:p w14:paraId="6BBA7B72" w14:textId="77777777" w:rsidR="001C45C0" w:rsidRPr="00B50A81" w:rsidRDefault="001C45C0" w:rsidP="001C45C0">
            <w:pPr>
              <w:jc w:val="right"/>
              <w:rPr>
                <w:rFonts w:asciiTheme="minorHAnsi" w:hAnsiTheme="minorHAnsi" w:cs="Arial"/>
                <w:color w:val="000000"/>
                <w:sz w:val="18"/>
                <w:szCs w:val="18"/>
              </w:rPr>
            </w:pPr>
            <w:r w:rsidRPr="00B50A81">
              <w:rPr>
                <w:rFonts w:asciiTheme="minorHAnsi" w:hAnsiTheme="minorHAnsi" w:cs="Arial"/>
                <w:color w:val="000000"/>
                <w:sz w:val="18"/>
                <w:szCs w:val="18"/>
              </w:rPr>
              <w:t xml:space="preserve">$177,113 </w:t>
            </w:r>
          </w:p>
        </w:tc>
        <w:tc>
          <w:tcPr>
            <w:tcW w:w="960" w:type="dxa"/>
            <w:shd w:val="clear" w:color="000000" w:fill="FFFFFF"/>
            <w:noWrap/>
            <w:vAlign w:val="bottom"/>
          </w:tcPr>
          <w:p w14:paraId="6C1EB99A" w14:textId="77777777" w:rsidR="001C45C0" w:rsidRPr="00B50A81" w:rsidRDefault="001C45C0" w:rsidP="001C45C0">
            <w:pPr>
              <w:jc w:val="right"/>
              <w:rPr>
                <w:rFonts w:asciiTheme="minorHAnsi" w:hAnsiTheme="minorHAnsi" w:cs="Arial"/>
                <w:color w:val="000000"/>
                <w:sz w:val="18"/>
                <w:szCs w:val="18"/>
              </w:rPr>
            </w:pPr>
            <w:r w:rsidRPr="00B50A81">
              <w:rPr>
                <w:rFonts w:asciiTheme="minorHAnsi" w:hAnsiTheme="minorHAnsi" w:cs="Arial"/>
                <w:color w:val="000000"/>
                <w:sz w:val="18"/>
                <w:szCs w:val="18"/>
              </w:rPr>
              <w:t xml:space="preserve">435 </w:t>
            </w:r>
          </w:p>
        </w:tc>
        <w:tc>
          <w:tcPr>
            <w:tcW w:w="931" w:type="dxa"/>
            <w:shd w:val="clear" w:color="000000" w:fill="FFFFFF"/>
            <w:noWrap/>
            <w:vAlign w:val="bottom"/>
          </w:tcPr>
          <w:p w14:paraId="71C3319E" w14:textId="77777777" w:rsidR="001C45C0" w:rsidRPr="00B50A81" w:rsidRDefault="001C45C0" w:rsidP="001C45C0">
            <w:pPr>
              <w:jc w:val="right"/>
              <w:rPr>
                <w:rFonts w:asciiTheme="minorHAnsi" w:hAnsiTheme="minorHAnsi" w:cs="Arial"/>
                <w:color w:val="000000"/>
                <w:sz w:val="18"/>
                <w:szCs w:val="18"/>
              </w:rPr>
            </w:pPr>
            <w:r>
              <w:rPr>
                <w:rFonts w:asciiTheme="minorHAnsi" w:hAnsiTheme="minorHAnsi" w:cs="Arial"/>
                <w:color w:val="000000"/>
                <w:sz w:val="18"/>
                <w:szCs w:val="18"/>
              </w:rPr>
              <w:t>34.2</w:t>
            </w:r>
            <w:r w:rsidRPr="00B50A81">
              <w:rPr>
                <w:rFonts w:asciiTheme="minorHAnsi" w:hAnsiTheme="minorHAnsi" w:cs="Arial"/>
                <w:color w:val="000000"/>
                <w:sz w:val="18"/>
                <w:szCs w:val="18"/>
              </w:rPr>
              <w:t xml:space="preserve">% </w:t>
            </w:r>
          </w:p>
        </w:tc>
      </w:tr>
      <w:tr w:rsidR="001C45C0" w:rsidRPr="00B50A81" w14:paraId="0CDD61AD" w14:textId="77777777" w:rsidTr="001C45C0">
        <w:trPr>
          <w:trHeight w:val="300"/>
        </w:trPr>
        <w:tc>
          <w:tcPr>
            <w:tcW w:w="426" w:type="dxa"/>
            <w:shd w:val="clear" w:color="000000" w:fill="FFFFFF"/>
            <w:noWrap/>
            <w:vAlign w:val="bottom"/>
          </w:tcPr>
          <w:p w14:paraId="642907FC" w14:textId="77777777" w:rsidR="001C45C0" w:rsidRPr="00B50A81" w:rsidRDefault="001C45C0" w:rsidP="001C45C0">
            <w:pPr>
              <w:rPr>
                <w:rFonts w:asciiTheme="minorHAnsi" w:hAnsiTheme="minorHAnsi" w:cs="Arial"/>
                <w:color w:val="000000"/>
                <w:sz w:val="18"/>
                <w:szCs w:val="18"/>
              </w:rPr>
            </w:pPr>
            <w:r w:rsidRPr="00B50A81">
              <w:rPr>
                <w:rFonts w:asciiTheme="minorHAnsi" w:hAnsiTheme="minorHAnsi" w:cs="Arial"/>
                <w:color w:val="000000"/>
                <w:sz w:val="18"/>
                <w:szCs w:val="18"/>
              </w:rPr>
              <w:t>2</w:t>
            </w:r>
          </w:p>
        </w:tc>
        <w:tc>
          <w:tcPr>
            <w:tcW w:w="2455" w:type="dxa"/>
            <w:shd w:val="clear" w:color="000000" w:fill="FFFFFF"/>
            <w:noWrap/>
            <w:vAlign w:val="bottom"/>
          </w:tcPr>
          <w:p w14:paraId="15244370" w14:textId="77777777" w:rsidR="001C45C0" w:rsidRPr="00B50A81" w:rsidRDefault="001C45C0" w:rsidP="001C45C0">
            <w:pPr>
              <w:rPr>
                <w:rFonts w:asciiTheme="minorHAnsi" w:hAnsiTheme="minorHAnsi" w:cs="Arial"/>
                <w:color w:val="000000"/>
                <w:sz w:val="18"/>
                <w:szCs w:val="18"/>
              </w:rPr>
            </w:pPr>
            <w:r>
              <w:rPr>
                <w:rFonts w:asciiTheme="minorHAnsi" w:hAnsiTheme="minorHAnsi" w:cs="Arial"/>
                <w:color w:val="000000"/>
                <w:sz w:val="18"/>
                <w:szCs w:val="18"/>
              </w:rPr>
              <w:t>73338 only</w:t>
            </w:r>
          </w:p>
        </w:tc>
        <w:tc>
          <w:tcPr>
            <w:tcW w:w="1017" w:type="dxa"/>
            <w:shd w:val="clear" w:color="000000" w:fill="FFFFFF"/>
            <w:noWrap/>
            <w:vAlign w:val="bottom"/>
          </w:tcPr>
          <w:p w14:paraId="2B3BE0F4" w14:textId="77777777" w:rsidR="001C45C0" w:rsidRPr="00B50A81" w:rsidRDefault="001C45C0" w:rsidP="001C45C0">
            <w:pPr>
              <w:jc w:val="right"/>
              <w:rPr>
                <w:rFonts w:asciiTheme="minorHAnsi" w:hAnsiTheme="minorHAnsi" w:cs="Arial"/>
                <w:color w:val="000000"/>
                <w:sz w:val="18"/>
                <w:szCs w:val="18"/>
              </w:rPr>
            </w:pPr>
            <w:r w:rsidRPr="00B50A81">
              <w:rPr>
                <w:rFonts w:asciiTheme="minorHAnsi" w:hAnsiTheme="minorHAnsi" w:cs="Arial"/>
                <w:color w:val="000000"/>
                <w:sz w:val="18"/>
                <w:szCs w:val="18"/>
              </w:rPr>
              <w:t xml:space="preserve">305 </w:t>
            </w:r>
          </w:p>
        </w:tc>
        <w:tc>
          <w:tcPr>
            <w:tcW w:w="960" w:type="dxa"/>
            <w:shd w:val="clear" w:color="000000" w:fill="FFFFFF"/>
            <w:noWrap/>
            <w:vAlign w:val="bottom"/>
          </w:tcPr>
          <w:p w14:paraId="3331AC23" w14:textId="77777777" w:rsidR="001C45C0" w:rsidRPr="00B50A81" w:rsidRDefault="001C45C0" w:rsidP="001C45C0">
            <w:pPr>
              <w:jc w:val="right"/>
              <w:rPr>
                <w:rFonts w:asciiTheme="minorHAnsi" w:hAnsiTheme="minorHAnsi" w:cs="Arial"/>
                <w:color w:val="000000"/>
                <w:sz w:val="18"/>
                <w:szCs w:val="18"/>
              </w:rPr>
            </w:pPr>
            <w:r w:rsidRPr="00B50A81">
              <w:rPr>
                <w:rFonts w:asciiTheme="minorHAnsi" w:hAnsiTheme="minorHAnsi" w:cs="Arial"/>
                <w:color w:val="000000"/>
                <w:sz w:val="18"/>
                <w:szCs w:val="18"/>
              </w:rPr>
              <w:t xml:space="preserve">305 </w:t>
            </w:r>
          </w:p>
        </w:tc>
        <w:tc>
          <w:tcPr>
            <w:tcW w:w="1286" w:type="dxa"/>
            <w:shd w:val="clear" w:color="000000" w:fill="FFFFFF"/>
            <w:noWrap/>
            <w:vAlign w:val="bottom"/>
          </w:tcPr>
          <w:p w14:paraId="13A576BC" w14:textId="77777777" w:rsidR="001C45C0" w:rsidRPr="00B50A81" w:rsidRDefault="001C45C0" w:rsidP="001C45C0">
            <w:pPr>
              <w:jc w:val="right"/>
              <w:rPr>
                <w:rFonts w:asciiTheme="minorHAnsi" w:hAnsiTheme="minorHAnsi" w:cs="Arial"/>
                <w:color w:val="000000"/>
                <w:sz w:val="18"/>
                <w:szCs w:val="18"/>
              </w:rPr>
            </w:pPr>
            <w:r w:rsidRPr="00B50A81">
              <w:rPr>
                <w:rFonts w:asciiTheme="minorHAnsi" w:hAnsiTheme="minorHAnsi" w:cs="Arial"/>
                <w:color w:val="000000"/>
                <w:sz w:val="18"/>
                <w:szCs w:val="18"/>
              </w:rPr>
              <w:t xml:space="preserve">$110,590 </w:t>
            </w:r>
          </w:p>
        </w:tc>
        <w:tc>
          <w:tcPr>
            <w:tcW w:w="960" w:type="dxa"/>
            <w:shd w:val="clear" w:color="000000" w:fill="FFFFFF"/>
            <w:noWrap/>
            <w:vAlign w:val="bottom"/>
          </w:tcPr>
          <w:p w14:paraId="4DC8D0BB" w14:textId="77777777" w:rsidR="001C45C0" w:rsidRPr="00B50A81" w:rsidRDefault="001C45C0" w:rsidP="001C45C0">
            <w:pPr>
              <w:jc w:val="right"/>
              <w:rPr>
                <w:rFonts w:asciiTheme="minorHAnsi" w:hAnsiTheme="minorHAnsi" w:cs="Arial"/>
                <w:color w:val="000000"/>
                <w:sz w:val="18"/>
                <w:szCs w:val="18"/>
              </w:rPr>
            </w:pPr>
            <w:r w:rsidRPr="00B50A81">
              <w:rPr>
                <w:rFonts w:asciiTheme="minorHAnsi" w:hAnsiTheme="minorHAnsi" w:cs="Arial"/>
                <w:color w:val="000000"/>
                <w:sz w:val="18"/>
                <w:szCs w:val="18"/>
              </w:rPr>
              <w:t xml:space="preserve">301 </w:t>
            </w:r>
          </w:p>
        </w:tc>
        <w:tc>
          <w:tcPr>
            <w:tcW w:w="931" w:type="dxa"/>
            <w:shd w:val="clear" w:color="000000" w:fill="FFFFFF"/>
            <w:noWrap/>
            <w:vAlign w:val="bottom"/>
          </w:tcPr>
          <w:p w14:paraId="2BFC65E2" w14:textId="77777777" w:rsidR="001C45C0" w:rsidRPr="00B50A81" w:rsidRDefault="001C45C0" w:rsidP="001C45C0">
            <w:pPr>
              <w:jc w:val="right"/>
              <w:rPr>
                <w:rFonts w:asciiTheme="minorHAnsi" w:hAnsiTheme="minorHAnsi" w:cs="Arial"/>
                <w:color w:val="000000"/>
                <w:sz w:val="18"/>
                <w:szCs w:val="18"/>
              </w:rPr>
            </w:pPr>
            <w:r>
              <w:rPr>
                <w:rFonts w:asciiTheme="minorHAnsi" w:hAnsiTheme="minorHAnsi" w:cs="Arial"/>
                <w:color w:val="000000"/>
                <w:sz w:val="18"/>
                <w:szCs w:val="18"/>
              </w:rPr>
              <w:t>23.6</w:t>
            </w:r>
            <w:r w:rsidRPr="00B50A81">
              <w:rPr>
                <w:rFonts w:asciiTheme="minorHAnsi" w:hAnsiTheme="minorHAnsi" w:cs="Arial"/>
                <w:color w:val="000000"/>
                <w:sz w:val="18"/>
                <w:szCs w:val="18"/>
              </w:rPr>
              <w:t xml:space="preserve">% </w:t>
            </w:r>
          </w:p>
        </w:tc>
      </w:tr>
      <w:tr w:rsidR="001C45C0" w:rsidRPr="00B50A81" w14:paraId="456B099A" w14:textId="77777777" w:rsidTr="001C45C0">
        <w:trPr>
          <w:trHeight w:val="300"/>
        </w:trPr>
        <w:tc>
          <w:tcPr>
            <w:tcW w:w="426" w:type="dxa"/>
            <w:shd w:val="clear" w:color="000000" w:fill="FFFFFF"/>
            <w:noWrap/>
            <w:vAlign w:val="bottom"/>
          </w:tcPr>
          <w:p w14:paraId="23F8E3C5" w14:textId="77777777" w:rsidR="001C45C0" w:rsidRPr="00B50A81" w:rsidRDefault="001C45C0" w:rsidP="001C45C0">
            <w:pPr>
              <w:rPr>
                <w:rFonts w:asciiTheme="minorHAnsi" w:hAnsiTheme="minorHAnsi" w:cs="Arial"/>
                <w:color w:val="000000"/>
                <w:sz w:val="18"/>
                <w:szCs w:val="18"/>
              </w:rPr>
            </w:pPr>
            <w:r w:rsidRPr="00B50A81">
              <w:rPr>
                <w:rFonts w:asciiTheme="minorHAnsi" w:hAnsiTheme="minorHAnsi" w:cs="Arial"/>
                <w:color w:val="000000"/>
                <w:sz w:val="18"/>
                <w:szCs w:val="18"/>
              </w:rPr>
              <w:t>3</w:t>
            </w:r>
          </w:p>
        </w:tc>
        <w:tc>
          <w:tcPr>
            <w:tcW w:w="2455" w:type="dxa"/>
            <w:shd w:val="clear" w:color="000000" w:fill="FFFFFF"/>
            <w:noWrap/>
            <w:vAlign w:val="bottom"/>
          </w:tcPr>
          <w:p w14:paraId="1E46BFB4" w14:textId="77777777" w:rsidR="001C45C0" w:rsidRPr="00B50A81" w:rsidRDefault="001C45C0" w:rsidP="001C45C0">
            <w:pPr>
              <w:ind w:right="-62"/>
              <w:rPr>
                <w:rFonts w:asciiTheme="minorHAnsi" w:hAnsiTheme="minorHAnsi" w:cs="Arial"/>
                <w:color w:val="000000"/>
                <w:sz w:val="18"/>
                <w:szCs w:val="18"/>
              </w:rPr>
            </w:pPr>
            <w:r>
              <w:rPr>
                <w:rFonts w:asciiTheme="minorHAnsi" w:hAnsiTheme="minorHAnsi" w:cs="Arial"/>
                <w:color w:val="000000"/>
                <w:sz w:val="18"/>
                <w:szCs w:val="18"/>
              </w:rPr>
              <w:t xml:space="preserve">73338 and </w:t>
            </w:r>
            <w:r w:rsidRPr="00B50A81">
              <w:rPr>
                <w:rFonts w:asciiTheme="minorHAnsi" w:hAnsiTheme="minorHAnsi" w:cs="Arial"/>
                <w:color w:val="000000"/>
                <w:sz w:val="18"/>
                <w:szCs w:val="18"/>
              </w:rPr>
              <w:t>73939</w:t>
            </w:r>
          </w:p>
        </w:tc>
        <w:tc>
          <w:tcPr>
            <w:tcW w:w="1017" w:type="dxa"/>
            <w:shd w:val="clear" w:color="000000" w:fill="FFFFFF"/>
            <w:noWrap/>
            <w:vAlign w:val="bottom"/>
          </w:tcPr>
          <w:p w14:paraId="1B352CA4" w14:textId="77777777" w:rsidR="001C45C0" w:rsidRPr="00B50A81" w:rsidRDefault="001C45C0" w:rsidP="001C45C0">
            <w:pPr>
              <w:jc w:val="right"/>
              <w:rPr>
                <w:rFonts w:asciiTheme="minorHAnsi" w:hAnsiTheme="minorHAnsi" w:cs="Arial"/>
                <w:color w:val="000000"/>
                <w:sz w:val="18"/>
                <w:szCs w:val="18"/>
              </w:rPr>
            </w:pPr>
            <w:r w:rsidRPr="00B50A81">
              <w:rPr>
                <w:rFonts w:asciiTheme="minorHAnsi" w:hAnsiTheme="minorHAnsi" w:cs="Arial"/>
                <w:color w:val="000000"/>
                <w:sz w:val="18"/>
                <w:szCs w:val="18"/>
              </w:rPr>
              <w:t xml:space="preserve">198 </w:t>
            </w:r>
          </w:p>
        </w:tc>
        <w:tc>
          <w:tcPr>
            <w:tcW w:w="960" w:type="dxa"/>
            <w:shd w:val="clear" w:color="000000" w:fill="FFFFFF"/>
            <w:noWrap/>
            <w:vAlign w:val="bottom"/>
          </w:tcPr>
          <w:p w14:paraId="61FE57A8" w14:textId="77777777" w:rsidR="001C45C0" w:rsidRPr="00B50A81" w:rsidRDefault="001C45C0" w:rsidP="001C45C0">
            <w:pPr>
              <w:jc w:val="right"/>
              <w:rPr>
                <w:rFonts w:asciiTheme="minorHAnsi" w:hAnsiTheme="minorHAnsi" w:cs="Arial"/>
                <w:color w:val="000000"/>
                <w:sz w:val="18"/>
                <w:szCs w:val="18"/>
              </w:rPr>
            </w:pPr>
            <w:r w:rsidRPr="00B50A81">
              <w:rPr>
                <w:rFonts w:asciiTheme="minorHAnsi" w:hAnsiTheme="minorHAnsi" w:cs="Arial"/>
                <w:color w:val="000000"/>
                <w:sz w:val="18"/>
                <w:szCs w:val="18"/>
              </w:rPr>
              <w:t xml:space="preserve">396 </w:t>
            </w:r>
          </w:p>
        </w:tc>
        <w:tc>
          <w:tcPr>
            <w:tcW w:w="1286" w:type="dxa"/>
            <w:shd w:val="clear" w:color="000000" w:fill="FFFFFF"/>
            <w:noWrap/>
            <w:vAlign w:val="bottom"/>
          </w:tcPr>
          <w:p w14:paraId="7575BE31" w14:textId="77777777" w:rsidR="001C45C0" w:rsidRPr="00B50A81" w:rsidRDefault="001C45C0" w:rsidP="001C45C0">
            <w:pPr>
              <w:jc w:val="right"/>
              <w:rPr>
                <w:rFonts w:asciiTheme="minorHAnsi" w:hAnsiTheme="minorHAnsi" w:cs="Arial"/>
                <w:color w:val="000000"/>
                <w:sz w:val="18"/>
                <w:szCs w:val="18"/>
              </w:rPr>
            </w:pPr>
            <w:r w:rsidRPr="00B50A81">
              <w:rPr>
                <w:rFonts w:asciiTheme="minorHAnsi" w:hAnsiTheme="minorHAnsi" w:cs="Arial"/>
                <w:color w:val="000000"/>
                <w:sz w:val="18"/>
                <w:szCs w:val="18"/>
              </w:rPr>
              <w:t xml:space="preserve">$72,268 </w:t>
            </w:r>
          </w:p>
        </w:tc>
        <w:tc>
          <w:tcPr>
            <w:tcW w:w="960" w:type="dxa"/>
            <w:shd w:val="clear" w:color="000000" w:fill="FFFFFF"/>
            <w:noWrap/>
            <w:vAlign w:val="bottom"/>
          </w:tcPr>
          <w:p w14:paraId="410E48CC" w14:textId="77777777" w:rsidR="001C45C0" w:rsidRPr="00B50A81" w:rsidRDefault="001C45C0" w:rsidP="001C45C0">
            <w:pPr>
              <w:jc w:val="right"/>
              <w:rPr>
                <w:rFonts w:asciiTheme="minorHAnsi" w:hAnsiTheme="minorHAnsi" w:cs="Arial"/>
                <w:color w:val="000000"/>
                <w:sz w:val="18"/>
                <w:szCs w:val="18"/>
              </w:rPr>
            </w:pPr>
            <w:r w:rsidRPr="00B50A81">
              <w:rPr>
                <w:rFonts w:asciiTheme="minorHAnsi" w:hAnsiTheme="minorHAnsi" w:cs="Arial"/>
                <w:color w:val="000000"/>
                <w:sz w:val="18"/>
                <w:szCs w:val="18"/>
              </w:rPr>
              <w:t xml:space="preserve">195 </w:t>
            </w:r>
          </w:p>
        </w:tc>
        <w:tc>
          <w:tcPr>
            <w:tcW w:w="931" w:type="dxa"/>
            <w:shd w:val="clear" w:color="000000" w:fill="FFFFFF"/>
            <w:noWrap/>
            <w:vAlign w:val="bottom"/>
          </w:tcPr>
          <w:p w14:paraId="5C0BA2A2" w14:textId="77777777" w:rsidR="001C45C0" w:rsidRPr="00B50A81" w:rsidRDefault="001C45C0" w:rsidP="001C45C0">
            <w:pPr>
              <w:jc w:val="right"/>
              <w:rPr>
                <w:rFonts w:asciiTheme="minorHAnsi" w:hAnsiTheme="minorHAnsi" w:cs="Arial"/>
                <w:color w:val="000000"/>
                <w:sz w:val="18"/>
                <w:szCs w:val="18"/>
              </w:rPr>
            </w:pPr>
            <w:r>
              <w:rPr>
                <w:rFonts w:asciiTheme="minorHAnsi" w:hAnsiTheme="minorHAnsi" w:cs="Arial"/>
                <w:color w:val="000000"/>
                <w:sz w:val="18"/>
                <w:szCs w:val="18"/>
              </w:rPr>
              <w:t>15.4</w:t>
            </w:r>
            <w:r w:rsidRPr="00B50A81">
              <w:rPr>
                <w:rFonts w:asciiTheme="minorHAnsi" w:hAnsiTheme="minorHAnsi" w:cs="Arial"/>
                <w:color w:val="000000"/>
                <w:sz w:val="18"/>
                <w:szCs w:val="18"/>
              </w:rPr>
              <w:t xml:space="preserve">% </w:t>
            </w:r>
          </w:p>
        </w:tc>
      </w:tr>
      <w:tr w:rsidR="001C45C0" w:rsidRPr="00B50A81" w14:paraId="60976782" w14:textId="77777777" w:rsidTr="001C45C0">
        <w:trPr>
          <w:trHeight w:val="300"/>
        </w:trPr>
        <w:tc>
          <w:tcPr>
            <w:tcW w:w="426" w:type="dxa"/>
            <w:shd w:val="clear" w:color="000000" w:fill="FFFFFF"/>
            <w:noWrap/>
            <w:vAlign w:val="bottom"/>
          </w:tcPr>
          <w:p w14:paraId="365C303D" w14:textId="77777777" w:rsidR="001C45C0" w:rsidRPr="00B50A81" w:rsidRDefault="001C45C0" w:rsidP="001C45C0">
            <w:pPr>
              <w:rPr>
                <w:rFonts w:asciiTheme="minorHAnsi" w:hAnsiTheme="minorHAnsi" w:cs="Arial"/>
                <w:color w:val="000000"/>
                <w:sz w:val="18"/>
                <w:szCs w:val="18"/>
              </w:rPr>
            </w:pPr>
            <w:r w:rsidRPr="00B50A81">
              <w:rPr>
                <w:rFonts w:asciiTheme="minorHAnsi" w:hAnsiTheme="minorHAnsi" w:cs="Arial"/>
                <w:color w:val="000000"/>
                <w:sz w:val="18"/>
                <w:szCs w:val="18"/>
              </w:rPr>
              <w:t>4</w:t>
            </w:r>
          </w:p>
        </w:tc>
        <w:tc>
          <w:tcPr>
            <w:tcW w:w="2455" w:type="dxa"/>
            <w:shd w:val="clear" w:color="000000" w:fill="FFFFFF"/>
            <w:noWrap/>
            <w:vAlign w:val="bottom"/>
          </w:tcPr>
          <w:p w14:paraId="09B35F18" w14:textId="77777777" w:rsidR="001C45C0" w:rsidRPr="00B50A81" w:rsidRDefault="001C45C0" w:rsidP="001C45C0">
            <w:pPr>
              <w:rPr>
                <w:rFonts w:asciiTheme="minorHAnsi" w:hAnsiTheme="minorHAnsi" w:cs="Arial"/>
                <w:color w:val="000000"/>
                <w:sz w:val="18"/>
                <w:szCs w:val="18"/>
              </w:rPr>
            </w:pPr>
            <w:r>
              <w:rPr>
                <w:rFonts w:asciiTheme="minorHAnsi" w:hAnsiTheme="minorHAnsi" w:cs="Arial"/>
                <w:color w:val="000000"/>
                <w:sz w:val="18"/>
                <w:szCs w:val="18"/>
              </w:rPr>
              <w:t xml:space="preserve">73338 and </w:t>
            </w:r>
            <w:r w:rsidRPr="00B50A81">
              <w:rPr>
                <w:rFonts w:asciiTheme="minorHAnsi" w:hAnsiTheme="minorHAnsi" w:cs="Arial"/>
                <w:color w:val="000000"/>
                <w:sz w:val="18"/>
                <w:szCs w:val="18"/>
              </w:rPr>
              <w:t>73938</w:t>
            </w:r>
          </w:p>
        </w:tc>
        <w:tc>
          <w:tcPr>
            <w:tcW w:w="1017" w:type="dxa"/>
            <w:shd w:val="clear" w:color="000000" w:fill="FFFFFF"/>
            <w:noWrap/>
            <w:vAlign w:val="bottom"/>
          </w:tcPr>
          <w:p w14:paraId="4153C168" w14:textId="77777777" w:rsidR="001C45C0" w:rsidRPr="00B50A81" w:rsidRDefault="001C45C0" w:rsidP="001C45C0">
            <w:pPr>
              <w:jc w:val="right"/>
              <w:rPr>
                <w:rFonts w:asciiTheme="minorHAnsi" w:hAnsiTheme="minorHAnsi" w:cs="Arial"/>
                <w:color w:val="000000"/>
                <w:sz w:val="18"/>
                <w:szCs w:val="18"/>
              </w:rPr>
            </w:pPr>
            <w:r w:rsidRPr="00B50A81">
              <w:rPr>
                <w:rFonts w:asciiTheme="minorHAnsi" w:hAnsiTheme="minorHAnsi" w:cs="Arial"/>
                <w:color w:val="000000"/>
                <w:sz w:val="18"/>
                <w:szCs w:val="18"/>
              </w:rPr>
              <w:t xml:space="preserve">169 </w:t>
            </w:r>
          </w:p>
        </w:tc>
        <w:tc>
          <w:tcPr>
            <w:tcW w:w="960" w:type="dxa"/>
            <w:shd w:val="clear" w:color="000000" w:fill="FFFFFF"/>
            <w:noWrap/>
            <w:vAlign w:val="bottom"/>
          </w:tcPr>
          <w:p w14:paraId="452F9AA2" w14:textId="77777777" w:rsidR="001C45C0" w:rsidRPr="00B50A81" w:rsidRDefault="001C45C0" w:rsidP="001C45C0">
            <w:pPr>
              <w:jc w:val="right"/>
              <w:rPr>
                <w:rFonts w:asciiTheme="minorHAnsi" w:hAnsiTheme="minorHAnsi" w:cs="Arial"/>
                <w:color w:val="000000"/>
                <w:sz w:val="18"/>
                <w:szCs w:val="18"/>
              </w:rPr>
            </w:pPr>
            <w:r w:rsidRPr="00B50A81">
              <w:rPr>
                <w:rFonts w:asciiTheme="minorHAnsi" w:hAnsiTheme="minorHAnsi" w:cs="Arial"/>
                <w:color w:val="000000"/>
                <w:sz w:val="18"/>
                <w:szCs w:val="18"/>
              </w:rPr>
              <w:t xml:space="preserve">338 </w:t>
            </w:r>
          </w:p>
        </w:tc>
        <w:tc>
          <w:tcPr>
            <w:tcW w:w="1286" w:type="dxa"/>
            <w:shd w:val="clear" w:color="000000" w:fill="FFFFFF"/>
            <w:noWrap/>
            <w:vAlign w:val="bottom"/>
          </w:tcPr>
          <w:p w14:paraId="4E4C0940" w14:textId="77777777" w:rsidR="001C45C0" w:rsidRPr="00B50A81" w:rsidRDefault="001C45C0" w:rsidP="001C45C0">
            <w:pPr>
              <w:jc w:val="right"/>
              <w:rPr>
                <w:rFonts w:asciiTheme="minorHAnsi" w:hAnsiTheme="minorHAnsi" w:cs="Arial"/>
                <w:color w:val="000000"/>
                <w:sz w:val="18"/>
                <w:szCs w:val="18"/>
              </w:rPr>
            </w:pPr>
            <w:r w:rsidRPr="00B50A81">
              <w:rPr>
                <w:rFonts w:asciiTheme="minorHAnsi" w:hAnsiTheme="minorHAnsi" w:cs="Arial"/>
                <w:color w:val="000000"/>
                <w:sz w:val="18"/>
                <w:szCs w:val="18"/>
              </w:rPr>
              <w:t xml:space="preserve">$62,621 </w:t>
            </w:r>
          </w:p>
        </w:tc>
        <w:tc>
          <w:tcPr>
            <w:tcW w:w="960" w:type="dxa"/>
            <w:shd w:val="clear" w:color="000000" w:fill="FFFFFF"/>
            <w:noWrap/>
            <w:vAlign w:val="bottom"/>
          </w:tcPr>
          <w:p w14:paraId="560BB244" w14:textId="77777777" w:rsidR="001C45C0" w:rsidRPr="00B50A81" w:rsidRDefault="001C45C0" w:rsidP="001C45C0">
            <w:pPr>
              <w:jc w:val="right"/>
              <w:rPr>
                <w:rFonts w:asciiTheme="minorHAnsi" w:hAnsiTheme="minorHAnsi" w:cs="Arial"/>
                <w:color w:val="000000"/>
                <w:sz w:val="18"/>
                <w:szCs w:val="18"/>
              </w:rPr>
            </w:pPr>
            <w:r w:rsidRPr="00B50A81">
              <w:rPr>
                <w:rFonts w:asciiTheme="minorHAnsi" w:hAnsiTheme="minorHAnsi" w:cs="Arial"/>
                <w:color w:val="000000"/>
                <w:sz w:val="18"/>
                <w:szCs w:val="18"/>
              </w:rPr>
              <w:t xml:space="preserve">168 </w:t>
            </w:r>
          </w:p>
        </w:tc>
        <w:tc>
          <w:tcPr>
            <w:tcW w:w="931" w:type="dxa"/>
            <w:shd w:val="clear" w:color="000000" w:fill="FFFFFF"/>
            <w:noWrap/>
            <w:vAlign w:val="bottom"/>
          </w:tcPr>
          <w:p w14:paraId="19C2C8A0" w14:textId="77777777" w:rsidR="001C45C0" w:rsidRPr="00B50A81" w:rsidRDefault="001C45C0" w:rsidP="001C45C0">
            <w:pPr>
              <w:jc w:val="right"/>
              <w:rPr>
                <w:rFonts w:asciiTheme="minorHAnsi" w:hAnsiTheme="minorHAnsi" w:cs="Arial"/>
                <w:color w:val="000000"/>
                <w:sz w:val="18"/>
                <w:szCs w:val="18"/>
              </w:rPr>
            </w:pPr>
            <w:r w:rsidRPr="00B50A81">
              <w:rPr>
                <w:rFonts w:asciiTheme="minorHAnsi" w:hAnsiTheme="minorHAnsi" w:cs="Arial"/>
                <w:color w:val="000000"/>
                <w:sz w:val="18"/>
                <w:szCs w:val="18"/>
              </w:rPr>
              <w:t xml:space="preserve">13.1% </w:t>
            </w:r>
          </w:p>
        </w:tc>
      </w:tr>
      <w:tr w:rsidR="001C45C0" w:rsidRPr="00B50A81" w14:paraId="72FC7DD8" w14:textId="77777777" w:rsidTr="001C45C0">
        <w:trPr>
          <w:trHeight w:val="300"/>
        </w:trPr>
        <w:tc>
          <w:tcPr>
            <w:tcW w:w="426" w:type="dxa"/>
            <w:shd w:val="clear" w:color="000000" w:fill="FFFFFF"/>
            <w:noWrap/>
            <w:vAlign w:val="bottom"/>
          </w:tcPr>
          <w:p w14:paraId="2B6AC7B6" w14:textId="77777777" w:rsidR="001C45C0" w:rsidRPr="00B50A81" w:rsidRDefault="001C45C0" w:rsidP="001C45C0">
            <w:pPr>
              <w:rPr>
                <w:rFonts w:asciiTheme="minorHAnsi" w:hAnsiTheme="minorHAnsi" w:cs="Arial"/>
                <w:color w:val="000000"/>
                <w:sz w:val="18"/>
                <w:szCs w:val="18"/>
              </w:rPr>
            </w:pPr>
            <w:r w:rsidRPr="00B50A81">
              <w:rPr>
                <w:rFonts w:asciiTheme="minorHAnsi" w:hAnsiTheme="minorHAnsi" w:cs="Arial"/>
                <w:color w:val="000000"/>
                <w:sz w:val="18"/>
                <w:szCs w:val="18"/>
              </w:rPr>
              <w:t>5</w:t>
            </w:r>
          </w:p>
        </w:tc>
        <w:tc>
          <w:tcPr>
            <w:tcW w:w="2455" w:type="dxa"/>
            <w:shd w:val="clear" w:color="000000" w:fill="FFFFFF"/>
            <w:noWrap/>
            <w:vAlign w:val="bottom"/>
          </w:tcPr>
          <w:p w14:paraId="3A7C50A8" w14:textId="77777777" w:rsidR="001C45C0" w:rsidRPr="00B50A81" w:rsidRDefault="001C45C0" w:rsidP="001C45C0">
            <w:pPr>
              <w:rPr>
                <w:rFonts w:asciiTheme="minorHAnsi" w:hAnsiTheme="minorHAnsi" w:cs="Arial"/>
                <w:color w:val="000000"/>
                <w:sz w:val="18"/>
                <w:szCs w:val="18"/>
              </w:rPr>
            </w:pPr>
            <w:r>
              <w:rPr>
                <w:rFonts w:asciiTheme="minorHAnsi" w:hAnsiTheme="minorHAnsi" w:cs="Arial"/>
                <w:color w:val="000000"/>
                <w:sz w:val="18"/>
                <w:szCs w:val="18"/>
              </w:rPr>
              <w:t xml:space="preserve">73338 and </w:t>
            </w:r>
            <w:r w:rsidRPr="00B50A81">
              <w:rPr>
                <w:rFonts w:asciiTheme="minorHAnsi" w:hAnsiTheme="minorHAnsi" w:cs="Arial"/>
                <w:color w:val="000000"/>
                <w:sz w:val="18"/>
                <w:szCs w:val="18"/>
              </w:rPr>
              <w:t>72846</w:t>
            </w:r>
          </w:p>
        </w:tc>
        <w:tc>
          <w:tcPr>
            <w:tcW w:w="1017" w:type="dxa"/>
            <w:shd w:val="clear" w:color="000000" w:fill="FFFFFF"/>
            <w:noWrap/>
            <w:vAlign w:val="bottom"/>
          </w:tcPr>
          <w:p w14:paraId="4E2F1812" w14:textId="77777777" w:rsidR="001C45C0" w:rsidRPr="00B50A81" w:rsidRDefault="001C45C0" w:rsidP="001C45C0">
            <w:pPr>
              <w:jc w:val="right"/>
              <w:rPr>
                <w:rFonts w:asciiTheme="minorHAnsi" w:hAnsiTheme="minorHAnsi" w:cs="Arial"/>
                <w:color w:val="000000"/>
                <w:sz w:val="18"/>
                <w:szCs w:val="18"/>
              </w:rPr>
            </w:pPr>
            <w:r w:rsidRPr="00B50A81">
              <w:rPr>
                <w:rFonts w:asciiTheme="minorHAnsi" w:hAnsiTheme="minorHAnsi" w:cs="Arial"/>
                <w:color w:val="000000"/>
                <w:sz w:val="18"/>
                <w:szCs w:val="18"/>
              </w:rPr>
              <w:t xml:space="preserve">57 </w:t>
            </w:r>
          </w:p>
        </w:tc>
        <w:tc>
          <w:tcPr>
            <w:tcW w:w="960" w:type="dxa"/>
            <w:shd w:val="clear" w:color="000000" w:fill="FFFFFF"/>
            <w:noWrap/>
            <w:vAlign w:val="bottom"/>
          </w:tcPr>
          <w:p w14:paraId="7FBB389C" w14:textId="77777777" w:rsidR="001C45C0" w:rsidRPr="00B50A81" w:rsidRDefault="001C45C0" w:rsidP="001C45C0">
            <w:pPr>
              <w:jc w:val="right"/>
              <w:rPr>
                <w:rFonts w:asciiTheme="minorHAnsi" w:hAnsiTheme="minorHAnsi" w:cs="Arial"/>
                <w:color w:val="000000"/>
                <w:sz w:val="18"/>
                <w:szCs w:val="18"/>
              </w:rPr>
            </w:pPr>
            <w:r w:rsidRPr="00B50A81">
              <w:rPr>
                <w:rFonts w:asciiTheme="minorHAnsi" w:hAnsiTheme="minorHAnsi" w:cs="Arial"/>
                <w:color w:val="000000"/>
                <w:sz w:val="18"/>
                <w:szCs w:val="18"/>
              </w:rPr>
              <w:t xml:space="preserve">116 </w:t>
            </w:r>
          </w:p>
        </w:tc>
        <w:tc>
          <w:tcPr>
            <w:tcW w:w="1286" w:type="dxa"/>
            <w:shd w:val="clear" w:color="000000" w:fill="FFFFFF"/>
            <w:noWrap/>
            <w:vAlign w:val="bottom"/>
          </w:tcPr>
          <w:p w14:paraId="4C77C337" w14:textId="77777777" w:rsidR="001C45C0" w:rsidRPr="00B50A81" w:rsidRDefault="001C45C0" w:rsidP="001C45C0">
            <w:pPr>
              <w:jc w:val="right"/>
              <w:rPr>
                <w:rFonts w:asciiTheme="minorHAnsi" w:hAnsiTheme="minorHAnsi" w:cs="Arial"/>
                <w:color w:val="000000"/>
                <w:sz w:val="18"/>
                <w:szCs w:val="18"/>
              </w:rPr>
            </w:pPr>
            <w:r w:rsidRPr="00B50A81">
              <w:rPr>
                <w:rFonts w:asciiTheme="minorHAnsi" w:hAnsiTheme="minorHAnsi" w:cs="Arial"/>
                <w:color w:val="000000"/>
                <w:sz w:val="18"/>
                <w:szCs w:val="18"/>
              </w:rPr>
              <w:t xml:space="preserve">$24,065 </w:t>
            </w:r>
          </w:p>
        </w:tc>
        <w:tc>
          <w:tcPr>
            <w:tcW w:w="960" w:type="dxa"/>
            <w:shd w:val="clear" w:color="000000" w:fill="FFFFFF"/>
            <w:noWrap/>
            <w:vAlign w:val="bottom"/>
          </w:tcPr>
          <w:p w14:paraId="2988E947" w14:textId="77777777" w:rsidR="001C45C0" w:rsidRPr="00B50A81" w:rsidRDefault="001C45C0" w:rsidP="001C45C0">
            <w:pPr>
              <w:jc w:val="right"/>
              <w:rPr>
                <w:rFonts w:asciiTheme="minorHAnsi" w:hAnsiTheme="minorHAnsi" w:cs="Arial"/>
                <w:color w:val="000000"/>
                <w:sz w:val="18"/>
                <w:szCs w:val="18"/>
              </w:rPr>
            </w:pPr>
            <w:r w:rsidRPr="00B50A81">
              <w:rPr>
                <w:rFonts w:asciiTheme="minorHAnsi" w:hAnsiTheme="minorHAnsi" w:cs="Arial"/>
                <w:color w:val="000000"/>
                <w:sz w:val="18"/>
                <w:szCs w:val="18"/>
              </w:rPr>
              <w:t xml:space="preserve">56 </w:t>
            </w:r>
          </w:p>
        </w:tc>
        <w:tc>
          <w:tcPr>
            <w:tcW w:w="931" w:type="dxa"/>
            <w:shd w:val="clear" w:color="000000" w:fill="FFFFFF"/>
            <w:noWrap/>
            <w:vAlign w:val="bottom"/>
          </w:tcPr>
          <w:p w14:paraId="046A0989" w14:textId="77777777" w:rsidR="001C45C0" w:rsidRPr="00B50A81" w:rsidRDefault="001C45C0" w:rsidP="001C45C0">
            <w:pPr>
              <w:jc w:val="right"/>
              <w:rPr>
                <w:rFonts w:asciiTheme="minorHAnsi" w:hAnsiTheme="minorHAnsi" w:cs="Arial"/>
                <w:color w:val="000000"/>
                <w:sz w:val="18"/>
                <w:szCs w:val="18"/>
              </w:rPr>
            </w:pPr>
            <w:r>
              <w:rPr>
                <w:rFonts w:asciiTheme="minorHAnsi" w:hAnsiTheme="minorHAnsi" w:cs="Arial"/>
                <w:color w:val="000000"/>
                <w:sz w:val="18"/>
                <w:szCs w:val="18"/>
              </w:rPr>
              <w:t>4.4</w:t>
            </w:r>
            <w:r w:rsidRPr="00B50A81">
              <w:rPr>
                <w:rFonts w:asciiTheme="minorHAnsi" w:hAnsiTheme="minorHAnsi" w:cs="Arial"/>
                <w:color w:val="000000"/>
                <w:sz w:val="18"/>
                <w:szCs w:val="18"/>
              </w:rPr>
              <w:t xml:space="preserve">% </w:t>
            </w:r>
          </w:p>
        </w:tc>
      </w:tr>
    </w:tbl>
    <w:p w14:paraId="17AFEE58" w14:textId="77777777" w:rsidR="001C45C0" w:rsidRPr="00204085" w:rsidRDefault="001C45C0" w:rsidP="001C45C0">
      <w:pPr>
        <w:pStyle w:val="Heading5"/>
        <w:rPr>
          <w:rFonts w:asciiTheme="minorHAnsi" w:hAnsiTheme="minorHAnsi"/>
          <w:b/>
          <w:color w:val="auto"/>
          <w:sz w:val="20"/>
          <w:highlight w:val="yellow"/>
        </w:rPr>
      </w:pPr>
      <w:r w:rsidRPr="00204085">
        <w:rPr>
          <w:rFonts w:asciiTheme="minorHAnsi" w:hAnsiTheme="minorHAnsi"/>
          <w:b/>
          <w:color w:val="auto"/>
          <w:sz w:val="20"/>
        </w:rPr>
        <w:t xml:space="preserve">Table 7: Top 5 instances of co-claiming with MBS item 73338 in 2015-16 </w:t>
      </w:r>
    </w:p>
    <w:tbl>
      <w:tblPr>
        <w:tblW w:w="8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MBS item 73338 - co-claiming data in 2015-16"/>
      </w:tblPr>
      <w:tblGrid>
        <w:gridCol w:w="426"/>
        <w:gridCol w:w="2455"/>
        <w:gridCol w:w="1017"/>
        <w:gridCol w:w="960"/>
        <w:gridCol w:w="1286"/>
        <w:gridCol w:w="960"/>
        <w:gridCol w:w="997"/>
      </w:tblGrid>
      <w:tr w:rsidR="001C45C0" w:rsidRPr="00B50A81" w14:paraId="5CCFDD87" w14:textId="77777777" w:rsidTr="001C45C0">
        <w:trPr>
          <w:trHeight w:val="721"/>
        </w:trPr>
        <w:tc>
          <w:tcPr>
            <w:tcW w:w="426" w:type="dxa"/>
            <w:shd w:val="clear" w:color="auto" w:fill="548DD4" w:themeFill="text2" w:themeFillTint="99"/>
            <w:vAlign w:val="center"/>
            <w:hideMark/>
          </w:tcPr>
          <w:p w14:paraId="53576F53" w14:textId="77777777" w:rsidR="001C45C0" w:rsidRPr="00B50A81" w:rsidRDefault="001C45C0" w:rsidP="001C45C0">
            <w:pPr>
              <w:jc w:val="center"/>
              <w:rPr>
                <w:rFonts w:asciiTheme="minorHAnsi" w:hAnsiTheme="minorHAnsi" w:cs="Arial"/>
                <w:b/>
                <w:bCs/>
                <w:color w:val="FFFFFF"/>
                <w:sz w:val="18"/>
                <w:szCs w:val="18"/>
              </w:rPr>
            </w:pPr>
            <w:r w:rsidRPr="00B50A81">
              <w:rPr>
                <w:rFonts w:asciiTheme="minorHAnsi" w:hAnsiTheme="minorHAnsi" w:cs="Arial"/>
                <w:b/>
                <w:bCs/>
                <w:color w:val="FFFFFF"/>
                <w:sz w:val="18"/>
                <w:szCs w:val="18"/>
              </w:rPr>
              <w:t>#</w:t>
            </w:r>
          </w:p>
        </w:tc>
        <w:tc>
          <w:tcPr>
            <w:tcW w:w="2455" w:type="dxa"/>
            <w:shd w:val="clear" w:color="auto" w:fill="548DD4" w:themeFill="text2" w:themeFillTint="99"/>
            <w:vAlign w:val="center"/>
            <w:hideMark/>
          </w:tcPr>
          <w:p w14:paraId="5C569652" w14:textId="77777777" w:rsidR="001C45C0" w:rsidRPr="00B50A81" w:rsidRDefault="001C45C0" w:rsidP="001C45C0">
            <w:pPr>
              <w:jc w:val="center"/>
              <w:rPr>
                <w:rFonts w:asciiTheme="minorHAnsi" w:hAnsiTheme="minorHAnsi" w:cs="Arial"/>
                <w:b/>
                <w:bCs/>
                <w:color w:val="FFFFFF"/>
                <w:sz w:val="18"/>
                <w:szCs w:val="18"/>
              </w:rPr>
            </w:pPr>
            <w:r w:rsidRPr="00B50A81">
              <w:rPr>
                <w:rFonts w:asciiTheme="minorHAnsi" w:hAnsiTheme="minorHAnsi" w:cs="Arial"/>
                <w:b/>
                <w:bCs/>
                <w:color w:val="FFFFFF"/>
                <w:sz w:val="18"/>
                <w:szCs w:val="18"/>
              </w:rPr>
              <w:t>Items</w:t>
            </w:r>
          </w:p>
        </w:tc>
        <w:tc>
          <w:tcPr>
            <w:tcW w:w="1017" w:type="dxa"/>
            <w:shd w:val="clear" w:color="auto" w:fill="548DD4" w:themeFill="text2" w:themeFillTint="99"/>
            <w:vAlign w:val="center"/>
            <w:hideMark/>
          </w:tcPr>
          <w:p w14:paraId="00D1B976" w14:textId="77777777" w:rsidR="001C45C0" w:rsidRPr="00B50A81" w:rsidRDefault="001C45C0" w:rsidP="001C45C0">
            <w:pPr>
              <w:jc w:val="center"/>
              <w:rPr>
                <w:rFonts w:asciiTheme="minorHAnsi" w:hAnsiTheme="minorHAnsi" w:cs="Arial"/>
                <w:b/>
                <w:bCs/>
                <w:color w:val="FFFFFF"/>
                <w:sz w:val="18"/>
                <w:szCs w:val="18"/>
              </w:rPr>
            </w:pPr>
            <w:r w:rsidRPr="00B50A81">
              <w:rPr>
                <w:rFonts w:asciiTheme="minorHAnsi" w:hAnsiTheme="minorHAnsi" w:cs="Arial"/>
                <w:b/>
                <w:bCs/>
                <w:color w:val="FFFFFF"/>
                <w:sz w:val="18"/>
                <w:szCs w:val="18"/>
              </w:rPr>
              <w:t>Episodes</w:t>
            </w:r>
          </w:p>
        </w:tc>
        <w:tc>
          <w:tcPr>
            <w:tcW w:w="960" w:type="dxa"/>
            <w:shd w:val="clear" w:color="auto" w:fill="548DD4" w:themeFill="text2" w:themeFillTint="99"/>
            <w:vAlign w:val="center"/>
            <w:hideMark/>
          </w:tcPr>
          <w:p w14:paraId="08C4860A" w14:textId="77777777" w:rsidR="001C45C0" w:rsidRPr="00B50A81" w:rsidRDefault="001C45C0" w:rsidP="001C45C0">
            <w:pPr>
              <w:jc w:val="center"/>
              <w:rPr>
                <w:rFonts w:asciiTheme="minorHAnsi" w:hAnsiTheme="minorHAnsi" w:cs="Arial"/>
                <w:b/>
                <w:bCs/>
                <w:color w:val="FFFFFF"/>
                <w:sz w:val="18"/>
                <w:szCs w:val="18"/>
              </w:rPr>
            </w:pPr>
            <w:r w:rsidRPr="00B50A81">
              <w:rPr>
                <w:rFonts w:asciiTheme="minorHAnsi" w:hAnsiTheme="minorHAnsi" w:cs="Arial"/>
                <w:b/>
                <w:bCs/>
                <w:color w:val="FFFFFF"/>
                <w:sz w:val="18"/>
                <w:szCs w:val="18"/>
              </w:rPr>
              <w:t>Services</w:t>
            </w:r>
          </w:p>
        </w:tc>
        <w:tc>
          <w:tcPr>
            <w:tcW w:w="1286" w:type="dxa"/>
            <w:shd w:val="clear" w:color="auto" w:fill="548DD4" w:themeFill="text2" w:themeFillTint="99"/>
            <w:vAlign w:val="center"/>
            <w:hideMark/>
          </w:tcPr>
          <w:p w14:paraId="7656DA83" w14:textId="77777777" w:rsidR="001C45C0" w:rsidRPr="00B50A81" w:rsidRDefault="001C45C0" w:rsidP="001C45C0">
            <w:pPr>
              <w:jc w:val="center"/>
              <w:rPr>
                <w:rFonts w:asciiTheme="minorHAnsi" w:hAnsiTheme="minorHAnsi" w:cs="Arial"/>
                <w:b/>
                <w:bCs/>
                <w:color w:val="FFFFFF"/>
                <w:sz w:val="18"/>
                <w:szCs w:val="18"/>
              </w:rPr>
            </w:pPr>
            <w:r w:rsidRPr="00B50A81">
              <w:rPr>
                <w:rFonts w:asciiTheme="minorHAnsi" w:hAnsiTheme="minorHAnsi" w:cs="Arial"/>
                <w:b/>
                <w:bCs/>
                <w:color w:val="FFFFFF"/>
                <w:sz w:val="18"/>
                <w:szCs w:val="18"/>
              </w:rPr>
              <w:t>Schedule Fee for combination</w:t>
            </w:r>
          </w:p>
        </w:tc>
        <w:tc>
          <w:tcPr>
            <w:tcW w:w="960" w:type="dxa"/>
            <w:shd w:val="clear" w:color="auto" w:fill="548DD4" w:themeFill="text2" w:themeFillTint="99"/>
            <w:vAlign w:val="center"/>
            <w:hideMark/>
          </w:tcPr>
          <w:p w14:paraId="7D09D7B9" w14:textId="77777777" w:rsidR="001C45C0" w:rsidRPr="00B50A81" w:rsidRDefault="001C45C0" w:rsidP="001C45C0">
            <w:pPr>
              <w:jc w:val="center"/>
              <w:rPr>
                <w:rFonts w:asciiTheme="minorHAnsi" w:hAnsiTheme="minorHAnsi" w:cs="Arial"/>
                <w:b/>
                <w:bCs/>
                <w:color w:val="FFFFFF"/>
                <w:sz w:val="18"/>
                <w:szCs w:val="18"/>
              </w:rPr>
            </w:pPr>
            <w:r w:rsidRPr="00B50A81">
              <w:rPr>
                <w:rFonts w:asciiTheme="minorHAnsi" w:hAnsiTheme="minorHAnsi" w:cs="Arial"/>
                <w:b/>
                <w:bCs/>
                <w:color w:val="FFFFFF"/>
                <w:sz w:val="18"/>
                <w:szCs w:val="18"/>
              </w:rPr>
              <w:t>Number of patients</w:t>
            </w:r>
          </w:p>
        </w:tc>
        <w:tc>
          <w:tcPr>
            <w:tcW w:w="997" w:type="dxa"/>
            <w:shd w:val="clear" w:color="auto" w:fill="548DD4" w:themeFill="text2" w:themeFillTint="99"/>
            <w:vAlign w:val="center"/>
            <w:hideMark/>
          </w:tcPr>
          <w:p w14:paraId="7DA5CDAA" w14:textId="77777777" w:rsidR="001C45C0" w:rsidRPr="00B50A81" w:rsidRDefault="001C45C0" w:rsidP="001C45C0">
            <w:pPr>
              <w:jc w:val="center"/>
              <w:rPr>
                <w:rFonts w:asciiTheme="minorHAnsi" w:hAnsiTheme="minorHAnsi" w:cs="Arial"/>
                <w:b/>
                <w:bCs/>
                <w:color w:val="FFFFFF"/>
                <w:sz w:val="18"/>
                <w:szCs w:val="18"/>
              </w:rPr>
            </w:pPr>
            <w:r w:rsidRPr="00B50A81">
              <w:rPr>
                <w:rFonts w:asciiTheme="minorHAnsi" w:hAnsiTheme="minorHAnsi" w:cs="Arial"/>
                <w:b/>
                <w:bCs/>
                <w:color w:val="FFFFFF"/>
                <w:sz w:val="18"/>
                <w:szCs w:val="18"/>
              </w:rPr>
              <w:t>% of episodes</w:t>
            </w:r>
          </w:p>
        </w:tc>
      </w:tr>
      <w:tr w:rsidR="001C45C0" w:rsidRPr="00B50A81" w14:paraId="169F13E2" w14:textId="77777777" w:rsidTr="001C45C0">
        <w:trPr>
          <w:trHeight w:val="300"/>
        </w:trPr>
        <w:tc>
          <w:tcPr>
            <w:tcW w:w="426" w:type="dxa"/>
            <w:shd w:val="clear" w:color="000000" w:fill="FFFFFF"/>
            <w:noWrap/>
            <w:vAlign w:val="bottom"/>
          </w:tcPr>
          <w:p w14:paraId="2D727E1A" w14:textId="77777777" w:rsidR="001C45C0" w:rsidRPr="00B50A81" w:rsidRDefault="001C45C0" w:rsidP="001C45C0">
            <w:pPr>
              <w:rPr>
                <w:rFonts w:asciiTheme="minorHAnsi" w:hAnsiTheme="minorHAnsi" w:cs="Arial"/>
                <w:color w:val="000000"/>
                <w:sz w:val="18"/>
                <w:szCs w:val="18"/>
              </w:rPr>
            </w:pPr>
            <w:r w:rsidRPr="00B50A81">
              <w:rPr>
                <w:rFonts w:asciiTheme="minorHAnsi" w:hAnsiTheme="minorHAnsi" w:cs="Arial"/>
                <w:color w:val="000000"/>
                <w:sz w:val="18"/>
                <w:szCs w:val="18"/>
              </w:rPr>
              <w:t>1</w:t>
            </w:r>
          </w:p>
        </w:tc>
        <w:tc>
          <w:tcPr>
            <w:tcW w:w="2455" w:type="dxa"/>
            <w:shd w:val="clear" w:color="000000" w:fill="FFFFFF"/>
            <w:noWrap/>
            <w:vAlign w:val="bottom"/>
          </w:tcPr>
          <w:p w14:paraId="1C5C812A" w14:textId="77777777" w:rsidR="001C45C0" w:rsidRPr="00B50A81" w:rsidRDefault="001C45C0" w:rsidP="001C45C0">
            <w:pPr>
              <w:rPr>
                <w:rFonts w:asciiTheme="minorHAnsi" w:hAnsiTheme="minorHAnsi" w:cs="Arial"/>
                <w:color w:val="000000"/>
                <w:sz w:val="18"/>
                <w:szCs w:val="18"/>
              </w:rPr>
            </w:pPr>
            <w:r>
              <w:rPr>
                <w:rFonts w:asciiTheme="minorHAnsi" w:hAnsiTheme="minorHAnsi" w:cs="Arial"/>
                <w:color w:val="000000"/>
                <w:sz w:val="18"/>
                <w:szCs w:val="18"/>
              </w:rPr>
              <w:t xml:space="preserve">73338 and </w:t>
            </w:r>
            <w:r w:rsidRPr="00B50A81">
              <w:rPr>
                <w:rFonts w:asciiTheme="minorHAnsi" w:hAnsiTheme="minorHAnsi" w:cs="Arial"/>
                <w:color w:val="000000"/>
                <w:sz w:val="18"/>
                <w:szCs w:val="18"/>
              </w:rPr>
              <w:t>73940</w:t>
            </w:r>
          </w:p>
        </w:tc>
        <w:tc>
          <w:tcPr>
            <w:tcW w:w="1017" w:type="dxa"/>
            <w:shd w:val="clear" w:color="000000" w:fill="FFFFFF"/>
            <w:noWrap/>
            <w:vAlign w:val="bottom"/>
          </w:tcPr>
          <w:p w14:paraId="23D3FA4E" w14:textId="77777777" w:rsidR="001C45C0" w:rsidRPr="00B50A81" w:rsidRDefault="001C45C0" w:rsidP="001C45C0">
            <w:pPr>
              <w:jc w:val="right"/>
              <w:rPr>
                <w:rFonts w:asciiTheme="minorHAnsi" w:hAnsiTheme="minorHAnsi" w:cs="Arial"/>
                <w:color w:val="000000"/>
                <w:sz w:val="18"/>
                <w:szCs w:val="18"/>
              </w:rPr>
            </w:pPr>
            <w:r w:rsidRPr="00B50A81">
              <w:rPr>
                <w:rFonts w:asciiTheme="minorHAnsi" w:hAnsiTheme="minorHAnsi" w:cs="Arial"/>
                <w:color w:val="000000"/>
                <w:sz w:val="18"/>
                <w:szCs w:val="18"/>
              </w:rPr>
              <w:t>887</w:t>
            </w:r>
          </w:p>
        </w:tc>
        <w:tc>
          <w:tcPr>
            <w:tcW w:w="960" w:type="dxa"/>
            <w:shd w:val="clear" w:color="000000" w:fill="FFFFFF"/>
            <w:noWrap/>
            <w:vAlign w:val="bottom"/>
          </w:tcPr>
          <w:p w14:paraId="16365835" w14:textId="77777777" w:rsidR="001C45C0" w:rsidRPr="00B50A81" w:rsidRDefault="001C45C0" w:rsidP="001C45C0">
            <w:pPr>
              <w:jc w:val="right"/>
              <w:rPr>
                <w:rFonts w:asciiTheme="minorHAnsi" w:hAnsiTheme="minorHAnsi" w:cs="Arial"/>
                <w:color w:val="000000"/>
                <w:sz w:val="18"/>
                <w:szCs w:val="18"/>
              </w:rPr>
            </w:pPr>
            <w:r w:rsidRPr="00B50A81">
              <w:rPr>
                <w:rFonts w:asciiTheme="minorHAnsi" w:hAnsiTheme="minorHAnsi" w:cs="Arial"/>
                <w:color w:val="000000"/>
                <w:sz w:val="18"/>
                <w:szCs w:val="18"/>
              </w:rPr>
              <w:t>1826</w:t>
            </w:r>
          </w:p>
        </w:tc>
        <w:tc>
          <w:tcPr>
            <w:tcW w:w="1286" w:type="dxa"/>
            <w:shd w:val="clear" w:color="000000" w:fill="FFFFFF"/>
            <w:noWrap/>
            <w:vAlign w:val="bottom"/>
          </w:tcPr>
          <w:p w14:paraId="3DE2A2E0" w14:textId="77777777" w:rsidR="001C45C0" w:rsidRPr="00B50A81" w:rsidRDefault="001C45C0" w:rsidP="001C45C0">
            <w:pPr>
              <w:jc w:val="right"/>
              <w:rPr>
                <w:rFonts w:asciiTheme="minorHAnsi" w:hAnsiTheme="minorHAnsi" w:cs="Arial"/>
                <w:color w:val="000000"/>
                <w:sz w:val="18"/>
                <w:szCs w:val="18"/>
              </w:rPr>
            </w:pPr>
            <w:r w:rsidRPr="00B50A81">
              <w:rPr>
                <w:rFonts w:asciiTheme="minorHAnsi" w:hAnsiTheme="minorHAnsi" w:cs="Arial"/>
                <w:color w:val="000000"/>
                <w:sz w:val="18"/>
                <w:szCs w:val="18"/>
              </w:rPr>
              <w:t xml:space="preserve">$349,211 </w:t>
            </w:r>
          </w:p>
        </w:tc>
        <w:tc>
          <w:tcPr>
            <w:tcW w:w="960" w:type="dxa"/>
            <w:shd w:val="clear" w:color="000000" w:fill="FFFFFF"/>
            <w:noWrap/>
            <w:vAlign w:val="bottom"/>
          </w:tcPr>
          <w:p w14:paraId="3A8F3900" w14:textId="77777777" w:rsidR="001C45C0" w:rsidRPr="00B50A81" w:rsidRDefault="001C45C0" w:rsidP="001C45C0">
            <w:pPr>
              <w:jc w:val="right"/>
              <w:rPr>
                <w:rFonts w:asciiTheme="minorHAnsi" w:hAnsiTheme="minorHAnsi" w:cs="Arial"/>
                <w:color w:val="000000"/>
                <w:sz w:val="18"/>
                <w:szCs w:val="18"/>
              </w:rPr>
            </w:pPr>
            <w:r w:rsidRPr="00B50A81">
              <w:rPr>
                <w:rFonts w:asciiTheme="minorHAnsi" w:hAnsiTheme="minorHAnsi" w:cs="Arial"/>
                <w:color w:val="000000"/>
                <w:sz w:val="18"/>
                <w:szCs w:val="18"/>
              </w:rPr>
              <w:t>870</w:t>
            </w:r>
          </w:p>
        </w:tc>
        <w:tc>
          <w:tcPr>
            <w:tcW w:w="997" w:type="dxa"/>
            <w:shd w:val="clear" w:color="000000" w:fill="FFFFFF"/>
            <w:noWrap/>
            <w:vAlign w:val="bottom"/>
          </w:tcPr>
          <w:p w14:paraId="238A95BC" w14:textId="77777777" w:rsidR="001C45C0" w:rsidRPr="00B50A81" w:rsidRDefault="001C45C0" w:rsidP="001C45C0">
            <w:pPr>
              <w:jc w:val="right"/>
              <w:rPr>
                <w:rFonts w:asciiTheme="minorHAnsi" w:hAnsiTheme="minorHAnsi" w:cs="Arial"/>
                <w:color w:val="000000"/>
                <w:sz w:val="18"/>
                <w:szCs w:val="18"/>
              </w:rPr>
            </w:pPr>
            <w:r>
              <w:rPr>
                <w:rFonts w:asciiTheme="minorHAnsi" w:hAnsiTheme="minorHAnsi" w:cs="Arial"/>
                <w:color w:val="000000"/>
                <w:sz w:val="18"/>
                <w:szCs w:val="18"/>
              </w:rPr>
              <w:t>34.2</w:t>
            </w:r>
            <w:r w:rsidRPr="00B50A81">
              <w:rPr>
                <w:rFonts w:asciiTheme="minorHAnsi" w:hAnsiTheme="minorHAnsi" w:cs="Arial"/>
                <w:color w:val="000000"/>
                <w:sz w:val="18"/>
                <w:szCs w:val="18"/>
              </w:rPr>
              <w:t>%</w:t>
            </w:r>
          </w:p>
        </w:tc>
      </w:tr>
      <w:tr w:rsidR="001C45C0" w:rsidRPr="00B50A81" w14:paraId="54103765" w14:textId="77777777" w:rsidTr="001C45C0">
        <w:trPr>
          <w:trHeight w:val="300"/>
        </w:trPr>
        <w:tc>
          <w:tcPr>
            <w:tcW w:w="426" w:type="dxa"/>
            <w:shd w:val="clear" w:color="000000" w:fill="FFFFFF"/>
            <w:noWrap/>
            <w:vAlign w:val="bottom"/>
          </w:tcPr>
          <w:p w14:paraId="6FCA7C9F" w14:textId="77777777" w:rsidR="001C45C0" w:rsidRPr="00B50A81" w:rsidRDefault="001C45C0" w:rsidP="001C45C0">
            <w:pPr>
              <w:rPr>
                <w:rFonts w:asciiTheme="minorHAnsi" w:hAnsiTheme="minorHAnsi" w:cs="Arial"/>
                <w:color w:val="000000"/>
                <w:sz w:val="18"/>
                <w:szCs w:val="18"/>
              </w:rPr>
            </w:pPr>
            <w:r w:rsidRPr="00B50A81">
              <w:rPr>
                <w:rFonts w:asciiTheme="minorHAnsi" w:hAnsiTheme="minorHAnsi" w:cs="Arial"/>
                <w:color w:val="000000"/>
                <w:sz w:val="18"/>
                <w:szCs w:val="18"/>
              </w:rPr>
              <w:t>2</w:t>
            </w:r>
          </w:p>
        </w:tc>
        <w:tc>
          <w:tcPr>
            <w:tcW w:w="2455" w:type="dxa"/>
            <w:shd w:val="clear" w:color="000000" w:fill="FFFFFF"/>
            <w:noWrap/>
            <w:vAlign w:val="bottom"/>
          </w:tcPr>
          <w:p w14:paraId="461BD074" w14:textId="77777777" w:rsidR="001C45C0" w:rsidRPr="00B50A81" w:rsidRDefault="001C45C0" w:rsidP="001C45C0">
            <w:pPr>
              <w:rPr>
                <w:rFonts w:asciiTheme="minorHAnsi" w:hAnsiTheme="minorHAnsi" w:cs="Arial"/>
                <w:color w:val="000000"/>
                <w:sz w:val="18"/>
                <w:szCs w:val="18"/>
              </w:rPr>
            </w:pPr>
            <w:r>
              <w:rPr>
                <w:rFonts w:asciiTheme="minorHAnsi" w:hAnsiTheme="minorHAnsi" w:cs="Arial"/>
                <w:color w:val="000000"/>
                <w:sz w:val="18"/>
                <w:szCs w:val="18"/>
              </w:rPr>
              <w:t xml:space="preserve">73338 and </w:t>
            </w:r>
            <w:r w:rsidRPr="00B50A81">
              <w:rPr>
                <w:rFonts w:asciiTheme="minorHAnsi" w:hAnsiTheme="minorHAnsi" w:cs="Arial"/>
                <w:color w:val="000000"/>
                <w:sz w:val="18"/>
                <w:szCs w:val="18"/>
              </w:rPr>
              <w:t>73938</w:t>
            </w:r>
          </w:p>
        </w:tc>
        <w:tc>
          <w:tcPr>
            <w:tcW w:w="1017" w:type="dxa"/>
            <w:shd w:val="clear" w:color="000000" w:fill="FFFFFF"/>
            <w:noWrap/>
            <w:vAlign w:val="bottom"/>
          </w:tcPr>
          <w:p w14:paraId="3418D32C" w14:textId="77777777" w:rsidR="001C45C0" w:rsidRPr="00B50A81" w:rsidRDefault="001C45C0" w:rsidP="001C45C0">
            <w:pPr>
              <w:jc w:val="right"/>
              <w:rPr>
                <w:rFonts w:asciiTheme="minorHAnsi" w:hAnsiTheme="minorHAnsi" w:cs="Arial"/>
                <w:color w:val="000000"/>
                <w:sz w:val="18"/>
                <w:szCs w:val="18"/>
              </w:rPr>
            </w:pPr>
            <w:r w:rsidRPr="00B50A81">
              <w:rPr>
                <w:rFonts w:asciiTheme="minorHAnsi" w:hAnsiTheme="minorHAnsi" w:cs="Arial"/>
                <w:color w:val="000000"/>
                <w:sz w:val="18"/>
                <w:szCs w:val="18"/>
              </w:rPr>
              <w:t>518</w:t>
            </w:r>
          </w:p>
        </w:tc>
        <w:tc>
          <w:tcPr>
            <w:tcW w:w="960" w:type="dxa"/>
            <w:shd w:val="clear" w:color="000000" w:fill="FFFFFF"/>
            <w:noWrap/>
            <w:vAlign w:val="bottom"/>
          </w:tcPr>
          <w:p w14:paraId="376A2171" w14:textId="77777777" w:rsidR="001C45C0" w:rsidRPr="00B50A81" w:rsidRDefault="001C45C0" w:rsidP="001C45C0">
            <w:pPr>
              <w:jc w:val="right"/>
              <w:rPr>
                <w:rFonts w:asciiTheme="minorHAnsi" w:hAnsiTheme="minorHAnsi" w:cs="Arial"/>
                <w:color w:val="000000"/>
                <w:sz w:val="18"/>
                <w:szCs w:val="18"/>
              </w:rPr>
            </w:pPr>
            <w:r w:rsidRPr="00B50A81">
              <w:rPr>
                <w:rFonts w:asciiTheme="minorHAnsi" w:hAnsiTheme="minorHAnsi" w:cs="Arial"/>
                <w:color w:val="000000"/>
                <w:sz w:val="18"/>
                <w:szCs w:val="18"/>
              </w:rPr>
              <w:t>1036</w:t>
            </w:r>
          </w:p>
        </w:tc>
        <w:tc>
          <w:tcPr>
            <w:tcW w:w="1286" w:type="dxa"/>
            <w:shd w:val="clear" w:color="000000" w:fill="FFFFFF"/>
            <w:noWrap/>
            <w:vAlign w:val="bottom"/>
          </w:tcPr>
          <w:p w14:paraId="7D91B973" w14:textId="77777777" w:rsidR="001C45C0" w:rsidRPr="00B50A81" w:rsidRDefault="001C45C0" w:rsidP="001C45C0">
            <w:pPr>
              <w:jc w:val="right"/>
              <w:rPr>
                <w:rFonts w:asciiTheme="minorHAnsi" w:hAnsiTheme="minorHAnsi" w:cs="Arial"/>
                <w:color w:val="000000"/>
                <w:sz w:val="18"/>
                <w:szCs w:val="18"/>
              </w:rPr>
            </w:pPr>
            <w:r w:rsidRPr="00B50A81">
              <w:rPr>
                <w:rFonts w:asciiTheme="minorHAnsi" w:hAnsiTheme="minorHAnsi" w:cs="Arial"/>
                <w:color w:val="000000"/>
                <w:sz w:val="18"/>
                <w:szCs w:val="18"/>
              </w:rPr>
              <w:t xml:space="preserve">$191,940 </w:t>
            </w:r>
          </w:p>
        </w:tc>
        <w:tc>
          <w:tcPr>
            <w:tcW w:w="960" w:type="dxa"/>
            <w:shd w:val="clear" w:color="000000" w:fill="FFFFFF"/>
            <w:noWrap/>
            <w:vAlign w:val="bottom"/>
          </w:tcPr>
          <w:p w14:paraId="5A8462F7" w14:textId="77777777" w:rsidR="001C45C0" w:rsidRPr="00B50A81" w:rsidRDefault="001C45C0" w:rsidP="001C45C0">
            <w:pPr>
              <w:jc w:val="right"/>
              <w:rPr>
                <w:rFonts w:asciiTheme="minorHAnsi" w:hAnsiTheme="minorHAnsi" w:cs="Arial"/>
                <w:color w:val="000000"/>
                <w:sz w:val="18"/>
                <w:szCs w:val="18"/>
              </w:rPr>
            </w:pPr>
            <w:r w:rsidRPr="00B50A81">
              <w:rPr>
                <w:rFonts w:asciiTheme="minorHAnsi" w:hAnsiTheme="minorHAnsi" w:cs="Arial"/>
                <w:color w:val="000000"/>
                <w:sz w:val="18"/>
                <w:szCs w:val="18"/>
              </w:rPr>
              <w:t>511</w:t>
            </w:r>
          </w:p>
        </w:tc>
        <w:tc>
          <w:tcPr>
            <w:tcW w:w="997" w:type="dxa"/>
            <w:shd w:val="clear" w:color="000000" w:fill="FFFFFF"/>
            <w:noWrap/>
            <w:vAlign w:val="bottom"/>
          </w:tcPr>
          <w:p w14:paraId="23D5970B" w14:textId="77777777" w:rsidR="001C45C0" w:rsidRPr="00B50A81" w:rsidRDefault="001C45C0" w:rsidP="001C45C0">
            <w:pPr>
              <w:jc w:val="right"/>
              <w:rPr>
                <w:rFonts w:asciiTheme="minorHAnsi" w:hAnsiTheme="minorHAnsi" w:cs="Arial"/>
                <w:color w:val="000000"/>
                <w:sz w:val="18"/>
                <w:szCs w:val="18"/>
              </w:rPr>
            </w:pPr>
            <w:r>
              <w:rPr>
                <w:rFonts w:asciiTheme="minorHAnsi" w:hAnsiTheme="minorHAnsi" w:cs="Arial"/>
                <w:color w:val="000000"/>
                <w:sz w:val="18"/>
                <w:szCs w:val="18"/>
              </w:rPr>
              <w:t>19.9</w:t>
            </w:r>
            <w:r w:rsidRPr="00B50A81">
              <w:rPr>
                <w:rFonts w:asciiTheme="minorHAnsi" w:hAnsiTheme="minorHAnsi" w:cs="Arial"/>
                <w:color w:val="000000"/>
                <w:sz w:val="18"/>
                <w:szCs w:val="18"/>
              </w:rPr>
              <w:t>%</w:t>
            </w:r>
          </w:p>
        </w:tc>
      </w:tr>
      <w:tr w:rsidR="001C45C0" w:rsidRPr="00B50A81" w14:paraId="02005F76" w14:textId="77777777" w:rsidTr="001C45C0">
        <w:trPr>
          <w:trHeight w:val="300"/>
        </w:trPr>
        <w:tc>
          <w:tcPr>
            <w:tcW w:w="426" w:type="dxa"/>
            <w:shd w:val="clear" w:color="000000" w:fill="FFFFFF"/>
            <w:noWrap/>
            <w:vAlign w:val="bottom"/>
          </w:tcPr>
          <w:p w14:paraId="0D29F297" w14:textId="77777777" w:rsidR="001C45C0" w:rsidRPr="00B50A81" w:rsidRDefault="001C45C0" w:rsidP="001C45C0">
            <w:pPr>
              <w:rPr>
                <w:rFonts w:asciiTheme="minorHAnsi" w:hAnsiTheme="minorHAnsi" w:cs="Arial"/>
                <w:color w:val="000000"/>
                <w:sz w:val="18"/>
                <w:szCs w:val="18"/>
              </w:rPr>
            </w:pPr>
            <w:r w:rsidRPr="00B50A81">
              <w:rPr>
                <w:rFonts w:asciiTheme="minorHAnsi" w:hAnsiTheme="minorHAnsi" w:cs="Arial"/>
                <w:color w:val="000000"/>
                <w:sz w:val="18"/>
                <w:szCs w:val="18"/>
              </w:rPr>
              <w:t>3</w:t>
            </w:r>
          </w:p>
        </w:tc>
        <w:tc>
          <w:tcPr>
            <w:tcW w:w="2455" w:type="dxa"/>
            <w:shd w:val="clear" w:color="000000" w:fill="FFFFFF"/>
            <w:noWrap/>
            <w:vAlign w:val="bottom"/>
          </w:tcPr>
          <w:p w14:paraId="1D4C369E" w14:textId="77777777" w:rsidR="001C45C0" w:rsidRPr="00B50A81" w:rsidRDefault="001C45C0" w:rsidP="001C45C0">
            <w:pPr>
              <w:rPr>
                <w:rFonts w:asciiTheme="minorHAnsi" w:hAnsiTheme="minorHAnsi" w:cs="Arial"/>
                <w:color w:val="000000"/>
                <w:sz w:val="18"/>
                <w:szCs w:val="18"/>
              </w:rPr>
            </w:pPr>
            <w:r>
              <w:rPr>
                <w:rFonts w:asciiTheme="minorHAnsi" w:hAnsiTheme="minorHAnsi" w:cs="Arial"/>
                <w:color w:val="000000"/>
                <w:sz w:val="18"/>
                <w:szCs w:val="18"/>
              </w:rPr>
              <w:t>73338 only</w:t>
            </w:r>
          </w:p>
        </w:tc>
        <w:tc>
          <w:tcPr>
            <w:tcW w:w="1017" w:type="dxa"/>
            <w:shd w:val="clear" w:color="000000" w:fill="FFFFFF"/>
            <w:noWrap/>
            <w:vAlign w:val="bottom"/>
          </w:tcPr>
          <w:p w14:paraId="0FD801E0" w14:textId="77777777" w:rsidR="001C45C0" w:rsidRPr="00B50A81" w:rsidRDefault="001C45C0" w:rsidP="001C45C0">
            <w:pPr>
              <w:jc w:val="right"/>
              <w:rPr>
                <w:rFonts w:asciiTheme="minorHAnsi" w:hAnsiTheme="minorHAnsi" w:cs="Arial"/>
                <w:color w:val="000000"/>
                <w:sz w:val="18"/>
                <w:szCs w:val="18"/>
              </w:rPr>
            </w:pPr>
            <w:r w:rsidRPr="00B50A81">
              <w:rPr>
                <w:rFonts w:asciiTheme="minorHAnsi" w:hAnsiTheme="minorHAnsi" w:cs="Arial"/>
                <w:color w:val="000000"/>
                <w:sz w:val="18"/>
                <w:szCs w:val="18"/>
              </w:rPr>
              <w:t>455</w:t>
            </w:r>
          </w:p>
        </w:tc>
        <w:tc>
          <w:tcPr>
            <w:tcW w:w="960" w:type="dxa"/>
            <w:shd w:val="clear" w:color="000000" w:fill="FFFFFF"/>
            <w:noWrap/>
            <w:vAlign w:val="bottom"/>
          </w:tcPr>
          <w:p w14:paraId="6CCCA3DF" w14:textId="77777777" w:rsidR="001C45C0" w:rsidRPr="00B50A81" w:rsidRDefault="001C45C0" w:rsidP="001C45C0">
            <w:pPr>
              <w:jc w:val="right"/>
              <w:rPr>
                <w:rFonts w:asciiTheme="minorHAnsi" w:hAnsiTheme="minorHAnsi" w:cs="Arial"/>
                <w:color w:val="000000"/>
                <w:sz w:val="18"/>
                <w:szCs w:val="18"/>
              </w:rPr>
            </w:pPr>
            <w:r w:rsidRPr="00B50A81">
              <w:rPr>
                <w:rFonts w:asciiTheme="minorHAnsi" w:hAnsiTheme="minorHAnsi" w:cs="Arial"/>
                <w:color w:val="000000"/>
                <w:sz w:val="18"/>
                <w:szCs w:val="18"/>
              </w:rPr>
              <w:t>461</w:t>
            </w:r>
          </w:p>
        </w:tc>
        <w:tc>
          <w:tcPr>
            <w:tcW w:w="1286" w:type="dxa"/>
            <w:shd w:val="clear" w:color="000000" w:fill="FFFFFF"/>
            <w:noWrap/>
            <w:vAlign w:val="bottom"/>
          </w:tcPr>
          <w:p w14:paraId="01B79661" w14:textId="77777777" w:rsidR="001C45C0" w:rsidRPr="00B50A81" w:rsidRDefault="001C45C0" w:rsidP="001C45C0">
            <w:pPr>
              <w:jc w:val="right"/>
              <w:rPr>
                <w:rFonts w:asciiTheme="minorHAnsi" w:hAnsiTheme="minorHAnsi" w:cs="Arial"/>
                <w:color w:val="000000"/>
                <w:sz w:val="18"/>
                <w:szCs w:val="18"/>
              </w:rPr>
            </w:pPr>
            <w:r w:rsidRPr="00B50A81">
              <w:rPr>
                <w:rFonts w:asciiTheme="minorHAnsi" w:hAnsiTheme="minorHAnsi" w:cs="Arial"/>
                <w:color w:val="000000"/>
                <w:sz w:val="18"/>
                <w:szCs w:val="18"/>
              </w:rPr>
              <w:t xml:space="preserve">$167,154 </w:t>
            </w:r>
          </w:p>
        </w:tc>
        <w:tc>
          <w:tcPr>
            <w:tcW w:w="960" w:type="dxa"/>
            <w:shd w:val="clear" w:color="000000" w:fill="FFFFFF"/>
            <w:noWrap/>
            <w:vAlign w:val="bottom"/>
          </w:tcPr>
          <w:p w14:paraId="7B10BE28" w14:textId="77777777" w:rsidR="001C45C0" w:rsidRPr="00B50A81" w:rsidRDefault="001C45C0" w:rsidP="001C45C0">
            <w:pPr>
              <w:jc w:val="right"/>
              <w:rPr>
                <w:rFonts w:asciiTheme="minorHAnsi" w:hAnsiTheme="minorHAnsi" w:cs="Arial"/>
                <w:color w:val="000000"/>
                <w:sz w:val="18"/>
                <w:szCs w:val="18"/>
              </w:rPr>
            </w:pPr>
            <w:r w:rsidRPr="00B50A81">
              <w:rPr>
                <w:rFonts w:asciiTheme="minorHAnsi" w:hAnsiTheme="minorHAnsi" w:cs="Arial"/>
                <w:color w:val="000000"/>
                <w:sz w:val="18"/>
                <w:szCs w:val="18"/>
              </w:rPr>
              <w:t>451</w:t>
            </w:r>
          </w:p>
        </w:tc>
        <w:tc>
          <w:tcPr>
            <w:tcW w:w="997" w:type="dxa"/>
            <w:shd w:val="clear" w:color="000000" w:fill="FFFFFF"/>
            <w:noWrap/>
            <w:vAlign w:val="bottom"/>
          </w:tcPr>
          <w:p w14:paraId="4C5C0A35" w14:textId="77777777" w:rsidR="001C45C0" w:rsidRPr="00B50A81" w:rsidRDefault="001C45C0" w:rsidP="001C45C0">
            <w:pPr>
              <w:jc w:val="right"/>
              <w:rPr>
                <w:rFonts w:asciiTheme="minorHAnsi" w:hAnsiTheme="minorHAnsi" w:cs="Arial"/>
                <w:color w:val="000000"/>
                <w:sz w:val="18"/>
                <w:szCs w:val="18"/>
              </w:rPr>
            </w:pPr>
            <w:r w:rsidRPr="00B50A81">
              <w:rPr>
                <w:rFonts w:asciiTheme="minorHAnsi" w:hAnsiTheme="minorHAnsi" w:cs="Arial"/>
                <w:color w:val="000000"/>
                <w:sz w:val="18"/>
                <w:szCs w:val="18"/>
              </w:rPr>
              <w:t>17.5%</w:t>
            </w:r>
          </w:p>
        </w:tc>
      </w:tr>
      <w:tr w:rsidR="001C45C0" w:rsidRPr="00B50A81" w14:paraId="624A7DAA" w14:textId="77777777" w:rsidTr="001C45C0">
        <w:trPr>
          <w:trHeight w:val="300"/>
        </w:trPr>
        <w:tc>
          <w:tcPr>
            <w:tcW w:w="426" w:type="dxa"/>
            <w:shd w:val="clear" w:color="000000" w:fill="FFFFFF"/>
            <w:noWrap/>
            <w:vAlign w:val="bottom"/>
          </w:tcPr>
          <w:p w14:paraId="635ADAED" w14:textId="77777777" w:rsidR="001C45C0" w:rsidRPr="00B50A81" w:rsidRDefault="001C45C0" w:rsidP="001C45C0">
            <w:pPr>
              <w:rPr>
                <w:rFonts w:asciiTheme="minorHAnsi" w:hAnsiTheme="minorHAnsi" w:cs="Arial"/>
                <w:color w:val="000000"/>
                <w:sz w:val="18"/>
                <w:szCs w:val="18"/>
              </w:rPr>
            </w:pPr>
            <w:r w:rsidRPr="00B50A81">
              <w:rPr>
                <w:rFonts w:asciiTheme="minorHAnsi" w:hAnsiTheme="minorHAnsi" w:cs="Arial"/>
                <w:color w:val="000000"/>
                <w:sz w:val="18"/>
                <w:szCs w:val="18"/>
              </w:rPr>
              <w:t>4</w:t>
            </w:r>
          </w:p>
        </w:tc>
        <w:tc>
          <w:tcPr>
            <w:tcW w:w="2455" w:type="dxa"/>
            <w:shd w:val="clear" w:color="000000" w:fill="FFFFFF"/>
            <w:noWrap/>
            <w:vAlign w:val="bottom"/>
          </w:tcPr>
          <w:p w14:paraId="2F8DA49F" w14:textId="77777777" w:rsidR="001C45C0" w:rsidRPr="00B50A81" w:rsidRDefault="001C45C0" w:rsidP="001C45C0">
            <w:pPr>
              <w:rPr>
                <w:rFonts w:asciiTheme="minorHAnsi" w:hAnsiTheme="minorHAnsi" w:cs="Arial"/>
                <w:color w:val="000000"/>
                <w:sz w:val="18"/>
                <w:szCs w:val="18"/>
              </w:rPr>
            </w:pPr>
            <w:r>
              <w:rPr>
                <w:rFonts w:asciiTheme="minorHAnsi" w:hAnsiTheme="minorHAnsi" w:cs="Arial"/>
                <w:color w:val="000000"/>
                <w:sz w:val="18"/>
                <w:szCs w:val="18"/>
              </w:rPr>
              <w:t xml:space="preserve">73338 and </w:t>
            </w:r>
            <w:r w:rsidRPr="00B50A81">
              <w:rPr>
                <w:rFonts w:asciiTheme="minorHAnsi" w:hAnsiTheme="minorHAnsi" w:cs="Arial"/>
                <w:color w:val="000000"/>
                <w:sz w:val="18"/>
                <w:szCs w:val="18"/>
              </w:rPr>
              <w:t>73939</w:t>
            </w:r>
          </w:p>
        </w:tc>
        <w:tc>
          <w:tcPr>
            <w:tcW w:w="1017" w:type="dxa"/>
            <w:shd w:val="clear" w:color="000000" w:fill="FFFFFF"/>
            <w:noWrap/>
            <w:vAlign w:val="bottom"/>
          </w:tcPr>
          <w:p w14:paraId="67F12F2B" w14:textId="77777777" w:rsidR="001C45C0" w:rsidRPr="00B50A81" w:rsidRDefault="001C45C0" w:rsidP="001C45C0">
            <w:pPr>
              <w:jc w:val="right"/>
              <w:rPr>
                <w:rFonts w:asciiTheme="minorHAnsi" w:hAnsiTheme="minorHAnsi" w:cs="Arial"/>
                <w:color w:val="000000"/>
                <w:sz w:val="18"/>
                <w:szCs w:val="18"/>
              </w:rPr>
            </w:pPr>
            <w:r w:rsidRPr="00B50A81">
              <w:rPr>
                <w:rFonts w:asciiTheme="minorHAnsi" w:hAnsiTheme="minorHAnsi" w:cs="Arial"/>
                <w:color w:val="000000"/>
                <w:sz w:val="18"/>
                <w:szCs w:val="18"/>
              </w:rPr>
              <w:t>329</w:t>
            </w:r>
          </w:p>
        </w:tc>
        <w:tc>
          <w:tcPr>
            <w:tcW w:w="960" w:type="dxa"/>
            <w:shd w:val="clear" w:color="000000" w:fill="FFFFFF"/>
            <w:noWrap/>
            <w:vAlign w:val="bottom"/>
          </w:tcPr>
          <w:p w14:paraId="2AAB626F" w14:textId="77777777" w:rsidR="001C45C0" w:rsidRPr="00B50A81" w:rsidRDefault="001C45C0" w:rsidP="001C45C0">
            <w:pPr>
              <w:jc w:val="right"/>
              <w:rPr>
                <w:rFonts w:asciiTheme="minorHAnsi" w:hAnsiTheme="minorHAnsi" w:cs="Arial"/>
                <w:color w:val="000000"/>
                <w:sz w:val="18"/>
                <w:szCs w:val="18"/>
              </w:rPr>
            </w:pPr>
            <w:r w:rsidRPr="00B50A81">
              <w:rPr>
                <w:rFonts w:asciiTheme="minorHAnsi" w:hAnsiTheme="minorHAnsi" w:cs="Arial"/>
                <w:color w:val="000000"/>
                <w:sz w:val="18"/>
                <w:szCs w:val="18"/>
              </w:rPr>
              <w:t>658</w:t>
            </w:r>
          </w:p>
        </w:tc>
        <w:tc>
          <w:tcPr>
            <w:tcW w:w="1286" w:type="dxa"/>
            <w:shd w:val="clear" w:color="000000" w:fill="FFFFFF"/>
            <w:noWrap/>
            <w:vAlign w:val="bottom"/>
          </w:tcPr>
          <w:p w14:paraId="0BEBFFB0" w14:textId="77777777" w:rsidR="001C45C0" w:rsidRPr="00B50A81" w:rsidRDefault="001C45C0" w:rsidP="001C45C0">
            <w:pPr>
              <w:jc w:val="right"/>
              <w:rPr>
                <w:rFonts w:asciiTheme="minorHAnsi" w:hAnsiTheme="minorHAnsi" w:cs="Arial"/>
                <w:color w:val="000000"/>
                <w:sz w:val="18"/>
                <w:szCs w:val="18"/>
              </w:rPr>
            </w:pPr>
            <w:r w:rsidRPr="00B50A81">
              <w:rPr>
                <w:rFonts w:asciiTheme="minorHAnsi" w:hAnsiTheme="minorHAnsi" w:cs="Arial"/>
                <w:color w:val="000000"/>
                <w:sz w:val="18"/>
                <w:szCs w:val="18"/>
              </w:rPr>
              <w:t xml:space="preserve">$120,082 </w:t>
            </w:r>
          </w:p>
        </w:tc>
        <w:tc>
          <w:tcPr>
            <w:tcW w:w="960" w:type="dxa"/>
            <w:shd w:val="clear" w:color="000000" w:fill="FFFFFF"/>
            <w:noWrap/>
            <w:vAlign w:val="bottom"/>
          </w:tcPr>
          <w:p w14:paraId="77BCC1B9" w14:textId="77777777" w:rsidR="001C45C0" w:rsidRPr="00B50A81" w:rsidRDefault="001C45C0" w:rsidP="001C45C0">
            <w:pPr>
              <w:jc w:val="right"/>
              <w:rPr>
                <w:rFonts w:asciiTheme="minorHAnsi" w:hAnsiTheme="minorHAnsi" w:cs="Arial"/>
                <w:color w:val="000000"/>
                <w:sz w:val="18"/>
                <w:szCs w:val="18"/>
              </w:rPr>
            </w:pPr>
            <w:r w:rsidRPr="00B50A81">
              <w:rPr>
                <w:rFonts w:asciiTheme="minorHAnsi" w:hAnsiTheme="minorHAnsi" w:cs="Arial"/>
                <w:color w:val="000000"/>
                <w:sz w:val="18"/>
                <w:szCs w:val="18"/>
              </w:rPr>
              <w:t>327</w:t>
            </w:r>
          </w:p>
        </w:tc>
        <w:tc>
          <w:tcPr>
            <w:tcW w:w="997" w:type="dxa"/>
            <w:shd w:val="clear" w:color="000000" w:fill="FFFFFF"/>
            <w:noWrap/>
            <w:vAlign w:val="bottom"/>
          </w:tcPr>
          <w:p w14:paraId="1F60DEA7" w14:textId="77777777" w:rsidR="001C45C0" w:rsidRPr="00B50A81" w:rsidRDefault="001C45C0" w:rsidP="001C45C0">
            <w:pPr>
              <w:jc w:val="right"/>
              <w:rPr>
                <w:rFonts w:asciiTheme="minorHAnsi" w:hAnsiTheme="minorHAnsi" w:cs="Arial"/>
                <w:color w:val="000000"/>
                <w:sz w:val="18"/>
                <w:szCs w:val="18"/>
              </w:rPr>
            </w:pPr>
            <w:r>
              <w:rPr>
                <w:rFonts w:asciiTheme="minorHAnsi" w:hAnsiTheme="minorHAnsi" w:cs="Arial"/>
                <w:color w:val="000000"/>
                <w:sz w:val="18"/>
                <w:szCs w:val="18"/>
              </w:rPr>
              <w:t>12.7</w:t>
            </w:r>
            <w:r w:rsidRPr="00B50A81">
              <w:rPr>
                <w:rFonts w:asciiTheme="minorHAnsi" w:hAnsiTheme="minorHAnsi" w:cs="Arial"/>
                <w:color w:val="000000"/>
                <w:sz w:val="18"/>
                <w:szCs w:val="18"/>
              </w:rPr>
              <w:t>%</w:t>
            </w:r>
          </w:p>
        </w:tc>
      </w:tr>
      <w:tr w:rsidR="001C45C0" w:rsidRPr="00B50A81" w14:paraId="66C72009" w14:textId="77777777" w:rsidTr="001C45C0">
        <w:trPr>
          <w:trHeight w:val="300"/>
        </w:trPr>
        <w:tc>
          <w:tcPr>
            <w:tcW w:w="426" w:type="dxa"/>
            <w:shd w:val="clear" w:color="000000" w:fill="FFFFFF"/>
            <w:noWrap/>
            <w:vAlign w:val="bottom"/>
          </w:tcPr>
          <w:p w14:paraId="5EC3CA28" w14:textId="77777777" w:rsidR="001C45C0" w:rsidRPr="00B50A81" w:rsidRDefault="001C45C0" w:rsidP="001C45C0">
            <w:pPr>
              <w:rPr>
                <w:rFonts w:asciiTheme="minorHAnsi" w:hAnsiTheme="minorHAnsi" w:cs="Arial"/>
                <w:color w:val="000000"/>
                <w:sz w:val="18"/>
                <w:szCs w:val="18"/>
              </w:rPr>
            </w:pPr>
            <w:r w:rsidRPr="00B50A81">
              <w:rPr>
                <w:rFonts w:asciiTheme="minorHAnsi" w:hAnsiTheme="minorHAnsi" w:cs="Arial"/>
                <w:color w:val="000000"/>
                <w:sz w:val="18"/>
                <w:szCs w:val="18"/>
              </w:rPr>
              <w:t>5</w:t>
            </w:r>
          </w:p>
        </w:tc>
        <w:tc>
          <w:tcPr>
            <w:tcW w:w="2455" w:type="dxa"/>
            <w:shd w:val="clear" w:color="000000" w:fill="FFFFFF"/>
            <w:noWrap/>
            <w:vAlign w:val="bottom"/>
          </w:tcPr>
          <w:p w14:paraId="182F53D9" w14:textId="77777777" w:rsidR="001C45C0" w:rsidRPr="00B50A81" w:rsidRDefault="001C45C0" w:rsidP="001C45C0">
            <w:pPr>
              <w:rPr>
                <w:rFonts w:asciiTheme="minorHAnsi" w:hAnsiTheme="minorHAnsi" w:cs="Arial"/>
                <w:color w:val="000000"/>
                <w:sz w:val="18"/>
                <w:szCs w:val="18"/>
              </w:rPr>
            </w:pPr>
            <w:r>
              <w:rPr>
                <w:rFonts w:asciiTheme="minorHAnsi" w:hAnsiTheme="minorHAnsi" w:cs="Arial"/>
                <w:color w:val="000000"/>
                <w:sz w:val="18"/>
                <w:szCs w:val="18"/>
              </w:rPr>
              <w:t xml:space="preserve">73338 and </w:t>
            </w:r>
            <w:r w:rsidRPr="00B50A81">
              <w:rPr>
                <w:rFonts w:asciiTheme="minorHAnsi" w:hAnsiTheme="minorHAnsi" w:cs="Arial"/>
                <w:color w:val="000000"/>
                <w:sz w:val="18"/>
                <w:szCs w:val="18"/>
              </w:rPr>
              <w:t>72846</w:t>
            </w:r>
          </w:p>
        </w:tc>
        <w:tc>
          <w:tcPr>
            <w:tcW w:w="1017" w:type="dxa"/>
            <w:shd w:val="clear" w:color="000000" w:fill="FFFFFF"/>
            <w:noWrap/>
            <w:vAlign w:val="bottom"/>
          </w:tcPr>
          <w:p w14:paraId="6AB07436" w14:textId="77777777" w:rsidR="001C45C0" w:rsidRPr="00B50A81" w:rsidRDefault="001C45C0" w:rsidP="001C45C0">
            <w:pPr>
              <w:jc w:val="right"/>
              <w:rPr>
                <w:rFonts w:asciiTheme="minorHAnsi" w:hAnsiTheme="minorHAnsi" w:cs="Arial"/>
                <w:color w:val="000000"/>
                <w:sz w:val="18"/>
                <w:szCs w:val="18"/>
              </w:rPr>
            </w:pPr>
            <w:r w:rsidRPr="00B50A81">
              <w:rPr>
                <w:rFonts w:asciiTheme="minorHAnsi" w:hAnsiTheme="minorHAnsi" w:cs="Arial"/>
                <w:color w:val="000000"/>
                <w:sz w:val="18"/>
                <w:szCs w:val="18"/>
              </w:rPr>
              <w:t>73</w:t>
            </w:r>
          </w:p>
        </w:tc>
        <w:tc>
          <w:tcPr>
            <w:tcW w:w="960" w:type="dxa"/>
            <w:shd w:val="clear" w:color="000000" w:fill="FFFFFF"/>
            <w:noWrap/>
            <w:vAlign w:val="bottom"/>
          </w:tcPr>
          <w:p w14:paraId="0E67274B" w14:textId="77777777" w:rsidR="001C45C0" w:rsidRPr="00B50A81" w:rsidRDefault="001C45C0" w:rsidP="001C45C0">
            <w:pPr>
              <w:jc w:val="right"/>
              <w:rPr>
                <w:rFonts w:asciiTheme="minorHAnsi" w:hAnsiTheme="minorHAnsi" w:cs="Arial"/>
                <w:color w:val="000000"/>
                <w:sz w:val="18"/>
                <w:szCs w:val="18"/>
              </w:rPr>
            </w:pPr>
            <w:r w:rsidRPr="00B50A81">
              <w:rPr>
                <w:rFonts w:asciiTheme="minorHAnsi" w:hAnsiTheme="minorHAnsi" w:cs="Arial"/>
                <w:color w:val="000000"/>
                <w:sz w:val="18"/>
                <w:szCs w:val="18"/>
              </w:rPr>
              <w:t>146</w:t>
            </w:r>
          </w:p>
        </w:tc>
        <w:tc>
          <w:tcPr>
            <w:tcW w:w="1286" w:type="dxa"/>
            <w:shd w:val="clear" w:color="000000" w:fill="FFFFFF"/>
            <w:noWrap/>
            <w:vAlign w:val="bottom"/>
          </w:tcPr>
          <w:p w14:paraId="265B1C66" w14:textId="77777777" w:rsidR="001C45C0" w:rsidRPr="00B50A81" w:rsidRDefault="001C45C0" w:rsidP="001C45C0">
            <w:pPr>
              <w:jc w:val="right"/>
              <w:rPr>
                <w:rFonts w:asciiTheme="minorHAnsi" w:hAnsiTheme="minorHAnsi" w:cs="Arial"/>
                <w:color w:val="000000"/>
                <w:sz w:val="18"/>
                <w:szCs w:val="18"/>
              </w:rPr>
            </w:pPr>
            <w:r w:rsidRPr="00B50A81">
              <w:rPr>
                <w:rFonts w:asciiTheme="minorHAnsi" w:hAnsiTheme="minorHAnsi" w:cs="Arial"/>
                <w:color w:val="000000"/>
                <w:sz w:val="18"/>
                <w:szCs w:val="18"/>
              </w:rPr>
              <w:t xml:space="preserve">$30,820 </w:t>
            </w:r>
          </w:p>
        </w:tc>
        <w:tc>
          <w:tcPr>
            <w:tcW w:w="960" w:type="dxa"/>
            <w:shd w:val="clear" w:color="000000" w:fill="FFFFFF"/>
            <w:noWrap/>
            <w:vAlign w:val="bottom"/>
          </w:tcPr>
          <w:p w14:paraId="105D38B8" w14:textId="77777777" w:rsidR="001C45C0" w:rsidRPr="00B50A81" w:rsidRDefault="001C45C0" w:rsidP="001C45C0">
            <w:pPr>
              <w:jc w:val="right"/>
              <w:rPr>
                <w:rFonts w:asciiTheme="minorHAnsi" w:hAnsiTheme="minorHAnsi" w:cs="Arial"/>
                <w:color w:val="000000"/>
                <w:sz w:val="18"/>
                <w:szCs w:val="18"/>
              </w:rPr>
            </w:pPr>
            <w:r w:rsidRPr="00B50A81">
              <w:rPr>
                <w:rFonts w:asciiTheme="minorHAnsi" w:hAnsiTheme="minorHAnsi" w:cs="Arial"/>
                <w:color w:val="000000"/>
                <w:sz w:val="18"/>
                <w:szCs w:val="18"/>
              </w:rPr>
              <w:t>69</w:t>
            </w:r>
          </w:p>
        </w:tc>
        <w:tc>
          <w:tcPr>
            <w:tcW w:w="997" w:type="dxa"/>
            <w:shd w:val="clear" w:color="000000" w:fill="FFFFFF"/>
            <w:noWrap/>
            <w:vAlign w:val="bottom"/>
          </w:tcPr>
          <w:p w14:paraId="63559F24" w14:textId="77777777" w:rsidR="001C45C0" w:rsidRPr="00B50A81" w:rsidRDefault="001C45C0" w:rsidP="001C45C0">
            <w:pPr>
              <w:jc w:val="right"/>
              <w:rPr>
                <w:rFonts w:asciiTheme="minorHAnsi" w:hAnsiTheme="minorHAnsi" w:cs="Arial"/>
                <w:color w:val="000000"/>
                <w:sz w:val="18"/>
                <w:szCs w:val="18"/>
              </w:rPr>
            </w:pPr>
            <w:r>
              <w:rPr>
                <w:rFonts w:asciiTheme="minorHAnsi" w:hAnsiTheme="minorHAnsi" w:cs="Arial"/>
                <w:color w:val="000000"/>
                <w:sz w:val="18"/>
                <w:szCs w:val="18"/>
              </w:rPr>
              <w:t>2.8</w:t>
            </w:r>
            <w:r w:rsidRPr="00B50A81">
              <w:rPr>
                <w:rFonts w:asciiTheme="minorHAnsi" w:hAnsiTheme="minorHAnsi" w:cs="Arial"/>
                <w:color w:val="000000"/>
                <w:sz w:val="18"/>
                <w:szCs w:val="18"/>
              </w:rPr>
              <w:t>%</w:t>
            </w:r>
          </w:p>
        </w:tc>
      </w:tr>
    </w:tbl>
    <w:p w14:paraId="0024F20F" w14:textId="77777777" w:rsidR="001C45C0" w:rsidRPr="00204085" w:rsidRDefault="001C45C0" w:rsidP="001C45C0">
      <w:pPr>
        <w:pStyle w:val="Heading5"/>
        <w:rPr>
          <w:rFonts w:asciiTheme="minorHAnsi" w:hAnsiTheme="minorHAnsi"/>
          <w:b/>
          <w:color w:val="auto"/>
          <w:sz w:val="20"/>
        </w:rPr>
      </w:pPr>
      <w:r w:rsidRPr="00204085">
        <w:rPr>
          <w:rFonts w:asciiTheme="minorHAnsi" w:hAnsiTheme="minorHAnsi"/>
          <w:b/>
          <w:color w:val="auto"/>
          <w:sz w:val="20"/>
        </w:rPr>
        <w:lastRenderedPageBreak/>
        <w:t xml:space="preserve">Table 8: Top 5 instances of co-claiming with MBS item 73338 in 2016-17 </w:t>
      </w:r>
    </w:p>
    <w:tbl>
      <w:tblPr>
        <w:tblW w:w="81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MBS item 73338 - co-claiming data in 2016-17"/>
      </w:tblPr>
      <w:tblGrid>
        <w:gridCol w:w="567"/>
        <w:gridCol w:w="2314"/>
        <w:gridCol w:w="1017"/>
        <w:gridCol w:w="960"/>
        <w:gridCol w:w="1286"/>
        <w:gridCol w:w="960"/>
        <w:gridCol w:w="1073"/>
      </w:tblGrid>
      <w:tr w:rsidR="001C45C0" w:rsidRPr="00B50A81" w14:paraId="7AA01192" w14:textId="77777777" w:rsidTr="001C45C0">
        <w:trPr>
          <w:trHeight w:val="721"/>
        </w:trPr>
        <w:tc>
          <w:tcPr>
            <w:tcW w:w="567" w:type="dxa"/>
            <w:shd w:val="clear" w:color="auto" w:fill="548DD4" w:themeFill="text2" w:themeFillTint="99"/>
            <w:vAlign w:val="center"/>
            <w:hideMark/>
          </w:tcPr>
          <w:p w14:paraId="2466D56F" w14:textId="77777777" w:rsidR="001C45C0" w:rsidRPr="00B50A81" w:rsidRDefault="001C45C0" w:rsidP="001C45C0">
            <w:pPr>
              <w:jc w:val="center"/>
              <w:rPr>
                <w:rFonts w:asciiTheme="minorHAnsi" w:hAnsiTheme="minorHAnsi" w:cs="Arial"/>
                <w:b/>
                <w:bCs/>
                <w:color w:val="FFFFFF"/>
                <w:sz w:val="18"/>
                <w:szCs w:val="18"/>
              </w:rPr>
            </w:pPr>
            <w:r w:rsidRPr="00B50A81">
              <w:rPr>
                <w:rFonts w:asciiTheme="minorHAnsi" w:hAnsiTheme="minorHAnsi" w:cs="Arial"/>
                <w:b/>
                <w:bCs/>
                <w:color w:val="FFFFFF"/>
                <w:sz w:val="18"/>
                <w:szCs w:val="18"/>
              </w:rPr>
              <w:t>#</w:t>
            </w:r>
          </w:p>
        </w:tc>
        <w:tc>
          <w:tcPr>
            <w:tcW w:w="2314" w:type="dxa"/>
            <w:shd w:val="clear" w:color="auto" w:fill="548DD4" w:themeFill="text2" w:themeFillTint="99"/>
            <w:vAlign w:val="center"/>
            <w:hideMark/>
          </w:tcPr>
          <w:p w14:paraId="1816CEB5" w14:textId="77777777" w:rsidR="001C45C0" w:rsidRPr="00B50A81" w:rsidRDefault="001C45C0" w:rsidP="001C45C0">
            <w:pPr>
              <w:jc w:val="center"/>
              <w:rPr>
                <w:rFonts w:asciiTheme="minorHAnsi" w:hAnsiTheme="minorHAnsi" w:cs="Arial"/>
                <w:b/>
                <w:bCs/>
                <w:color w:val="FFFFFF"/>
                <w:sz w:val="18"/>
                <w:szCs w:val="18"/>
              </w:rPr>
            </w:pPr>
            <w:r w:rsidRPr="00B50A81">
              <w:rPr>
                <w:rFonts w:asciiTheme="minorHAnsi" w:hAnsiTheme="minorHAnsi" w:cs="Arial"/>
                <w:b/>
                <w:bCs/>
                <w:color w:val="FFFFFF"/>
                <w:sz w:val="18"/>
                <w:szCs w:val="18"/>
              </w:rPr>
              <w:t>Items</w:t>
            </w:r>
          </w:p>
        </w:tc>
        <w:tc>
          <w:tcPr>
            <w:tcW w:w="1017" w:type="dxa"/>
            <w:shd w:val="clear" w:color="auto" w:fill="548DD4" w:themeFill="text2" w:themeFillTint="99"/>
            <w:vAlign w:val="center"/>
            <w:hideMark/>
          </w:tcPr>
          <w:p w14:paraId="3E04AD47" w14:textId="77777777" w:rsidR="001C45C0" w:rsidRPr="00B50A81" w:rsidRDefault="001C45C0" w:rsidP="001C45C0">
            <w:pPr>
              <w:jc w:val="center"/>
              <w:rPr>
                <w:rFonts w:asciiTheme="minorHAnsi" w:hAnsiTheme="minorHAnsi" w:cs="Arial"/>
                <w:b/>
                <w:bCs/>
                <w:color w:val="FFFFFF"/>
                <w:sz w:val="18"/>
                <w:szCs w:val="18"/>
              </w:rPr>
            </w:pPr>
            <w:r w:rsidRPr="00B50A81">
              <w:rPr>
                <w:rFonts w:asciiTheme="minorHAnsi" w:hAnsiTheme="minorHAnsi" w:cs="Arial"/>
                <w:b/>
                <w:bCs/>
                <w:color w:val="FFFFFF"/>
                <w:sz w:val="18"/>
                <w:szCs w:val="18"/>
              </w:rPr>
              <w:t>Episodes</w:t>
            </w:r>
          </w:p>
        </w:tc>
        <w:tc>
          <w:tcPr>
            <w:tcW w:w="960" w:type="dxa"/>
            <w:shd w:val="clear" w:color="auto" w:fill="548DD4" w:themeFill="text2" w:themeFillTint="99"/>
            <w:vAlign w:val="center"/>
            <w:hideMark/>
          </w:tcPr>
          <w:p w14:paraId="5478471F" w14:textId="77777777" w:rsidR="001C45C0" w:rsidRPr="00B50A81" w:rsidRDefault="001C45C0" w:rsidP="001C45C0">
            <w:pPr>
              <w:jc w:val="center"/>
              <w:rPr>
                <w:rFonts w:asciiTheme="minorHAnsi" w:hAnsiTheme="minorHAnsi" w:cs="Arial"/>
                <w:b/>
                <w:bCs/>
                <w:color w:val="FFFFFF"/>
                <w:sz w:val="18"/>
                <w:szCs w:val="18"/>
              </w:rPr>
            </w:pPr>
            <w:r w:rsidRPr="00B50A81">
              <w:rPr>
                <w:rFonts w:asciiTheme="minorHAnsi" w:hAnsiTheme="minorHAnsi" w:cs="Arial"/>
                <w:b/>
                <w:bCs/>
                <w:color w:val="FFFFFF"/>
                <w:sz w:val="18"/>
                <w:szCs w:val="18"/>
              </w:rPr>
              <w:t>Services</w:t>
            </w:r>
          </w:p>
        </w:tc>
        <w:tc>
          <w:tcPr>
            <w:tcW w:w="1286" w:type="dxa"/>
            <w:shd w:val="clear" w:color="auto" w:fill="548DD4" w:themeFill="text2" w:themeFillTint="99"/>
            <w:vAlign w:val="center"/>
            <w:hideMark/>
          </w:tcPr>
          <w:p w14:paraId="254D514C" w14:textId="77777777" w:rsidR="001C45C0" w:rsidRPr="00B50A81" w:rsidRDefault="001C45C0" w:rsidP="001C45C0">
            <w:pPr>
              <w:jc w:val="center"/>
              <w:rPr>
                <w:rFonts w:asciiTheme="minorHAnsi" w:hAnsiTheme="minorHAnsi" w:cs="Arial"/>
                <w:b/>
                <w:bCs/>
                <w:color w:val="FFFFFF"/>
                <w:sz w:val="18"/>
                <w:szCs w:val="18"/>
              </w:rPr>
            </w:pPr>
            <w:r w:rsidRPr="00B50A81">
              <w:rPr>
                <w:rFonts w:asciiTheme="minorHAnsi" w:hAnsiTheme="minorHAnsi" w:cs="Arial"/>
                <w:b/>
                <w:bCs/>
                <w:color w:val="FFFFFF"/>
                <w:sz w:val="18"/>
                <w:szCs w:val="18"/>
              </w:rPr>
              <w:t>Schedule Fee for combination</w:t>
            </w:r>
          </w:p>
        </w:tc>
        <w:tc>
          <w:tcPr>
            <w:tcW w:w="960" w:type="dxa"/>
            <w:shd w:val="clear" w:color="auto" w:fill="548DD4" w:themeFill="text2" w:themeFillTint="99"/>
            <w:vAlign w:val="center"/>
            <w:hideMark/>
          </w:tcPr>
          <w:p w14:paraId="22348CB4" w14:textId="77777777" w:rsidR="001C45C0" w:rsidRPr="00B50A81" w:rsidRDefault="001C45C0" w:rsidP="001C45C0">
            <w:pPr>
              <w:jc w:val="center"/>
              <w:rPr>
                <w:rFonts w:asciiTheme="minorHAnsi" w:hAnsiTheme="minorHAnsi" w:cs="Arial"/>
                <w:b/>
                <w:bCs/>
                <w:color w:val="FFFFFF"/>
                <w:sz w:val="18"/>
                <w:szCs w:val="18"/>
              </w:rPr>
            </w:pPr>
            <w:r w:rsidRPr="00B50A81">
              <w:rPr>
                <w:rFonts w:asciiTheme="minorHAnsi" w:hAnsiTheme="minorHAnsi" w:cs="Arial"/>
                <w:b/>
                <w:bCs/>
                <w:color w:val="FFFFFF"/>
                <w:sz w:val="18"/>
                <w:szCs w:val="18"/>
              </w:rPr>
              <w:t>Number of patients</w:t>
            </w:r>
          </w:p>
        </w:tc>
        <w:tc>
          <w:tcPr>
            <w:tcW w:w="1073" w:type="dxa"/>
            <w:shd w:val="clear" w:color="auto" w:fill="548DD4" w:themeFill="text2" w:themeFillTint="99"/>
            <w:vAlign w:val="center"/>
            <w:hideMark/>
          </w:tcPr>
          <w:p w14:paraId="5506A2CA" w14:textId="77777777" w:rsidR="001C45C0" w:rsidRPr="00B50A81" w:rsidRDefault="001C45C0" w:rsidP="001C45C0">
            <w:pPr>
              <w:jc w:val="center"/>
              <w:rPr>
                <w:rFonts w:asciiTheme="minorHAnsi" w:hAnsiTheme="minorHAnsi" w:cs="Arial"/>
                <w:b/>
                <w:bCs/>
                <w:color w:val="FFFFFF"/>
                <w:sz w:val="18"/>
                <w:szCs w:val="18"/>
              </w:rPr>
            </w:pPr>
            <w:r w:rsidRPr="00B50A81">
              <w:rPr>
                <w:rFonts w:asciiTheme="minorHAnsi" w:hAnsiTheme="minorHAnsi" w:cs="Arial"/>
                <w:b/>
                <w:bCs/>
                <w:color w:val="FFFFFF"/>
                <w:sz w:val="18"/>
                <w:szCs w:val="18"/>
              </w:rPr>
              <w:t>% of episodes</w:t>
            </w:r>
          </w:p>
        </w:tc>
      </w:tr>
      <w:tr w:rsidR="001C45C0" w:rsidRPr="00B50A81" w14:paraId="7F1065EC" w14:textId="77777777" w:rsidTr="001C45C0">
        <w:trPr>
          <w:trHeight w:val="300"/>
        </w:trPr>
        <w:tc>
          <w:tcPr>
            <w:tcW w:w="567" w:type="dxa"/>
            <w:shd w:val="clear" w:color="000000" w:fill="FFFFFF"/>
            <w:noWrap/>
            <w:vAlign w:val="bottom"/>
          </w:tcPr>
          <w:p w14:paraId="69CF0759" w14:textId="77777777" w:rsidR="001C45C0" w:rsidRPr="00B50A81" w:rsidRDefault="001C45C0" w:rsidP="001C45C0">
            <w:pPr>
              <w:rPr>
                <w:rFonts w:asciiTheme="minorHAnsi" w:hAnsiTheme="minorHAnsi" w:cs="Arial"/>
                <w:color w:val="000000"/>
                <w:sz w:val="18"/>
                <w:szCs w:val="18"/>
              </w:rPr>
            </w:pPr>
            <w:r w:rsidRPr="00B50A81">
              <w:rPr>
                <w:rFonts w:asciiTheme="minorHAnsi" w:hAnsiTheme="minorHAnsi" w:cs="Arial"/>
                <w:color w:val="000000"/>
                <w:sz w:val="18"/>
                <w:szCs w:val="18"/>
              </w:rPr>
              <w:t>1</w:t>
            </w:r>
          </w:p>
        </w:tc>
        <w:tc>
          <w:tcPr>
            <w:tcW w:w="2314" w:type="dxa"/>
            <w:shd w:val="clear" w:color="000000" w:fill="FFFFFF"/>
            <w:noWrap/>
            <w:vAlign w:val="bottom"/>
          </w:tcPr>
          <w:p w14:paraId="4659BE2B" w14:textId="77777777" w:rsidR="001C45C0" w:rsidRPr="00B50A81" w:rsidRDefault="001C45C0" w:rsidP="001C45C0">
            <w:pPr>
              <w:rPr>
                <w:rFonts w:asciiTheme="minorHAnsi" w:hAnsiTheme="minorHAnsi" w:cs="Arial"/>
                <w:color w:val="000000"/>
                <w:sz w:val="18"/>
                <w:szCs w:val="18"/>
              </w:rPr>
            </w:pPr>
            <w:r>
              <w:rPr>
                <w:rFonts w:asciiTheme="minorHAnsi" w:hAnsiTheme="minorHAnsi" w:cs="Arial"/>
                <w:color w:val="000000"/>
                <w:sz w:val="18"/>
                <w:szCs w:val="18"/>
              </w:rPr>
              <w:t xml:space="preserve">73338 and </w:t>
            </w:r>
            <w:r w:rsidRPr="00B50A81">
              <w:rPr>
                <w:rFonts w:asciiTheme="minorHAnsi" w:hAnsiTheme="minorHAnsi" w:cs="Arial"/>
                <w:color w:val="000000"/>
                <w:sz w:val="18"/>
                <w:szCs w:val="18"/>
              </w:rPr>
              <w:t>73940</w:t>
            </w:r>
          </w:p>
        </w:tc>
        <w:tc>
          <w:tcPr>
            <w:tcW w:w="1017" w:type="dxa"/>
            <w:shd w:val="clear" w:color="000000" w:fill="FFFFFF"/>
            <w:noWrap/>
            <w:vAlign w:val="bottom"/>
          </w:tcPr>
          <w:p w14:paraId="7BE1537B" w14:textId="77777777" w:rsidR="001C45C0" w:rsidRPr="00B50A81" w:rsidRDefault="001C45C0" w:rsidP="001C45C0">
            <w:pPr>
              <w:jc w:val="right"/>
              <w:rPr>
                <w:rFonts w:asciiTheme="minorHAnsi" w:hAnsiTheme="minorHAnsi" w:cs="Arial"/>
                <w:color w:val="000000"/>
                <w:sz w:val="18"/>
                <w:szCs w:val="18"/>
              </w:rPr>
            </w:pPr>
            <w:r w:rsidRPr="00B50A81">
              <w:rPr>
                <w:rFonts w:asciiTheme="minorHAnsi" w:hAnsiTheme="minorHAnsi" w:cs="Arial"/>
                <w:color w:val="000000"/>
                <w:sz w:val="18"/>
                <w:szCs w:val="18"/>
              </w:rPr>
              <w:t xml:space="preserve">879 </w:t>
            </w:r>
          </w:p>
        </w:tc>
        <w:tc>
          <w:tcPr>
            <w:tcW w:w="960" w:type="dxa"/>
            <w:shd w:val="clear" w:color="000000" w:fill="FFFFFF"/>
            <w:noWrap/>
            <w:vAlign w:val="bottom"/>
          </w:tcPr>
          <w:p w14:paraId="0E4C8A0D" w14:textId="77777777" w:rsidR="001C45C0" w:rsidRPr="00B50A81" w:rsidRDefault="001C45C0" w:rsidP="001C45C0">
            <w:pPr>
              <w:jc w:val="right"/>
              <w:rPr>
                <w:rFonts w:asciiTheme="minorHAnsi" w:hAnsiTheme="minorHAnsi" w:cs="Arial"/>
                <w:color w:val="000000"/>
                <w:sz w:val="18"/>
                <w:szCs w:val="18"/>
              </w:rPr>
            </w:pPr>
            <w:r w:rsidRPr="00B50A81">
              <w:rPr>
                <w:rFonts w:asciiTheme="minorHAnsi" w:hAnsiTheme="minorHAnsi" w:cs="Arial"/>
                <w:color w:val="000000"/>
                <w:sz w:val="18"/>
                <w:szCs w:val="18"/>
              </w:rPr>
              <w:t xml:space="preserve">1,774 </w:t>
            </w:r>
          </w:p>
        </w:tc>
        <w:tc>
          <w:tcPr>
            <w:tcW w:w="1286" w:type="dxa"/>
            <w:shd w:val="clear" w:color="000000" w:fill="FFFFFF"/>
            <w:noWrap/>
            <w:vAlign w:val="bottom"/>
          </w:tcPr>
          <w:p w14:paraId="2958CBA6" w14:textId="77777777" w:rsidR="001C45C0" w:rsidRPr="00B50A81" w:rsidRDefault="001C45C0" w:rsidP="001C45C0">
            <w:pPr>
              <w:jc w:val="right"/>
              <w:rPr>
                <w:rFonts w:asciiTheme="minorHAnsi" w:hAnsiTheme="minorHAnsi" w:cs="Arial"/>
                <w:color w:val="000000"/>
                <w:sz w:val="18"/>
                <w:szCs w:val="18"/>
              </w:rPr>
            </w:pPr>
            <w:r w:rsidRPr="00B50A81">
              <w:rPr>
                <w:rFonts w:asciiTheme="minorHAnsi" w:hAnsiTheme="minorHAnsi" w:cs="Arial"/>
                <w:color w:val="000000"/>
                <w:sz w:val="18"/>
                <w:szCs w:val="18"/>
              </w:rPr>
              <w:t xml:space="preserve">$333,536 </w:t>
            </w:r>
          </w:p>
        </w:tc>
        <w:tc>
          <w:tcPr>
            <w:tcW w:w="960" w:type="dxa"/>
            <w:shd w:val="clear" w:color="000000" w:fill="FFFFFF"/>
            <w:noWrap/>
            <w:vAlign w:val="bottom"/>
          </w:tcPr>
          <w:p w14:paraId="4E895840" w14:textId="77777777" w:rsidR="001C45C0" w:rsidRPr="00B50A81" w:rsidRDefault="001C45C0" w:rsidP="001C45C0">
            <w:pPr>
              <w:jc w:val="right"/>
              <w:rPr>
                <w:rFonts w:asciiTheme="minorHAnsi" w:hAnsiTheme="minorHAnsi" w:cs="Arial"/>
                <w:color w:val="000000"/>
                <w:sz w:val="18"/>
                <w:szCs w:val="18"/>
              </w:rPr>
            </w:pPr>
            <w:r w:rsidRPr="00B50A81">
              <w:rPr>
                <w:rFonts w:asciiTheme="minorHAnsi" w:hAnsiTheme="minorHAnsi" w:cs="Arial"/>
                <w:color w:val="000000"/>
                <w:sz w:val="18"/>
                <w:szCs w:val="18"/>
              </w:rPr>
              <w:t xml:space="preserve">869 </w:t>
            </w:r>
          </w:p>
        </w:tc>
        <w:tc>
          <w:tcPr>
            <w:tcW w:w="1073" w:type="dxa"/>
            <w:shd w:val="clear" w:color="000000" w:fill="FFFFFF"/>
            <w:noWrap/>
            <w:vAlign w:val="bottom"/>
          </w:tcPr>
          <w:p w14:paraId="060B6AE4" w14:textId="77777777" w:rsidR="001C45C0" w:rsidRPr="00B50A81" w:rsidRDefault="001C45C0" w:rsidP="001C45C0">
            <w:pPr>
              <w:jc w:val="right"/>
              <w:rPr>
                <w:rFonts w:asciiTheme="minorHAnsi" w:hAnsiTheme="minorHAnsi" w:cs="Arial"/>
                <w:color w:val="000000"/>
                <w:sz w:val="18"/>
                <w:szCs w:val="18"/>
              </w:rPr>
            </w:pPr>
            <w:r>
              <w:rPr>
                <w:rFonts w:asciiTheme="minorHAnsi" w:hAnsiTheme="minorHAnsi" w:cs="Arial"/>
                <w:color w:val="000000"/>
                <w:sz w:val="18"/>
                <w:szCs w:val="18"/>
              </w:rPr>
              <w:t>38.8</w:t>
            </w:r>
            <w:r w:rsidRPr="00B50A81">
              <w:rPr>
                <w:rFonts w:asciiTheme="minorHAnsi" w:hAnsiTheme="minorHAnsi" w:cs="Arial"/>
                <w:color w:val="000000"/>
                <w:sz w:val="18"/>
                <w:szCs w:val="18"/>
              </w:rPr>
              <w:t xml:space="preserve">% </w:t>
            </w:r>
          </w:p>
        </w:tc>
      </w:tr>
      <w:tr w:rsidR="001C45C0" w:rsidRPr="00B50A81" w14:paraId="34034F7A" w14:textId="77777777" w:rsidTr="001C45C0">
        <w:trPr>
          <w:trHeight w:val="300"/>
        </w:trPr>
        <w:tc>
          <w:tcPr>
            <w:tcW w:w="567" w:type="dxa"/>
            <w:shd w:val="clear" w:color="000000" w:fill="FFFFFF"/>
            <w:noWrap/>
            <w:vAlign w:val="bottom"/>
          </w:tcPr>
          <w:p w14:paraId="3322F84F" w14:textId="77777777" w:rsidR="001C45C0" w:rsidRPr="00B50A81" w:rsidRDefault="001C45C0" w:rsidP="001C45C0">
            <w:pPr>
              <w:rPr>
                <w:rFonts w:asciiTheme="minorHAnsi" w:hAnsiTheme="minorHAnsi" w:cs="Arial"/>
                <w:color w:val="000000"/>
                <w:sz w:val="18"/>
                <w:szCs w:val="18"/>
              </w:rPr>
            </w:pPr>
            <w:r w:rsidRPr="00B50A81">
              <w:rPr>
                <w:rFonts w:asciiTheme="minorHAnsi" w:hAnsiTheme="minorHAnsi" w:cs="Arial"/>
                <w:color w:val="000000"/>
                <w:sz w:val="18"/>
                <w:szCs w:val="18"/>
              </w:rPr>
              <w:t>2</w:t>
            </w:r>
          </w:p>
        </w:tc>
        <w:tc>
          <w:tcPr>
            <w:tcW w:w="2314" w:type="dxa"/>
            <w:shd w:val="clear" w:color="000000" w:fill="FFFFFF"/>
            <w:noWrap/>
            <w:vAlign w:val="bottom"/>
          </w:tcPr>
          <w:p w14:paraId="5F9CC5FD" w14:textId="77777777" w:rsidR="001C45C0" w:rsidRPr="00B50A81" w:rsidRDefault="001C45C0" w:rsidP="001C45C0">
            <w:pPr>
              <w:rPr>
                <w:rFonts w:asciiTheme="minorHAnsi" w:hAnsiTheme="minorHAnsi" w:cs="Arial"/>
                <w:color w:val="000000"/>
                <w:sz w:val="18"/>
                <w:szCs w:val="18"/>
              </w:rPr>
            </w:pPr>
            <w:r>
              <w:rPr>
                <w:rFonts w:asciiTheme="minorHAnsi" w:hAnsiTheme="minorHAnsi" w:cs="Arial"/>
                <w:color w:val="000000"/>
                <w:sz w:val="18"/>
                <w:szCs w:val="18"/>
              </w:rPr>
              <w:t xml:space="preserve">73338 and </w:t>
            </w:r>
            <w:r w:rsidRPr="00B50A81">
              <w:rPr>
                <w:rFonts w:asciiTheme="minorHAnsi" w:hAnsiTheme="minorHAnsi" w:cs="Arial"/>
                <w:color w:val="000000"/>
                <w:sz w:val="18"/>
                <w:szCs w:val="18"/>
              </w:rPr>
              <w:t>73938</w:t>
            </w:r>
          </w:p>
        </w:tc>
        <w:tc>
          <w:tcPr>
            <w:tcW w:w="1017" w:type="dxa"/>
            <w:shd w:val="clear" w:color="000000" w:fill="FFFFFF"/>
            <w:noWrap/>
            <w:vAlign w:val="bottom"/>
          </w:tcPr>
          <w:p w14:paraId="1C646C34" w14:textId="77777777" w:rsidR="001C45C0" w:rsidRPr="00B50A81" w:rsidRDefault="001C45C0" w:rsidP="001C45C0">
            <w:pPr>
              <w:jc w:val="right"/>
              <w:rPr>
                <w:rFonts w:asciiTheme="minorHAnsi" w:hAnsiTheme="minorHAnsi" w:cs="Arial"/>
                <w:color w:val="000000"/>
                <w:sz w:val="18"/>
                <w:szCs w:val="18"/>
              </w:rPr>
            </w:pPr>
            <w:r w:rsidRPr="00B50A81">
              <w:rPr>
                <w:rFonts w:asciiTheme="minorHAnsi" w:hAnsiTheme="minorHAnsi" w:cs="Arial"/>
                <w:color w:val="000000"/>
                <w:sz w:val="18"/>
                <w:szCs w:val="18"/>
              </w:rPr>
              <w:t xml:space="preserve">474 </w:t>
            </w:r>
          </w:p>
        </w:tc>
        <w:tc>
          <w:tcPr>
            <w:tcW w:w="960" w:type="dxa"/>
            <w:shd w:val="clear" w:color="000000" w:fill="FFFFFF"/>
            <w:noWrap/>
            <w:vAlign w:val="bottom"/>
          </w:tcPr>
          <w:p w14:paraId="5397D2F1" w14:textId="77777777" w:rsidR="001C45C0" w:rsidRPr="00B50A81" w:rsidRDefault="001C45C0" w:rsidP="001C45C0">
            <w:pPr>
              <w:jc w:val="right"/>
              <w:rPr>
                <w:rFonts w:asciiTheme="minorHAnsi" w:hAnsiTheme="minorHAnsi" w:cs="Arial"/>
                <w:color w:val="000000"/>
                <w:sz w:val="18"/>
                <w:szCs w:val="18"/>
              </w:rPr>
            </w:pPr>
            <w:r w:rsidRPr="00B50A81">
              <w:rPr>
                <w:rFonts w:asciiTheme="minorHAnsi" w:hAnsiTheme="minorHAnsi" w:cs="Arial"/>
                <w:color w:val="000000"/>
                <w:sz w:val="18"/>
                <w:szCs w:val="18"/>
              </w:rPr>
              <w:t xml:space="preserve">948 </w:t>
            </w:r>
          </w:p>
        </w:tc>
        <w:tc>
          <w:tcPr>
            <w:tcW w:w="1286" w:type="dxa"/>
            <w:shd w:val="clear" w:color="000000" w:fill="FFFFFF"/>
            <w:noWrap/>
            <w:vAlign w:val="bottom"/>
          </w:tcPr>
          <w:p w14:paraId="02844F68" w14:textId="77777777" w:rsidR="001C45C0" w:rsidRPr="00B50A81" w:rsidRDefault="001C45C0" w:rsidP="001C45C0">
            <w:pPr>
              <w:jc w:val="right"/>
              <w:rPr>
                <w:rFonts w:asciiTheme="minorHAnsi" w:hAnsiTheme="minorHAnsi" w:cs="Arial"/>
                <w:color w:val="000000"/>
                <w:sz w:val="18"/>
                <w:szCs w:val="18"/>
              </w:rPr>
            </w:pPr>
            <w:r w:rsidRPr="00B50A81">
              <w:rPr>
                <w:rFonts w:asciiTheme="minorHAnsi" w:hAnsiTheme="minorHAnsi" w:cs="Arial"/>
                <w:color w:val="000000"/>
                <w:sz w:val="18"/>
                <w:szCs w:val="18"/>
              </w:rPr>
              <w:t xml:space="preserve">$175,640 </w:t>
            </w:r>
          </w:p>
        </w:tc>
        <w:tc>
          <w:tcPr>
            <w:tcW w:w="960" w:type="dxa"/>
            <w:shd w:val="clear" w:color="000000" w:fill="FFFFFF"/>
            <w:noWrap/>
            <w:vAlign w:val="bottom"/>
          </w:tcPr>
          <w:p w14:paraId="28E6F2D1" w14:textId="77777777" w:rsidR="001C45C0" w:rsidRPr="00B50A81" w:rsidRDefault="001C45C0" w:rsidP="001C45C0">
            <w:pPr>
              <w:jc w:val="right"/>
              <w:rPr>
                <w:rFonts w:asciiTheme="minorHAnsi" w:hAnsiTheme="minorHAnsi" w:cs="Arial"/>
                <w:color w:val="000000"/>
                <w:sz w:val="18"/>
                <w:szCs w:val="18"/>
              </w:rPr>
            </w:pPr>
            <w:r w:rsidRPr="00B50A81">
              <w:rPr>
                <w:rFonts w:asciiTheme="minorHAnsi" w:hAnsiTheme="minorHAnsi" w:cs="Arial"/>
                <w:color w:val="000000"/>
                <w:sz w:val="18"/>
                <w:szCs w:val="18"/>
              </w:rPr>
              <w:t xml:space="preserve">473 </w:t>
            </w:r>
          </w:p>
        </w:tc>
        <w:tc>
          <w:tcPr>
            <w:tcW w:w="1073" w:type="dxa"/>
            <w:shd w:val="clear" w:color="000000" w:fill="FFFFFF"/>
            <w:noWrap/>
            <w:vAlign w:val="bottom"/>
          </w:tcPr>
          <w:p w14:paraId="3EFE11F2" w14:textId="77777777" w:rsidR="001C45C0" w:rsidRPr="00B50A81" w:rsidRDefault="001C45C0" w:rsidP="001C45C0">
            <w:pPr>
              <w:jc w:val="right"/>
              <w:rPr>
                <w:rFonts w:asciiTheme="minorHAnsi" w:hAnsiTheme="minorHAnsi" w:cs="Arial"/>
                <w:color w:val="000000"/>
                <w:sz w:val="18"/>
                <w:szCs w:val="18"/>
              </w:rPr>
            </w:pPr>
            <w:r>
              <w:rPr>
                <w:rFonts w:asciiTheme="minorHAnsi" w:hAnsiTheme="minorHAnsi" w:cs="Arial"/>
                <w:color w:val="000000"/>
                <w:sz w:val="18"/>
                <w:szCs w:val="18"/>
              </w:rPr>
              <w:t>20.9</w:t>
            </w:r>
            <w:r w:rsidRPr="00B50A81">
              <w:rPr>
                <w:rFonts w:asciiTheme="minorHAnsi" w:hAnsiTheme="minorHAnsi" w:cs="Arial"/>
                <w:color w:val="000000"/>
                <w:sz w:val="18"/>
                <w:szCs w:val="18"/>
              </w:rPr>
              <w:t xml:space="preserve">% </w:t>
            </w:r>
          </w:p>
        </w:tc>
      </w:tr>
      <w:tr w:rsidR="001C45C0" w:rsidRPr="00B50A81" w14:paraId="46252D11" w14:textId="77777777" w:rsidTr="001C45C0">
        <w:trPr>
          <w:trHeight w:val="300"/>
        </w:trPr>
        <w:tc>
          <w:tcPr>
            <w:tcW w:w="567" w:type="dxa"/>
            <w:shd w:val="clear" w:color="000000" w:fill="FFFFFF"/>
            <w:noWrap/>
            <w:vAlign w:val="bottom"/>
          </w:tcPr>
          <w:p w14:paraId="7E0CB7A2" w14:textId="77777777" w:rsidR="001C45C0" w:rsidRPr="00B50A81" w:rsidRDefault="001C45C0" w:rsidP="001C45C0">
            <w:pPr>
              <w:rPr>
                <w:rFonts w:asciiTheme="minorHAnsi" w:hAnsiTheme="minorHAnsi" w:cs="Arial"/>
                <w:color w:val="000000"/>
                <w:sz w:val="18"/>
                <w:szCs w:val="18"/>
              </w:rPr>
            </w:pPr>
            <w:r w:rsidRPr="00B50A81">
              <w:rPr>
                <w:rFonts w:asciiTheme="minorHAnsi" w:hAnsiTheme="minorHAnsi" w:cs="Arial"/>
                <w:color w:val="000000"/>
                <w:sz w:val="18"/>
                <w:szCs w:val="18"/>
              </w:rPr>
              <w:t>3</w:t>
            </w:r>
          </w:p>
        </w:tc>
        <w:tc>
          <w:tcPr>
            <w:tcW w:w="2314" w:type="dxa"/>
            <w:shd w:val="clear" w:color="000000" w:fill="FFFFFF"/>
            <w:noWrap/>
            <w:vAlign w:val="bottom"/>
          </w:tcPr>
          <w:p w14:paraId="48EDCA85" w14:textId="77777777" w:rsidR="001C45C0" w:rsidRPr="00B50A81" w:rsidRDefault="001C45C0" w:rsidP="001C45C0">
            <w:pPr>
              <w:rPr>
                <w:rFonts w:asciiTheme="minorHAnsi" w:hAnsiTheme="minorHAnsi" w:cs="Arial"/>
                <w:color w:val="000000"/>
                <w:sz w:val="18"/>
                <w:szCs w:val="18"/>
              </w:rPr>
            </w:pPr>
            <w:r>
              <w:rPr>
                <w:rFonts w:asciiTheme="minorHAnsi" w:hAnsiTheme="minorHAnsi" w:cs="Arial"/>
                <w:color w:val="000000"/>
                <w:sz w:val="18"/>
                <w:szCs w:val="18"/>
              </w:rPr>
              <w:t xml:space="preserve">73338 and </w:t>
            </w:r>
            <w:r w:rsidRPr="00B50A81">
              <w:rPr>
                <w:rFonts w:asciiTheme="minorHAnsi" w:hAnsiTheme="minorHAnsi" w:cs="Arial"/>
                <w:color w:val="000000"/>
                <w:sz w:val="18"/>
                <w:szCs w:val="18"/>
              </w:rPr>
              <w:t>3939</w:t>
            </w:r>
          </w:p>
        </w:tc>
        <w:tc>
          <w:tcPr>
            <w:tcW w:w="1017" w:type="dxa"/>
            <w:shd w:val="clear" w:color="000000" w:fill="FFFFFF"/>
            <w:noWrap/>
            <w:vAlign w:val="bottom"/>
          </w:tcPr>
          <w:p w14:paraId="657F3624" w14:textId="77777777" w:rsidR="001C45C0" w:rsidRPr="00B50A81" w:rsidRDefault="001C45C0" w:rsidP="001C45C0">
            <w:pPr>
              <w:jc w:val="right"/>
              <w:rPr>
                <w:rFonts w:asciiTheme="minorHAnsi" w:hAnsiTheme="minorHAnsi" w:cs="Arial"/>
                <w:color w:val="000000"/>
                <w:sz w:val="18"/>
                <w:szCs w:val="18"/>
              </w:rPr>
            </w:pPr>
            <w:r w:rsidRPr="00B50A81">
              <w:rPr>
                <w:rFonts w:asciiTheme="minorHAnsi" w:hAnsiTheme="minorHAnsi" w:cs="Arial"/>
                <w:color w:val="000000"/>
                <w:sz w:val="18"/>
                <w:szCs w:val="18"/>
              </w:rPr>
              <w:t xml:space="preserve">234 </w:t>
            </w:r>
          </w:p>
        </w:tc>
        <w:tc>
          <w:tcPr>
            <w:tcW w:w="960" w:type="dxa"/>
            <w:shd w:val="clear" w:color="000000" w:fill="FFFFFF"/>
            <w:noWrap/>
            <w:vAlign w:val="bottom"/>
          </w:tcPr>
          <w:p w14:paraId="5C4CFD82" w14:textId="77777777" w:rsidR="001C45C0" w:rsidRPr="00B50A81" w:rsidRDefault="001C45C0" w:rsidP="001C45C0">
            <w:pPr>
              <w:jc w:val="right"/>
              <w:rPr>
                <w:rFonts w:asciiTheme="minorHAnsi" w:hAnsiTheme="minorHAnsi" w:cs="Arial"/>
                <w:color w:val="000000"/>
                <w:sz w:val="18"/>
                <w:szCs w:val="18"/>
              </w:rPr>
            </w:pPr>
            <w:r w:rsidRPr="00B50A81">
              <w:rPr>
                <w:rFonts w:asciiTheme="minorHAnsi" w:hAnsiTheme="minorHAnsi" w:cs="Arial"/>
                <w:color w:val="000000"/>
                <w:sz w:val="18"/>
                <w:szCs w:val="18"/>
              </w:rPr>
              <w:t xml:space="preserve">468 </w:t>
            </w:r>
          </w:p>
        </w:tc>
        <w:tc>
          <w:tcPr>
            <w:tcW w:w="1286" w:type="dxa"/>
            <w:shd w:val="clear" w:color="000000" w:fill="FFFFFF"/>
            <w:noWrap/>
            <w:vAlign w:val="bottom"/>
          </w:tcPr>
          <w:p w14:paraId="10A65CCA" w14:textId="77777777" w:rsidR="001C45C0" w:rsidRPr="00B50A81" w:rsidRDefault="001C45C0" w:rsidP="001C45C0">
            <w:pPr>
              <w:jc w:val="right"/>
              <w:rPr>
                <w:rFonts w:asciiTheme="minorHAnsi" w:hAnsiTheme="minorHAnsi" w:cs="Arial"/>
                <w:color w:val="000000"/>
                <w:sz w:val="18"/>
                <w:szCs w:val="18"/>
              </w:rPr>
            </w:pPr>
            <w:r w:rsidRPr="00B50A81">
              <w:rPr>
                <w:rFonts w:asciiTheme="minorHAnsi" w:hAnsiTheme="minorHAnsi" w:cs="Arial"/>
                <w:color w:val="000000"/>
                <w:sz w:val="18"/>
                <w:szCs w:val="18"/>
              </w:rPr>
              <w:t xml:space="preserve">$85,410 </w:t>
            </w:r>
          </w:p>
        </w:tc>
        <w:tc>
          <w:tcPr>
            <w:tcW w:w="960" w:type="dxa"/>
            <w:shd w:val="clear" w:color="000000" w:fill="FFFFFF"/>
            <w:noWrap/>
            <w:vAlign w:val="bottom"/>
          </w:tcPr>
          <w:p w14:paraId="59426ED3" w14:textId="77777777" w:rsidR="001C45C0" w:rsidRPr="00B50A81" w:rsidRDefault="001C45C0" w:rsidP="001C45C0">
            <w:pPr>
              <w:jc w:val="right"/>
              <w:rPr>
                <w:rFonts w:asciiTheme="minorHAnsi" w:hAnsiTheme="minorHAnsi" w:cs="Arial"/>
                <w:color w:val="000000"/>
                <w:sz w:val="18"/>
                <w:szCs w:val="18"/>
              </w:rPr>
            </w:pPr>
            <w:r w:rsidRPr="00B50A81">
              <w:rPr>
                <w:rFonts w:asciiTheme="minorHAnsi" w:hAnsiTheme="minorHAnsi" w:cs="Arial"/>
                <w:color w:val="000000"/>
                <w:sz w:val="18"/>
                <w:szCs w:val="18"/>
              </w:rPr>
              <w:t xml:space="preserve">230 </w:t>
            </w:r>
          </w:p>
        </w:tc>
        <w:tc>
          <w:tcPr>
            <w:tcW w:w="1073" w:type="dxa"/>
            <w:shd w:val="clear" w:color="000000" w:fill="FFFFFF"/>
            <w:noWrap/>
            <w:vAlign w:val="bottom"/>
          </w:tcPr>
          <w:p w14:paraId="64A26C64" w14:textId="77777777" w:rsidR="001C45C0" w:rsidRPr="00B50A81" w:rsidRDefault="001C45C0" w:rsidP="001C45C0">
            <w:pPr>
              <w:jc w:val="right"/>
              <w:rPr>
                <w:rFonts w:asciiTheme="minorHAnsi" w:hAnsiTheme="minorHAnsi" w:cs="Arial"/>
                <w:color w:val="000000"/>
                <w:sz w:val="18"/>
                <w:szCs w:val="18"/>
              </w:rPr>
            </w:pPr>
            <w:r>
              <w:rPr>
                <w:rFonts w:asciiTheme="minorHAnsi" w:hAnsiTheme="minorHAnsi" w:cs="Arial"/>
                <w:color w:val="000000"/>
                <w:sz w:val="18"/>
                <w:szCs w:val="18"/>
              </w:rPr>
              <w:t>10.3</w:t>
            </w:r>
            <w:r w:rsidRPr="00B50A81">
              <w:rPr>
                <w:rFonts w:asciiTheme="minorHAnsi" w:hAnsiTheme="minorHAnsi" w:cs="Arial"/>
                <w:color w:val="000000"/>
                <w:sz w:val="18"/>
                <w:szCs w:val="18"/>
              </w:rPr>
              <w:t xml:space="preserve">% </w:t>
            </w:r>
          </w:p>
        </w:tc>
      </w:tr>
      <w:tr w:rsidR="001C45C0" w:rsidRPr="00B50A81" w14:paraId="712F24C7" w14:textId="77777777" w:rsidTr="001C45C0">
        <w:trPr>
          <w:trHeight w:val="300"/>
        </w:trPr>
        <w:tc>
          <w:tcPr>
            <w:tcW w:w="567" w:type="dxa"/>
            <w:shd w:val="clear" w:color="000000" w:fill="FFFFFF"/>
            <w:noWrap/>
            <w:vAlign w:val="bottom"/>
          </w:tcPr>
          <w:p w14:paraId="1B3EBEDE" w14:textId="77777777" w:rsidR="001C45C0" w:rsidRPr="00B50A81" w:rsidRDefault="001C45C0" w:rsidP="001C45C0">
            <w:pPr>
              <w:rPr>
                <w:rFonts w:asciiTheme="minorHAnsi" w:hAnsiTheme="minorHAnsi" w:cs="Arial"/>
                <w:color w:val="000000"/>
                <w:sz w:val="18"/>
                <w:szCs w:val="18"/>
              </w:rPr>
            </w:pPr>
            <w:r w:rsidRPr="00B50A81">
              <w:rPr>
                <w:rFonts w:asciiTheme="minorHAnsi" w:hAnsiTheme="minorHAnsi" w:cs="Arial"/>
                <w:color w:val="000000"/>
                <w:sz w:val="18"/>
                <w:szCs w:val="18"/>
              </w:rPr>
              <w:t>4</w:t>
            </w:r>
          </w:p>
        </w:tc>
        <w:tc>
          <w:tcPr>
            <w:tcW w:w="2314" w:type="dxa"/>
            <w:shd w:val="clear" w:color="000000" w:fill="FFFFFF"/>
            <w:noWrap/>
            <w:vAlign w:val="bottom"/>
          </w:tcPr>
          <w:p w14:paraId="512D0E62" w14:textId="77777777" w:rsidR="001C45C0" w:rsidRPr="00B50A81" w:rsidRDefault="001C45C0" w:rsidP="001C45C0">
            <w:pPr>
              <w:rPr>
                <w:rFonts w:asciiTheme="minorHAnsi" w:hAnsiTheme="minorHAnsi" w:cs="Arial"/>
                <w:color w:val="000000"/>
                <w:sz w:val="18"/>
                <w:szCs w:val="18"/>
              </w:rPr>
            </w:pPr>
            <w:r>
              <w:rPr>
                <w:rFonts w:asciiTheme="minorHAnsi" w:hAnsiTheme="minorHAnsi" w:cs="Arial"/>
                <w:color w:val="000000"/>
                <w:sz w:val="18"/>
                <w:szCs w:val="18"/>
              </w:rPr>
              <w:t>73338 only</w:t>
            </w:r>
          </w:p>
        </w:tc>
        <w:tc>
          <w:tcPr>
            <w:tcW w:w="1017" w:type="dxa"/>
            <w:shd w:val="clear" w:color="000000" w:fill="FFFFFF"/>
            <w:noWrap/>
            <w:vAlign w:val="bottom"/>
          </w:tcPr>
          <w:p w14:paraId="488DA73C" w14:textId="77777777" w:rsidR="001C45C0" w:rsidRPr="00B50A81" w:rsidRDefault="001C45C0" w:rsidP="001C45C0">
            <w:pPr>
              <w:jc w:val="right"/>
              <w:rPr>
                <w:rFonts w:asciiTheme="minorHAnsi" w:hAnsiTheme="minorHAnsi" w:cs="Arial"/>
                <w:color w:val="000000"/>
                <w:sz w:val="18"/>
                <w:szCs w:val="18"/>
              </w:rPr>
            </w:pPr>
            <w:r w:rsidRPr="00B50A81">
              <w:rPr>
                <w:rFonts w:asciiTheme="minorHAnsi" w:hAnsiTheme="minorHAnsi" w:cs="Arial"/>
                <w:color w:val="000000"/>
                <w:sz w:val="18"/>
                <w:szCs w:val="18"/>
              </w:rPr>
              <w:t xml:space="preserve">174 </w:t>
            </w:r>
          </w:p>
        </w:tc>
        <w:tc>
          <w:tcPr>
            <w:tcW w:w="960" w:type="dxa"/>
            <w:shd w:val="clear" w:color="000000" w:fill="FFFFFF"/>
            <w:noWrap/>
            <w:vAlign w:val="bottom"/>
          </w:tcPr>
          <w:p w14:paraId="7D557645" w14:textId="77777777" w:rsidR="001C45C0" w:rsidRPr="00B50A81" w:rsidRDefault="001C45C0" w:rsidP="001C45C0">
            <w:pPr>
              <w:jc w:val="right"/>
              <w:rPr>
                <w:rFonts w:asciiTheme="minorHAnsi" w:hAnsiTheme="minorHAnsi" w:cs="Arial"/>
                <w:color w:val="000000"/>
                <w:sz w:val="18"/>
                <w:szCs w:val="18"/>
              </w:rPr>
            </w:pPr>
            <w:r w:rsidRPr="00B50A81">
              <w:rPr>
                <w:rFonts w:asciiTheme="minorHAnsi" w:hAnsiTheme="minorHAnsi" w:cs="Arial"/>
                <w:color w:val="000000"/>
                <w:sz w:val="18"/>
                <w:szCs w:val="18"/>
              </w:rPr>
              <w:t xml:space="preserve">175 </w:t>
            </w:r>
          </w:p>
        </w:tc>
        <w:tc>
          <w:tcPr>
            <w:tcW w:w="1286" w:type="dxa"/>
            <w:shd w:val="clear" w:color="000000" w:fill="FFFFFF"/>
            <w:noWrap/>
            <w:vAlign w:val="bottom"/>
          </w:tcPr>
          <w:p w14:paraId="52A72E3A" w14:textId="77777777" w:rsidR="001C45C0" w:rsidRPr="00B50A81" w:rsidRDefault="001C45C0" w:rsidP="001C45C0">
            <w:pPr>
              <w:jc w:val="right"/>
              <w:rPr>
                <w:rFonts w:asciiTheme="minorHAnsi" w:hAnsiTheme="minorHAnsi" w:cs="Arial"/>
                <w:color w:val="000000"/>
                <w:sz w:val="18"/>
                <w:szCs w:val="18"/>
              </w:rPr>
            </w:pPr>
            <w:r w:rsidRPr="00B50A81">
              <w:rPr>
                <w:rFonts w:asciiTheme="minorHAnsi" w:hAnsiTheme="minorHAnsi" w:cs="Arial"/>
                <w:color w:val="000000"/>
                <w:sz w:val="18"/>
                <w:szCs w:val="18"/>
              </w:rPr>
              <w:t xml:space="preserve">$63,455 </w:t>
            </w:r>
          </w:p>
        </w:tc>
        <w:tc>
          <w:tcPr>
            <w:tcW w:w="960" w:type="dxa"/>
            <w:shd w:val="clear" w:color="000000" w:fill="FFFFFF"/>
            <w:noWrap/>
            <w:vAlign w:val="bottom"/>
          </w:tcPr>
          <w:p w14:paraId="72A535F8" w14:textId="77777777" w:rsidR="001C45C0" w:rsidRPr="00B50A81" w:rsidRDefault="001C45C0" w:rsidP="001C45C0">
            <w:pPr>
              <w:jc w:val="right"/>
              <w:rPr>
                <w:rFonts w:asciiTheme="minorHAnsi" w:hAnsiTheme="minorHAnsi" w:cs="Arial"/>
                <w:color w:val="000000"/>
                <w:sz w:val="18"/>
                <w:szCs w:val="18"/>
              </w:rPr>
            </w:pPr>
            <w:r w:rsidRPr="00B50A81">
              <w:rPr>
                <w:rFonts w:asciiTheme="minorHAnsi" w:hAnsiTheme="minorHAnsi" w:cs="Arial"/>
                <w:color w:val="000000"/>
                <w:sz w:val="18"/>
                <w:szCs w:val="18"/>
              </w:rPr>
              <w:t xml:space="preserve">172 </w:t>
            </w:r>
          </w:p>
        </w:tc>
        <w:tc>
          <w:tcPr>
            <w:tcW w:w="1073" w:type="dxa"/>
            <w:shd w:val="clear" w:color="000000" w:fill="FFFFFF"/>
            <w:noWrap/>
            <w:vAlign w:val="bottom"/>
          </w:tcPr>
          <w:p w14:paraId="47144F33" w14:textId="77777777" w:rsidR="001C45C0" w:rsidRPr="00B50A81" w:rsidRDefault="001C45C0" w:rsidP="001C45C0">
            <w:pPr>
              <w:jc w:val="right"/>
              <w:rPr>
                <w:rFonts w:asciiTheme="minorHAnsi" w:hAnsiTheme="minorHAnsi" w:cs="Arial"/>
                <w:color w:val="000000"/>
                <w:sz w:val="18"/>
                <w:szCs w:val="18"/>
              </w:rPr>
            </w:pPr>
            <w:r>
              <w:rPr>
                <w:rFonts w:asciiTheme="minorHAnsi" w:hAnsiTheme="minorHAnsi" w:cs="Arial"/>
                <w:color w:val="000000"/>
                <w:sz w:val="18"/>
                <w:szCs w:val="18"/>
              </w:rPr>
              <w:t>7.7</w:t>
            </w:r>
            <w:r w:rsidRPr="00B50A81">
              <w:rPr>
                <w:rFonts w:asciiTheme="minorHAnsi" w:hAnsiTheme="minorHAnsi" w:cs="Arial"/>
                <w:color w:val="000000"/>
                <w:sz w:val="18"/>
                <w:szCs w:val="18"/>
              </w:rPr>
              <w:t xml:space="preserve">% </w:t>
            </w:r>
          </w:p>
        </w:tc>
      </w:tr>
      <w:tr w:rsidR="001C45C0" w:rsidRPr="00B50A81" w14:paraId="7D175281" w14:textId="77777777" w:rsidTr="001C45C0">
        <w:trPr>
          <w:trHeight w:val="300"/>
        </w:trPr>
        <w:tc>
          <w:tcPr>
            <w:tcW w:w="567" w:type="dxa"/>
            <w:shd w:val="clear" w:color="000000" w:fill="FFFFFF"/>
            <w:noWrap/>
            <w:vAlign w:val="bottom"/>
          </w:tcPr>
          <w:p w14:paraId="38A2CA8C" w14:textId="77777777" w:rsidR="001C45C0" w:rsidRPr="00B50A81" w:rsidRDefault="001C45C0" w:rsidP="001C45C0">
            <w:pPr>
              <w:rPr>
                <w:rFonts w:asciiTheme="minorHAnsi" w:hAnsiTheme="minorHAnsi" w:cs="Arial"/>
                <w:color w:val="000000"/>
                <w:sz w:val="18"/>
                <w:szCs w:val="18"/>
              </w:rPr>
            </w:pPr>
            <w:r w:rsidRPr="00B50A81">
              <w:rPr>
                <w:rFonts w:asciiTheme="minorHAnsi" w:hAnsiTheme="minorHAnsi" w:cs="Arial"/>
                <w:color w:val="000000"/>
                <w:sz w:val="18"/>
                <w:szCs w:val="18"/>
              </w:rPr>
              <w:t>5</w:t>
            </w:r>
          </w:p>
        </w:tc>
        <w:tc>
          <w:tcPr>
            <w:tcW w:w="2314" w:type="dxa"/>
            <w:shd w:val="clear" w:color="000000" w:fill="FFFFFF"/>
            <w:noWrap/>
            <w:vAlign w:val="bottom"/>
          </w:tcPr>
          <w:p w14:paraId="5841380C" w14:textId="77777777" w:rsidR="001C45C0" w:rsidRPr="00B50A81" w:rsidRDefault="001C45C0" w:rsidP="001C45C0">
            <w:pPr>
              <w:rPr>
                <w:rFonts w:asciiTheme="minorHAnsi" w:hAnsiTheme="minorHAnsi" w:cs="Arial"/>
                <w:color w:val="000000"/>
                <w:sz w:val="18"/>
                <w:szCs w:val="18"/>
              </w:rPr>
            </w:pPr>
            <w:r>
              <w:rPr>
                <w:rFonts w:asciiTheme="minorHAnsi" w:hAnsiTheme="minorHAnsi" w:cs="Arial"/>
                <w:color w:val="000000"/>
                <w:sz w:val="18"/>
                <w:szCs w:val="18"/>
              </w:rPr>
              <w:t xml:space="preserve">73338 and </w:t>
            </w:r>
            <w:r w:rsidRPr="00B50A81">
              <w:rPr>
                <w:rFonts w:asciiTheme="minorHAnsi" w:hAnsiTheme="minorHAnsi" w:cs="Arial"/>
                <w:color w:val="000000"/>
                <w:sz w:val="18"/>
                <w:szCs w:val="18"/>
              </w:rPr>
              <w:t>72846</w:t>
            </w:r>
          </w:p>
        </w:tc>
        <w:tc>
          <w:tcPr>
            <w:tcW w:w="1017" w:type="dxa"/>
            <w:shd w:val="clear" w:color="000000" w:fill="FFFFFF"/>
            <w:noWrap/>
            <w:vAlign w:val="bottom"/>
          </w:tcPr>
          <w:p w14:paraId="5910005F" w14:textId="77777777" w:rsidR="001C45C0" w:rsidRPr="00B50A81" w:rsidRDefault="001C45C0" w:rsidP="001C45C0">
            <w:pPr>
              <w:jc w:val="right"/>
              <w:rPr>
                <w:rFonts w:asciiTheme="minorHAnsi" w:hAnsiTheme="minorHAnsi" w:cs="Arial"/>
                <w:color w:val="000000"/>
                <w:sz w:val="18"/>
                <w:szCs w:val="18"/>
              </w:rPr>
            </w:pPr>
            <w:r w:rsidRPr="00B50A81">
              <w:rPr>
                <w:rFonts w:asciiTheme="minorHAnsi" w:hAnsiTheme="minorHAnsi" w:cs="Arial"/>
                <w:color w:val="000000"/>
                <w:sz w:val="18"/>
                <w:szCs w:val="18"/>
              </w:rPr>
              <w:t xml:space="preserve">89 </w:t>
            </w:r>
          </w:p>
        </w:tc>
        <w:tc>
          <w:tcPr>
            <w:tcW w:w="960" w:type="dxa"/>
            <w:shd w:val="clear" w:color="000000" w:fill="FFFFFF"/>
            <w:noWrap/>
            <w:vAlign w:val="bottom"/>
          </w:tcPr>
          <w:p w14:paraId="55EB1873" w14:textId="77777777" w:rsidR="001C45C0" w:rsidRPr="00B50A81" w:rsidRDefault="001C45C0" w:rsidP="001C45C0">
            <w:pPr>
              <w:jc w:val="right"/>
              <w:rPr>
                <w:rFonts w:asciiTheme="minorHAnsi" w:hAnsiTheme="minorHAnsi" w:cs="Arial"/>
                <w:color w:val="000000"/>
                <w:sz w:val="18"/>
                <w:szCs w:val="18"/>
              </w:rPr>
            </w:pPr>
            <w:r w:rsidRPr="00B50A81">
              <w:rPr>
                <w:rFonts w:asciiTheme="minorHAnsi" w:hAnsiTheme="minorHAnsi" w:cs="Arial"/>
                <w:color w:val="000000"/>
                <w:sz w:val="18"/>
                <w:szCs w:val="18"/>
              </w:rPr>
              <w:t xml:space="preserve">178 </w:t>
            </w:r>
          </w:p>
        </w:tc>
        <w:tc>
          <w:tcPr>
            <w:tcW w:w="1286" w:type="dxa"/>
            <w:shd w:val="clear" w:color="000000" w:fill="FFFFFF"/>
            <w:noWrap/>
            <w:vAlign w:val="bottom"/>
          </w:tcPr>
          <w:p w14:paraId="3715C8BF" w14:textId="77777777" w:rsidR="001C45C0" w:rsidRPr="00B50A81" w:rsidRDefault="001C45C0" w:rsidP="001C45C0">
            <w:pPr>
              <w:jc w:val="right"/>
              <w:rPr>
                <w:rFonts w:asciiTheme="minorHAnsi" w:hAnsiTheme="minorHAnsi" w:cs="Arial"/>
                <w:color w:val="000000"/>
                <w:sz w:val="18"/>
                <w:szCs w:val="18"/>
              </w:rPr>
            </w:pPr>
            <w:r w:rsidRPr="00B50A81">
              <w:rPr>
                <w:rFonts w:asciiTheme="minorHAnsi" w:hAnsiTheme="minorHAnsi" w:cs="Arial"/>
                <w:color w:val="000000"/>
                <w:sz w:val="18"/>
                <w:szCs w:val="18"/>
              </w:rPr>
              <w:t xml:space="preserve">$37,576 </w:t>
            </w:r>
          </w:p>
        </w:tc>
        <w:tc>
          <w:tcPr>
            <w:tcW w:w="960" w:type="dxa"/>
            <w:shd w:val="clear" w:color="000000" w:fill="FFFFFF"/>
            <w:noWrap/>
            <w:vAlign w:val="bottom"/>
          </w:tcPr>
          <w:p w14:paraId="59C3207A" w14:textId="77777777" w:rsidR="001C45C0" w:rsidRPr="00B50A81" w:rsidRDefault="001C45C0" w:rsidP="001C45C0">
            <w:pPr>
              <w:jc w:val="right"/>
              <w:rPr>
                <w:rFonts w:asciiTheme="minorHAnsi" w:hAnsiTheme="minorHAnsi" w:cs="Arial"/>
                <w:color w:val="000000"/>
                <w:sz w:val="18"/>
                <w:szCs w:val="18"/>
              </w:rPr>
            </w:pPr>
            <w:r w:rsidRPr="00B50A81">
              <w:rPr>
                <w:rFonts w:asciiTheme="minorHAnsi" w:hAnsiTheme="minorHAnsi" w:cs="Arial"/>
                <w:color w:val="000000"/>
                <w:sz w:val="18"/>
                <w:szCs w:val="18"/>
              </w:rPr>
              <w:t xml:space="preserve">88 </w:t>
            </w:r>
          </w:p>
        </w:tc>
        <w:tc>
          <w:tcPr>
            <w:tcW w:w="1073" w:type="dxa"/>
            <w:shd w:val="clear" w:color="000000" w:fill="FFFFFF"/>
            <w:noWrap/>
            <w:vAlign w:val="bottom"/>
          </w:tcPr>
          <w:p w14:paraId="2DC1C109" w14:textId="77777777" w:rsidR="001C45C0" w:rsidRPr="00B50A81" w:rsidRDefault="001C45C0" w:rsidP="001C45C0">
            <w:pPr>
              <w:jc w:val="right"/>
              <w:rPr>
                <w:rFonts w:asciiTheme="minorHAnsi" w:hAnsiTheme="minorHAnsi" w:cs="Arial"/>
                <w:color w:val="000000"/>
                <w:sz w:val="18"/>
                <w:szCs w:val="18"/>
              </w:rPr>
            </w:pPr>
            <w:r w:rsidRPr="00B50A81">
              <w:rPr>
                <w:rFonts w:asciiTheme="minorHAnsi" w:hAnsiTheme="minorHAnsi" w:cs="Arial"/>
                <w:color w:val="000000"/>
                <w:sz w:val="18"/>
                <w:szCs w:val="18"/>
              </w:rPr>
              <w:t xml:space="preserve">3.9% </w:t>
            </w:r>
          </w:p>
        </w:tc>
      </w:tr>
    </w:tbl>
    <w:p w14:paraId="5CF85B5C" w14:textId="4841360F" w:rsidR="001C45C0" w:rsidRPr="00367A55" w:rsidRDefault="001C45C0" w:rsidP="00367A55">
      <w:pPr>
        <w:pStyle w:val="Caption"/>
        <w:rPr>
          <w:rFonts w:asciiTheme="minorHAnsi" w:hAnsiTheme="minorHAnsi"/>
          <w:b w:val="0"/>
        </w:rPr>
      </w:pPr>
      <w:r w:rsidRPr="002B05F2">
        <w:rPr>
          <w:rFonts w:asciiTheme="minorHAnsi" w:hAnsiTheme="minorHAnsi"/>
          <w:b w:val="0"/>
        </w:rPr>
        <w:t>Source for Tables 6-8: Department of Health, File: Q21109B Item 73338 Item combination Top 10.xlsx</w:t>
      </w:r>
    </w:p>
    <w:p w14:paraId="3ED5B2A3" w14:textId="77777777" w:rsidR="001C45C0" w:rsidRPr="004C0334" w:rsidRDefault="001C45C0" w:rsidP="001C45C0">
      <w:pPr>
        <w:pStyle w:val="Heading2"/>
        <w:rPr>
          <w:rFonts w:asciiTheme="minorHAnsi" w:hAnsiTheme="minorHAnsi"/>
          <w:i/>
          <w:sz w:val="22"/>
          <w:szCs w:val="22"/>
        </w:rPr>
      </w:pPr>
      <w:bookmarkStart w:id="5" w:name="_Toc510711801"/>
      <w:r w:rsidRPr="004C0334">
        <w:rPr>
          <w:rFonts w:asciiTheme="minorHAnsi" w:hAnsiTheme="minorHAnsi"/>
          <w:sz w:val="22"/>
          <w:szCs w:val="22"/>
        </w:rPr>
        <w:t>Descriptor of each co-claimed service</w:t>
      </w:r>
      <w:bookmarkEnd w:id="5"/>
      <w:r w:rsidRPr="004C0334">
        <w:rPr>
          <w:rFonts w:asciiTheme="minorHAnsi" w:hAnsiTheme="minorHAnsi"/>
          <w:sz w:val="22"/>
          <w:szCs w:val="22"/>
        </w:rPr>
        <w:t xml:space="preserve"> </w:t>
      </w:r>
    </w:p>
    <w:tbl>
      <w:tblPr>
        <w:tblStyle w:val="TableGrid"/>
        <w:tblW w:w="0" w:type="auto"/>
        <w:tblInd w:w="108" w:type="dxa"/>
        <w:tblLook w:val="04A0" w:firstRow="1" w:lastRow="0" w:firstColumn="1" w:lastColumn="0" w:noHBand="0" w:noVBand="1"/>
        <w:tblDescription w:val="Short Descriptor of each co-claimed service"/>
      </w:tblPr>
      <w:tblGrid>
        <w:gridCol w:w="1276"/>
        <w:gridCol w:w="7088"/>
      </w:tblGrid>
      <w:tr w:rsidR="001C45C0" w:rsidRPr="00B50A81" w14:paraId="63C59C5B" w14:textId="77777777" w:rsidTr="001C45C0">
        <w:trPr>
          <w:cantSplit/>
          <w:tblHeader/>
        </w:trPr>
        <w:tc>
          <w:tcPr>
            <w:tcW w:w="1276" w:type="dxa"/>
            <w:shd w:val="clear" w:color="auto" w:fill="548DD4" w:themeFill="text2" w:themeFillTint="99"/>
          </w:tcPr>
          <w:p w14:paraId="2732FC5F" w14:textId="77777777" w:rsidR="001C45C0" w:rsidRPr="00B50A81" w:rsidRDefault="001C45C0" w:rsidP="001C45C0">
            <w:pPr>
              <w:rPr>
                <w:rFonts w:asciiTheme="minorHAnsi" w:hAnsiTheme="minorHAnsi" w:cs="Arial"/>
                <w:b/>
                <w:color w:val="FFFFFF" w:themeColor="background1"/>
                <w:sz w:val="18"/>
              </w:rPr>
            </w:pPr>
            <w:r w:rsidRPr="00B50A81">
              <w:rPr>
                <w:rFonts w:asciiTheme="minorHAnsi" w:hAnsiTheme="minorHAnsi" w:cs="Arial"/>
                <w:b/>
                <w:color w:val="FFFFFF" w:themeColor="background1"/>
                <w:sz w:val="18"/>
              </w:rPr>
              <w:t>MBS Item #</w:t>
            </w:r>
          </w:p>
        </w:tc>
        <w:tc>
          <w:tcPr>
            <w:tcW w:w="7088" w:type="dxa"/>
            <w:shd w:val="clear" w:color="auto" w:fill="548DD4" w:themeFill="text2" w:themeFillTint="99"/>
          </w:tcPr>
          <w:p w14:paraId="6A08843A" w14:textId="77777777" w:rsidR="001C45C0" w:rsidRPr="00B50A81" w:rsidRDefault="001C45C0" w:rsidP="001C45C0">
            <w:pPr>
              <w:rPr>
                <w:rFonts w:asciiTheme="minorHAnsi" w:hAnsiTheme="minorHAnsi" w:cs="Arial"/>
                <w:b/>
                <w:color w:val="FFFFFF" w:themeColor="background1"/>
                <w:sz w:val="18"/>
              </w:rPr>
            </w:pPr>
            <w:r w:rsidRPr="00B50A81">
              <w:rPr>
                <w:rFonts w:asciiTheme="minorHAnsi" w:hAnsiTheme="minorHAnsi" w:cs="Arial"/>
                <w:b/>
                <w:color w:val="FFFFFF" w:themeColor="background1"/>
                <w:sz w:val="18"/>
              </w:rPr>
              <w:t xml:space="preserve">Descriptor </w:t>
            </w:r>
          </w:p>
        </w:tc>
      </w:tr>
      <w:tr w:rsidR="001C45C0" w:rsidRPr="00B50A81" w14:paraId="7E573FA6" w14:textId="77777777" w:rsidTr="001C45C0">
        <w:tc>
          <w:tcPr>
            <w:tcW w:w="1276" w:type="dxa"/>
          </w:tcPr>
          <w:p w14:paraId="2F0C2F7E" w14:textId="77777777" w:rsidR="001C45C0" w:rsidRPr="004545EF" w:rsidRDefault="001C45C0" w:rsidP="001C45C0">
            <w:pPr>
              <w:rPr>
                <w:rFonts w:asciiTheme="minorHAnsi" w:hAnsiTheme="minorHAnsi" w:cs="Arial"/>
                <w:sz w:val="22"/>
                <w:szCs w:val="22"/>
              </w:rPr>
            </w:pPr>
            <w:r w:rsidRPr="004545EF">
              <w:rPr>
                <w:rFonts w:asciiTheme="minorHAnsi" w:hAnsiTheme="minorHAnsi" w:cs="Arial"/>
                <w:sz w:val="22"/>
                <w:szCs w:val="22"/>
              </w:rPr>
              <w:t>72846</w:t>
            </w:r>
          </w:p>
        </w:tc>
        <w:tc>
          <w:tcPr>
            <w:tcW w:w="7088" w:type="dxa"/>
          </w:tcPr>
          <w:p w14:paraId="0186C5DA" w14:textId="77777777" w:rsidR="001C45C0" w:rsidRPr="004545EF" w:rsidRDefault="001C45C0" w:rsidP="001C45C0">
            <w:pPr>
              <w:jc w:val="right"/>
              <w:rPr>
                <w:rFonts w:asciiTheme="minorHAnsi" w:hAnsiTheme="minorHAnsi" w:cs="Arial"/>
                <w:sz w:val="22"/>
                <w:szCs w:val="22"/>
              </w:rPr>
            </w:pPr>
            <w:r w:rsidRPr="004545EF">
              <w:rPr>
                <w:rFonts w:asciiTheme="minorHAnsi" w:hAnsiTheme="minorHAnsi" w:cs="Arial"/>
                <w:b/>
                <w:bCs/>
                <w:sz w:val="22"/>
                <w:szCs w:val="22"/>
              </w:rPr>
              <w:t>Group</w:t>
            </w:r>
            <w:r w:rsidRPr="004545EF">
              <w:rPr>
                <w:rFonts w:asciiTheme="minorHAnsi" w:hAnsiTheme="minorHAnsi" w:cs="Arial"/>
                <w:sz w:val="22"/>
                <w:szCs w:val="22"/>
              </w:rPr>
              <w:t xml:space="preserve"> P5 - Tissue Pathology</w:t>
            </w:r>
          </w:p>
          <w:p w14:paraId="2A60DDD7" w14:textId="77777777" w:rsidR="001C45C0" w:rsidRPr="004545EF" w:rsidRDefault="001C45C0" w:rsidP="001C45C0">
            <w:pPr>
              <w:rPr>
                <w:rFonts w:asciiTheme="minorHAnsi" w:hAnsiTheme="minorHAnsi" w:cs="Arial"/>
                <w:sz w:val="22"/>
                <w:szCs w:val="22"/>
              </w:rPr>
            </w:pPr>
            <w:r w:rsidRPr="004545EF">
              <w:rPr>
                <w:rFonts w:asciiTheme="minorHAnsi" w:hAnsiTheme="minorHAnsi" w:cs="Arial"/>
                <w:sz w:val="22"/>
                <w:szCs w:val="22"/>
              </w:rPr>
              <w:t xml:space="preserve">Immunohistochemical examination of biopsy material by immunofluorescence, immunoperoxidase or other labelled antibody techniques with multiple antigenic specificities per specimen - 1 to 3 antibodies except those listed in 72848 </w:t>
            </w:r>
          </w:p>
          <w:p w14:paraId="54C05072" w14:textId="0AE898DE" w:rsidR="001C45C0" w:rsidRPr="004545EF" w:rsidRDefault="001C45C0" w:rsidP="00367A55">
            <w:pPr>
              <w:spacing w:after="240"/>
              <w:rPr>
                <w:rFonts w:asciiTheme="minorHAnsi" w:hAnsiTheme="minorHAnsi" w:cs="Arial"/>
                <w:sz w:val="22"/>
                <w:szCs w:val="22"/>
              </w:rPr>
            </w:pPr>
            <w:r w:rsidRPr="004545EF">
              <w:rPr>
                <w:rFonts w:asciiTheme="minorHAnsi" w:hAnsiTheme="minorHAnsi" w:cs="Arial"/>
                <w:sz w:val="22"/>
                <w:szCs w:val="22"/>
              </w:rPr>
              <w:t xml:space="preserve">(Item is subject to rule 13) </w:t>
            </w:r>
          </w:p>
          <w:p w14:paraId="70DAF5E2" w14:textId="77777777" w:rsidR="001C45C0" w:rsidRPr="004545EF" w:rsidRDefault="001C45C0" w:rsidP="001C45C0">
            <w:pPr>
              <w:rPr>
                <w:rFonts w:asciiTheme="minorHAnsi" w:hAnsiTheme="minorHAnsi" w:cs="Arial"/>
                <w:sz w:val="22"/>
                <w:szCs w:val="22"/>
              </w:rPr>
            </w:pPr>
            <w:r w:rsidRPr="004545EF">
              <w:rPr>
                <w:rFonts w:asciiTheme="minorHAnsi" w:hAnsiTheme="minorHAnsi" w:cs="Arial"/>
                <w:b/>
                <w:bCs/>
                <w:sz w:val="22"/>
                <w:szCs w:val="22"/>
              </w:rPr>
              <w:t>Fee:</w:t>
            </w:r>
            <w:r w:rsidRPr="004545EF">
              <w:rPr>
                <w:rFonts w:asciiTheme="minorHAnsi" w:hAnsiTheme="minorHAnsi" w:cs="Arial"/>
                <w:sz w:val="22"/>
                <w:szCs w:val="22"/>
              </w:rPr>
              <w:t xml:space="preserve"> $59.60 </w:t>
            </w:r>
            <w:r w:rsidRPr="004545EF">
              <w:rPr>
                <w:rFonts w:asciiTheme="minorHAnsi" w:hAnsiTheme="minorHAnsi" w:cs="Arial"/>
                <w:b/>
                <w:bCs/>
                <w:sz w:val="22"/>
                <w:szCs w:val="22"/>
              </w:rPr>
              <w:t>Benefit:</w:t>
            </w:r>
            <w:r w:rsidRPr="004545EF">
              <w:rPr>
                <w:rFonts w:asciiTheme="minorHAnsi" w:hAnsiTheme="minorHAnsi" w:cs="Arial"/>
                <w:sz w:val="22"/>
                <w:szCs w:val="22"/>
              </w:rPr>
              <w:t xml:space="preserve"> 75% = $44.70 85% = $50.70 </w:t>
            </w:r>
          </w:p>
          <w:p w14:paraId="1B17E274" w14:textId="77777777" w:rsidR="001C45C0" w:rsidRPr="004545EF" w:rsidRDefault="001C45C0" w:rsidP="001C45C0">
            <w:pPr>
              <w:rPr>
                <w:rFonts w:asciiTheme="minorHAnsi" w:hAnsiTheme="minorHAnsi" w:cs="Arial"/>
                <w:sz w:val="22"/>
                <w:szCs w:val="22"/>
              </w:rPr>
            </w:pPr>
          </w:p>
        </w:tc>
      </w:tr>
      <w:tr w:rsidR="001C45C0" w:rsidRPr="00B50A81" w14:paraId="01871C28" w14:textId="77777777" w:rsidTr="001C45C0">
        <w:tc>
          <w:tcPr>
            <w:tcW w:w="1276" w:type="dxa"/>
          </w:tcPr>
          <w:p w14:paraId="7431B664" w14:textId="77777777" w:rsidR="001C45C0" w:rsidRPr="004545EF" w:rsidRDefault="001C45C0" w:rsidP="001C45C0">
            <w:pPr>
              <w:rPr>
                <w:rFonts w:asciiTheme="minorHAnsi" w:hAnsiTheme="minorHAnsi" w:cs="Arial"/>
                <w:sz w:val="22"/>
                <w:szCs w:val="22"/>
              </w:rPr>
            </w:pPr>
            <w:r w:rsidRPr="004545EF">
              <w:rPr>
                <w:rFonts w:asciiTheme="minorHAnsi" w:hAnsiTheme="minorHAnsi" w:cs="Arial"/>
                <w:sz w:val="22"/>
                <w:szCs w:val="22"/>
              </w:rPr>
              <w:t>73938</w:t>
            </w:r>
          </w:p>
        </w:tc>
        <w:tc>
          <w:tcPr>
            <w:tcW w:w="7088" w:type="dxa"/>
          </w:tcPr>
          <w:p w14:paraId="322F1A88" w14:textId="77777777" w:rsidR="001C45C0" w:rsidRPr="004545EF" w:rsidRDefault="001C45C0" w:rsidP="001C45C0">
            <w:pPr>
              <w:autoSpaceDE w:val="0"/>
              <w:autoSpaceDN w:val="0"/>
              <w:adjustRightInd w:val="0"/>
              <w:jc w:val="right"/>
              <w:rPr>
                <w:rFonts w:asciiTheme="minorHAnsi" w:hAnsiTheme="minorHAnsi" w:cs="Arial"/>
                <w:color w:val="000000"/>
                <w:sz w:val="22"/>
                <w:szCs w:val="22"/>
              </w:rPr>
            </w:pPr>
            <w:r w:rsidRPr="004545EF">
              <w:rPr>
                <w:rFonts w:asciiTheme="minorHAnsi" w:hAnsiTheme="minorHAnsi" w:cs="Arial"/>
                <w:b/>
                <w:bCs/>
                <w:color w:val="000000"/>
                <w:sz w:val="22"/>
                <w:szCs w:val="22"/>
              </w:rPr>
              <w:t>Group</w:t>
            </w:r>
            <w:r w:rsidRPr="004545EF">
              <w:rPr>
                <w:rFonts w:asciiTheme="minorHAnsi" w:hAnsiTheme="minorHAnsi" w:cs="Arial"/>
                <w:color w:val="000000"/>
                <w:sz w:val="22"/>
                <w:szCs w:val="22"/>
              </w:rPr>
              <w:t xml:space="preserve"> P10 - Patient Episode Initiation</w:t>
            </w:r>
          </w:p>
          <w:p w14:paraId="76E1A986" w14:textId="418AA8B4" w:rsidR="001C45C0" w:rsidRPr="004545EF" w:rsidRDefault="001C45C0" w:rsidP="00367A55">
            <w:pPr>
              <w:autoSpaceDE w:val="0"/>
              <w:autoSpaceDN w:val="0"/>
              <w:adjustRightInd w:val="0"/>
              <w:spacing w:after="240"/>
              <w:jc w:val="both"/>
              <w:rPr>
                <w:rFonts w:asciiTheme="minorHAnsi" w:hAnsiTheme="minorHAnsi" w:cs="Arial"/>
                <w:color w:val="000000"/>
                <w:sz w:val="22"/>
                <w:szCs w:val="22"/>
              </w:rPr>
            </w:pPr>
            <w:r w:rsidRPr="004545EF">
              <w:rPr>
                <w:rFonts w:asciiTheme="minorHAnsi" w:hAnsiTheme="minorHAnsi" w:cs="Arial"/>
                <w:color w:val="000000"/>
                <w:sz w:val="22"/>
                <w:szCs w:val="22"/>
              </w:rPr>
              <w:t xml:space="preserve">Initiation of a patient episode by collection of a specimen for 1 or more services (other than those services described in items 73922, 73924 or 73926) if the specimen is collected by or on behalf of the treating practitioner. Unless item 73939 applies </w:t>
            </w:r>
          </w:p>
          <w:p w14:paraId="4A316A26" w14:textId="77777777" w:rsidR="001C45C0" w:rsidRPr="004545EF" w:rsidRDefault="001C45C0" w:rsidP="001C45C0">
            <w:pPr>
              <w:autoSpaceDE w:val="0"/>
              <w:autoSpaceDN w:val="0"/>
              <w:adjustRightInd w:val="0"/>
              <w:jc w:val="both"/>
              <w:rPr>
                <w:rFonts w:asciiTheme="minorHAnsi" w:hAnsiTheme="minorHAnsi" w:cs="Arial"/>
                <w:color w:val="000000"/>
                <w:sz w:val="22"/>
                <w:szCs w:val="22"/>
              </w:rPr>
            </w:pPr>
            <w:r w:rsidRPr="004545EF">
              <w:rPr>
                <w:rFonts w:asciiTheme="minorHAnsi" w:hAnsiTheme="minorHAnsi" w:cs="Arial"/>
                <w:b/>
                <w:bCs/>
                <w:color w:val="000000"/>
                <w:sz w:val="22"/>
                <w:szCs w:val="22"/>
              </w:rPr>
              <w:t>Fee:</w:t>
            </w:r>
            <w:r w:rsidRPr="004545EF">
              <w:rPr>
                <w:rFonts w:asciiTheme="minorHAnsi" w:hAnsiTheme="minorHAnsi" w:cs="Arial"/>
                <w:color w:val="000000"/>
                <w:sz w:val="22"/>
                <w:szCs w:val="22"/>
              </w:rPr>
              <w:t xml:space="preserve"> $7.95 </w:t>
            </w:r>
            <w:r w:rsidRPr="004545EF">
              <w:rPr>
                <w:rFonts w:asciiTheme="minorHAnsi" w:hAnsiTheme="minorHAnsi" w:cs="Arial"/>
                <w:b/>
                <w:bCs/>
                <w:color w:val="000000"/>
                <w:sz w:val="22"/>
                <w:szCs w:val="22"/>
              </w:rPr>
              <w:t>Benefit:</w:t>
            </w:r>
            <w:r w:rsidRPr="004545EF">
              <w:rPr>
                <w:rFonts w:asciiTheme="minorHAnsi" w:hAnsiTheme="minorHAnsi" w:cs="Arial"/>
                <w:color w:val="000000"/>
                <w:sz w:val="22"/>
                <w:szCs w:val="22"/>
              </w:rPr>
              <w:t xml:space="preserve"> 75% = $6.00 85% = $6.80 </w:t>
            </w:r>
          </w:p>
          <w:p w14:paraId="64C20001" w14:textId="77777777" w:rsidR="001C45C0" w:rsidRPr="004545EF" w:rsidRDefault="001C45C0" w:rsidP="001C45C0">
            <w:pPr>
              <w:autoSpaceDE w:val="0"/>
              <w:autoSpaceDN w:val="0"/>
              <w:adjustRightInd w:val="0"/>
              <w:jc w:val="both"/>
              <w:rPr>
                <w:rFonts w:asciiTheme="minorHAnsi" w:hAnsiTheme="minorHAnsi" w:cs="Arial"/>
                <w:color w:val="000000"/>
                <w:sz w:val="22"/>
                <w:szCs w:val="22"/>
              </w:rPr>
            </w:pPr>
          </w:p>
        </w:tc>
      </w:tr>
      <w:tr w:rsidR="001C45C0" w:rsidRPr="00B50A81" w14:paraId="210C1307" w14:textId="77777777" w:rsidTr="001C45C0">
        <w:tc>
          <w:tcPr>
            <w:tcW w:w="1276" w:type="dxa"/>
          </w:tcPr>
          <w:p w14:paraId="374FCC53" w14:textId="77777777" w:rsidR="001C45C0" w:rsidRPr="004545EF" w:rsidRDefault="001C45C0" w:rsidP="001C45C0">
            <w:pPr>
              <w:rPr>
                <w:rFonts w:asciiTheme="minorHAnsi" w:hAnsiTheme="minorHAnsi" w:cs="Arial"/>
                <w:sz w:val="22"/>
                <w:szCs w:val="22"/>
              </w:rPr>
            </w:pPr>
            <w:r w:rsidRPr="004545EF">
              <w:rPr>
                <w:rFonts w:asciiTheme="minorHAnsi" w:hAnsiTheme="minorHAnsi" w:cs="Arial"/>
                <w:sz w:val="22"/>
                <w:szCs w:val="22"/>
              </w:rPr>
              <w:t>73939</w:t>
            </w:r>
          </w:p>
        </w:tc>
        <w:tc>
          <w:tcPr>
            <w:tcW w:w="7088" w:type="dxa"/>
          </w:tcPr>
          <w:p w14:paraId="0B5E62ED" w14:textId="77777777" w:rsidR="001C45C0" w:rsidRPr="004545EF" w:rsidRDefault="001C45C0" w:rsidP="001C45C0">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jc w:val="right"/>
              <w:rPr>
                <w:rFonts w:asciiTheme="minorHAnsi" w:hAnsiTheme="minorHAnsi" w:cs="Arial"/>
                <w:color w:val="000000"/>
                <w:sz w:val="22"/>
                <w:szCs w:val="22"/>
              </w:rPr>
            </w:pPr>
            <w:r w:rsidRPr="004545EF">
              <w:rPr>
                <w:rFonts w:asciiTheme="minorHAnsi" w:hAnsiTheme="minorHAnsi" w:cs="Arial"/>
                <w:b/>
                <w:bCs/>
                <w:color w:val="000000"/>
                <w:sz w:val="22"/>
                <w:szCs w:val="22"/>
              </w:rPr>
              <w:t>Group</w:t>
            </w:r>
            <w:r w:rsidRPr="004545EF">
              <w:rPr>
                <w:rFonts w:asciiTheme="minorHAnsi" w:hAnsiTheme="minorHAnsi" w:cs="Arial"/>
                <w:color w:val="000000"/>
                <w:sz w:val="22"/>
                <w:szCs w:val="22"/>
              </w:rPr>
              <w:t xml:space="preserve"> P10 - Patient Episode Initiation</w:t>
            </w:r>
          </w:p>
          <w:p w14:paraId="3F05C3B6" w14:textId="77777777" w:rsidR="001C45C0" w:rsidRPr="004545EF" w:rsidRDefault="001C45C0" w:rsidP="001C45C0">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jc w:val="both"/>
              <w:rPr>
                <w:rFonts w:asciiTheme="minorHAnsi" w:hAnsiTheme="minorHAnsi" w:cs="Arial"/>
                <w:color w:val="000000"/>
                <w:sz w:val="22"/>
                <w:szCs w:val="22"/>
              </w:rPr>
            </w:pPr>
            <w:r w:rsidRPr="004545EF">
              <w:rPr>
                <w:rFonts w:asciiTheme="minorHAnsi" w:hAnsiTheme="minorHAnsi" w:cs="Arial"/>
                <w:color w:val="000000"/>
                <w:sz w:val="22"/>
                <w:szCs w:val="22"/>
              </w:rPr>
              <w:t xml:space="preserve">Initiation of a patient episode by collection of a specimen for 1 or more services  (other than those services described in items 73922, 73924 or 73926), if the specimen is collected by or on behalf of the treating practitioner and if: </w:t>
            </w:r>
          </w:p>
          <w:p w14:paraId="5B31FE00" w14:textId="12F33D3D" w:rsidR="001C45C0" w:rsidRPr="004545EF" w:rsidRDefault="001C45C0" w:rsidP="001C45C0">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jc w:val="both"/>
              <w:rPr>
                <w:rFonts w:asciiTheme="minorHAnsi" w:hAnsiTheme="minorHAnsi" w:cs="Arial"/>
                <w:color w:val="000000"/>
                <w:sz w:val="22"/>
                <w:szCs w:val="22"/>
              </w:rPr>
            </w:pPr>
            <w:r w:rsidRPr="004545EF">
              <w:rPr>
                <w:rFonts w:asciiTheme="minorHAnsi" w:hAnsiTheme="minorHAnsi" w:cs="Arial"/>
                <w:color w:val="000000"/>
                <w:sz w:val="22"/>
                <w:szCs w:val="22"/>
              </w:rPr>
              <w:t>(a</w:t>
            </w:r>
            <w:r w:rsidR="004545EF">
              <w:rPr>
                <w:rFonts w:asciiTheme="minorHAnsi" w:hAnsiTheme="minorHAnsi" w:cs="Arial"/>
                <w:color w:val="000000"/>
                <w:sz w:val="22"/>
                <w:szCs w:val="22"/>
              </w:rPr>
              <w:t xml:space="preserve">) </w:t>
            </w:r>
            <w:r w:rsidRPr="004545EF">
              <w:rPr>
                <w:rFonts w:asciiTheme="minorHAnsi" w:hAnsiTheme="minorHAnsi" w:cs="Arial"/>
                <w:color w:val="000000"/>
                <w:sz w:val="22"/>
                <w:szCs w:val="22"/>
              </w:rPr>
              <w:t xml:space="preserve">the service is performed in a prescribed laboratory or </w:t>
            </w:r>
          </w:p>
          <w:p w14:paraId="5B0835F5" w14:textId="641E3CF1" w:rsidR="001C45C0" w:rsidRPr="004545EF" w:rsidRDefault="001C45C0" w:rsidP="00367A55">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240"/>
              <w:jc w:val="both"/>
              <w:rPr>
                <w:rFonts w:asciiTheme="minorHAnsi" w:hAnsiTheme="minorHAnsi" w:cs="Arial"/>
                <w:color w:val="000000"/>
                <w:sz w:val="22"/>
                <w:szCs w:val="22"/>
              </w:rPr>
            </w:pPr>
            <w:r w:rsidRPr="004545EF">
              <w:rPr>
                <w:rFonts w:asciiTheme="minorHAnsi" w:hAnsiTheme="minorHAnsi" w:cs="Arial"/>
                <w:color w:val="000000"/>
                <w:sz w:val="22"/>
                <w:szCs w:val="22"/>
              </w:rPr>
              <w:t>(b</w:t>
            </w:r>
            <w:r w:rsidR="004545EF">
              <w:rPr>
                <w:rFonts w:asciiTheme="minorHAnsi" w:hAnsiTheme="minorHAnsi" w:cs="Arial"/>
                <w:color w:val="000000"/>
                <w:sz w:val="22"/>
                <w:szCs w:val="22"/>
              </w:rPr>
              <w:t xml:space="preserve">) </w:t>
            </w:r>
            <w:r w:rsidRPr="004545EF">
              <w:rPr>
                <w:rFonts w:asciiTheme="minorHAnsi" w:hAnsiTheme="minorHAnsi" w:cs="Arial"/>
                <w:color w:val="000000"/>
                <w:sz w:val="22"/>
                <w:szCs w:val="22"/>
              </w:rPr>
              <w:t xml:space="preserve">the person is a private patient in a recognised hospital </w:t>
            </w:r>
          </w:p>
          <w:p w14:paraId="650AE972" w14:textId="77777777" w:rsidR="001C45C0" w:rsidRPr="004545EF" w:rsidRDefault="001C45C0" w:rsidP="001C45C0">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jc w:val="both"/>
              <w:rPr>
                <w:rFonts w:asciiTheme="minorHAnsi" w:hAnsiTheme="minorHAnsi" w:cs="Arial"/>
                <w:color w:val="000000"/>
                <w:sz w:val="22"/>
                <w:szCs w:val="22"/>
              </w:rPr>
            </w:pPr>
            <w:r w:rsidRPr="004545EF">
              <w:rPr>
                <w:rFonts w:asciiTheme="minorHAnsi" w:hAnsiTheme="minorHAnsi" w:cs="Arial"/>
                <w:b/>
                <w:bCs/>
                <w:color w:val="000000"/>
                <w:sz w:val="22"/>
                <w:szCs w:val="22"/>
              </w:rPr>
              <w:t>Fee:</w:t>
            </w:r>
            <w:r w:rsidRPr="004545EF">
              <w:rPr>
                <w:rFonts w:asciiTheme="minorHAnsi" w:hAnsiTheme="minorHAnsi" w:cs="Arial"/>
                <w:color w:val="000000"/>
                <w:sz w:val="22"/>
                <w:szCs w:val="22"/>
              </w:rPr>
              <w:t xml:space="preserve"> $2.40 </w:t>
            </w:r>
            <w:r w:rsidRPr="004545EF">
              <w:rPr>
                <w:rFonts w:asciiTheme="minorHAnsi" w:hAnsiTheme="minorHAnsi" w:cs="Arial"/>
                <w:b/>
                <w:bCs/>
                <w:color w:val="000000"/>
                <w:sz w:val="22"/>
                <w:szCs w:val="22"/>
              </w:rPr>
              <w:t>Benefit:</w:t>
            </w:r>
            <w:r w:rsidRPr="004545EF">
              <w:rPr>
                <w:rFonts w:asciiTheme="minorHAnsi" w:hAnsiTheme="minorHAnsi" w:cs="Arial"/>
                <w:color w:val="000000"/>
                <w:sz w:val="22"/>
                <w:szCs w:val="22"/>
              </w:rPr>
              <w:t xml:space="preserve"> 75% = $1.80 85% = $2.05 </w:t>
            </w:r>
          </w:p>
          <w:p w14:paraId="6EAA9467" w14:textId="77777777" w:rsidR="001C45C0" w:rsidRPr="004545EF" w:rsidRDefault="001C45C0" w:rsidP="001C45C0">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jc w:val="both"/>
              <w:rPr>
                <w:rFonts w:asciiTheme="minorHAnsi" w:hAnsiTheme="minorHAnsi" w:cs="Arial"/>
                <w:color w:val="000000"/>
                <w:sz w:val="22"/>
                <w:szCs w:val="22"/>
              </w:rPr>
            </w:pPr>
          </w:p>
        </w:tc>
      </w:tr>
      <w:tr w:rsidR="001C45C0" w:rsidRPr="00B50A81" w14:paraId="7A9ECEB5" w14:textId="77777777" w:rsidTr="001C45C0">
        <w:tc>
          <w:tcPr>
            <w:tcW w:w="1276" w:type="dxa"/>
          </w:tcPr>
          <w:p w14:paraId="6742C4B0" w14:textId="77777777" w:rsidR="001C45C0" w:rsidRPr="004545EF" w:rsidRDefault="001C45C0" w:rsidP="001C45C0">
            <w:pPr>
              <w:rPr>
                <w:rFonts w:asciiTheme="minorHAnsi" w:hAnsiTheme="minorHAnsi" w:cs="Arial"/>
                <w:sz w:val="22"/>
                <w:szCs w:val="22"/>
              </w:rPr>
            </w:pPr>
            <w:r w:rsidRPr="004545EF">
              <w:rPr>
                <w:rFonts w:asciiTheme="minorHAnsi" w:hAnsiTheme="minorHAnsi" w:cs="Arial"/>
                <w:sz w:val="22"/>
                <w:szCs w:val="22"/>
              </w:rPr>
              <w:t>73940</w:t>
            </w:r>
          </w:p>
        </w:tc>
        <w:tc>
          <w:tcPr>
            <w:tcW w:w="7088" w:type="dxa"/>
          </w:tcPr>
          <w:p w14:paraId="07808947" w14:textId="77777777" w:rsidR="001C45C0" w:rsidRPr="004545EF" w:rsidRDefault="001C45C0" w:rsidP="001C45C0">
            <w:pPr>
              <w:jc w:val="right"/>
              <w:rPr>
                <w:rFonts w:asciiTheme="minorHAnsi" w:hAnsiTheme="minorHAnsi" w:cs="Arial"/>
                <w:sz w:val="22"/>
                <w:szCs w:val="22"/>
              </w:rPr>
            </w:pPr>
            <w:r w:rsidRPr="004545EF">
              <w:rPr>
                <w:rFonts w:asciiTheme="minorHAnsi" w:hAnsiTheme="minorHAnsi" w:cs="Arial"/>
                <w:b/>
                <w:bCs/>
                <w:sz w:val="22"/>
                <w:szCs w:val="22"/>
              </w:rPr>
              <w:t>Group</w:t>
            </w:r>
            <w:r w:rsidRPr="004545EF">
              <w:rPr>
                <w:rFonts w:asciiTheme="minorHAnsi" w:hAnsiTheme="minorHAnsi" w:cs="Arial"/>
                <w:sz w:val="22"/>
                <w:szCs w:val="22"/>
              </w:rPr>
              <w:t xml:space="preserve"> P11 - Specimen Referred</w:t>
            </w:r>
          </w:p>
          <w:p w14:paraId="6C2176FE" w14:textId="60696D17" w:rsidR="001C45C0" w:rsidRPr="004545EF" w:rsidRDefault="001C45C0" w:rsidP="00367A55">
            <w:pPr>
              <w:spacing w:after="240"/>
              <w:rPr>
                <w:rFonts w:asciiTheme="minorHAnsi" w:hAnsiTheme="minorHAnsi" w:cs="Arial"/>
                <w:sz w:val="22"/>
                <w:szCs w:val="22"/>
              </w:rPr>
            </w:pPr>
            <w:r w:rsidRPr="004545EF">
              <w:rPr>
                <w:rFonts w:asciiTheme="minorHAnsi" w:hAnsiTheme="minorHAnsi" w:cs="Arial"/>
                <w:sz w:val="22"/>
                <w:szCs w:val="22"/>
              </w:rPr>
              <w:t xml:space="preserve">Receipt of a specimen by an approved pathology practitioner of an approved pathology authority from another approved pathology practitioner of a different approved pathology authority or another approved pathology authority </w:t>
            </w:r>
          </w:p>
          <w:p w14:paraId="314DBFA9" w14:textId="2BF0136B" w:rsidR="001C45C0" w:rsidRPr="004545EF" w:rsidRDefault="001C45C0" w:rsidP="00367A55">
            <w:pPr>
              <w:spacing w:after="240"/>
              <w:rPr>
                <w:rFonts w:asciiTheme="minorHAnsi" w:hAnsiTheme="minorHAnsi" w:cs="Arial"/>
                <w:sz w:val="22"/>
                <w:szCs w:val="22"/>
              </w:rPr>
            </w:pPr>
            <w:r w:rsidRPr="004545EF">
              <w:rPr>
                <w:rFonts w:asciiTheme="minorHAnsi" w:hAnsiTheme="minorHAnsi" w:cs="Arial"/>
                <w:sz w:val="22"/>
                <w:szCs w:val="22"/>
              </w:rPr>
              <w:t xml:space="preserve">(Item is subject to rules 14, 15 and 16) </w:t>
            </w:r>
          </w:p>
          <w:p w14:paraId="0EBE84C6" w14:textId="77777777" w:rsidR="001C45C0" w:rsidRPr="004545EF" w:rsidRDefault="001C45C0" w:rsidP="001C45C0">
            <w:pPr>
              <w:rPr>
                <w:rFonts w:asciiTheme="minorHAnsi" w:hAnsiTheme="minorHAnsi" w:cs="Arial"/>
                <w:sz w:val="22"/>
                <w:szCs w:val="22"/>
              </w:rPr>
            </w:pPr>
            <w:r w:rsidRPr="004545EF">
              <w:rPr>
                <w:rFonts w:asciiTheme="minorHAnsi" w:hAnsiTheme="minorHAnsi" w:cs="Arial"/>
                <w:b/>
                <w:bCs/>
                <w:sz w:val="22"/>
                <w:szCs w:val="22"/>
              </w:rPr>
              <w:t>Fee:</w:t>
            </w:r>
            <w:r w:rsidRPr="004545EF">
              <w:rPr>
                <w:rFonts w:asciiTheme="minorHAnsi" w:hAnsiTheme="minorHAnsi" w:cs="Arial"/>
                <w:sz w:val="22"/>
                <w:szCs w:val="22"/>
              </w:rPr>
              <w:t xml:space="preserve"> $10.25 </w:t>
            </w:r>
            <w:r w:rsidRPr="004545EF">
              <w:rPr>
                <w:rFonts w:asciiTheme="minorHAnsi" w:hAnsiTheme="minorHAnsi" w:cs="Arial"/>
                <w:b/>
                <w:bCs/>
                <w:sz w:val="22"/>
                <w:szCs w:val="22"/>
              </w:rPr>
              <w:t>Benefit:</w:t>
            </w:r>
            <w:r w:rsidRPr="004545EF">
              <w:rPr>
                <w:rFonts w:asciiTheme="minorHAnsi" w:hAnsiTheme="minorHAnsi" w:cs="Arial"/>
                <w:sz w:val="22"/>
                <w:szCs w:val="22"/>
              </w:rPr>
              <w:t xml:space="preserve"> 75% = $7.70 85% = $8.75 </w:t>
            </w:r>
          </w:p>
          <w:p w14:paraId="3DF85342" w14:textId="77777777" w:rsidR="001C45C0" w:rsidRPr="004545EF" w:rsidRDefault="001C45C0" w:rsidP="001C45C0">
            <w:pPr>
              <w:rPr>
                <w:rFonts w:asciiTheme="minorHAnsi" w:hAnsiTheme="minorHAnsi" w:cs="Arial"/>
                <w:sz w:val="22"/>
                <w:szCs w:val="22"/>
              </w:rPr>
            </w:pPr>
          </w:p>
        </w:tc>
      </w:tr>
    </w:tbl>
    <w:p w14:paraId="337ED266" w14:textId="71990247" w:rsidR="001C45C0" w:rsidRPr="00367A55" w:rsidRDefault="001C45C0" w:rsidP="00367A55">
      <w:pPr>
        <w:rPr>
          <w:rFonts w:asciiTheme="minorHAnsi" w:hAnsiTheme="minorHAnsi" w:cs="Arial"/>
          <w:bCs/>
          <w:iCs/>
          <w:sz w:val="20"/>
          <w:lang w:eastAsia="en-US"/>
        </w:rPr>
      </w:pPr>
      <w:r w:rsidRPr="00367A55">
        <w:rPr>
          <w:rFonts w:asciiTheme="minorHAnsi" w:hAnsiTheme="minorHAnsi" w:cs="Arial"/>
          <w:bCs/>
          <w:iCs/>
          <w:sz w:val="20"/>
          <w:lang w:eastAsia="en-US"/>
        </w:rPr>
        <w:t>Source: MBSOnline (www.mbsonline.gov.au)</w:t>
      </w:r>
    </w:p>
    <w:p w14:paraId="7CF8E0FA" w14:textId="43613165" w:rsidR="00BC1364" w:rsidRDefault="000746BA" w:rsidP="004617ED">
      <w:pPr>
        <w:pStyle w:val="Heading1"/>
        <w:numPr>
          <w:ilvl w:val="0"/>
          <w:numId w:val="23"/>
        </w:numPr>
        <w:tabs>
          <w:tab w:val="left" w:pos="720"/>
          <w:tab w:val="left" w:pos="1140"/>
        </w:tabs>
        <w:spacing w:before="360"/>
        <w:ind w:hanging="720"/>
      </w:pPr>
      <w:r>
        <w:t xml:space="preserve">Applicant’s comments on </w:t>
      </w:r>
      <w:r w:rsidR="004A205B">
        <w:t xml:space="preserve">MSAC’s </w:t>
      </w:r>
      <w:r>
        <w:t>public summary document</w:t>
      </w:r>
    </w:p>
    <w:p w14:paraId="204BB439" w14:textId="6D343A13" w:rsidR="00775EF8" w:rsidRPr="00775EF8" w:rsidRDefault="00A63661" w:rsidP="00367A55">
      <w:r>
        <w:t xml:space="preserve">The applicant had </w:t>
      </w:r>
      <w:r w:rsidR="004C0334">
        <w:t>minor</w:t>
      </w:r>
      <w:r>
        <w:t xml:space="preserve"> comment</w:t>
      </w:r>
      <w:r w:rsidR="004C0334">
        <w:t>s which were incorporated into the document.</w:t>
      </w:r>
    </w:p>
    <w:p w14:paraId="06F15D02" w14:textId="77777777" w:rsidR="00BC1364" w:rsidRDefault="00271F18" w:rsidP="004617ED">
      <w:pPr>
        <w:pStyle w:val="Heading1"/>
        <w:numPr>
          <w:ilvl w:val="0"/>
          <w:numId w:val="23"/>
        </w:numPr>
        <w:tabs>
          <w:tab w:val="left" w:pos="720"/>
          <w:tab w:val="left" w:pos="1140"/>
        </w:tabs>
        <w:spacing w:before="360"/>
        <w:ind w:hanging="720"/>
      </w:pPr>
      <w:r>
        <w:lastRenderedPageBreak/>
        <w:t>Further information on MSAC</w:t>
      </w:r>
    </w:p>
    <w:p w14:paraId="64D3433E" w14:textId="700BAE2F" w:rsidR="00BC1364" w:rsidRPr="00DD2858" w:rsidRDefault="00271F18" w:rsidP="00367A55">
      <w:pPr>
        <w:rPr>
          <w:szCs w:val="24"/>
        </w:rPr>
      </w:pPr>
      <w:r>
        <w:rPr>
          <w:szCs w:val="24"/>
        </w:rPr>
        <w:t xml:space="preserve">MSAC Terms of Reference and other </w:t>
      </w:r>
      <w:r w:rsidR="00BC1364" w:rsidRPr="00DD2858">
        <w:rPr>
          <w:szCs w:val="24"/>
        </w:rPr>
        <w:t xml:space="preserve">information </w:t>
      </w:r>
      <w:r w:rsidRPr="00DD2858">
        <w:rPr>
          <w:szCs w:val="24"/>
        </w:rPr>
        <w:t>are</w:t>
      </w:r>
      <w:r w:rsidR="00BC1364" w:rsidRPr="00DD2858">
        <w:rPr>
          <w:szCs w:val="24"/>
        </w:rPr>
        <w:t xml:space="preserve"> available on the MSAC Website at: </w:t>
      </w:r>
      <w:hyperlink r:id="rId16" w:history="1">
        <w:r w:rsidR="00BC1364" w:rsidRPr="007B3BA8">
          <w:rPr>
            <w:rStyle w:val="Hyperlink"/>
            <w:szCs w:val="24"/>
          </w:rPr>
          <w:t>www.msac.gov.au</w:t>
        </w:r>
      </w:hyperlink>
      <w:r w:rsidR="005D3322">
        <w:rPr>
          <w:szCs w:val="24"/>
        </w:rPr>
        <w:t>.</w:t>
      </w:r>
    </w:p>
    <w:sectPr w:rsidR="00BC1364" w:rsidRPr="00DD2858" w:rsidSect="00271F18">
      <w:headerReference w:type="even" r:id="rId17"/>
      <w:headerReference w:type="default" r:id="rId18"/>
      <w:footerReference w:type="even" r:id="rId19"/>
      <w:footerReference w:type="default" r:id="rId20"/>
      <w:headerReference w:type="first" r:id="rId21"/>
      <w:footerReference w:type="first" r:id="rId22"/>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B5151" w14:textId="77777777" w:rsidR="00367A55" w:rsidRDefault="00367A55" w:rsidP="00065623">
      <w:r>
        <w:separator/>
      </w:r>
    </w:p>
  </w:endnote>
  <w:endnote w:type="continuationSeparator" w:id="0">
    <w:p w14:paraId="2811E6D5" w14:textId="77777777" w:rsidR="00367A55" w:rsidRDefault="00367A55"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4E5CC" w14:textId="77777777" w:rsidR="00B94159" w:rsidRDefault="00B941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378C3EDD" w14:textId="3EAF39A1" w:rsidR="00367A55" w:rsidRDefault="00367A55" w:rsidP="00716342">
        <w:pPr>
          <w:pStyle w:val="Footer"/>
          <w:spacing w:after="240"/>
          <w:jc w:val="right"/>
        </w:pPr>
        <w:r>
          <w:fldChar w:fldCharType="begin"/>
        </w:r>
        <w:r>
          <w:instrText xml:space="preserve"> PAGE   \* MERGEFORMAT </w:instrText>
        </w:r>
        <w:r>
          <w:fldChar w:fldCharType="separate"/>
        </w:r>
        <w:r w:rsidR="00B941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ECE90" w14:textId="77777777" w:rsidR="00B94159" w:rsidRDefault="00B941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99190" w14:textId="77777777" w:rsidR="00367A55" w:rsidRDefault="00367A55" w:rsidP="00065623">
      <w:r>
        <w:separator/>
      </w:r>
    </w:p>
  </w:footnote>
  <w:footnote w:type="continuationSeparator" w:id="0">
    <w:p w14:paraId="27382C39" w14:textId="77777777" w:rsidR="00367A55" w:rsidRDefault="00367A55" w:rsidP="00065623">
      <w:r>
        <w:continuationSeparator/>
      </w:r>
    </w:p>
  </w:footnote>
  <w:footnote w:id="1">
    <w:p w14:paraId="61BC4DC2" w14:textId="77777777" w:rsidR="00367A55" w:rsidRPr="009D5A0C" w:rsidRDefault="00367A55" w:rsidP="001C45C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A4D18" w14:textId="77777777" w:rsidR="00B94159" w:rsidRDefault="00B941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3DF3B" w14:textId="77777777" w:rsidR="00B94159" w:rsidRDefault="00B941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1A17B" w14:textId="77777777" w:rsidR="00B94159" w:rsidRDefault="00B941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1A6F"/>
    <w:multiLevelType w:val="hybridMultilevel"/>
    <w:tmpl w:val="92F2F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C65D09"/>
    <w:multiLevelType w:val="hybridMultilevel"/>
    <w:tmpl w:val="BA7EF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15EE0FF9"/>
    <w:multiLevelType w:val="hybridMultilevel"/>
    <w:tmpl w:val="0B4A6024"/>
    <w:lvl w:ilvl="0" w:tplc="FA588B4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877B70"/>
    <w:multiLevelType w:val="hybridMultilevel"/>
    <w:tmpl w:val="A2CC10FA"/>
    <w:lvl w:ilvl="0" w:tplc="521C503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BFF3A35"/>
    <w:multiLevelType w:val="hybridMultilevel"/>
    <w:tmpl w:val="7DBE4F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1A5EBA"/>
    <w:multiLevelType w:val="hybridMultilevel"/>
    <w:tmpl w:val="85DA6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D53CA7"/>
    <w:multiLevelType w:val="hybridMultilevel"/>
    <w:tmpl w:val="3EB89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B80600"/>
    <w:multiLevelType w:val="hybridMultilevel"/>
    <w:tmpl w:val="9708A15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1535386"/>
    <w:multiLevelType w:val="multilevel"/>
    <w:tmpl w:val="D3EC8D5C"/>
    <w:styleLink w:val="TableListNumbers"/>
    <w:lvl w:ilvl="0">
      <w:start w:val="1"/>
      <w:numFmt w:val="lowerRoman"/>
      <w:pStyle w:val="TableListNumber"/>
      <w:lvlText w:val="(%1)"/>
      <w:lvlJc w:val="left"/>
      <w:pPr>
        <w:tabs>
          <w:tab w:val="num" w:pos="170"/>
        </w:tabs>
        <w:ind w:left="170" w:hanging="170"/>
      </w:pPr>
      <w:rPr>
        <w:rFonts w:hint="default"/>
      </w:rPr>
    </w:lvl>
    <w:lvl w:ilvl="1">
      <w:start w:val="1"/>
      <w:numFmt w:val="lowerLetter"/>
      <w:pStyle w:val="TableListNumber2"/>
      <w:lvlText w:val="%2)"/>
      <w:lvlJc w:val="left"/>
      <w:pPr>
        <w:tabs>
          <w:tab w:val="num" w:pos="340"/>
        </w:tabs>
        <w:ind w:left="340" w:hanging="17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420612FA"/>
    <w:multiLevelType w:val="hybridMultilevel"/>
    <w:tmpl w:val="827AF080"/>
    <w:lvl w:ilvl="0" w:tplc="FA588B4C">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9D6B50"/>
    <w:multiLevelType w:val="hybridMultilevel"/>
    <w:tmpl w:val="5126B828"/>
    <w:lvl w:ilvl="0" w:tplc="FA588B4C">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A3E7B"/>
    <w:multiLevelType w:val="hybridMultilevel"/>
    <w:tmpl w:val="13089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42E221A"/>
    <w:multiLevelType w:val="multilevel"/>
    <w:tmpl w:val="567ADE74"/>
    <w:styleLink w:val="TableListBullets"/>
    <w:lvl w:ilvl="0">
      <w:start w:val="1"/>
      <w:numFmt w:val="bullet"/>
      <w:pStyle w:val="TableListBullet"/>
      <w:lvlText w:val="■"/>
      <w:lvlJc w:val="left"/>
      <w:pPr>
        <w:tabs>
          <w:tab w:val="num" w:pos="170"/>
        </w:tabs>
        <w:ind w:left="170" w:hanging="170"/>
      </w:pPr>
      <w:rPr>
        <w:rFonts w:ascii="Franklin Gothic Book" w:hAnsi="Franklin Gothic Book"/>
        <w:color w:val="8064A2" w:themeColor="accent4"/>
        <w:spacing w:val="0"/>
        <w:w w:val="100"/>
        <w:position w:val="3"/>
        <w:sz w:val="12"/>
      </w:rPr>
    </w:lvl>
    <w:lvl w:ilvl="1">
      <w:start w:val="1"/>
      <w:numFmt w:val="bullet"/>
      <w:pStyle w:val="TableListBullet2"/>
      <w:lvlText w:val="–"/>
      <w:lvlJc w:val="left"/>
      <w:pPr>
        <w:tabs>
          <w:tab w:val="num" w:pos="340"/>
        </w:tabs>
        <w:ind w:left="340" w:hanging="170"/>
      </w:pPr>
      <w:rPr>
        <w:rFonts w:ascii="Arial" w:hAnsi="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787896"/>
    <w:multiLevelType w:val="multilevel"/>
    <w:tmpl w:val="567ADE74"/>
    <w:numStyleLink w:val="TableListBullets"/>
  </w:abstractNum>
  <w:abstractNum w:abstractNumId="28" w15:restartNumberingAfterBreak="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5" w15:restartNumberingAfterBreak="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097700"/>
    <w:multiLevelType w:val="hybridMultilevel"/>
    <w:tmpl w:val="06822932"/>
    <w:lvl w:ilvl="0" w:tplc="FA588B4C">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8" w15:restartNumberingAfterBreak="0">
    <w:nsid w:val="6FBA0B51"/>
    <w:multiLevelType w:val="hybridMultilevel"/>
    <w:tmpl w:val="0A8267A2"/>
    <w:lvl w:ilvl="0" w:tplc="0C090001">
      <w:start w:val="1"/>
      <w:numFmt w:val="bullet"/>
      <w:lvlText w:val=""/>
      <w:lvlJc w:val="left"/>
      <w:pPr>
        <w:tabs>
          <w:tab w:val="num" w:pos="1080"/>
        </w:tabs>
        <w:ind w:left="1080" w:hanging="720"/>
      </w:pPr>
      <w:rPr>
        <w:rFonts w:ascii="Symbol" w:hAnsi="Symbol"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18120EA"/>
    <w:multiLevelType w:val="multilevel"/>
    <w:tmpl w:val="CB3EC8D0"/>
    <w:styleLink w:val="ListBullets"/>
    <w:lvl w:ilvl="0">
      <w:start w:val="1"/>
      <w:numFmt w:val="bullet"/>
      <w:pStyle w:val="ListBullet"/>
      <w:lvlText w:val="■"/>
      <w:lvlJc w:val="left"/>
      <w:pPr>
        <w:tabs>
          <w:tab w:val="num" w:pos="284"/>
        </w:tabs>
        <w:ind w:left="284" w:hanging="284"/>
      </w:pPr>
      <w:rPr>
        <w:rFonts w:ascii="Franklin Gothic Demi" w:hAnsi="Franklin Gothic Demi" w:hint="default"/>
        <w:color w:val="8064A2" w:themeColor="accent4"/>
        <w:position w:val="3"/>
        <w:sz w:val="16"/>
      </w:rPr>
    </w:lvl>
    <w:lvl w:ilvl="1">
      <w:start w:val="1"/>
      <w:numFmt w:val="bullet"/>
      <w:pStyle w:val="ListBullet2"/>
      <w:lvlText w:val="–"/>
      <w:lvlJc w:val="left"/>
      <w:pPr>
        <w:tabs>
          <w:tab w:val="num" w:pos="567"/>
        </w:tabs>
        <w:ind w:left="567" w:hanging="283"/>
      </w:pPr>
      <w:rPr>
        <w:rFonts w:hint="default"/>
      </w:rPr>
    </w:lvl>
    <w:lvl w:ilvl="2">
      <w:start w:val="1"/>
      <w:numFmt w:val="bullet"/>
      <w:pStyle w:val="ListBullet3"/>
      <w:lvlText w:val="…"/>
      <w:lvlJc w:val="left"/>
      <w:pPr>
        <w:tabs>
          <w:tab w:val="num" w:pos="907"/>
        </w:tabs>
        <w:ind w:left="907" w:hanging="340"/>
      </w:pPr>
      <w:rPr>
        <w:rFonts w:ascii="Calisto MT" w:hAnsi="Calisto MT" w:hint="default"/>
        <w:color w:val="8064A2" w:themeColor="accent4"/>
        <w:position w:val="3"/>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AD63964"/>
    <w:multiLevelType w:val="hybridMultilevel"/>
    <w:tmpl w:val="FF3C5F34"/>
    <w:lvl w:ilvl="0" w:tplc="FA588B4C">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3A0DF8"/>
    <w:multiLevelType w:val="multilevel"/>
    <w:tmpl w:val="E6863C72"/>
    <w:lvl w:ilvl="0">
      <w:start w:val="1"/>
      <w:numFmt w:val="none"/>
      <w:lvlRestart w:val="0"/>
      <w:suff w:val="nothing"/>
      <w:lvlText w:val="%1"/>
      <w:lvlJc w:val="left"/>
      <w:pPr>
        <w:ind w:left="0" w:firstLine="0"/>
      </w:pPr>
      <w:rPr>
        <w:rFonts w:ascii="Calibri" w:hAnsi="Calibri" w:cs="Garamond" w:hint="default"/>
        <w:b/>
        <w:i w:val="0"/>
        <w:color w:val="9BBB59" w:themeColor="accent3"/>
        <w:position w:val="4"/>
      </w:rPr>
    </w:lvl>
    <w:lvl w:ilvl="1">
      <w:start w:val="1"/>
      <w:numFmt w:val="lowerLetter"/>
      <w:lvlText w:val="%1%2"/>
      <w:lvlJc w:val="left"/>
      <w:pPr>
        <w:tabs>
          <w:tab w:val="num" w:pos="170"/>
        </w:tabs>
        <w:ind w:left="170" w:hanging="170"/>
      </w:pPr>
      <w:rPr>
        <w:rFonts w:hint="default"/>
        <w:b/>
        <w:i w:val="0"/>
        <w:color w:val="9BBB59" w:themeColor="accent3"/>
        <w:position w:val="4"/>
      </w:rPr>
    </w:lvl>
    <w:lvl w:ilvl="2">
      <w:start w:val="1"/>
      <w:numFmt w:val="none"/>
      <w:lvlRestart w:val="0"/>
      <w:suff w:val="nothing"/>
      <w:lvlText w:val="%1"/>
      <w:lvlJc w:val="left"/>
      <w:pPr>
        <w:ind w:left="1224" w:hanging="504"/>
      </w:pPr>
      <w:rPr>
        <w:rFonts w:hint="default"/>
      </w:rPr>
    </w:lvl>
    <w:lvl w:ilvl="3">
      <w:start w:val="1"/>
      <w:numFmt w:val="none"/>
      <w:lvlRestart w:val="0"/>
      <w:suff w:val="nothing"/>
      <w:lvlText w:val="%1"/>
      <w:lvlJc w:val="left"/>
      <w:pPr>
        <w:ind w:left="1728" w:hanging="648"/>
      </w:pPr>
      <w:rPr>
        <w:rFonts w:hint="default"/>
      </w:rPr>
    </w:lvl>
    <w:lvl w:ilvl="4">
      <w:start w:val="1"/>
      <w:numFmt w:val="none"/>
      <w:lvlRestart w:val="0"/>
      <w:suff w:val="nothing"/>
      <w:lvlText w:val="%1"/>
      <w:lvlJc w:val="left"/>
      <w:pPr>
        <w:ind w:left="2232" w:hanging="792"/>
      </w:pPr>
      <w:rPr>
        <w:rFonts w:hint="default"/>
      </w:rPr>
    </w:lvl>
    <w:lvl w:ilvl="5">
      <w:start w:val="1"/>
      <w:numFmt w:val="none"/>
      <w:lvlRestart w:val="0"/>
      <w:suff w:val="nothing"/>
      <w:lvlText w:val="%1"/>
      <w:lvlJc w:val="left"/>
      <w:pPr>
        <w:ind w:left="2736" w:hanging="936"/>
      </w:pPr>
      <w:rPr>
        <w:rFonts w:hint="default"/>
      </w:rPr>
    </w:lvl>
    <w:lvl w:ilvl="6">
      <w:start w:val="1"/>
      <w:numFmt w:val="none"/>
      <w:lvlRestart w:val="0"/>
      <w:suff w:val="nothing"/>
      <w:lvlText w:val="%1"/>
      <w:lvlJc w:val="left"/>
      <w:pPr>
        <w:ind w:left="3240" w:hanging="1080"/>
      </w:pPr>
      <w:rPr>
        <w:rFonts w:hint="default"/>
      </w:rPr>
    </w:lvl>
    <w:lvl w:ilvl="7">
      <w:start w:val="1"/>
      <w:numFmt w:val="none"/>
      <w:lvlRestart w:val="0"/>
      <w:suff w:val="nothing"/>
      <w:lvlText w:val="%1"/>
      <w:lvlJc w:val="left"/>
      <w:pPr>
        <w:ind w:left="3744" w:hanging="1224"/>
      </w:pPr>
      <w:rPr>
        <w:rFonts w:hint="default"/>
      </w:rPr>
    </w:lvl>
    <w:lvl w:ilvl="8">
      <w:start w:val="1"/>
      <w:numFmt w:val="none"/>
      <w:lvlRestart w:val="0"/>
      <w:suff w:val="nothing"/>
      <w:lvlText w:val="%1"/>
      <w:lvlJc w:val="left"/>
      <w:pPr>
        <w:ind w:left="4320" w:hanging="1440"/>
      </w:pPr>
      <w:rPr>
        <w:rFonts w:hint="default"/>
      </w:rPr>
    </w:lvl>
  </w:abstractNum>
  <w:abstractNum w:abstractNumId="42" w15:restartNumberingAfterBreak="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4"/>
  </w:num>
  <w:num w:numId="3">
    <w:abstractNumId w:val="2"/>
  </w:num>
  <w:num w:numId="4">
    <w:abstractNumId w:val="28"/>
  </w:num>
  <w:num w:numId="5">
    <w:abstractNumId w:val="14"/>
  </w:num>
  <w:num w:numId="6">
    <w:abstractNumId w:val="26"/>
  </w:num>
  <w:num w:numId="7">
    <w:abstractNumId w:val="31"/>
  </w:num>
  <w:num w:numId="8">
    <w:abstractNumId w:val="21"/>
  </w:num>
  <w:num w:numId="9">
    <w:abstractNumId w:val="42"/>
  </w:num>
  <w:num w:numId="10">
    <w:abstractNumId w:val="1"/>
  </w:num>
  <w:num w:numId="11">
    <w:abstractNumId w:val="30"/>
  </w:num>
  <w:num w:numId="12">
    <w:abstractNumId w:val="32"/>
  </w:num>
  <w:num w:numId="13">
    <w:abstractNumId w:val="7"/>
  </w:num>
  <w:num w:numId="14">
    <w:abstractNumId w:val="37"/>
  </w:num>
  <w:num w:numId="15">
    <w:abstractNumId w:val="29"/>
  </w:num>
  <w:num w:numId="16">
    <w:abstractNumId w:val="33"/>
  </w:num>
  <w:num w:numId="17">
    <w:abstractNumId w:val="22"/>
  </w:num>
  <w:num w:numId="18">
    <w:abstractNumId w:val="23"/>
  </w:num>
  <w:num w:numId="19">
    <w:abstractNumId w:val="35"/>
  </w:num>
  <w:num w:numId="20">
    <w:abstractNumId w:val="34"/>
  </w:num>
  <w:num w:numId="21">
    <w:abstractNumId w:val="4"/>
  </w:num>
  <w:num w:numId="22">
    <w:abstractNumId w:val="13"/>
  </w:num>
  <w:num w:numId="23">
    <w:abstractNumId w:val="3"/>
  </w:num>
  <w:num w:numId="24">
    <w:abstractNumId w:val="12"/>
  </w:num>
  <w:num w:numId="25">
    <w:abstractNumId w:val="9"/>
  </w:num>
  <w:num w:numId="26">
    <w:abstractNumId w:val="0"/>
  </w:num>
  <w:num w:numId="27">
    <w:abstractNumId w:val="41"/>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17"/>
  </w:num>
  <w:num w:numId="31">
    <w:abstractNumId w:val="25"/>
  </w:num>
  <w:num w:numId="32">
    <w:abstractNumId w:val="27"/>
  </w:num>
  <w:num w:numId="33">
    <w:abstractNumId w:val="39"/>
  </w:num>
  <w:num w:numId="34">
    <w:abstractNumId w:val="5"/>
  </w:num>
  <w:num w:numId="35">
    <w:abstractNumId w:val="18"/>
  </w:num>
  <w:num w:numId="36">
    <w:abstractNumId w:val="19"/>
  </w:num>
  <w:num w:numId="37">
    <w:abstractNumId w:val="36"/>
  </w:num>
  <w:num w:numId="38">
    <w:abstractNumId w:val="40"/>
  </w:num>
  <w:num w:numId="39">
    <w:abstractNumId w:val="15"/>
  </w:num>
  <w:num w:numId="40">
    <w:abstractNumId w:val="10"/>
  </w:num>
  <w:num w:numId="41">
    <w:abstractNumId w:val="20"/>
  </w:num>
  <w:num w:numId="42">
    <w:abstractNumId w:val="8"/>
  </w:num>
  <w:num w:numId="43">
    <w:abstractNumId w:val="16"/>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11A36"/>
    <w:rsid w:val="00026E58"/>
    <w:rsid w:val="00036C20"/>
    <w:rsid w:val="0003739B"/>
    <w:rsid w:val="00042F11"/>
    <w:rsid w:val="000452C7"/>
    <w:rsid w:val="00047606"/>
    <w:rsid w:val="00065623"/>
    <w:rsid w:val="000746BA"/>
    <w:rsid w:val="000756B9"/>
    <w:rsid w:val="000922FA"/>
    <w:rsid w:val="00096B67"/>
    <w:rsid w:val="00096DAF"/>
    <w:rsid w:val="000A11F9"/>
    <w:rsid w:val="000A51E4"/>
    <w:rsid w:val="000A5B70"/>
    <w:rsid w:val="000B6956"/>
    <w:rsid w:val="000C2F47"/>
    <w:rsid w:val="000C4BBA"/>
    <w:rsid w:val="000C6B40"/>
    <w:rsid w:val="000D1443"/>
    <w:rsid w:val="000D6C00"/>
    <w:rsid w:val="000E155F"/>
    <w:rsid w:val="000E3B33"/>
    <w:rsid w:val="000E48CF"/>
    <w:rsid w:val="000E4E04"/>
    <w:rsid w:val="000F14B4"/>
    <w:rsid w:val="000F391E"/>
    <w:rsid w:val="000F600C"/>
    <w:rsid w:val="000F75DF"/>
    <w:rsid w:val="00115C4F"/>
    <w:rsid w:val="001328FA"/>
    <w:rsid w:val="00147AAF"/>
    <w:rsid w:val="00150894"/>
    <w:rsid w:val="001552C0"/>
    <w:rsid w:val="001638D7"/>
    <w:rsid w:val="001640B1"/>
    <w:rsid w:val="00182148"/>
    <w:rsid w:val="0018435E"/>
    <w:rsid w:val="00190792"/>
    <w:rsid w:val="0019118C"/>
    <w:rsid w:val="00193898"/>
    <w:rsid w:val="001C1BE6"/>
    <w:rsid w:val="001C45C0"/>
    <w:rsid w:val="00204085"/>
    <w:rsid w:val="002041A1"/>
    <w:rsid w:val="002054F0"/>
    <w:rsid w:val="00210420"/>
    <w:rsid w:val="00230D6B"/>
    <w:rsid w:val="00232068"/>
    <w:rsid w:val="002330F2"/>
    <w:rsid w:val="00243D9E"/>
    <w:rsid w:val="00253B66"/>
    <w:rsid w:val="00261DF1"/>
    <w:rsid w:val="00271F18"/>
    <w:rsid w:val="00282779"/>
    <w:rsid w:val="0028334D"/>
    <w:rsid w:val="002B7FFA"/>
    <w:rsid w:val="002C2135"/>
    <w:rsid w:val="002C2BCF"/>
    <w:rsid w:val="002D73A2"/>
    <w:rsid w:val="002E4AF9"/>
    <w:rsid w:val="002F279D"/>
    <w:rsid w:val="002F43B8"/>
    <w:rsid w:val="003206F3"/>
    <w:rsid w:val="00320D06"/>
    <w:rsid w:val="00336856"/>
    <w:rsid w:val="00345167"/>
    <w:rsid w:val="0034554D"/>
    <w:rsid w:val="00352224"/>
    <w:rsid w:val="003671E6"/>
    <w:rsid w:val="00367A55"/>
    <w:rsid w:val="00376575"/>
    <w:rsid w:val="00384272"/>
    <w:rsid w:val="00386D67"/>
    <w:rsid w:val="003945B8"/>
    <w:rsid w:val="003D7F29"/>
    <w:rsid w:val="003F36DA"/>
    <w:rsid w:val="003F5DD6"/>
    <w:rsid w:val="00402FA7"/>
    <w:rsid w:val="00405A6B"/>
    <w:rsid w:val="00407B1F"/>
    <w:rsid w:val="00414C57"/>
    <w:rsid w:val="0041758C"/>
    <w:rsid w:val="00420DE9"/>
    <w:rsid w:val="004372A7"/>
    <w:rsid w:val="00442254"/>
    <w:rsid w:val="004539DE"/>
    <w:rsid w:val="004545EF"/>
    <w:rsid w:val="0045582A"/>
    <w:rsid w:val="00455E04"/>
    <w:rsid w:val="004617ED"/>
    <w:rsid w:val="00464960"/>
    <w:rsid w:val="004656CE"/>
    <w:rsid w:val="00471DF6"/>
    <w:rsid w:val="0048056B"/>
    <w:rsid w:val="004A205B"/>
    <w:rsid w:val="004A2CF1"/>
    <w:rsid w:val="004B2B03"/>
    <w:rsid w:val="004B41AD"/>
    <w:rsid w:val="004C0334"/>
    <w:rsid w:val="004C3035"/>
    <w:rsid w:val="004C307F"/>
    <w:rsid w:val="004E015F"/>
    <w:rsid w:val="004E0D06"/>
    <w:rsid w:val="004E4BA8"/>
    <w:rsid w:val="004F340F"/>
    <w:rsid w:val="004F7B7C"/>
    <w:rsid w:val="0052243D"/>
    <w:rsid w:val="00531C81"/>
    <w:rsid w:val="00532435"/>
    <w:rsid w:val="0053288F"/>
    <w:rsid w:val="00532F68"/>
    <w:rsid w:val="00535E34"/>
    <w:rsid w:val="00550354"/>
    <w:rsid w:val="00552BBA"/>
    <w:rsid w:val="00564662"/>
    <w:rsid w:val="00571236"/>
    <w:rsid w:val="005840D3"/>
    <w:rsid w:val="0058426A"/>
    <w:rsid w:val="005953A1"/>
    <w:rsid w:val="005A012A"/>
    <w:rsid w:val="005A5929"/>
    <w:rsid w:val="005B43F1"/>
    <w:rsid w:val="005B52E3"/>
    <w:rsid w:val="005D0332"/>
    <w:rsid w:val="005D0D8C"/>
    <w:rsid w:val="005D3322"/>
    <w:rsid w:val="005D3670"/>
    <w:rsid w:val="005E3F81"/>
    <w:rsid w:val="005F0BD4"/>
    <w:rsid w:val="005F557C"/>
    <w:rsid w:val="00613AC3"/>
    <w:rsid w:val="00616256"/>
    <w:rsid w:val="006263B1"/>
    <w:rsid w:val="0066089A"/>
    <w:rsid w:val="006776AE"/>
    <w:rsid w:val="006A0D97"/>
    <w:rsid w:val="006B1F86"/>
    <w:rsid w:val="006C0A91"/>
    <w:rsid w:val="006E4A48"/>
    <w:rsid w:val="007054BB"/>
    <w:rsid w:val="0070665C"/>
    <w:rsid w:val="00707064"/>
    <w:rsid w:val="00716342"/>
    <w:rsid w:val="00730683"/>
    <w:rsid w:val="00732856"/>
    <w:rsid w:val="0075261F"/>
    <w:rsid w:val="00753306"/>
    <w:rsid w:val="007533C3"/>
    <w:rsid w:val="0075468E"/>
    <w:rsid w:val="007656A8"/>
    <w:rsid w:val="00765E44"/>
    <w:rsid w:val="007665D8"/>
    <w:rsid w:val="00766E36"/>
    <w:rsid w:val="007722BF"/>
    <w:rsid w:val="00775EF8"/>
    <w:rsid w:val="007765F4"/>
    <w:rsid w:val="00776633"/>
    <w:rsid w:val="00784D53"/>
    <w:rsid w:val="00797797"/>
    <w:rsid w:val="007A215B"/>
    <w:rsid w:val="007A63C9"/>
    <w:rsid w:val="007B32D1"/>
    <w:rsid w:val="007B3BA8"/>
    <w:rsid w:val="007B7095"/>
    <w:rsid w:val="007D24E1"/>
    <w:rsid w:val="007F35C8"/>
    <w:rsid w:val="007F4CE9"/>
    <w:rsid w:val="007F4E20"/>
    <w:rsid w:val="007F66B0"/>
    <w:rsid w:val="008156EC"/>
    <w:rsid w:val="00822C7E"/>
    <w:rsid w:val="00825661"/>
    <w:rsid w:val="00832590"/>
    <w:rsid w:val="00833EA2"/>
    <w:rsid w:val="008430A7"/>
    <w:rsid w:val="00847060"/>
    <w:rsid w:val="00856A33"/>
    <w:rsid w:val="00860499"/>
    <w:rsid w:val="008620D3"/>
    <w:rsid w:val="00875B33"/>
    <w:rsid w:val="00892620"/>
    <w:rsid w:val="008A314F"/>
    <w:rsid w:val="008B104E"/>
    <w:rsid w:val="008C7D37"/>
    <w:rsid w:val="008D5885"/>
    <w:rsid w:val="008D7B4A"/>
    <w:rsid w:val="008E027D"/>
    <w:rsid w:val="008E4152"/>
    <w:rsid w:val="009149D0"/>
    <w:rsid w:val="00916EBC"/>
    <w:rsid w:val="00923FA2"/>
    <w:rsid w:val="009461B5"/>
    <w:rsid w:val="0096060D"/>
    <w:rsid w:val="0096455F"/>
    <w:rsid w:val="00974A50"/>
    <w:rsid w:val="0097585A"/>
    <w:rsid w:val="009924B0"/>
    <w:rsid w:val="009942C9"/>
    <w:rsid w:val="009A2368"/>
    <w:rsid w:val="009B35C4"/>
    <w:rsid w:val="009B433F"/>
    <w:rsid w:val="009B650A"/>
    <w:rsid w:val="009C630A"/>
    <w:rsid w:val="009D5A48"/>
    <w:rsid w:val="009E0D98"/>
    <w:rsid w:val="009F4192"/>
    <w:rsid w:val="00A068A1"/>
    <w:rsid w:val="00A1207D"/>
    <w:rsid w:val="00A12FD8"/>
    <w:rsid w:val="00A346FC"/>
    <w:rsid w:val="00A44FBD"/>
    <w:rsid w:val="00A63661"/>
    <w:rsid w:val="00A73760"/>
    <w:rsid w:val="00A74D4C"/>
    <w:rsid w:val="00A76468"/>
    <w:rsid w:val="00A84F93"/>
    <w:rsid w:val="00A907A0"/>
    <w:rsid w:val="00A91AFD"/>
    <w:rsid w:val="00AB1AC5"/>
    <w:rsid w:val="00AB3BFC"/>
    <w:rsid w:val="00AB47DE"/>
    <w:rsid w:val="00AC4F2E"/>
    <w:rsid w:val="00AC58CB"/>
    <w:rsid w:val="00AC657D"/>
    <w:rsid w:val="00AD0C37"/>
    <w:rsid w:val="00AD385F"/>
    <w:rsid w:val="00AE6E2A"/>
    <w:rsid w:val="00B11472"/>
    <w:rsid w:val="00B16BD9"/>
    <w:rsid w:val="00B31E9C"/>
    <w:rsid w:val="00B35595"/>
    <w:rsid w:val="00B51C6D"/>
    <w:rsid w:val="00B55B8A"/>
    <w:rsid w:val="00B86D64"/>
    <w:rsid w:val="00B9099B"/>
    <w:rsid w:val="00B915E6"/>
    <w:rsid w:val="00B91882"/>
    <w:rsid w:val="00B94159"/>
    <w:rsid w:val="00BA4AC5"/>
    <w:rsid w:val="00BB19D5"/>
    <w:rsid w:val="00BC1364"/>
    <w:rsid w:val="00BC7DE9"/>
    <w:rsid w:val="00BD1F63"/>
    <w:rsid w:val="00BD5323"/>
    <w:rsid w:val="00BF479B"/>
    <w:rsid w:val="00C00794"/>
    <w:rsid w:val="00C022A5"/>
    <w:rsid w:val="00C02577"/>
    <w:rsid w:val="00C03C9A"/>
    <w:rsid w:val="00C12F71"/>
    <w:rsid w:val="00C204FB"/>
    <w:rsid w:val="00C20BEE"/>
    <w:rsid w:val="00C2158D"/>
    <w:rsid w:val="00C231EE"/>
    <w:rsid w:val="00C238C8"/>
    <w:rsid w:val="00C65C25"/>
    <w:rsid w:val="00C66FD5"/>
    <w:rsid w:val="00C67DD2"/>
    <w:rsid w:val="00C725CB"/>
    <w:rsid w:val="00C76F5C"/>
    <w:rsid w:val="00C90F65"/>
    <w:rsid w:val="00C96BAD"/>
    <w:rsid w:val="00CA277C"/>
    <w:rsid w:val="00CA6944"/>
    <w:rsid w:val="00CB0F8E"/>
    <w:rsid w:val="00CB7E7D"/>
    <w:rsid w:val="00CC2911"/>
    <w:rsid w:val="00CF0C6D"/>
    <w:rsid w:val="00CF7307"/>
    <w:rsid w:val="00CF7C68"/>
    <w:rsid w:val="00D01A07"/>
    <w:rsid w:val="00D07239"/>
    <w:rsid w:val="00D124FA"/>
    <w:rsid w:val="00D14EAB"/>
    <w:rsid w:val="00D154DA"/>
    <w:rsid w:val="00D26292"/>
    <w:rsid w:val="00D340DE"/>
    <w:rsid w:val="00D36E7B"/>
    <w:rsid w:val="00D55723"/>
    <w:rsid w:val="00D571C9"/>
    <w:rsid w:val="00D62FAD"/>
    <w:rsid w:val="00D70450"/>
    <w:rsid w:val="00D734F2"/>
    <w:rsid w:val="00D83BFD"/>
    <w:rsid w:val="00D90A38"/>
    <w:rsid w:val="00DA0515"/>
    <w:rsid w:val="00DA171E"/>
    <w:rsid w:val="00DA56AA"/>
    <w:rsid w:val="00DB1FC4"/>
    <w:rsid w:val="00DB5833"/>
    <w:rsid w:val="00DB66AD"/>
    <w:rsid w:val="00DD2858"/>
    <w:rsid w:val="00DE60F6"/>
    <w:rsid w:val="00E03E33"/>
    <w:rsid w:val="00E23A30"/>
    <w:rsid w:val="00E3642A"/>
    <w:rsid w:val="00E40BC5"/>
    <w:rsid w:val="00E415C4"/>
    <w:rsid w:val="00E50016"/>
    <w:rsid w:val="00E50EAA"/>
    <w:rsid w:val="00E523B1"/>
    <w:rsid w:val="00E60FC1"/>
    <w:rsid w:val="00E61026"/>
    <w:rsid w:val="00E656D6"/>
    <w:rsid w:val="00E977EE"/>
    <w:rsid w:val="00EA67A2"/>
    <w:rsid w:val="00EA6A42"/>
    <w:rsid w:val="00EB1D77"/>
    <w:rsid w:val="00EB6B6F"/>
    <w:rsid w:val="00EC2B3C"/>
    <w:rsid w:val="00EC4F98"/>
    <w:rsid w:val="00ED3D0C"/>
    <w:rsid w:val="00ED5185"/>
    <w:rsid w:val="00ED556D"/>
    <w:rsid w:val="00EF4DEE"/>
    <w:rsid w:val="00EF60DD"/>
    <w:rsid w:val="00F03659"/>
    <w:rsid w:val="00F06FF9"/>
    <w:rsid w:val="00F12F02"/>
    <w:rsid w:val="00F21117"/>
    <w:rsid w:val="00F3088E"/>
    <w:rsid w:val="00F32E0D"/>
    <w:rsid w:val="00F35134"/>
    <w:rsid w:val="00F375CA"/>
    <w:rsid w:val="00F40DA6"/>
    <w:rsid w:val="00F41812"/>
    <w:rsid w:val="00F479DE"/>
    <w:rsid w:val="00F523B5"/>
    <w:rsid w:val="00F73333"/>
    <w:rsid w:val="00F85270"/>
    <w:rsid w:val="00F92897"/>
    <w:rsid w:val="00F93545"/>
    <w:rsid w:val="00F95332"/>
    <w:rsid w:val="00F95D8F"/>
    <w:rsid w:val="00FA5AC7"/>
    <w:rsid w:val="00FB1F0A"/>
    <w:rsid w:val="00FB350A"/>
    <w:rsid w:val="00FC5E86"/>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2961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unhideWhenUsed/>
    <w:qFormat/>
    <w:locked/>
    <w:rsid w:val="004E015F"/>
    <w:pPr>
      <w:keepNext/>
      <w:keepLines/>
      <w:spacing w:before="200"/>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nhideWhenUsed/>
    <w:qFormat/>
    <w:locked/>
    <w:rsid w:val="00753306"/>
    <w:pPr>
      <w:keepNext/>
      <w:keepLines/>
      <w:spacing w:before="200"/>
      <w:outlineLvl w:val="2"/>
    </w:pPr>
    <w:rPr>
      <w:rFonts w:eastAsiaTheme="majorEastAsia" w:cstheme="majorBidi"/>
      <w:b/>
      <w:bCs/>
      <w:sz w:val="18"/>
    </w:rPr>
  </w:style>
  <w:style w:type="paragraph" w:styleId="Heading5">
    <w:name w:val="heading 5"/>
    <w:basedOn w:val="Normal"/>
    <w:next w:val="Normal"/>
    <w:link w:val="Heading5Char"/>
    <w:unhideWhenUsed/>
    <w:qFormat/>
    <w:locked/>
    <w:rsid w:val="000E155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rsid w:val="00065623"/>
    <w:rPr>
      <w:sz w:val="20"/>
    </w:rPr>
  </w:style>
  <w:style w:type="character" w:customStyle="1" w:styleId="FootnoteTextChar">
    <w:name w:val="Footnote Text Char"/>
    <w:basedOn w:val="DefaultParagraphFont"/>
    <w:link w:val="FootnoteText"/>
    <w:locked/>
    <w:rsid w:val="00065623"/>
    <w:rPr>
      <w:rFonts w:eastAsia="Times New Roman" w:cs="Times New Roman"/>
      <w:sz w:val="20"/>
      <w:szCs w:val="20"/>
      <w:lang w:eastAsia="en-AU"/>
    </w:rPr>
  </w:style>
  <w:style w:type="character" w:styleId="FootnoteReference">
    <w:name w:val="footnote reference"/>
    <w:basedOn w:val="DefaultParagraphFont"/>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4E015F"/>
    <w:rPr>
      <w:rFonts w:asciiTheme="majorHAnsi" w:eastAsiaTheme="majorEastAsia" w:hAnsiTheme="majorHAnsi" w:cstheme="majorBidi"/>
      <w:b/>
      <w:bCs/>
      <w:sz w:val="24"/>
      <w:szCs w:val="26"/>
    </w:rPr>
  </w:style>
  <w:style w:type="paragraph" w:customStyle="1" w:styleId="TableDataEntries">
    <w:name w:val="Table Data Entries"/>
    <w:basedOn w:val="Normal"/>
    <w:uiPriority w:val="11"/>
    <w:rsid w:val="00DB66AD"/>
    <w:pPr>
      <w:keepLines/>
      <w:spacing w:before="40" w:after="40" w:line="200" w:lineRule="atLeast"/>
      <w:jc w:val="right"/>
    </w:pPr>
    <w:rPr>
      <w:rFonts w:ascii="Franklin Gothic Book" w:hAnsi="Franklin Gothic Book"/>
      <w:sz w:val="16"/>
      <w:szCs w:val="18"/>
      <w:lang w:eastAsia="en-US"/>
    </w:rPr>
  </w:style>
  <w:style w:type="paragraph" w:customStyle="1" w:styleId="TableDataColumnHeading">
    <w:name w:val="Table Data Column Heading"/>
    <w:basedOn w:val="TableDataEntries"/>
    <w:uiPriority w:val="11"/>
    <w:rsid w:val="00DB66AD"/>
    <w:pPr>
      <w:keepNext/>
      <w:spacing w:before="80" w:after="80"/>
    </w:pPr>
    <w:rPr>
      <w:rFonts w:ascii="Franklin Gothic Demi" w:hAnsi="Franklin Gothic Demi"/>
      <w:color w:val="FFFFFF"/>
    </w:rPr>
  </w:style>
  <w:style w:type="paragraph" w:customStyle="1" w:styleId="TableUnit">
    <w:name w:val="Table Unit"/>
    <w:basedOn w:val="TableDataColumnHeading"/>
    <w:next w:val="TableDataEntries"/>
    <w:uiPriority w:val="11"/>
    <w:rsid w:val="00DB66AD"/>
    <w:rPr>
      <w:rFonts w:ascii="Franklin Gothic Book" w:hAnsi="Franklin Gothic Book"/>
      <w:color w:val="auto"/>
      <w:szCs w:val="17"/>
    </w:rPr>
  </w:style>
  <w:style w:type="paragraph" w:customStyle="1" w:styleId="ChartText">
    <w:name w:val="Chart Text"/>
    <w:basedOn w:val="Normal"/>
    <w:link w:val="ChartTextChar"/>
    <w:uiPriority w:val="23"/>
    <w:rsid w:val="000B6956"/>
    <w:pPr>
      <w:keepLines/>
      <w:spacing w:after="80" w:line="200" w:lineRule="atLeast"/>
    </w:pPr>
    <w:rPr>
      <w:rFonts w:ascii="Franklin Gothic Medium" w:hAnsi="Franklin Gothic Medium"/>
      <w:sz w:val="16"/>
      <w:szCs w:val="18"/>
      <w:lang w:eastAsia="en-US"/>
    </w:rPr>
  </w:style>
  <w:style w:type="character" w:customStyle="1" w:styleId="ChartTextChar">
    <w:name w:val="Chart Text Char"/>
    <w:link w:val="ChartText"/>
    <w:uiPriority w:val="23"/>
    <w:rsid w:val="000B6956"/>
    <w:rPr>
      <w:rFonts w:ascii="Franklin Gothic Medium" w:eastAsia="Times New Roman" w:hAnsi="Franklin Gothic Medium"/>
      <w:sz w:val="16"/>
      <w:szCs w:val="18"/>
      <w:lang w:eastAsia="en-US"/>
    </w:rPr>
  </w:style>
  <w:style w:type="paragraph" w:styleId="Caption">
    <w:name w:val="caption"/>
    <w:aliases w:val="Bayer Caption,IB Caption,Medical Caption,CSR Caption,Table and Figure Name,Table and Figure name,Caption Char2 Char,Caption Char Char Char2,Caption Char1 Char Char Char1,Caption Char2 Char Char Char1 Char1,Caption Char1 Char Char"/>
    <w:basedOn w:val="Normal"/>
    <w:next w:val="Normal"/>
    <w:link w:val="CaptionChar"/>
    <w:unhideWhenUsed/>
    <w:qFormat/>
    <w:locked/>
    <w:rsid w:val="00BB19D5"/>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BB19D5"/>
    <w:rPr>
      <w:rFonts w:ascii="Arial Narrow" w:eastAsia="Times New Roman" w:hAnsi="Arial Narrow" w:cs="Arial"/>
      <w:b/>
      <w:bCs/>
      <w:iCs/>
      <w:sz w:val="20"/>
      <w:szCs w:val="20"/>
      <w:lang w:eastAsia="en-US"/>
    </w:rPr>
  </w:style>
  <w:style w:type="paragraph" w:styleId="BodyText">
    <w:name w:val="Body Text"/>
    <w:basedOn w:val="Normal"/>
    <w:link w:val="BodyTextChar"/>
    <w:uiPriority w:val="2"/>
    <w:qFormat/>
    <w:rsid w:val="00BB19D5"/>
    <w:pPr>
      <w:spacing w:before="140" w:line="280" w:lineRule="atLeast"/>
    </w:pPr>
    <w:rPr>
      <w:rFonts w:asciiTheme="minorHAnsi" w:hAnsiTheme="minorHAnsi"/>
      <w:sz w:val="21"/>
      <w:szCs w:val="21"/>
    </w:rPr>
  </w:style>
  <w:style w:type="character" w:customStyle="1" w:styleId="BodyTextChar">
    <w:name w:val="Body Text Char"/>
    <w:basedOn w:val="DefaultParagraphFont"/>
    <w:link w:val="BodyText"/>
    <w:uiPriority w:val="2"/>
    <w:rsid w:val="00BB19D5"/>
    <w:rPr>
      <w:rFonts w:asciiTheme="minorHAnsi" w:eastAsia="Times New Roman" w:hAnsiTheme="minorHAnsi"/>
      <w:sz w:val="21"/>
      <w:szCs w:val="21"/>
    </w:rPr>
  </w:style>
  <w:style w:type="paragraph" w:customStyle="1" w:styleId="TableTextEntries">
    <w:name w:val="Table Text Entries"/>
    <w:basedOn w:val="BodyText"/>
    <w:uiPriority w:val="13"/>
    <w:rsid w:val="00BB19D5"/>
    <w:pPr>
      <w:keepLines/>
      <w:spacing w:before="80" w:after="80" w:line="200" w:lineRule="atLeast"/>
    </w:pPr>
    <w:rPr>
      <w:rFonts w:ascii="Franklin Gothic Book" w:hAnsi="Franklin Gothic Book"/>
      <w:sz w:val="16"/>
      <w:szCs w:val="18"/>
      <w:lang w:eastAsia="en-US"/>
    </w:rPr>
  </w:style>
  <w:style w:type="character" w:customStyle="1" w:styleId="NoteLabel">
    <w:name w:val="Note Label"/>
    <w:uiPriority w:val="15"/>
    <w:rsid w:val="00BB19D5"/>
    <w:rPr>
      <w:rFonts w:ascii="Franklin Gothic Demi" w:hAnsi="Franklin Gothic Demi"/>
      <w:b w:val="0"/>
      <w:i w:val="0"/>
      <w:color w:val="8064A2" w:themeColor="accent4"/>
      <w:position w:val="4"/>
      <w:sz w:val="14"/>
      <w:szCs w:val="16"/>
    </w:rPr>
  </w:style>
  <w:style w:type="paragraph" w:customStyle="1" w:styleId="TableText">
    <w:name w:val="TableText"/>
    <w:basedOn w:val="Normal"/>
    <w:link w:val="TableTextChar"/>
    <w:rsid w:val="00BB19D5"/>
    <w:pPr>
      <w:keepNext/>
      <w:spacing w:before="20" w:after="20"/>
    </w:pPr>
    <w:rPr>
      <w:rFonts w:ascii="Arial Narrow" w:hAnsi="Arial Narrow"/>
      <w:color w:val="000000"/>
      <w:sz w:val="20"/>
      <w:szCs w:val="21"/>
    </w:rPr>
  </w:style>
  <w:style w:type="character" w:customStyle="1" w:styleId="TableTextChar">
    <w:name w:val="TableText Char"/>
    <w:link w:val="TableText"/>
    <w:rsid w:val="00BB19D5"/>
    <w:rPr>
      <w:rFonts w:ascii="Arial Narrow" w:eastAsia="Times New Roman" w:hAnsi="Arial Narrow"/>
      <w:color w:val="000000"/>
      <w:sz w:val="20"/>
      <w:szCs w:val="21"/>
    </w:rPr>
  </w:style>
  <w:style w:type="paragraph" w:customStyle="1" w:styleId="Source">
    <w:name w:val="Source"/>
    <w:basedOn w:val="Normal"/>
    <w:next w:val="BodyText"/>
    <w:link w:val="SourceChar"/>
    <w:uiPriority w:val="16"/>
    <w:rsid w:val="00BB19D5"/>
    <w:pPr>
      <w:keepLines/>
      <w:spacing w:before="40" w:after="60" w:line="180" w:lineRule="atLeast"/>
    </w:pPr>
    <w:rPr>
      <w:rFonts w:ascii="Franklin Gothic Book" w:hAnsi="Franklin Gothic Book"/>
      <w:sz w:val="14"/>
      <w:szCs w:val="16"/>
      <w:lang w:eastAsia="en-US"/>
    </w:rPr>
  </w:style>
  <w:style w:type="character" w:customStyle="1" w:styleId="SourceChar">
    <w:name w:val="Source Char"/>
    <w:basedOn w:val="DefaultParagraphFont"/>
    <w:link w:val="Source"/>
    <w:uiPriority w:val="16"/>
    <w:locked/>
    <w:rsid w:val="00BB19D5"/>
    <w:rPr>
      <w:rFonts w:ascii="Franklin Gothic Book" w:eastAsia="Times New Roman" w:hAnsi="Franklin Gothic Book"/>
      <w:sz w:val="14"/>
      <w:szCs w:val="16"/>
      <w:lang w:eastAsia="en-US"/>
    </w:rPr>
  </w:style>
  <w:style w:type="paragraph" w:customStyle="1" w:styleId="Note">
    <w:name w:val="Note"/>
    <w:basedOn w:val="TableTextEntries"/>
    <w:next w:val="Source"/>
    <w:link w:val="NoteCharChar"/>
    <w:uiPriority w:val="15"/>
    <w:rsid w:val="00BB19D5"/>
    <w:pPr>
      <w:spacing w:before="40" w:after="0" w:line="180" w:lineRule="atLeast"/>
    </w:pPr>
    <w:rPr>
      <w:sz w:val="14"/>
      <w:szCs w:val="16"/>
    </w:rPr>
  </w:style>
  <w:style w:type="character" w:customStyle="1" w:styleId="NoteCharChar">
    <w:name w:val="Note Char Char"/>
    <w:link w:val="Note"/>
    <w:uiPriority w:val="15"/>
    <w:rsid w:val="00BB19D5"/>
    <w:rPr>
      <w:rFonts w:ascii="Franklin Gothic Book" w:eastAsia="Times New Roman" w:hAnsi="Franklin Gothic Book"/>
      <w:sz w:val="14"/>
      <w:szCs w:val="16"/>
      <w:lang w:eastAsia="en-US"/>
    </w:rPr>
  </w:style>
  <w:style w:type="paragraph" w:customStyle="1" w:styleId="TableFigNotes0">
    <w:name w:val="TableFigNotes+0"/>
    <w:basedOn w:val="Normal"/>
    <w:rsid w:val="00BB19D5"/>
    <w:pPr>
      <w:keepNext/>
      <w:keepLines/>
      <w:ind w:left="720"/>
    </w:pPr>
    <w:rPr>
      <w:rFonts w:ascii="Arial Narrow" w:hAnsi="Arial Narrow"/>
      <w:color w:val="000000"/>
      <w:sz w:val="18"/>
      <w:szCs w:val="18"/>
    </w:rPr>
  </w:style>
  <w:style w:type="numbering" w:customStyle="1" w:styleId="ListBullets">
    <w:name w:val="ListBullets"/>
    <w:uiPriority w:val="99"/>
    <w:rsid w:val="00BB19D5"/>
    <w:pPr>
      <w:numPr>
        <w:numId w:val="33"/>
      </w:numPr>
    </w:pPr>
  </w:style>
  <w:style w:type="paragraph" w:styleId="ListBullet3">
    <w:name w:val="List Bullet 3"/>
    <w:basedOn w:val="ListBullet2"/>
    <w:uiPriority w:val="2"/>
    <w:rsid w:val="00BB19D5"/>
    <w:pPr>
      <w:numPr>
        <w:ilvl w:val="2"/>
      </w:numPr>
      <w:tabs>
        <w:tab w:val="clear" w:pos="907"/>
        <w:tab w:val="num" w:pos="2160"/>
      </w:tabs>
      <w:ind w:left="2160" w:hanging="360"/>
    </w:pPr>
  </w:style>
  <w:style w:type="paragraph" w:styleId="ListBullet">
    <w:name w:val="List Bullet"/>
    <w:basedOn w:val="BodyText"/>
    <w:link w:val="ListBulletChar"/>
    <w:uiPriority w:val="2"/>
    <w:qFormat/>
    <w:rsid w:val="00BB19D5"/>
    <w:pPr>
      <w:numPr>
        <w:numId w:val="33"/>
      </w:numPr>
      <w:spacing w:before="70"/>
    </w:pPr>
  </w:style>
  <w:style w:type="paragraph" w:styleId="ListBullet2">
    <w:name w:val="List Bullet 2"/>
    <w:basedOn w:val="ListBullet"/>
    <w:uiPriority w:val="2"/>
    <w:rsid w:val="00BB19D5"/>
    <w:pPr>
      <w:numPr>
        <w:ilvl w:val="1"/>
      </w:numPr>
      <w:tabs>
        <w:tab w:val="clear" w:pos="567"/>
        <w:tab w:val="num" w:pos="1440"/>
      </w:tabs>
      <w:spacing w:before="40"/>
      <w:ind w:left="568" w:hanging="284"/>
    </w:pPr>
  </w:style>
  <w:style w:type="paragraph" w:customStyle="1" w:styleId="TableTextColumnHeading">
    <w:name w:val="Table Text Column Heading"/>
    <w:basedOn w:val="TableDataColumnHeading"/>
    <w:uiPriority w:val="13"/>
    <w:rsid w:val="00BB19D5"/>
    <w:pPr>
      <w:jc w:val="left"/>
    </w:pPr>
  </w:style>
  <w:style w:type="paragraph" w:customStyle="1" w:styleId="TableListBullet">
    <w:name w:val="Table List Bullet"/>
    <w:basedOn w:val="TableTextEntries"/>
    <w:uiPriority w:val="14"/>
    <w:rsid w:val="00BB19D5"/>
    <w:pPr>
      <w:numPr>
        <w:numId w:val="32"/>
      </w:numPr>
      <w:spacing w:line="210" w:lineRule="atLeast"/>
    </w:pPr>
    <w:rPr>
      <w:szCs w:val="19"/>
    </w:rPr>
  </w:style>
  <w:style w:type="paragraph" w:customStyle="1" w:styleId="TableListBullet2">
    <w:name w:val="Table List Bullet 2"/>
    <w:basedOn w:val="TableListBullet"/>
    <w:uiPriority w:val="14"/>
    <w:rsid w:val="00BB19D5"/>
    <w:pPr>
      <w:numPr>
        <w:ilvl w:val="1"/>
      </w:numPr>
    </w:pPr>
  </w:style>
  <w:style w:type="paragraph" w:customStyle="1" w:styleId="TableListNumber">
    <w:name w:val="Table List Number"/>
    <w:basedOn w:val="TableTextEntries"/>
    <w:uiPriority w:val="14"/>
    <w:rsid w:val="00BB19D5"/>
    <w:pPr>
      <w:numPr>
        <w:numId w:val="30"/>
      </w:numPr>
      <w:spacing w:before="40" w:after="40"/>
    </w:pPr>
    <w:rPr>
      <w:szCs w:val="19"/>
    </w:rPr>
  </w:style>
  <w:style w:type="paragraph" w:customStyle="1" w:styleId="TableListNumber2">
    <w:name w:val="Table List Number 2"/>
    <w:basedOn w:val="TableListNumber"/>
    <w:uiPriority w:val="14"/>
    <w:rsid w:val="00BB19D5"/>
    <w:pPr>
      <w:numPr>
        <w:ilvl w:val="1"/>
      </w:numPr>
    </w:pPr>
  </w:style>
  <w:style w:type="numbering" w:customStyle="1" w:styleId="TableListBullets">
    <w:name w:val="TableListBullets"/>
    <w:uiPriority w:val="99"/>
    <w:rsid w:val="00BB19D5"/>
    <w:pPr>
      <w:numPr>
        <w:numId w:val="31"/>
      </w:numPr>
    </w:pPr>
  </w:style>
  <w:style w:type="numbering" w:customStyle="1" w:styleId="TableListNumbers">
    <w:name w:val="TableListNumbers"/>
    <w:uiPriority w:val="99"/>
    <w:rsid w:val="00BB19D5"/>
    <w:pPr>
      <w:numPr>
        <w:numId w:val="30"/>
      </w:numPr>
    </w:pPr>
  </w:style>
  <w:style w:type="character" w:customStyle="1" w:styleId="ListBulletChar">
    <w:name w:val="List Bullet Char"/>
    <w:link w:val="ListBullet"/>
    <w:uiPriority w:val="2"/>
    <w:locked/>
    <w:rsid w:val="00BB19D5"/>
    <w:rPr>
      <w:rFonts w:asciiTheme="minorHAnsi" w:eastAsia="Times New Roman" w:hAnsiTheme="minorHAnsi"/>
      <w:sz w:val="21"/>
      <w:szCs w:val="21"/>
    </w:rPr>
  </w:style>
  <w:style w:type="table" w:styleId="TableGrid">
    <w:name w:val="Table Grid"/>
    <w:aliases w:val="Summary box"/>
    <w:basedOn w:val="TableNormal"/>
    <w:uiPriority w:val="59"/>
    <w:locked/>
    <w:rsid w:val="000E3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14EAB"/>
    <w:rPr>
      <w:rFonts w:eastAsia="Times New Roman"/>
      <w:sz w:val="24"/>
      <w:szCs w:val="20"/>
    </w:rPr>
  </w:style>
  <w:style w:type="paragraph" w:styleId="EndnoteText">
    <w:name w:val="endnote text"/>
    <w:basedOn w:val="Normal"/>
    <w:link w:val="EndnoteTextChar"/>
    <w:uiPriority w:val="99"/>
    <w:semiHidden/>
    <w:unhideWhenUsed/>
    <w:rsid w:val="00471DF6"/>
    <w:rPr>
      <w:sz w:val="20"/>
    </w:rPr>
  </w:style>
  <w:style w:type="character" w:customStyle="1" w:styleId="EndnoteTextChar">
    <w:name w:val="Endnote Text Char"/>
    <w:basedOn w:val="DefaultParagraphFont"/>
    <w:link w:val="EndnoteText"/>
    <w:uiPriority w:val="99"/>
    <w:semiHidden/>
    <w:rsid w:val="00471DF6"/>
    <w:rPr>
      <w:rFonts w:eastAsia="Times New Roman"/>
      <w:sz w:val="20"/>
      <w:szCs w:val="20"/>
    </w:rPr>
  </w:style>
  <w:style w:type="character" w:styleId="EndnoteReference">
    <w:name w:val="endnote reference"/>
    <w:basedOn w:val="DefaultParagraphFont"/>
    <w:uiPriority w:val="99"/>
    <w:semiHidden/>
    <w:unhideWhenUsed/>
    <w:rsid w:val="00471DF6"/>
    <w:rPr>
      <w:vertAlign w:val="superscript"/>
    </w:rPr>
  </w:style>
  <w:style w:type="paragraph" w:styleId="Title">
    <w:name w:val="Title"/>
    <w:basedOn w:val="Normal"/>
    <w:next w:val="Normal"/>
    <w:link w:val="TitleChar"/>
    <w:qFormat/>
    <w:locked/>
    <w:rsid w:val="003F5DD6"/>
    <w:pPr>
      <w:pBdr>
        <w:bottom w:val="single" w:sz="8" w:space="4" w:color="4F81BD" w:themeColor="accent1"/>
      </w:pBdr>
      <w:spacing w:after="300"/>
      <w:contextualSpacing/>
      <w:jc w:val="center"/>
    </w:pPr>
    <w:rPr>
      <w:rFonts w:ascii="Arial" w:eastAsiaTheme="majorEastAsia" w:hAnsi="Arial" w:cstheme="majorBidi"/>
      <w:b/>
      <w:kern w:val="28"/>
      <w:sz w:val="32"/>
      <w:szCs w:val="52"/>
      <w:lang w:eastAsia="en-US"/>
    </w:rPr>
  </w:style>
  <w:style w:type="character" w:customStyle="1" w:styleId="TitleChar">
    <w:name w:val="Title Char"/>
    <w:basedOn w:val="DefaultParagraphFont"/>
    <w:link w:val="Title"/>
    <w:rsid w:val="003F5DD6"/>
    <w:rPr>
      <w:rFonts w:ascii="Arial" w:eastAsiaTheme="majorEastAsia" w:hAnsi="Arial" w:cstheme="majorBidi"/>
      <w:b/>
      <w:kern w:val="28"/>
      <w:sz w:val="32"/>
      <w:szCs w:val="52"/>
      <w:lang w:eastAsia="en-US"/>
    </w:rPr>
  </w:style>
  <w:style w:type="character" w:styleId="IntenseReference">
    <w:name w:val="Intense Reference"/>
    <w:basedOn w:val="DefaultParagraphFont"/>
    <w:uiPriority w:val="32"/>
    <w:qFormat/>
    <w:rsid w:val="003F5DD6"/>
    <w:rPr>
      <w:b/>
      <w:bCs/>
      <w:i/>
      <w:smallCaps/>
      <w:color w:val="C0504D" w:themeColor="accent2"/>
      <w:spacing w:val="5"/>
      <w:u w:val="none"/>
    </w:rPr>
  </w:style>
  <w:style w:type="character" w:customStyle="1" w:styleId="textitem">
    <w:name w:val="textitem"/>
    <w:basedOn w:val="DefaultParagraphFont"/>
    <w:rsid w:val="004E015F"/>
  </w:style>
  <w:style w:type="character" w:customStyle="1" w:styleId="Heading3Char">
    <w:name w:val="Heading 3 Char"/>
    <w:basedOn w:val="DefaultParagraphFont"/>
    <w:link w:val="Heading3"/>
    <w:rsid w:val="00753306"/>
    <w:rPr>
      <w:rFonts w:eastAsiaTheme="majorEastAsia" w:cstheme="majorBidi"/>
      <w:b/>
      <w:bCs/>
      <w:sz w:val="18"/>
      <w:szCs w:val="20"/>
    </w:rPr>
  </w:style>
  <w:style w:type="character" w:customStyle="1" w:styleId="Heading5Char">
    <w:name w:val="Heading 5 Char"/>
    <w:basedOn w:val="DefaultParagraphFont"/>
    <w:link w:val="Heading5"/>
    <w:rsid w:val="000E155F"/>
    <w:rPr>
      <w:rFonts w:asciiTheme="majorHAnsi" w:eastAsiaTheme="majorEastAsia" w:hAnsiTheme="majorHAnsi" w:cstheme="majorBidi"/>
      <w:color w:val="243F60" w:themeColor="accent1" w:themeShade="7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353721">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gi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D:\Users\mccraj\AppData\Local\Microsoft\Windows\Temporary%20Internet%20Files\Content.Outlook\7M4OPGPH\www.msa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gif"/><Relationship Id="rId23" Type="http://schemas.openxmlformats.org/officeDocument/2006/relationships/fontTable" Target="fontTable.xml"/><Relationship Id="rId10" Type="http://schemas.openxmlformats.org/officeDocument/2006/relationships/hyperlink" Target="http://www.msac.gov.a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image" Target="media/image3.gif"/><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Sheet1!$A$2</c:f>
              <c:strCache>
                <c:ptCount val="1"/>
                <c:pt idx="0">
                  <c:v>Predicted</c:v>
                </c:pt>
              </c:strCache>
            </c:strRef>
          </c:tx>
          <c:marker>
            <c:symbol val="none"/>
          </c:marker>
          <c:cat>
            <c:strRef>
              <c:f>Sheet1!$B$1:$D$1</c:f>
              <c:strCache>
                <c:ptCount val="3"/>
                <c:pt idx="0">
                  <c:v>2014-15</c:v>
                </c:pt>
                <c:pt idx="1">
                  <c:v>2015-16</c:v>
                </c:pt>
                <c:pt idx="2">
                  <c:v>2016-17</c:v>
                </c:pt>
              </c:strCache>
            </c:strRef>
          </c:cat>
          <c:val>
            <c:numRef>
              <c:f>Sheet1!$B$2:$D$2</c:f>
              <c:numCache>
                <c:formatCode>General</c:formatCode>
                <c:ptCount val="3"/>
                <c:pt idx="0">
                  <c:v>2208</c:v>
                </c:pt>
                <c:pt idx="1">
                  <c:v>2271</c:v>
                </c:pt>
                <c:pt idx="2">
                  <c:v>2335</c:v>
                </c:pt>
              </c:numCache>
            </c:numRef>
          </c:val>
          <c:smooth val="0"/>
          <c:extLst>
            <c:ext xmlns:c16="http://schemas.microsoft.com/office/drawing/2014/chart" uri="{C3380CC4-5D6E-409C-BE32-E72D297353CC}">
              <c16:uniqueId val="{00000000-C421-4694-895F-9C9F416A56CC}"/>
            </c:ext>
          </c:extLst>
        </c:ser>
        <c:ser>
          <c:idx val="1"/>
          <c:order val="1"/>
          <c:tx>
            <c:strRef>
              <c:f>Sheet1!$A$3</c:f>
              <c:strCache>
                <c:ptCount val="1"/>
                <c:pt idx="0">
                  <c:v>Actual</c:v>
                </c:pt>
              </c:strCache>
            </c:strRef>
          </c:tx>
          <c:marker>
            <c:symbol val="none"/>
          </c:marker>
          <c:cat>
            <c:strRef>
              <c:f>Sheet1!$B$1:$D$1</c:f>
              <c:strCache>
                <c:ptCount val="3"/>
                <c:pt idx="0">
                  <c:v>2014-15</c:v>
                </c:pt>
                <c:pt idx="1">
                  <c:v>2015-16</c:v>
                </c:pt>
                <c:pt idx="2">
                  <c:v>2016-17</c:v>
                </c:pt>
              </c:strCache>
            </c:strRef>
          </c:cat>
          <c:val>
            <c:numRef>
              <c:f>Sheet1!$B$3:$D$3</c:f>
              <c:numCache>
                <c:formatCode>General</c:formatCode>
                <c:ptCount val="3"/>
                <c:pt idx="0">
                  <c:v>1260</c:v>
                </c:pt>
                <c:pt idx="1">
                  <c:v>2518</c:v>
                </c:pt>
                <c:pt idx="2">
                  <c:v>2213</c:v>
                </c:pt>
              </c:numCache>
            </c:numRef>
          </c:val>
          <c:smooth val="0"/>
          <c:extLst>
            <c:ext xmlns:c16="http://schemas.microsoft.com/office/drawing/2014/chart" uri="{C3380CC4-5D6E-409C-BE32-E72D297353CC}">
              <c16:uniqueId val="{00000001-C421-4694-895F-9C9F416A56CC}"/>
            </c:ext>
          </c:extLst>
        </c:ser>
        <c:dLbls>
          <c:showLegendKey val="0"/>
          <c:showVal val="0"/>
          <c:showCatName val="0"/>
          <c:showSerName val="0"/>
          <c:showPercent val="0"/>
          <c:showBubbleSize val="0"/>
        </c:dLbls>
        <c:smooth val="0"/>
        <c:axId val="75450240"/>
        <c:axId val="82412672"/>
      </c:lineChart>
      <c:catAx>
        <c:axId val="75450240"/>
        <c:scaling>
          <c:orientation val="minMax"/>
        </c:scaling>
        <c:delete val="0"/>
        <c:axPos val="b"/>
        <c:numFmt formatCode="General" sourceLinked="0"/>
        <c:majorTickMark val="out"/>
        <c:minorTickMark val="none"/>
        <c:tickLblPos val="nextTo"/>
        <c:crossAx val="82412672"/>
        <c:crosses val="autoZero"/>
        <c:auto val="1"/>
        <c:lblAlgn val="ctr"/>
        <c:lblOffset val="100"/>
        <c:noMultiLvlLbl val="0"/>
      </c:catAx>
      <c:valAx>
        <c:axId val="82412672"/>
        <c:scaling>
          <c:orientation val="minMax"/>
        </c:scaling>
        <c:delete val="0"/>
        <c:axPos val="l"/>
        <c:majorGridlines/>
        <c:numFmt formatCode="General" sourceLinked="1"/>
        <c:majorTickMark val="out"/>
        <c:minorTickMark val="none"/>
        <c:tickLblPos val="nextTo"/>
        <c:crossAx val="75450240"/>
        <c:crosses val="autoZero"/>
        <c:crossBetween val="between"/>
      </c:valAx>
    </c:plotArea>
    <c:legend>
      <c:legendPos val="b"/>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Sheet1!$A$4</c:f>
              <c:strCache>
                <c:ptCount val="1"/>
                <c:pt idx="0">
                  <c:v>2014-15</c:v>
                </c:pt>
              </c:strCache>
            </c:strRef>
          </c:tx>
          <c:invertIfNegative val="0"/>
          <c:errBars>
            <c:errBarType val="both"/>
            <c:errValType val="cust"/>
            <c:noEndCap val="0"/>
            <c:plus>
              <c:numRef>
                <c:f>Sheet1!$B$15:$G$15</c:f>
                <c:numCache>
                  <c:formatCode>General</c:formatCode>
                  <c:ptCount val="6"/>
                  <c:pt idx="1">
                    <c:v>153.55000000000001</c:v>
                  </c:pt>
                  <c:pt idx="4">
                    <c:v>160.94</c:v>
                  </c:pt>
                </c:numCache>
              </c:numRef>
            </c:plus>
            <c:minus>
              <c:numRef>
                <c:f>Sheet1!$B$14:$G$14</c:f>
                <c:numCache>
                  <c:formatCode>General</c:formatCode>
                  <c:ptCount val="6"/>
                  <c:pt idx="1">
                    <c:v>34.81</c:v>
                  </c:pt>
                  <c:pt idx="4">
                    <c:v>81.760000000000005</c:v>
                  </c:pt>
                </c:numCache>
              </c:numRef>
            </c:minus>
          </c:errBars>
          <c:cat>
            <c:strRef>
              <c:f>Sheet1!$B$3:$G$3</c:f>
              <c:strCache>
                <c:ptCount val="6"/>
                <c:pt idx="0">
                  <c:v>NSW</c:v>
                </c:pt>
                <c:pt idx="1">
                  <c:v>VIC</c:v>
                </c:pt>
                <c:pt idx="2">
                  <c:v>QLD</c:v>
                </c:pt>
                <c:pt idx="3">
                  <c:v>SA</c:v>
                </c:pt>
                <c:pt idx="4">
                  <c:v>WA</c:v>
                </c:pt>
                <c:pt idx="5">
                  <c:v>ACT</c:v>
                </c:pt>
              </c:strCache>
            </c:strRef>
          </c:cat>
          <c:val>
            <c:numRef>
              <c:f>Sheet1!$B$4:$G$4</c:f>
              <c:numCache>
                <c:formatCode>"$"#,##0.00_);[Red]\("$"#,##0.00\)</c:formatCode>
                <c:ptCount val="6"/>
                <c:pt idx="0">
                  <c:v>436.69</c:v>
                </c:pt>
                <c:pt idx="1">
                  <c:v>397.4</c:v>
                </c:pt>
                <c:pt idx="2">
                  <c:v>429.5</c:v>
                </c:pt>
                <c:pt idx="3">
                  <c:v>260.55</c:v>
                </c:pt>
                <c:pt idx="4">
                  <c:v>390.01</c:v>
                </c:pt>
                <c:pt idx="5">
                  <c:v>468.58</c:v>
                </c:pt>
              </c:numCache>
            </c:numRef>
          </c:val>
          <c:extLst>
            <c:ext xmlns:c16="http://schemas.microsoft.com/office/drawing/2014/chart" uri="{C3380CC4-5D6E-409C-BE32-E72D297353CC}">
              <c16:uniqueId val="{00000000-CDE7-420A-BDE3-E19D82907569}"/>
            </c:ext>
          </c:extLst>
        </c:ser>
        <c:ser>
          <c:idx val="1"/>
          <c:order val="1"/>
          <c:tx>
            <c:strRef>
              <c:f>Sheet1!$A$6</c:f>
              <c:strCache>
                <c:ptCount val="1"/>
                <c:pt idx="0">
                  <c:v>2015-16</c:v>
                </c:pt>
              </c:strCache>
            </c:strRef>
          </c:tx>
          <c:invertIfNegative val="0"/>
          <c:errBars>
            <c:errBarType val="both"/>
            <c:errValType val="cust"/>
            <c:noEndCap val="0"/>
            <c:plus>
              <c:numRef>
                <c:f>Sheet1!$B$18:$G$18</c:f>
                <c:numCache>
                  <c:formatCode>General</c:formatCode>
                  <c:ptCount val="6"/>
                  <c:pt idx="0">
                    <c:v>198.97</c:v>
                  </c:pt>
                  <c:pt idx="1">
                    <c:v>161.88</c:v>
                  </c:pt>
                  <c:pt idx="2">
                    <c:v>211.45</c:v>
                  </c:pt>
                  <c:pt idx="3">
                    <c:v>142.04</c:v>
                  </c:pt>
                  <c:pt idx="4">
                    <c:v>147.56</c:v>
                  </c:pt>
                </c:numCache>
              </c:numRef>
            </c:plus>
            <c:minus>
              <c:numRef>
                <c:f>Sheet1!$B$17:$G$17</c:f>
                <c:numCache>
                  <c:formatCode>General</c:formatCode>
                  <c:ptCount val="6"/>
                  <c:pt idx="0">
                    <c:v>31.64</c:v>
                  </c:pt>
                  <c:pt idx="1">
                    <c:v>79.92</c:v>
                  </c:pt>
                  <c:pt idx="2">
                    <c:v>13.35</c:v>
                  </c:pt>
                  <c:pt idx="3">
                    <c:v>24.02</c:v>
                  </c:pt>
                  <c:pt idx="4">
                    <c:v>102.64</c:v>
                  </c:pt>
                </c:numCache>
              </c:numRef>
            </c:minus>
          </c:errBars>
          <c:cat>
            <c:strRef>
              <c:f>Sheet1!$B$3:$G$3</c:f>
              <c:strCache>
                <c:ptCount val="6"/>
                <c:pt idx="0">
                  <c:v>NSW</c:v>
                </c:pt>
                <c:pt idx="1">
                  <c:v>VIC</c:v>
                </c:pt>
                <c:pt idx="2">
                  <c:v>QLD</c:v>
                </c:pt>
                <c:pt idx="3">
                  <c:v>SA</c:v>
                </c:pt>
                <c:pt idx="4">
                  <c:v>WA</c:v>
                </c:pt>
                <c:pt idx="5">
                  <c:v>ACT</c:v>
                </c:pt>
              </c:strCache>
            </c:strRef>
          </c:cat>
          <c:val>
            <c:numRef>
              <c:f>Sheet1!$B$6:$G$6</c:f>
              <c:numCache>
                <c:formatCode>"$"#,##0.00_);[Red]\("$"#,##0.00\)</c:formatCode>
                <c:ptCount val="6"/>
                <c:pt idx="0">
                  <c:v>394.23</c:v>
                </c:pt>
                <c:pt idx="1">
                  <c:v>388.12</c:v>
                </c:pt>
                <c:pt idx="2">
                  <c:v>481.35</c:v>
                </c:pt>
                <c:pt idx="3">
                  <c:v>386.62</c:v>
                </c:pt>
                <c:pt idx="4">
                  <c:v>410.89</c:v>
                </c:pt>
                <c:pt idx="5">
                  <c:v>297.89999999999998</c:v>
                </c:pt>
              </c:numCache>
            </c:numRef>
          </c:val>
          <c:extLst>
            <c:ext xmlns:c16="http://schemas.microsoft.com/office/drawing/2014/chart" uri="{C3380CC4-5D6E-409C-BE32-E72D297353CC}">
              <c16:uniqueId val="{00000001-CDE7-420A-BDE3-E19D82907569}"/>
            </c:ext>
          </c:extLst>
        </c:ser>
        <c:ser>
          <c:idx val="2"/>
          <c:order val="2"/>
          <c:tx>
            <c:strRef>
              <c:f>Sheet1!$A$8</c:f>
              <c:strCache>
                <c:ptCount val="1"/>
                <c:pt idx="0">
                  <c:v> 2016-17 </c:v>
                </c:pt>
              </c:strCache>
            </c:strRef>
          </c:tx>
          <c:invertIfNegative val="0"/>
          <c:errBars>
            <c:errBarType val="both"/>
            <c:errValType val="cust"/>
            <c:noEndCap val="0"/>
            <c:plus>
              <c:numRef>
                <c:f>Sheet1!$B$21:$G$21</c:f>
                <c:numCache>
                  <c:formatCode>General</c:formatCode>
                  <c:ptCount val="6"/>
                  <c:pt idx="0">
                    <c:v>188.13</c:v>
                  </c:pt>
                  <c:pt idx="1">
                    <c:v>104.97</c:v>
                  </c:pt>
                  <c:pt idx="2">
                    <c:v>76.95</c:v>
                  </c:pt>
                  <c:pt idx="3">
                    <c:v>81.48</c:v>
                  </c:pt>
                  <c:pt idx="4">
                    <c:v>117.35</c:v>
                  </c:pt>
                </c:numCache>
              </c:numRef>
            </c:plus>
            <c:minus>
              <c:numRef>
                <c:f>Sheet1!$B$20:$G$20</c:f>
                <c:numCache>
                  <c:formatCode>General</c:formatCode>
                  <c:ptCount val="6"/>
                  <c:pt idx="0">
                    <c:v>74.97</c:v>
                  </c:pt>
                  <c:pt idx="1">
                    <c:v>27.39</c:v>
                  </c:pt>
                  <c:pt idx="2">
                    <c:v>15.9</c:v>
                  </c:pt>
                  <c:pt idx="3">
                    <c:v>20</c:v>
                  </c:pt>
                  <c:pt idx="4">
                    <c:v>122.99</c:v>
                  </c:pt>
                </c:numCache>
              </c:numRef>
            </c:minus>
          </c:errBars>
          <c:cat>
            <c:strRef>
              <c:f>Sheet1!$B$3:$G$3</c:f>
              <c:strCache>
                <c:ptCount val="6"/>
                <c:pt idx="0">
                  <c:v>NSW</c:v>
                </c:pt>
                <c:pt idx="1">
                  <c:v>VIC</c:v>
                </c:pt>
                <c:pt idx="2">
                  <c:v>QLD</c:v>
                </c:pt>
                <c:pt idx="3">
                  <c:v>SA</c:v>
                </c:pt>
                <c:pt idx="4">
                  <c:v>WA</c:v>
                </c:pt>
                <c:pt idx="5">
                  <c:v>ACT</c:v>
                </c:pt>
              </c:strCache>
            </c:strRef>
          </c:cat>
          <c:val>
            <c:numRef>
              <c:f>Sheet1!$B$8:$G$8</c:f>
              <c:numCache>
                <c:formatCode>"$"#,##0.00_);[Red]\("$"#,##0.00\)</c:formatCode>
                <c:ptCount val="6"/>
                <c:pt idx="0">
                  <c:v>437.57</c:v>
                </c:pt>
                <c:pt idx="1">
                  <c:v>389.98</c:v>
                </c:pt>
                <c:pt idx="2">
                  <c:v>484.75</c:v>
                </c:pt>
                <c:pt idx="3">
                  <c:v>448.63</c:v>
                </c:pt>
                <c:pt idx="4">
                  <c:v>431.24</c:v>
                </c:pt>
                <c:pt idx="5">
                  <c:v>357.05</c:v>
                </c:pt>
              </c:numCache>
            </c:numRef>
          </c:val>
          <c:extLst>
            <c:ext xmlns:c16="http://schemas.microsoft.com/office/drawing/2014/chart" uri="{C3380CC4-5D6E-409C-BE32-E72D297353CC}">
              <c16:uniqueId val="{00000002-CDE7-420A-BDE3-E19D82907569}"/>
            </c:ext>
          </c:extLst>
        </c:ser>
        <c:dLbls>
          <c:showLegendKey val="0"/>
          <c:showVal val="0"/>
          <c:showCatName val="0"/>
          <c:showSerName val="0"/>
          <c:showPercent val="0"/>
          <c:showBubbleSize val="0"/>
        </c:dLbls>
        <c:gapWidth val="150"/>
        <c:axId val="226960512"/>
        <c:axId val="243041024"/>
      </c:barChart>
      <c:catAx>
        <c:axId val="226960512"/>
        <c:scaling>
          <c:orientation val="minMax"/>
        </c:scaling>
        <c:delete val="0"/>
        <c:axPos val="b"/>
        <c:numFmt formatCode="General" sourceLinked="1"/>
        <c:majorTickMark val="out"/>
        <c:minorTickMark val="none"/>
        <c:tickLblPos val="nextTo"/>
        <c:crossAx val="243041024"/>
        <c:crosses val="autoZero"/>
        <c:auto val="1"/>
        <c:lblAlgn val="ctr"/>
        <c:lblOffset val="100"/>
        <c:noMultiLvlLbl val="0"/>
      </c:catAx>
      <c:valAx>
        <c:axId val="243041024"/>
        <c:scaling>
          <c:orientation val="minMax"/>
        </c:scaling>
        <c:delete val="0"/>
        <c:axPos val="l"/>
        <c:majorGridlines/>
        <c:numFmt formatCode="&quot;$&quot;#,##0.00_);[Red]\(&quot;$&quot;#,##0.00\)" sourceLinked="1"/>
        <c:majorTickMark val="out"/>
        <c:minorTickMark val="none"/>
        <c:tickLblPos val="nextTo"/>
        <c:crossAx val="226960512"/>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2025D-FBB0-443B-8810-492F96FAD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2598</Words>
  <Characters>14815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PvA1362&amp;1363-Final PSD</dc:title>
  <dc:creator/>
  <cp:lastModifiedBy/>
  <cp:revision>1</cp:revision>
  <dcterms:created xsi:type="dcterms:W3CDTF">2018-08-28T00:28:00Z</dcterms:created>
  <dcterms:modified xsi:type="dcterms:W3CDTF">2019-06-21T00:12:00Z</dcterms:modified>
</cp:coreProperties>
</file>